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85863" w14:textId="07D943F6" w:rsidR="007E57F7" w:rsidRPr="004F0732" w:rsidRDefault="00407212" w:rsidP="004F0732">
      <w:pPr>
        <w:spacing w:after="0"/>
        <w:jc w:val="right"/>
        <w:rPr>
          <w:rFonts w:ascii="Calibri" w:eastAsia="Times New Roman" w:hAnsi="Calibri" w:cs="Calibri"/>
          <w:b/>
          <w:color w:val="000000"/>
          <w:sz w:val="36"/>
          <w:szCs w:val="36"/>
          <w:lang w:eastAsia="es-MX"/>
        </w:rPr>
      </w:pPr>
      <w:r w:rsidRPr="004F0732">
        <w:rPr>
          <w:rFonts w:ascii="Calibri" w:eastAsia="Times New Roman" w:hAnsi="Calibri" w:cs="Calibri"/>
          <w:b/>
          <w:color w:val="000000"/>
          <w:sz w:val="36"/>
          <w:szCs w:val="36"/>
          <w:lang w:eastAsia="es-MX"/>
        </w:rPr>
        <w:t>Análisis competitivo de la actividad productiva de la malanga: un enfoque basado en la teoría de</w:t>
      </w:r>
      <w:r w:rsidR="009F1E7D" w:rsidRPr="004F0732">
        <w:rPr>
          <w:rFonts w:ascii="Calibri" w:eastAsia="Times New Roman" w:hAnsi="Calibri" w:cs="Calibri"/>
          <w:b/>
          <w:color w:val="000000"/>
          <w:sz w:val="36"/>
          <w:szCs w:val="36"/>
          <w:lang w:eastAsia="es-MX"/>
        </w:rPr>
        <w:t xml:space="preserve"> Michael</w:t>
      </w:r>
      <w:r w:rsidR="00B208AA" w:rsidRPr="004F0732">
        <w:rPr>
          <w:rFonts w:ascii="Calibri" w:eastAsia="Times New Roman" w:hAnsi="Calibri" w:cs="Calibri"/>
          <w:b/>
          <w:color w:val="000000"/>
          <w:sz w:val="36"/>
          <w:szCs w:val="36"/>
          <w:lang w:eastAsia="es-MX"/>
        </w:rPr>
        <w:t xml:space="preserve"> Porter</w:t>
      </w:r>
    </w:p>
    <w:p w14:paraId="39AE1A21" w14:textId="77777777" w:rsidR="004F0732" w:rsidRDefault="004F0732" w:rsidP="004F0732">
      <w:pPr>
        <w:spacing w:after="0"/>
        <w:jc w:val="right"/>
        <w:rPr>
          <w:rFonts w:ascii="Calibri" w:eastAsia="Times New Roman" w:hAnsi="Calibri" w:cs="Calibri"/>
          <w:b/>
          <w:color w:val="000000"/>
          <w:sz w:val="36"/>
          <w:szCs w:val="36"/>
          <w:lang w:eastAsia="es-MX"/>
        </w:rPr>
      </w:pPr>
    </w:p>
    <w:p w14:paraId="73962C34" w14:textId="6D2CE984" w:rsidR="00407212" w:rsidRPr="00C737C5" w:rsidRDefault="00407212" w:rsidP="004F0732">
      <w:pPr>
        <w:spacing w:after="0"/>
        <w:jc w:val="right"/>
        <w:rPr>
          <w:rFonts w:ascii="Calibri" w:eastAsia="Times New Roman" w:hAnsi="Calibri" w:cs="Calibri"/>
          <w:b/>
          <w:i/>
          <w:color w:val="000000"/>
          <w:sz w:val="28"/>
          <w:szCs w:val="36"/>
          <w:lang w:val="en-US" w:eastAsia="es-MX"/>
        </w:rPr>
      </w:pPr>
      <w:r w:rsidRPr="00C737C5">
        <w:rPr>
          <w:rFonts w:ascii="Calibri" w:eastAsia="Times New Roman" w:hAnsi="Calibri" w:cs="Calibri"/>
          <w:b/>
          <w:i/>
          <w:color w:val="000000"/>
          <w:sz w:val="28"/>
          <w:szCs w:val="36"/>
          <w:lang w:val="en-US" w:eastAsia="es-MX"/>
        </w:rPr>
        <w:t xml:space="preserve">Competitive analysis of the </w:t>
      </w:r>
      <w:r w:rsidR="00C66047" w:rsidRPr="00E86EB8">
        <w:rPr>
          <w:rFonts w:ascii="Calibri" w:eastAsia="Times New Roman" w:hAnsi="Calibri" w:cs="Calibri"/>
          <w:b/>
          <w:i/>
          <w:color w:val="000000"/>
          <w:sz w:val="28"/>
          <w:szCs w:val="36"/>
          <w:lang w:val="en-US" w:eastAsia="es-MX"/>
        </w:rPr>
        <w:t>taro</w:t>
      </w:r>
      <w:r w:rsidRPr="00C737C5">
        <w:rPr>
          <w:rFonts w:ascii="Calibri" w:eastAsia="Times New Roman" w:hAnsi="Calibri" w:cs="Calibri"/>
          <w:b/>
          <w:i/>
          <w:color w:val="000000"/>
          <w:sz w:val="28"/>
          <w:szCs w:val="36"/>
          <w:lang w:val="en-US" w:eastAsia="es-MX"/>
        </w:rPr>
        <w:t xml:space="preserve"> productive activity: an approach based on the </w:t>
      </w:r>
      <w:r w:rsidR="00624256" w:rsidRPr="00C737C5">
        <w:rPr>
          <w:rFonts w:ascii="Calibri" w:eastAsia="Times New Roman" w:hAnsi="Calibri" w:cs="Calibri"/>
          <w:b/>
          <w:i/>
          <w:color w:val="000000"/>
          <w:sz w:val="28"/>
          <w:szCs w:val="36"/>
          <w:lang w:val="en-US" w:eastAsia="es-MX"/>
        </w:rPr>
        <w:t>Michael Porter´s theory</w:t>
      </w:r>
      <w:r w:rsidRPr="00C737C5">
        <w:rPr>
          <w:rFonts w:ascii="Calibri" w:eastAsia="Times New Roman" w:hAnsi="Calibri" w:cs="Calibri"/>
          <w:b/>
          <w:i/>
          <w:color w:val="000000"/>
          <w:sz w:val="28"/>
          <w:szCs w:val="36"/>
          <w:lang w:val="en-US" w:eastAsia="es-MX"/>
        </w:rPr>
        <w:t xml:space="preserve"> </w:t>
      </w:r>
    </w:p>
    <w:p w14:paraId="2E488AD5" w14:textId="3002C68D" w:rsidR="004F0732" w:rsidRPr="00C737C5" w:rsidRDefault="004F0732" w:rsidP="004F0732">
      <w:pPr>
        <w:spacing w:after="0"/>
        <w:jc w:val="right"/>
        <w:rPr>
          <w:rFonts w:ascii="Calibri" w:eastAsia="Times New Roman" w:hAnsi="Calibri" w:cs="Calibri"/>
          <w:b/>
          <w:i/>
          <w:color w:val="000000"/>
          <w:sz w:val="28"/>
          <w:szCs w:val="36"/>
          <w:lang w:val="en-US" w:eastAsia="es-MX"/>
        </w:rPr>
      </w:pPr>
    </w:p>
    <w:p w14:paraId="7587D966" w14:textId="200EE75D" w:rsidR="004F0732" w:rsidRPr="004F0732" w:rsidRDefault="004F0732" w:rsidP="004F0732">
      <w:pPr>
        <w:spacing w:after="0"/>
        <w:jc w:val="right"/>
        <w:rPr>
          <w:rFonts w:ascii="Calibri" w:eastAsia="Times New Roman" w:hAnsi="Calibri" w:cs="Calibri"/>
          <w:b/>
          <w:i/>
          <w:color w:val="000000"/>
          <w:sz w:val="28"/>
          <w:szCs w:val="36"/>
          <w:lang w:eastAsia="es-MX"/>
        </w:rPr>
      </w:pPr>
      <w:proofErr w:type="spellStart"/>
      <w:r w:rsidRPr="004F0732">
        <w:rPr>
          <w:rFonts w:ascii="Calibri" w:eastAsia="Times New Roman" w:hAnsi="Calibri" w:cs="Calibri"/>
          <w:b/>
          <w:i/>
          <w:color w:val="000000"/>
          <w:sz w:val="28"/>
          <w:szCs w:val="36"/>
          <w:lang w:eastAsia="es-MX"/>
        </w:rPr>
        <w:t>Análise</w:t>
      </w:r>
      <w:proofErr w:type="spellEnd"/>
      <w:r w:rsidRPr="004F0732">
        <w:rPr>
          <w:rFonts w:ascii="Calibri" w:eastAsia="Times New Roman" w:hAnsi="Calibri" w:cs="Calibri"/>
          <w:b/>
          <w:i/>
          <w:color w:val="000000"/>
          <w:sz w:val="28"/>
          <w:szCs w:val="36"/>
          <w:lang w:eastAsia="es-MX"/>
        </w:rPr>
        <w:t xml:space="preserve"> competitiva da </w:t>
      </w:r>
      <w:proofErr w:type="spellStart"/>
      <w:r w:rsidRPr="004F0732">
        <w:rPr>
          <w:rFonts w:ascii="Calibri" w:eastAsia="Times New Roman" w:hAnsi="Calibri" w:cs="Calibri"/>
          <w:b/>
          <w:i/>
          <w:color w:val="000000"/>
          <w:sz w:val="28"/>
          <w:szCs w:val="36"/>
          <w:lang w:eastAsia="es-MX"/>
        </w:rPr>
        <w:t>atividade</w:t>
      </w:r>
      <w:proofErr w:type="spellEnd"/>
      <w:r w:rsidRPr="004F0732">
        <w:rPr>
          <w:rFonts w:ascii="Calibri" w:eastAsia="Times New Roman" w:hAnsi="Calibri" w:cs="Calibri"/>
          <w:b/>
          <w:i/>
          <w:color w:val="000000"/>
          <w:sz w:val="28"/>
          <w:szCs w:val="36"/>
          <w:lang w:eastAsia="es-MX"/>
        </w:rPr>
        <w:t xml:space="preserve"> </w:t>
      </w:r>
      <w:proofErr w:type="spellStart"/>
      <w:r w:rsidRPr="004F0732">
        <w:rPr>
          <w:rFonts w:ascii="Calibri" w:eastAsia="Times New Roman" w:hAnsi="Calibri" w:cs="Calibri"/>
          <w:b/>
          <w:i/>
          <w:color w:val="000000"/>
          <w:sz w:val="28"/>
          <w:szCs w:val="36"/>
          <w:lang w:eastAsia="es-MX"/>
        </w:rPr>
        <w:t>produtiva</w:t>
      </w:r>
      <w:proofErr w:type="spellEnd"/>
      <w:r w:rsidRPr="004F0732">
        <w:rPr>
          <w:rFonts w:ascii="Calibri" w:eastAsia="Times New Roman" w:hAnsi="Calibri" w:cs="Calibri"/>
          <w:b/>
          <w:i/>
          <w:color w:val="000000"/>
          <w:sz w:val="28"/>
          <w:szCs w:val="36"/>
          <w:lang w:eastAsia="es-MX"/>
        </w:rPr>
        <w:t xml:space="preserve"> da malanga: </w:t>
      </w:r>
      <w:proofErr w:type="spellStart"/>
      <w:r w:rsidRPr="004F0732">
        <w:rPr>
          <w:rFonts w:ascii="Calibri" w:eastAsia="Times New Roman" w:hAnsi="Calibri" w:cs="Calibri"/>
          <w:b/>
          <w:i/>
          <w:color w:val="000000"/>
          <w:sz w:val="28"/>
          <w:szCs w:val="36"/>
          <w:lang w:eastAsia="es-MX"/>
        </w:rPr>
        <w:t>uma</w:t>
      </w:r>
      <w:proofErr w:type="spellEnd"/>
      <w:r w:rsidRPr="004F0732">
        <w:rPr>
          <w:rFonts w:ascii="Calibri" w:eastAsia="Times New Roman" w:hAnsi="Calibri" w:cs="Calibri"/>
          <w:b/>
          <w:i/>
          <w:color w:val="000000"/>
          <w:sz w:val="28"/>
          <w:szCs w:val="36"/>
          <w:lang w:eastAsia="es-MX"/>
        </w:rPr>
        <w:t xml:space="preserve"> </w:t>
      </w:r>
      <w:proofErr w:type="spellStart"/>
      <w:r w:rsidRPr="004F0732">
        <w:rPr>
          <w:rFonts w:ascii="Calibri" w:eastAsia="Times New Roman" w:hAnsi="Calibri" w:cs="Calibri"/>
          <w:b/>
          <w:i/>
          <w:color w:val="000000"/>
          <w:sz w:val="28"/>
          <w:szCs w:val="36"/>
          <w:lang w:eastAsia="es-MX"/>
        </w:rPr>
        <w:t>abordagem</w:t>
      </w:r>
      <w:proofErr w:type="spellEnd"/>
      <w:r w:rsidRPr="004F0732">
        <w:rPr>
          <w:rFonts w:ascii="Calibri" w:eastAsia="Times New Roman" w:hAnsi="Calibri" w:cs="Calibri"/>
          <w:b/>
          <w:i/>
          <w:color w:val="000000"/>
          <w:sz w:val="28"/>
          <w:szCs w:val="36"/>
          <w:lang w:eastAsia="es-MX"/>
        </w:rPr>
        <w:t xml:space="preserve"> </w:t>
      </w:r>
      <w:proofErr w:type="spellStart"/>
      <w:r w:rsidRPr="004F0732">
        <w:rPr>
          <w:rFonts w:ascii="Calibri" w:eastAsia="Times New Roman" w:hAnsi="Calibri" w:cs="Calibri"/>
          <w:b/>
          <w:i/>
          <w:color w:val="000000"/>
          <w:sz w:val="28"/>
          <w:szCs w:val="36"/>
          <w:lang w:eastAsia="es-MX"/>
        </w:rPr>
        <w:t>baseada</w:t>
      </w:r>
      <w:proofErr w:type="spellEnd"/>
      <w:r w:rsidRPr="004F0732">
        <w:rPr>
          <w:rFonts w:ascii="Calibri" w:eastAsia="Times New Roman" w:hAnsi="Calibri" w:cs="Calibri"/>
          <w:b/>
          <w:i/>
          <w:color w:val="000000"/>
          <w:sz w:val="28"/>
          <w:szCs w:val="36"/>
          <w:lang w:eastAsia="es-MX"/>
        </w:rPr>
        <w:t xml:space="preserve"> </w:t>
      </w:r>
      <w:proofErr w:type="spellStart"/>
      <w:r w:rsidRPr="004F0732">
        <w:rPr>
          <w:rFonts w:ascii="Calibri" w:eastAsia="Times New Roman" w:hAnsi="Calibri" w:cs="Calibri"/>
          <w:b/>
          <w:i/>
          <w:color w:val="000000"/>
          <w:sz w:val="28"/>
          <w:szCs w:val="36"/>
          <w:lang w:eastAsia="es-MX"/>
        </w:rPr>
        <w:t>na</w:t>
      </w:r>
      <w:proofErr w:type="spellEnd"/>
      <w:r w:rsidRPr="004F0732">
        <w:rPr>
          <w:rFonts w:ascii="Calibri" w:eastAsia="Times New Roman" w:hAnsi="Calibri" w:cs="Calibri"/>
          <w:b/>
          <w:i/>
          <w:color w:val="000000"/>
          <w:sz w:val="28"/>
          <w:szCs w:val="36"/>
          <w:lang w:eastAsia="es-MX"/>
        </w:rPr>
        <w:t xml:space="preserve"> </w:t>
      </w:r>
      <w:proofErr w:type="spellStart"/>
      <w:r w:rsidRPr="004F0732">
        <w:rPr>
          <w:rFonts w:ascii="Calibri" w:eastAsia="Times New Roman" w:hAnsi="Calibri" w:cs="Calibri"/>
          <w:b/>
          <w:i/>
          <w:color w:val="000000"/>
          <w:sz w:val="28"/>
          <w:szCs w:val="36"/>
          <w:lang w:eastAsia="es-MX"/>
        </w:rPr>
        <w:t>teoria</w:t>
      </w:r>
      <w:proofErr w:type="spellEnd"/>
      <w:r w:rsidRPr="004F0732">
        <w:rPr>
          <w:rFonts w:ascii="Calibri" w:eastAsia="Times New Roman" w:hAnsi="Calibri" w:cs="Calibri"/>
          <w:b/>
          <w:i/>
          <w:color w:val="000000"/>
          <w:sz w:val="28"/>
          <w:szCs w:val="36"/>
          <w:lang w:eastAsia="es-MX"/>
        </w:rPr>
        <w:t xml:space="preserve"> de Michael Porter</w:t>
      </w:r>
    </w:p>
    <w:p w14:paraId="03A1773A" w14:textId="77777777" w:rsidR="00E12FBC" w:rsidRPr="00C737C5" w:rsidRDefault="00E12FBC" w:rsidP="00F7304C">
      <w:pPr>
        <w:spacing w:after="0" w:line="360" w:lineRule="auto"/>
        <w:jc w:val="right"/>
        <w:rPr>
          <w:rFonts w:ascii="Times New Roman" w:eastAsia="Times New Roman" w:hAnsi="Times New Roman" w:cs="Times New Roman"/>
          <w:b/>
          <w:sz w:val="24"/>
          <w:szCs w:val="24"/>
          <w:lang w:eastAsia="es-MX"/>
        </w:rPr>
      </w:pPr>
    </w:p>
    <w:p w14:paraId="7AA31F6B" w14:textId="2319BD96" w:rsidR="00E63A3B" w:rsidRPr="004F0732" w:rsidRDefault="00D2081E" w:rsidP="00F37E56">
      <w:pPr>
        <w:spacing w:after="0"/>
        <w:jc w:val="right"/>
        <w:rPr>
          <w:rFonts w:ascii="Calibri" w:eastAsia="Times New Roman" w:hAnsi="Calibri" w:cs="Calibri"/>
          <w:b/>
          <w:color w:val="000000"/>
          <w:sz w:val="24"/>
          <w:szCs w:val="28"/>
          <w:lang w:val="es-ES_tradnl" w:eastAsia="es-MX"/>
        </w:rPr>
      </w:pPr>
      <w:r w:rsidRPr="004F0732">
        <w:rPr>
          <w:rFonts w:ascii="Calibri" w:eastAsia="Times New Roman" w:hAnsi="Calibri" w:cs="Calibri"/>
          <w:b/>
          <w:color w:val="000000"/>
          <w:sz w:val="24"/>
          <w:szCs w:val="28"/>
          <w:lang w:val="es-ES_tradnl" w:eastAsia="es-MX"/>
        </w:rPr>
        <w:t xml:space="preserve">Yonatan López </w:t>
      </w:r>
      <w:r w:rsidR="006368C2" w:rsidRPr="004F0732">
        <w:rPr>
          <w:rFonts w:ascii="Calibri" w:eastAsia="Times New Roman" w:hAnsi="Calibri" w:cs="Calibri"/>
          <w:b/>
          <w:color w:val="000000"/>
          <w:sz w:val="24"/>
          <w:szCs w:val="28"/>
          <w:lang w:val="es-ES_tradnl" w:eastAsia="es-MX"/>
        </w:rPr>
        <w:t>Santos</w:t>
      </w:r>
    </w:p>
    <w:p w14:paraId="2C62F2CB" w14:textId="6A9A3673" w:rsidR="00E63A3B" w:rsidRPr="00B60E6E" w:rsidRDefault="00E63A3B" w:rsidP="00F37E56">
      <w:pPr>
        <w:spacing w:after="0"/>
        <w:jc w:val="right"/>
        <w:rPr>
          <w:rFonts w:ascii="Times New Roman" w:hAnsi="Times New Roman" w:cs="Times New Roman"/>
          <w:color w:val="000000"/>
          <w:sz w:val="24"/>
          <w:szCs w:val="24"/>
        </w:rPr>
      </w:pPr>
      <w:r w:rsidRPr="00B60E6E">
        <w:rPr>
          <w:rFonts w:ascii="Times New Roman" w:hAnsi="Times New Roman" w:cs="Times New Roman"/>
          <w:color w:val="000000"/>
          <w:sz w:val="24"/>
          <w:szCs w:val="24"/>
        </w:rPr>
        <w:t>Universidad Popula</w:t>
      </w:r>
      <w:r w:rsidR="00B208AA">
        <w:rPr>
          <w:rFonts w:ascii="Times New Roman" w:hAnsi="Times New Roman" w:cs="Times New Roman"/>
          <w:color w:val="000000"/>
          <w:sz w:val="24"/>
          <w:szCs w:val="24"/>
        </w:rPr>
        <w:t xml:space="preserve">r </w:t>
      </w:r>
      <w:r w:rsidR="00D97DC7">
        <w:rPr>
          <w:rFonts w:ascii="Times New Roman" w:hAnsi="Times New Roman" w:cs="Times New Roman"/>
          <w:color w:val="000000"/>
          <w:sz w:val="24"/>
          <w:szCs w:val="24"/>
        </w:rPr>
        <w:t>Autónoma del E</w:t>
      </w:r>
      <w:r w:rsidR="00B208AA">
        <w:rPr>
          <w:rFonts w:ascii="Times New Roman" w:hAnsi="Times New Roman" w:cs="Times New Roman"/>
          <w:color w:val="000000"/>
          <w:sz w:val="24"/>
          <w:szCs w:val="24"/>
        </w:rPr>
        <w:t>stado de Puebla</w:t>
      </w:r>
      <w:r w:rsidR="004F0732">
        <w:rPr>
          <w:rFonts w:ascii="Times New Roman" w:hAnsi="Times New Roman" w:cs="Times New Roman"/>
          <w:color w:val="000000"/>
          <w:sz w:val="24"/>
          <w:szCs w:val="24"/>
        </w:rPr>
        <w:t>, México</w:t>
      </w:r>
    </w:p>
    <w:p w14:paraId="65073DBA" w14:textId="5A180956" w:rsidR="00E63A3B" w:rsidRDefault="00E63A3B" w:rsidP="00F37E56">
      <w:pPr>
        <w:spacing w:after="0"/>
        <w:jc w:val="right"/>
        <w:rPr>
          <w:rFonts w:ascii="Calibri" w:hAnsi="Calibri" w:cs="Calibri"/>
          <w:color w:val="FF0000"/>
          <w:sz w:val="24"/>
          <w:szCs w:val="24"/>
        </w:rPr>
      </w:pPr>
      <w:r w:rsidRPr="004F0732">
        <w:rPr>
          <w:rFonts w:ascii="Calibri" w:hAnsi="Calibri" w:cs="Calibri"/>
          <w:color w:val="FF0000"/>
          <w:sz w:val="24"/>
          <w:szCs w:val="24"/>
        </w:rPr>
        <w:t>yls_27@hotmail.com</w:t>
      </w:r>
    </w:p>
    <w:p w14:paraId="672B0693" w14:textId="7B546886" w:rsidR="00D57CD9" w:rsidRPr="00D57CD9" w:rsidRDefault="00D57CD9" w:rsidP="00F37E56">
      <w:pPr>
        <w:spacing w:after="0"/>
        <w:jc w:val="right"/>
        <w:rPr>
          <w:rFonts w:ascii="Times New Roman" w:hAnsi="Times New Roman" w:cs="Times New Roman"/>
          <w:color w:val="000000"/>
          <w:sz w:val="24"/>
          <w:szCs w:val="24"/>
        </w:rPr>
      </w:pPr>
      <w:r w:rsidRPr="00D57CD9">
        <w:rPr>
          <w:rFonts w:ascii="Times New Roman" w:hAnsi="Times New Roman" w:cs="Times New Roman"/>
          <w:color w:val="000000"/>
          <w:sz w:val="24"/>
          <w:szCs w:val="24"/>
        </w:rPr>
        <w:t>https://orcid.org/0000-0001-8249-3256</w:t>
      </w:r>
    </w:p>
    <w:p w14:paraId="43D9B80E" w14:textId="45D815F5" w:rsidR="00E63A3B" w:rsidRPr="004F0732" w:rsidRDefault="00F37E56" w:rsidP="00F37E56">
      <w:pPr>
        <w:spacing w:after="0"/>
        <w:jc w:val="right"/>
        <w:rPr>
          <w:rFonts w:ascii="Calibri" w:eastAsia="Times New Roman" w:hAnsi="Calibri" w:cs="Calibri"/>
          <w:b/>
          <w:color w:val="000000"/>
          <w:sz w:val="24"/>
          <w:szCs w:val="28"/>
          <w:lang w:val="es-ES_tradnl" w:eastAsia="es-MX"/>
        </w:rPr>
      </w:pPr>
      <w:r>
        <w:rPr>
          <w:rFonts w:ascii="Calibri" w:eastAsia="Times New Roman" w:hAnsi="Calibri" w:cs="Calibri"/>
          <w:b/>
          <w:color w:val="000000"/>
          <w:sz w:val="24"/>
          <w:szCs w:val="28"/>
          <w:lang w:val="es-ES_tradnl" w:eastAsia="es-MX"/>
        </w:rPr>
        <w:br/>
      </w:r>
      <w:r w:rsidR="006368C2" w:rsidRPr="004F0732">
        <w:rPr>
          <w:rFonts w:ascii="Calibri" w:eastAsia="Times New Roman" w:hAnsi="Calibri" w:cs="Calibri"/>
          <w:b/>
          <w:color w:val="000000"/>
          <w:sz w:val="24"/>
          <w:szCs w:val="28"/>
          <w:lang w:val="es-ES_tradnl" w:eastAsia="es-MX"/>
        </w:rPr>
        <w:t>Ezequiel Arvizu Barrón</w:t>
      </w:r>
    </w:p>
    <w:p w14:paraId="332C7DFA" w14:textId="4B8B145F" w:rsidR="00E63A3B" w:rsidRPr="00B60E6E" w:rsidRDefault="00B208AA" w:rsidP="00F37E56">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Colegio de Postgraduados, </w:t>
      </w:r>
      <w:r w:rsidR="00E63A3B" w:rsidRPr="00B60E6E">
        <w:rPr>
          <w:rFonts w:ascii="Times New Roman" w:hAnsi="Times New Roman" w:cs="Times New Roman"/>
          <w:color w:val="000000"/>
          <w:sz w:val="24"/>
          <w:szCs w:val="24"/>
        </w:rPr>
        <w:t>Campus Veracruz</w:t>
      </w:r>
      <w:r w:rsidR="004F0732">
        <w:rPr>
          <w:rFonts w:ascii="Times New Roman" w:hAnsi="Times New Roman" w:cs="Times New Roman"/>
          <w:color w:val="000000"/>
          <w:sz w:val="24"/>
          <w:szCs w:val="24"/>
        </w:rPr>
        <w:t>, México</w:t>
      </w:r>
    </w:p>
    <w:p w14:paraId="55A1B892" w14:textId="125FA21A" w:rsidR="00E12FBC" w:rsidRDefault="00E12FBC" w:rsidP="00F37E56">
      <w:pPr>
        <w:spacing w:after="0"/>
        <w:jc w:val="right"/>
        <w:rPr>
          <w:rFonts w:ascii="Calibri" w:hAnsi="Calibri" w:cs="Calibri"/>
          <w:color w:val="FF0000"/>
          <w:sz w:val="24"/>
          <w:szCs w:val="24"/>
        </w:rPr>
      </w:pPr>
      <w:r w:rsidRPr="004F0732">
        <w:rPr>
          <w:rFonts w:ascii="Calibri" w:hAnsi="Calibri" w:cs="Calibri"/>
          <w:color w:val="FF0000"/>
          <w:sz w:val="24"/>
          <w:szCs w:val="24"/>
        </w:rPr>
        <w:t>arvizu@colpos.mx</w:t>
      </w:r>
    </w:p>
    <w:p w14:paraId="79DA7A30" w14:textId="0D09D39B" w:rsidR="002E4E16" w:rsidRPr="002E4E16" w:rsidRDefault="002E4E16" w:rsidP="00F37E56">
      <w:pPr>
        <w:spacing w:after="0"/>
        <w:jc w:val="right"/>
        <w:rPr>
          <w:rFonts w:ascii="Times New Roman" w:hAnsi="Times New Roman" w:cs="Times New Roman"/>
          <w:color w:val="000000"/>
          <w:sz w:val="24"/>
          <w:szCs w:val="24"/>
        </w:rPr>
      </w:pPr>
      <w:r w:rsidRPr="002E4E16">
        <w:rPr>
          <w:rFonts w:ascii="Times New Roman" w:hAnsi="Times New Roman" w:cs="Times New Roman"/>
          <w:color w:val="000000"/>
          <w:sz w:val="24"/>
          <w:szCs w:val="24"/>
        </w:rPr>
        <w:t>​https://orcid.org/0000-0002-0982-5389</w:t>
      </w:r>
    </w:p>
    <w:p w14:paraId="33F2CBF6" w14:textId="387D9C0B" w:rsidR="00E63A3B" w:rsidRPr="004F0732" w:rsidRDefault="00F37E56" w:rsidP="00F37E56">
      <w:pPr>
        <w:spacing w:after="0"/>
        <w:jc w:val="right"/>
        <w:rPr>
          <w:rFonts w:ascii="Calibri" w:eastAsia="Times New Roman" w:hAnsi="Calibri" w:cs="Calibri"/>
          <w:b/>
          <w:color w:val="000000"/>
          <w:sz w:val="24"/>
          <w:szCs w:val="28"/>
          <w:lang w:val="es-ES_tradnl" w:eastAsia="es-MX"/>
        </w:rPr>
      </w:pPr>
      <w:r>
        <w:rPr>
          <w:rFonts w:ascii="Calibri" w:eastAsia="Times New Roman" w:hAnsi="Calibri" w:cs="Calibri"/>
          <w:b/>
          <w:color w:val="000000"/>
          <w:sz w:val="24"/>
          <w:szCs w:val="28"/>
          <w:lang w:val="es-ES_tradnl" w:eastAsia="es-MX"/>
        </w:rPr>
        <w:br/>
      </w:r>
      <w:r w:rsidR="006368C2" w:rsidRPr="004F0732">
        <w:rPr>
          <w:rFonts w:ascii="Calibri" w:eastAsia="Times New Roman" w:hAnsi="Calibri" w:cs="Calibri"/>
          <w:b/>
          <w:color w:val="000000"/>
          <w:sz w:val="24"/>
          <w:szCs w:val="28"/>
          <w:lang w:val="es-ES_tradnl" w:eastAsia="es-MX"/>
        </w:rPr>
        <w:t>Alberto Asiain Hoyos</w:t>
      </w:r>
    </w:p>
    <w:p w14:paraId="7F51148F" w14:textId="77777777" w:rsidR="004F0732" w:rsidRPr="00C737C5" w:rsidRDefault="004F0732" w:rsidP="00F37E56">
      <w:pPr>
        <w:spacing w:after="0"/>
        <w:jc w:val="right"/>
        <w:rPr>
          <w:rFonts w:ascii="Times New Roman" w:hAnsi="Times New Roman" w:cs="Times New Roman"/>
          <w:color w:val="FF0000"/>
          <w:sz w:val="24"/>
          <w:szCs w:val="24"/>
        </w:rPr>
      </w:pPr>
      <w:r>
        <w:rPr>
          <w:rFonts w:ascii="Times New Roman" w:hAnsi="Times New Roman" w:cs="Times New Roman"/>
          <w:color w:val="000000"/>
          <w:sz w:val="24"/>
          <w:szCs w:val="24"/>
        </w:rPr>
        <w:t xml:space="preserve">Colegio de Postgraduados, </w:t>
      </w:r>
      <w:r w:rsidRPr="00B60E6E">
        <w:rPr>
          <w:rFonts w:ascii="Times New Roman" w:hAnsi="Times New Roman" w:cs="Times New Roman"/>
          <w:color w:val="000000"/>
          <w:sz w:val="24"/>
          <w:szCs w:val="24"/>
        </w:rPr>
        <w:t>Campus Veracruz</w:t>
      </w:r>
      <w:r>
        <w:rPr>
          <w:rFonts w:ascii="Times New Roman" w:hAnsi="Times New Roman" w:cs="Times New Roman"/>
          <w:color w:val="000000"/>
          <w:sz w:val="24"/>
          <w:szCs w:val="24"/>
        </w:rPr>
        <w:t>, México</w:t>
      </w:r>
      <w:r w:rsidRPr="00C737C5">
        <w:rPr>
          <w:rFonts w:ascii="Times New Roman" w:hAnsi="Times New Roman" w:cs="Times New Roman"/>
          <w:color w:val="FF0000"/>
          <w:sz w:val="24"/>
          <w:szCs w:val="24"/>
        </w:rPr>
        <w:t xml:space="preserve"> </w:t>
      </w:r>
    </w:p>
    <w:p w14:paraId="2FC3AC81" w14:textId="55DFCCDF" w:rsidR="00E12FBC" w:rsidRPr="00A46221" w:rsidRDefault="00E12FBC" w:rsidP="00F37E56">
      <w:pPr>
        <w:spacing w:after="0"/>
        <w:jc w:val="right"/>
        <w:rPr>
          <w:rFonts w:ascii="Calibri" w:hAnsi="Calibri" w:cs="Calibri"/>
          <w:color w:val="FF0000"/>
          <w:sz w:val="24"/>
          <w:szCs w:val="24"/>
        </w:rPr>
      </w:pPr>
      <w:r w:rsidRPr="00A46221">
        <w:rPr>
          <w:rFonts w:ascii="Calibri" w:hAnsi="Calibri" w:cs="Calibri"/>
          <w:color w:val="FF0000"/>
          <w:sz w:val="24"/>
          <w:szCs w:val="24"/>
        </w:rPr>
        <w:t>aasiain@colpos.mx</w:t>
      </w:r>
    </w:p>
    <w:p w14:paraId="05C358C3" w14:textId="1C3027C0" w:rsidR="00A46221" w:rsidRPr="00A46221" w:rsidRDefault="00A46221" w:rsidP="00F37E56">
      <w:pPr>
        <w:spacing w:after="0"/>
        <w:jc w:val="right"/>
        <w:rPr>
          <w:rFonts w:ascii="Times New Roman" w:hAnsi="Times New Roman" w:cs="Times New Roman"/>
          <w:color w:val="000000"/>
          <w:sz w:val="24"/>
          <w:szCs w:val="24"/>
        </w:rPr>
      </w:pPr>
      <w:r w:rsidRPr="00A46221">
        <w:rPr>
          <w:rFonts w:ascii="Times New Roman" w:hAnsi="Times New Roman" w:cs="Times New Roman"/>
          <w:color w:val="000000"/>
          <w:sz w:val="24"/>
          <w:szCs w:val="24"/>
        </w:rPr>
        <w:t>https://orcid.org/0000-0001-8520-6734​</w:t>
      </w:r>
    </w:p>
    <w:p w14:paraId="6DD9BC54" w14:textId="6D4984EE" w:rsidR="00E63A3B" w:rsidRPr="00A32304" w:rsidRDefault="00F37E56" w:rsidP="00F37E56">
      <w:pPr>
        <w:spacing w:after="0"/>
        <w:jc w:val="right"/>
        <w:rPr>
          <w:rFonts w:ascii="Calibri" w:eastAsia="Times New Roman" w:hAnsi="Calibri" w:cs="Calibri"/>
          <w:b/>
          <w:color w:val="000000"/>
          <w:sz w:val="24"/>
          <w:szCs w:val="28"/>
          <w:lang w:eastAsia="es-MX"/>
        </w:rPr>
      </w:pPr>
      <w:r>
        <w:rPr>
          <w:rFonts w:ascii="Calibri" w:eastAsia="Times New Roman" w:hAnsi="Calibri" w:cs="Calibri"/>
          <w:b/>
          <w:color w:val="000000"/>
          <w:sz w:val="24"/>
          <w:szCs w:val="28"/>
          <w:lang w:eastAsia="es-MX"/>
        </w:rPr>
        <w:br/>
      </w:r>
      <w:r w:rsidR="006368C2" w:rsidRPr="00A32304">
        <w:rPr>
          <w:rFonts w:ascii="Calibri" w:eastAsia="Times New Roman" w:hAnsi="Calibri" w:cs="Calibri"/>
          <w:b/>
          <w:color w:val="000000"/>
          <w:sz w:val="24"/>
          <w:szCs w:val="28"/>
          <w:lang w:eastAsia="es-MX"/>
        </w:rPr>
        <w:t xml:space="preserve">Yesica </w:t>
      </w:r>
      <w:proofErr w:type="spellStart"/>
      <w:r w:rsidR="006368C2" w:rsidRPr="00A32304">
        <w:rPr>
          <w:rFonts w:ascii="Calibri" w:eastAsia="Times New Roman" w:hAnsi="Calibri" w:cs="Calibri"/>
          <w:b/>
          <w:color w:val="000000"/>
          <w:sz w:val="24"/>
          <w:szCs w:val="28"/>
          <w:lang w:eastAsia="es-MX"/>
        </w:rPr>
        <w:t>Mayett</w:t>
      </w:r>
      <w:proofErr w:type="spellEnd"/>
      <w:r w:rsidR="006368C2" w:rsidRPr="00A32304">
        <w:rPr>
          <w:rFonts w:ascii="Calibri" w:eastAsia="Times New Roman" w:hAnsi="Calibri" w:cs="Calibri"/>
          <w:b/>
          <w:color w:val="000000"/>
          <w:sz w:val="24"/>
          <w:szCs w:val="28"/>
          <w:lang w:eastAsia="es-MX"/>
        </w:rPr>
        <w:t xml:space="preserve"> Moreno</w:t>
      </w:r>
    </w:p>
    <w:p w14:paraId="39DE2419" w14:textId="4FD50245" w:rsidR="00E63A3B" w:rsidRPr="00B60E6E" w:rsidRDefault="004F0732" w:rsidP="00F37E56">
      <w:pPr>
        <w:spacing w:after="0"/>
        <w:jc w:val="right"/>
        <w:rPr>
          <w:rFonts w:ascii="Times New Roman" w:hAnsi="Times New Roman" w:cs="Times New Roman"/>
          <w:color w:val="000000"/>
          <w:sz w:val="24"/>
          <w:szCs w:val="24"/>
        </w:rPr>
      </w:pPr>
      <w:r w:rsidRPr="00B60E6E">
        <w:rPr>
          <w:rFonts w:ascii="Times New Roman" w:hAnsi="Times New Roman" w:cs="Times New Roman"/>
          <w:color w:val="000000"/>
          <w:sz w:val="24"/>
          <w:szCs w:val="24"/>
        </w:rPr>
        <w:t>Universidad Popula</w:t>
      </w:r>
      <w:r w:rsidR="00FF3550">
        <w:rPr>
          <w:rFonts w:ascii="Times New Roman" w:hAnsi="Times New Roman" w:cs="Times New Roman"/>
          <w:color w:val="000000"/>
          <w:sz w:val="24"/>
          <w:szCs w:val="24"/>
        </w:rPr>
        <w:t>r Autónoma del E</w:t>
      </w:r>
      <w:r>
        <w:rPr>
          <w:rFonts w:ascii="Times New Roman" w:hAnsi="Times New Roman" w:cs="Times New Roman"/>
          <w:color w:val="000000"/>
          <w:sz w:val="24"/>
          <w:szCs w:val="24"/>
        </w:rPr>
        <w:t>stado de Puebla, México</w:t>
      </w:r>
    </w:p>
    <w:p w14:paraId="4A95D5B6" w14:textId="669FBEDA" w:rsidR="00E12FBC" w:rsidRDefault="00E12FBC" w:rsidP="00F37E56">
      <w:pPr>
        <w:spacing w:after="0"/>
        <w:jc w:val="right"/>
        <w:rPr>
          <w:rFonts w:ascii="Calibri" w:hAnsi="Calibri" w:cs="Calibri"/>
          <w:color w:val="FF0000"/>
          <w:sz w:val="24"/>
          <w:szCs w:val="24"/>
        </w:rPr>
      </w:pPr>
      <w:r w:rsidRPr="004F0732">
        <w:rPr>
          <w:rFonts w:ascii="Calibri" w:hAnsi="Calibri" w:cs="Calibri"/>
          <w:color w:val="FF0000"/>
          <w:sz w:val="24"/>
          <w:szCs w:val="24"/>
        </w:rPr>
        <w:t>yesica.mayett@upaep.mx</w:t>
      </w:r>
    </w:p>
    <w:p w14:paraId="1969A70F" w14:textId="6906931E" w:rsidR="00FE420D" w:rsidRPr="00FE420D" w:rsidRDefault="00AA1B1E" w:rsidP="00F37E56">
      <w:pPr>
        <w:spacing w:after="0"/>
        <w:jc w:val="right"/>
        <w:rPr>
          <w:rFonts w:ascii="Times New Roman" w:hAnsi="Times New Roman" w:cs="Times New Roman"/>
          <w:color w:val="000000"/>
          <w:sz w:val="24"/>
          <w:szCs w:val="24"/>
        </w:rPr>
      </w:pPr>
      <w:r w:rsidRPr="00AA1B1E">
        <w:rPr>
          <w:rFonts w:ascii="Times New Roman" w:hAnsi="Times New Roman" w:cs="Times New Roman"/>
          <w:color w:val="000000"/>
          <w:sz w:val="24"/>
          <w:szCs w:val="24"/>
        </w:rPr>
        <w:t>https://orcid.org/0000-0002-7585-6060</w:t>
      </w:r>
    </w:p>
    <w:p w14:paraId="52C6A2E5" w14:textId="65FB1B0C" w:rsidR="006368C2" w:rsidRPr="004F0732" w:rsidRDefault="00F37E56" w:rsidP="00F37E56">
      <w:pPr>
        <w:spacing w:after="0"/>
        <w:jc w:val="right"/>
        <w:rPr>
          <w:rFonts w:ascii="Calibri" w:eastAsia="Times New Roman" w:hAnsi="Calibri" w:cs="Calibri"/>
          <w:b/>
          <w:color w:val="000000"/>
          <w:sz w:val="24"/>
          <w:szCs w:val="28"/>
          <w:lang w:val="es-ES_tradnl" w:eastAsia="es-MX"/>
        </w:rPr>
      </w:pPr>
      <w:r>
        <w:rPr>
          <w:rFonts w:ascii="Calibri" w:eastAsia="Times New Roman" w:hAnsi="Calibri" w:cs="Calibri"/>
          <w:b/>
          <w:color w:val="000000"/>
          <w:sz w:val="24"/>
          <w:szCs w:val="28"/>
          <w:lang w:val="es-ES_tradnl" w:eastAsia="es-MX"/>
        </w:rPr>
        <w:br/>
      </w:r>
      <w:r w:rsidR="006368C2" w:rsidRPr="004F0732">
        <w:rPr>
          <w:rFonts w:ascii="Calibri" w:eastAsia="Times New Roman" w:hAnsi="Calibri" w:cs="Calibri"/>
          <w:b/>
          <w:color w:val="000000"/>
          <w:sz w:val="24"/>
          <w:szCs w:val="28"/>
          <w:lang w:val="es-ES_tradnl" w:eastAsia="es-MX"/>
        </w:rPr>
        <w:t>José Luis Martínez Flores</w:t>
      </w:r>
    </w:p>
    <w:p w14:paraId="662001DE" w14:textId="4DE558C5" w:rsidR="00E63A3B" w:rsidRPr="00B60E6E" w:rsidRDefault="004F0732" w:rsidP="00F37E56">
      <w:pPr>
        <w:spacing w:after="0"/>
        <w:jc w:val="right"/>
        <w:rPr>
          <w:rFonts w:ascii="Times New Roman" w:hAnsi="Times New Roman" w:cs="Times New Roman"/>
          <w:color w:val="000000"/>
          <w:sz w:val="24"/>
          <w:szCs w:val="24"/>
        </w:rPr>
      </w:pPr>
      <w:r w:rsidRPr="00B60E6E">
        <w:rPr>
          <w:rFonts w:ascii="Times New Roman" w:hAnsi="Times New Roman" w:cs="Times New Roman"/>
          <w:color w:val="000000"/>
          <w:sz w:val="24"/>
          <w:szCs w:val="24"/>
        </w:rPr>
        <w:t>Universidad Popula</w:t>
      </w:r>
      <w:r w:rsidR="00FF3550">
        <w:rPr>
          <w:rFonts w:ascii="Times New Roman" w:hAnsi="Times New Roman" w:cs="Times New Roman"/>
          <w:color w:val="000000"/>
          <w:sz w:val="24"/>
          <w:szCs w:val="24"/>
        </w:rPr>
        <w:t>r Autónoma del E</w:t>
      </w:r>
      <w:r>
        <w:rPr>
          <w:rFonts w:ascii="Times New Roman" w:hAnsi="Times New Roman" w:cs="Times New Roman"/>
          <w:color w:val="000000"/>
          <w:sz w:val="24"/>
          <w:szCs w:val="24"/>
        </w:rPr>
        <w:t>stado de Puebla, México</w:t>
      </w:r>
    </w:p>
    <w:p w14:paraId="018FE729" w14:textId="33A202C8" w:rsidR="00E12FBC" w:rsidRDefault="00E12FBC" w:rsidP="00F37E56">
      <w:pPr>
        <w:spacing w:after="0"/>
        <w:jc w:val="right"/>
        <w:rPr>
          <w:rFonts w:ascii="Calibri" w:hAnsi="Calibri" w:cs="Calibri"/>
          <w:color w:val="FF0000"/>
          <w:sz w:val="24"/>
          <w:szCs w:val="24"/>
        </w:rPr>
      </w:pPr>
      <w:r w:rsidRPr="004F0732">
        <w:rPr>
          <w:rFonts w:ascii="Calibri" w:hAnsi="Calibri" w:cs="Calibri"/>
          <w:color w:val="FF0000"/>
          <w:sz w:val="24"/>
          <w:szCs w:val="24"/>
        </w:rPr>
        <w:t>joseluis.martinez01@upaep.mx</w:t>
      </w:r>
    </w:p>
    <w:p w14:paraId="69517318" w14:textId="06DF4628" w:rsidR="00D0523A" w:rsidRPr="00D0523A" w:rsidRDefault="00D0523A" w:rsidP="00F37E56">
      <w:pPr>
        <w:spacing w:after="0"/>
        <w:jc w:val="right"/>
        <w:rPr>
          <w:rFonts w:ascii="Times New Roman" w:hAnsi="Times New Roman" w:cs="Times New Roman"/>
          <w:color w:val="000000"/>
          <w:sz w:val="24"/>
          <w:szCs w:val="24"/>
        </w:rPr>
      </w:pPr>
      <w:r>
        <w:rPr>
          <w:rFonts w:ascii="Arial" w:hAnsi="Arial" w:cs="Arial"/>
          <w:color w:val="000000"/>
          <w:sz w:val="19"/>
          <w:szCs w:val="19"/>
          <w:shd w:val="clear" w:color="auto" w:fill="FFFFFF"/>
        </w:rPr>
        <w:t> </w:t>
      </w:r>
      <w:r w:rsidRPr="00D0523A">
        <w:rPr>
          <w:rFonts w:ascii="Times New Roman" w:hAnsi="Times New Roman" w:cs="Times New Roman"/>
          <w:sz w:val="24"/>
          <w:szCs w:val="24"/>
        </w:rPr>
        <w:t>https://orcid.org/0000-0003-2986-469X </w:t>
      </w:r>
    </w:p>
    <w:p w14:paraId="69DA6FC6" w14:textId="77777777" w:rsidR="004F0732" w:rsidRDefault="004F0732" w:rsidP="005508B0">
      <w:pPr>
        <w:pStyle w:val="Ttulo1"/>
      </w:pPr>
    </w:p>
    <w:p w14:paraId="56C09FF9" w14:textId="1D281E80" w:rsidR="0022755B" w:rsidRPr="00C737C5" w:rsidRDefault="00723C45" w:rsidP="005508B0">
      <w:pPr>
        <w:pStyle w:val="Ttulo1"/>
        <w:rPr>
          <w:rFonts w:ascii="Calibri" w:eastAsia="Times New Roman" w:hAnsi="Calibri" w:cs="Calibri"/>
          <w:color w:val="000000"/>
          <w:sz w:val="28"/>
          <w:szCs w:val="28"/>
          <w:lang w:eastAsia="es-MX"/>
        </w:rPr>
      </w:pPr>
      <w:r w:rsidRPr="00C737C5">
        <w:rPr>
          <w:rFonts w:ascii="Calibri" w:eastAsia="Times New Roman" w:hAnsi="Calibri" w:cs="Calibri"/>
          <w:color w:val="000000"/>
          <w:sz w:val="28"/>
          <w:szCs w:val="28"/>
          <w:lang w:eastAsia="es-MX"/>
        </w:rPr>
        <w:lastRenderedPageBreak/>
        <w:t>Resumen</w:t>
      </w:r>
    </w:p>
    <w:p w14:paraId="381017EE" w14:textId="2A10CDF2" w:rsidR="00C136F7" w:rsidRPr="00B60E6E" w:rsidRDefault="00C8076F" w:rsidP="001C3621">
      <w:pPr>
        <w:pStyle w:val="NormalWeb"/>
        <w:spacing w:line="360" w:lineRule="auto"/>
        <w:jc w:val="both"/>
      </w:pPr>
      <w:r w:rsidRPr="00B60E6E">
        <w:t>Esta investigación tuvo</w:t>
      </w:r>
      <w:r w:rsidR="005124F1" w:rsidRPr="00B60E6E">
        <w:t xml:space="preserve"> como objetivo desarrollar un análisis competitivo de la actividad productiva de la malanga</w:t>
      </w:r>
      <w:r w:rsidR="00140693" w:rsidRPr="00B60E6E">
        <w:t xml:space="preserve"> o </w:t>
      </w:r>
      <w:r w:rsidR="00BF01A0" w:rsidRPr="00B60E6E">
        <w:rPr>
          <w:i/>
        </w:rPr>
        <w:t>C</w:t>
      </w:r>
      <w:r w:rsidR="00140693" w:rsidRPr="00B60E6E">
        <w:rPr>
          <w:i/>
        </w:rPr>
        <w:t xml:space="preserve">olocasia </w:t>
      </w:r>
      <w:proofErr w:type="spellStart"/>
      <w:r w:rsidR="00140693" w:rsidRPr="00B60E6E">
        <w:rPr>
          <w:i/>
        </w:rPr>
        <w:t>esculenta</w:t>
      </w:r>
      <w:proofErr w:type="spellEnd"/>
      <w:r w:rsidR="00EB401F">
        <w:t xml:space="preserve">, </w:t>
      </w:r>
      <w:r w:rsidR="005124F1" w:rsidRPr="00B60E6E">
        <w:t xml:space="preserve">a través de la teoría de </w:t>
      </w:r>
      <w:r w:rsidR="00746722" w:rsidRPr="00B60E6E">
        <w:t xml:space="preserve">Michael </w:t>
      </w:r>
      <w:r w:rsidR="005124F1" w:rsidRPr="00B60E6E">
        <w:t>Porter</w:t>
      </w:r>
      <w:r w:rsidR="00EB401F">
        <w:t>,</w:t>
      </w:r>
      <w:r w:rsidR="005124F1" w:rsidRPr="00B60E6E">
        <w:t xml:space="preserve"> para conocer su situación estratégica y competitiva desde </w:t>
      </w:r>
      <w:r w:rsidR="00EB401F">
        <w:t>la</w:t>
      </w:r>
      <w:r w:rsidR="005124F1" w:rsidRPr="00B60E6E">
        <w:t xml:space="preserve"> pers</w:t>
      </w:r>
      <w:r w:rsidR="00B208AA">
        <w:t xml:space="preserve">pectiva del agricultor mexicano debido a </w:t>
      </w:r>
      <w:r w:rsidR="00B80011" w:rsidRPr="00B60E6E">
        <w:t>que</w:t>
      </w:r>
      <w:r w:rsidR="005124F1" w:rsidRPr="00B60E6E">
        <w:t xml:space="preserve"> </w:t>
      </w:r>
      <w:r w:rsidR="00BE5C3D" w:rsidRPr="00B60E6E">
        <w:t>en la</w:t>
      </w:r>
      <w:r w:rsidR="00B80011" w:rsidRPr="00B60E6E">
        <w:t xml:space="preserve"> revisión literaria </w:t>
      </w:r>
      <w:r w:rsidR="005124F1" w:rsidRPr="00B60E6E">
        <w:t xml:space="preserve">no se encontró </w:t>
      </w:r>
      <w:r w:rsidR="00B208AA">
        <w:t>ningún</w:t>
      </w:r>
      <w:r w:rsidR="005124F1" w:rsidRPr="00B60E6E">
        <w:t xml:space="preserve"> análisis </w:t>
      </w:r>
      <w:r w:rsidR="00CE3AB1" w:rsidRPr="00B60E6E">
        <w:t xml:space="preserve">similar </w:t>
      </w:r>
      <w:r w:rsidR="005124F1" w:rsidRPr="00B60E6E">
        <w:t>en esta actividad productiva. La metodología r</w:t>
      </w:r>
      <w:r w:rsidR="00B208AA">
        <w:t>adicó</w:t>
      </w:r>
      <w:r w:rsidR="00C136F7" w:rsidRPr="00B60E6E">
        <w:t xml:space="preserve"> en un estudio cualitativo con alcance exploratorio. La manera como </w:t>
      </w:r>
      <w:r w:rsidR="00E00DA1" w:rsidRPr="00B60E6E">
        <w:t>se diseñó</w:t>
      </w:r>
      <w:r w:rsidR="00C136F7" w:rsidRPr="00B60E6E">
        <w:t xml:space="preserve"> est</w:t>
      </w:r>
      <w:r w:rsidR="00EB401F">
        <w:t>a indagación</w:t>
      </w:r>
      <w:r w:rsidR="00C136F7" w:rsidRPr="00B60E6E">
        <w:t xml:space="preserve"> se resume en cuatro pasos metodológicos con un enfoque basado en la teoría de Porter. El primer paso </w:t>
      </w:r>
      <w:r w:rsidR="00E00DA1" w:rsidRPr="00B60E6E">
        <w:t>consistió</w:t>
      </w:r>
      <w:r w:rsidR="00C136F7" w:rsidRPr="00B60E6E">
        <w:t xml:space="preserve"> en la recolección de información pro</w:t>
      </w:r>
      <w:r w:rsidR="00EB401F">
        <w:t>veniente de fuentes secundarias, especialmente</w:t>
      </w:r>
      <w:r w:rsidR="008617E0" w:rsidRPr="00B60E6E">
        <w:t xml:space="preserve"> de un proyecto de investigación realizado en Veracruz, Tabas</w:t>
      </w:r>
      <w:r w:rsidR="00B208AA">
        <w:t xml:space="preserve">co y Oaxaca </w:t>
      </w:r>
      <w:r w:rsidR="00EB401F">
        <w:t>en</w:t>
      </w:r>
      <w:r w:rsidR="00B208AA">
        <w:t xml:space="preserve"> 2016.</w:t>
      </w:r>
      <w:r w:rsidR="002E34C5">
        <w:t xml:space="preserve"> </w:t>
      </w:r>
      <w:r w:rsidR="00B208AA">
        <w:t xml:space="preserve">Asimismo, se </w:t>
      </w:r>
      <w:r w:rsidR="00EB401F">
        <w:t>empleó</w:t>
      </w:r>
      <w:r w:rsidR="008617E0" w:rsidRPr="00B60E6E">
        <w:t xml:space="preserve"> información estadística</w:t>
      </w:r>
      <w:r w:rsidR="00EB401F">
        <w:t xml:space="preserve"> </w:t>
      </w:r>
      <w:r w:rsidR="008617E0" w:rsidRPr="00B60E6E">
        <w:t>de diversas bases de datos</w:t>
      </w:r>
      <w:r w:rsidR="00EB401F">
        <w:t xml:space="preserve"> (</w:t>
      </w:r>
      <w:r w:rsidR="008617E0" w:rsidRPr="00B60E6E">
        <w:t>como</w:t>
      </w:r>
      <w:r w:rsidR="00EB401F">
        <w:t xml:space="preserve"> SIAP, USDA y STATCAN), a la cual</w:t>
      </w:r>
      <w:r w:rsidR="00C136F7" w:rsidRPr="00B60E6E">
        <w:t xml:space="preserve"> se le </w:t>
      </w:r>
      <w:r w:rsidR="00B208AA">
        <w:t>dio</w:t>
      </w:r>
      <w:r w:rsidR="00C136F7" w:rsidRPr="00B60E6E">
        <w:t xml:space="preserve"> un tratamie</w:t>
      </w:r>
      <w:r w:rsidR="00B208AA">
        <w:t>nto y clasificación de acuerdo con</w:t>
      </w:r>
      <w:r w:rsidR="00C136F7" w:rsidRPr="00B60E6E">
        <w:t xml:space="preserve"> las cinco fuerzas competitivas</w:t>
      </w:r>
      <w:r w:rsidR="00D04819" w:rsidRPr="00B60E6E">
        <w:t xml:space="preserve"> (segundo paso)</w:t>
      </w:r>
      <w:r w:rsidR="00C136F7" w:rsidRPr="00B60E6E">
        <w:t xml:space="preserve">, diamante </w:t>
      </w:r>
      <w:r w:rsidR="00D04819" w:rsidRPr="00B60E6E">
        <w:t xml:space="preserve">(tercer paso) </w:t>
      </w:r>
      <w:r w:rsidR="00C136F7" w:rsidRPr="00B60E6E">
        <w:t>y posicionamiento de Porter</w:t>
      </w:r>
      <w:r w:rsidR="00D04819" w:rsidRPr="00B60E6E">
        <w:t xml:space="preserve"> (cuarto paso)</w:t>
      </w:r>
      <w:r w:rsidR="00C136F7" w:rsidRPr="00B60E6E">
        <w:t xml:space="preserve">. </w:t>
      </w:r>
      <w:bookmarkStart w:id="0" w:name="_Hlk510960625"/>
      <w:r w:rsidR="00C136F7" w:rsidRPr="00B60E6E">
        <w:t>E</w:t>
      </w:r>
      <w:r w:rsidR="00D04819" w:rsidRPr="00B60E6E">
        <w:t>l</w:t>
      </w:r>
      <w:r w:rsidR="00C136F7" w:rsidRPr="00B60E6E">
        <w:t xml:space="preserve"> análisis competitivo basado en la </w:t>
      </w:r>
      <w:r w:rsidR="00B208AA" w:rsidRPr="00B60E6E">
        <w:t xml:space="preserve">mencionada </w:t>
      </w:r>
      <w:r w:rsidR="00C136F7" w:rsidRPr="00B60E6E">
        <w:t xml:space="preserve">teoría </w:t>
      </w:r>
      <w:r w:rsidR="00526225" w:rsidRPr="00B60E6E">
        <w:t>fue</w:t>
      </w:r>
      <w:r w:rsidR="00E00DA1" w:rsidRPr="00B60E6E">
        <w:t xml:space="preserve"> </w:t>
      </w:r>
      <w:r w:rsidR="00EB401F">
        <w:t>desarrollado</w:t>
      </w:r>
      <w:r w:rsidR="00C136F7" w:rsidRPr="00B60E6E">
        <w:t xml:space="preserve"> por un equipo multidisciplinario </w:t>
      </w:r>
      <w:r w:rsidR="00CC0293" w:rsidRPr="00B60E6E">
        <w:t xml:space="preserve">de investigadores </w:t>
      </w:r>
      <w:r w:rsidR="00C136F7" w:rsidRPr="00B60E6E">
        <w:t xml:space="preserve">para enriquecer y retroalimentar </w:t>
      </w:r>
      <w:r w:rsidR="00D04819" w:rsidRPr="00B60E6E">
        <w:t>el estudio</w:t>
      </w:r>
      <w:bookmarkEnd w:id="0"/>
      <w:r w:rsidR="00EB401F">
        <w:t xml:space="preserve">, de modo que se pudieran </w:t>
      </w:r>
      <w:r w:rsidR="00B208AA">
        <w:t xml:space="preserve">obtener </w:t>
      </w:r>
      <w:r w:rsidR="00D04819" w:rsidRPr="00B60E6E">
        <w:t>resultados específicos de la ac</w:t>
      </w:r>
      <w:r w:rsidR="00352D3D" w:rsidRPr="00B60E6E">
        <w:t>tividad productiva</w:t>
      </w:r>
      <w:r w:rsidR="001467CD" w:rsidRPr="00B60E6E">
        <w:t>.</w:t>
      </w:r>
      <w:r w:rsidR="00352D3D" w:rsidRPr="00B60E6E">
        <w:t xml:space="preserve"> </w:t>
      </w:r>
      <w:r w:rsidR="005E0B64" w:rsidRPr="00B60E6E">
        <w:t xml:space="preserve">En las cinco fuerzas competitivas se </w:t>
      </w:r>
      <w:r w:rsidR="00B208AA">
        <w:t>encontró</w:t>
      </w:r>
      <w:r w:rsidR="005E0B64" w:rsidRPr="00B60E6E">
        <w:t xml:space="preserve"> que la malanga mexicana se cultiva para ser exportada casi en su totalidad a Canadá y</w:t>
      </w:r>
      <w:r w:rsidR="001865D0" w:rsidRPr="00B60E6E">
        <w:t xml:space="preserve"> a</w:t>
      </w:r>
      <w:r w:rsidR="00EB401F">
        <w:t xml:space="preserve"> Estados Unidos</w:t>
      </w:r>
      <w:r w:rsidR="005E0B64" w:rsidRPr="00B60E6E">
        <w:t xml:space="preserve">, por lo que sus principales competidores son productores y exportadores de otros países. La amenaza de nuevos participantes </w:t>
      </w:r>
      <w:r w:rsidR="00B208AA">
        <w:t>y el poder de los compradores son</w:t>
      </w:r>
      <w:r w:rsidR="005E0B64" w:rsidRPr="00B60E6E">
        <w:t xml:space="preserve"> </w:t>
      </w:r>
      <w:r w:rsidR="00B208AA">
        <w:t>elevados</w:t>
      </w:r>
      <w:r w:rsidR="005E0B64" w:rsidRPr="00B60E6E">
        <w:t xml:space="preserve">, </w:t>
      </w:r>
      <w:r w:rsidR="00B208AA">
        <w:t xml:space="preserve">por lo que existe </w:t>
      </w:r>
      <w:r w:rsidR="005E0B64" w:rsidRPr="00B60E6E">
        <w:t xml:space="preserve">la posibilidad </w:t>
      </w:r>
      <w:r w:rsidR="00B208AA">
        <w:t xml:space="preserve">de </w:t>
      </w:r>
      <w:r w:rsidR="005E0B64" w:rsidRPr="00B60E6E">
        <w:t xml:space="preserve">que la malanga mexicana sea sustituida por </w:t>
      </w:r>
      <w:r w:rsidR="00EB401F">
        <w:t>la</w:t>
      </w:r>
      <w:r w:rsidR="00B208AA">
        <w:t xml:space="preserve"> de </w:t>
      </w:r>
      <w:r w:rsidR="005E0B64" w:rsidRPr="00B60E6E">
        <w:t>otro</w:t>
      </w:r>
      <w:r w:rsidR="00B208AA">
        <w:t>s</w:t>
      </w:r>
      <w:r w:rsidR="005E0B64" w:rsidRPr="00B60E6E">
        <w:t xml:space="preserve"> país</w:t>
      </w:r>
      <w:r w:rsidR="00B208AA">
        <w:t>es</w:t>
      </w:r>
      <w:r w:rsidR="005E0B64" w:rsidRPr="00B60E6E">
        <w:t xml:space="preserve">, especialmente cuando la competencia se basa en precios bajos. </w:t>
      </w:r>
      <w:r w:rsidR="007D43F6" w:rsidRPr="00B60E6E">
        <w:t>Por esa razón</w:t>
      </w:r>
      <w:r w:rsidR="00B208AA">
        <w:t>,</w:t>
      </w:r>
      <w:r w:rsidR="007D43F6" w:rsidRPr="00B60E6E">
        <w:t xml:space="preserve"> </w:t>
      </w:r>
      <w:r w:rsidR="001865D0" w:rsidRPr="00B60E6E">
        <w:t>la rivalidad entre los competidores existentes es alta.</w:t>
      </w:r>
      <w:r w:rsidR="00352D3D" w:rsidRPr="00B60E6E">
        <w:t xml:space="preserve"> L</w:t>
      </w:r>
      <w:r w:rsidR="00B208AA">
        <w:t>os determinantes del d</w:t>
      </w:r>
      <w:r w:rsidR="0064259A" w:rsidRPr="00B60E6E">
        <w:t>iamante de Porter muestran que existen oportunidades y retos tanto en el mercado nacional como en el extranjero, pero ba</w:t>
      </w:r>
      <w:r w:rsidR="00B208AA">
        <w:t>jo condiciones de incertidumbre</w:t>
      </w:r>
      <w:r w:rsidR="00387A33" w:rsidRPr="00B60E6E">
        <w:t xml:space="preserve"> </w:t>
      </w:r>
      <w:r w:rsidR="00B208AA">
        <w:t>d</w:t>
      </w:r>
      <w:r w:rsidR="00724D39" w:rsidRPr="00B60E6E">
        <w:t>ebido</w:t>
      </w:r>
      <w:r w:rsidR="00B208AA">
        <w:t>,</w:t>
      </w:r>
      <w:r w:rsidR="00724D39" w:rsidRPr="00B60E6E">
        <w:t xml:space="preserve"> principalmente</w:t>
      </w:r>
      <w:r w:rsidR="00B208AA">
        <w:t>,</w:t>
      </w:r>
      <w:r w:rsidR="00724D39" w:rsidRPr="00B60E6E">
        <w:t xml:space="preserve"> a que </w:t>
      </w:r>
      <w:r w:rsidR="00E95346" w:rsidRPr="00B60E6E">
        <w:t>será</w:t>
      </w:r>
      <w:r w:rsidR="00724D39" w:rsidRPr="00B60E6E">
        <w:t xml:space="preserve"> modificado el Tratado de Libr</w:t>
      </w:r>
      <w:r w:rsidR="00EB401F">
        <w:t>e Comercio de América del Norte</w:t>
      </w:r>
      <w:r w:rsidR="00724D39" w:rsidRPr="00B60E6E">
        <w:t>, lo cual afectaría al sector agrícola en general. Para finalizar se señala un posicionamiento circunstancial no definido.</w:t>
      </w:r>
      <w:r w:rsidR="00352D3D" w:rsidRPr="00B60E6E">
        <w:t xml:space="preserve"> </w:t>
      </w:r>
      <w:r w:rsidR="005124F1" w:rsidRPr="00B60E6E">
        <w:t xml:space="preserve">Las conclusiones indican que esta actividad productiva tiene un potencial para contribuir a la economía y </w:t>
      </w:r>
      <w:r w:rsidR="00B208AA">
        <w:t xml:space="preserve">a la </w:t>
      </w:r>
      <w:r w:rsidR="005124F1" w:rsidRPr="00B60E6E">
        <w:t>creación de empleos. Actualmente</w:t>
      </w:r>
      <w:r w:rsidR="00B208AA">
        <w:t>,</w:t>
      </w:r>
      <w:r w:rsidR="005124F1" w:rsidRPr="00B60E6E">
        <w:t xml:space="preserve"> no se posee una estrategia genérica establecida, pero involuntariamente esta actividad compite con precios bajos sin ninguna diferenciación. La situación competitiva se percibe vulnerable </w:t>
      </w:r>
      <w:r w:rsidR="0000581A" w:rsidRPr="00B60E6E">
        <w:t xml:space="preserve">de acuerdo </w:t>
      </w:r>
      <w:r w:rsidR="00B208AA">
        <w:t>con el</w:t>
      </w:r>
      <w:r w:rsidR="005124F1" w:rsidRPr="00B60E6E">
        <w:t xml:space="preserve"> análisis realizado</w:t>
      </w:r>
      <w:r w:rsidR="0000581A" w:rsidRPr="00B60E6E">
        <w:t>,</w:t>
      </w:r>
      <w:r w:rsidR="00CE3AB1" w:rsidRPr="00B60E6E">
        <w:t xml:space="preserve"> p</w:t>
      </w:r>
      <w:r w:rsidR="005124F1" w:rsidRPr="00B60E6E">
        <w:t xml:space="preserve">or lo que es vital que se logre cooperación, </w:t>
      </w:r>
      <w:r w:rsidR="005124F1" w:rsidRPr="00B60E6E">
        <w:lastRenderedPageBreak/>
        <w:t xml:space="preserve">formalización y vinculación entre los actores tanto </w:t>
      </w:r>
      <w:r w:rsidR="00B208AA">
        <w:t xml:space="preserve">de forma </w:t>
      </w:r>
      <w:r w:rsidR="005124F1" w:rsidRPr="00B60E6E">
        <w:t xml:space="preserve">horizontal como </w:t>
      </w:r>
      <w:r w:rsidR="00B208AA">
        <w:t>de manera vertical, para lo cual se requiere la participación d</w:t>
      </w:r>
      <w:r w:rsidR="005124F1" w:rsidRPr="00B60E6E">
        <w:t xml:space="preserve">el gobierno, </w:t>
      </w:r>
      <w:r w:rsidR="00B208AA">
        <w:t xml:space="preserve">las </w:t>
      </w:r>
      <w:r w:rsidR="005124F1" w:rsidRPr="00B60E6E">
        <w:t xml:space="preserve">instituciones académicas y de </w:t>
      </w:r>
      <w:r w:rsidR="0000581A" w:rsidRPr="00B60E6E">
        <w:t>investigación,</w:t>
      </w:r>
      <w:r w:rsidR="005124F1" w:rsidRPr="00B60E6E">
        <w:t xml:space="preserve"> así como otras organizaciones que se encuentran en la región para poder competir globalmente.</w:t>
      </w:r>
    </w:p>
    <w:p w14:paraId="75751395" w14:textId="2166BA9E" w:rsidR="00391714" w:rsidRPr="00B60E6E" w:rsidRDefault="00B208AA" w:rsidP="005124F1">
      <w:pPr>
        <w:spacing w:after="0" w:line="360" w:lineRule="auto"/>
        <w:jc w:val="both"/>
        <w:rPr>
          <w:rFonts w:ascii="Times New Roman" w:hAnsi="Times New Roman" w:cs="Times New Roman"/>
          <w:sz w:val="24"/>
          <w:szCs w:val="24"/>
        </w:rPr>
      </w:pPr>
      <w:r w:rsidRPr="000346A1">
        <w:rPr>
          <w:rFonts w:ascii="Calibri" w:eastAsia="Times New Roman" w:hAnsi="Calibri" w:cs="Calibri"/>
          <w:b/>
          <w:color w:val="000000"/>
          <w:sz w:val="28"/>
          <w:szCs w:val="28"/>
          <w:lang w:eastAsia="es-MX"/>
        </w:rPr>
        <w:t>Palabras c</w:t>
      </w:r>
      <w:r w:rsidR="005124F1" w:rsidRPr="000346A1">
        <w:rPr>
          <w:rFonts w:ascii="Calibri" w:eastAsia="Times New Roman" w:hAnsi="Calibri" w:cs="Calibri"/>
          <w:b/>
          <w:color w:val="000000"/>
          <w:sz w:val="28"/>
          <w:szCs w:val="28"/>
          <w:lang w:eastAsia="es-MX"/>
        </w:rPr>
        <w:t>lave:</w:t>
      </w:r>
      <w:r w:rsidR="00CE3AB1" w:rsidRPr="00657B15">
        <w:rPr>
          <w:rFonts w:ascii="Times New Roman" w:hAnsi="Times New Roman" w:cs="Times New Roman"/>
          <w:b/>
          <w:sz w:val="24"/>
          <w:szCs w:val="24"/>
        </w:rPr>
        <w:t xml:space="preserve"> </w:t>
      </w:r>
      <w:r>
        <w:rPr>
          <w:rFonts w:ascii="Times New Roman" w:hAnsi="Times New Roman" w:cs="Times New Roman"/>
          <w:sz w:val="24"/>
          <w:szCs w:val="24"/>
        </w:rPr>
        <w:t>e</w:t>
      </w:r>
      <w:r w:rsidR="005124F1" w:rsidRPr="00B60E6E">
        <w:rPr>
          <w:rFonts w:ascii="Times New Roman" w:hAnsi="Times New Roman" w:cs="Times New Roman"/>
          <w:sz w:val="24"/>
          <w:szCs w:val="24"/>
        </w:rPr>
        <w:t xml:space="preserve">strategias, </w:t>
      </w:r>
      <w:r w:rsidR="00CE3AB1" w:rsidRPr="00B60E6E">
        <w:rPr>
          <w:rFonts w:ascii="Times New Roman" w:hAnsi="Times New Roman" w:cs="Times New Roman"/>
          <w:sz w:val="24"/>
          <w:szCs w:val="24"/>
        </w:rPr>
        <w:t xml:space="preserve">productores, </w:t>
      </w:r>
      <w:r w:rsidRPr="00B60E6E">
        <w:rPr>
          <w:rFonts w:ascii="Times New Roman" w:hAnsi="Times New Roman" w:cs="Times New Roman"/>
          <w:sz w:val="24"/>
          <w:szCs w:val="24"/>
        </w:rPr>
        <w:t>sector agroalimentario</w:t>
      </w:r>
      <w:r>
        <w:rPr>
          <w:rFonts w:ascii="Times New Roman" w:hAnsi="Times New Roman" w:cs="Times New Roman"/>
          <w:sz w:val="24"/>
          <w:szCs w:val="24"/>
        </w:rPr>
        <w:t>,</w:t>
      </w:r>
      <w:r w:rsidRPr="00B60E6E">
        <w:rPr>
          <w:rFonts w:ascii="Times New Roman" w:hAnsi="Times New Roman" w:cs="Times New Roman"/>
          <w:sz w:val="24"/>
          <w:szCs w:val="24"/>
        </w:rPr>
        <w:t xml:space="preserve"> </w:t>
      </w:r>
      <w:r>
        <w:rPr>
          <w:rFonts w:ascii="Times New Roman" w:hAnsi="Times New Roman" w:cs="Times New Roman"/>
          <w:sz w:val="24"/>
          <w:szCs w:val="24"/>
        </w:rPr>
        <w:t>taro</w:t>
      </w:r>
      <w:r w:rsidR="00DD366D" w:rsidRPr="00B60E6E">
        <w:rPr>
          <w:rFonts w:ascii="Times New Roman" w:hAnsi="Times New Roman" w:cs="Times New Roman"/>
          <w:sz w:val="24"/>
          <w:szCs w:val="24"/>
        </w:rPr>
        <w:t>.</w:t>
      </w:r>
    </w:p>
    <w:p w14:paraId="3A7EEB6D" w14:textId="77777777" w:rsidR="00352D3D" w:rsidRPr="00B60E6E" w:rsidRDefault="00352D3D" w:rsidP="005124F1">
      <w:pPr>
        <w:spacing w:after="0" w:line="360" w:lineRule="auto"/>
        <w:jc w:val="both"/>
        <w:rPr>
          <w:rFonts w:ascii="Times New Roman" w:hAnsi="Times New Roman" w:cs="Times New Roman"/>
          <w:sz w:val="24"/>
          <w:szCs w:val="24"/>
        </w:rPr>
      </w:pPr>
    </w:p>
    <w:p w14:paraId="4FA0F615" w14:textId="59194015" w:rsidR="00391714" w:rsidRPr="004F0732" w:rsidRDefault="007C181E" w:rsidP="005508B0">
      <w:pPr>
        <w:pStyle w:val="Ttulo1"/>
        <w:rPr>
          <w:rFonts w:ascii="Calibri" w:eastAsia="Times New Roman" w:hAnsi="Calibri" w:cs="Calibri"/>
          <w:color w:val="000000"/>
          <w:sz w:val="28"/>
          <w:szCs w:val="28"/>
          <w:lang w:val="en-US" w:eastAsia="es-MX"/>
        </w:rPr>
      </w:pPr>
      <w:r w:rsidRPr="004F0732">
        <w:rPr>
          <w:rFonts w:ascii="Calibri" w:eastAsia="Times New Roman" w:hAnsi="Calibri" w:cs="Calibri"/>
          <w:color w:val="000000"/>
          <w:sz w:val="28"/>
          <w:szCs w:val="28"/>
          <w:lang w:val="en-US" w:eastAsia="es-MX"/>
        </w:rPr>
        <w:t>Abstract</w:t>
      </w:r>
    </w:p>
    <w:p w14:paraId="319B9642" w14:textId="787D6015" w:rsidR="00013C02" w:rsidRPr="00B60E6E" w:rsidRDefault="000A1381" w:rsidP="00246DE2">
      <w:pPr>
        <w:spacing w:before="100" w:beforeAutospacing="1" w:after="100" w:afterAutospacing="1" w:line="360" w:lineRule="auto"/>
        <w:jc w:val="both"/>
        <w:rPr>
          <w:rFonts w:ascii="Times New Roman" w:eastAsia="Times New Roman" w:hAnsi="Times New Roman" w:cs="Times New Roman"/>
          <w:sz w:val="24"/>
          <w:szCs w:val="24"/>
          <w:lang w:val="en-US" w:eastAsia="es-MX"/>
        </w:rPr>
      </w:pPr>
      <w:r w:rsidRPr="00B60E6E">
        <w:rPr>
          <w:rFonts w:ascii="Times New Roman" w:eastAsia="Times New Roman" w:hAnsi="Times New Roman" w:cs="Times New Roman"/>
          <w:sz w:val="24"/>
          <w:szCs w:val="24"/>
          <w:lang w:val="en-US" w:eastAsia="es-MX"/>
        </w:rPr>
        <w:t>This research aimed</w:t>
      </w:r>
      <w:r w:rsidR="00391714" w:rsidRPr="00B60E6E">
        <w:rPr>
          <w:rFonts w:ascii="Times New Roman" w:eastAsia="Times New Roman" w:hAnsi="Times New Roman" w:cs="Times New Roman"/>
          <w:sz w:val="24"/>
          <w:szCs w:val="24"/>
          <w:lang w:val="en-US" w:eastAsia="es-MX"/>
        </w:rPr>
        <w:t xml:space="preserve"> to develop a competitive analysis of the productive activity of </w:t>
      </w:r>
      <w:r w:rsidR="00C66047" w:rsidRPr="00E86EB8">
        <w:rPr>
          <w:rFonts w:ascii="Times New Roman" w:eastAsia="Times New Roman" w:hAnsi="Times New Roman" w:cs="Times New Roman"/>
          <w:sz w:val="24"/>
          <w:szCs w:val="24"/>
          <w:lang w:val="en-US" w:eastAsia="es-MX"/>
        </w:rPr>
        <w:t>taro</w:t>
      </w:r>
      <w:r w:rsidR="00391714" w:rsidRPr="00B60E6E">
        <w:rPr>
          <w:rFonts w:ascii="Times New Roman" w:eastAsia="Times New Roman" w:hAnsi="Times New Roman" w:cs="Times New Roman"/>
          <w:sz w:val="24"/>
          <w:szCs w:val="24"/>
          <w:lang w:val="en-US" w:eastAsia="es-MX"/>
        </w:rPr>
        <w:t xml:space="preserve"> </w:t>
      </w:r>
      <w:r w:rsidR="00F83131" w:rsidRPr="00B60E6E">
        <w:rPr>
          <w:rFonts w:ascii="Times New Roman" w:eastAsia="Times New Roman" w:hAnsi="Times New Roman" w:cs="Times New Roman"/>
          <w:sz w:val="24"/>
          <w:szCs w:val="24"/>
          <w:lang w:val="en-US" w:eastAsia="es-MX"/>
        </w:rPr>
        <w:t xml:space="preserve">or </w:t>
      </w:r>
      <w:proofErr w:type="spellStart"/>
      <w:r w:rsidR="008A6E02" w:rsidRPr="00B60E6E">
        <w:rPr>
          <w:rFonts w:ascii="Times New Roman" w:eastAsia="Times New Roman" w:hAnsi="Times New Roman" w:cs="Times New Roman"/>
          <w:i/>
          <w:sz w:val="24"/>
          <w:szCs w:val="24"/>
          <w:lang w:val="en-US" w:eastAsia="es-MX"/>
        </w:rPr>
        <w:t>C</w:t>
      </w:r>
      <w:r w:rsidR="00140693" w:rsidRPr="00B60E6E">
        <w:rPr>
          <w:rFonts w:ascii="Times New Roman" w:eastAsia="Times New Roman" w:hAnsi="Times New Roman" w:cs="Times New Roman"/>
          <w:i/>
          <w:sz w:val="24"/>
          <w:szCs w:val="24"/>
          <w:lang w:val="en-US" w:eastAsia="es-MX"/>
        </w:rPr>
        <w:t>olocasia</w:t>
      </w:r>
      <w:proofErr w:type="spellEnd"/>
      <w:r w:rsidR="00140693" w:rsidRPr="00B60E6E">
        <w:rPr>
          <w:rFonts w:ascii="Times New Roman" w:eastAsia="Times New Roman" w:hAnsi="Times New Roman" w:cs="Times New Roman"/>
          <w:i/>
          <w:sz w:val="24"/>
          <w:szCs w:val="24"/>
          <w:lang w:val="en-US" w:eastAsia="es-MX"/>
        </w:rPr>
        <w:t xml:space="preserve"> esculenta</w:t>
      </w:r>
      <w:r w:rsidR="00140693" w:rsidRPr="00B60E6E">
        <w:rPr>
          <w:rFonts w:ascii="Times New Roman" w:eastAsia="Times New Roman" w:hAnsi="Times New Roman" w:cs="Times New Roman"/>
          <w:sz w:val="24"/>
          <w:szCs w:val="24"/>
          <w:lang w:val="en-US" w:eastAsia="es-MX"/>
        </w:rPr>
        <w:t xml:space="preserve"> </w:t>
      </w:r>
      <w:r w:rsidR="00F83131" w:rsidRPr="00B60E6E">
        <w:rPr>
          <w:rFonts w:ascii="Times New Roman" w:eastAsia="Times New Roman" w:hAnsi="Times New Roman" w:cs="Times New Roman"/>
          <w:sz w:val="24"/>
          <w:szCs w:val="24"/>
          <w:lang w:val="en-US" w:eastAsia="es-MX"/>
        </w:rPr>
        <w:t xml:space="preserve">through </w:t>
      </w:r>
      <w:r w:rsidR="00746722" w:rsidRPr="00B60E6E">
        <w:rPr>
          <w:rFonts w:ascii="Times New Roman" w:eastAsia="Times New Roman" w:hAnsi="Times New Roman" w:cs="Times New Roman"/>
          <w:sz w:val="24"/>
          <w:szCs w:val="24"/>
          <w:lang w:val="en-US" w:eastAsia="es-MX"/>
        </w:rPr>
        <w:t xml:space="preserve">Michael </w:t>
      </w:r>
      <w:r w:rsidR="00F83131" w:rsidRPr="00B60E6E">
        <w:rPr>
          <w:rFonts w:ascii="Times New Roman" w:eastAsia="Times New Roman" w:hAnsi="Times New Roman" w:cs="Times New Roman"/>
          <w:sz w:val="24"/>
          <w:szCs w:val="24"/>
          <w:lang w:val="en-US" w:eastAsia="es-MX"/>
        </w:rPr>
        <w:t>Porter</w:t>
      </w:r>
      <w:r w:rsidR="00391714" w:rsidRPr="00B60E6E">
        <w:rPr>
          <w:rFonts w:ascii="Times New Roman" w:eastAsia="Times New Roman" w:hAnsi="Times New Roman" w:cs="Times New Roman"/>
          <w:sz w:val="24"/>
          <w:szCs w:val="24"/>
          <w:lang w:val="en-US" w:eastAsia="es-MX"/>
        </w:rPr>
        <w:t>'s theory to know its strategic and competitive s</w:t>
      </w:r>
      <w:r w:rsidR="00F83131" w:rsidRPr="00B60E6E">
        <w:rPr>
          <w:rFonts w:ascii="Times New Roman" w:eastAsia="Times New Roman" w:hAnsi="Times New Roman" w:cs="Times New Roman"/>
          <w:sz w:val="24"/>
          <w:szCs w:val="24"/>
          <w:lang w:val="en-US" w:eastAsia="es-MX"/>
        </w:rPr>
        <w:t>ituation from a Mexican farmer'</w:t>
      </w:r>
      <w:r w:rsidR="00391714" w:rsidRPr="00B60E6E">
        <w:rPr>
          <w:rFonts w:ascii="Times New Roman" w:eastAsia="Times New Roman" w:hAnsi="Times New Roman" w:cs="Times New Roman"/>
          <w:sz w:val="24"/>
          <w:szCs w:val="24"/>
          <w:lang w:val="en-US" w:eastAsia="es-MX"/>
        </w:rPr>
        <w:t>s perspective.</w:t>
      </w:r>
      <w:r w:rsidR="00140D61" w:rsidRPr="00B60E6E">
        <w:rPr>
          <w:rFonts w:ascii="Times New Roman" w:eastAsia="Times New Roman" w:hAnsi="Times New Roman" w:cs="Times New Roman"/>
          <w:sz w:val="24"/>
          <w:szCs w:val="24"/>
          <w:lang w:val="en-US" w:eastAsia="es-MX"/>
        </w:rPr>
        <w:t xml:space="preserve"> </w:t>
      </w:r>
      <w:r w:rsidR="007E2C7E" w:rsidRPr="00B60E6E">
        <w:rPr>
          <w:rFonts w:ascii="Times New Roman" w:eastAsia="Times New Roman" w:hAnsi="Times New Roman" w:cs="Times New Roman"/>
          <w:sz w:val="24"/>
          <w:szCs w:val="24"/>
          <w:lang w:val="en-US" w:eastAsia="es-MX"/>
        </w:rPr>
        <w:t>This is because throughout the literary review,</w:t>
      </w:r>
      <w:r w:rsidR="00CE3AB1" w:rsidRPr="00B60E6E">
        <w:rPr>
          <w:rFonts w:ascii="Times New Roman" w:eastAsia="Times New Roman" w:hAnsi="Times New Roman" w:cs="Times New Roman"/>
          <w:sz w:val="24"/>
          <w:szCs w:val="24"/>
          <w:lang w:val="en-US" w:eastAsia="es-MX"/>
        </w:rPr>
        <w:t xml:space="preserve"> we</w:t>
      </w:r>
      <w:r w:rsidR="007E2C7E" w:rsidRPr="00B60E6E">
        <w:rPr>
          <w:rFonts w:ascii="Times New Roman" w:eastAsia="Times New Roman" w:hAnsi="Times New Roman" w:cs="Times New Roman"/>
          <w:sz w:val="24"/>
          <w:szCs w:val="24"/>
          <w:lang w:val="en-US" w:eastAsia="es-MX"/>
        </w:rPr>
        <w:t xml:space="preserve"> did not find </w:t>
      </w:r>
      <w:r w:rsidR="00CE3AB1" w:rsidRPr="00B60E6E">
        <w:rPr>
          <w:rFonts w:ascii="Times New Roman" w:eastAsia="Times New Roman" w:hAnsi="Times New Roman" w:cs="Times New Roman"/>
          <w:sz w:val="24"/>
          <w:szCs w:val="24"/>
          <w:lang w:val="en-US" w:eastAsia="es-MX"/>
        </w:rPr>
        <w:t xml:space="preserve">any </w:t>
      </w:r>
      <w:r w:rsidR="007E2C7E" w:rsidRPr="00B60E6E">
        <w:rPr>
          <w:rFonts w:ascii="Times New Roman" w:eastAsia="Times New Roman" w:hAnsi="Times New Roman" w:cs="Times New Roman"/>
          <w:sz w:val="24"/>
          <w:szCs w:val="24"/>
          <w:lang w:val="en-US" w:eastAsia="es-MX"/>
        </w:rPr>
        <w:t xml:space="preserve">analysis </w:t>
      </w:r>
      <w:r w:rsidR="00CE3AB1" w:rsidRPr="00B60E6E">
        <w:rPr>
          <w:rFonts w:ascii="Times New Roman" w:eastAsia="Times New Roman" w:hAnsi="Times New Roman" w:cs="Times New Roman"/>
          <w:sz w:val="24"/>
          <w:szCs w:val="24"/>
          <w:lang w:val="en-US" w:eastAsia="es-MX"/>
        </w:rPr>
        <w:t xml:space="preserve">related to </w:t>
      </w:r>
      <w:r w:rsidR="007E2C7E" w:rsidRPr="00B60E6E">
        <w:rPr>
          <w:rFonts w:ascii="Times New Roman" w:eastAsia="Times New Roman" w:hAnsi="Times New Roman" w:cs="Times New Roman"/>
          <w:sz w:val="24"/>
          <w:szCs w:val="24"/>
          <w:lang w:val="en-US" w:eastAsia="es-MX"/>
        </w:rPr>
        <w:t>this activity.</w:t>
      </w:r>
      <w:r w:rsidR="007C181E" w:rsidRPr="00B60E6E">
        <w:rPr>
          <w:rFonts w:ascii="Times New Roman" w:eastAsia="Times New Roman" w:hAnsi="Times New Roman" w:cs="Times New Roman"/>
          <w:sz w:val="24"/>
          <w:szCs w:val="24"/>
          <w:lang w:val="en-US" w:eastAsia="es-MX"/>
        </w:rPr>
        <w:t xml:space="preserve"> </w:t>
      </w:r>
      <w:r w:rsidR="00BA5667" w:rsidRPr="00B60E6E">
        <w:rPr>
          <w:rFonts w:ascii="Times New Roman" w:eastAsia="Times New Roman" w:hAnsi="Times New Roman" w:cs="Times New Roman"/>
          <w:sz w:val="24"/>
          <w:szCs w:val="24"/>
          <w:lang w:val="en-US" w:eastAsia="es-MX"/>
        </w:rPr>
        <w:t>The methodology was based on a qualitative study with exploratory scope. The way this study was designed is summarized in four methodological steps with an approach based on Porter's theory. The first step was the collection of information from secondary sources. The main source of information comes from a research project carried out in Veracruz, Tabasco and Oaxaca during 2016, as well as statistical information from various databases such as SIAP, USDA and STATCAN. All this information was given a treatment and classification according to the five competitive forces (second step), diamond (third step) and positioning of Porter (fourth step). The competitive analysis based on the aforementioned theory was carried out by a multidisciplinary team of researchers to enrich and feedback the study, obtaining specific results of the productive activity.</w:t>
      </w:r>
      <w:r w:rsidR="00724D39" w:rsidRPr="00B60E6E">
        <w:rPr>
          <w:rFonts w:ascii="Times New Roman" w:eastAsia="Times New Roman" w:hAnsi="Times New Roman" w:cs="Times New Roman"/>
          <w:sz w:val="24"/>
          <w:szCs w:val="24"/>
          <w:lang w:val="en-US" w:eastAsia="es-MX"/>
        </w:rPr>
        <w:t xml:space="preserve"> In the five competitive forces is found that the Mexican </w:t>
      </w:r>
      <w:r w:rsidR="00C66047" w:rsidRPr="00962DC6">
        <w:rPr>
          <w:rFonts w:ascii="Times New Roman" w:eastAsia="Times New Roman" w:hAnsi="Times New Roman" w:cs="Times New Roman"/>
          <w:sz w:val="24"/>
          <w:szCs w:val="24"/>
          <w:lang w:val="en-US" w:eastAsia="es-MX"/>
        </w:rPr>
        <w:t>taro</w:t>
      </w:r>
      <w:r w:rsidR="00724D39" w:rsidRPr="00B60E6E">
        <w:rPr>
          <w:rFonts w:ascii="Times New Roman" w:eastAsia="Times New Roman" w:hAnsi="Times New Roman" w:cs="Times New Roman"/>
          <w:sz w:val="24"/>
          <w:szCs w:val="24"/>
          <w:lang w:val="en-US" w:eastAsia="es-MX"/>
        </w:rPr>
        <w:t xml:space="preserve"> is grown to be exported almost entirely to Canada and the United States of America (USA), so its main competitors are producers and exporters from other countries. The threat of new participants and the power of the buyers is</w:t>
      </w:r>
      <w:r w:rsidR="00013978" w:rsidRPr="00B60E6E">
        <w:rPr>
          <w:rFonts w:ascii="Times New Roman" w:eastAsia="Times New Roman" w:hAnsi="Times New Roman" w:cs="Times New Roman"/>
          <w:sz w:val="24"/>
          <w:szCs w:val="24"/>
          <w:lang w:val="en-US" w:eastAsia="es-MX"/>
        </w:rPr>
        <w:t xml:space="preserve"> high, with the possibility</w:t>
      </w:r>
      <w:r w:rsidR="00724D39" w:rsidRPr="00B60E6E">
        <w:rPr>
          <w:rFonts w:ascii="Times New Roman" w:eastAsia="Times New Roman" w:hAnsi="Times New Roman" w:cs="Times New Roman"/>
          <w:sz w:val="24"/>
          <w:szCs w:val="24"/>
          <w:lang w:val="en-US" w:eastAsia="es-MX"/>
        </w:rPr>
        <w:t xml:space="preserve"> the Mexican </w:t>
      </w:r>
      <w:r w:rsidR="00C66047" w:rsidRPr="00962DC6">
        <w:rPr>
          <w:rFonts w:ascii="Times New Roman" w:eastAsia="Times New Roman" w:hAnsi="Times New Roman" w:cs="Times New Roman"/>
          <w:sz w:val="24"/>
          <w:szCs w:val="24"/>
          <w:lang w:val="en-US" w:eastAsia="es-MX"/>
        </w:rPr>
        <w:t>taro</w:t>
      </w:r>
      <w:r w:rsidR="00724D39" w:rsidRPr="00B60E6E">
        <w:rPr>
          <w:rFonts w:ascii="Times New Roman" w:eastAsia="Times New Roman" w:hAnsi="Times New Roman" w:cs="Times New Roman"/>
          <w:sz w:val="24"/>
          <w:szCs w:val="24"/>
          <w:lang w:val="en-US" w:eastAsia="es-MX"/>
        </w:rPr>
        <w:t xml:space="preserve"> is replaced by another from another country, especially when the competition is based on low prices. For that reason and for other factors the rivalry between existing competitors is high. The determinants of Porter Diamond show that there are opportunities and challenges both in the domestic market and abroad, but under conditions of uncertainty. Mainly because the NAFTA (North American Free Trade Agreement) will be modified, which would affect the agricultural sector in general. Finally, </w:t>
      </w:r>
      <w:r w:rsidR="00724D39" w:rsidRPr="00B60E6E">
        <w:rPr>
          <w:rFonts w:ascii="Times New Roman" w:eastAsia="Times New Roman" w:hAnsi="Times New Roman" w:cs="Times New Roman"/>
          <w:sz w:val="24"/>
          <w:szCs w:val="24"/>
          <w:lang w:val="en-US" w:eastAsia="es-MX"/>
        </w:rPr>
        <w:lastRenderedPageBreak/>
        <w:t xml:space="preserve">a non-defined situational positioning is indicated. </w:t>
      </w:r>
      <w:r w:rsidR="00013C02" w:rsidRPr="00B60E6E">
        <w:rPr>
          <w:rFonts w:ascii="Times New Roman" w:eastAsia="Times New Roman" w:hAnsi="Times New Roman" w:cs="Times New Roman"/>
          <w:sz w:val="24"/>
          <w:szCs w:val="24"/>
          <w:lang w:val="en-US" w:eastAsia="es-MX"/>
        </w:rPr>
        <w:t>The conclusions indicate that this productive activity has the potential to contribute to the economy and job creation.</w:t>
      </w:r>
      <w:r w:rsidR="007C181E" w:rsidRPr="00B60E6E">
        <w:rPr>
          <w:rFonts w:ascii="Times New Roman" w:eastAsia="Times New Roman" w:hAnsi="Times New Roman" w:cs="Times New Roman"/>
          <w:sz w:val="24"/>
          <w:szCs w:val="24"/>
          <w:lang w:val="en-US" w:eastAsia="es-MX"/>
        </w:rPr>
        <w:t xml:space="preserve"> </w:t>
      </w:r>
      <w:r w:rsidR="00013C02" w:rsidRPr="00B60E6E">
        <w:rPr>
          <w:rFonts w:ascii="Times New Roman" w:eastAsia="Times New Roman" w:hAnsi="Times New Roman" w:cs="Times New Roman"/>
          <w:sz w:val="24"/>
          <w:szCs w:val="24"/>
          <w:lang w:val="en-US" w:eastAsia="es-MX"/>
        </w:rPr>
        <w:t xml:space="preserve">Currently, there is no established generic strategy, but involuntarily this activity competes with low prices without any differentiation. The competitive situation is perceived as vulnerable according to the </w:t>
      </w:r>
      <w:r w:rsidR="007C181E" w:rsidRPr="00B60E6E">
        <w:rPr>
          <w:rFonts w:ascii="Times New Roman" w:eastAsia="Times New Roman" w:hAnsi="Times New Roman" w:cs="Times New Roman"/>
          <w:sz w:val="24"/>
          <w:szCs w:val="24"/>
          <w:lang w:val="en-US" w:eastAsia="es-MX"/>
        </w:rPr>
        <w:t xml:space="preserve">performed </w:t>
      </w:r>
      <w:r w:rsidR="00013C02" w:rsidRPr="00B60E6E">
        <w:rPr>
          <w:rFonts w:ascii="Times New Roman" w:eastAsia="Times New Roman" w:hAnsi="Times New Roman" w:cs="Times New Roman"/>
          <w:sz w:val="24"/>
          <w:szCs w:val="24"/>
          <w:lang w:val="en-US" w:eastAsia="es-MX"/>
        </w:rPr>
        <w:t xml:space="preserve">analysis. Therefore, it is vital that cooperation, formalization and linkage between </w:t>
      </w:r>
      <w:r w:rsidR="007C181E" w:rsidRPr="00B60E6E">
        <w:rPr>
          <w:rFonts w:ascii="Times New Roman" w:eastAsia="Times New Roman" w:hAnsi="Times New Roman" w:cs="Times New Roman"/>
          <w:sz w:val="24"/>
          <w:szCs w:val="24"/>
          <w:lang w:val="en-US" w:eastAsia="es-MX"/>
        </w:rPr>
        <w:t>stakeholders</w:t>
      </w:r>
      <w:r w:rsidR="00013C02" w:rsidRPr="00B60E6E">
        <w:rPr>
          <w:rFonts w:ascii="Times New Roman" w:eastAsia="Times New Roman" w:hAnsi="Times New Roman" w:cs="Times New Roman"/>
          <w:sz w:val="24"/>
          <w:szCs w:val="24"/>
          <w:lang w:val="en-US" w:eastAsia="es-MX"/>
        </w:rPr>
        <w:t xml:space="preserve"> be achieved horizontally and vertically. Adding </w:t>
      </w:r>
      <w:r w:rsidR="007C181E" w:rsidRPr="00B60E6E">
        <w:rPr>
          <w:rFonts w:ascii="Times New Roman" w:eastAsia="Times New Roman" w:hAnsi="Times New Roman" w:cs="Times New Roman"/>
          <w:sz w:val="24"/>
          <w:szCs w:val="24"/>
          <w:lang w:val="en-US" w:eastAsia="es-MX"/>
        </w:rPr>
        <w:t xml:space="preserve">a </w:t>
      </w:r>
      <w:r w:rsidR="00013C02" w:rsidRPr="00B60E6E">
        <w:rPr>
          <w:rFonts w:ascii="Times New Roman" w:eastAsia="Times New Roman" w:hAnsi="Times New Roman" w:cs="Times New Roman"/>
          <w:sz w:val="24"/>
          <w:szCs w:val="24"/>
          <w:lang w:val="en-US" w:eastAsia="es-MX"/>
        </w:rPr>
        <w:t>synergy with the government, academic and research institutions as well as other organizations in the region</w:t>
      </w:r>
      <w:r w:rsidRPr="00B60E6E">
        <w:rPr>
          <w:rFonts w:ascii="Times New Roman" w:eastAsia="Times New Roman" w:hAnsi="Times New Roman" w:cs="Times New Roman"/>
          <w:sz w:val="24"/>
          <w:szCs w:val="24"/>
          <w:lang w:val="en-US" w:eastAsia="es-MX"/>
        </w:rPr>
        <w:t xml:space="preserve"> </w:t>
      </w:r>
      <w:r w:rsidR="005075ED" w:rsidRPr="00B60E6E">
        <w:rPr>
          <w:rFonts w:ascii="Times New Roman" w:eastAsia="Times New Roman" w:hAnsi="Times New Roman" w:cs="Times New Roman"/>
          <w:sz w:val="24"/>
          <w:szCs w:val="24"/>
          <w:lang w:val="en-US" w:eastAsia="es-MX"/>
        </w:rPr>
        <w:t>to</w:t>
      </w:r>
      <w:r w:rsidRPr="00B60E6E">
        <w:rPr>
          <w:rFonts w:ascii="Times New Roman" w:eastAsia="Times New Roman" w:hAnsi="Times New Roman" w:cs="Times New Roman"/>
          <w:sz w:val="24"/>
          <w:szCs w:val="24"/>
          <w:lang w:val="en-US" w:eastAsia="es-MX"/>
        </w:rPr>
        <w:t xml:space="preserve"> </w:t>
      </w:r>
      <w:r w:rsidR="00013C02" w:rsidRPr="00B60E6E">
        <w:rPr>
          <w:rFonts w:ascii="Times New Roman" w:eastAsia="Times New Roman" w:hAnsi="Times New Roman" w:cs="Times New Roman"/>
          <w:sz w:val="24"/>
          <w:szCs w:val="24"/>
          <w:lang w:val="en-US" w:eastAsia="es-MX"/>
        </w:rPr>
        <w:t>compete globally.</w:t>
      </w:r>
    </w:p>
    <w:p w14:paraId="6797A863" w14:textId="77777777" w:rsidR="004F0732" w:rsidRDefault="00391714" w:rsidP="00723C45">
      <w:pPr>
        <w:spacing w:line="480" w:lineRule="auto"/>
        <w:jc w:val="both"/>
        <w:rPr>
          <w:rFonts w:ascii="Times New Roman" w:eastAsia="Times New Roman" w:hAnsi="Times New Roman" w:cs="Times New Roman"/>
          <w:sz w:val="24"/>
          <w:szCs w:val="24"/>
          <w:lang w:val="en-US" w:eastAsia="es-MX"/>
        </w:rPr>
      </w:pPr>
      <w:r w:rsidRPr="004F0732">
        <w:rPr>
          <w:rFonts w:ascii="Calibri" w:eastAsia="Times New Roman" w:hAnsi="Calibri" w:cs="Calibri"/>
          <w:b/>
          <w:color w:val="000000"/>
          <w:sz w:val="28"/>
          <w:szCs w:val="28"/>
          <w:lang w:val="en-US" w:eastAsia="es-MX"/>
        </w:rPr>
        <w:t>Keywords:</w:t>
      </w:r>
      <w:r w:rsidR="00DE01A8" w:rsidRPr="00657B15">
        <w:rPr>
          <w:rFonts w:ascii="Times New Roman" w:eastAsia="Times New Roman" w:hAnsi="Times New Roman" w:cs="Times New Roman"/>
          <w:sz w:val="24"/>
          <w:szCs w:val="24"/>
          <w:lang w:val="en-US" w:eastAsia="es-MX"/>
        </w:rPr>
        <w:t xml:space="preserve"> </w:t>
      </w:r>
      <w:r w:rsidR="00DD366D" w:rsidRPr="00B60E6E">
        <w:rPr>
          <w:rFonts w:ascii="Times New Roman" w:eastAsia="Times New Roman" w:hAnsi="Times New Roman" w:cs="Times New Roman"/>
          <w:sz w:val="24"/>
          <w:szCs w:val="24"/>
          <w:lang w:val="en-US" w:eastAsia="es-MX"/>
        </w:rPr>
        <w:t>S</w:t>
      </w:r>
      <w:r w:rsidRPr="00B60E6E">
        <w:rPr>
          <w:rFonts w:ascii="Times New Roman" w:eastAsia="Times New Roman" w:hAnsi="Times New Roman" w:cs="Times New Roman"/>
          <w:sz w:val="24"/>
          <w:szCs w:val="24"/>
          <w:lang w:val="en-US" w:eastAsia="es-MX"/>
        </w:rPr>
        <w:t xml:space="preserve">trategies, </w:t>
      </w:r>
      <w:r w:rsidR="00DD366D" w:rsidRPr="00B60E6E">
        <w:rPr>
          <w:rFonts w:ascii="Times New Roman" w:eastAsia="Times New Roman" w:hAnsi="Times New Roman" w:cs="Times New Roman"/>
          <w:sz w:val="24"/>
          <w:szCs w:val="24"/>
          <w:lang w:val="en-US" w:eastAsia="es-MX"/>
        </w:rPr>
        <w:t xml:space="preserve">producers, </w:t>
      </w:r>
      <w:proofErr w:type="spellStart"/>
      <w:r w:rsidR="00B208AA" w:rsidRPr="00B60E6E">
        <w:rPr>
          <w:rFonts w:ascii="Times New Roman" w:eastAsia="Times New Roman" w:hAnsi="Times New Roman" w:cs="Times New Roman"/>
          <w:sz w:val="24"/>
          <w:szCs w:val="24"/>
          <w:lang w:val="en-US" w:eastAsia="es-MX"/>
        </w:rPr>
        <w:t>agro</w:t>
      </w:r>
      <w:proofErr w:type="spellEnd"/>
      <w:r w:rsidR="00B208AA" w:rsidRPr="00B60E6E">
        <w:rPr>
          <w:rFonts w:ascii="Times New Roman" w:eastAsia="Times New Roman" w:hAnsi="Times New Roman" w:cs="Times New Roman"/>
          <w:sz w:val="24"/>
          <w:szCs w:val="24"/>
          <w:lang w:val="en-US" w:eastAsia="es-MX"/>
        </w:rPr>
        <w:t>-food sector</w:t>
      </w:r>
      <w:r w:rsidR="00B208AA">
        <w:rPr>
          <w:rFonts w:ascii="Times New Roman" w:eastAsia="Times New Roman" w:hAnsi="Times New Roman" w:cs="Times New Roman"/>
          <w:sz w:val="24"/>
          <w:szCs w:val="24"/>
          <w:lang w:val="en-US" w:eastAsia="es-MX"/>
        </w:rPr>
        <w:t>,</w:t>
      </w:r>
      <w:r w:rsidR="00B208AA" w:rsidRPr="00B60E6E">
        <w:rPr>
          <w:rFonts w:ascii="Times New Roman" w:eastAsia="Times New Roman" w:hAnsi="Times New Roman" w:cs="Times New Roman"/>
          <w:sz w:val="24"/>
          <w:szCs w:val="24"/>
          <w:lang w:val="en-US" w:eastAsia="es-MX"/>
        </w:rPr>
        <w:t xml:space="preserve"> </w:t>
      </w:r>
      <w:r w:rsidRPr="00B60E6E">
        <w:rPr>
          <w:rFonts w:ascii="Times New Roman" w:eastAsia="Times New Roman" w:hAnsi="Times New Roman" w:cs="Times New Roman"/>
          <w:sz w:val="24"/>
          <w:szCs w:val="24"/>
          <w:lang w:val="en-US" w:eastAsia="es-MX"/>
        </w:rPr>
        <w:t>taro</w:t>
      </w:r>
      <w:r w:rsidR="00EC3058" w:rsidRPr="00B60E6E">
        <w:rPr>
          <w:rFonts w:ascii="Times New Roman" w:eastAsia="Times New Roman" w:hAnsi="Times New Roman" w:cs="Times New Roman"/>
          <w:sz w:val="24"/>
          <w:szCs w:val="24"/>
          <w:lang w:val="en-US" w:eastAsia="es-MX"/>
        </w:rPr>
        <w:t>.</w:t>
      </w:r>
    </w:p>
    <w:p w14:paraId="1B10698F" w14:textId="77777777" w:rsidR="004F0732" w:rsidRPr="000346A1" w:rsidRDefault="004F0732" w:rsidP="004F0732">
      <w:pPr>
        <w:spacing w:after="0" w:line="360" w:lineRule="auto"/>
        <w:jc w:val="both"/>
        <w:rPr>
          <w:rFonts w:ascii="Calibri" w:eastAsia="Times New Roman" w:hAnsi="Calibri" w:cs="Calibri"/>
          <w:b/>
          <w:color w:val="000000"/>
          <w:sz w:val="28"/>
          <w:szCs w:val="28"/>
          <w:lang w:eastAsia="es-MX"/>
        </w:rPr>
      </w:pPr>
      <w:r w:rsidRPr="000346A1">
        <w:rPr>
          <w:rFonts w:ascii="Calibri" w:eastAsia="Times New Roman" w:hAnsi="Calibri" w:cs="Calibri"/>
          <w:b/>
          <w:color w:val="000000"/>
          <w:sz w:val="28"/>
          <w:szCs w:val="28"/>
          <w:lang w:eastAsia="es-MX"/>
        </w:rPr>
        <w:t>Resumo</w:t>
      </w:r>
    </w:p>
    <w:p w14:paraId="270CBEF2" w14:textId="77777777" w:rsidR="004F0732" w:rsidRPr="00CB1D8E" w:rsidRDefault="004F0732" w:rsidP="004F0732">
      <w:pPr>
        <w:spacing w:line="360" w:lineRule="auto"/>
        <w:jc w:val="both"/>
        <w:rPr>
          <w:rFonts w:ascii="Times New Roman" w:eastAsia="Times New Roman" w:hAnsi="Times New Roman" w:cs="Times New Roman"/>
          <w:sz w:val="24"/>
          <w:szCs w:val="24"/>
          <w:lang w:eastAsia="es-MX"/>
        </w:rPr>
      </w:pPr>
      <w:r w:rsidRPr="00CB1D8E">
        <w:rPr>
          <w:rFonts w:ascii="Times New Roman" w:eastAsia="Times New Roman" w:hAnsi="Times New Roman" w:cs="Times New Roman"/>
          <w:sz w:val="24"/>
          <w:szCs w:val="24"/>
          <w:lang w:eastAsia="es-MX"/>
        </w:rPr>
        <w:t xml:space="preserve">Esta pesquisa </w:t>
      </w:r>
      <w:proofErr w:type="spellStart"/>
      <w:r w:rsidRPr="00CB1D8E">
        <w:rPr>
          <w:rFonts w:ascii="Times New Roman" w:eastAsia="Times New Roman" w:hAnsi="Times New Roman" w:cs="Times New Roman"/>
          <w:sz w:val="24"/>
          <w:szCs w:val="24"/>
          <w:lang w:eastAsia="es-MX"/>
        </w:rPr>
        <w:t>teve</w:t>
      </w:r>
      <w:proofErr w:type="spellEnd"/>
      <w:r w:rsidRPr="00CB1D8E">
        <w:rPr>
          <w:rFonts w:ascii="Times New Roman" w:eastAsia="Times New Roman" w:hAnsi="Times New Roman" w:cs="Times New Roman"/>
          <w:sz w:val="24"/>
          <w:szCs w:val="24"/>
          <w:lang w:eastAsia="es-MX"/>
        </w:rPr>
        <w:t xml:space="preserve"> como objetivo desenvolver </w:t>
      </w:r>
      <w:proofErr w:type="spellStart"/>
      <w:r w:rsidRPr="00CB1D8E">
        <w:rPr>
          <w:rFonts w:ascii="Times New Roman" w:eastAsia="Times New Roman" w:hAnsi="Times New Roman" w:cs="Times New Roman"/>
          <w:sz w:val="24"/>
          <w:szCs w:val="24"/>
          <w:lang w:eastAsia="es-MX"/>
        </w:rPr>
        <w:t>uma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análise</w:t>
      </w:r>
      <w:proofErr w:type="spellEnd"/>
      <w:r w:rsidRPr="00CB1D8E">
        <w:rPr>
          <w:rFonts w:ascii="Times New Roman" w:eastAsia="Times New Roman" w:hAnsi="Times New Roman" w:cs="Times New Roman"/>
          <w:sz w:val="24"/>
          <w:szCs w:val="24"/>
          <w:lang w:eastAsia="es-MX"/>
        </w:rPr>
        <w:t xml:space="preserve"> competitiva da </w:t>
      </w:r>
      <w:proofErr w:type="spellStart"/>
      <w:r w:rsidRPr="00CB1D8E">
        <w:rPr>
          <w:rFonts w:ascii="Times New Roman" w:eastAsia="Times New Roman" w:hAnsi="Times New Roman" w:cs="Times New Roman"/>
          <w:sz w:val="24"/>
          <w:szCs w:val="24"/>
          <w:lang w:eastAsia="es-MX"/>
        </w:rPr>
        <w:t>atividade</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produtiva</w:t>
      </w:r>
      <w:proofErr w:type="spellEnd"/>
      <w:r w:rsidRPr="00CB1D8E">
        <w:rPr>
          <w:rFonts w:ascii="Times New Roman" w:eastAsia="Times New Roman" w:hAnsi="Times New Roman" w:cs="Times New Roman"/>
          <w:sz w:val="24"/>
          <w:szCs w:val="24"/>
          <w:lang w:eastAsia="es-MX"/>
        </w:rPr>
        <w:t xml:space="preserve"> de taro </w:t>
      </w:r>
      <w:proofErr w:type="spellStart"/>
      <w:r w:rsidRPr="00CB1D8E">
        <w:rPr>
          <w:rFonts w:ascii="Times New Roman" w:eastAsia="Times New Roman" w:hAnsi="Times New Roman" w:cs="Times New Roman"/>
          <w:sz w:val="24"/>
          <w:szCs w:val="24"/>
          <w:lang w:eastAsia="es-MX"/>
        </w:rPr>
        <w:t>ou</w:t>
      </w:r>
      <w:proofErr w:type="spellEnd"/>
      <w:r w:rsidRPr="00CB1D8E">
        <w:rPr>
          <w:rFonts w:ascii="Times New Roman" w:eastAsia="Times New Roman" w:hAnsi="Times New Roman" w:cs="Times New Roman"/>
          <w:sz w:val="24"/>
          <w:szCs w:val="24"/>
          <w:lang w:eastAsia="es-MX"/>
        </w:rPr>
        <w:t xml:space="preserve"> Colocasia </w:t>
      </w:r>
      <w:proofErr w:type="spellStart"/>
      <w:r w:rsidRPr="00CB1D8E">
        <w:rPr>
          <w:rFonts w:ascii="Times New Roman" w:eastAsia="Times New Roman" w:hAnsi="Times New Roman" w:cs="Times New Roman"/>
          <w:sz w:val="24"/>
          <w:szCs w:val="24"/>
          <w:lang w:eastAsia="es-MX"/>
        </w:rPr>
        <w:t>esculenta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através</w:t>
      </w:r>
      <w:proofErr w:type="spellEnd"/>
      <w:r w:rsidRPr="00CB1D8E">
        <w:rPr>
          <w:rFonts w:ascii="Times New Roman" w:eastAsia="Times New Roman" w:hAnsi="Times New Roman" w:cs="Times New Roman"/>
          <w:sz w:val="24"/>
          <w:szCs w:val="24"/>
          <w:lang w:eastAsia="es-MX"/>
        </w:rPr>
        <w:t xml:space="preserve"> da </w:t>
      </w:r>
      <w:proofErr w:type="spellStart"/>
      <w:r w:rsidRPr="00CB1D8E">
        <w:rPr>
          <w:rFonts w:ascii="Times New Roman" w:eastAsia="Times New Roman" w:hAnsi="Times New Roman" w:cs="Times New Roman"/>
          <w:sz w:val="24"/>
          <w:szCs w:val="24"/>
          <w:lang w:eastAsia="es-MX"/>
        </w:rPr>
        <w:t>teoria</w:t>
      </w:r>
      <w:proofErr w:type="spellEnd"/>
      <w:r w:rsidRPr="00CB1D8E">
        <w:rPr>
          <w:rFonts w:ascii="Times New Roman" w:eastAsia="Times New Roman" w:hAnsi="Times New Roman" w:cs="Times New Roman"/>
          <w:sz w:val="24"/>
          <w:szCs w:val="24"/>
          <w:lang w:eastAsia="es-MX"/>
        </w:rPr>
        <w:t xml:space="preserve"> de Michael Porter, para atender a </w:t>
      </w:r>
      <w:proofErr w:type="spellStart"/>
      <w:r w:rsidRPr="00CB1D8E">
        <w:rPr>
          <w:rFonts w:ascii="Times New Roman" w:eastAsia="Times New Roman" w:hAnsi="Times New Roman" w:cs="Times New Roman"/>
          <w:sz w:val="24"/>
          <w:szCs w:val="24"/>
          <w:lang w:eastAsia="es-MX"/>
        </w:rPr>
        <w:t>sua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situação</w:t>
      </w:r>
      <w:proofErr w:type="spellEnd"/>
      <w:r w:rsidRPr="00CB1D8E">
        <w:rPr>
          <w:rFonts w:ascii="Times New Roman" w:eastAsia="Times New Roman" w:hAnsi="Times New Roman" w:cs="Times New Roman"/>
          <w:sz w:val="24"/>
          <w:szCs w:val="24"/>
          <w:lang w:eastAsia="es-MX"/>
        </w:rPr>
        <w:t xml:space="preserve"> estratégica e competitiva a partir da perspectiva de agricultores mexicanos porque </w:t>
      </w:r>
      <w:proofErr w:type="spellStart"/>
      <w:r w:rsidRPr="00CB1D8E">
        <w:rPr>
          <w:rFonts w:ascii="Times New Roman" w:eastAsia="Times New Roman" w:hAnsi="Times New Roman" w:cs="Times New Roman"/>
          <w:sz w:val="24"/>
          <w:szCs w:val="24"/>
          <w:lang w:eastAsia="es-MX"/>
        </w:rPr>
        <w:t>na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revisão</w:t>
      </w:r>
      <w:proofErr w:type="spellEnd"/>
      <w:r w:rsidRPr="00CB1D8E">
        <w:rPr>
          <w:rFonts w:ascii="Times New Roman" w:eastAsia="Times New Roman" w:hAnsi="Times New Roman" w:cs="Times New Roman"/>
          <w:sz w:val="24"/>
          <w:szCs w:val="24"/>
          <w:lang w:eastAsia="es-MX"/>
        </w:rPr>
        <w:t xml:space="preserve"> da literatura </w:t>
      </w:r>
      <w:proofErr w:type="spellStart"/>
      <w:r w:rsidRPr="00CB1D8E">
        <w:rPr>
          <w:rFonts w:ascii="Times New Roman" w:eastAsia="Times New Roman" w:hAnsi="Times New Roman" w:cs="Times New Roman"/>
          <w:sz w:val="24"/>
          <w:szCs w:val="24"/>
          <w:lang w:eastAsia="es-MX"/>
        </w:rPr>
        <w:t>não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Nenhuma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análise</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semelhante</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foi</w:t>
      </w:r>
      <w:proofErr w:type="spellEnd"/>
      <w:r w:rsidRPr="00CB1D8E">
        <w:rPr>
          <w:rFonts w:ascii="Times New Roman" w:eastAsia="Times New Roman" w:hAnsi="Times New Roman" w:cs="Times New Roman"/>
          <w:sz w:val="24"/>
          <w:szCs w:val="24"/>
          <w:lang w:eastAsia="es-MX"/>
        </w:rPr>
        <w:t xml:space="preserve"> encontrada </w:t>
      </w:r>
      <w:proofErr w:type="spellStart"/>
      <w:r w:rsidRPr="00CB1D8E">
        <w:rPr>
          <w:rFonts w:ascii="Times New Roman" w:eastAsia="Times New Roman" w:hAnsi="Times New Roman" w:cs="Times New Roman"/>
          <w:sz w:val="24"/>
          <w:szCs w:val="24"/>
          <w:lang w:eastAsia="es-MX"/>
        </w:rPr>
        <w:t>nesta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atividade</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produtiva</w:t>
      </w:r>
      <w:proofErr w:type="spellEnd"/>
      <w:r w:rsidRPr="00CB1D8E">
        <w:rPr>
          <w:rFonts w:ascii="Times New Roman" w:eastAsia="Times New Roman" w:hAnsi="Times New Roman" w:cs="Times New Roman"/>
          <w:sz w:val="24"/>
          <w:szCs w:val="24"/>
          <w:lang w:eastAsia="es-MX"/>
        </w:rPr>
        <w:t xml:space="preserve">. A </w:t>
      </w:r>
      <w:proofErr w:type="spellStart"/>
      <w:r w:rsidRPr="00CB1D8E">
        <w:rPr>
          <w:rFonts w:ascii="Times New Roman" w:eastAsia="Times New Roman" w:hAnsi="Times New Roman" w:cs="Times New Roman"/>
          <w:sz w:val="24"/>
          <w:szCs w:val="24"/>
          <w:lang w:eastAsia="es-MX"/>
        </w:rPr>
        <w:t>metodologia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foi</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baseada</w:t>
      </w:r>
      <w:proofErr w:type="spellEnd"/>
      <w:r w:rsidRPr="00CB1D8E">
        <w:rPr>
          <w:rFonts w:ascii="Times New Roman" w:eastAsia="Times New Roman" w:hAnsi="Times New Roman" w:cs="Times New Roman"/>
          <w:sz w:val="24"/>
          <w:szCs w:val="24"/>
          <w:lang w:eastAsia="es-MX"/>
        </w:rPr>
        <w:t xml:space="preserve"> em </w:t>
      </w:r>
      <w:proofErr w:type="spellStart"/>
      <w:r w:rsidRPr="00CB1D8E">
        <w:rPr>
          <w:rFonts w:ascii="Times New Roman" w:eastAsia="Times New Roman" w:hAnsi="Times New Roman" w:cs="Times New Roman"/>
          <w:sz w:val="24"/>
          <w:szCs w:val="24"/>
          <w:lang w:eastAsia="es-MX"/>
        </w:rPr>
        <w:t>um</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estudo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qualitativo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com</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escopo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exploratório</w:t>
      </w:r>
      <w:proofErr w:type="spellEnd"/>
      <w:r w:rsidRPr="00CB1D8E">
        <w:rPr>
          <w:rFonts w:ascii="Times New Roman" w:eastAsia="Times New Roman" w:hAnsi="Times New Roman" w:cs="Times New Roman"/>
          <w:sz w:val="24"/>
          <w:szCs w:val="24"/>
          <w:lang w:eastAsia="es-MX"/>
        </w:rPr>
        <w:t xml:space="preserve">. A </w:t>
      </w:r>
      <w:proofErr w:type="spellStart"/>
      <w:r w:rsidRPr="00CB1D8E">
        <w:rPr>
          <w:rFonts w:ascii="Times New Roman" w:eastAsia="Times New Roman" w:hAnsi="Times New Roman" w:cs="Times New Roman"/>
          <w:sz w:val="24"/>
          <w:szCs w:val="24"/>
          <w:lang w:eastAsia="es-MX"/>
        </w:rPr>
        <w:t>maneira</w:t>
      </w:r>
      <w:proofErr w:type="spellEnd"/>
      <w:r w:rsidRPr="00CB1D8E">
        <w:rPr>
          <w:rFonts w:ascii="Times New Roman" w:eastAsia="Times New Roman" w:hAnsi="Times New Roman" w:cs="Times New Roman"/>
          <w:sz w:val="24"/>
          <w:szCs w:val="24"/>
          <w:lang w:eastAsia="es-MX"/>
        </w:rPr>
        <w:t xml:space="preserve"> em que esta pesquisa </w:t>
      </w:r>
      <w:proofErr w:type="spellStart"/>
      <w:r w:rsidRPr="00CB1D8E">
        <w:rPr>
          <w:rFonts w:ascii="Times New Roman" w:eastAsia="Times New Roman" w:hAnsi="Times New Roman" w:cs="Times New Roman"/>
          <w:sz w:val="24"/>
          <w:szCs w:val="24"/>
          <w:lang w:eastAsia="es-MX"/>
        </w:rPr>
        <w:t>foi</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projetada</w:t>
      </w:r>
      <w:proofErr w:type="spellEnd"/>
      <w:r w:rsidRPr="00CB1D8E">
        <w:rPr>
          <w:rFonts w:ascii="Times New Roman" w:eastAsia="Times New Roman" w:hAnsi="Times New Roman" w:cs="Times New Roman"/>
          <w:sz w:val="24"/>
          <w:szCs w:val="24"/>
          <w:lang w:eastAsia="es-MX"/>
        </w:rPr>
        <w:t xml:space="preserve"> é resumida em </w:t>
      </w:r>
      <w:proofErr w:type="spellStart"/>
      <w:r w:rsidRPr="00CB1D8E">
        <w:rPr>
          <w:rFonts w:ascii="Times New Roman" w:eastAsia="Times New Roman" w:hAnsi="Times New Roman" w:cs="Times New Roman"/>
          <w:sz w:val="24"/>
          <w:szCs w:val="24"/>
          <w:lang w:eastAsia="es-MX"/>
        </w:rPr>
        <w:t>quatro</w:t>
      </w:r>
      <w:proofErr w:type="spellEnd"/>
      <w:r w:rsidRPr="00CB1D8E">
        <w:rPr>
          <w:rFonts w:ascii="Times New Roman" w:eastAsia="Times New Roman" w:hAnsi="Times New Roman" w:cs="Times New Roman"/>
          <w:sz w:val="24"/>
          <w:szCs w:val="24"/>
          <w:lang w:eastAsia="es-MX"/>
        </w:rPr>
        <w:t xml:space="preserve"> etapas metodológicas </w:t>
      </w:r>
      <w:proofErr w:type="spellStart"/>
      <w:r w:rsidRPr="00CB1D8E">
        <w:rPr>
          <w:rFonts w:ascii="Times New Roman" w:eastAsia="Times New Roman" w:hAnsi="Times New Roman" w:cs="Times New Roman"/>
          <w:sz w:val="24"/>
          <w:szCs w:val="24"/>
          <w:lang w:eastAsia="es-MX"/>
        </w:rPr>
        <w:t>com</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uma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abordagem</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baseada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na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teoria</w:t>
      </w:r>
      <w:proofErr w:type="spellEnd"/>
      <w:r w:rsidRPr="00CB1D8E">
        <w:rPr>
          <w:rFonts w:ascii="Times New Roman" w:eastAsia="Times New Roman" w:hAnsi="Times New Roman" w:cs="Times New Roman"/>
          <w:sz w:val="24"/>
          <w:szCs w:val="24"/>
          <w:lang w:eastAsia="es-MX"/>
        </w:rPr>
        <w:t xml:space="preserve"> de Porter. O </w:t>
      </w:r>
      <w:proofErr w:type="spellStart"/>
      <w:r w:rsidRPr="00CB1D8E">
        <w:rPr>
          <w:rFonts w:ascii="Times New Roman" w:eastAsia="Times New Roman" w:hAnsi="Times New Roman" w:cs="Times New Roman"/>
          <w:sz w:val="24"/>
          <w:szCs w:val="24"/>
          <w:lang w:eastAsia="es-MX"/>
        </w:rPr>
        <w:t>primeiro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passo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foi</w:t>
      </w:r>
      <w:proofErr w:type="spellEnd"/>
      <w:r w:rsidRPr="00CB1D8E">
        <w:rPr>
          <w:rFonts w:ascii="Times New Roman" w:eastAsia="Times New Roman" w:hAnsi="Times New Roman" w:cs="Times New Roman"/>
          <w:sz w:val="24"/>
          <w:szCs w:val="24"/>
          <w:lang w:eastAsia="es-MX"/>
        </w:rPr>
        <w:t xml:space="preserve"> a </w:t>
      </w:r>
      <w:proofErr w:type="spellStart"/>
      <w:r w:rsidRPr="00CB1D8E">
        <w:rPr>
          <w:rFonts w:ascii="Times New Roman" w:eastAsia="Times New Roman" w:hAnsi="Times New Roman" w:cs="Times New Roman"/>
          <w:sz w:val="24"/>
          <w:szCs w:val="24"/>
          <w:lang w:eastAsia="es-MX"/>
        </w:rPr>
        <w:t>recolha</w:t>
      </w:r>
      <w:proofErr w:type="spellEnd"/>
      <w:r w:rsidRPr="00CB1D8E">
        <w:rPr>
          <w:rFonts w:ascii="Times New Roman" w:eastAsia="Times New Roman" w:hAnsi="Times New Roman" w:cs="Times New Roman"/>
          <w:sz w:val="24"/>
          <w:szCs w:val="24"/>
          <w:lang w:eastAsia="es-MX"/>
        </w:rPr>
        <w:t xml:space="preserve"> de </w:t>
      </w:r>
      <w:proofErr w:type="spellStart"/>
      <w:r w:rsidRPr="00CB1D8E">
        <w:rPr>
          <w:rFonts w:ascii="Times New Roman" w:eastAsia="Times New Roman" w:hAnsi="Times New Roman" w:cs="Times New Roman"/>
          <w:sz w:val="24"/>
          <w:szCs w:val="24"/>
          <w:lang w:eastAsia="es-MX"/>
        </w:rPr>
        <w:t>informações</w:t>
      </w:r>
      <w:proofErr w:type="spellEnd"/>
      <w:r w:rsidRPr="00CB1D8E">
        <w:rPr>
          <w:rFonts w:ascii="Times New Roman" w:eastAsia="Times New Roman" w:hAnsi="Times New Roman" w:cs="Times New Roman"/>
          <w:sz w:val="24"/>
          <w:szCs w:val="24"/>
          <w:lang w:eastAsia="es-MX"/>
        </w:rPr>
        <w:t xml:space="preserve"> a partir de </w:t>
      </w:r>
      <w:proofErr w:type="spellStart"/>
      <w:r w:rsidRPr="00CB1D8E">
        <w:rPr>
          <w:rFonts w:ascii="Times New Roman" w:eastAsia="Times New Roman" w:hAnsi="Times New Roman" w:cs="Times New Roman"/>
          <w:sz w:val="24"/>
          <w:szCs w:val="24"/>
          <w:lang w:eastAsia="es-MX"/>
        </w:rPr>
        <w:t>fontes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secundárias</w:t>
      </w:r>
      <w:proofErr w:type="spellEnd"/>
      <w:r w:rsidRPr="00CB1D8E">
        <w:rPr>
          <w:rFonts w:ascii="Times New Roman" w:eastAsia="Times New Roman" w:hAnsi="Times New Roman" w:cs="Times New Roman"/>
          <w:sz w:val="24"/>
          <w:szCs w:val="24"/>
          <w:lang w:eastAsia="es-MX"/>
        </w:rPr>
        <w:t xml:space="preserve">, especialmente de </w:t>
      </w:r>
      <w:proofErr w:type="spellStart"/>
      <w:r w:rsidRPr="00CB1D8E">
        <w:rPr>
          <w:rFonts w:ascii="Times New Roman" w:eastAsia="Times New Roman" w:hAnsi="Times New Roman" w:cs="Times New Roman"/>
          <w:sz w:val="24"/>
          <w:szCs w:val="24"/>
          <w:lang w:eastAsia="es-MX"/>
        </w:rPr>
        <w:t>uma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investigação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conduzida</w:t>
      </w:r>
      <w:proofErr w:type="spellEnd"/>
      <w:r w:rsidRPr="00CB1D8E">
        <w:rPr>
          <w:rFonts w:ascii="Times New Roman" w:eastAsia="Times New Roman" w:hAnsi="Times New Roman" w:cs="Times New Roman"/>
          <w:sz w:val="24"/>
          <w:szCs w:val="24"/>
          <w:lang w:eastAsia="es-MX"/>
        </w:rPr>
        <w:t xml:space="preserve"> em Vera, Tabasco e Oaxaca em 2016.Asimismo, </w:t>
      </w:r>
      <w:proofErr w:type="spellStart"/>
      <w:r w:rsidRPr="00CB1D8E">
        <w:rPr>
          <w:rFonts w:ascii="Times New Roman" w:eastAsia="Times New Roman" w:hAnsi="Times New Roman" w:cs="Times New Roman"/>
          <w:sz w:val="24"/>
          <w:szCs w:val="24"/>
          <w:lang w:eastAsia="es-MX"/>
        </w:rPr>
        <w:t>informação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estatística</w:t>
      </w:r>
      <w:proofErr w:type="spellEnd"/>
      <w:r w:rsidRPr="00CB1D8E">
        <w:rPr>
          <w:rFonts w:ascii="Times New Roman" w:eastAsia="Times New Roman" w:hAnsi="Times New Roman" w:cs="Times New Roman"/>
          <w:sz w:val="24"/>
          <w:szCs w:val="24"/>
          <w:lang w:eastAsia="es-MX"/>
        </w:rPr>
        <w:t xml:space="preserve"> de </w:t>
      </w:r>
      <w:proofErr w:type="spellStart"/>
      <w:r w:rsidRPr="00CB1D8E">
        <w:rPr>
          <w:rFonts w:ascii="Times New Roman" w:eastAsia="Times New Roman" w:hAnsi="Times New Roman" w:cs="Times New Roman"/>
          <w:sz w:val="24"/>
          <w:szCs w:val="24"/>
          <w:lang w:eastAsia="es-MX"/>
        </w:rPr>
        <w:t>vários</w:t>
      </w:r>
      <w:proofErr w:type="spellEnd"/>
      <w:r w:rsidRPr="00CB1D8E">
        <w:rPr>
          <w:rFonts w:ascii="Times New Roman" w:eastAsia="Times New Roman" w:hAnsi="Times New Roman" w:cs="Times New Roman"/>
          <w:sz w:val="24"/>
          <w:szCs w:val="24"/>
          <w:lang w:eastAsia="es-MX"/>
        </w:rPr>
        <w:t xml:space="preserve"> bancos de dados (como PAIS, USDA e STATCAN) </w:t>
      </w:r>
      <w:proofErr w:type="spellStart"/>
      <w:r w:rsidRPr="00CB1D8E">
        <w:rPr>
          <w:rFonts w:ascii="Times New Roman" w:eastAsia="Times New Roman" w:hAnsi="Times New Roman" w:cs="Times New Roman"/>
          <w:sz w:val="24"/>
          <w:szCs w:val="24"/>
          <w:lang w:eastAsia="es-MX"/>
        </w:rPr>
        <w:t>foi</w:t>
      </w:r>
      <w:proofErr w:type="spellEnd"/>
      <w:r w:rsidRPr="00CB1D8E">
        <w:rPr>
          <w:rFonts w:ascii="Times New Roman" w:eastAsia="Times New Roman" w:hAnsi="Times New Roman" w:cs="Times New Roman"/>
          <w:sz w:val="24"/>
          <w:szCs w:val="24"/>
          <w:lang w:eastAsia="es-MX"/>
        </w:rPr>
        <w:t xml:space="preserve"> usada, que </w:t>
      </w:r>
      <w:proofErr w:type="spellStart"/>
      <w:r w:rsidRPr="00CB1D8E">
        <w:rPr>
          <w:rFonts w:ascii="Times New Roman" w:eastAsia="Times New Roman" w:hAnsi="Times New Roman" w:cs="Times New Roman"/>
          <w:sz w:val="24"/>
          <w:szCs w:val="24"/>
          <w:lang w:eastAsia="es-MX"/>
        </w:rPr>
        <w:t>recebeu</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tratamento</w:t>
      </w:r>
      <w:proofErr w:type="spellEnd"/>
      <w:r w:rsidRPr="00CB1D8E">
        <w:rPr>
          <w:rFonts w:ascii="Times New Roman" w:eastAsia="Times New Roman" w:hAnsi="Times New Roman" w:cs="Times New Roman"/>
          <w:sz w:val="24"/>
          <w:szCs w:val="24"/>
          <w:lang w:eastAsia="es-MX"/>
        </w:rPr>
        <w:t xml:space="preserve"> e </w:t>
      </w:r>
      <w:proofErr w:type="spellStart"/>
      <w:r w:rsidRPr="00CB1D8E">
        <w:rPr>
          <w:rFonts w:ascii="Times New Roman" w:eastAsia="Times New Roman" w:hAnsi="Times New Roman" w:cs="Times New Roman"/>
          <w:sz w:val="24"/>
          <w:szCs w:val="24"/>
          <w:lang w:eastAsia="es-MX"/>
        </w:rPr>
        <w:t>classificação</w:t>
      </w:r>
      <w:proofErr w:type="spellEnd"/>
      <w:r w:rsidRPr="00CB1D8E">
        <w:rPr>
          <w:rFonts w:ascii="Times New Roman" w:eastAsia="Times New Roman" w:hAnsi="Times New Roman" w:cs="Times New Roman"/>
          <w:sz w:val="24"/>
          <w:szCs w:val="24"/>
          <w:lang w:eastAsia="es-MX"/>
        </w:rPr>
        <w:t xml:space="preserve"> de </w:t>
      </w:r>
      <w:proofErr w:type="spellStart"/>
      <w:r w:rsidRPr="00CB1D8E">
        <w:rPr>
          <w:rFonts w:ascii="Times New Roman" w:eastAsia="Times New Roman" w:hAnsi="Times New Roman" w:cs="Times New Roman"/>
          <w:sz w:val="24"/>
          <w:szCs w:val="24"/>
          <w:lang w:eastAsia="es-MX"/>
        </w:rPr>
        <w:t>acordo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com</w:t>
      </w:r>
      <w:proofErr w:type="spellEnd"/>
      <w:r w:rsidRPr="00CB1D8E">
        <w:rPr>
          <w:rFonts w:ascii="Times New Roman" w:eastAsia="Times New Roman" w:hAnsi="Times New Roman" w:cs="Times New Roman"/>
          <w:sz w:val="24"/>
          <w:szCs w:val="24"/>
          <w:lang w:eastAsia="es-MX"/>
        </w:rPr>
        <w:t xml:space="preserve"> as cinco </w:t>
      </w:r>
      <w:proofErr w:type="spellStart"/>
      <w:r w:rsidRPr="00CB1D8E">
        <w:rPr>
          <w:rFonts w:ascii="Times New Roman" w:eastAsia="Times New Roman" w:hAnsi="Times New Roman" w:cs="Times New Roman"/>
          <w:sz w:val="24"/>
          <w:szCs w:val="24"/>
          <w:lang w:eastAsia="es-MX"/>
        </w:rPr>
        <w:t>forças</w:t>
      </w:r>
      <w:proofErr w:type="spellEnd"/>
      <w:r w:rsidRPr="00CB1D8E">
        <w:rPr>
          <w:rFonts w:ascii="Times New Roman" w:eastAsia="Times New Roman" w:hAnsi="Times New Roman" w:cs="Times New Roman"/>
          <w:sz w:val="24"/>
          <w:szCs w:val="24"/>
          <w:lang w:eastAsia="es-MX"/>
        </w:rPr>
        <w:t xml:space="preserve"> competitivas (segunda etapa), diamante (</w:t>
      </w:r>
      <w:proofErr w:type="spellStart"/>
      <w:r w:rsidRPr="00CB1D8E">
        <w:rPr>
          <w:rFonts w:ascii="Times New Roman" w:eastAsia="Times New Roman" w:hAnsi="Times New Roman" w:cs="Times New Roman"/>
          <w:sz w:val="24"/>
          <w:szCs w:val="24"/>
          <w:lang w:eastAsia="es-MX"/>
        </w:rPr>
        <w:t>terceira</w:t>
      </w:r>
      <w:proofErr w:type="spellEnd"/>
      <w:r w:rsidRPr="00CB1D8E">
        <w:rPr>
          <w:rFonts w:ascii="Times New Roman" w:eastAsia="Times New Roman" w:hAnsi="Times New Roman" w:cs="Times New Roman"/>
          <w:sz w:val="24"/>
          <w:szCs w:val="24"/>
          <w:lang w:eastAsia="es-MX"/>
        </w:rPr>
        <w:t xml:space="preserve"> etapa) e </w:t>
      </w:r>
      <w:proofErr w:type="spellStart"/>
      <w:r w:rsidRPr="00CB1D8E">
        <w:rPr>
          <w:rFonts w:ascii="Times New Roman" w:eastAsia="Times New Roman" w:hAnsi="Times New Roman" w:cs="Times New Roman"/>
          <w:sz w:val="24"/>
          <w:szCs w:val="24"/>
          <w:lang w:eastAsia="es-MX"/>
        </w:rPr>
        <w:t>posicionamento</w:t>
      </w:r>
      <w:proofErr w:type="spellEnd"/>
      <w:r w:rsidRPr="00CB1D8E">
        <w:rPr>
          <w:rFonts w:ascii="Times New Roman" w:eastAsia="Times New Roman" w:hAnsi="Times New Roman" w:cs="Times New Roman"/>
          <w:sz w:val="24"/>
          <w:szCs w:val="24"/>
          <w:lang w:eastAsia="es-MX"/>
        </w:rPr>
        <w:t xml:space="preserve"> de Porter (</w:t>
      </w:r>
      <w:proofErr w:type="spellStart"/>
      <w:r w:rsidRPr="00CB1D8E">
        <w:rPr>
          <w:rFonts w:ascii="Times New Roman" w:eastAsia="Times New Roman" w:hAnsi="Times New Roman" w:cs="Times New Roman"/>
          <w:sz w:val="24"/>
          <w:szCs w:val="24"/>
          <w:lang w:eastAsia="es-MX"/>
        </w:rPr>
        <w:t>quarta</w:t>
      </w:r>
      <w:proofErr w:type="spellEnd"/>
      <w:r w:rsidRPr="00CB1D8E">
        <w:rPr>
          <w:rFonts w:ascii="Times New Roman" w:eastAsia="Times New Roman" w:hAnsi="Times New Roman" w:cs="Times New Roman"/>
          <w:sz w:val="24"/>
          <w:szCs w:val="24"/>
          <w:lang w:eastAsia="es-MX"/>
        </w:rPr>
        <w:t xml:space="preserve"> etapa). A </w:t>
      </w:r>
      <w:proofErr w:type="spellStart"/>
      <w:r w:rsidRPr="00CB1D8E">
        <w:rPr>
          <w:rFonts w:ascii="Times New Roman" w:eastAsia="Times New Roman" w:hAnsi="Times New Roman" w:cs="Times New Roman"/>
          <w:sz w:val="24"/>
          <w:szCs w:val="24"/>
          <w:lang w:eastAsia="es-MX"/>
        </w:rPr>
        <w:t>análise</w:t>
      </w:r>
      <w:proofErr w:type="spellEnd"/>
      <w:r w:rsidRPr="00CB1D8E">
        <w:rPr>
          <w:rFonts w:ascii="Times New Roman" w:eastAsia="Times New Roman" w:hAnsi="Times New Roman" w:cs="Times New Roman"/>
          <w:sz w:val="24"/>
          <w:szCs w:val="24"/>
          <w:lang w:eastAsia="es-MX"/>
        </w:rPr>
        <w:t xml:space="preserve"> competitiva </w:t>
      </w:r>
      <w:proofErr w:type="spellStart"/>
      <w:r w:rsidRPr="00CB1D8E">
        <w:rPr>
          <w:rFonts w:ascii="Times New Roman" w:eastAsia="Times New Roman" w:hAnsi="Times New Roman" w:cs="Times New Roman"/>
          <w:sz w:val="24"/>
          <w:szCs w:val="24"/>
          <w:lang w:eastAsia="es-MX"/>
        </w:rPr>
        <w:t>baseada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na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teoria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supracitada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foi</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desenvolvida</w:t>
      </w:r>
      <w:proofErr w:type="spellEnd"/>
      <w:r w:rsidRPr="00CB1D8E">
        <w:rPr>
          <w:rFonts w:ascii="Times New Roman" w:eastAsia="Times New Roman" w:hAnsi="Times New Roman" w:cs="Times New Roman"/>
          <w:sz w:val="24"/>
          <w:szCs w:val="24"/>
          <w:lang w:eastAsia="es-MX"/>
        </w:rPr>
        <w:t xml:space="preserve"> por </w:t>
      </w:r>
      <w:proofErr w:type="spellStart"/>
      <w:r w:rsidRPr="00CB1D8E">
        <w:rPr>
          <w:rFonts w:ascii="Times New Roman" w:eastAsia="Times New Roman" w:hAnsi="Times New Roman" w:cs="Times New Roman"/>
          <w:sz w:val="24"/>
          <w:szCs w:val="24"/>
          <w:lang w:eastAsia="es-MX"/>
        </w:rPr>
        <w:t>uma</w:t>
      </w:r>
      <w:proofErr w:type="spellEnd"/>
      <w:r w:rsidRPr="00CB1D8E">
        <w:rPr>
          <w:rFonts w:ascii="Times New Roman" w:eastAsia="Times New Roman" w:hAnsi="Times New Roman" w:cs="Times New Roman"/>
          <w:sz w:val="24"/>
          <w:szCs w:val="24"/>
          <w:lang w:eastAsia="es-MX"/>
        </w:rPr>
        <w:t xml:space="preserve"> equipe multidisciplinar de </w:t>
      </w:r>
      <w:proofErr w:type="spellStart"/>
      <w:r w:rsidRPr="00CB1D8E">
        <w:rPr>
          <w:rFonts w:ascii="Times New Roman" w:eastAsia="Times New Roman" w:hAnsi="Times New Roman" w:cs="Times New Roman"/>
          <w:sz w:val="24"/>
          <w:szCs w:val="24"/>
          <w:lang w:eastAsia="es-MX"/>
        </w:rPr>
        <w:t>pesquisadores</w:t>
      </w:r>
      <w:proofErr w:type="spellEnd"/>
      <w:r w:rsidRPr="00CB1D8E">
        <w:rPr>
          <w:rFonts w:ascii="Times New Roman" w:eastAsia="Times New Roman" w:hAnsi="Times New Roman" w:cs="Times New Roman"/>
          <w:sz w:val="24"/>
          <w:szCs w:val="24"/>
          <w:lang w:eastAsia="es-MX"/>
        </w:rPr>
        <w:t xml:space="preserve"> para enriquecer e subsidiar o </w:t>
      </w:r>
      <w:proofErr w:type="spellStart"/>
      <w:r w:rsidRPr="00CB1D8E">
        <w:rPr>
          <w:rFonts w:ascii="Times New Roman" w:eastAsia="Times New Roman" w:hAnsi="Times New Roman" w:cs="Times New Roman"/>
          <w:sz w:val="24"/>
          <w:szCs w:val="24"/>
          <w:lang w:eastAsia="es-MX"/>
        </w:rPr>
        <w:t>estudo</w:t>
      </w:r>
      <w:proofErr w:type="spellEnd"/>
      <w:r w:rsidRPr="00CB1D8E">
        <w:rPr>
          <w:rFonts w:ascii="Times New Roman" w:eastAsia="Times New Roman" w:hAnsi="Times New Roman" w:cs="Times New Roman"/>
          <w:sz w:val="24"/>
          <w:szCs w:val="24"/>
          <w:lang w:eastAsia="es-MX"/>
        </w:rPr>
        <w:t xml:space="preserve">, para que resultados específicos da </w:t>
      </w:r>
      <w:proofErr w:type="spellStart"/>
      <w:r w:rsidRPr="00CB1D8E">
        <w:rPr>
          <w:rFonts w:ascii="Times New Roman" w:eastAsia="Times New Roman" w:hAnsi="Times New Roman" w:cs="Times New Roman"/>
          <w:sz w:val="24"/>
          <w:szCs w:val="24"/>
          <w:lang w:eastAsia="es-MX"/>
        </w:rPr>
        <w:t>atividade</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produtiva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pudessem</w:t>
      </w:r>
      <w:proofErr w:type="spellEnd"/>
      <w:r w:rsidRPr="00CB1D8E">
        <w:rPr>
          <w:rFonts w:ascii="Times New Roman" w:eastAsia="Times New Roman" w:hAnsi="Times New Roman" w:cs="Times New Roman"/>
          <w:sz w:val="24"/>
          <w:szCs w:val="24"/>
          <w:lang w:eastAsia="es-MX"/>
        </w:rPr>
        <w:t xml:space="preserve"> ser </w:t>
      </w:r>
      <w:proofErr w:type="spellStart"/>
      <w:r w:rsidRPr="00CB1D8E">
        <w:rPr>
          <w:rFonts w:ascii="Times New Roman" w:eastAsia="Times New Roman" w:hAnsi="Times New Roman" w:cs="Times New Roman"/>
          <w:sz w:val="24"/>
          <w:szCs w:val="24"/>
          <w:lang w:eastAsia="es-MX"/>
        </w:rPr>
        <w:t>obtidos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Nas</w:t>
      </w:r>
      <w:proofErr w:type="spellEnd"/>
      <w:r w:rsidRPr="00CB1D8E">
        <w:rPr>
          <w:rFonts w:ascii="Times New Roman" w:eastAsia="Times New Roman" w:hAnsi="Times New Roman" w:cs="Times New Roman"/>
          <w:sz w:val="24"/>
          <w:szCs w:val="24"/>
          <w:lang w:eastAsia="es-MX"/>
        </w:rPr>
        <w:t xml:space="preserve"> cinco </w:t>
      </w:r>
      <w:proofErr w:type="spellStart"/>
      <w:r w:rsidRPr="00CB1D8E">
        <w:rPr>
          <w:rFonts w:ascii="Times New Roman" w:eastAsia="Times New Roman" w:hAnsi="Times New Roman" w:cs="Times New Roman"/>
          <w:sz w:val="24"/>
          <w:szCs w:val="24"/>
          <w:lang w:eastAsia="es-MX"/>
        </w:rPr>
        <w:t>forças</w:t>
      </w:r>
      <w:proofErr w:type="spellEnd"/>
      <w:r w:rsidRPr="00CB1D8E">
        <w:rPr>
          <w:rFonts w:ascii="Times New Roman" w:eastAsia="Times New Roman" w:hAnsi="Times New Roman" w:cs="Times New Roman"/>
          <w:sz w:val="24"/>
          <w:szCs w:val="24"/>
          <w:lang w:eastAsia="es-MX"/>
        </w:rPr>
        <w:t xml:space="preserve"> competitivas </w:t>
      </w:r>
      <w:proofErr w:type="spellStart"/>
      <w:r w:rsidRPr="00CB1D8E">
        <w:rPr>
          <w:rFonts w:ascii="Times New Roman" w:eastAsia="Times New Roman" w:hAnsi="Times New Roman" w:cs="Times New Roman"/>
          <w:sz w:val="24"/>
          <w:szCs w:val="24"/>
          <w:lang w:eastAsia="es-MX"/>
        </w:rPr>
        <w:t>descobriram</w:t>
      </w:r>
      <w:proofErr w:type="spellEnd"/>
      <w:r w:rsidRPr="00CB1D8E">
        <w:rPr>
          <w:rFonts w:ascii="Times New Roman" w:eastAsia="Times New Roman" w:hAnsi="Times New Roman" w:cs="Times New Roman"/>
          <w:sz w:val="24"/>
          <w:szCs w:val="24"/>
          <w:lang w:eastAsia="es-MX"/>
        </w:rPr>
        <w:t xml:space="preserve"> que o taro mexicano é cultivado para ser exportado </w:t>
      </w:r>
      <w:proofErr w:type="spellStart"/>
      <w:r w:rsidRPr="00CB1D8E">
        <w:rPr>
          <w:rFonts w:ascii="Times New Roman" w:eastAsia="Times New Roman" w:hAnsi="Times New Roman" w:cs="Times New Roman"/>
          <w:sz w:val="24"/>
          <w:szCs w:val="24"/>
          <w:lang w:eastAsia="es-MX"/>
        </w:rPr>
        <w:t>quase</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inteiramente</w:t>
      </w:r>
      <w:proofErr w:type="spellEnd"/>
      <w:r w:rsidRPr="00CB1D8E">
        <w:rPr>
          <w:rFonts w:ascii="Times New Roman" w:eastAsia="Times New Roman" w:hAnsi="Times New Roman" w:cs="Times New Roman"/>
          <w:sz w:val="24"/>
          <w:szCs w:val="24"/>
          <w:lang w:eastAsia="es-MX"/>
        </w:rPr>
        <w:t xml:space="preserve"> para o Canadá e os Estados Unidos, </w:t>
      </w:r>
      <w:proofErr w:type="spellStart"/>
      <w:r w:rsidRPr="00CB1D8E">
        <w:rPr>
          <w:rFonts w:ascii="Times New Roman" w:eastAsia="Times New Roman" w:hAnsi="Times New Roman" w:cs="Times New Roman"/>
          <w:sz w:val="24"/>
          <w:szCs w:val="24"/>
          <w:lang w:eastAsia="es-MX"/>
        </w:rPr>
        <w:t>portanto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seus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principais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concorrentes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são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produtores</w:t>
      </w:r>
      <w:proofErr w:type="spellEnd"/>
      <w:r w:rsidRPr="00CB1D8E">
        <w:rPr>
          <w:rFonts w:ascii="Times New Roman" w:eastAsia="Times New Roman" w:hAnsi="Times New Roman" w:cs="Times New Roman"/>
          <w:sz w:val="24"/>
          <w:szCs w:val="24"/>
          <w:lang w:eastAsia="es-MX"/>
        </w:rPr>
        <w:t xml:space="preserve"> e exportadores de </w:t>
      </w:r>
      <w:proofErr w:type="spellStart"/>
      <w:r w:rsidRPr="00CB1D8E">
        <w:rPr>
          <w:rFonts w:ascii="Times New Roman" w:eastAsia="Times New Roman" w:hAnsi="Times New Roman" w:cs="Times New Roman"/>
          <w:sz w:val="24"/>
          <w:szCs w:val="24"/>
          <w:lang w:eastAsia="es-MX"/>
        </w:rPr>
        <w:t>outros</w:t>
      </w:r>
      <w:proofErr w:type="spellEnd"/>
      <w:r w:rsidRPr="00CB1D8E">
        <w:rPr>
          <w:rFonts w:ascii="Times New Roman" w:eastAsia="Times New Roman" w:hAnsi="Times New Roman" w:cs="Times New Roman"/>
          <w:sz w:val="24"/>
          <w:szCs w:val="24"/>
          <w:lang w:eastAsia="es-MX"/>
        </w:rPr>
        <w:t xml:space="preserve"> países. A </w:t>
      </w:r>
      <w:proofErr w:type="spellStart"/>
      <w:r w:rsidRPr="00CB1D8E">
        <w:rPr>
          <w:rFonts w:ascii="Times New Roman" w:eastAsia="Times New Roman" w:hAnsi="Times New Roman" w:cs="Times New Roman"/>
          <w:sz w:val="24"/>
          <w:szCs w:val="24"/>
          <w:lang w:eastAsia="es-MX"/>
        </w:rPr>
        <w:t>ameaça</w:t>
      </w:r>
      <w:proofErr w:type="spellEnd"/>
      <w:r w:rsidRPr="00CB1D8E">
        <w:rPr>
          <w:rFonts w:ascii="Times New Roman" w:eastAsia="Times New Roman" w:hAnsi="Times New Roman" w:cs="Times New Roman"/>
          <w:sz w:val="24"/>
          <w:szCs w:val="24"/>
          <w:lang w:eastAsia="es-MX"/>
        </w:rPr>
        <w:t xml:space="preserve"> de </w:t>
      </w:r>
      <w:proofErr w:type="spellStart"/>
      <w:r w:rsidRPr="00CB1D8E">
        <w:rPr>
          <w:rFonts w:ascii="Times New Roman" w:eastAsia="Times New Roman" w:hAnsi="Times New Roman" w:cs="Times New Roman"/>
          <w:sz w:val="24"/>
          <w:szCs w:val="24"/>
          <w:lang w:eastAsia="es-MX"/>
        </w:rPr>
        <w:t>novos</w:t>
      </w:r>
      <w:proofErr w:type="spellEnd"/>
      <w:r w:rsidRPr="00CB1D8E">
        <w:rPr>
          <w:rFonts w:ascii="Times New Roman" w:eastAsia="Times New Roman" w:hAnsi="Times New Roman" w:cs="Times New Roman"/>
          <w:sz w:val="24"/>
          <w:szCs w:val="24"/>
          <w:lang w:eastAsia="es-MX"/>
        </w:rPr>
        <w:t xml:space="preserve"> participantes e o poder dos compradores </w:t>
      </w:r>
      <w:proofErr w:type="spellStart"/>
      <w:r w:rsidRPr="00CB1D8E">
        <w:rPr>
          <w:rFonts w:ascii="Times New Roman" w:eastAsia="Times New Roman" w:hAnsi="Times New Roman" w:cs="Times New Roman"/>
          <w:sz w:val="24"/>
          <w:szCs w:val="24"/>
          <w:lang w:eastAsia="es-MX"/>
        </w:rPr>
        <w:t>são</w:t>
      </w:r>
      <w:proofErr w:type="spellEnd"/>
      <w:r w:rsidRPr="00CB1D8E">
        <w:rPr>
          <w:rFonts w:ascii="Times New Roman" w:eastAsia="Times New Roman" w:hAnsi="Times New Roman" w:cs="Times New Roman"/>
          <w:sz w:val="24"/>
          <w:szCs w:val="24"/>
          <w:lang w:eastAsia="es-MX"/>
        </w:rPr>
        <w:t xml:space="preserve"> altos, </w:t>
      </w:r>
      <w:proofErr w:type="spellStart"/>
      <w:r w:rsidRPr="00CB1D8E">
        <w:rPr>
          <w:rFonts w:ascii="Times New Roman" w:eastAsia="Times New Roman" w:hAnsi="Times New Roman" w:cs="Times New Roman"/>
          <w:sz w:val="24"/>
          <w:szCs w:val="24"/>
          <w:lang w:eastAsia="es-MX"/>
        </w:rPr>
        <w:t>então</w:t>
      </w:r>
      <w:proofErr w:type="spellEnd"/>
      <w:r w:rsidRPr="00CB1D8E">
        <w:rPr>
          <w:rFonts w:ascii="Times New Roman" w:eastAsia="Times New Roman" w:hAnsi="Times New Roman" w:cs="Times New Roman"/>
          <w:sz w:val="24"/>
          <w:szCs w:val="24"/>
          <w:lang w:eastAsia="es-MX"/>
        </w:rPr>
        <w:t xml:space="preserve"> existe a </w:t>
      </w:r>
      <w:proofErr w:type="spellStart"/>
      <w:r w:rsidRPr="00CB1D8E">
        <w:rPr>
          <w:rFonts w:ascii="Times New Roman" w:eastAsia="Times New Roman" w:hAnsi="Times New Roman" w:cs="Times New Roman"/>
          <w:sz w:val="24"/>
          <w:szCs w:val="24"/>
          <w:lang w:eastAsia="es-MX"/>
        </w:rPr>
        <w:t>possibilidade</w:t>
      </w:r>
      <w:proofErr w:type="spellEnd"/>
      <w:r w:rsidRPr="00CB1D8E">
        <w:rPr>
          <w:rFonts w:ascii="Times New Roman" w:eastAsia="Times New Roman" w:hAnsi="Times New Roman" w:cs="Times New Roman"/>
          <w:sz w:val="24"/>
          <w:szCs w:val="24"/>
          <w:lang w:eastAsia="es-MX"/>
        </w:rPr>
        <w:t xml:space="preserve"> de que o taro mexicano </w:t>
      </w:r>
      <w:proofErr w:type="spellStart"/>
      <w:r w:rsidRPr="00CB1D8E">
        <w:rPr>
          <w:rFonts w:ascii="Times New Roman" w:eastAsia="Times New Roman" w:hAnsi="Times New Roman" w:cs="Times New Roman"/>
          <w:sz w:val="24"/>
          <w:szCs w:val="24"/>
          <w:lang w:eastAsia="es-MX"/>
        </w:rPr>
        <w:t>seja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substituído</w:t>
      </w:r>
      <w:proofErr w:type="spellEnd"/>
      <w:r w:rsidRPr="00CB1D8E">
        <w:rPr>
          <w:rFonts w:ascii="Times New Roman" w:eastAsia="Times New Roman" w:hAnsi="Times New Roman" w:cs="Times New Roman"/>
          <w:sz w:val="24"/>
          <w:szCs w:val="24"/>
          <w:lang w:eastAsia="es-MX"/>
        </w:rPr>
        <w:t xml:space="preserve"> por </w:t>
      </w:r>
      <w:proofErr w:type="spellStart"/>
      <w:r w:rsidRPr="00CB1D8E">
        <w:rPr>
          <w:rFonts w:ascii="Times New Roman" w:eastAsia="Times New Roman" w:hAnsi="Times New Roman" w:cs="Times New Roman"/>
          <w:sz w:val="24"/>
          <w:szCs w:val="24"/>
          <w:lang w:eastAsia="es-MX"/>
        </w:rPr>
        <w:t>outros</w:t>
      </w:r>
      <w:proofErr w:type="spellEnd"/>
      <w:r w:rsidRPr="00CB1D8E">
        <w:rPr>
          <w:rFonts w:ascii="Times New Roman" w:eastAsia="Times New Roman" w:hAnsi="Times New Roman" w:cs="Times New Roman"/>
          <w:sz w:val="24"/>
          <w:szCs w:val="24"/>
          <w:lang w:eastAsia="es-MX"/>
        </w:rPr>
        <w:t xml:space="preserve"> países, especialmente </w:t>
      </w:r>
      <w:proofErr w:type="spellStart"/>
      <w:r w:rsidRPr="00CB1D8E">
        <w:rPr>
          <w:rFonts w:ascii="Times New Roman" w:eastAsia="Times New Roman" w:hAnsi="Times New Roman" w:cs="Times New Roman"/>
          <w:sz w:val="24"/>
          <w:szCs w:val="24"/>
          <w:lang w:eastAsia="es-MX"/>
        </w:rPr>
        <w:t>quando</w:t>
      </w:r>
      <w:proofErr w:type="spellEnd"/>
      <w:r w:rsidRPr="00CB1D8E">
        <w:rPr>
          <w:rFonts w:ascii="Times New Roman" w:eastAsia="Times New Roman" w:hAnsi="Times New Roman" w:cs="Times New Roman"/>
          <w:sz w:val="24"/>
          <w:szCs w:val="24"/>
          <w:lang w:eastAsia="es-MX"/>
        </w:rPr>
        <w:t xml:space="preserve"> a </w:t>
      </w:r>
      <w:proofErr w:type="spellStart"/>
      <w:r w:rsidRPr="00CB1D8E">
        <w:rPr>
          <w:rFonts w:ascii="Times New Roman" w:eastAsia="Times New Roman" w:hAnsi="Times New Roman" w:cs="Times New Roman"/>
          <w:sz w:val="24"/>
          <w:szCs w:val="24"/>
          <w:lang w:eastAsia="es-MX"/>
        </w:rPr>
        <w:t>competição</w:t>
      </w:r>
      <w:proofErr w:type="spellEnd"/>
      <w:r w:rsidRPr="00CB1D8E">
        <w:rPr>
          <w:rFonts w:ascii="Times New Roman" w:eastAsia="Times New Roman" w:hAnsi="Times New Roman" w:cs="Times New Roman"/>
          <w:sz w:val="24"/>
          <w:szCs w:val="24"/>
          <w:lang w:eastAsia="es-MX"/>
        </w:rPr>
        <w:t xml:space="preserve"> é </w:t>
      </w:r>
      <w:proofErr w:type="spellStart"/>
      <w:r w:rsidRPr="00CB1D8E">
        <w:rPr>
          <w:rFonts w:ascii="Times New Roman" w:eastAsia="Times New Roman" w:hAnsi="Times New Roman" w:cs="Times New Roman"/>
          <w:sz w:val="24"/>
          <w:szCs w:val="24"/>
          <w:lang w:eastAsia="es-MX"/>
        </w:rPr>
        <w:t>baseada</w:t>
      </w:r>
      <w:proofErr w:type="spellEnd"/>
      <w:r w:rsidRPr="00CB1D8E">
        <w:rPr>
          <w:rFonts w:ascii="Times New Roman" w:eastAsia="Times New Roman" w:hAnsi="Times New Roman" w:cs="Times New Roman"/>
          <w:sz w:val="24"/>
          <w:szCs w:val="24"/>
          <w:lang w:eastAsia="es-MX"/>
        </w:rPr>
        <w:t xml:space="preserve"> em </w:t>
      </w:r>
      <w:proofErr w:type="spellStart"/>
      <w:r w:rsidRPr="00CB1D8E">
        <w:rPr>
          <w:rFonts w:ascii="Times New Roman" w:eastAsia="Times New Roman" w:hAnsi="Times New Roman" w:cs="Times New Roman"/>
          <w:sz w:val="24"/>
          <w:szCs w:val="24"/>
          <w:lang w:eastAsia="es-MX"/>
        </w:rPr>
        <w:t>preços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baixos</w:t>
      </w:r>
      <w:proofErr w:type="spellEnd"/>
      <w:r w:rsidRPr="00CB1D8E">
        <w:rPr>
          <w:rFonts w:ascii="Times New Roman" w:eastAsia="Times New Roman" w:hAnsi="Times New Roman" w:cs="Times New Roman"/>
          <w:sz w:val="24"/>
          <w:szCs w:val="24"/>
          <w:lang w:eastAsia="es-MX"/>
        </w:rPr>
        <w:t xml:space="preserve">. Por </w:t>
      </w:r>
      <w:proofErr w:type="spellStart"/>
      <w:r w:rsidRPr="00CB1D8E">
        <w:rPr>
          <w:rFonts w:ascii="Times New Roman" w:eastAsia="Times New Roman" w:hAnsi="Times New Roman" w:cs="Times New Roman"/>
          <w:sz w:val="24"/>
          <w:szCs w:val="24"/>
          <w:lang w:eastAsia="es-MX"/>
        </w:rPr>
        <w:t>essa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razão</w:t>
      </w:r>
      <w:proofErr w:type="spellEnd"/>
      <w:r w:rsidRPr="00CB1D8E">
        <w:rPr>
          <w:rFonts w:ascii="Times New Roman" w:eastAsia="Times New Roman" w:hAnsi="Times New Roman" w:cs="Times New Roman"/>
          <w:sz w:val="24"/>
          <w:szCs w:val="24"/>
          <w:lang w:eastAsia="es-MX"/>
        </w:rPr>
        <w:t xml:space="preserve">, a </w:t>
      </w:r>
      <w:proofErr w:type="spellStart"/>
      <w:r w:rsidRPr="00CB1D8E">
        <w:rPr>
          <w:rFonts w:ascii="Times New Roman" w:eastAsia="Times New Roman" w:hAnsi="Times New Roman" w:cs="Times New Roman"/>
          <w:sz w:val="24"/>
          <w:szCs w:val="24"/>
          <w:lang w:eastAsia="es-MX"/>
        </w:rPr>
        <w:t>rivalidade</w:t>
      </w:r>
      <w:proofErr w:type="spellEnd"/>
      <w:r w:rsidRPr="00CB1D8E">
        <w:rPr>
          <w:rFonts w:ascii="Times New Roman" w:eastAsia="Times New Roman" w:hAnsi="Times New Roman" w:cs="Times New Roman"/>
          <w:sz w:val="24"/>
          <w:szCs w:val="24"/>
          <w:lang w:eastAsia="es-MX"/>
        </w:rPr>
        <w:t xml:space="preserve"> entre os </w:t>
      </w:r>
      <w:proofErr w:type="spellStart"/>
      <w:r w:rsidRPr="00CB1D8E">
        <w:rPr>
          <w:rFonts w:ascii="Times New Roman" w:eastAsia="Times New Roman" w:hAnsi="Times New Roman" w:cs="Times New Roman"/>
          <w:sz w:val="24"/>
          <w:szCs w:val="24"/>
          <w:lang w:eastAsia="es-MX"/>
        </w:rPr>
        <w:t>concorrentes</w:t>
      </w:r>
      <w:proofErr w:type="spellEnd"/>
      <w:r w:rsidRPr="00CB1D8E">
        <w:rPr>
          <w:rFonts w:ascii="Times New Roman" w:eastAsia="Times New Roman" w:hAnsi="Times New Roman" w:cs="Times New Roman"/>
          <w:sz w:val="24"/>
          <w:szCs w:val="24"/>
          <w:lang w:eastAsia="es-MX"/>
        </w:rPr>
        <w:t xml:space="preserve"> </w:t>
      </w:r>
      <w:r w:rsidRPr="00CB1D8E">
        <w:rPr>
          <w:rFonts w:ascii="Times New Roman" w:eastAsia="Times New Roman" w:hAnsi="Times New Roman" w:cs="Times New Roman"/>
          <w:sz w:val="24"/>
          <w:szCs w:val="24"/>
          <w:lang w:eastAsia="es-MX"/>
        </w:rPr>
        <w:lastRenderedPageBreak/>
        <w:t xml:space="preserve">existentes é alta. Os determinantes do diamante de Porter </w:t>
      </w:r>
      <w:proofErr w:type="spellStart"/>
      <w:r w:rsidRPr="00CB1D8E">
        <w:rPr>
          <w:rFonts w:ascii="Times New Roman" w:eastAsia="Times New Roman" w:hAnsi="Times New Roman" w:cs="Times New Roman"/>
          <w:sz w:val="24"/>
          <w:szCs w:val="24"/>
          <w:lang w:eastAsia="es-MX"/>
        </w:rPr>
        <w:t>mostram</w:t>
      </w:r>
      <w:proofErr w:type="spellEnd"/>
      <w:r w:rsidRPr="00CB1D8E">
        <w:rPr>
          <w:rFonts w:ascii="Times New Roman" w:eastAsia="Times New Roman" w:hAnsi="Times New Roman" w:cs="Times New Roman"/>
          <w:sz w:val="24"/>
          <w:szCs w:val="24"/>
          <w:lang w:eastAsia="es-MX"/>
        </w:rPr>
        <w:t xml:space="preserve"> que </w:t>
      </w:r>
      <w:proofErr w:type="spellStart"/>
      <w:r w:rsidRPr="00CB1D8E">
        <w:rPr>
          <w:rFonts w:ascii="Times New Roman" w:eastAsia="Times New Roman" w:hAnsi="Times New Roman" w:cs="Times New Roman"/>
          <w:sz w:val="24"/>
          <w:szCs w:val="24"/>
          <w:lang w:eastAsia="es-MX"/>
        </w:rPr>
        <w:t>existem</w:t>
      </w:r>
      <w:proofErr w:type="spellEnd"/>
      <w:r w:rsidRPr="00CB1D8E">
        <w:rPr>
          <w:rFonts w:ascii="Times New Roman" w:eastAsia="Times New Roman" w:hAnsi="Times New Roman" w:cs="Times New Roman"/>
          <w:sz w:val="24"/>
          <w:szCs w:val="24"/>
          <w:lang w:eastAsia="es-MX"/>
        </w:rPr>
        <w:t xml:space="preserve"> oportunidades e </w:t>
      </w:r>
      <w:proofErr w:type="spellStart"/>
      <w:r w:rsidRPr="00CB1D8E">
        <w:rPr>
          <w:rFonts w:ascii="Times New Roman" w:eastAsia="Times New Roman" w:hAnsi="Times New Roman" w:cs="Times New Roman"/>
          <w:sz w:val="24"/>
          <w:szCs w:val="24"/>
          <w:lang w:eastAsia="es-MX"/>
        </w:rPr>
        <w:t>desafios</w:t>
      </w:r>
      <w:proofErr w:type="spellEnd"/>
      <w:r w:rsidRPr="00CB1D8E">
        <w:rPr>
          <w:rFonts w:ascii="Times New Roman" w:eastAsia="Times New Roman" w:hAnsi="Times New Roman" w:cs="Times New Roman"/>
          <w:sz w:val="24"/>
          <w:szCs w:val="24"/>
          <w:lang w:eastAsia="es-MX"/>
        </w:rPr>
        <w:t xml:space="preserve"> tanto no mercado interno </w:t>
      </w:r>
      <w:proofErr w:type="spellStart"/>
      <w:r w:rsidRPr="00CB1D8E">
        <w:rPr>
          <w:rFonts w:ascii="Times New Roman" w:eastAsia="Times New Roman" w:hAnsi="Times New Roman" w:cs="Times New Roman"/>
          <w:sz w:val="24"/>
          <w:szCs w:val="24"/>
          <w:lang w:eastAsia="es-MX"/>
        </w:rPr>
        <w:t>quanto</w:t>
      </w:r>
      <w:proofErr w:type="spellEnd"/>
      <w:r w:rsidRPr="00CB1D8E">
        <w:rPr>
          <w:rFonts w:ascii="Times New Roman" w:eastAsia="Times New Roman" w:hAnsi="Times New Roman" w:cs="Times New Roman"/>
          <w:sz w:val="24"/>
          <w:szCs w:val="24"/>
          <w:lang w:eastAsia="es-MX"/>
        </w:rPr>
        <w:t xml:space="preserve"> no exterior, mas </w:t>
      </w:r>
      <w:proofErr w:type="spellStart"/>
      <w:r w:rsidRPr="00CB1D8E">
        <w:rPr>
          <w:rFonts w:ascii="Times New Roman" w:eastAsia="Times New Roman" w:hAnsi="Times New Roman" w:cs="Times New Roman"/>
          <w:sz w:val="24"/>
          <w:szCs w:val="24"/>
          <w:lang w:eastAsia="es-MX"/>
        </w:rPr>
        <w:t>sob</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condições</w:t>
      </w:r>
      <w:proofErr w:type="spellEnd"/>
      <w:r w:rsidRPr="00CB1D8E">
        <w:rPr>
          <w:rFonts w:ascii="Times New Roman" w:eastAsia="Times New Roman" w:hAnsi="Times New Roman" w:cs="Times New Roman"/>
          <w:sz w:val="24"/>
          <w:szCs w:val="24"/>
          <w:lang w:eastAsia="es-MX"/>
        </w:rPr>
        <w:t xml:space="preserve"> de incerteza, principalmente </w:t>
      </w:r>
      <w:proofErr w:type="spellStart"/>
      <w:r w:rsidRPr="00CB1D8E">
        <w:rPr>
          <w:rFonts w:ascii="Times New Roman" w:eastAsia="Times New Roman" w:hAnsi="Times New Roman" w:cs="Times New Roman"/>
          <w:sz w:val="24"/>
          <w:szCs w:val="24"/>
          <w:lang w:eastAsia="es-MX"/>
        </w:rPr>
        <w:t>devido</w:t>
      </w:r>
      <w:proofErr w:type="spellEnd"/>
      <w:r w:rsidRPr="00CB1D8E">
        <w:rPr>
          <w:rFonts w:ascii="Times New Roman" w:eastAsia="Times New Roman" w:hAnsi="Times New Roman" w:cs="Times New Roman"/>
          <w:sz w:val="24"/>
          <w:szCs w:val="24"/>
          <w:lang w:eastAsia="es-MX"/>
        </w:rPr>
        <w:t xml:space="preserve"> à </w:t>
      </w:r>
      <w:proofErr w:type="spellStart"/>
      <w:r w:rsidRPr="00CB1D8E">
        <w:rPr>
          <w:rFonts w:ascii="Times New Roman" w:eastAsia="Times New Roman" w:hAnsi="Times New Roman" w:cs="Times New Roman"/>
          <w:sz w:val="24"/>
          <w:szCs w:val="24"/>
          <w:lang w:eastAsia="es-MX"/>
        </w:rPr>
        <w:t>modificação</w:t>
      </w:r>
      <w:proofErr w:type="spellEnd"/>
      <w:r w:rsidRPr="00CB1D8E">
        <w:rPr>
          <w:rFonts w:ascii="Times New Roman" w:eastAsia="Times New Roman" w:hAnsi="Times New Roman" w:cs="Times New Roman"/>
          <w:sz w:val="24"/>
          <w:szCs w:val="24"/>
          <w:lang w:eastAsia="es-MX"/>
        </w:rPr>
        <w:t xml:space="preserve"> do </w:t>
      </w:r>
      <w:proofErr w:type="spellStart"/>
      <w:r w:rsidRPr="00CB1D8E">
        <w:rPr>
          <w:rFonts w:ascii="Times New Roman" w:eastAsia="Times New Roman" w:hAnsi="Times New Roman" w:cs="Times New Roman"/>
          <w:sz w:val="24"/>
          <w:szCs w:val="24"/>
          <w:lang w:eastAsia="es-MX"/>
        </w:rPr>
        <w:t>Acordo</w:t>
      </w:r>
      <w:proofErr w:type="spellEnd"/>
      <w:r w:rsidRPr="00CB1D8E">
        <w:rPr>
          <w:rFonts w:ascii="Times New Roman" w:eastAsia="Times New Roman" w:hAnsi="Times New Roman" w:cs="Times New Roman"/>
          <w:sz w:val="24"/>
          <w:szCs w:val="24"/>
          <w:lang w:eastAsia="es-MX"/>
        </w:rPr>
        <w:t xml:space="preserve"> de </w:t>
      </w:r>
      <w:proofErr w:type="spellStart"/>
      <w:r w:rsidRPr="00CB1D8E">
        <w:rPr>
          <w:rFonts w:ascii="Times New Roman" w:eastAsia="Times New Roman" w:hAnsi="Times New Roman" w:cs="Times New Roman"/>
          <w:sz w:val="24"/>
          <w:szCs w:val="24"/>
          <w:lang w:eastAsia="es-MX"/>
        </w:rPr>
        <w:t>Livre</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Comércio</w:t>
      </w:r>
      <w:proofErr w:type="spellEnd"/>
      <w:r w:rsidRPr="00CB1D8E">
        <w:rPr>
          <w:rFonts w:ascii="Times New Roman" w:eastAsia="Times New Roman" w:hAnsi="Times New Roman" w:cs="Times New Roman"/>
          <w:sz w:val="24"/>
          <w:szCs w:val="24"/>
          <w:lang w:eastAsia="es-MX"/>
        </w:rPr>
        <w:t xml:space="preserve"> da América do Norte, que </w:t>
      </w:r>
      <w:proofErr w:type="spellStart"/>
      <w:r w:rsidRPr="00CB1D8E">
        <w:rPr>
          <w:rFonts w:ascii="Times New Roman" w:eastAsia="Times New Roman" w:hAnsi="Times New Roman" w:cs="Times New Roman"/>
          <w:sz w:val="24"/>
          <w:szCs w:val="24"/>
          <w:lang w:eastAsia="es-MX"/>
        </w:rPr>
        <w:t>afetaria</w:t>
      </w:r>
      <w:proofErr w:type="spellEnd"/>
      <w:r w:rsidRPr="00CB1D8E">
        <w:rPr>
          <w:rFonts w:ascii="Times New Roman" w:eastAsia="Times New Roman" w:hAnsi="Times New Roman" w:cs="Times New Roman"/>
          <w:sz w:val="24"/>
          <w:szCs w:val="24"/>
          <w:lang w:eastAsia="es-MX"/>
        </w:rPr>
        <w:t xml:space="preserve"> o </w:t>
      </w:r>
      <w:proofErr w:type="spellStart"/>
      <w:r w:rsidRPr="00CB1D8E">
        <w:rPr>
          <w:rFonts w:ascii="Times New Roman" w:eastAsia="Times New Roman" w:hAnsi="Times New Roman" w:cs="Times New Roman"/>
          <w:sz w:val="24"/>
          <w:szCs w:val="24"/>
          <w:lang w:eastAsia="es-MX"/>
        </w:rPr>
        <w:t>setor</w:t>
      </w:r>
      <w:proofErr w:type="spellEnd"/>
      <w:r w:rsidRPr="00CB1D8E">
        <w:rPr>
          <w:rFonts w:ascii="Times New Roman" w:eastAsia="Times New Roman" w:hAnsi="Times New Roman" w:cs="Times New Roman"/>
          <w:sz w:val="24"/>
          <w:szCs w:val="24"/>
          <w:lang w:eastAsia="es-MX"/>
        </w:rPr>
        <w:t xml:space="preserve">. agrícolas em </w:t>
      </w:r>
      <w:proofErr w:type="spellStart"/>
      <w:r w:rsidRPr="00CB1D8E">
        <w:rPr>
          <w:rFonts w:ascii="Times New Roman" w:eastAsia="Times New Roman" w:hAnsi="Times New Roman" w:cs="Times New Roman"/>
          <w:sz w:val="24"/>
          <w:szCs w:val="24"/>
          <w:lang w:eastAsia="es-MX"/>
        </w:rPr>
        <w:t>geral</w:t>
      </w:r>
      <w:proofErr w:type="spellEnd"/>
      <w:r w:rsidRPr="00CB1D8E">
        <w:rPr>
          <w:rFonts w:ascii="Times New Roman" w:eastAsia="Times New Roman" w:hAnsi="Times New Roman" w:cs="Times New Roman"/>
          <w:sz w:val="24"/>
          <w:szCs w:val="24"/>
          <w:lang w:eastAsia="es-MX"/>
        </w:rPr>
        <w:t xml:space="preserve">. Finalmente, </w:t>
      </w:r>
      <w:proofErr w:type="spellStart"/>
      <w:r w:rsidRPr="00CB1D8E">
        <w:rPr>
          <w:rFonts w:ascii="Times New Roman" w:eastAsia="Times New Roman" w:hAnsi="Times New Roman" w:cs="Times New Roman"/>
          <w:sz w:val="24"/>
          <w:szCs w:val="24"/>
          <w:lang w:eastAsia="es-MX"/>
        </w:rPr>
        <w:t>um</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posicionamento</w:t>
      </w:r>
      <w:proofErr w:type="spellEnd"/>
      <w:r w:rsidRPr="00CB1D8E">
        <w:rPr>
          <w:rFonts w:ascii="Times New Roman" w:eastAsia="Times New Roman" w:hAnsi="Times New Roman" w:cs="Times New Roman"/>
          <w:sz w:val="24"/>
          <w:szCs w:val="24"/>
          <w:lang w:eastAsia="es-MX"/>
        </w:rPr>
        <w:t xml:space="preserve"> situacional </w:t>
      </w:r>
      <w:proofErr w:type="spellStart"/>
      <w:r w:rsidRPr="00CB1D8E">
        <w:rPr>
          <w:rFonts w:ascii="Times New Roman" w:eastAsia="Times New Roman" w:hAnsi="Times New Roman" w:cs="Times New Roman"/>
          <w:sz w:val="24"/>
          <w:szCs w:val="24"/>
          <w:lang w:eastAsia="es-MX"/>
        </w:rPr>
        <w:t>não</w:t>
      </w:r>
      <w:proofErr w:type="spellEnd"/>
      <w:r w:rsidRPr="00CB1D8E">
        <w:rPr>
          <w:rFonts w:ascii="Times New Roman" w:eastAsia="Times New Roman" w:hAnsi="Times New Roman" w:cs="Times New Roman"/>
          <w:sz w:val="24"/>
          <w:szCs w:val="24"/>
          <w:lang w:eastAsia="es-MX"/>
        </w:rPr>
        <w:t xml:space="preserve"> definido é indicado. As </w:t>
      </w:r>
      <w:proofErr w:type="spellStart"/>
      <w:r w:rsidRPr="00CB1D8E">
        <w:rPr>
          <w:rFonts w:ascii="Times New Roman" w:eastAsia="Times New Roman" w:hAnsi="Times New Roman" w:cs="Times New Roman"/>
          <w:sz w:val="24"/>
          <w:szCs w:val="24"/>
          <w:lang w:eastAsia="es-MX"/>
        </w:rPr>
        <w:t>conclusões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indicam</w:t>
      </w:r>
      <w:proofErr w:type="spellEnd"/>
      <w:r w:rsidRPr="00CB1D8E">
        <w:rPr>
          <w:rFonts w:ascii="Times New Roman" w:eastAsia="Times New Roman" w:hAnsi="Times New Roman" w:cs="Times New Roman"/>
          <w:sz w:val="24"/>
          <w:szCs w:val="24"/>
          <w:lang w:eastAsia="es-MX"/>
        </w:rPr>
        <w:t xml:space="preserve"> que </w:t>
      </w:r>
      <w:proofErr w:type="spellStart"/>
      <w:r w:rsidRPr="00CB1D8E">
        <w:rPr>
          <w:rFonts w:ascii="Times New Roman" w:eastAsia="Times New Roman" w:hAnsi="Times New Roman" w:cs="Times New Roman"/>
          <w:sz w:val="24"/>
          <w:szCs w:val="24"/>
          <w:lang w:eastAsia="es-MX"/>
        </w:rPr>
        <w:t>essa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atividade</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produtiva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tem</w:t>
      </w:r>
      <w:proofErr w:type="spellEnd"/>
      <w:r w:rsidRPr="00CB1D8E">
        <w:rPr>
          <w:rFonts w:ascii="Times New Roman" w:eastAsia="Times New Roman" w:hAnsi="Times New Roman" w:cs="Times New Roman"/>
          <w:sz w:val="24"/>
          <w:szCs w:val="24"/>
          <w:lang w:eastAsia="es-MX"/>
        </w:rPr>
        <w:t xml:space="preserve"> potencial para contribuir para a </w:t>
      </w:r>
      <w:proofErr w:type="spellStart"/>
      <w:r w:rsidRPr="00CB1D8E">
        <w:rPr>
          <w:rFonts w:ascii="Times New Roman" w:eastAsia="Times New Roman" w:hAnsi="Times New Roman" w:cs="Times New Roman"/>
          <w:sz w:val="24"/>
          <w:szCs w:val="24"/>
          <w:lang w:eastAsia="es-MX"/>
        </w:rPr>
        <w:t>economia</w:t>
      </w:r>
      <w:proofErr w:type="spellEnd"/>
      <w:r w:rsidRPr="00CB1D8E">
        <w:rPr>
          <w:rFonts w:ascii="Times New Roman" w:eastAsia="Times New Roman" w:hAnsi="Times New Roman" w:cs="Times New Roman"/>
          <w:sz w:val="24"/>
          <w:szCs w:val="24"/>
          <w:lang w:eastAsia="es-MX"/>
        </w:rPr>
        <w:t xml:space="preserve"> e para a </w:t>
      </w:r>
      <w:proofErr w:type="spellStart"/>
      <w:r w:rsidRPr="00CB1D8E">
        <w:rPr>
          <w:rFonts w:ascii="Times New Roman" w:eastAsia="Times New Roman" w:hAnsi="Times New Roman" w:cs="Times New Roman"/>
          <w:sz w:val="24"/>
          <w:szCs w:val="24"/>
          <w:lang w:eastAsia="es-MX"/>
        </w:rPr>
        <w:t>geração</w:t>
      </w:r>
      <w:proofErr w:type="spellEnd"/>
      <w:r w:rsidRPr="00CB1D8E">
        <w:rPr>
          <w:rFonts w:ascii="Times New Roman" w:eastAsia="Times New Roman" w:hAnsi="Times New Roman" w:cs="Times New Roman"/>
          <w:sz w:val="24"/>
          <w:szCs w:val="24"/>
          <w:lang w:eastAsia="es-MX"/>
        </w:rPr>
        <w:t xml:space="preserve"> de </w:t>
      </w:r>
      <w:proofErr w:type="spellStart"/>
      <w:r w:rsidRPr="00CB1D8E">
        <w:rPr>
          <w:rFonts w:ascii="Times New Roman" w:eastAsia="Times New Roman" w:hAnsi="Times New Roman" w:cs="Times New Roman"/>
          <w:sz w:val="24"/>
          <w:szCs w:val="24"/>
          <w:lang w:eastAsia="es-MX"/>
        </w:rPr>
        <w:t>empregos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Atualmente</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não</w:t>
      </w:r>
      <w:proofErr w:type="spellEnd"/>
      <w:r w:rsidRPr="00CB1D8E">
        <w:rPr>
          <w:rFonts w:ascii="Times New Roman" w:eastAsia="Times New Roman" w:hAnsi="Times New Roman" w:cs="Times New Roman"/>
          <w:sz w:val="24"/>
          <w:szCs w:val="24"/>
          <w:lang w:eastAsia="es-MX"/>
        </w:rPr>
        <w:t xml:space="preserve"> existe </w:t>
      </w:r>
      <w:proofErr w:type="spellStart"/>
      <w:r w:rsidRPr="00CB1D8E">
        <w:rPr>
          <w:rFonts w:ascii="Times New Roman" w:eastAsia="Times New Roman" w:hAnsi="Times New Roman" w:cs="Times New Roman"/>
          <w:sz w:val="24"/>
          <w:szCs w:val="24"/>
          <w:lang w:eastAsia="es-MX"/>
        </w:rPr>
        <w:t>uma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estratégia</w:t>
      </w:r>
      <w:proofErr w:type="spellEnd"/>
      <w:r w:rsidRPr="00CB1D8E">
        <w:rPr>
          <w:rFonts w:ascii="Times New Roman" w:eastAsia="Times New Roman" w:hAnsi="Times New Roman" w:cs="Times New Roman"/>
          <w:sz w:val="24"/>
          <w:szCs w:val="24"/>
          <w:lang w:eastAsia="es-MX"/>
        </w:rPr>
        <w:t xml:space="preserve"> genérica </w:t>
      </w:r>
      <w:proofErr w:type="spellStart"/>
      <w:r w:rsidRPr="00CB1D8E">
        <w:rPr>
          <w:rFonts w:ascii="Times New Roman" w:eastAsia="Times New Roman" w:hAnsi="Times New Roman" w:cs="Times New Roman"/>
          <w:sz w:val="24"/>
          <w:szCs w:val="24"/>
          <w:lang w:eastAsia="es-MX"/>
        </w:rPr>
        <w:t>estabelecida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mas</w:t>
      </w:r>
      <w:proofErr w:type="spellEnd"/>
      <w:r w:rsidRPr="00CB1D8E">
        <w:rPr>
          <w:rFonts w:ascii="Times New Roman" w:eastAsia="Times New Roman" w:hAnsi="Times New Roman" w:cs="Times New Roman"/>
          <w:sz w:val="24"/>
          <w:szCs w:val="24"/>
          <w:lang w:eastAsia="es-MX"/>
        </w:rPr>
        <w:t xml:space="preserve"> involuntariamente esta </w:t>
      </w:r>
      <w:proofErr w:type="spellStart"/>
      <w:r w:rsidRPr="00CB1D8E">
        <w:rPr>
          <w:rFonts w:ascii="Times New Roman" w:eastAsia="Times New Roman" w:hAnsi="Times New Roman" w:cs="Times New Roman"/>
          <w:sz w:val="24"/>
          <w:szCs w:val="24"/>
          <w:lang w:eastAsia="es-MX"/>
        </w:rPr>
        <w:t>atividade</w:t>
      </w:r>
      <w:proofErr w:type="spellEnd"/>
      <w:r w:rsidRPr="00CB1D8E">
        <w:rPr>
          <w:rFonts w:ascii="Times New Roman" w:eastAsia="Times New Roman" w:hAnsi="Times New Roman" w:cs="Times New Roman"/>
          <w:sz w:val="24"/>
          <w:szCs w:val="24"/>
          <w:lang w:eastAsia="es-MX"/>
        </w:rPr>
        <w:t xml:space="preserve"> compete </w:t>
      </w:r>
      <w:proofErr w:type="spellStart"/>
      <w:r w:rsidRPr="00CB1D8E">
        <w:rPr>
          <w:rFonts w:ascii="Times New Roman" w:eastAsia="Times New Roman" w:hAnsi="Times New Roman" w:cs="Times New Roman"/>
          <w:sz w:val="24"/>
          <w:szCs w:val="24"/>
          <w:lang w:eastAsia="es-MX"/>
        </w:rPr>
        <w:t>com</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preços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baixos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sem</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qualquer</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diferenciação</w:t>
      </w:r>
      <w:proofErr w:type="spellEnd"/>
      <w:r w:rsidRPr="00CB1D8E">
        <w:rPr>
          <w:rFonts w:ascii="Times New Roman" w:eastAsia="Times New Roman" w:hAnsi="Times New Roman" w:cs="Times New Roman"/>
          <w:sz w:val="24"/>
          <w:szCs w:val="24"/>
          <w:lang w:eastAsia="es-MX"/>
        </w:rPr>
        <w:t xml:space="preserve">. A </w:t>
      </w:r>
      <w:proofErr w:type="spellStart"/>
      <w:r w:rsidRPr="00CB1D8E">
        <w:rPr>
          <w:rFonts w:ascii="Times New Roman" w:eastAsia="Times New Roman" w:hAnsi="Times New Roman" w:cs="Times New Roman"/>
          <w:sz w:val="24"/>
          <w:szCs w:val="24"/>
          <w:lang w:eastAsia="es-MX"/>
        </w:rPr>
        <w:t>situação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concorrencial</w:t>
      </w:r>
      <w:proofErr w:type="spellEnd"/>
      <w:r w:rsidRPr="00CB1D8E">
        <w:rPr>
          <w:rFonts w:ascii="Times New Roman" w:eastAsia="Times New Roman" w:hAnsi="Times New Roman" w:cs="Times New Roman"/>
          <w:sz w:val="24"/>
          <w:szCs w:val="24"/>
          <w:lang w:eastAsia="es-MX"/>
        </w:rPr>
        <w:t xml:space="preserve"> é </w:t>
      </w:r>
      <w:proofErr w:type="spellStart"/>
      <w:r w:rsidRPr="00CB1D8E">
        <w:rPr>
          <w:rFonts w:ascii="Times New Roman" w:eastAsia="Times New Roman" w:hAnsi="Times New Roman" w:cs="Times New Roman"/>
          <w:sz w:val="24"/>
          <w:szCs w:val="24"/>
          <w:lang w:eastAsia="es-MX"/>
        </w:rPr>
        <w:t>percebido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vulneráveis</w:t>
      </w:r>
      <w:proofErr w:type="spellEnd"/>
      <w:r w:rsidRPr="00CB1D8E">
        <w:rPr>
          <w:rFonts w:ascii="Times New Roman" w:eastAsia="Times New Roman" w:hAnsi="Times New Roman" w:cs="Times New Roman"/>
          <w:sz w:val="24"/>
          <w:szCs w:val="24"/>
          <w:lang w:eastAsia="es-MX"/>
        </w:rPr>
        <w:t xml:space="preserve"> ​​de </w:t>
      </w:r>
      <w:proofErr w:type="spellStart"/>
      <w:r w:rsidRPr="00CB1D8E">
        <w:rPr>
          <w:rFonts w:ascii="Times New Roman" w:eastAsia="Times New Roman" w:hAnsi="Times New Roman" w:cs="Times New Roman"/>
          <w:sz w:val="24"/>
          <w:szCs w:val="24"/>
          <w:lang w:eastAsia="es-MX"/>
        </w:rPr>
        <w:t>acordo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com</w:t>
      </w:r>
      <w:proofErr w:type="spellEnd"/>
      <w:r w:rsidRPr="00CB1D8E">
        <w:rPr>
          <w:rFonts w:ascii="Times New Roman" w:eastAsia="Times New Roman" w:hAnsi="Times New Roman" w:cs="Times New Roman"/>
          <w:sz w:val="24"/>
          <w:szCs w:val="24"/>
          <w:lang w:eastAsia="es-MX"/>
        </w:rPr>
        <w:t xml:space="preserve"> a </w:t>
      </w:r>
      <w:proofErr w:type="spellStart"/>
      <w:r w:rsidRPr="00CB1D8E">
        <w:rPr>
          <w:rFonts w:ascii="Times New Roman" w:eastAsia="Times New Roman" w:hAnsi="Times New Roman" w:cs="Times New Roman"/>
          <w:sz w:val="24"/>
          <w:szCs w:val="24"/>
          <w:lang w:eastAsia="es-MX"/>
        </w:rPr>
        <w:t>análise</w:t>
      </w:r>
      <w:proofErr w:type="spellEnd"/>
      <w:r w:rsidRPr="00CB1D8E">
        <w:rPr>
          <w:rFonts w:ascii="Times New Roman" w:eastAsia="Times New Roman" w:hAnsi="Times New Roman" w:cs="Times New Roman"/>
          <w:sz w:val="24"/>
          <w:szCs w:val="24"/>
          <w:lang w:eastAsia="es-MX"/>
        </w:rPr>
        <w:t xml:space="preserve">, por </w:t>
      </w:r>
      <w:proofErr w:type="spellStart"/>
      <w:r w:rsidRPr="00CB1D8E">
        <w:rPr>
          <w:rFonts w:ascii="Times New Roman" w:eastAsia="Times New Roman" w:hAnsi="Times New Roman" w:cs="Times New Roman"/>
          <w:sz w:val="24"/>
          <w:szCs w:val="24"/>
          <w:lang w:eastAsia="es-MX"/>
        </w:rPr>
        <w:t>isso</w:t>
      </w:r>
      <w:proofErr w:type="spellEnd"/>
      <w:r w:rsidRPr="00CB1D8E">
        <w:rPr>
          <w:rFonts w:ascii="Times New Roman" w:eastAsia="Times New Roman" w:hAnsi="Times New Roman" w:cs="Times New Roman"/>
          <w:sz w:val="24"/>
          <w:szCs w:val="24"/>
          <w:lang w:eastAsia="es-MX"/>
        </w:rPr>
        <w:t xml:space="preserve"> é vital que a </w:t>
      </w:r>
      <w:proofErr w:type="spellStart"/>
      <w:r w:rsidRPr="00CB1D8E">
        <w:rPr>
          <w:rFonts w:ascii="Times New Roman" w:eastAsia="Times New Roman" w:hAnsi="Times New Roman" w:cs="Times New Roman"/>
          <w:sz w:val="24"/>
          <w:szCs w:val="24"/>
          <w:lang w:eastAsia="es-MX"/>
        </w:rPr>
        <w:t>cooperação</w:t>
      </w:r>
      <w:proofErr w:type="spellEnd"/>
      <w:r w:rsidRPr="00CB1D8E">
        <w:rPr>
          <w:rFonts w:ascii="Times New Roman" w:eastAsia="Times New Roman" w:hAnsi="Times New Roman" w:cs="Times New Roman"/>
          <w:sz w:val="24"/>
          <w:szCs w:val="24"/>
          <w:lang w:eastAsia="es-MX"/>
        </w:rPr>
        <w:t xml:space="preserve">, formalizando e </w:t>
      </w:r>
      <w:proofErr w:type="spellStart"/>
      <w:r w:rsidRPr="00CB1D8E">
        <w:rPr>
          <w:rFonts w:ascii="Times New Roman" w:eastAsia="Times New Roman" w:hAnsi="Times New Roman" w:cs="Times New Roman"/>
          <w:sz w:val="24"/>
          <w:szCs w:val="24"/>
          <w:lang w:eastAsia="es-MX"/>
        </w:rPr>
        <w:t>ligação</w:t>
      </w:r>
      <w:proofErr w:type="spellEnd"/>
      <w:r w:rsidRPr="00CB1D8E">
        <w:rPr>
          <w:rFonts w:ascii="Times New Roman" w:eastAsia="Times New Roman" w:hAnsi="Times New Roman" w:cs="Times New Roman"/>
          <w:sz w:val="24"/>
          <w:szCs w:val="24"/>
          <w:lang w:eastAsia="es-MX"/>
        </w:rPr>
        <w:t xml:space="preserve"> entre os </w:t>
      </w:r>
      <w:proofErr w:type="spellStart"/>
      <w:r w:rsidRPr="00CB1D8E">
        <w:rPr>
          <w:rFonts w:ascii="Times New Roman" w:eastAsia="Times New Roman" w:hAnsi="Times New Roman" w:cs="Times New Roman"/>
          <w:sz w:val="24"/>
          <w:szCs w:val="24"/>
          <w:lang w:eastAsia="es-MX"/>
        </w:rPr>
        <w:t>intervenientes</w:t>
      </w:r>
      <w:proofErr w:type="spellEnd"/>
      <w:r w:rsidRPr="00CB1D8E">
        <w:rPr>
          <w:rFonts w:ascii="Times New Roman" w:eastAsia="Times New Roman" w:hAnsi="Times New Roman" w:cs="Times New Roman"/>
          <w:sz w:val="24"/>
          <w:szCs w:val="24"/>
          <w:lang w:eastAsia="es-MX"/>
        </w:rPr>
        <w:t xml:space="preserve"> tanto horizontalmente </w:t>
      </w:r>
      <w:proofErr w:type="spellStart"/>
      <w:r w:rsidRPr="00CB1D8E">
        <w:rPr>
          <w:rFonts w:ascii="Times New Roman" w:eastAsia="Times New Roman" w:hAnsi="Times New Roman" w:cs="Times New Roman"/>
          <w:sz w:val="24"/>
          <w:szCs w:val="24"/>
          <w:lang w:eastAsia="es-MX"/>
        </w:rPr>
        <w:t>quanto</w:t>
      </w:r>
      <w:proofErr w:type="spellEnd"/>
      <w:r w:rsidRPr="00CB1D8E">
        <w:rPr>
          <w:rFonts w:ascii="Times New Roman" w:eastAsia="Times New Roman" w:hAnsi="Times New Roman" w:cs="Times New Roman"/>
          <w:sz w:val="24"/>
          <w:szCs w:val="24"/>
          <w:lang w:eastAsia="es-MX"/>
        </w:rPr>
        <w:t xml:space="preserve"> verticalmente, para os </w:t>
      </w:r>
      <w:proofErr w:type="spellStart"/>
      <w:r w:rsidRPr="00CB1D8E">
        <w:rPr>
          <w:rFonts w:ascii="Times New Roman" w:eastAsia="Times New Roman" w:hAnsi="Times New Roman" w:cs="Times New Roman"/>
          <w:sz w:val="24"/>
          <w:szCs w:val="24"/>
          <w:lang w:eastAsia="es-MX"/>
        </w:rPr>
        <w:t>quais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é</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necessário</w:t>
      </w:r>
      <w:proofErr w:type="spellEnd"/>
      <w:r w:rsidRPr="00CB1D8E">
        <w:rPr>
          <w:rFonts w:ascii="Times New Roman" w:eastAsia="Times New Roman" w:hAnsi="Times New Roman" w:cs="Times New Roman"/>
          <w:sz w:val="24"/>
          <w:szCs w:val="24"/>
          <w:lang w:eastAsia="es-MX"/>
        </w:rPr>
        <w:t xml:space="preserve"> o </w:t>
      </w:r>
      <w:proofErr w:type="spellStart"/>
      <w:r w:rsidRPr="00CB1D8E">
        <w:rPr>
          <w:rFonts w:ascii="Times New Roman" w:eastAsia="Times New Roman" w:hAnsi="Times New Roman" w:cs="Times New Roman"/>
          <w:sz w:val="24"/>
          <w:szCs w:val="24"/>
          <w:lang w:eastAsia="es-MX"/>
        </w:rPr>
        <w:t>envolvimento</w:t>
      </w:r>
      <w:proofErr w:type="spellEnd"/>
      <w:r w:rsidRPr="00CB1D8E">
        <w:rPr>
          <w:rFonts w:ascii="Times New Roman" w:eastAsia="Times New Roman" w:hAnsi="Times New Roman" w:cs="Times New Roman"/>
          <w:sz w:val="24"/>
          <w:szCs w:val="24"/>
          <w:lang w:eastAsia="es-MX"/>
        </w:rPr>
        <w:t xml:space="preserve"> do </w:t>
      </w:r>
      <w:proofErr w:type="spellStart"/>
      <w:r w:rsidRPr="00CB1D8E">
        <w:rPr>
          <w:rFonts w:ascii="Times New Roman" w:eastAsia="Times New Roman" w:hAnsi="Times New Roman" w:cs="Times New Roman"/>
          <w:sz w:val="24"/>
          <w:szCs w:val="24"/>
          <w:lang w:eastAsia="es-MX"/>
        </w:rPr>
        <w:t>governo</w:t>
      </w:r>
      <w:proofErr w:type="spellEnd"/>
      <w:r w:rsidRPr="00CB1D8E">
        <w:rPr>
          <w:rFonts w:ascii="Times New Roman" w:eastAsia="Times New Roman" w:hAnsi="Times New Roman" w:cs="Times New Roman"/>
          <w:sz w:val="24"/>
          <w:szCs w:val="24"/>
          <w:lang w:eastAsia="es-MX"/>
        </w:rPr>
        <w:t xml:space="preserve"> a ser </w:t>
      </w:r>
      <w:proofErr w:type="spellStart"/>
      <w:r w:rsidRPr="00CB1D8E">
        <w:rPr>
          <w:rFonts w:ascii="Times New Roman" w:eastAsia="Times New Roman" w:hAnsi="Times New Roman" w:cs="Times New Roman"/>
          <w:sz w:val="24"/>
          <w:szCs w:val="24"/>
          <w:lang w:eastAsia="es-MX"/>
        </w:rPr>
        <w:t>alcançado</w:t>
      </w:r>
      <w:proofErr w:type="spellEnd"/>
      <w:r w:rsidRPr="00CB1D8E">
        <w:rPr>
          <w:rFonts w:ascii="Times New Roman" w:eastAsia="Times New Roman" w:hAnsi="Times New Roman" w:cs="Times New Roman"/>
          <w:sz w:val="24"/>
          <w:szCs w:val="24"/>
          <w:lang w:eastAsia="es-MX"/>
        </w:rPr>
        <w:t xml:space="preserve">, as </w:t>
      </w:r>
      <w:proofErr w:type="spellStart"/>
      <w:r w:rsidRPr="00CB1D8E">
        <w:rPr>
          <w:rFonts w:ascii="Times New Roman" w:eastAsia="Times New Roman" w:hAnsi="Times New Roman" w:cs="Times New Roman"/>
          <w:sz w:val="24"/>
          <w:szCs w:val="24"/>
          <w:lang w:eastAsia="es-MX"/>
        </w:rPr>
        <w:t>instituições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acadêmicos</w:t>
      </w:r>
      <w:proofErr w:type="spellEnd"/>
      <w:r w:rsidRPr="00CB1D8E">
        <w:rPr>
          <w:rFonts w:ascii="Times New Roman" w:eastAsia="Times New Roman" w:hAnsi="Times New Roman" w:cs="Times New Roman"/>
          <w:sz w:val="24"/>
          <w:szCs w:val="24"/>
          <w:lang w:eastAsia="es-MX"/>
        </w:rPr>
        <w:t xml:space="preserve"> e de pesquisa, </w:t>
      </w:r>
      <w:proofErr w:type="spellStart"/>
      <w:r w:rsidRPr="00CB1D8E">
        <w:rPr>
          <w:rFonts w:ascii="Times New Roman" w:eastAsia="Times New Roman" w:hAnsi="Times New Roman" w:cs="Times New Roman"/>
          <w:sz w:val="24"/>
          <w:szCs w:val="24"/>
          <w:lang w:eastAsia="es-MX"/>
        </w:rPr>
        <w:t>bem</w:t>
      </w:r>
      <w:proofErr w:type="spellEnd"/>
      <w:r w:rsidRPr="00CB1D8E">
        <w:rPr>
          <w:rFonts w:ascii="Times New Roman" w:eastAsia="Times New Roman" w:hAnsi="Times New Roman" w:cs="Times New Roman"/>
          <w:sz w:val="24"/>
          <w:szCs w:val="24"/>
          <w:lang w:eastAsia="es-MX"/>
        </w:rPr>
        <w:t xml:space="preserve"> como </w:t>
      </w:r>
      <w:proofErr w:type="spellStart"/>
      <w:r w:rsidRPr="00CB1D8E">
        <w:rPr>
          <w:rFonts w:ascii="Times New Roman" w:eastAsia="Times New Roman" w:hAnsi="Times New Roman" w:cs="Times New Roman"/>
          <w:sz w:val="24"/>
          <w:szCs w:val="24"/>
          <w:lang w:eastAsia="es-MX"/>
        </w:rPr>
        <w:t>outras</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organizações</w:t>
      </w:r>
      <w:proofErr w:type="spellEnd"/>
      <w:r w:rsidRPr="00CB1D8E">
        <w:rPr>
          <w:rFonts w:ascii="Times New Roman" w:eastAsia="Times New Roman" w:hAnsi="Times New Roman" w:cs="Times New Roman"/>
          <w:sz w:val="24"/>
          <w:szCs w:val="24"/>
          <w:lang w:eastAsia="es-MX"/>
        </w:rPr>
        <w:t xml:space="preserve"> que </w:t>
      </w:r>
      <w:proofErr w:type="spellStart"/>
      <w:r w:rsidRPr="00CB1D8E">
        <w:rPr>
          <w:rFonts w:ascii="Times New Roman" w:eastAsia="Times New Roman" w:hAnsi="Times New Roman" w:cs="Times New Roman"/>
          <w:sz w:val="24"/>
          <w:szCs w:val="24"/>
          <w:lang w:eastAsia="es-MX"/>
        </w:rPr>
        <w:t>estão</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na</w:t>
      </w:r>
      <w:proofErr w:type="spellEnd"/>
      <w:r w:rsidRPr="00CB1D8E">
        <w:rPr>
          <w:rFonts w:ascii="Times New Roman" w:eastAsia="Times New Roman" w:hAnsi="Times New Roman" w:cs="Times New Roman"/>
          <w:sz w:val="24"/>
          <w:szCs w:val="24"/>
          <w:lang w:eastAsia="es-MX"/>
        </w:rPr>
        <w:t xml:space="preserve"> </w:t>
      </w:r>
      <w:proofErr w:type="spellStart"/>
      <w:r w:rsidRPr="00CB1D8E">
        <w:rPr>
          <w:rFonts w:ascii="Times New Roman" w:eastAsia="Times New Roman" w:hAnsi="Times New Roman" w:cs="Times New Roman"/>
          <w:sz w:val="24"/>
          <w:szCs w:val="24"/>
          <w:lang w:eastAsia="es-MX"/>
        </w:rPr>
        <w:t>região</w:t>
      </w:r>
      <w:proofErr w:type="spellEnd"/>
      <w:r w:rsidRPr="00CB1D8E">
        <w:rPr>
          <w:rFonts w:ascii="Times New Roman" w:eastAsia="Times New Roman" w:hAnsi="Times New Roman" w:cs="Times New Roman"/>
          <w:sz w:val="24"/>
          <w:szCs w:val="24"/>
          <w:lang w:eastAsia="es-MX"/>
        </w:rPr>
        <w:t xml:space="preserve"> para competir globalmente.</w:t>
      </w:r>
    </w:p>
    <w:p w14:paraId="7F23DDBF" w14:textId="77777777" w:rsidR="004F0732" w:rsidRPr="000346A1" w:rsidRDefault="004F0732" w:rsidP="004F0732">
      <w:pPr>
        <w:spacing w:line="480" w:lineRule="auto"/>
        <w:jc w:val="both"/>
        <w:rPr>
          <w:rFonts w:ascii="Times New Roman" w:eastAsia="Times New Roman" w:hAnsi="Times New Roman" w:cs="Times New Roman"/>
          <w:sz w:val="24"/>
          <w:szCs w:val="24"/>
          <w:lang w:eastAsia="es-MX"/>
        </w:rPr>
      </w:pPr>
      <w:proofErr w:type="spellStart"/>
      <w:r w:rsidRPr="000346A1">
        <w:rPr>
          <w:rFonts w:ascii="Calibri" w:eastAsia="Times New Roman" w:hAnsi="Calibri" w:cs="Calibri"/>
          <w:b/>
          <w:color w:val="000000"/>
          <w:sz w:val="28"/>
          <w:szCs w:val="28"/>
          <w:lang w:eastAsia="es-MX"/>
        </w:rPr>
        <w:t>Palavras</w:t>
      </w:r>
      <w:proofErr w:type="spellEnd"/>
      <w:r w:rsidRPr="000346A1">
        <w:rPr>
          <w:rFonts w:ascii="Calibri" w:eastAsia="Times New Roman" w:hAnsi="Calibri" w:cs="Calibri"/>
          <w:b/>
          <w:color w:val="000000"/>
          <w:sz w:val="28"/>
          <w:szCs w:val="28"/>
          <w:lang w:eastAsia="es-MX"/>
        </w:rPr>
        <w:t>-chave:</w:t>
      </w:r>
      <w:r w:rsidRPr="000346A1">
        <w:rPr>
          <w:rFonts w:ascii="Times New Roman" w:eastAsia="Times New Roman" w:hAnsi="Times New Roman" w:cs="Times New Roman"/>
          <w:sz w:val="24"/>
          <w:szCs w:val="24"/>
          <w:lang w:eastAsia="es-MX"/>
        </w:rPr>
        <w:t xml:space="preserve"> </w:t>
      </w:r>
      <w:proofErr w:type="spellStart"/>
      <w:r w:rsidRPr="000346A1">
        <w:rPr>
          <w:rFonts w:ascii="Times New Roman" w:eastAsia="Times New Roman" w:hAnsi="Times New Roman" w:cs="Times New Roman"/>
          <w:sz w:val="24"/>
          <w:szCs w:val="24"/>
          <w:lang w:eastAsia="es-MX"/>
        </w:rPr>
        <w:t>estratégias</w:t>
      </w:r>
      <w:proofErr w:type="spellEnd"/>
      <w:r w:rsidRPr="000346A1">
        <w:rPr>
          <w:rFonts w:ascii="Times New Roman" w:eastAsia="Times New Roman" w:hAnsi="Times New Roman" w:cs="Times New Roman"/>
          <w:sz w:val="24"/>
          <w:szCs w:val="24"/>
          <w:lang w:eastAsia="es-MX"/>
        </w:rPr>
        <w:t xml:space="preserve">, </w:t>
      </w:r>
      <w:proofErr w:type="spellStart"/>
      <w:r w:rsidRPr="000346A1">
        <w:rPr>
          <w:rFonts w:ascii="Times New Roman" w:eastAsia="Times New Roman" w:hAnsi="Times New Roman" w:cs="Times New Roman"/>
          <w:sz w:val="24"/>
          <w:szCs w:val="24"/>
          <w:lang w:eastAsia="es-MX"/>
        </w:rPr>
        <w:t>produtores</w:t>
      </w:r>
      <w:proofErr w:type="spellEnd"/>
      <w:r w:rsidRPr="000346A1">
        <w:rPr>
          <w:rFonts w:ascii="Times New Roman" w:eastAsia="Times New Roman" w:hAnsi="Times New Roman" w:cs="Times New Roman"/>
          <w:sz w:val="24"/>
          <w:szCs w:val="24"/>
          <w:lang w:eastAsia="es-MX"/>
        </w:rPr>
        <w:t xml:space="preserve">, </w:t>
      </w:r>
      <w:proofErr w:type="spellStart"/>
      <w:r w:rsidRPr="000346A1">
        <w:rPr>
          <w:rFonts w:ascii="Times New Roman" w:eastAsia="Times New Roman" w:hAnsi="Times New Roman" w:cs="Times New Roman"/>
          <w:sz w:val="24"/>
          <w:szCs w:val="24"/>
          <w:lang w:eastAsia="es-MX"/>
        </w:rPr>
        <w:t>setor</w:t>
      </w:r>
      <w:proofErr w:type="spellEnd"/>
      <w:r w:rsidRPr="000346A1">
        <w:rPr>
          <w:rFonts w:ascii="Times New Roman" w:eastAsia="Times New Roman" w:hAnsi="Times New Roman" w:cs="Times New Roman"/>
          <w:sz w:val="24"/>
          <w:szCs w:val="24"/>
          <w:lang w:eastAsia="es-MX"/>
        </w:rPr>
        <w:t xml:space="preserve"> </w:t>
      </w:r>
      <w:proofErr w:type="spellStart"/>
      <w:r w:rsidRPr="000346A1">
        <w:rPr>
          <w:rFonts w:ascii="Times New Roman" w:eastAsia="Times New Roman" w:hAnsi="Times New Roman" w:cs="Times New Roman"/>
          <w:sz w:val="24"/>
          <w:szCs w:val="24"/>
          <w:lang w:eastAsia="es-MX"/>
        </w:rPr>
        <w:t>agroalimentar</w:t>
      </w:r>
      <w:proofErr w:type="spellEnd"/>
      <w:r w:rsidRPr="000346A1">
        <w:rPr>
          <w:rFonts w:ascii="Times New Roman" w:eastAsia="Times New Roman" w:hAnsi="Times New Roman" w:cs="Times New Roman"/>
          <w:sz w:val="24"/>
          <w:szCs w:val="24"/>
          <w:lang w:eastAsia="es-MX"/>
        </w:rPr>
        <w:t>, taro.</w:t>
      </w:r>
    </w:p>
    <w:p w14:paraId="60D329C3" w14:textId="77777777" w:rsidR="004F0732" w:rsidRPr="004F0732" w:rsidRDefault="004F0732" w:rsidP="004F0732">
      <w:pPr>
        <w:spacing w:after="120" w:line="360" w:lineRule="auto"/>
        <w:jc w:val="both"/>
        <w:rPr>
          <w:rFonts w:ascii="Times New Roman" w:hAnsi="Times New Roman" w:cs="Times New Roman"/>
          <w:sz w:val="24"/>
        </w:rPr>
      </w:pPr>
      <w:r w:rsidRPr="004F0732">
        <w:rPr>
          <w:rFonts w:ascii="Times New Roman" w:hAnsi="Times New Roman" w:cs="Times New Roman"/>
          <w:b/>
          <w:sz w:val="24"/>
        </w:rPr>
        <w:t>Fecha Recepción:</w:t>
      </w:r>
      <w:r w:rsidRPr="004F0732">
        <w:rPr>
          <w:rFonts w:ascii="Times New Roman" w:hAnsi="Times New Roman" w:cs="Times New Roman"/>
          <w:sz w:val="24"/>
        </w:rPr>
        <w:t xml:space="preserve"> Septiembre 2017     </w:t>
      </w:r>
      <w:r w:rsidRPr="004F0732">
        <w:rPr>
          <w:rFonts w:ascii="Times New Roman" w:hAnsi="Times New Roman" w:cs="Times New Roman"/>
          <w:b/>
          <w:sz w:val="24"/>
        </w:rPr>
        <w:t>Fecha Aceptación:</w:t>
      </w:r>
      <w:r w:rsidRPr="004F0732">
        <w:rPr>
          <w:rFonts w:ascii="Times New Roman" w:hAnsi="Times New Roman" w:cs="Times New Roman"/>
          <w:sz w:val="24"/>
        </w:rPr>
        <w:t xml:space="preserve"> Diciembre 2017</w:t>
      </w:r>
      <w:r w:rsidRPr="004F0732">
        <w:rPr>
          <w:rFonts w:ascii="Times New Roman" w:hAnsi="Times New Roman" w:cs="Times New Roman"/>
          <w:sz w:val="24"/>
        </w:rPr>
        <w:br/>
      </w:r>
      <w:r w:rsidR="00720421">
        <w:rPr>
          <w:rFonts w:ascii="Times New Roman" w:hAnsi="Times New Roman" w:cs="Times New Roman"/>
          <w:sz w:val="24"/>
        </w:rPr>
        <w:pict w14:anchorId="61E672E8">
          <v:rect id="_x0000_i1025" style="width:0;height:1.5pt" o:hralign="center" o:hrstd="t" o:hr="t" fillcolor="#a0a0a0" stroked="f"/>
        </w:pict>
      </w:r>
    </w:p>
    <w:p w14:paraId="630204B6" w14:textId="58CB024B" w:rsidR="006368C2" w:rsidRPr="00CB1D8E" w:rsidRDefault="006368C2" w:rsidP="004F0732">
      <w:pPr>
        <w:spacing w:line="480" w:lineRule="auto"/>
        <w:jc w:val="both"/>
        <w:rPr>
          <w:rFonts w:ascii="Times New Roman" w:eastAsia="Times New Roman" w:hAnsi="Times New Roman" w:cs="Times New Roman"/>
          <w:sz w:val="24"/>
          <w:szCs w:val="24"/>
          <w:lang w:eastAsia="es-MX"/>
        </w:rPr>
      </w:pPr>
      <w:r w:rsidRPr="00CB1D8E">
        <w:rPr>
          <w:rFonts w:ascii="Times New Roman" w:eastAsia="Times New Roman" w:hAnsi="Times New Roman" w:cs="Times New Roman"/>
          <w:sz w:val="24"/>
          <w:szCs w:val="24"/>
          <w:lang w:eastAsia="es-MX"/>
        </w:rPr>
        <w:br w:type="page"/>
      </w:r>
    </w:p>
    <w:p w14:paraId="5F7B9574" w14:textId="38F9D4F1" w:rsidR="0022755B" w:rsidRPr="000346A1" w:rsidRDefault="00723C45" w:rsidP="005508B0">
      <w:pPr>
        <w:pStyle w:val="Ttulo1"/>
        <w:rPr>
          <w:rFonts w:ascii="Calibri" w:eastAsia="Times New Roman" w:hAnsi="Calibri" w:cs="Calibri"/>
          <w:color w:val="000000"/>
          <w:sz w:val="28"/>
          <w:szCs w:val="28"/>
          <w:lang w:eastAsia="es-MX"/>
        </w:rPr>
      </w:pPr>
      <w:r w:rsidRPr="000346A1">
        <w:rPr>
          <w:rFonts w:ascii="Calibri" w:eastAsia="Times New Roman" w:hAnsi="Calibri" w:cs="Calibri"/>
          <w:color w:val="000000"/>
          <w:sz w:val="28"/>
          <w:szCs w:val="28"/>
          <w:lang w:eastAsia="es-MX"/>
        </w:rPr>
        <w:lastRenderedPageBreak/>
        <w:t>Introducción</w:t>
      </w:r>
    </w:p>
    <w:p w14:paraId="2F92D05A" w14:textId="1D00BFEC" w:rsidR="005124F1" w:rsidRPr="00B60E6E" w:rsidRDefault="00B208AA" w:rsidP="00723C45">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5124F1" w:rsidRPr="00B60E6E">
        <w:rPr>
          <w:rFonts w:ascii="Times New Roman" w:hAnsi="Times New Roman" w:cs="Times New Roman"/>
          <w:sz w:val="24"/>
          <w:szCs w:val="24"/>
        </w:rPr>
        <w:t>El conocimiento de una industria o actividad productiva en el mundo globalizado es de vital importancia para competir en los mercados con l</w:t>
      </w:r>
      <w:r w:rsidR="003D07D1">
        <w:rPr>
          <w:rFonts w:ascii="Times New Roman" w:hAnsi="Times New Roman" w:cs="Times New Roman"/>
          <w:sz w:val="24"/>
          <w:szCs w:val="24"/>
        </w:rPr>
        <w:t xml:space="preserve">os que interactúan las empresas, por lo que estas </w:t>
      </w:r>
      <w:r w:rsidR="00657B15" w:rsidRPr="00B60E6E">
        <w:rPr>
          <w:rFonts w:ascii="Times New Roman" w:hAnsi="Times New Roman" w:cs="Times New Roman"/>
          <w:sz w:val="24"/>
          <w:szCs w:val="24"/>
        </w:rPr>
        <w:t xml:space="preserve">deben formular estrategias competitivas que </w:t>
      </w:r>
      <w:r w:rsidR="00657B15">
        <w:rPr>
          <w:rFonts w:ascii="Times New Roman" w:hAnsi="Times New Roman" w:cs="Times New Roman"/>
          <w:sz w:val="24"/>
          <w:szCs w:val="24"/>
        </w:rPr>
        <w:t>permitan vincularlas</w:t>
      </w:r>
      <w:r w:rsidR="00657B15" w:rsidRPr="00B60E6E">
        <w:rPr>
          <w:rFonts w:ascii="Times New Roman" w:hAnsi="Times New Roman" w:cs="Times New Roman"/>
          <w:sz w:val="24"/>
          <w:szCs w:val="24"/>
        </w:rPr>
        <w:t xml:space="preserve"> con su entorno.</w:t>
      </w:r>
      <w:r w:rsidR="005124F1" w:rsidRPr="00B60E6E">
        <w:rPr>
          <w:rFonts w:ascii="Times New Roman" w:hAnsi="Times New Roman" w:cs="Times New Roman"/>
          <w:sz w:val="24"/>
          <w:szCs w:val="24"/>
        </w:rPr>
        <w:t xml:space="preserve"> </w:t>
      </w:r>
      <w:r w:rsidR="00657B15">
        <w:rPr>
          <w:rFonts w:ascii="Times New Roman" w:hAnsi="Times New Roman" w:cs="Times New Roman"/>
          <w:sz w:val="24"/>
          <w:szCs w:val="24"/>
        </w:rPr>
        <w:t>Sin embargo, p</w:t>
      </w:r>
      <w:r w:rsidR="005124F1" w:rsidRPr="00B60E6E">
        <w:rPr>
          <w:rFonts w:ascii="Times New Roman" w:hAnsi="Times New Roman" w:cs="Times New Roman"/>
          <w:sz w:val="24"/>
          <w:szCs w:val="24"/>
        </w:rPr>
        <w:t xml:space="preserve">ara comprender </w:t>
      </w:r>
      <w:r w:rsidR="00657B15">
        <w:rPr>
          <w:rFonts w:ascii="Times New Roman" w:hAnsi="Times New Roman" w:cs="Times New Roman"/>
          <w:sz w:val="24"/>
          <w:szCs w:val="24"/>
        </w:rPr>
        <w:t xml:space="preserve">tanto el </w:t>
      </w:r>
      <w:r w:rsidR="003D07D1">
        <w:rPr>
          <w:rFonts w:ascii="Times New Roman" w:hAnsi="Times New Roman" w:cs="Times New Roman"/>
          <w:sz w:val="24"/>
          <w:szCs w:val="24"/>
        </w:rPr>
        <w:t>contexto</w:t>
      </w:r>
      <w:r w:rsidR="00657B15">
        <w:rPr>
          <w:rFonts w:ascii="Times New Roman" w:hAnsi="Times New Roman" w:cs="Times New Roman"/>
          <w:sz w:val="24"/>
          <w:szCs w:val="24"/>
        </w:rPr>
        <w:t xml:space="preserve"> como</w:t>
      </w:r>
      <w:r w:rsidR="005124F1" w:rsidRPr="00B60E6E">
        <w:rPr>
          <w:rFonts w:ascii="Times New Roman" w:hAnsi="Times New Roman" w:cs="Times New Roman"/>
          <w:sz w:val="24"/>
          <w:szCs w:val="24"/>
        </w:rPr>
        <w:t xml:space="preserve"> </w:t>
      </w:r>
      <w:r w:rsidR="00657B15">
        <w:rPr>
          <w:rFonts w:ascii="Times New Roman" w:hAnsi="Times New Roman" w:cs="Times New Roman"/>
          <w:sz w:val="24"/>
          <w:szCs w:val="24"/>
        </w:rPr>
        <w:t xml:space="preserve">la </w:t>
      </w:r>
      <w:r w:rsidR="005124F1" w:rsidRPr="00B60E6E">
        <w:rPr>
          <w:rFonts w:ascii="Times New Roman" w:hAnsi="Times New Roman" w:cs="Times New Roman"/>
          <w:sz w:val="24"/>
          <w:szCs w:val="24"/>
        </w:rPr>
        <w:t xml:space="preserve">competencia de las empresas </w:t>
      </w:r>
      <w:r w:rsidR="00657B15">
        <w:rPr>
          <w:rFonts w:ascii="Times New Roman" w:hAnsi="Times New Roman" w:cs="Times New Roman"/>
          <w:sz w:val="24"/>
          <w:szCs w:val="24"/>
        </w:rPr>
        <w:t>es necesario evaluar</w:t>
      </w:r>
      <w:r w:rsidR="005124F1" w:rsidRPr="00B60E6E">
        <w:rPr>
          <w:rFonts w:ascii="Times New Roman" w:hAnsi="Times New Roman" w:cs="Times New Roman"/>
          <w:sz w:val="24"/>
          <w:szCs w:val="24"/>
        </w:rPr>
        <w:t xml:space="preserve"> </w:t>
      </w:r>
      <w:r w:rsidR="00657B15">
        <w:rPr>
          <w:rFonts w:ascii="Times New Roman" w:hAnsi="Times New Roman" w:cs="Times New Roman"/>
          <w:sz w:val="24"/>
          <w:szCs w:val="24"/>
        </w:rPr>
        <w:t xml:space="preserve">a </w:t>
      </w:r>
      <w:r w:rsidR="005124F1" w:rsidRPr="00B60E6E">
        <w:rPr>
          <w:rFonts w:ascii="Times New Roman" w:hAnsi="Times New Roman" w:cs="Times New Roman"/>
          <w:sz w:val="24"/>
          <w:szCs w:val="24"/>
        </w:rPr>
        <w:t>la “industria”, unidad básica de análisis que toma</w:t>
      </w:r>
      <w:r w:rsidR="00716E40">
        <w:rPr>
          <w:rFonts w:ascii="Times New Roman" w:hAnsi="Times New Roman" w:cs="Times New Roman"/>
          <w:sz w:val="24"/>
          <w:szCs w:val="24"/>
        </w:rPr>
        <w:t xml:space="preserve"> </w:t>
      </w:r>
      <w:r w:rsidR="005124F1" w:rsidRPr="00B60E6E">
        <w:rPr>
          <w:rFonts w:ascii="Times New Roman" w:hAnsi="Times New Roman" w:cs="Times New Roman"/>
          <w:sz w:val="24"/>
          <w:szCs w:val="24"/>
        </w:rPr>
        <w:t xml:space="preserve">un conjunto de organizaciones rivales que compiten entre sí (Porter, 2015). </w:t>
      </w:r>
    </w:p>
    <w:p w14:paraId="2E4FE6C3" w14:textId="7393235F" w:rsidR="005124F1" w:rsidRPr="00B60E6E" w:rsidRDefault="00716E40" w:rsidP="00723C45">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w:t>
      </w:r>
      <w:r w:rsidR="005124F1" w:rsidRPr="00B60E6E">
        <w:rPr>
          <w:rFonts w:ascii="Times New Roman" w:hAnsi="Times New Roman" w:cs="Times New Roman"/>
          <w:sz w:val="24"/>
          <w:szCs w:val="24"/>
        </w:rPr>
        <w:t xml:space="preserve">, en el </w:t>
      </w:r>
      <w:r>
        <w:rPr>
          <w:rFonts w:ascii="Times New Roman" w:hAnsi="Times New Roman" w:cs="Times New Roman"/>
          <w:sz w:val="24"/>
          <w:szCs w:val="24"/>
        </w:rPr>
        <w:t xml:space="preserve">caso concreto del </w:t>
      </w:r>
      <w:r w:rsidR="005124F1" w:rsidRPr="00B60E6E">
        <w:rPr>
          <w:rFonts w:ascii="Times New Roman" w:hAnsi="Times New Roman" w:cs="Times New Roman"/>
          <w:sz w:val="24"/>
          <w:szCs w:val="24"/>
        </w:rPr>
        <w:t xml:space="preserve">sector agroalimentario mexicano son escasos los análisis estructurales </w:t>
      </w:r>
      <w:r w:rsidR="00657B15">
        <w:rPr>
          <w:rFonts w:ascii="Times New Roman" w:hAnsi="Times New Roman" w:cs="Times New Roman"/>
          <w:sz w:val="24"/>
          <w:szCs w:val="24"/>
        </w:rPr>
        <w:t xml:space="preserve">que </w:t>
      </w:r>
      <w:r w:rsidR="003D07D1">
        <w:rPr>
          <w:rFonts w:ascii="Times New Roman" w:hAnsi="Times New Roman" w:cs="Times New Roman"/>
          <w:sz w:val="24"/>
          <w:szCs w:val="24"/>
        </w:rPr>
        <w:t xml:space="preserve">se enfocan en </w:t>
      </w:r>
      <w:r w:rsidR="005124F1" w:rsidRPr="00B60E6E">
        <w:rPr>
          <w:rFonts w:ascii="Times New Roman" w:hAnsi="Times New Roman" w:cs="Times New Roman"/>
          <w:sz w:val="24"/>
          <w:szCs w:val="24"/>
        </w:rPr>
        <w:t xml:space="preserve">la competitividad. Uno de los documentos que </w:t>
      </w:r>
      <w:r>
        <w:rPr>
          <w:rFonts w:ascii="Times New Roman" w:hAnsi="Times New Roman" w:cs="Times New Roman"/>
          <w:sz w:val="24"/>
          <w:szCs w:val="24"/>
        </w:rPr>
        <w:t>ofrece</w:t>
      </w:r>
      <w:r w:rsidR="005124F1" w:rsidRPr="00B60E6E">
        <w:rPr>
          <w:rFonts w:ascii="Times New Roman" w:hAnsi="Times New Roman" w:cs="Times New Roman"/>
          <w:sz w:val="24"/>
          <w:szCs w:val="24"/>
        </w:rPr>
        <w:t xml:space="preserve"> una idea general del sector agroalimentario mexicano es el </w:t>
      </w:r>
      <w:r w:rsidR="005124F1" w:rsidRPr="00716E40">
        <w:rPr>
          <w:rFonts w:ascii="Times New Roman" w:hAnsi="Times New Roman" w:cs="Times New Roman"/>
          <w:i/>
          <w:sz w:val="24"/>
          <w:szCs w:val="24"/>
        </w:rPr>
        <w:t>Diario Oficial de la Federación</w:t>
      </w:r>
      <w:r w:rsidR="005124F1" w:rsidRPr="00B60E6E">
        <w:rPr>
          <w:rFonts w:ascii="Times New Roman" w:hAnsi="Times New Roman" w:cs="Times New Roman"/>
          <w:sz w:val="24"/>
          <w:szCs w:val="24"/>
        </w:rPr>
        <w:t xml:space="preserve"> (</w:t>
      </w:r>
      <w:r w:rsidR="00076C1C" w:rsidRPr="00B60E6E">
        <w:rPr>
          <w:rFonts w:ascii="Times New Roman" w:hAnsi="Times New Roman"/>
          <w:sz w:val="24"/>
          <w:szCs w:val="24"/>
        </w:rPr>
        <w:t>Secretaría de Agricultura, Ganadería, Desarrollo Rural, Pesca y Alimentación</w:t>
      </w:r>
      <w:r w:rsidR="00592819">
        <w:rPr>
          <w:rFonts w:ascii="Times New Roman" w:hAnsi="Times New Roman" w:cs="Times New Roman"/>
          <w:sz w:val="24"/>
          <w:szCs w:val="24"/>
        </w:rPr>
        <w:t xml:space="preserve"> [</w:t>
      </w:r>
      <w:r w:rsidR="00592819" w:rsidRPr="00B60E6E">
        <w:rPr>
          <w:rFonts w:ascii="Times New Roman" w:hAnsi="Times New Roman" w:cs="Times New Roman"/>
          <w:sz w:val="24"/>
          <w:szCs w:val="24"/>
        </w:rPr>
        <w:t>Sagarpa</w:t>
      </w:r>
      <w:r w:rsidR="00592819">
        <w:rPr>
          <w:rFonts w:ascii="Times New Roman" w:hAnsi="Times New Roman" w:cs="Times New Roman"/>
          <w:sz w:val="24"/>
          <w:szCs w:val="24"/>
        </w:rPr>
        <w:t>],</w:t>
      </w:r>
      <w:r w:rsidR="005124F1" w:rsidRPr="00B60E6E">
        <w:rPr>
          <w:rFonts w:ascii="Times New Roman" w:hAnsi="Times New Roman" w:cs="Times New Roman"/>
          <w:sz w:val="24"/>
          <w:szCs w:val="24"/>
        </w:rPr>
        <w:t xml:space="preserve"> 2013)</w:t>
      </w:r>
      <w:r w:rsidR="00DE01A8" w:rsidRPr="00B60E6E">
        <w:rPr>
          <w:rFonts w:ascii="Times New Roman" w:hAnsi="Times New Roman" w:cs="Times New Roman"/>
          <w:sz w:val="24"/>
          <w:szCs w:val="24"/>
        </w:rPr>
        <w:t>. E</w:t>
      </w:r>
      <w:r w:rsidR="001D1F3D" w:rsidRPr="00B60E6E">
        <w:rPr>
          <w:rFonts w:ascii="Times New Roman" w:hAnsi="Times New Roman" w:cs="Times New Roman"/>
          <w:sz w:val="24"/>
          <w:szCs w:val="24"/>
        </w:rPr>
        <w:t>n la sección de diagnóstico se señala</w:t>
      </w:r>
      <w:r w:rsidR="005124F1" w:rsidRPr="00B60E6E">
        <w:rPr>
          <w:rFonts w:ascii="Times New Roman" w:hAnsi="Times New Roman" w:cs="Times New Roman"/>
          <w:sz w:val="24"/>
          <w:szCs w:val="24"/>
        </w:rPr>
        <w:t xml:space="preserve"> un estancamiento en la productividad, competitividad y rentabilidad, </w:t>
      </w:r>
      <w:r>
        <w:rPr>
          <w:rFonts w:ascii="Times New Roman" w:hAnsi="Times New Roman" w:cs="Times New Roman"/>
          <w:sz w:val="24"/>
          <w:szCs w:val="24"/>
        </w:rPr>
        <w:t xml:space="preserve">lo cual significa </w:t>
      </w:r>
      <w:r w:rsidR="005124F1" w:rsidRPr="00B60E6E">
        <w:rPr>
          <w:rFonts w:ascii="Times New Roman" w:hAnsi="Times New Roman" w:cs="Times New Roman"/>
          <w:sz w:val="24"/>
          <w:szCs w:val="24"/>
        </w:rPr>
        <w:t xml:space="preserve">que la mayoría de </w:t>
      </w:r>
      <w:r>
        <w:rPr>
          <w:rFonts w:ascii="Times New Roman" w:hAnsi="Times New Roman" w:cs="Times New Roman"/>
          <w:sz w:val="24"/>
          <w:szCs w:val="24"/>
        </w:rPr>
        <w:t xml:space="preserve">las </w:t>
      </w:r>
      <w:r w:rsidR="005124F1" w:rsidRPr="00B60E6E">
        <w:rPr>
          <w:rFonts w:ascii="Times New Roman" w:hAnsi="Times New Roman" w:cs="Times New Roman"/>
          <w:sz w:val="24"/>
          <w:szCs w:val="24"/>
        </w:rPr>
        <w:t xml:space="preserve">unidades económicas rurales son de subsistencia y de autoconsumo, </w:t>
      </w:r>
      <w:r>
        <w:rPr>
          <w:rFonts w:ascii="Times New Roman" w:hAnsi="Times New Roman" w:cs="Times New Roman"/>
          <w:sz w:val="24"/>
          <w:szCs w:val="24"/>
        </w:rPr>
        <w:t>lo que también señala</w:t>
      </w:r>
      <w:r w:rsidR="005124F1" w:rsidRPr="00B60E6E">
        <w:rPr>
          <w:rFonts w:ascii="Times New Roman" w:hAnsi="Times New Roman" w:cs="Times New Roman"/>
          <w:sz w:val="24"/>
          <w:szCs w:val="24"/>
        </w:rPr>
        <w:t xml:space="preserve"> un alto índice de pobreza rural. </w:t>
      </w:r>
    </w:p>
    <w:p w14:paraId="3693E3E7" w14:textId="55652710" w:rsidR="00293D37" w:rsidRDefault="00716E40" w:rsidP="00723C45">
      <w:pPr>
        <w:autoSpaceDE w:val="0"/>
        <w:autoSpaceDN w:val="0"/>
        <w:adjustRightInd w:val="0"/>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633738" w:rsidRPr="00B60E6E">
        <w:rPr>
          <w:rFonts w:ascii="Times New Roman" w:hAnsi="Times New Roman" w:cs="Times New Roman"/>
          <w:sz w:val="24"/>
          <w:szCs w:val="24"/>
        </w:rPr>
        <w:t>se documento</w:t>
      </w:r>
      <w:r>
        <w:rPr>
          <w:rFonts w:ascii="Times New Roman" w:hAnsi="Times New Roman" w:cs="Times New Roman"/>
          <w:sz w:val="24"/>
          <w:szCs w:val="24"/>
        </w:rPr>
        <w:t>, sin embargo,</w:t>
      </w:r>
      <w:r w:rsidR="005124F1" w:rsidRPr="00B60E6E">
        <w:rPr>
          <w:rFonts w:ascii="Times New Roman" w:hAnsi="Times New Roman" w:cs="Times New Roman"/>
          <w:sz w:val="24"/>
          <w:szCs w:val="24"/>
        </w:rPr>
        <w:t xml:space="preserve"> no se puede </w:t>
      </w:r>
      <w:r>
        <w:rPr>
          <w:rFonts w:ascii="Times New Roman" w:hAnsi="Times New Roman" w:cs="Times New Roman"/>
          <w:sz w:val="24"/>
          <w:szCs w:val="24"/>
        </w:rPr>
        <w:t>emplear para agrupar a</w:t>
      </w:r>
      <w:r w:rsidR="005124F1" w:rsidRPr="00B60E6E">
        <w:rPr>
          <w:rFonts w:ascii="Times New Roman" w:hAnsi="Times New Roman" w:cs="Times New Roman"/>
          <w:sz w:val="24"/>
          <w:szCs w:val="24"/>
        </w:rPr>
        <w:t xml:space="preserve"> todos los productos agrícolas, </w:t>
      </w:r>
      <w:r>
        <w:rPr>
          <w:rFonts w:ascii="Times New Roman" w:hAnsi="Times New Roman" w:cs="Times New Roman"/>
          <w:sz w:val="24"/>
          <w:szCs w:val="24"/>
        </w:rPr>
        <w:t>pues</w:t>
      </w:r>
      <w:r w:rsidR="005124F1" w:rsidRPr="00B60E6E">
        <w:rPr>
          <w:rFonts w:ascii="Times New Roman" w:hAnsi="Times New Roman" w:cs="Times New Roman"/>
          <w:sz w:val="24"/>
          <w:szCs w:val="24"/>
        </w:rPr>
        <w:t xml:space="preserve"> cada industria posee características particulares</w:t>
      </w:r>
      <w:r w:rsidR="003D07D1">
        <w:rPr>
          <w:rFonts w:ascii="Times New Roman" w:hAnsi="Times New Roman" w:cs="Times New Roman"/>
          <w:sz w:val="24"/>
          <w:szCs w:val="24"/>
        </w:rPr>
        <w:t xml:space="preserve"> (Porter, 2015)</w:t>
      </w:r>
      <w:r w:rsidR="005124F1" w:rsidRPr="00B60E6E">
        <w:rPr>
          <w:rFonts w:ascii="Times New Roman" w:hAnsi="Times New Roman" w:cs="Times New Roman"/>
          <w:sz w:val="24"/>
          <w:szCs w:val="24"/>
        </w:rPr>
        <w:t>. En este caso</w:t>
      </w:r>
      <w:r>
        <w:rPr>
          <w:rFonts w:ascii="Times New Roman" w:hAnsi="Times New Roman" w:cs="Times New Roman"/>
          <w:sz w:val="24"/>
          <w:szCs w:val="24"/>
        </w:rPr>
        <w:t>,</w:t>
      </w:r>
      <w:r w:rsidR="005124F1" w:rsidRPr="00B60E6E">
        <w:rPr>
          <w:rFonts w:ascii="Times New Roman" w:hAnsi="Times New Roman" w:cs="Times New Roman"/>
          <w:sz w:val="24"/>
          <w:szCs w:val="24"/>
        </w:rPr>
        <w:t xml:space="preserve"> </w:t>
      </w:r>
      <w:r w:rsidR="00293D37">
        <w:rPr>
          <w:rFonts w:ascii="Times New Roman" w:hAnsi="Times New Roman" w:cs="Times New Roman"/>
          <w:sz w:val="24"/>
          <w:szCs w:val="24"/>
        </w:rPr>
        <w:t xml:space="preserve">no se hace </w:t>
      </w:r>
      <w:r w:rsidR="005124F1" w:rsidRPr="00B60E6E">
        <w:rPr>
          <w:rFonts w:ascii="Times New Roman" w:hAnsi="Times New Roman" w:cs="Times New Roman"/>
          <w:sz w:val="24"/>
          <w:szCs w:val="24"/>
        </w:rPr>
        <w:t>referencia a una industria</w:t>
      </w:r>
      <w:r>
        <w:rPr>
          <w:rFonts w:ascii="Times New Roman" w:hAnsi="Times New Roman" w:cs="Times New Roman"/>
          <w:sz w:val="24"/>
          <w:szCs w:val="24"/>
        </w:rPr>
        <w:t xml:space="preserve"> determinada</w:t>
      </w:r>
      <w:r w:rsidR="001754AE" w:rsidRPr="00B60E6E">
        <w:rPr>
          <w:rFonts w:ascii="Times New Roman" w:hAnsi="Times New Roman" w:cs="Times New Roman"/>
          <w:sz w:val="24"/>
          <w:szCs w:val="24"/>
        </w:rPr>
        <w:t>,</w:t>
      </w:r>
      <w:r w:rsidR="005124F1" w:rsidRPr="00B60E6E">
        <w:rPr>
          <w:rFonts w:ascii="Times New Roman" w:hAnsi="Times New Roman" w:cs="Times New Roman"/>
          <w:sz w:val="24"/>
          <w:szCs w:val="24"/>
        </w:rPr>
        <w:t xml:space="preserve"> </w:t>
      </w:r>
      <w:r w:rsidR="00293D37">
        <w:rPr>
          <w:rFonts w:ascii="Times New Roman" w:hAnsi="Times New Roman" w:cs="Times New Roman"/>
          <w:sz w:val="24"/>
          <w:szCs w:val="24"/>
        </w:rPr>
        <w:t xml:space="preserve">sino a la </w:t>
      </w:r>
      <w:r w:rsidR="005124F1" w:rsidRPr="00B60E6E">
        <w:rPr>
          <w:rFonts w:ascii="Times New Roman" w:hAnsi="Times New Roman" w:cs="Times New Roman"/>
          <w:sz w:val="24"/>
          <w:szCs w:val="24"/>
        </w:rPr>
        <w:t>actividad productiva</w:t>
      </w:r>
      <w:r w:rsidR="00140693" w:rsidRPr="00B60E6E">
        <w:rPr>
          <w:rFonts w:ascii="Times New Roman" w:hAnsi="Times New Roman" w:cs="Times New Roman"/>
          <w:sz w:val="24"/>
          <w:szCs w:val="24"/>
        </w:rPr>
        <w:t xml:space="preserve"> de la malanga,</w:t>
      </w:r>
      <w:r w:rsidR="00BC2AB4" w:rsidRPr="00B60E6E">
        <w:rPr>
          <w:rFonts w:ascii="Times New Roman" w:hAnsi="Times New Roman" w:cs="Times New Roman"/>
          <w:sz w:val="24"/>
          <w:szCs w:val="24"/>
        </w:rPr>
        <w:t xml:space="preserve"> taro</w:t>
      </w:r>
      <w:r w:rsidR="00140693" w:rsidRPr="00B60E6E">
        <w:rPr>
          <w:rFonts w:ascii="Times New Roman" w:hAnsi="Times New Roman" w:cs="Times New Roman"/>
          <w:sz w:val="24"/>
          <w:szCs w:val="24"/>
        </w:rPr>
        <w:t xml:space="preserve"> o </w:t>
      </w:r>
      <w:r w:rsidR="00D202F5" w:rsidRPr="003D07D1">
        <w:rPr>
          <w:rFonts w:ascii="Times New Roman" w:hAnsi="Times New Roman" w:cs="Times New Roman"/>
          <w:i/>
          <w:sz w:val="24"/>
          <w:szCs w:val="24"/>
        </w:rPr>
        <w:t>C</w:t>
      </w:r>
      <w:r w:rsidR="00140693" w:rsidRPr="003D07D1">
        <w:rPr>
          <w:rFonts w:ascii="Times New Roman" w:hAnsi="Times New Roman" w:cs="Times New Roman"/>
          <w:i/>
          <w:sz w:val="24"/>
          <w:szCs w:val="24"/>
        </w:rPr>
        <w:t>olocasia esculenta</w:t>
      </w:r>
      <w:r>
        <w:rPr>
          <w:rFonts w:ascii="Times New Roman" w:hAnsi="Times New Roman" w:cs="Times New Roman"/>
          <w:sz w:val="24"/>
          <w:szCs w:val="24"/>
        </w:rPr>
        <w:t>, sobre la cual</w:t>
      </w:r>
      <w:r w:rsidR="00BC2AB4" w:rsidRPr="00B60E6E">
        <w:rPr>
          <w:rFonts w:ascii="Times New Roman" w:hAnsi="Times New Roman" w:cs="Times New Roman"/>
          <w:sz w:val="24"/>
          <w:szCs w:val="24"/>
        </w:rPr>
        <w:t xml:space="preserve"> </w:t>
      </w:r>
      <w:r w:rsidR="005124F1" w:rsidRPr="00B60E6E">
        <w:rPr>
          <w:rFonts w:ascii="Times New Roman" w:hAnsi="Times New Roman" w:cs="Times New Roman"/>
          <w:sz w:val="24"/>
          <w:szCs w:val="24"/>
        </w:rPr>
        <w:t>se h</w:t>
      </w:r>
      <w:r w:rsidR="00DE01A8" w:rsidRPr="00B60E6E">
        <w:rPr>
          <w:rFonts w:ascii="Times New Roman" w:hAnsi="Times New Roman" w:cs="Times New Roman"/>
          <w:sz w:val="24"/>
          <w:szCs w:val="24"/>
        </w:rPr>
        <w:t>izo</w:t>
      </w:r>
      <w:r w:rsidR="005124F1" w:rsidRPr="00B60E6E">
        <w:rPr>
          <w:rFonts w:ascii="Times New Roman" w:hAnsi="Times New Roman" w:cs="Times New Roman"/>
          <w:sz w:val="24"/>
          <w:szCs w:val="24"/>
        </w:rPr>
        <w:t xml:space="preserve"> una revisión literaria</w:t>
      </w:r>
      <w:r>
        <w:rPr>
          <w:rFonts w:ascii="Times New Roman" w:hAnsi="Times New Roman" w:cs="Times New Roman"/>
          <w:sz w:val="24"/>
          <w:szCs w:val="24"/>
        </w:rPr>
        <w:t xml:space="preserve"> en la que</w:t>
      </w:r>
      <w:r w:rsidR="005124F1" w:rsidRPr="00B60E6E">
        <w:rPr>
          <w:rFonts w:ascii="Times New Roman" w:hAnsi="Times New Roman" w:cs="Times New Roman"/>
          <w:sz w:val="24"/>
          <w:szCs w:val="24"/>
        </w:rPr>
        <w:t xml:space="preserve"> no se </w:t>
      </w:r>
      <w:r>
        <w:rPr>
          <w:rFonts w:ascii="Times New Roman" w:hAnsi="Times New Roman" w:cs="Times New Roman"/>
          <w:sz w:val="24"/>
          <w:szCs w:val="24"/>
        </w:rPr>
        <w:t>halló</w:t>
      </w:r>
      <w:r w:rsidR="005124F1" w:rsidRPr="00B60E6E">
        <w:rPr>
          <w:rFonts w:ascii="Times New Roman" w:hAnsi="Times New Roman" w:cs="Times New Roman"/>
          <w:sz w:val="24"/>
          <w:szCs w:val="24"/>
        </w:rPr>
        <w:t xml:space="preserve"> </w:t>
      </w:r>
      <w:r>
        <w:rPr>
          <w:rFonts w:ascii="Times New Roman" w:hAnsi="Times New Roman" w:cs="Times New Roman"/>
          <w:sz w:val="24"/>
          <w:szCs w:val="24"/>
        </w:rPr>
        <w:t>ningún</w:t>
      </w:r>
      <w:r w:rsidR="005124F1" w:rsidRPr="00B60E6E">
        <w:rPr>
          <w:rFonts w:ascii="Times New Roman" w:hAnsi="Times New Roman" w:cs="Times New Roman"/>
          <w:sz w:val="24"/>
          <w:szCs w:val="24"/>
        </w:rPr>
        <w:t xml:space="preserve"> análisis estructural o competitivo </w:t>
      </w:r>
      <w:r w:rsidR="00293D37">
        <w:rPr>
          <w:rFonts w:ascii="Times New Roman" w:hAnsi="Times New Roman" w:cs="Times New Roman"/>
          <w:sz w:val="24"/>
          <w:szCs w:val="24"/>
        </w:rPr>
        <w:t xml:space="preserve">realizado </w:t>
      </w:r>
      <w:r>
        <w:rPr>
          <w:rFonts w:ascii="Times New Roman" w:hAnsi="Times New Roman" w:cs="Times New Roman"/>
          <w:sz w:val="24"/>
          <w:szCs w:val="24"/>
        </w:rPr>
        <w:t>en México, a pesar de que al</w:t>
      </w:r>
      <w:r w:rsidR="005124F1" w:rsidRPr="00B60E6E">
        <w:rPr>
          <w:rFonts w:ascii="Times New Roman" w:hAnsi="Times New Roman" w:cs="Times New Roman"/>
          <w:sz w:val="24"/>
          <w:szCs w:val="24"/>
        </w:rPr>
        <w:t xml:space="preserve">gunos datos generales </w:t>
      </w:r>
      <w:r>
        <w:rPr>
          <w:rFonts w:ascii="Times New Roman" w:hAnsi="Times New Roman" w:cs="Times New Roman"/>
          <w:sz w:val="24"/>
          <w:szCs w:val="24"/>
        </w:rPr>
        <w:t>—</w:t>
      </w:r>
      <w:r w:rsidR="005124F1" w:rsidRPr="00B60E6E">
        <w:rPr>
          <w:rFonts w:ascii="Times New Roman" w:hAnsi="Times New Roman" w:cs="Times New Roman"/>
          <w:sz w:val="24"/>
          <w:szCs w:val="24"/>
        </w:rPr>
        <w:t xml:space="preserve">como el valor de la producción en pesos mexicanos, </w:t>
      </w:r>
      <w:r>
        <w:rPr>
          <w:rFonts w:ascii="Times New Roman" w:hAnsi="Times New Roman" w:cs="Times New Roman"/>
          <w:sz w:val="24"/>
          <w:szCs w:val="24"/>
        </w:rPr>
        <w:t xml:space="preserve">los </w:t>
      </w:r>
      <w:r w:rsidR="005124F1" w:rsidRPr="00B60E6E">
        <w:rPr>
          <w:rFonts w:ascii="Times New Roman" w:hAnsi="Times New Roman" w:cs="Times New Roman"/>
          <w:sz w:val="24"/>
          <w:szCs w:val="24"/>
        </w:rPr>
        <w:t xml:space="preserve">precios por tonelada y </w:t>
      </w:r>
      <w:r>
        <w:rPr>
          <w:rFonts w:ascii="Times New Roman" w:hAnsi="Times New Roman" w:cs="Times New Roman"/>
          <w:sz w:val="24"/>
          <w:szCs w:val="24"/>
        </w:rPr>
        <w:t xml:space="preserve">el </w:t>
      </w:r>
      <w:r w:rsidR="005124F1" w:rsidRPr="00B60E6E">
        <w:rPr>
          <w:rFonts w:ascii="Times New Roman" w:hAnsi="Times New Roman" w:cs="Times New Roman"/>
          <w:sz w:val="24"/>
          <w:szCs w:val="24"/>
        </w:rPr>
        <w:t>volumen de pr</w:t>
      </w:r>
      <w:r>
        <w:rPr>
          <w:rFonts w:ascii="Times New Roman" w:hAnsi="Times New Roman" w:cs="Times New Roman"/>
          <w:sz w:val="24"/>
          <w:szCs w:val="24"/>
        </w:rPr>
        <w:t>oducción cosechada en toneladas— indican que entre 2010 y</w:t>
      </w:r>
      <w:r w:rsidR="005124F1" w:rsidRPr="00B60E6E">
        <w:rPr>
          <w:rFonts w:ascii="Times New Roman" w:hAnsi="Times New Roman" w:cs="Times New Roman"/>
          <w:sz w:val="24"/>
          <w:szCs w:val="24"/>
        </w:rPr>
        <w:t xml:space="preserve"> 2015 ha existido una gran variabilidad en la actividad productiva </w:t>
      </w:r>
      <w:r w:rsidR="005124F1" w:rsidRPr="003D07D1">
        <w:rPr>
          <w:rFonts w:ascii="Times New Roman" w:hAnsi="Times New Roman" w:cs="Times New Roman"/>
          <w:sz w:val="24"/>
          <w:szCs w:val="24"/>
        </w:rPr>
        <w:t xml:space="preserve">de </w:t>
      </w:r>
      <w:r w:rsidR="00293D37" w:rsidRPr="003D07D1">
        <w:rPr>
          <w:rFonts w:ascii="Times New Roman" w:hAnsi="Times New Roman" w:cs="Times New Roman"/>
          <w:sz w:val="24"/>
          <w:szCs w:val="24"/>
        </w:rPr>
        <w:t>este producto</w:t>
      </w:r>
      <w:r w:rsidR="005124F1" w:rsidRPr="00B60E6E">
        <w:rPr>
          <w:rFonts w:ascii="Times New Roman" w:hAnsi="Times New Roman" w:cs="Times New Roman"/>
          <w:sz w:val="24"/>
          <w:szCs w:val="24"/>
        </w:rPr>
        <w:t xml:space="preserve"> (</w:t>
      </w:r>
      <w:r>
        <w:rPr>
          <w:rFonts w:ascii="Times New Roman" w:hAnsi="Times New Roman" w:cs="Times New Roman"/>
          <w:sz w:val="24"/>
          <w:szCs w:val="24"/>
        </w:rPr>
        <w:t>v</w:t>
      </w:r>
      <w:r w:rsidR="00E51DBE" w:rsidRPr="00B60E6E">
        <w:rPr>
          <w:rFonts w:ascii="Times New Roman" w:hAnsi="Times New Roman" w:cs="Times New Roman"/>
          <w:sz w:val="24"/>
          <w:szCs w:val="24"/>
        </w:rPr>
        <w:t xml:space="preserve">er </w:t>
      </w:r>
      <w:r>
        <w:rPr>
          <w:rFonts w:ascii="Times New Roman" w:hAnsi="Times New Roman" w:cs="Times New Roman"/>
          <w:sz w:val="24"/>
          <w:szCs w:val="24"/>
        </w:rPr>
        <w:t>a</w:t>
      </w:r>
      <w:r w:rsidR="005124F1" w:rsidRPr="00B60E6E">
        <w:rPr>
          <w:rFonts w:ascii="Times New Roman" w:hAnsi="Times New Roman" w:cs="Times New Roman"/>
          <w:sz w:val="24"/>
          <w:szCs w:val="24"/>
        </w:rPr>
        <w:t xml:space="preserve">nexo 1). </w:t>
      </w:r>
      <w:r w:rsidR="00293D37">
        <w:rPr>
          <w:rFonts w:ascii="Times New Roman" w:hAnsi="Times New Roman" w:cs="Times New Roman"/>
          <w:sz w:val="24"/>
          <w:szCs w:val="24"/>
        </w:rPr>
        <w:t xml:space="preserve">Este </w:t>
      </w:r>
      <w:r w:rsidR="00293D37" w:rsidRPr="00B60E6E">
        <w:rPr>
          <w:rFonts w:ascii="Times New Roman" w:hAnsi="Times New Roman" w:cs="Times New Roman"/>
          <w:sz w:val="24"/>
          <w:szCs w:val="24"/>
        </w:rPr>
        <w:t>vacío literario</w:t>
      </w:r>
      <w:r w:rsidR="00293D37">
        <w:rPr>
          <w:rFonts w:ascii="Times New Roman" w:hAnsi="Times New Roman" w:cs="Times New Roman"/>
          <w:sz w:val="24"/>
          <w:szCs w:val="24"/>
        </w:rPr>
        <w:t>, en consecuencia, ha servido para</w:t>
      </w:r>
      <w:r w:rsidR="005124F1" w:rsidRPr="00B60E6E">
        <w:rPr>
          <w:rFonts w:ascii="Times New Roman" w:hAnsi="Times New Roman" w:cs="Times New Roman"/>
          <w:sz w:val="24"/>
          <w:szCs w:val="24"/>
        </w:rPr>
        <w:t xml:space="preserve"> </w:t>
      </w:r>
      <w:r w:rsidR="00293D37">
        <w:rPr>
          <w:rFonts w:ascii="Times New Roman" w:hAnsi="Times New Roman" w:cs="Times New Roman"/>
          <w:sz w:val="24"/>
          <w:szCs w:val="24"/>
        </w:rPr>
        <w:t xml:space="preserve">plantear como </w:t>
      </w:r>
      <w:r w:rsidR="005124F1" w:rsidRPr="00B60E6E">
        <w:rPr>
          <w:rFonts w:ascii="Times New Roman" w:hAnsi="Times New Roman" w:cs="Times New Roman"/>
          <w:sz w:val="24"/>
          <w:szCs w:val="24"/>
        </w:rPr>
        <w:t>objetivo un análisis competitivo de la actividad productiva de la malanga a través de la teoría de Porter</w:t>
      </w:r>
      <w:r w:rsidR="00293D37">
        <w:rPr>
          <w:rFonts w:ascii="Times New Roman" w:hAnsi="Times New Roman" w:cs="Times New Roman"/>
          <w:sz w:val="24"/>
          <w:szCs w:val="24"/>
        </w:rPr>
        <w:t xml:space="preserve">, de modo que se pueda </w:t>
      </w:r>
      <w:r w:rsidR="005124F1" w:rsidRPr="00B60E6E">
        <w:rPr>
          <w:rFonts w:ascii="Times New Roman" w:hAnsi="Times New Roman" w:cs="Times New Roman"/>
          <w:sz w:val="24"/>
          <w:szCs w:val="24"/>
        </w:rPr>
        <w:t xml:space="preserve">conocer </w:t>
      </w:r>
      <w:r w:rsidR="00293D37">
        <w:rPr>
          <w:rFonts w:ascii="Times New Roman" w:hAnsi="Times New Roman" w:cs="Times New Roman"/>
          <w:sz w:val="24"/>
          <w:szCs w:val="24"/>
        </w:rPr>
        <w:t>la</w:t>
      </w:r>
      <w:r w:rsidR="005124F1" w:rsidRPr="00B60E6E">
        <w:rPr>
          <w:rFonts w:ascii="Times New Roman" w:hAnsi="Times New Roman" w:cs="Times New Roman"/>
          <w:sz w:val="24"/>
          <w:szCs w:val="24"/>
        </w:rPr>
        <w:t xml:space="preserve"> situación estratégica y competitiva </w:t>
      </w:r>
      <w:r w:rsidR="00293D37" w:rsidRPr="003D07D1">
        <w:rPr>
          <w:rFonts w:ascii="Times New Roman" w:hAnsi="Times New Roman" w:cs="Times New Roman"/>
          <w:sz w:val="24"/>
          <w:szCs w:val="24"/>
        </w:rPr>
        <w:t>de este rubro</w:t>
      </w:r>
      <w:r w:rsidR="00293D37">
        <w:rPr>
          <w:rFonts w:ascii="Times New Roman" w:hAnsi="Times New Roman" w:cs="Times New Roman"/>
          <w:sz w:val="24"/>
          <w:szCs w:val="24"/>
        </w:rPr>
        <w:t xml:space="preserve"> </w:t>
      </w:r>
      <w:r w:rsidR="005124F1" w:rsidRPr="00B60E6E">
        <w:rPr>
          <w:rFonts w:ascii="Times New Roman" w:hAnsi="Times New Roman" w:cs="Times New Roman"/>
          <w:sz w:val="24"/>
          <w:szCs w:val="24"/>
        </w:rPr>
        <w:t xml:space="preserve">desde </w:t>
      </w:r>
      <w:r w:rsidR="00293D37">
        <w:rPr>
          <w:rFonts w:ascii="Times New Roman" w:hAnsi="Times New Roman" w:cs="Times New Roman"/>
          <w:sz w:val="24"/>
          <w:szCs w:val="24"/>
        </w:rPr>
        <w:t>la</w:t>
      </w:r>
      <w:r w:rsidR="005124F1" w:rsidRPr="00B60E6E">
        <w:rPr>
          <w:rFonts w:ascii="Times New Roman" w:hAnsi="Times New Roman" w:cs="Times New Roman"/>
          <w:sz w:val="24"/>
          <w:szCs w:val="24"/>
        </w:rPr>
        <w:t xml:space="preserve"> perspectiva del agricultor mexicano.</w:t>
      </w:r>
    </w:p>
    <w:p w14:paraId="229FFD32" w14:textId="7F30B575" w:rsidR="005508B0" w:rsidRDefault="00293D37" w:rsidP="005508B0">
      <w:pPr>
        <w:autoSpaceDE w:val="0"/>
        <w:autoSpaceDN w:val="0"/>
        <w:adjustRightInd w:val="0"/>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 ser este </w:t>
      </w:r>
      <w:r w:rsidR="005124F1" w:rsidRPr="00B60E6E">
        <w:rPr>
          <w:rFonts w:ascii="Times New Roman" w:hAnsi="Times New Roman" w:cs="Times New Roman"/>
          <w:sz w:val="24"/>
          <w:szCs w:val="24"/>
        </w:rPr>
        <w:t xml:space="preserve">uno de los primeros estudios enfocados en la actividad productiva de la malanga mexicana, </w:t>
      </w:r>
      <w:r w:rsidR="00550270" w:rsidRPr="00B60E6E">
        <w:rPr>
          <w:rFonts w:ascii="Times New Roman" w:hAnsi="Times New Roman" w:cs="Times New Roman"/>
          <w:sz w:val="24"/>
          <w:szCs w:val="24"/>
        </w:rPr>
        <w:t xml:space="preserve">no se </w:t>
      </w:r>
      <w:r>
        <w:rPr>
          <w:rFonts w:ascii="Times New Roman" w:hAnsi="Times New Roman" w:cs="Times New Roman"/>
          <w:sz w:val="24"/>
          <w:szCs w:val="24"/>
        </w:rPr>
        <w:t xml:space="preserve">ha </w:t>
      </w:r>
      <w:r w:rsidR="00BA1E72">
        <w:rPr>
          <w:rFonts w:ascii="Times New Roman" w:hAnsi="Times New Roman" w:cs="Times New Roman"/>
          <w:sz w:val="24"/>
          <w:szCs w:val="24"/>
        </w:rPr>
        <w:t>encontrado</w:t>
      </w:r>
      <w:r>
        <w:rPr>
          <w:rFonts w:ascii="Times New Roman" w:hAnsi="Times New Roman" w:cs="Times New Roman"/>
          <w:sz w:val="24"/>
          <w:szCs w:val="24"/>
        </w:rPr>
        <w:t xml:space="preserve"> </w:t>
      </w:r>
      <w:r w:rsidR="0050276E" w:rsidRPr="00B60E6E">
        <w:rPr>
          <w:rFonts w:ascii="Times New Roman" w:hAnsi="Times New Roman" w:cs="Times New Roman"/>
          <w:sz w:val="24"/>
          <w:szCs w:val="24"/>
        </w:rPr>
        <w:t xml:space="preserve">suficiente </w:t>
      </w:r>
      <w:r w:rsidR="00550270" w:rsidRPr="00B60E6E">
        <w:rPr>
          <w:rFonts w:ascii="Times New Roman" w:hAnsi="Times New Roman" w:cs="Times New Roman"/>
          <w:sz w:val="24"/>
          <w:szCs w:val="24"/>
        </w:rPr>
        <w:t xml:space="preserve">literatura especializada ni </w:t>
      </w:r>
      <w:r w:rsidR="001B6469" w:rsidRPr="00B60E6E">
        <w:rPr>
          <w:rFonts w:ascii="Times New Roman" w:hAnsi="Times New Roman" w:cs="Times New Roman"/>
          <w:sz w:val="24"/>
          <w:szCs w:val="24"/>
        </w:rPr>
        <w:t>suficiente</w:t>
      </w:r>
      <w:r w:rsidR="00550270" w:rsidRPr="00B60E6E">
        <w:rPr>
          <w:rFonts w:ascii="Times New Roman" w:hAnsi="Times New Roman" w:cs="Times New Roman"/>
          <w:sz w:val="24"/>
          <w:szCs w:val="24"/>
        </w:rPr>
        <w:t xml:space="preserve"> información. </w:t>
      </w:r>
      <w:r>
        <w:rPr>
          <w:rFonts w:ascii="Times New Roman" w:hAnsi="Times New Roman" w:cs="Times New Roman"/>
          <w:sz w:val="24"/>
          <w:szCs w:val="24"/>
        </w:rPr>
        <w:t xml:space="preserve">Por </w:t>
      </w:r>
      <w:r>
        <w:rPr>
          <w:rFonts w:ascii="Times New Roman" w:hAnsi="Times New Roman" w:cs="Times New Roman"/>
          <w:sz w:val="24"/>
          <w:szCs w:val="24"/>
        </w:rPr>
        <w:lastRenderedPageBreak/>
        <w:t xml:space="preserve">ende, se ha optado </w:t>
      </w:r>
      <w:r w:rsidR="00550270" w:rsidRPr="00B60E6E">
        <w:rPr>
          <w:rFonts w:ascii="Times New Roman" w:hAnsi="Times New Roman" w:cs="Times New Roman"/>
          <w:sz w:val="24"/>
          <w:szCs w:val="24"/>
        </w:rPr>
        <w:t xml:space="preserve">por </w:t>
      </w:r>
      <w:r>
        <w:rPr>
          <w:rFonts w:ascii="Times New Roman" w:hAnsi="Times New Roman" w:cs="Times New Roman"/>
          <w:sz w:val="24"/>
          <w:szCs w:val="24"/>
        </w:rPr>
        <w:t xml:space="preserve">desarrollar </w:t>
      </w:r>
      <w:r w:rsidR="00550270" w:rsidRPr="00B60E6E">
        <w:rPr>
          <w:rFonts w:ascii="Times New Roman" w:hAnsi="Times New Roman" w:cs="Times New Roman"/>
          <w:sz w:val="24"/>
          <w:szCs w:val="24"/>
        </w:rPr>
        <w:t>un proceso de investigació</w:t>
      </w:r>
      <w:r>
        <w:rPr>
          <w:rFonts w:ascii="Times New Roman" w:hAnsi="Times New Roman" w:cs="Times New Roman"/>
          <w:sz w:val="24"/>
          <w:szCs w:val="24"/>
        </w:rPr>
        <w:t>n cualitativa</w:t>
      </w:r>
      <w:r w:rsidR="00912CC9" w:rsidRPr="00B60E6E">
        <w:rPr>
          <w:rFonts w:ascii="Times New Roman" w:hAnsi="Times New Roman" w:cs="Times New Roman"/>
          <w:sz w:val="24"/>
          <w:szCs w:val="24"/>
        </w:rPr>
        <w:t xml:space="preserve"> </w:t>
      </w:r>
      <w:r w:rsidR="00304193" w:rsidRPr="00B60E6E">
        <w:rPr>
          <w:rFonts w:ascii="Times New Roman" w:hAnsi="Times New Roman" w:cs="Times New Roman"/>
          <w:sz w:val="24"/>
          <w:szCs w:val="24"/>
        </w:rPr>
        <w:t xml:space="preserve">en el </w:t>
      </w:r>
      <w:r w:rsidR="00550270" w:rsidRPr="00B60E6E">
        <w:rPr>
          <w:rFonts w:ascii="Times New Roman" w:hAnsi="Times New Roman" w:cs="Times New Roman"/>
          <w:sz w:val="24"/>
          <w:szCs w:val="24"/>
        </w:rPr>
        <w:t xml:space="preserve">que no se </w:t>
      </w:r>
      <w:r>
        <w:rPr>
          <w:rFonts w:ascii="Times New Roman" w:hAnsi="Times New Roman" w:cs="Times New Roman"/>
          <w:sz w:val="24"/>
          <w:szCs w:val="24"/>
        </w:rPr>
        <w:t xml:space="preserve">ha establecido </w:t>
      </w:r>
      <w:r w:rsidR="00550270" w:rsidRPr="00B60E6E">
        <w:rPr>
          <w:rFonts w:ascii="Times New Roman" w:hAnsi="Times New Roman" w:cs="Times New Roman"/>
          <w:sz w:val="24"/>
          <w:szCs w:val="24"/>
        </w:rPr>
        <w:t>una h</w:t>
      </w:r>
      <w:r w:rsidR="00B57103" w:rsidRPr="00B60E6E">
        <w:rPr>
          <w:rFonts w:ascii="Times New Roman" w:hAnsi="Times New Roman" w:cs="Times New Roman"/>
          <w:sz w:val="24"/>
          <w:szCs w:val="24"/>
        </w:rPr>
        <w:t xml:space="preserve">ipótesis </w:t>
      </w:r>
      <w:r>
        <w:rPr>
          <w:rFonts w:ascii="Times New Roman" w:hAnsi="Times New Roman" w:cs="Times New Roman"/>
          <w:sz w:val="24"/>
          <w:szCs w:val="24"/>
        </w:rPr>
        <w:t>inicial para ser probada</w:t>
      </w:r>
      <w:r w:rsidR="00550270" w:rsidRPr="00B60E6E">
        <w:rPr>
          <w:rFonts w:ascii="Times New Roman" w:hAnsi="Times New Roman" w:cs="Times New Roman"/>
          <w:sz w:val="24"/>
          <w:szCs w:val="24"/>
        </w:rPr>
        <w:t xml:space="preserve"> estadísticamente </w:t>
      </w:r>
      <w:r>
        <w:rPr>
          <w:rFonts w:ascii="Times New Roman" w:hAnsi="Times New Roman" w:cs="Times New Roman"/>
          <w:sz w:val="24"/>
          <w:szCs w:val="24"/>
        </w:rPr>
        <w:t>(Hernández, Fernández y</w:t>
      </w:r>
      <w:r w:rsidR="005508B0">
        <w:rPr>
          <w:rFonts w:ascii="Times New Roman" w:hAnsi="Times New Roman" w:cs="Times New Roman"/>
          <w:sz w:val="24"/>
          <w:szCs w:val="24"/>
        </w:rPr>
        <w:t xml:space="preserve"> Baptista, 2014). </w:t>
      </w:r>
    </w:p>
    <w:p w14:paraId="22A7B4E3" w14:textId="02758132" w:rsidR="005124F1" w:rsidRPr="00B60E6E" w:rsidRDefault="005508B0" w:rsidP="005508B0">
      <w:pPr>
        <w:autoSpaceDE w:val="0"/>
        <w:autoSpaceDN w:val="0"/>
        <w:adjustRightInd w:val="0"/>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Esto es posible porque </w:t>
      </w:r>
      <w:r w:rsidRPr="00B60E6E">
        <w:rPr>
          <w:rFonts w:ascii="Times New Roman" w:hAnsi="Times New Roman" w:cs="Times New Roman"/>
          <w:sz w:val="24"/>
          <w:szCs w:val="24"/>
        </w:rPr>
        <w:t xml:space="preserve">existen diversas maneras </w:t>
      </w:r>
      <w:r>
        <w:rPr>
          <w:rFonts w:ascii="Times New Roman" w:hAnsi="Times New Roman" w:cs="Times New Roman"/>
          <w:sz w:val="24"/>
          <w:szCs w:val="24"/>
        </w:rPr>
        <w:t xml:space="preserve">de examinar </w:t>
      </w:r>
      <w:r w:rsidR="005124F1" w:rsidRPr="00B60E6E">
        <w:rPr>
          <w:rFonts w:ascii="Times New Roman" w:hAnsi="Times New Roman" w:cs="Times New Roman"/>
          <w:sz w:val="24"/>
          <w:szCs w:val="24"/>
        </w:rPr>
        <w:t>estructuralmente la act</w:t>
      </w:r>
      <w:r>
        <w:rPr>
          <w:rFonts w:ascii="Times New Roman" w:hAnsi="Times New Roman" w:cs="Times New Roman"/>
          <w:sz w:val="24"/>
          <w:szCs w:val="24"/>
        </w:rPr>
        <w:t>ividad productiva de la malanga</w:t>
      </w:r>
      <w:r w:rsidR="005124F1" w:rsidRPr="00B60E6E">
        <w:rPr>
          <w:rFonts w:ascii="Times New Roman" w:hAnsi="Times New Roman" w:cs="Times New Roman"/>
          <w:sz w:val="24"/>
          <w:szCs w:val="24"/>
        </w:rPr>
        <w:t xml:space="preserve">. </w:t>
      </w:r>
      <w:r>
        <w:rPr>
          <w:rFonts w:ascii="Times New Roman" w:hAnsi="Times New Roman" w:cs="Times New Roman"/>
          <w:sz w:val="24"/>
          <w:szCs w:val="24"/>
        </w:rPr>
        <w:t>U</w:t>
      </w:r>
      <w:r w:rsidR="006F13DD">
        <w:rPr>
          <w:rFonts w:ascii="Times New Roman" w:hAnsi="Times New Roman" w:cs="Times New Roman"/>
          <w:sz w:val="24"/>
          <w:szCs w:val="24"/>
        </w:rPr>
        <w:t>n análisis estructural</w:t>
      </w:r>
      <w:r>
        <w:rPr>
          <w:rFonts w:ascii="Times New Roman" w:hAnsi="Times New Roman" w:cs="Times New Roman"/>
          <w:sz w:val="24"/>
          <w:szCs w:val="24"/>
        </w:rPr>
        <w:t>, por ejemplo,</w:t>
      </w:r>
      <w:r w:rsidR="005124F1" w:rsidRPr="00B60E6E">
        <w:rPr>
          <w:rFonts w:ascii="Times New Roman" w:hAnsi="Times New Roman" w:cs="Times New Roman"/>
          <w:sz w:val="24"/>
          <w:szCs w:val="24"/>
        </w:rPr>
        <w:t xml:space="preserve"> se puede </w:t>
      </w:r>
      <w:r>
        <w:rPr>
          <w:rFonts w:ascii="Times New Roman" w:hAnsi="Times New Roman" w:cs="Times New Roman"/>
          <w:sz w:val="24"/>
          <w:szCs w:val="24"/>
        </w:rPr>
        <w:t>ejecutar</w:t>
      </w:r>
      <w:r w:rsidR="005124F1" w:rsidRPr="00B60E6E">
        <w:rPr>
          <w:rFonts w:ascii="Times New Roman" w:hAnsi="Times New Roman" w:cs="Times New Roman"/>
          <w:sz w:val="24"/>
          <w:szCs w:val="24"/>
        </w:rPr>
        <w:t xml:space="preserve"> mediante l</w:t>
      </w:r>
      <w:r>
        <w:rPr>
          <w:rFonts w:ascii="Times New Roman" w:hAnsi="Times New Roman" w:cs="Times New Roman"/>
          <w:sz w:val="24"/>
          <w:szCs w:val="24"/>
        </w:rPr>
        <w:t>a teoría de Encaoua y Jacquemin</w:t>
      </w:r>
      <w:r w:rsidR="005124F1" w:rsidRPr="00B60E6E">
        <w:rPr>
          <w:rFonts w:ascii="Times New Roman" w:hAnsi="Times New Roman" w:cs="Times New Roman"/>
          <w:sz w:val="24"/>
          <w:szCs w:val="24"/>
        </w:rPr>
        <w:t xml:space="preserve"> (1980), la cual se enfoca principalmente en el tipo de demanda, </w:t>
      </w:r>
      <w:r>
        <w:rPr>
          <w:rFonts w:ascii="Times New Roman" w:hAnsi="Times New Roman" w:cs="Times New Roman"/>
          <w:sz w:val="24"/>
          <w:szCs w:val="24"/>
        </w:rPr>
        <w:t xml:space="preserve">la </w:t>
      </w:r>
      <w:r w:rsidR="005124F1" w:rsidRPr="00B60E6E">
        <w:rPr>
          <w:rFonts w:ascii="Times New Roman" w:hAnsi="Times New Roman" w:cs="Times New Roman"/>
          <w:sz w:val="24"/>
          <w:szCs w:val="24"/>
        </w:rPr>
        <w:t>diferenciación de productos y</w:t>
      </w:r>
      <w:r>
        <w:rPr>
          <w:rFonts w:ascii="Times New Roman" w:hAnsi="Times New Roman" w:cs="Times New Roman"/>
          <w:sz w:val="24"/>
          <w:szCs w:val="24"/>
        </w:rPr>
        <w:t>,</w:t>
      </w:r>
      <w:r w:rsidR="005124F1" w:rsidRPr="00B60E6E">
        <w:rPr>
          <w:rFonts w:ascii="Times New Roman" w:hAnsi="Times New Roman" w:cs="Times New Roman"/>
          <w:sz w:val="24"/>
          <w:szCs w:val="24"/>
        </w:rPr>
        <w:t xml:space="preserve"> principalmente</w:t>
      </w:r>
      <w:r>
        <w:rPr>
          <w:rFonts w:ascii="Times New Roman" w:hAnsi="Times New Roman" w:cs="Times New Roman"/>
          <w:sz w:val="24"/>
          <w:szCs w:val="24"/>
        </w:rPr>
        <w:t>,</w:t>
      </w:r>
      <w:r w:rsidR="005124F1" w:rsidRPr="00B60E6E">
        <w:rPr>
          <w:rFonts w:ascii="Times New Roman" w:hAnsi="Times New Roman" w:cs="Times New Roman"/>
          <w:sz w:val="24"/>
          <w:szCs w:val="24"/>
        </w:rPr>
        <w:t xml:space="preserve"> el grado de concentración. </w:t>
      </w:r>
      <w:r>
        <w:rPr>
          <w:rFonts w:ascii="Times New Roman" w:hAnsi="Times New Roman" w:cs="Times New Roman"/>
          <w:sz w:val="24"/>
          <w:szCs w:val="24"/>
        </w:rPr>
        <w:t xml:space="preserve">Asimismo, </w:t>
      </w:r>
      <w:r w:rsidR="005124F1" w:rsidRPr="00B60E6E">
        <w:rPr>
          <w:rFonts w:ascii="Times New Roman" w:hAnsi="Times New Roman" w:cs="Times New Roman"/>
          <w:sz w:val="24"/>
          <w:szCs w:val="24"/>
        </w:rPr>
        <w:t>Scherer y</w:t>
      </w:r>
      <w:r>
        <w:rPr>
          <w:rFonts w:ascii="Times New Roman" w:hAnsi="Times New Roman" w:cs="Times New Roman"/>
          <w:sz w:val="24"/>
          <w:szCs w:val="24"/>
        </w:rPr>
        <w:t xml:space="preserve"> Ross</w:t>
      </w:r>
      <w:r w:rsidR="005124F1" w:rsidRPr="00B60E6E">
        <w:rPr>
          <w:rFonts w:ascii="Times New Roman" w:hAnsi="Times New Roman" w:cs="Times New Roman"/>
          <w:sz w:val="24"/>
          <w:szCs w:val="24"/>
        </w:rPr>
        <w:t xml:space="preserve"> </w:t>
      </w:r>
      <w:r>
        <w:rPr>
          <w:rFonts w:ascii="Times New Roman" w:hAnsi="Times New Roman" w:cs="Times New Roman"/>
          <w:sz w:val="24"/>
          <w:szCs w:val="24"/>
        </w:rPr>
        <w:t xml:space="preserve">(1990) </w:t>
      </w:r>
      <w:r w:rsidR="005124F1" w:rsidRPr="00B60E6E">
        <w:rPr>
          <w:rFonts w:ascii="Times New Roman" w:hAnsi="Times New Roman" w:cs="Times New Roman"/>
          <w:sz w:val="24"/>
          <w:szCs w:val="24"/>
        </w:rPr>
        <w:t xml:space="preserve">muestran </w:t>
      </w:r>
      <w:r>
        <w:rPr>
          <w:rFonts w:ascii="Times New Roman" w:hAnsi="Times New Roman" w:cs="Times New Roman"/>
          <w:sz w:val="24"/>
          <w:szCs w:val="24"/>
        </w:rPr>
        <w:t>que se puede concretar un estudio más amplio</w:t>
      </w:r>
      <w:r w:rsidR="005124F1" w:rsidRPr="00B60E6E">
        <w:rPr>
          <w:rFonts w:ascii="Times New Roman" w:hAnsi="Times New Roman" w:cs="Times New Roman"/>
          <w:sz w:val="24"/>
          <w:szCs w:val="24"/>
        </w:rPr>
        <w:t xml:space="preserve"> tomando en cuenta aspectos como la diferenciación, </w:t>
      </w:r>
      <w:r>
        <w:rPr>
          <w:rFonts w:ascii="Times New Roman" w:hAnsi="Times New Roman" w:cs="Times New Roman"/>
          <w:sz w:val="24"/>
          <w:szCs w:val="24"/>
        </w:rPr>
        <w:t xml:space="preserve">las </w:t>
      </w:r>
      <w:r w:rsidR="005124F1" w:rsidRPr="00B60E6E">
        <w:rPr>
          <w:rFonts w:ascii="Times New Roman" w:hAnsi="Times New Roman" w:cs="Times New Roman"/>
          <w:sz w:val="24"/>
          <w:szCs w:val="24"/>
        </w:rPr>
        <w:t xml:space="preserve">barreras de entrada, </w:t>
      </w:r>
      <w:r>
        <w:rPr>
          <w:rFonts w:ascii="Times New Roman" w:hAnsi="Times New Roman" w:cs="Times New Roman"/>
          <w:sz w:val="24"/>
          <w:szCs w:val="24"/>
        </w:rPr>
        <w:t xml:space="preserve">la </w:t>
      </w:r>
      <w:r w:rsidR="005124F1" w:rsidRPr="00B60E6E">
        <w:rPr>
          <w:rFonts w:ascii="Times New Roman" w:hAnsi="Times New Roman" w:cs="Times New Roman"/>
          <w:sz w:val="24"/>
          <w:szCs w:val="24"/>
        </w:rPr>
        <w:t xml:space="preserve">estructura de costos, </w:t>
      </w:r>
      <w:r>
        <w:rPr>
          <w:rFonts w:ascii="Times New Roman" w:hAnsi="Times New Roman" w:cs="Times New Roman"/>
          <w:sz w:val="24"/>
          <w:szCs w:val="24"/>
        </w:rPr>
        <w:t xml:space="preserve">la </w:t>
      </w:r>
      <w:r w:rsidR="005124F1" w:rsidRPr="00B60E6E">
        <w:rPr>
          <w:rFonts w:ascii="Times New Roman" w:hAnsi="Times New Roman" w:cs="Times New Roman"/>
          <w:sz w:val="24"/>
          <w:szCs w:val="24"/>
        </w:rPr>
        <w:t xml:space="preserve">integración vertical, </w:t>
      </w:r>
      <w:r>
        <w:rPr>
          <w:rFonts w:ascii="Times New Roman" w:hAnsi="Times New Roman" w:cs="Times New Roman"/>
          <w:sz w:val="24"/>
          <w:szCs w:val="24"/>
        </w:rPr>
        <w:t xml:space="preserve">la </w:t>
      </w:r>
      <w:r w:rsidR="005124F1" w:rsidRPr="00B60E6E">
        <w:rPr>
          <w:rFonts w:ascii="Times New Roman" w:hAnsi="Times New Roman" w:cs="Times New Roman"/>
          <w:sz w:val="24"/>
          <w:szCs w:val="24"/>
        </w:rPr>
        <w:t xml:space="preserve">estructura </w:t>
      </w:r>
      <w:r w:rsidR="00F57A58" w:rsidRPr="00B60E6E">
        <w:rPr>
          <w:rFonts w:ascii="Times New Roman" w:hAnsi="Times New Roman" w:cs="Times New Roman"/>
          <w:sz w:val="24"/>
          <w:szCs w:val="24"/>
        </w:rPr>
        <w:t>conglomerada,</w:t>
      </w:r>
      <w:r w:rsidR="005124F1" w:rsidRPr="00B60E6E">
        <w:rPr>
          <w:rFonts w:ascii="Times New Roman" w:hAnsi="Times New Roman" w:cs="Times New Roman"/>
          <w:sz w:val="24"/>
          <w:szCs w:val="24"/>
        </w:rPr>
        <w:t xml:space="preserve"> así como el número de ven</w:t>
      </w:r>
      <w:r>
        <w:rPr>
          <w:rFonts w:ascii="Times New Roman" w:hAnsi="Times New Roman" w:cs="Times New Roman"/>
          <w:sz w:val="24"/>
          <w:szCs w:val="24"/>
        </w:rPr>
        <w:t>dedores y compradores</w:t>
      </w:r>
      <w:r w:rsidR="005124F1" w:rsidRPr="00B60E6E">
        <w:rPr>
          <w:rFonts w:ascii="Times New Roman" w:hAnsi="Times New Roman" w:cs="Times New Roman"/>
          <w:sz w:val="24"/>
          <w:szCs w:val="24"/>
        </w:rPr>
        <w:t xml:space="preserve">. </w:t>
      </w:r>
      <w:r>
        <w:rPr>
          <w:rFonts w:ascii="Times New Roman" w:hAnsi="Times New Roman" w:cs="Times New Roman"/>
          <w:sz w:val="24"/>
          <w:szCs w:val="24"/>
        </w:rPr>
        <w:t xml:space="preserve">Por su parte, </w:t>
      </w:r>
      <w:r w:rsidR="005124F1" w:rsidRPr="00B60E6E">
        <w:rPr>
          <w:rFonts w:ascii="Times New Roman" w:hAnsi="Times New Roman" w:cs="Times New Roman"/>
          <w:sz w:val="24"/>
          <w:szCs w:val="24"/>
        </w:rPr>
        <w:t>B</w:t>
      </w:r>
      <w:r>
        <w:rPr>
          <w:rFonts w:ascii="Times New Roman" w:hAnsi="Times New Roman" w:cs="Times New Roman"/>
          <w:sz w:val="24"/>
          <w:szCs w:val="24"/>
        </w:rPr>
        <w:t>ueno (1996)</w:t>
      </w:r>
      <w:r w:rsidR="005124F1" w:rsidRPr="00B60E6E">
        <w:rPr>
          <w:rFonts w:ascii="Times New Roman" w:hAnsi="Times New Roman" w:cs="Times New Roman"/>
          <w:sz w:val="24"/>
          <w:szCs w:val="24"/>
        </w:rPr>
        <w:t xml:space="preserve"> trata de act</w:t>
      </w:r>
      <w:r>
        <w:rPr>
          <w:rFonts w:ascii="Times New Roman" w:hAnsi="Times New Roman" w:cs="Times New Roman"/>
          <w:sz w:val="24"/>
          <w:szCs w:val="24"/>
        </w:rPr>
        <w:t>ualizar el análisis estructural</w:t>
      </w:r>
      <w:r w:rsidR="005124F1" w:rsidRPr="00B60E6E">
        <w:rPr>
          <w:rFonts w:ascii="Times New Roman" w:hAnsi="Times New Roman" w:cs="Times New Roman"/>
          <w:sz w:val="24"/>
          <w:szCs w:val="24"/>
        </w:rPr>
        <w:t xml:space="preserve"> basándolo primordialmente en la competencia actual, </w:t>
      </w:r>
      <w:r>
        <w:rPr>
          <w:rFonts w:ascii="Times New Roman" w:hAnsi="Times New Roman" w:cs="Times New Roman"/>
          <w:sz w:val="24"/>
          <w:szCs w:val="24"/>
        </w:rPr>
        <w:t xml:space="preserve">la </w:t>
      </w:r>
      <w:r w:rsidR="005124F1" w:rsidRPr="00B60E6E">
        <w:rPr>
          <w:rFonts w:ascii="Times New Roman" w:hAnsi="Times New Roman" w:cs="Times New Roman"/>
          <w:sz w:val="24"/>
          <w:szCs w:val="24"/>
        </w:rPr>
        <w:t xml:space="preserve">competencia potencial y </w:t>
      </w:r>
      <w:r>
        <w:rPr>
          <w:rFonts w:ascii="Times New Roman" w:hAnsi="Times New Roman" w:cs="Times New Roman"/>
          <w:sz w:val="24"/>
          <w:szCs w:val="24"/>
        </w:rPr>
        <w:t xml:space="preserve">la </w:t>
      </w:r>
      <w:r w:rsidR="005124F1" w:rsidRPr="00B60E6E">
        <w:rPr>
          <w:rFonts w:ascii="Times New Roman" w:hAnsi="Times New Roman" w:cs="Times New Roman"/>
          <w:sz w:val="24"/>
          <w:szCs w:val="24"/>
        </w:rPr>
        <w:t>negociación con los agentes frontera.</w:t>
      </w:r>
      <w:r>
        <w:rPr>
          <w:rFonts w:ascii="Times New Roman" w:hAnsi="Times New Roman" w:cs="Times New Roman"/>
          <w:sz w:val="24"/>
          <w:szCs w:val="24"/>
        </w:rPr>
        <w:t xml:space="preserve"> </w:t>
      </w:r>
      <w:r w:rsidR="005124F1" w:rsidRPr="00B60E6E">
        <w:rPr>
          <w:rFonts w:ascii="Times New Roman" w:hAnsi="Times New Roman" w:cs="Times New Roman"/>
          <w:sz w:val="24"/>
          <w:szCs w:val="24"/>
        </w:rPr>
        <w:t xml:space="preserve">Sin embargo, </w:t>
      </w:r>
      <w:r>
        <w:rPr>
          <w:rFonts w:ascii="Times New Roman" w:hAnsi="Times New Roman" w:cs="Times New Roman"/>
          <w:sz w:val="24"/>
          <w:szCs w:val="24"/>
        </w:rPr>
        <w:t xml:space="preserve">y a pesar de esta variedad, </w:t>
      </w:r>
      <w:r w:rsidR="00AF32D2">
        <w:rPr>
          <w:rFonts w:ascii="Times New Roman" w:hAnsi="Times New Roman" w:cs="Times New Roman"/>
          <w:sz w:val="24"/>
          <w:szCs w:val="24"/>
        </w:rPr>
        <w:t xml:space="preserve">en </w:t>
      </w:r>
      <w:r w:rsidR="005124F1" w:rsidRPr="00B60E6E">
        <w:rPr>
          <w:rFonts w:ascii="Times New Roman" w:hAnsi="Times New Roman" w:cs="Times New Roman"/>
          <w:sz w:val="24"/>
          <w:szCs w:val="24"/>
        </w:rPr>
        <w:t xml:space="preserve">esta investigación se </w:t>
      </w:r>
      <w:r>
        <w:rPr>
          <w:rFonts w:ascii="Times New Roman" w:hAnsi="Times New Roman" w:cs="Times New Roman"/>
          <w:sz w:val="24"/>
          <w:szCs w:val="24"/>
        </w:rPr>
        <w:t xml:space="preserve">ha </w:t>
      </w:r>
      <w:r w:rsidR="00AF32D2">
        <w:rPr>
          <w:rFonts w:ascii="Times New Roman" w:hAnsi="Times New Roman" w:cs="Times New Roman"/>
          <w:sz w:val="24"/>
          <w:szCs w:val="24"/>
        </w:rPr>
        <w:t>elegido</w:t>
      </w:r>
      <w:r w:rsidR="005124F1" w:rsidRPr="00B60E6E">
        <w:rPr>
          <w:rFonts w:ascii="Times New Roman" w:hAnsi="Times New Roman" w:cs="Times New Roman"/>
          <w:sz w:val="24"/>
          <w:szCs w:val="24"/>
        </w:rPr>
        <w:t xml:space="preserve"> la </w:t>
      </w:r>
      <w:r w:rsidRPr="00B60E6E">
        <w:rPr>
          <w:rFonts w:ascii="Times New Roman" w:hAnsi="Times New Roman" w:cs="Times New Roman"/>
          <w:sz w:val="24"/>
          <w:szCs w:val="24"/>
        </w:rPr>
        <w:t xml:space="preserve">teoría de la ventaja competitiva de las naciones </w:t>
      </w:r>
      <w:r w:rsidR="005124F1" w:rsidRPr="00B60E6E">
        <w:rPr>
          <w:rFonts w:ascii="Times New Roman" w:hAnsi="Times New Roman" w:cs="Times New Roman"/>
          <w:sz w:val="24"/>
          <w:szCs w:val="24"/>
        </w:rPr>
        <w:t xml:space="preserve">de Porter </w:t>
      </w:r>
      <w:r>
        <w:rPr>
          <w:rFonts w:ascii="Times New Roman" w:hAnsi="Times New Roman" w:cs="Times New Roman"/>
          <w:sz w:val="24"/>
          <w:szCs w:val="24"/>
        </w:rPr>
        <w:t xml:space="preserve">(1990) debido </w:t>
      </w:r>
      <w:r w:rsidR="003D07D1">
        <w:rPr>
          <w:rFonts w:ascii="Times New Roman" w:hAnsi="Times New Roman" w:cs="Times New Roman"/>
          <w:sz w:val="24"/>
          <w:szCs w:val="24"/>
        </w:rPr>
        <w:t>a la tra</w:t>
      </w:r>
      <w:r w:rsidR="005124F1" w:rsidRPr="00B60E6E">
        <w:rPr>
          <w:rFonts w:ascii="Times New Roman" w:hAnsi="Times New Roman" w:cs="Times New Roman"/>
          <w:sz w:val="24"/>
          <w:szCs w:val="24"/>
        </w:rPr>
        <w:t>scenden</w:t>
      </w:r>
      <w:r>
        <w:rPr>
          <w:rFonts w:ascii="Times New Roman" w:hAnsi="Times New Roman" w:cs="Times New Roman"/>
          <w:sz w:val="24"/>
          <w:szCs w:val="24"/>
        </w:rPr>
        <w:t xml:space="preserve">cia que ha tenido recientemente al involucrar a </w:t>
      </w:r>
      <w:r w:rsidR="005124F1" w:rsidRPr="00B60E6E">
        <w:rPr>
          <w:rFonts w:ascii="Times New Roman" w:hAnsi="Times New Roman" w:cs="Times New Roman"/>
          <w:sz w:val="24"/>
          <w:szCs w:val="24"/>
        </w:rPr>
        <w:t>un gran número de países, indus</w:t>
      </w:r>
      <w:r w:rsidR="005B6452" w:rsidRPr="00B60E6E">
        <w:rPr>
          <w:rFonts w:ascii="Times New Roman" w:hAnsi="Times New Roman" w:cs="Times New Roman"/>
          <w:sz w:val="24"/>
          <w:szCs w:val="24"/>
        </w:rPr>
        <w:t xml:space="preserve">trias e investigadores, los </w:t>
      </w:r>
      <w:r w:rsidR="005124F1" w:rsidRPr="00B60E6E">
        <w:rPr>
          <w:rFonts w:ascii="Times New Roman" w:hAnsi="Times New Roman" w:cs="Times New Roman"/>
          <w:sz w:val="24"/>
          <w:szCs w:val="24"/>
        </w:rPr>
        <w:t xml:space="preserve">cuales usan </w:t>
      </w:r>
      <w:r>
        <w:rPr>
          <w:rFonts w:ascii="Times New Roman" w:hAnsi="Times New Roman" w:cs="Times New Roman"/>
          <w:sz w:val="24"/>
          <w:szCs w:val="24"/>
        </w:rPr>
        <w:t>esta</w:t>
      </w:r>
      <w:r w:rsidR="005124F1" w:rsidRPr="00B60E6E">
        <w:rPr>
          <w:rFonts w:ascii="Times New Roman" w:hAnsi="Times New Roman" w:cs="Times New Roman"/>
          <w:sz w:val="24"/>
          <w:szCs w:val="24"/>
        </w:rPr>
        <w:t xml:space="preserve"> metodología con la intención de comparar y llegar a resultados más concretos.</w:t>
      </w:r>
    </w:p>
    <w:p w14:paraId="01FEB08A" w14:textId="77777777" w:rsidR="005508B0" w:rsidRDefault="005508B0" w:rsidP="007F4BF0">
      <w:pPr>
        <w:spacing w:before="160" w:after="80" w:line="240" w:lineRule="auto"/>
        <w:textAlignment w:val="baseline"/>
        <w:rPr>
          <w:rFonts w:ascii="Times New Roman" w:hAnsi="Times New Roman" w:cs="Times New Roman"/>
          <w:b/>
          <w:color w:val="7030A0"/>
          <w:sz w:val="24"/>
          <w:szCs w:val="24"/>
        </w:rPr>
      </w:pPr>
    </w:p>
    <w:p w14:paraId="31893163" w14:textId="791DA98E" w:rsidR="005124F1" w:rsidRPr="000346A1" w:rsidRDefault="005508B0" w:rsidP="005508B0">
      <w:pPr>
        <w:pStyle w:val="Ttulo1"/>
        <w:rPr>
          <w:rFonts w:ascii="Calibri" w:eastAsia="Times New Roman" w:hAnsi="Calibri" w:cs="Calibri"/>
          <w:color w:val="000000"/>
          <w:sz w:val="28"/>
          <w:szCs w:val="28"/>
          <w:lang w:eastAsia="es-MX"/>
        </w:rPr>
      </w:pPr>
      <w:r w:rsidRPr="000346A1">
        <w:rPr>
          <w:rFonts w:ascii="Calibri" w:eastAsia="Times New Roman" w:hAnsi="Calibri" w:cs="Calibri"/>
          <w:color w:val="000000"/>
          <w:sz w:val="28"/>
          <w:szCs w:val="28"/>
          <w:lang w:eastAsia="es-MX"/>
        </w:rPr>
        <w:t>Marco teórico</w:t>
      </w:r>
    </w:p>
    <w:p w14:paraId="773882A5" w14:textId="1CF94902" w:rsidR="005124F1" w:rsidRPr="00E204E6" w:rsidRDefault="005508B0" w:rsidP="005508B0">
      <w:pPr>
        <w:pStyle w:val="Ttulo2"/>
        <w:rPr>
          <w:sz w:val="24"/>
        </w:rPr>
      </w:pPr>
      <w:r w:rsidRPr="00E204E6">
        <w:rPr>
          <w:sz w:val="24"/>
        </w:rPr>
        <w:t>Definición de estrategia</w:t>
      </w:r>
    </w:p>
    <w:p w14:paraId="4DF8F26B" w14:textId="10FD833F" w:rsidR="005124F1" w:rsidRPr="00B60E6E" w:rsidRDefault="005508B0" w:rsidP="00723C4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5124F1" w:rsidRPr="00B60E6E">
        <w:rPr>
          <w:rFonts w:ascii="Times New Roman" w:hAnsi="Times New Roman" w:cs="Times New Roman"/>
          <w:sz w:val="24"/>
          <w:szCs w:val="24"/>
        </w:rPr>
        <w:t>Actualmente</w:t>
      </w:r>
      <w:r w:rsidR="00AF32D2">
        <w:rPr>
          <w:rFonts w:ascii="Times New Roman" w:hAnsi="Times New Roman" w:cs="Times New Roman"/>
          <w:sz w:val="24"/>
          <w:szCs w:val="24"/>
        </w:rPr>
        <w:t>,</w:t>
      </w:r>
      <w:r w:rsidR="005124F1" w:rsidRPr="00B60E6E">
        <w:rPr>
          <w:rFonts w:ascii="Times New Roman" w:hAnsi="Times New Roman" w:cs="Times New Roman"/>
          <w:sz w:val="24"/>
          <w:szCs w:val="24"/>
        </w:rPr>
        <w:t xml:space="preserve"> existen va</w:t>
      </w:r>
      <w:r w:rsidR="00AF32D2">
        <w:rPr>
          <w:rFonts w:ascii="Times New Roman" w:hAnsi="Times New Roman" w:cs="Times New Roman"/>
          <w:sz w:val="24"/>
          <w:szCs w:val="24"/>
        </w:rPr>
        <w:t>rias definiciones de estrategia, una de las cuales es ofrecida por Hofer y Schendel, (1978</w:t>
      </w:r>
      <w:r w:rsidR="005124F1" w:rsidRPr="00B60E6E">
        <w:rPr>
          <w:rFonts w:ascii="Times New Roman" w:hAnsi="Times New Roman" w:cs="Times New Roman"/>
          <w:sz w:val="24"/>
          <w:szCs w:val="24"/>
        </w:rPr>
        <w:t>)</w:t>
      </w:r>
      <w:r w:rsidR="00AF32D2">
        <w:rPr>
          <w:rFonts w:ascii="Times New Roman" w:hAnsi="Times New Roman" w:cs="Times New Roman"/>
          <w:sz w:val="24"/>
          <w:szCs w:val="24"/>
        </w:rPr>
        <w:t>,</w:t>
      </w:r>
      <w:r w:rsidR="005124F1" w:rsidRPr="00B60E6E">
        <w:rPr>
          <w:rFonts w:ascii="Times New Roman" w:hAnsi="Times New Roman" w:cs="Times New Roman"/>
          <w:sz w:val="24"/>
          <w:szCs w:val="24"/>
        </w:rPr>
        <w:t xml:space="preserve"> </w:t>
      </w:r>
      <w:r w:rsidR="00AF32D2">
        <w:rPr>
          <w:rFonts w:ascii="Times New Roman" w:hAnsi="Times New Roman" w:cs="Times New Roman"/>
          <w:sz w:val="24"/>
          <w:szCs w:val="24"/>
        </w:rPr>
        <w:t>quienes la consideran como “u</w:t>
      </w:r>
      <w:r w:rsidR="005124F1" w:rsidRPr="00B60E6E">
        <w:rPr>
          <w:rFonts w:ascii="Times New Roman" w:hAnsi="Times New Roman" w:cs="Times New Roman"/>
          <w:sz w:val="24"/>
          <w:szCs w:val="24"/>
        </w:rPr>
        <w:t>n patrón fundamental de despliegues de recursos actuales y planeados e interacciones ambientales que indica cómo la organización alcanzará sus objetivos”</w:t>
      </w:r>
      <w:r w:rsidR="00AF32D2">
        <w:rPr>
          <w:rFonts w:ascii="Times New Roman" w:hAnsi="Times New Roman" w:cs="Times New Roman"/>
          <w:sz w:val="24"/>
          <w:szCs w:val="24"/>
        </w:rPr>
        <w:t xml:space="preserve"> (</w:t>
      </w:r>
      <w:r w:rsidR="00AF32D2" w:rsidRPr="00B60E6E">
        <w:rPr>
          <w:rFonts w:ascii="Times New Roman" w:hAnsi="Times New Roman" w:cs="Times New Roman"/>
          <w:sz w:val="24"/>
          <w:szCs w:val="24"/>
        </w:rPr>
        <w:t>p.</w:t>
      </w:r>
      <w:r w:rsidR="00AF32D2">
        <w:rPr>
          <w:rFonts w:ascii="Times New Roman" w:hAnsi="Times New Roman" w:cs="Times New Roman"/>
          <w:sz w:val="24"/>
          <w:szCs w:val="24"/>
        </w:rPr>
        <w:t xml:space="preserve"> </w:t>
      </w:r>
      <w:r w:rsidR="00AF32D2" w:rsidRPr="00B60E6E">
        <w:rPr>
          <w:rFonts w:ascii="Times New Roman" w:hAnsi="Times New Roman" w:cs="Times New Roman"/>
          <w:sz w:val="24"/>
          <w:szCs w:val="24"/>
        </w:rPr>
        <w:t>14</w:t>
      </w:r>
      <w:r w:rsidR="00AF32D2">
        <w:rPr>
          <w:rFonts w:ascii="Times New Roman" w:hAnsi="Times New Roman" w:cs="Times New Roman"/>
          <w:sz w:val="24"/>
          <w:szCs w:val="24"/>
        </w:rPr>
        <w:t>)</w:t>
      </w:r>
      <w:r w:rsidR="005124F1" w:rsidRPr="00B60E6E">
        <w:rPr>
          <w:rFonts w:ascii="Times New Roman" w:hAnsi="Times New Roman" w:cs="Times New Roman"/>
          <w:sz w:val="24"/>
          <w:szCs w:val="24"/>
        </w:rPr>
        <w:t xml:space="preserve">. </w:t>
      </w:r>
      <w:r w:rsidR="00AF32D2">
        <w:rPr>
          <w:rFonts w:ascii="Times New Roman" w:hAnsi="Times New Roman" w:cs="Times New Roman"/>
          <w:sz w:val="24"/>
          <w:szCs w:val="24"/>
        </w:rPr>
        <w:t>E</w:t>
      </w:r>
      <w:r w:rsidR="00AF32D2" w:rsidRPr="00B60E6E">
        <w:rPr>
          <w:rFonts w:ascii="Times New Roman" w:hAnsi="Times New Roman" w:cs="Times New Roman"/>
          <w:sz w:val="24"/>
          <w:szCs w:val="24"/>
        </w:rPr>
        <w:t xml:space="preserve">ste tipo de </w:t>
      </w:r>
      <w:r w:rsidR="00AF32D2">
        <w:rPr>
          <w:rFonts w:ascii="Times New Roman" w:hAnsi="Times New Roman" w:cs="Times New Roman"/>
          <w:sz w:val="24"/>
          <w:szCs w:val="24"/>
        </w:rPr>
        <w:t>concepciones clásicas, no obstante</w:t>
      </w:r>
      <w:r w:rsidR="005124F1" w:rsidRPr="00B60E6E">
        <w:rPr>
          <w:rFonts w:ascii="Times New Roman" w:hAnsi="Times New Roman" w:cs="Times New Roman"/>
          <w:sz w:val="24"/>
          <w:szCs w:val="24"/>
        </w:rPr>
        <w:t xml:space="preserve">, </w:t>
      </w:r>
      <w:r w:rsidR="00AF32D2" w:rsidRPr="00B60E6E">
        <w:rPr>
          <w:rFonts w:ascii="Times New Roman" w:hAnsi="Times New Roman" w:cs="Times New Roman"/>
          <w:sz w:val="24"/>
          <w:szCs w:val="24"/>
        </w:rPr>
        <w:t>ha</w:t>
      </w:r>
      <w:r w:rsidR="00AF32D2">
        <w:rPr>
          <w:rFonts w:ascii="Times New Roman" w:hAnsi="Times New Roman" w:cs="Times New Roman"/>
          <w:sz w:val="24"/>
          <w:szCs w:val="24"/>
        </w:rPr>
        <w:t>n</w:t>
      </w:r>
      <w:r w:rsidR="00AF32D2" w:rsidRPr="00B60E6E">
        <w:rPr>
          <w:rFonts w:ascii="Times New Roman" w:hAnsi="Times New Roman" w:cs="Times New Roman"/>
          <w:sz w:val="24"/>
          <w:szCs w:val="24"/>
        </w:rPr>
        <w:t xml:space="preserve"> ido cambiando </w:t>
      </w:r>
      <w:r w:rsidR="005124F1" w:rsidRPr="00B60E6E">
        <w:rPr>
          <w:rFonts w:ascii="Times New Roman" w:hAnsi="Times New Roman" w:cs="Times New Roman"/>
          <w:sz w:val="24"/>
          <w:szCs w:val="24"/>
        </w:rPr>
        <w:t xml:space="preserve">durante el transcurso de los años </w:t>
      </w:r>
      <w:r w:rsidR="00AF32D2">
        <w:rPr>
          <w:rFonts w:ascii="Times New Roman" w:hAnsi="Times New Roman" w:cs="Times New Roman"/>
          <w:sz w:val="24"/>
          <w:szCs w:val="24"/>
        </w:rPr>
        <w:t xml:space="preserve">debido a los cuestionamientos generados por </w:t>
      </w:r>
      <w:r w:rsidR="005124F1" w:rsidRPr="00B60E6E">
        <w:rPr>
          <w:rFonts w:ascii="Times New Roman" w:hAnsi="Times New Roman" w:cs="Times New Roman"/>
          <w:sz w:val="24"/>
          <w:szCs w:val="24"/>
        </w:rPr>
        <w:t xml:space="preserve">varios expertos, </w:t>
      </w:r>
      <w:r w:rsidR="003D07D1">
        <w:rPr>
          <w:rFonts w:ascii="Times New Roman" w:hAnsi="Times New Roman" w:cs="Times New Roman"/>
          <w:sz w:val="24"/>
          <w:szCs w:val="24"/>
        </w:rPr>
        <w:t>lo cual</w:t>
      </w:r>
      <w:r w:rsidR="00AF32D2">
        <w:rPr>
          <w:rFonts w:ascii="Times New Roman" w:hAnsi="Times New Roman" w:cs="Times New Roman"/>
          <w:sz w:val="24"/>
          <w:szCs w:val="24"/>
        </w:rPr>
        <w:t xml:space="preserve"> ha provocado</w:t>
      </w:r>
      <w:r w:rsidR="005124F1" w:rsidRPr="00B60E6E">
        <w:rPr>
          <w:rFonts w:ascii="Times New Roman" w:hAnsi="Times New Roman" w:cs="Times New Roman"/>
          <w:sz w:val="24"/>
          <w:szCs w:val="24"/>
        </w:rPr>
        <w:t xml:space="preserve"> una </w:t>
      </w:r>
      <w:r w:rsidR="00AF32D2" w:rsidRPr="00B60E6E">
        <w:rPr>
          <w:rFonts w:ascii="Times New Roman" w:hAnsi="Times New Roman" w:cs="Times New Roman"/>
          <w:sz w:val="24"/>
          <w:szCs w:val="24"/>
        </w:rPr>
        <w:t>pérdida</w:t>
      </w:r>
      <w:r w:rsidR="005124F1" w:rsidRPr="00B60E6E">
        <w:rPr>
          <w:rFonts w:ascii="Times New Roman" w:hAnsi="Times New Roman" w:cs="Times New Roman"/>
          <w:sz w:val="24"/>
          <w:szCs w:val="24"/>
        </w:rPr>
        <w:t xml:space="preserve"> en su auge teórico. </w:t>
      </w:r>
      <w:r w:rsidR="00D4229D" w:rsidRPr="00B60E6E">
        <w:rPr>
          <w:rFonts w:ascii="Times New Roman" w:hAnsi="Times New Roman" w:cs="Times New Roman"/>
          <w:sz w:val="24"/>
          <w:szCs w:val="24"/>
        </w:rPr>
        <w:t xml:space="preserve">Uno de los críticos más importantes ha sido </w:t>
      </w:r>
      <w:r w:rsidR="005124F1" w:rsidRPr="00B60E6E">
        <w:rPr>
          <w:rFonts w:ascii="Times New Roman" w:hAnsi="Times New Roman" w:cs="Times New Roman"/>
          <w:sz w:val="24"/>
          <w:szCs w:val="24"/>
        </w:rPr>
        <w:t>Mintzbe</w:t>
      </w:r>
      <w:r w:rsidR="00AF32D2">
        <w:rPr>
          <w:rFonts w:ascii="Times New Roman" w:hAnsi="Times New Roman" w:cs="Times New Roman"/>
          <w:sz w:val="24"/>
          <w:szCs w:val="24"/>
        </w:rPr>
        <w:t>rg</w:t>
      </w:r>
      <w:r w:rsidR="003D07D1">
        <w:rPr>
          <w:rFonts w:ascii="Times New Roman" w:hAnsi="Times New Roman" w:cs="Times New Roman"/>
          <w:sz w:val="24"/>
          <w:szCs w:val="24"/>
        </w:rPr>
        <w:t xml:space="preserve"> (1994)</w:t>
      </w:r>
      <w:r w:rsidR="00AF32D2">
        <w:rPr>
          <w:rFonts w:ascii="Times New Roman" w:hAnsi="Times New Roman" w:cs="Times New Roman"/>
          <w:sz w:val="24"/>
          <w:szCs w:val="24"/>
        </w:rPr>
        <w:t>, quien afirma</w:t>
      </w:r>
      <w:r w:rsidR="00AF32D2" w:rsidRPr="00B60E6E">
        <w:rPr>
          <w:rFonts w:ascii="Times New Roman" w:hAnsi="Times New Roman" w:cs="Times New Roman"/>
          <w:sz w:val="24"/>
          <w:szCs w:val="24"/>
        </w:rPr>
        <w:t xml:space="preserve"> </w:t>
      </w:r>
      <w:r w:rsidR="005124F1" w:rsidRPr="00B60E6E">
        <w:rPr>
          <w:rFonts w:ascii="Times New Roman" w:hAnsi="Times New Roman" w:cs="Times New Roman"/>
          <w:sz w:val="24"/>
          <w:szCs w:val="24"/>
        </w:rPr>
        <w:t>que varias teorí</w:t>
      </w:r>
      <w:r w:rsidR="00AF32D2">
        <w:rPr>
          <w:rFonts w:ascii="Times New Roman" w:hAnsi="Times New Roman" w:cs="Times New Roman"/>
          <w:sz w:val="24"/>
          <w:szCs w:val="24"/>
        </w:rPr>
        <w:t>as vinculadas a la estrategia</w:t>
      </w:r>
      <w:r w:rsidR="005124F1" w:rsidRPr="00B60E6E">
        <w:rPr>
          <w:rFonts w:ascii="Times New Roman" w:hAnsi="Times New Roman" w:cs="Times New Roman"/>
          <w:sz w:val="24"/>
          <w:szCs w:val="24"/>
        </w:rPr>
        <w:t xml:space="preserve"> están muy alejadas de la realidad.</w:t>
      </w:r>
    </w:p>
    <w:p w14:paraId="6278E416" w14:textId="1797CF30" w:rsidR="005124F1" w:rsidRPr="00B60E6E" w:rsidRDefault="005124F1" w:rsidP="00F7304C">
      <w:pPr>
        <w:spacing w:before="100" w:beforeAutospacing="1" w:after="100" w:afterAutospacing="1" w:line="360" w:lineRule="auto"/>
        <w:ind w:firstLine="708"/>
        <w:jc w:val="both"/>
        <w:rPr>
          <w:rFonts w:ascii="Times New Roman" w:hAnsi="Times New Roman" w:cs="Times New Roman"/>
          <w:sz w:val="24"/>
          <w:szCs w:val="24"/>
        </w:rPr>
      </w:pPr>
      <w:r w:rsidRPr="00B60E6E">
        <w:rPr>
          <w:rFonts w:ascii="Times New Roman" w:hAnsi="Times New Roman" w:cs="Times New Roman"/>
          <w:sz w:val="24"/>
          <w:szCs w:val="24"/>
        </w:rPr>
        <w:lastRenderedPageBreak/>
        <w:t>A pesar de ello, en los últimos años</w:t>
      </w:r>
      <w:r w:rsidR="003D07D1">
        <w:rPr>
          <w:rFonts w:ascii="Times New Roman" w:hAnsi="Times New Roman" w:cs="Times New Roman"/>
          <w:sz w:val="24"/>
          <w:szCs w:val="24"/>
        </w:rPr>
        <w:t>,</w:t>
      </w:r>
      <w:r w:rsidRPr="00B60E6E">
        <w:rPr>
          <w:rFonts w:ascii="Times New Roman" w:hAnsi="Times New Roman" w:cs="Times New Roman"/>
          <w:sz w:val="24"/>
          <w:szCs w:val="24"/>
        </w:rPr>
        <w:t xml:space="preserve"> las corrientes teóricas estratégicas han vuelto a llamar la atención con la </w:t>
      </w:r>
      <w:r w:rsidR="00AF32D2" w:rsidRPr="00B60E6E">
        <w:rPr>
          <w:rFonts w:ascii="Times New Roman" w:hAnsi="Times New Roman" w:cs="Times New Roman"/>
          <w:sz w:val="24"/>
          <w:szCs w:val="24"/>
        </w:rPr>
        <w:t xml:space="preserve">teoría de la ventaja competitiva de las naciones </w:t>
      </w:r>
      <w:r w:rsidRPr="00B60E6E">
        <w:rPr>
          <w:rFonts w:ascii="Times New Roman" w:hAnsi="Times New Roman" w:cs="Times New Roman"/>
          <w:sz w:val="24"/>
          <w:szCs w:val="24"/>
        </w:rPr>
        <w:t>de Porter</w:t>
      </w:r>
      <w:r w:rsidR="00AF32D2">
        <w:rPr>
          <w:rFonts w:ascii="Times New Roman" w:hAnsi="Times New Roman" w:cs="Times New Roman"/>
          <w:sz w:val="24"/>
          <w:szCs w:val="24"/>
        </w:rPr>
        <w:t xml:space="preserve"> </w:t>
      </w:r>
      <w:r w:rsidR="00AF32D2" w:rsidRPr="00B60E6E">
        <w:rPr>
          <w:rFonts w:ascii="Times New Roman" w:hAnsi="Times New Roman" w:cs="Times New Roman"/>
          <w:sz w:val="24"/>
          <w:szCs w:val="24"/>
        </w:rPr>
        <w:t>(1996)</w:t>
      </w:r>
      <w:r w:rsidRPr="00B60E6E">
        <w:rPr>
          <w:rFonts w:ascii="Times New Roman" w:hAnsi="Times New Roman" w:cs="Times New Roman"/>
          <w:sz w:val="24"/>
          <w:szCs w:val="24"/>
        </w:rPr>
        <w:t xml:space="preserve">. </w:t>
      </w:r>
      <w:r w:rsidR="00AF32D2">
        <w:rPr>
          <w:rFonts w:ascii="Times New Roman" w:hAnsi="Times New Roman" w:cs="Times New Roman"/>
          <w:sz w:val="24"/>
          <w:szCs w:val="24"/>
        </w:rPr>
        <w:t>Según este autor</w:t>
      </w:r>
      <w:r w:rsidR="00E03765" w:rsidRPr="00B60E6E">
        <w:rPr>
          <w:rFonts w:ascii="Times New Roman" w:hAnsi="Times New Roman" w:cs="Times New Roman"/>
          <w:sz w:val="24"/>
          <w:szCs w:val="24"/>
        </w:rPr>
        <w:t>,</w:t>
      </w:r>
      <w:r w:rsidRPr="00B60E6E">
        <w:rPr>
          <w:rFonts w:ascii="Times New Roman" w:hAnsi="Times New Roman" w:cs="Times New Roman"/>
          <w:sz w:val="24"/>
          <w:szCs w:val="24"/>
        </w:rPr>
        <w:t xml:space="preserve"> la estrategia tiene que ver más con el “posicionamiento estratégico que intenta lograr una ventaja competitiva sostenible</w:t>
      </w:r>
      <w:r w:rsidR="00C41BCE" w:rsidRPr="00B60E6E">
        <w:rPr>
          <w:rFonts w:ascii="Times New Roman" w:hAnsi="Times New Roman" w:cs="Times New Roman"/>
          <w:sz w:val="24"/>
          <w:szCs w:val="24"/>
        </w:rPr>
        <w:t>,</w:t>
      </w:r>
      <w:r w:rsidRPr="00B60E6E">
        <w:rPr>
          <w:rFonts w:ascii="Times New Roman" w:hAnsi="Times New Roman" w:cs="Times New Roman"/>
          <w:sz w:val="24"/>
          <w:szCs w:val="24"/>
        </w:rPr>
        <w:t xml:space="preserve"> preservando lo que es distintivo de una empresa. Significa hacer actividades diferentes a las de sus rivales, o la realización de actividades similares en diferentes maneras”</w:t>
      </w:r>
      <w:r w:rsidR="00497CCB">
        <w:rPr>
          <w:rFonts w:ascii="Times New Roman" w:hAnsi="Times New Roman" w:cs="Times New Roman"/>
          <w:sz w:val="24"/>
          <w:szCs w:val="24"/>
        </w:rPr>
        <w:t xml:space="preserve"> </w:t>
      </w:r>
      <w:r w:rsidR="00497CCB" w:rsidRPr="00B06A2E">
        <w:rPr>
          <w:rFonts w:ascii="Times New Roman" w:hAnsi="Times New Roman" w:cs="Times New Roman"/>
          <w:sz w:val="24"/>
          <w:szCs w:val="24"/>
        </w:rPr>
        <w:t>(p.60)</w:t>
      </w:r>
      <w:r w:rsidRPr="00B06A2E">
        <w:rPr>
          <w:rFonts w:ascii="Times New Roman" w:hAnsi="Times New Roman" w:cs="Times New Roman"/>
          <w:sz w:val="24"/>
          <w:szCs w:val="24"/>
        </w:rPr>
        <w:t>.</w:t>
      </w:r>
      <w:r w:rsidRPr="00B60E6E">
        <w:rPr>
          <w:rFonts w:ascii="Times New Roman" w:hAnsi="Times New Roman" w:cs="Times New Roman"/>
          <w:sz w:val="24"/>
          <w:szCs w:val="24"/>
        </w:rPr>
        <w:t xml:space="preserve"> </w:t>
      </w:r>
      <w:r w:rsidR="00AF32D2">
        <w:rPr>
          <w:rFonts w:ascii="Times New Roman" w:hAnsi="Times New Roman" w:cs="Times New Roman"/>
          <w:sz w:val="24"/>
          <w:szCs w:val="24"/>
        </w:rPr>
        <w:t>De acuerdo con esta concepción,</w:t>
      </w:r>
      <w:r w:rsidRPr="00B60E6E">
        <w:rPr>
          <w:rFonts w:ascii="Times New Roman" w:hAnsi="Times New Roman" w:cs="Times New Roman"/>
          <w:sz w:val="24"/>
          <w:szCs w:val="24"/>
        </w:rPr>
        <w:t xml:space="preserve"> la estrategia descansa sobre actividades únicas, es decir</w:t>
      </w:r>
      <w:r w:rsidR="00E55365" w:rsidRPr="00B60E6E">
        <w:rPr>
          <w:rFonts w:ascii="Times New Roman" w:hAnsi="Times New Roman" w:cs="Times New Roman"/>
          <w:sz w:val="24"/>
          <w:szCs w:val="24"/>
        </w:rPr>
        <w:t>,</w:t>
      </w:r>
      <w:r w:rsidRPr="00B60E6E">
        <w:rPr>
          <w:rFonts w:ascii="Times New Roman" w:hAnsi="Times New Roman" w:cs="Times New Roman"/>
          <w:sz w:val="24"/>
          <w:szCs w:val="24"/>
        </w:rPr>
        <w:t xml:space="preserve"> seleccionar qu</w:t>
      </w:r>
      <w:r w:rsidR="00E131AC" w:rsidRPr="00B60E6E">
        <w:rPr>
          <w:rFonts w:ascii="Times New Roman" w:hAnsi="Times New Roman" w:cs="Times New Roman"/>
          <w:sz w:val="24"/>
          <w:szCs w:val="24"/>
        </w:rPr>
        <w:t>é</w:t>
      </w:r>
      <w:r w:rsidRPr="00B60E6E">
        <w:rPr>
          <w:rFonts w:ascii="Times New Roman" w:hAnsi="Times New Roman" w:cs="Times New Roman"/>
          <w:sz w:val="24"/>
          <w:szCs w:val="24"/>
        </w:rPr>
        <w:t xml:space="preserve"> no </w:t>
      </w:r>
      <w:r w:rsidR="00914A3E">
        <w:rPr>
          <w:rFonts w:ascii="Times New Roman" w:hAnsi="Times New Roman" w:cs="Times New Roman"/>
          <w:sz w:val="24"/>
          <w:szCs w:val="24"/>
        </w:rPr>
        <w:t xml:space="preserve">se debe </w:t>
      </w:r>
      <w:r w:rsidRPr="00B60E6E">
        <w:rPr>
          <w:rFonts w:ascii="Times New Roman" w:hAnsi="Times New Roman" w:cs="Times New Roman"/>
          <w:sz w:val="24"/>
          <w:szCs w:val="24"/>
        </w:rPr>
        <w:t>hacer y crear una alineación, acoplamiento y ajuste entre las actividades de la empresa (Porter, 1996).</w:t>
      </w:r>
    </w:p>
    <w:p w14:paraId="52D30B70" w14:textId="744669C0" w:rsidR="005124F1" w:rsidRPr="00E204E6" w:rsidRDefault="005124F1" w:rsidP="00914A3E">
      <w:pPr>
        <w:pStyle w:val="Ttulo2"/>
        <w:rPr>
          <w:sz w:val="24"/>
        </w:rPr>
      </w:pPr>
      <w:r w:rsidRPr="00E204E6">
        <w:rPr>
          <w:sz w:val="24"/>
        </w:rPr>
        <w:t>La</w:t>
      </w:r>
      <w:r w:rsidR="00914A3E" w:rsidRPr="00E204E6">
        <w:rPr>
          <w:sz w:val="24"/>
        </w:rPr>
        <w:t xml:space="preserve"> teoría de la ventaja competitiva de las naciones de Michael Porter</w:t>
      </w:r>
    </w:p>
    <w:p w14:paraId="65B9C2A6" w14:textId="49AAD5FB" w:rsidR="00914A3E" w:rsidRDefault="00914A3E" w:rsidP="00914A3E">
      <w:p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5124F1" w:rsidRPr="00B60E6E">
        <w:rPr>
          <w:rFonts w:ascii="Times New Roman" w:hAnsi="Times New Roman" w:cs="Times New Roman"/>
          <w:sz w:val="24"/>
          <w:szCs w:val="24"/>
        </w:rPr>
        <w:t xml:space="preserve">La teoría de la </w:t>
      </w:r>
      <w:r w:rsidRPr="00B60E6E">
        <w:rPr>
          <w:rFonts w:ascii="Times New Roman" w:hAnsi="Times New Roman" w:cs="Times New Roman"/>
          <w:sz w:val="24"/>
          <w:szCs w:val="24"/>
        </w:rPr>
        <w:t>ventaja competitiva de la</w:t>
      </w:r>
      <w:r>
        <w:rPr>
          <w:rFonts w:ascii="Times New Roman" w:hAnsi="Times New Roman" w:cs="Times New Roman"/>
          <w:sz w:val="24"/>
          <w:szCs w:val="24"/>
        </w:rPr>
        <w:t>s</w:t>
      </w:r>
      <w:r w:rsidRPr="00B60E6E">
        <w:rPr>
          <w:rFonts w:ascii="Times New Roman" w:hAnsi="Times New Roman" w:cs="Times New Roman"/>
          <w:sz w:val="24"/>
          <w:szCs w:val="24"/>
        </w:rPr>
        <w:t xml:space="preserve"> naciones </w:t>
      </w:r>
      <w:r w:rsidR="005124F1" w:rsidRPr="00B60E6E">
        <w:rPr>
          <w:rFonts w:ascii="Times New Roman" w:hAnsi="Times New Roman" w:cs="Times New Roman"/>
          <w:sz w:val="24"/>
          <w:szCs w:val="24"/>
        </w:rPr>
        <w:t>de Porter es de gran amplitud. Por esa razón</w:t>
      </w:r>
      <w:r>
        <w:rPr>
          <w:rFonts w:ascii="Times New Roman" w:hAnsi="Times New Roman" w:cs="Times New Roman"/>
          <w:sz w:val="24"/>
          <w:szCs w:val="24"/>
        </w:rPr>
        <w:t>,</w:t>
      </w:r>
      <w:r w:rsidR="005124F1" w:rsidRPr="00B60E6E">
        <w:rPr>
          <w:rFonts w:ascii="Times New Roman" w:hAnsi="Times New Roman" w:cs="Times New Roman"/>
          <w:sz w:val="24"/>
          <w:szCs w:val="24"/>
        </w:rPr>
        <w:t xml:space="preserve"> </w:t>
      </w:r>
      <w:r w:rsidR="00BD3D58">
        <w:rPr>
          <w:rFonts w:ascii="Times New Roman" w:hAnsi="Times New Roman" w:cs="Times New Roman"/>
          <w:sz w:val="24"/>
          <w:szCs w:val="24"/>
        </w:rPr>
        <w:t xml:space="preserve">en </w:t>
      </w:r>
      <w:r w:rsidR="005124F1" w:rsidRPr="00B60E6E">
        <w:rPr>
          <w:rFonts w:ascii="Times New Roman" w:hAnsi="Times New Roman" w:cs="Times New Roman"/>
          <w:sz w:val="24"/>
          <w:szCs w:val="24"/>
        </w:rPr>
        <w:t xml:space="preserve">este estudio solo </w:t>
      </w:r>
      <w:r w:rsidR="00BD3D58">
        <w:rPr>
          <w:rFonts w:ascii="Times New Roman" w:hAnsi="Times New Roman" w:cs="Times New Roman"/>
          <w:sz w:val="24"/>
          <w:szCs w:val="24"/>
        </w:rPr>
        <w:t>se referencian</w:t>
      </w:r>
      <w:r w:rsidR="005124F1" w:rsidRPr="00B60E6E">
        <w:rPr>
          <w:rFonts w:ascii="Times New Roman" w:hAnsi="Times New Roman" w:cs="Times New Roman"/>
          <w:sz w:val="24"/>
          <w:szCs w:val="24"/>
        </w:rPr>
        <w:t xml:space="preserve"> sus cinco fuerzas competitivas, diamante y posicionamiento.</w:t>
      </w:r>
      <w:r>
        <w:rPr>
          <w:rFonts w:ascii="Times New Roman" w:hAnsi="Times New Roman" w:cs="Times New Roman"/>
          <w:sz w:val="24"/>
          <w:szCs w:val="24"/>
        </w:rPr>
        <w:t xml:space="preserve"> </w:t>
      </w:r>
      <w:r w:rsidR="005124F1" w:rsidRPr="00B60E6E">
        <w:rPr>
          <w:rFonts w:ascii="Times New Roman" w:hAnsi="Times New Roman" w:cs="Times New Roman"/>
          <w:sz w:val="24"/>
          <w:szCs w:val="24"/>
        </w:rPr>
        <w:t xml:space="preserve">Las cinco fuerzas de Porter que dan forma a la estrategia comprenden las fuerzas competitivas y sus causas subyacentes, </w:t>
      </w:r>
      <w:r w:rsidR="005B3D7C" w:rsidRPr="00B60E6E">
        <w:rPr>
          <w:rFonts w:ascii="Times New Roman" w:hAnsi="Times New Roman" w:cs="Times New Roman"/>
          <w:sz w:val="24"/>
          <w:szCs w:val="24"/>
        </w:rPr>
        <w:t>las cuales revelan la raíz de l</w:t>
      </w:r>
      <w:r w:rsidR="005124F1" w:rsidRPr="00B60E6E">
        <w:rPr>
          <w:rFonts w:ascii="Times New Roman" w:hAnsi="Times New Roman" w:cs="Times New Roman"/>
          <w:sz w:val="24"/>
          <w:szCs w:val="24"/>
        </w:rPr>
        <w:t>a rent</w:t>
      </w:r>
      <w:r>
        <w:rPr>
          <w:rFonts w:ascii="Times New Roman" w:hAnsi="Times New Roman" w:cs="Times New Roman"/>
          <w:sz w:val="24"/>
          <w:szCs w:val="24"/>
        </w:rPr>
        <w:t>abilidad actual de la industria</w:t>
      </w:r>
      <w:r w:rsidR="005124F1" w:rsidRPr="00B60E6E">
        <w:rPr>
          <w:rFonts w:ascii="Times New Roman" w:hAnsi="Times New Roman" w:cs="Times New Roman"/>
          <w:sz w:val="24"/>
          <w:szCs w:val="24"/>
        </w:rPr>
        <w:t xml:space="preserve"> mientras proveen un marco de referencia para anticiparse e influir en la competencia con el tiempo (Porter, 2008). </w:t>
      </w:r>
      <w:r w:rsidR="00172444" w:rsidRPr="00B60E6E">
        <w:rPr>
          <w:rFonts w:ascii="Times New Roman" w:hAnsi="Times New Roman" w:cs="Times New Roman"/>
          <w:sz w:val="24"/>
          <w:szCs w:val="24"/>
        </w:rPr>
        <w:t>L</w:t>
      </w:r>
      <w:r w:rsidR="005124F1" w:rsidRPr="00B60E6E">
        <w:rPr>
          <w:rFonts w:ascii="Times New Roman" w:hAnsi="Times New Roman" w:cs="Times New Roman"/>
          <w:sz w:val="24"/>
          <w:szCs w:val="24"/>
        </w:rPr>
        <w:t xml:space="preserve">as cinco fuerzas propuestas por Porter </w:t>
      </w:r>
      <w:r w:rsidR="00942AFC" w:rsidRPr="00B60E6E">
        <w:rPr>
          <w:rFonts w:ascii="Times New Roman" w:hAnsi="Times New Roman" w:cs="Times New Roman"/>
          <w:sz w:val="24"/>
          <w:szCs w:val="24"/>
        </w:rPr>
        <w:t>(2008)</w:t>
      </w:r>
      <w:r w:rsidR="00172444" w:rsidRPr="00B60E6E">
        <w:rPr>
          <w:rFonts w:ascii="Times New Roman" w:hAnsi="Times New Roman" w:cs="Times New Roman"/>
          <w:sz w:val="24"/>
          <w:szCs w:val="24"/>
        </w:rPr>
        <w:t xml:space="preserve"> son</w:t>
      </w:r>
      <w:r w:rsidR="0051285E" w:rsidRPr="00B60E6E">
        <w:rPr>
          <w:rFonts w:ascii="Times New Roman" w:hAnsi="Times New Roman" w:cs="Times New Roman"/>
          <w:sz w:val="24"/>
          <w:szCs w:val="24"/>
        </w:rPr>
        <w:t xml:space="preserve"> la</w:t>
      </w:r>
      <w:r w:rsidR="00AD68C3" w:rsidRPr="00B60E6E">
        <w:rPr>
          <w:rFonts w:ascii="Times New Roman" w:hAnsi="Times New Roman" w:cs="Times New Roman"/>
          <w:sz w:val="24"/>
          <w:szCs w:val="24"/>
        </w:rPr>
        <w:t>s</w:t>
      </w:r>
      <w:r w:rsidR="0051285E" w:rsidRPr="00B60E6E">
        <w:rPr>
          <w:rFonts w:ascii="Times New Roman" w:hAnsi="Times New Roman" w:cs="Times New Roman"/>
          <w:sz w:val="24"/>
          <w:szCs w:val="24"/>
        </w:rPr>
        <w:t xml:space="preserve"> siguientes</w:t>
      </w:r>
      <w:r>
        <w:rPr>
          <w:rFonts w:ascii="Times New Roman" w:hAnsi="Times New Roman" w:cs="Times New Roman"/>
          <w:sz w:val="24"/>
          <w:szCs w:val="24"/>
        </w:rPr>
        <w:t xml:space="preserve">: </w:t>
      </w:r>
    </w:p>
    <w:p w14:paraId="219F077C" w14:textId="5B932B31" w:rsidR="00914A3E" w:rsidRDefault="00914A3E" w:rsidP="00914A3E">
      <w:pPr>
        <w:pStyle w:val="Prrafodelista"/>
        <w:numPr>
          <w:ilvl w:val="0"/>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sidRPr="00914A3E">
        <w:rPr>
          <w:rFonts w:ascii="Times New Roman" w:hAnsi="Times New Roman" w:cs="Times New Roman"/>
          <w:sz w:val="24"/>
          <w:szCs w:val="24"/>
        </w:rPr>
        <w:t>Los nuevos entrantes</w:t>
      </w:r>
      <w:r>
        <w:rPr>
          <w:rFonts w:ascii="Times New Roman" w:hAnsi="Times New Roman" w:cs="Times New Roman"/>
          <w:sz w:val="24"/>
          <w:szCs w:val="24"/>
        </w:rPr>
        <w:t>:</w:t>
      </w:r>
      <w:r w:rsidR="005124F1" w:rsidRPr="00914A3E">
        <w:rPr>
          <w:rFonts w:ascii="Times New Roman" w:hAnsi="Times New Roman" w:cs="Times New Roman"/>
          <w:sz w:val="24"/>
          <w:szCs w:val="24"/>
        </w:rPr>
        <w:t xml:space="preserve"> </w:t>
      </w:r>
      <w:r>
        <w:rPr>
          <w:rFonts w:ascii="Times New Roman" w:hAnsi="Times New Roman" w:cs="Times New Roman"/>
          <w:sz w:val="24"/>
          <w:szCs w:val="24"/>
        </w:rPr>
        <w:t>S</w:t>
      </w:r>
      <w:r w:rsidR="005124F1" w:rsidRPr="00914A3E">
        <w:rPr>
          <w:rFonts w:ascii="Times New Roman" w:hAnsi="Times New Roman" w:cs="Times New Roman"/>
          <w:sz w:val="24"/>
          <w:szCs w:val="24"/>
        </w:rPr>
        <w:t>on los nuevos participant</w:t>
      </w:r>
      <w:r>
        <w:rPr>
          <w:rFonts w:ascii="Times New Roman" w:hAnsi="Times New Roman" w:cs="Times New Roman"/>
          <w:sz w:val="24"/>
          <w:szCs w:val="24"/>
        </w:rPr>
        <w:t>es amenazantes en una industria;</w:t>
      </w:r>
      <w:r w:rsidR="005124F1" w:rsidRPr="00914A3E">
        <w:rPr>
          <w:rFonts w:ascii="Times New Roman" w:hAnsi="Times New Roman" w:cs="Times New Roman"/>
          <w:sz w:val="24"/>
          <w:szCs w:val="24"/>
        </w:rPr>
        <w:t xml:space="preserve"> traen nueva capacidad y deseo de </w:t>
      </w:r>
      <w:r w:rsidR="00BD3D58">
        <w:rPr>
          <w:rFonts w:ascii="Times New Roman" w:hAnsi="Times New Roman" w:cs="Times New Roman"/>
          <w:sz w:val="24"/>
          <w:szCs w:val="24"/>
        </w:rPr>
        <w:t>involucrarse</w:t>
      </w:r>
      <w:r w:rsidRPr="00914A3E">
        <w:rPr>
          <w:rFonts w:ascii="Times New Roman" w:hAnsi="Times New Roman" w:cs="Times New Roman"/>
          <w:sz w:val="24"/>
          <w:szCs w:val="24"/>
        </w:rPr>
        <w:t xml:space="preserve"> en el mercado</w:t>
      </w:r>
      <w:r w:rsidR="005124F1" w:rsidRPr="00914A3E">
        <w:rPr>
          <w:rFonts w:ascii="Times New Roman" w:hAnsi="Times New Roman" w:cs="Times New Roman"/>
          <w:sz w:val="24"/>
          <w:szCs w:val="24"/>
        </w:rPr>
        <w:t xml:space="preserve"> poniendo presión especialmente en</w:t>
      </w:r>
      <w:r>
        <w:rPr>
          <w:rFonts w:ascii="Times New Roman" w:hAnsi="Times New Roman" w:cs="Times New Roman"/>
          <w:sz w:val="24"/>
          <w:szCs w:val="24"/>
        </w:rPr>
        <w:t xml:space="preserve"> precios y costos para competir</w:t>
      </w:r>
      <w:r w:rsidR="00BD3D58">
        <w:rPr>
          <w:rFonts w:ascii="Times New Roman" w:hAnsi="Times New Roman" w:cs="Times New Roman"/>
          <w:sz w:val="24"/>
          <w:szCs w:val="24"/>
        </w:rPr>
        <w:t>.</w:t>
      </w:r>
    </w:p>
    <w:p w14:paraId="05CA2ED8" w14:textId="37ECE71E" w:rsidR="00914A3E" w:rsidRDefault="00914A3E" w:rsidP="00914A3E">
      <w:pPr>
        <w:pStyle w:val="Prrafodelista"/>
        <w:numPr>
          <w:ilvl w:val="0"/>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P</w:t>
      </w:r>
      <w:r w:rsidR="005124F1" w:rsidRPr="00914A3E">
        <w:rPr>
          <w:rFonts w:ascii="Times New Roman" w:hAnsi="Times New Roman" w:cs="Times New Roman"/>
          <w:sz w:val="24"/>
          <w:szCs w:val="24"/>
        </w:rPr>
        <w:t>ode</w:t>
      </w:r>
      <w:r>
        <w:rPr>
          <w:rFonts w:ascii="Times New Roman" w:hAnsi="Times New Roman" w:cs="Times New Roman"/>
          <w:sz w:val="24"/>
          <w:szCs w:val="24"/>
        </w:rPr>
        <w:t>r negociador de los proveedores:</w:t>
      </w:r>
      <w:r w:rsidR="005124F1" w:rsidRPr="00914A3E">
        <w:rPr>
          <w:rFonts w:ascii="Times New Roman" w:hAnsi="Times New Roman" w:cs="Times New Roman"/>
          <w:sz w:val="24"/>
          <w:szCs w:val="24"/>
        </w:rPr>
        <w:t xml:space="preserve"> </w:t>
      </w:r>
      <w:r>
        <w:rPr>
          <w:rFonts w:ascii="Times New Roman" w:hAnsi="Times New Roman" w:cs="Times New Roman"/>
          <w:sz w:val="24"/>
          <w:szCs w:val="24"/>
        </w:rPr>
        <w:t>P</w:t>
      </w:r>
      <w:r w:rsidR="005124F1" w:rsidRPr="00914A3E">
        <w:rPr>
          <w:rFonts w:ascii="Times New Roman" w:hAnsi="Times New Roman" w:cs="Times New Roman"/>
          <w:sz w:val="24"/>
          <w:szCs w:val="24"/>
        </w:rPr>
        <w:t>ueden capturar más valor por sí mismos mediante el cobro de precios más altos, lo que limi</w:t>
      </w:r>
      <w:r>
        <w:rPr>
          <w:rFonts w:ascii="Times New Roman" w:hAnsi="Times New Roman" w:cs="Times New Roman"/>
          <w:sz w:val="24"/>
          <w:szCs w:val="24"/>
        </w:rPr>
        <w:t>ta la calidad, los servicios</w:t>
      </w:r>
      <w:r w:rsidR="0042180C" w:rsidRPr="00914A3E">
        <w:rPr>
          <w:rFonts w:ascii="Times New Roman" w:hAnsi="Times New Roman" w:cs="Times New Roman"/>
          <w:sz w:val="24"/>
          <w:szCs w:val="24"/>
        </w:rPr>
        <w:t xml:space="preserve"> o </w:t>
      </w:r>
      <w:r>
        <w:rPr>
          <w:rFonts w:ascii="Times New Roman" w:hAnsi="Times New Roman" w:cs="Times New Roman"/>
          <w:sz w:val="24"/>
          <w:szCs w:val="24"/>
        </w:rPr>
        <w:t xml:space="preserve">los </w:t>
      </w:r>
      <w:r w:rsidR="005124F1" w:rsidRPr="00914A3E">
        <w:rPr>
          <w:rFonts w:ascii="Times New Roman" w:hAnsi="Times New Roman" w:cs="Times New Roman"/>
          <w:sz w:val="24"/>
          <w:szCs w:val="24"/>
        </w:rPr>
        <w:t>costos cambiantes para los part</w:t>
      </w:r>
      <w:r w:rsidR="00942AFC" w:rsidRPr="00914A3E">
        <w:rPr>
          <w:rFonts w:ascii="Times New Roman" w:hAnsi="Times New Roman" w:cs="Times New Roman"/>
          <w:sz w:val="24"/>
          <w:szCs w:val="24"/>
        </w:rPr>
        <w:t>icipantes de la industria</w:t>
      </w:r>
      <w:r w:rsidR="00BD3D58">
        <w:rPr>
          <w:rFonts w:ascii="Times New Roman" w:hAnsi="Times New Roman" w:cs="Times New Roman"/>
          <w:sz w:val="24"/>
          <w:szCs w:val="24"/>
        </w:rPr>
        <w:t>.</w:t>
      </w:r>
    </w:p>
    <w:p w14:paraId="46C12A3B" w14:textId="77777777" w:rsidR="00914A3E" w:rsidRDefault="005124F1" w:rsidP="00914A3E">
      <w:pPr>
        <w:pStyle w:val="Prrafodelista"/>
        <w:numPr>
          <w:ilvl w:val="0"/>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sidRPr="00914A3E">
        <w:rPr>
          <w:rFonts w:ascii="Times New Roman" w:hAnsi="Times New Roman" w:cs="Times New Roman"/>
          <w:sz w:val="24"/>
          <w:szCs w:val="24"/>
        </w:rPr>
        <w:t>Pode</w:t>
      </w:r>
      <w:r w:rsidR="00942AFC" w:rsidRPr="00914A3E">
        <w:rPr>
          <w:rFonts w:ascii="Times New Roman" w:hAnsi="Times New Roman" w:cs="Times New Roman"/>
          <w:sz w:val="24"/>
          <w:szCs w:val="24"/>
        </w:rPr>
        <w:t>r negociador de los comprado</w:t>
      </w:r>
      <w:r w:rsidR="00914A3E">
        <w:rPr>
          <w:rFonts w:ascii="Times New Roman" w:hAnsi="Times New Roman" w:cs="Times New Roman"/>
          <w:sz w:val="24"/>
          <w:szCs w:val="24"/>
        </w:rPr>
        <w:t>res:</w:t>
      </w:r>
      <w:r w:rsidRPr="00914A3E">
        <w:rPr>
          <w:rFonts w:ascii="Times New Roman" w:hAnsi="Times New Roman" w:cs="Times New Roman"/>
          <w:sz w:val="24"/>
          <w:szCs w:val="24"/>
        </w:rPr>
        <w:t xml:space="preserve"> </w:t>
      </w:r>
      <w:r w:rsidR="00914A3E">
        <w:rPr>
          <w:rFonts w:ascii="Times New Roman" w:hAnsi="Times New Roman" w:cs="Times New Roman"/>
          <w:sz w:val="24"/>
          <w:szCs w:val="24"/>
        </w:rPr>
        <w:t>L</w:t>
      </w:r>
      <w:r w:rsidRPr="00914A3E">
        <w:rPr>
          <w:rFonts w:ascii="Times New Roman" w:hAnsi="Times New Roman" w:cs="Times New Roman"/>
          <w:sz w:val="24"/>
          <w:szCs w:val="24"/>
        </w:rPr>
        <w:t>os compradores tienen más poder cuando pueden hacer bajar los precios del sector, demandando</w:t>
      </w:r>
      <w:r w:rsidR="00942AFC" w:rsidRPr="00914A3E">
        <w:rPr>
          <w:rFonts w:ascii="Times New Roman" w:hAnsi="Times New Roman" w:cs="Times New Roman"/>
          <w:sz w:val="24"/>
          <w:szCs w:val="24"/>
        </w:rPr>
        <w:t xml:space="preserve"> </w:t>
      </w:r>
      <w:r w:rsidR="00914A3E">
        <w:rPr>
          <w:rFonts w:ascii="Times New Roman" w:hAnsi="Times New Roman" w:cs="Times New Roman"/>
          <w:sz w:val="24"/>
          <w:szCs w:val="24"/>
        </w:rPr>
        <w:t>mejor calidad o mayor servicio.</w:t>
      </w:r>
    </w:p>
    <w:p w14:paraId="478F79B8" w14:textId="166B4E74" w:rsidR="00914A3E" w:rsidRDefault="00914A3E" w:rsidP="00914A3E">
      <w:pPr>
        <w:pStyle w:val="Prrafodelista"/>
        <w:numPr>
          <w:ilvl w:val="0"/>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Amenaza de sustitutos:</w:t>
      </w:r>
      <w:r w:rsidR="005124F1" w:rsidRPr="00914A3E">
        <w:rPr>
          <w:rFonts w:ascii="Times New Roman" w:hAnsi="Times New Roman" w:cs="Times New Roman"/>
          <w:sz w:val="24"/>
          <w:szCs w:val="24"/>
        </w:rPr>
        <w:t xml:space="preserve"> </w:t>
      </w:r>
      <w:r>
        <w:rPr>
          <w:rFonts w:ascii="Times New Roman" w:hAnsi="Times New Roman" w:cs="Times New Roman"/>
          <w:sz w:val="24"/>
          <w:szCs w:val="24"/>
        </w:rPr>
        <w:t>E</w:t>
      </w:r>
      <w:r w:rsidR="005124F1" w:rsidRPr="00914A3E">
        <w:rPr>
          <w:rFonts w:ascii="Times New Roman" w:hAnsi="Times New Roman" w:cs="Times New Roman"/>
          <w:sz w:val="24"/>
          <w:szCs w:val="24"/>
        </w:rPr>
        <w:t xml:space="preserve">stos realizan una función idéntica o similar a la del producto de una industria, pero de distinta manera. </w:t>
      </w:r>
      <w:r>
        <w:rPr>
          <w:rFonts w:ascii="Times New Roman" w:hAnsi="Times New Roman" w:cs="Times New Roman"/>
          <w:sz w:val="24"/>
          <w:szCs w:val="24"/>
        </w:rPr>
        <w:t xml:space="preserve">Por ende, </w:t>
      </w:r>
      <w:r w:rsidR="005124F1" w:rsidRPr="00914A3E">
        <w:rPr>
          <w:rFonts w:ascii="Times New Roman" w:hAnsi="Times New Roman" w:cs="Times New Roman"/>
          <w:sz w:val="24"/>
          <w:szCs w:val="24"/>
        </w:rPr>
        <w:t xml:space="preserve">a veces la amenaza de un producto sustituto no es tan visible o directa cuando un </w:t>
      </w:r>
      <w:r w:rsidR="005A0782" w:rsidRPr="00914A3E">
        <w:rPr>
          <w:rFonts w:ascii="Times New Roman" w:hAnsi="Times New Roman" w:cs="Times New Roman"/>
          <w:sz w:val="24"/>
          <w:szCs w:val="24"/>
        </w:rPr>
        <w:t>sustituto ocupa un</w:t>
      </w:r>
      <w:r w:rsidR="005124F1" w:rsidRPr="00914A3E">
        <w:rPr>
          <w:rFonts w:ascii="Times New Roman" w:hAnsi="Times New Roman" w:cs="Times New Roman"/>
          <w:sz w:val="24"/>
          <w:szCs w:val="24"/>
        </w:rPr>
        <w:t xml:space="preserve"> </w:t>
      </w:r>
      <w:r w:rsidR="00926954" w:rsidRPr="00914A3E">
        <w:rPr>
          <w:rFonts w:ascii="Times New Roman" w:hAnsi="Times New Roman" w:cs="Times New Roman"/>
          <w:sz w:val="24"/>
          <w:szCs w:val="24"/>
        </w:rPr>
        <w:t>lugar</w:t>
      </w:r>
      <w:r w:rsidR="00942AFC" w:rsidRPr="00914A3E">
        <w:rPr>
          <w:rFonts w:ascii="Times New Roman" w:hAnsi="Times New Roman" w:cs="Times New Roman"/>
          <w:sz w:val="24"/>
          <w:szCs w:val="24"/>
        </w:rPr>
        <w:t xml:space="preserve"> </w:t>
      </w:r>
      <w:r w:rsidR="005A0782" w:rsidRPr="00914A3E">
        <w:rPr>
          <w:rFonts w:ascii="Times New Roman" w:hAnsi="Times New Roman" w:cs="Times New Roman"/>
          <w:sz w:val="24"/>
          <w:szCs w:val="24"/>
        </w:rPr>
        <w:t>en la</w:t>
      </w:r>
      <w:r w:rsidR="00926954" w:rsidRPr="00914A3E">
        <w:rPr>
          <w:rFonts w:ascii="Times New Roman" w:hAnsi="Times New Roman" w:cs="Times New Roman"/>
          <w:sz w:val="24"/>
          <w:szCs w:val="24"/>
        </w:rPr>
        <w:t xml:space="preserve"> industria</w:t>
      </w:r>
      <w:r w:rsidR="00BD3D58">
        <w:rPr>
          <w:rFonts w:ascii="Times New Roman" w:hAnsi="Times New Roman" w:cs="Times New Roman"/>
          <w:sz w:val="24"/>
          <w:szCs w:val="24"/>
        </w:rPr>
        <w:t>.</w:t>
      </w:r>
    </w:p>
    <w:p w14:paraId="697B2A6A" w14:textId="1EE8E07F" w:rsidR="005124F1" w:rsidRPr="00914A3E" w:rsidRDefault="005124F1" w:rsidP="00914A3E">
      <w:pPr>
        <w:pStyle w:val="Prrafodelista"/>
        <w:numPr>
          <w:ilvl w:val="0"/>
          <w:numId w:val="23"/>
        </w:numPr>
        <w:shd w:val="clear" w:color="auto" w:fill="FFFFFF"/>
        <w:spacing w:before="100" w:beforeAutospacing="1" w:after="100" w:afterAutospacing="1" w:line="360" w:lineRule="auto"/>
        <w:jc w:val="both"/>
        <w:rPr>
          <w:rFonts w:ascii="Times New Roman" w:hAnsi="Times New Roman" w:cs="Times New Roman"/>
          <w:sz w:val="24"/>
          <w:szCs w:val="24"/>
        </w:rPr>
      </w:pPr>
      <w:r w:rsidRPr="00914A3E">
        <w:rPr>
          <w:rFonts w:ascii="Times New Roman" w:hAnsi="Times New Roman" w:cs="Times New Roman"/>
          <w:sz w:val="24"/>
          <w:szCs w:val="24"/>
        </w:rPr>
        <w:t>Rivalidad entre competidor</w:t>
      </w:r>
      <w:r w:rsidR="00914A3E">
        <w:rPr>
          <w:rFonts w:ascii="Times New Roman" w:hAnsi="Times New Roman" w:cs="Times New Roman"/>
          <w:sz w:val="24"/>
          <w:szCs w:val="24"/>
        </w:rPr>
        <w:t>es existentes: E</w:t>
      </w:r>
      <w:r w:rsidRPr="00914A3E">
        <w:rPr>
          <w:rFonts w:ascii="Times New Roman" w:hAnsi="Times New Roman" w:cs="Times New Roman"/>
          <w:sz w:val="24"/>
          <w:szCs w:val="24"/>
        </w:rPr>
        <w:t>sta adopta muchas form</w:t>
      </w:r>
      <w:r w:rsidR="0092596C" w:rsidRPr="00914A3E">
        <w:rPr>
          <w:rFonts w:ascii="Times New Roman" w:hAnsi="Times New Roman" w:cs="Times New Roman"/>
          <w:sz w:val="24"/>
          <w:szCs w:val="24"/>
        </w:rPr>
        <w:t xml:space="preserve">as conocidas, entre las cuales </w:t>
      </w:r>
      <w:r w:rsidRPr="00914A3E">
        <w:rPr>
          <w:rFonts w:ascii="Times New Roman" w:hAnsi="Times New Roman" w:cs="Times New Roman"/>
          <w:sz w:val="24"/>
          <w:szCs w:val="24"/>
        </w:rPr>
        <w:t xml:space="preserve">se incluyen los descuentos en los precios, </w:t>
      </w:r>
      <w:r w:rsidR="00914A3E">
        <w:rPr>
          <w:rFonts w:ascii="Times New Roman" w:hAnsi="Times New Roman" w:cs="Times New Roman"/>
          <w:sz w:val="24"/>
          <w:szCs w:val="24"/>
        </w:rPr>
        <w:t xml:space="preserve">las </w:t>
      </w:r>
      <w:r w:rsidRPr="00914A3E">
        <w:rPr>
          <w:rFonts w:ascii="Times New Roman" w:hAnsi="Times New Roman" w:cs="Times New Roman"/>
          <w:sz w:val="24"/>
          <w:szCs w:val="24"/>
        </w:rPr>
        <w:t xml:space="preserve">nuevas mejoras en el producto, </w:t>
      </w:r>
      <w:r w:rsidR="00914A3E">
        <w:rPr>
          <w:rFonts w:ascii="Times New Roman" w:hAnsi="Times New Roman" w:cs="Times New Roman"/>
          <w:sz w:val="24"/>
          <w:szCs w:val="24"/>
        </w:rPr>
        <w:t xml:space="preserve">las </w:t>
      </w:r>
      <w:r w:rsidRPr="00914A3E">
        <w:rPr>
          <w:rFonts w:ascii="Times New Roman" w:hAnsi="Times New Roman" w:cs="Times New Roman"/>
          <w:sz w:val="24"/>
          <w:szCs w:val="24"/>
        </w:rPr>
        <w:lastRenderedPageBreak/>
        <w:t xml:space="preserve">campañas de publicidad y </w:t>
      </w:r>
      <w:r w:rsidR="00914A3E">
        <w:rPr>
          <w:rFonts w:ascii="Times New Roman" w:hAnsi="Times New Roman" w:cs="Times New Roman"/>
          <w:sz w:val="24"/>
          <w:szCs w:val="24"/>
        </w:rPr>
        <w:t xml:space="preserve">las </w:t>
      </w:r>
      <w:r w:rsidRPr="00914A3E">
        <w:rPr>
          <w:rFonts w:ascii="Times New Roman" w:hAnsi="Times New Roman" w:cs="Times New Roman"/>
          <w:sz w:val="24"/>
          <w:szCs w:val="24"/>
        </w:rPr>
        <w:t xml:space="preserve">mejoras en el servicio. Por lo </w:t>
      </w:r>
      <w:r w:rsidR="00914A3E">
        <w:rPr>
          <w:rFonts w:ascii="Times New Roman" w:hAnsi="Times New Roman" w:cs="Times New Roman"/>
          <w:sz w:val="24"/>
          <w:szCs w:val="24"/>
        </w:rPr>
        <w:t>tanto, la rivalidad es mayor si</w:t>
      </w:r>
      <w:r w:rsidRPr="00914A3E">
        <w:rPr>
          <w:rFonts w:ascii="Times New Roman" w:hAnsi="Times New Roman" w:cs="Times New Roman"/>
          <w:sz w:val="24"/>
          <w:szCs w:val="24"/>
        </w:rPr>
        <w:t xml:space="preserve"> los competidores son numerosos, si el creci</w:t>
      </w:r>
      <w:r w:rsidR="00914A3E">
        <w:rPr>
          <w:rFonts w:ascii="Times New Roman" w:hAnsi="Times New Roman" w:cs="Times New Roman"/>
          <w:sz w:val="24"/>
          <w:szCs w:val="24"/>
        </w:rPr>
        <w:t>miento de la industria es lento y</w:t>
      </w:r>
      <w:r w:rsidRPr="00914A3E">
        <w:rPr>
          <w:rFonts w:ascii="Times New Roman" w:hAnsi="Times New Roman" w:cs="Times New Roman"/>
          <w:sz w:val="24"/>
          <w:szCs w:val="24"/>
        </w:rPr>
        <w:t xml:space="preserve"> si las empresas no pueden interpretar adecuadamente las señales de los demás debido a la falta de familiaridad con los contrincantes, enfoque y objetivos.</w:t>
      </w:r>
    </w:p>
    <w:p w14:paraId="23EBA343" w14:textId="21407FF8" w:rsidR="00914A3E" w:rsidRDefault="00914A3E" w:rsidP="00723C45">
      <w:pPr>
        <w:shd w:val="clear" w:color="auto" w:fill="FFFFFF"/>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En cuanto al d</w:t>
      </w:r>
      <w:r w:rsidR="005124F1" w:rsidRPr="00B60E6E">
        <w:rPr>
          <w:rFonts w:ascii="Times New Roman" w:hAnsi="Times New Roman" w:cs="Times New Roman"/>
          <w:sz w:val="24"/>
          <w:szCs w:val="24"/>
        </w:rPr>
        <w:t>iamante de Porter</w:t>
      </w:r>
      <w:r>
        <w:rPr>
          <w:rFonts w:ascii="Times New Roman" w:hAnsi="Times New Roman" w:cs="Times New Roman"/>
          <w:sz w:val="24"/>
          <w:szCs w:val="24"/>
        </w:rPr>
        <w:t>,</w:t>
      </w:r>
      <w:r w:rsidR="005124F1" w:rsidRPr="00B60E6E">
        <w:rPr>
          <w:rFonts w:ascii="Times New Roman" w:hAnsi="Times New Roman" w:cs="Times New Roman"/>
          <w:sz w:val="24"/>
          <w:szCs w:val="24"/>
        </w:rPr>
        <w:t xml:space="preserve"> se crea el ambiente nacional en el que las organizacio</w:t>
      </w:r>
      <w:r>
        <w:rPr>
          <w:rFonts w:ascii="Times New Roman" w:hAnsi="Times New Roman" w:cs="Times New Roman"/>
          <w:sz w:val="24"/>
          <w:szCs w:val="24"/>
        </w:rPr>
        <w:t>nes nacen y aprenden a competir</w:t>
      </w:r>
      <w:r w:rsidR="005124F1" w:rsidRPr="00B60E6E">
        <w:rPr>
          <w:rFonts w:ascii="Times New Roman" w:hAnsi="Times New Roman" w:cs="Times New Roman"/>
          <w:sz w:val="24"/>
          <w:szCs w:val="24"/>
        </w:rPr>
        <w:t xml:space="preserve"> </w:t>
      </w:r>
      <w:r>
        <w:rPr>
          <w:rFonts w:ascii="Times New Roman" w:hAnsi="Times New Roman" w:cs="Times New Roman"/>
          <w:sz w:val="24"/>
          <w:szCs w:val="24"/>
        </w:rPr>
        <w:t>fijando</w:t>
      </w:r>
      <w:r w:rsidR="005124F1" w:rsidRPr="00B60E6E">
        <w:rPr>
          <w:rFonts w:ascii="Times New Roman" w:hAnsi="Times New Roman" w:cs="Times New Roman"/>
          <w:sz w:val="24"/>
          <w:szCs w:val="24"/>
        </w:rPr>
        <w:t xml:space="preserve"> las mejores oportunidades para alcanzar el éxito internacional por medio de sus determinantes (Porter, 1990). Los determinantes del</w:t>
      </w:r>
      <w:r>
        <w:rPr>
          <w:rFonts w:ascii="Times New Roman" w:hAnsi="Times New Roman" w:cs="Times New Roman"/>
          <w:sz w:val="24"/>
          <w:szCs w:val="24"/>
        </w:rPr>
        <w:t xml:space="preserve"> diamante de Porter (1990)</w:t>
      </w:r>
      <w:r w:rsidR="000657ED">
        <w:rPr>
          <w:rFonts w:ascii="Times New Roman" w:hAnsi="Times New Roman" w:cs="Times New Roman"/>
          <w:sz w:val="24"/>
          <w:szCs w:val="24"/>
        </w:rPr>
        <w:t xml:space="preserve"> son los siguientes</w:t>
      </w:r>
      <w:r>
        <w:rPr>
          <w:rFonts w:ascii="Times New Roman" w:hAnsi="Times New Roman" w:cs="Times New Roman"/>
          <w:sz w:val="24"/>
          <w:szCs w:val="24"/>
        </w:rPr>
        <w:t xml:space="preserve">: </w:t>
      </w:r>
    </w:p>
    <w:p w14:paraId="01BE414B" w14:textId="77777777" w:rsidR="00914A3E" w:rsidRDefault="00914A3E" w:rsidP="00914A3E">
      <w:pPr>
        <w:pStyle w:val="Prrafodelista"/>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Condiciones de los factores: Esto</w:t>
      </w:r>
      <w:r w:rsidR="00CC4E41" w:rsidRPr="00914A3E">
        <w:rPr>
          <w:rFonts w:ascii="Times New Roman" w:hAnsi="Times New Roman" w:cs="Times New Roman"/>
          <w:sz w:val="24"/>
          <w:szCs w:val="24"/>
        </w:rPr>
        <w:t xml:space="preserve"> </w:t>
      </w:r>
      <w:r w:rsidR="00D03826" w:rsidRPr="00914A3E">
        <w:rPr>
          <w:rFonts w:ascii="Times New Roman" w:hAnsi="Times New Roman" w:cs="Times New Roman"/>
          <w:sz w:val="24"/>
          <w:szCs w:val="24"/>
        </w:rPr>
        <w:t>son</w:t>
      </w:r>
      <w:r w:rsidR="005124F1" w:rsidRPr="00914A3E">
        <w:rPr>
          <w:rFonts w:ascii="Times New Roman" w:hAnsi="Times New Roman" w:cs="Times New Roman"/>
          <w:sz w:val="24"/>
          <w:szCs w:val="24"/>
        </w:rPr>
        <w:t xml:space="preserve"> factores de producción</w:t>
      </w:r>
      <w:r w:rsidR="00D03826" w:rsidRPr="00914A3E">
        <w:rPr>
          <w:rFonts w:ascii="Times New Roman" w:hAnsi="Times New Roman" w:cs="Times New Roman"/>
          <w:sz w:val="24"/>
          <w:szCs w:val="24"/>
        </w:rPr>
        <w:t xml:space="preserve"> </w:t>
      </w:r>
      <w:r w:rsidR="005124F1" w:rsidRPr="00914A3E">
        <w:rPr>
          <w:rFonts w:ascii="Times New Roman" w:hAnsi="Times New Roman" w:cs="Times New Roman"/>
          <w:sz w:val="24"/>
          <w:szCs w:val="24"/>
        </w:rPr>
        <w:t>necesa</w:t>
      </w:r>
      <w:r>
        <w:rPr>
          <w:rFonts w:ascii="Times New Roman" w:hAnsi="Times New Roman" w:cs="Times New Roman"/>
          <w:sz w:val="24"/>
          <w:szCs w:val="24"/>
        </w:rPr>
        <w:t>rios para competir en un sector.</w:t>
      </w:r>
    </w:p>
    <w:p w14:paraId="328415BE" w14:textId="77777777" w:rsidR="00914A3E" w:rsidRDefault="005124F1" w:rsidP="00914A3E">
      <w:pPr>
        <w:pStyle w:val="Prrafodelista"/>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914A3E">
        <w:rPr>
          <w:rFonts w:ascii="Times New Roman" w:hAnsi="Times New Roman" w:cs="Times New Roman"/>
          <w:sz w:val="24"/>
          <w:szCs w:val="24"/>
        </w:rPr>
        <w:t>Condiciones de la demanda</w:t>
      </w:r>
      <w:r w:rsidR="00914A3E">
        <w:rPr>
          <w:rFonts w:ascii="Times New Roman" w:hAnsi="Times New Roman" w:cs="Times New Roman"/>
          <w:sz w:val="24"/>
          <w:szCs w:val="24"/>
        </w:rPr>
        <w:t>: S</w:t>
      </w:r>
      <w:r w:rsidRPr="00914A3E">
        <w:rPr>
          <w:rFonts w:ascii="Times New Roman" w:hAnsi="Times New Roman" w:cs="Times New Roman"/>
          <w:sz w:val="24"/>
          <w:szCs w:val="24"/>
        </w:rPr>
        <w:t>e refiere a la demanda de los productos o s</w:t>
      </w:r>
      <w:r w:rsidR="00914A3E">
        <w:rPr>
          <w:rFonts w:ascii="Times New Roman" w:hAnsi="Times New Roman" w:cs="Times New Roman"/>
          <w:sz w:val="24"/>
          <w:szCs w:val="24"/>
        </w:rPr>
        <w:t>ervicios del sector.</w:t>
      </w:r>
    </w:p>
    <w:p w14:paraId="56FF74DF" w14:textId="581FF4D7" w:rsidR="00914A3E" w:rsidRDefault="00914A3E" w:rsidP="00914A3E">
      <w:pPr>
        <w:pStyle w:val="Prrafodelista"/>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Sectores afines y auxiliares:</w:t>
      </w:r>
      <w:r w:rsidR="005124F1" w:rsidRPr="00914A3E">
        <w:rPr>
          <w:rFonts w:ascii="Times New Roman" w:hAnsi="Times New Roman" w:cs="Times New Roman"/>
          <w:sz w:val="24"/>
          <w:szCs w:val="24"/>
        </w:rPr>
        <w:t xml:space="preserve"> </w:t>
      </w:r>
      <w:r w:rsidR="00BD3D58">
        <w:rPr>
          <w:rFonts w:ascii="Times New Roman" w:hAnsi="Times New Roman" w:cs="Times New Roman"/>
          <w:sz w:val="24"/>
          <w:szCs w:val="24"/>
        </w:rPr>
        <w:t>S</w:t>
      </w:r>
      <w:r w:rsidR="005124F1" w:rsidRPr="00914A3E">
        <w:rPr>
          <w:rFonts w:ascii="Times New Roman" w:hAnsi="Times New Roman" w:cs="Times New Roman"/>
          <w:sz w:val="24"/>
          <w:szCs w:val="24"/>
        </w:rPr>
        <w:t>e enfoca</w:t>
      </w:r>
      <w:r w:rsidR="00BD3D58">
        <w:rPr>
          <w:rFonts w:ascii="Times New Roman" w:hAnsi="Times New Roman" w:cs="Times New Roman"/>
          <w:sz w:val="24"/>
          <w:szCs w:val="24"/>
        </w:rPr>
        <w:t>n</w:t>
      </w:r>
      <w:r w:rsidR="005124F1" w:rsidRPr="00914A3E">
        <w:rPr>
          <w:rFonts w:ascii="Times New Roman" w:hAnsi="Times New Roman" w:cs="Times New Roman"/>
          <w:sz w:val="24"/>
          <w:szCs w:val="24"/>
        </w:rPr>
        <w:t xml:space="preserve"> en la existencia de sectores proveedores y afines que sean </w:t>
      </w:r>
      <w:r w:rsidR="009066A7" w:rsidRPr="00914A3E">
        <w:rPr>
          <w:rFonts w:ascii="Times New Roman" w:hAnsi="Times New Roman" w:cs="Times New Roman"/>
          <w:sz w:val="24"/>
          <w:szCs w:val="24"/>
        </w:rPr>
        <w:t>competi</w:t>
      </w:r>
      <w:r>
        <w:rPr>
          <w:rFonts w:ascii="Times New Roman" w:hAnsi="Times New Roman" w:cs="Times New Roman"/>
          <w:sz w:val="24"/>
          <w:szCs w:val="24"/>
        </w:rPr>
        <w:t>tivos internacionalmente.</w:t>
      </w:r>
    </w:p>
    <w:p w14:paraId="5CE27456" w14:textId="074B9550" w:rsidR="000657ED" w:rsidRDefault="005124F1" w:rsidP="00914A3E">
      <w:pPr>
        <w:pStyle w:val="Prrafodelista"/>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914A3E">
        <w:rPr>
          <w:rFonts w:ascii="Times New Roman" w:hAnsi="Times New Roman" w:cs="Times New Roman"/>
          <w:sz w:val="24"/>
          <w:szCs w:val="24"/>
        </w:rPr>
        <w:t>Estrategia, estruct</w:t>
      </w:r>
      <w:r w:rsidR="00914A3E">
        <w:rPr>
          <w:rFonts w:ascii="Times New Roman" w:hAnsi="Times New Roman" w:cs="Times New Roman"/>
          <w:sz w:val="24"/>
          <w:szCs w:val="24"/>
        </w:rPr>
        <w:t>ura y rivalidad de las empresas:</w:t>
      </w:r>
      <w:r w:rsidRPr="00914A3E">
        <w:rPr>
          <w:rFonts w:ascii="Times New Roman" w:hAnsi="Times New Roman" w:cs="Times New Roman"/>
          <w:sz w:val="24"/>
          <w:szCs w:val="24"/>
        </w:rPr>
        <w:t xml:space="preserve"> </w:t>
      </w:r>
      <w:r w:rsidR="00914A3E">
        <w:rPr>
          <w:rFonts w:ascii="Times New Roman" w:hAnsi="Times New Roman" w:cs="Times New Roman"/>
          <w:sz w:val="24"/>
          <w:szCs w:val="24"/>
        </w:rPr>
        <w:t>S</w:t>
      </w:r>
      <w:r w:rsidRPr="00914A3E">
        <w:rPr>
          <w:rFonts w:ascii="Times New Roman" w:hAnsi="Times New Roman" w:cs="Times New Roman"/>
          <w:sz w:val="24"/>
          <w:szCs w:val="24"/>
        </w:rPr>
        <w:t>on las condiciones existentes en el país que rigen la manera de creación, organización y gestión de las empresas, considerando la naturaleza de</w:t>
      </w:r>
      <w:r w:rsidR="00AE4D8A" w:rsidRPr="00914A3E">
        <w:rPr>
          <w:rFonts w:ascii="Times New Roman" w:hAnsi="Times New Roman" w:cs="Times New Roman"/>
          <w:sz w:val="24"/>
          <w:szCs w:val="24"/>
        </w:rPr>
        <w:t xml:space="preserve"> la</w:t>
      </w:r>
      <w:r w:rsidRPr="00914A3E">
        <w:rPr>
          <w:rFonts w:ascii="Times New Roman" w:hAnsi="Times New Roman" w:cs="Times New Roman"/>
          <w:sz w:val="24"/>
          <w:szCs w:val="24"/>
        </w:rPr>
        <w:t xml:space="preserve"> competencia interna. </w:t>
      </w:r>
      <w:r w:rsidR="00BF4E2C" w:rsidRPr="00914A3E">
        <w:rPr>
          <w:rFonts w:ascii="Times New Roman" w:hAnsi="Times New Roman" w:cs="Times New Roman"/>
          <w:sz w:val="24"/>
          <w:szCs w:val="24"/>
        </w:rPr>
        <w:t>A</w:t>
      </w:r>
      <w:r w:rsidRPr="00914A3E">
        <w:rPr>
          <w:rFonts w:ascii="Times New Roman" w:hAnsi="Times New Roman" w:cs="Times New Roman"/>
          <w:sz w:val="24"/>
          <w:szCs w:val="24"/>
        </w:rPr>
        <w:t xml:space="preserve">demás de </w:t>
      </w:r>
      <w:r w:rsidR="000657ED">
        <w:rPr>
          <w:rFonts w:ascii="Times New Roman" w:hAnsi="Times New Roman" w:cs="Times New Roman"/>
          <w:sz w:val="24"/>
          <w:szCs w:val="24"/>
        </w:rPr>
        <w:t>estos</w:t>
      </w:r>
      <w:r w:rsidRPr="00914A3E">
        <w:rPr>
          <w:rFonts w:ascii="Times New Roman" w:hAnsi="Times New Roman" w:cs="Times New Roman"/>
          <w:sz w:val="24"/>
          <w:szCs w:val="24"/>
        </w:rPr>
        <w:t xml:space="preserve"> cuatro determinantes</w:t>
      </w:r>
      <w:r w:rsidR="00F91813" w:rsidRPr="00914A3E">
        <w:rPr>
          <w:rFonts w:ascii="Times New Roman" w:hAnsi="Times New Roman" w:cs="Times New Roman"/>
          <w:sz w:val="24"/>
          <w:szCs w:val="24"/>
        </w:rPr>
        <w:t xml:space="preserve"> existen dos</w:t>
      </w:r>
      <w:r w:rsidRPr="00914A3E">
        <w:rPr>
          <w:rFonts w:ascii="Times New Roman" w:hAnsi="Times New Roman" w:cs="Times New Roman"/>
          <w:sz w:val="24"/>
          <w:szCs w:val="24"/>
        </w:rPr>
        <w:t xml:space="preserve"> complementos</w:t>
      </w:r>
      <w:r w:rsidR="00F91813" w:rsidRPr="00914A3E">
        <w:rPr>
          <w:rFonts w:ascii="Times New Roman" w:hAnsi="Times New Roman" w:cs="Times New Roman"/>
          <w:sz w:val="24"/>
          <w:szCs w:val="24"/>
        </w:rPr>
        <w:t xml:space="preserve"> más</w:t>
      </w:r>
      <w:r w:rsidR="000657ED">
        <w:rPr>
          <w:rFonts w:ascii="Times New Roman" w:hAnsi="Times New Roman" w:cs="Times New Roman"/>
          <w:sz w:val="24"/>
          <w:szCs w:val="24"/>
        </w:rPr>
        <w:t>.</w:t>
      </w:r>
    </w:p>
    <w:p w14:paraId="04FD78D6" w14:textId="5D00B678" w:rsidR="000657ED" w:rsidRDefault="005124F1" w:rsidP="00914A3E">
      <w:pPr>
        <w:pStyle w:val="Prrafodelista"/>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sidRPr="00914A3E">
        <w:rPr>
          <w:rFonts w:ascii="Times New Roman" w:hAnsi="Times New Roman" w:cs="Times New Roman"/>
          <w:sz w:val="24"/>
          <w:szCs w:val="24"/>
        </w:rPr>
        <w:t>Gobierno</w:t>
      </w:r>
      <w:r w:rsidR="000657ED">
        <w:rPr>
          <w:rFonts w:ascii="Times New Roman" w:hAnsi="Times New Roman" w:cs="Times New Roman"/>
          <w:sz w:val="24"/>
          <w:szCs w:val="24"/>
        </w:rPr>
        <w:t>:</w:t>
      </w:r>
      <w:r w:rsidRPr="00914A3E">
        <w:rPr>
          <w:rFonts w:ascii="Times New Roman" w:hAnsi="Times New Roman" w:cs="Times New Roman"/>
          <w:sz w:val="24"/>
          <w:szCs w:val="24"/>
        </w:rPr>
        <w:t xml:space="preserve"> </w:t>
      </w:r>
      <w:r w:rsidR="000657ED">
        <w:rPr>
          <w:rFonts w:ascii="Times New Roman" w:hAnsi="Times New Roman" w:cs="Times New Roman"/>
          <w:sz w:val="24"/>
          <w:szCs w:val="24"/>
        </w:rPr>
        <w:t xml:space="preserve">En este </w:t>
      </w:r>
      <w:r w:rsidR="004549A5" w:rsidRPr="00914A3E">
        <w:rPr>
          <w:rFonts w:ascii="Times New Roman" w:hAnsi="Times New Roman" w:cs="Times New Roman"/>
          <w:sz w:val="24"/>
          <w:szCs w:val="24"/>
        </w:rPr>
        <w:t xml:space="preserve">se contemplan </w:t>
      </w:r>
      <w:r w:rsidRPr="00914A3E">
        <w:rPr>
          <w:rFonts w:ascii="Times New Roman" w:hAnsi="Times New Roman" w:cs="Times New Roman"/>
          <w:sz w:val="24"/>
          <w:szCs w:val="24"/>
        </w:rPr>
        <w:t>determinadas acciones que pueden influir positiva o negativamente a cada uno de los cuatro determinantes</w:t>
      </w:r>
      <w:r w:rsidR="00BD3D58">
        <w:rPr>
          <w:rFonts w:ascii="Times New Roman" w:hAnsi="Times New Roman" w:cs="Times New Roman"/>
          <w:sz w:val="24"/>
          <w:szCs w:val="24"/>
        </w:rPr>
        <w:t>.</w:t>
      </w:r>
    </w:p>
    <w:p w14:paraId="53DCAC4E" w14:textId="4CF4D002" w:rsidR="005124F1" w:rsidRPr="00914A3E" w:rsidRDefault="000657ED" w:rsidP="00914A3E">
      <w:pPr>
        <w:pStyle w:val="Prrafodelista"/>
        <w:numPr>
          <w:ilvl w:val="0"/>
          <w:numId w:val="24"/>
        </w:numPr>
        <w:shd w:val="clear" w:color="auto" w:fill="FFFFFF"/>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Casualidad: Esta</w:t>
      </w:r>
      <w:r w:rsidR="004549A5" w:rsidRPr="00914A3E">
        <w:rPr>
          <w:rFonts w:ascii="Times New Roman" w:hAnsi="Times New Roman" w:cs="Times New Roman"/>
          <w:sz w:val="24"/>
          <w:szCs w:val="24"/>
        </w:rPr>
        <w:t xml:space="preserve"> involucra</w:t>
      </w:r>
      <w:r w:rsidR="005124F1" w:rsidRPr="00914A3E">
        <w:rPr>
          <w:rFonts w:ascii="Times New Roman" w:hAnsi="Times New Roman" w:cs="Times New Roman"/>
          <w:sz w:val="24"/>
          <w:szCs w:val="24"/>
        </w:rPr>
        <w:t xml:space="preserve"> acontecimientos casuales que son difíciles de controlar y planear</w:t>
      </w:r>
      <w:r w:rsidR="00A83886" w:rsidRPr="00914A3E">
        <w:rPr>
          <w:rFonts w:ascii="Times New Roman" w:hAnsi="Times New Roman" w:cs="Times New Roman"/>
          <w:sz w:val="24"/>
          <w:szCs w:val="24"/>
        </w:rPr>
        <w:t>.</w:t>
      </w:r>
    </w:p>
    <w:p w14:paraId="6647711C" w14:textId="1104AE0A" w:rsidR="006B0D90" w:rsidRPr="00B60E6E" w:rsidRDefault="005124F1" w:rsidP="00723C45">
      <w:pPr>
        <w:shd w:val="clear" w:color="auto" w:fill="FFFFFF"/>
        <w:spacing w:before="100" w:beforeAutospacing="1" w:after="100" w:afterAutospacing="1" w:line="360" w:lineRule="auto"/>
        <w:ind w:firstLine="709"/>
        <w:jc w:val="both"/>
        <w:rPr>
          <w:rFonts w:ascii="Times New Roman" w:hAnsi="Times New Roman" w:cs="Times New Roman"/>
          <w:sz w:val="24"/>
          <w:szCs w:val="24"/>
        </w:rPr>
      </w:pPr>
      <w:r w:rsidRPr="00B60E6E">
        <w:rPr>
          <w:rFonts w:ascii="Times New Roman" w:hAnsi="Times New Roman" w:cs="Times New Roman"/>
          <w:sz w:val="24"/>
          <w:szCs w:val="24"/>
        </w:rPr>
        <w:t xml:space="preserve">Por </w:t>
      </w:r>
      <w:r w:rsidR="000657ED">
        <w:rPr>
          <w:rFonts w:ascii="Times New Roman" w:hAnsi="Times New Roman" w:cs="Times New Roman"/>
          <w:sz w:val="24"/>
          <w:szCs w:val="24"/>
        </w:rPr>
        <w:t>otra</w:t>
      </w:r>
      <w:r w:rsidRPr="00B60E6E">
        <w:rPr>
          <w:rFonts w:ascii="Times New Roman" w:hAnsi="Times New Roman" w:cs="Times New Roman"/>
          <w:sz w:val="24"/>
          <w:szCs w:val="24"/>
        </w:rPr>
        <w:t xml:space="preserve"> parte, el posicionamiento de Porter ayuda a analizar de manera resumida y estratégica a la industria o sector. </w:t>
      </w:r>
      <w:r w:rsidR="00C5185E" w:rsidRPr="00B60E6E">
        <w:rPr>
          <w:rFonts w:ascii="Times New Roman" w:hAnsi="Times New Roman" w:cs="Times New Roman"/>
          <w:sz w:val="24"/>
          <w:szCs w:val="24"/>
        </w:rPr>
        <w:t>De acuerdo con</w:t>
      </w:r>
      <w:r w:rsidRPr="00B60E6E">
        <w:rPr>
          <w:rFonts w:ascii="Times New Roman" w:hAnsi="Times New Roman" w:cs="Times New Roman"/>
          <w:sz w:val="24"/>
          <w:szCs w:val="24"/>
        </w:rPr>
        <w:t xml:space="preserve"> </w:t>
      </w:r>
      <w:r w:rsidR="000657ED">
        <w:rPr>
          <w:rFonts w:ascii="Times New Roman" w:hAnsi="Times New Roman" w:cs="Times New Roman"/>
          <w:sz w:val="24"/>
          <w:szCs w:val="24"/>
        </w:rPr>
        <w:t>este autor</w:t>
      </w:r>
      <w:r w:rsidRPr="00B60E6E">
        <w:rPr>
          <w:rFonts w:ascii="Times New Roman" w:hAnsi="Times New Roman" w:cs="Times New Roman"/>
          <w:sz w:val="24"/>
          <w:szCs w:val="24"/>
        </w:rPr>
        <w:t xml:space="preserve"> (2015), existen dos tipos básicos de estrategias genéricas en el posicionamiento dentro de la industria que las empresas pueden poseer: liderazgo en costo y diferenciación. Estos</w:t>
      </w:r>
      <w:r w:rsidR="000657ED">
        <w:rPr>
          <w:rFonts w:ascii="Times New Roman" w:hAnsi="Times New Roman" w:cs="Times New Roman"/>
          <w:sz w:val="24"/>
          <w:szCs w:val="24"/>
        </w:rPr>
        <w:t>,</w:t>
      </w:r>
      <w:r w:rsidRPr="00B60E6E">
        <w:rPr>
          <w:rFonts w:ascii="Times New Roman" w:hAnsi="Times New Roman" w:cs="Times New Roman"/>
          <w:sz w:val="24"/>
          <w:szCs w:val="24"/>
        </w:rPr>
        <w:t xml:space="preserve"> al combinarse con el alcance de las operaciones de una empresa, provocan la tercera estrategia genérica</w:t>
      </w:r>
      <w:r w:rsidR="000657ED">
        <w:rPr>
          <w:rFonts w:ascii="Times New Roman" w:hAnsi="Times New Roman" w:cs="Times New Roman"/>
          <w:sz w:val="24"/>
          <w:szCs w:val="24"/>
        </w:rPr>
        <w:t>,</w:t>
      </w:r>
      <w:r w:rsidRPr="00B60E6E">
        <w:rPr>
          <w:rFonts w:ascii="Times New Roman" w:hAnsi="Times New Roman" w:cs="Times New Roman"/>
          <w:sz w:val="24"/>
          <w:szCs w:val="24"/>
        </w:rPr>
        <w:t xml:space="preserve"> que es el enfoque en un segmento. Básicamente</w:t>
      </w:r>
      <w:r w:rsidR="000657ED">
        <w:rPr>
          <w:rFonts w:ascii="Times New Roman" w:hAnsi="Times New Roman" w:cs="Times New Roman"/>
          <w:sz w:val="24"/>
          <w:szCs w:val="24"/>
        </w:rPr>
        <w:t>,</w:t>
      </w:r>
      <w:r w:rsidRPr="00B60E6E">
        <w:rPr>
          <w:rFonts w:ascii="Times New Roman" w:hAnsi="Times New Roman" w:cs="Times New Roman"/>
          <w:sz w:val="24"/>
          <w:szCs w:val="24"/>
        </w:rPr>
        <w:t xml:space="preserve"> la primera se relaciona con cos</w:t>
      </w:r>
      <w:r w:rsidR="00BD3D58">
        <w:rPr>
          <w:rFonts w:ascii="Times New Roman" w:hAnsi="Times New Roman" w:cs="Times New Roman"/>
          <w:sz w:val="24"/>
          <w:szCs w:val="24"/>
        </w:rPr>
        <w:t>tos bajos y economías de escala;</w:t>
      </w:r>
      <w:r w:rsidRPr="00B60E6E">
        <w:rPr>
          <w:rFonts w:ascii="Times New Roman" w:hAnsi="Times New Roman" w:cs="Times New Roman"/>
          <w:sz w:val="24"/>
          <w:szCs w:val="24"/>
        </w:rPr>
        <w:t xml:space="preserve"> la segunda </w:t>
      </w:r>
      <w:r w:rsidR="00BD3D58">
        <w:rPr>
          <w:rFonts w:ascii="Times New Roman" w:hAnsi="Times New Roman" w:cs="Times New Roman"/>
          <w:sz w:val="24"/>
          <w:szCs w:val="24"/>
        </w:rPr>
        <w:t>con</w:t>
      </w:r>
      <w:r w:rsidRPr="00B60E6E">
        <w:rPr>
          <w:rFonts w:ascii="Times New Roman" w:hAnsi="Times New Roman" w:cs="Times New Roman"/>
          <w:sz w:val="24"/>
          <w:szCs w:val="24"/>
        </w:rPr>
        <w:t xml:space="preserve"> ser únicos en alguna necesidad de valor para los clientes, y la última se dirige a un segmento específico o grupo de </w:t>
      </w:r>
      <w:r w:rsidRPr="00B60E6E">
        <w:rPr>
          <w:rFonts w:ascii="Times New Roman" w:hAnsi="Times New Roman" w:cs="Times New Roman"/>
          <w:sz w:val="24"/>
          <w:szCs w:val="24"/>
        </w:rPr>
        <w:lastRenderedPageBreak/>
        <w:t xml:space="preserve">segmentos de mercado. </w:t>
      </w:r>
      <w:r w:rsidR="000657ED">
        <w:rPr>
          <w:rFonts w:ascii="Times New Roman" w:hAnsi="Times New Roman" w:cs="Times New Roman"/>
          <w:sz w:val="24"/>
          <w:szCs w:val="24"/>
        </w:rPr>
        <w:t>A partir de lo anterior</w:t>
      </w:r>
      <w:r w:rsidR="00BD3D58">
        <w:rPr>
          <w:rFonts w:ascii="Times New Roman" w:hAnsi="Times New Roman" w:cs="Times New Roman"/>
          <w:sz w:val="24"/>
          <w:szCs w:val="24"/>
        </w:rPr>
        <w:t>,</w:t>
      </w:r>
      <w:r w:rsidR="000657ED">
        <w:rPr>
          <w:rFonts w:ascii="Times New Roman" w:hAnsi="Times New Roman" w:cs="Times New Roman"/>
          <w:sz w:val="24"/>
          <w:szCs w:val="24"/>
        </w:rPr>
        <w:t xml:space="preserve"> se puede afirmar que</w:t>
      </w:r>
      <w:r w:rsidRPr="00B60E6E">
        <w:rPr>
          <w:rFonts w:ascii="Times New Roman" w:hAnsi="Times New Roman" w:cs="Times New Roman"/>
          <w:sz w:val="24"/>
          <w:szCs w:val="24"/>
        </w:rPr>
        <w:t xml:space="preserve"> es muy complicado, aunque no imposible, ser a la vez de bajo costo y diferenciación.</w:t>
      </w:r>
      <w:r w:rsidR="006B0D90" w:rsidRPr="00B60E6E">
        <w:rPr>
          <w:rFonts w:ascii="Times New Roman" w:hAnsi="Times New Roman" w:cs="Times New Roman"/>
          <w:sz w:val="24"/>
          <w:szCs w:val="24"/>
        </w:rPr>
        <w:t xml:space="preserve"> </w:t>
      </w:r>
    </w:p>
    <w:p w14:paraId="7230244F" w14:textId="77777777" w:rsidR="000657ED" w:rsidRDefault="000657ED" w:rsidP="007F4BF0">
      <w:pPr>
        <w:spacing w:before="160" w:after="80" w:line="240" w:lineRule="auto"/>
        <w:textAlignment w:val="baseline"/>
        <w:rPr>
          <w:rFonts w:ascii="Times New Roman" w:hAnsi="Times New Roman" w:cs="Times New Roman"/>
          <w:b/>
          <w:color w:val="7030A0"/>
          <w:sz w:val="24"/>
          <w:szCs w:val="24"/>
        </w:rPr>
      </w:pPr>
    </w:p>
    <w:p w14:paraId="546B8FAC" w14:textId="7AB4D59B" w:rsidR="00711BB9" w:rsidRPr="000346A1" w:rsidRDefault="007F4BF0" w:rsidP="000657ED">
      <w:pPr>
        <w:pStyle w:val="Ttulo1"/>
        <w:rPr>
          <w:rFonts w:ascii="Calibri" w:eastAsia="Times New Roman" w:hAnsi="Calibri" w:cs="Calibri"/>
          <w:color w:val="000000"/>
          <w:sz w:val="28"/>
          <w:szCs w:val="28"/>
          <w:lang w:eastAsia="es-MX"/>
        </w:rPr>
      </w:pPr>
      <w:r w:rsidRPr="000346A1">
        <w:rPr>
          <w:rFonts w:ascii="Calibri" w:eastAsia="Times New Roman" w:hAnsi="Calibri" w:cs="Calibri"/>
          <w:color w:val="000000"/>
          <w:sz w:val="28"/>
          <w:szCs w:val="28"/>
          <w:lang w:eastAsia="es-MX"/>
        </w:rPr>
        <w:t>Metodología</w:t>
      </w:r>
    </w:p>
    <w:p w14:paraId="1949DAA9" w14:textId="17A26028" w:rsidR="00BF7B48" w:rsidRPr="000657ED" w:rsidRDefault="000657ED" w:rsidP="00723C45">
      <w:pPr>
        <w:pStyle w:val="Default"/>
        <w:spacing w:before="100" w:beforeAutospacing="1" w:after="100" w:afterAutospacing="1" w:line="360" w:lineRule="auto"/>
        <w:jc w:val="both"/>
        <w:rPr>
          <w:rFonts w:ascii="Times New Roman" w:hAnsi="Times New Roman" w:cs="Times New Roman"/>
          <w:color w:val="FF0000"/>
        </w:rPr>
      </w:pPr>
      <w:r>
        <w:rPr>
          <w:rFonts w:ascii="Times New Roman" w:hAnsi="Times New Roman" w:cs="Times New Roman"/>
          <w:color w:val="auto"/>
        </w:rPr>
        <w:tab/>
        <w:t>En e</w:t>
      </w:r>
      <w:r w:rsidR="00BF7B48" w:rsidRPr="00B60E6E">
        <w:rPr>
          <w:rFonts w:ascii="Times New Roman" w:hAnsi="Times New Roman" w:cs="Times New Roman"/>
          <w:color w:val="auto"/>
        </w:rPr>
        <w:t>st</w:t>
      </w:r>
      <w:r w:rsidR="00BD3D58">
        <w:rPr>
          <w:rFonts w:ascii="Times New Roman" w:hAnsi="Times New Roman" w:cs="Times New Roman"/>
          <w:color w:val="auto"/>
        </w:rPr>
        <w:t>e trabajo</w:t>
      </w:r>
      <w:r w:rsidR="00BF7B48" w:rsidRPr="00B60E6E">
        <w:rPr>
          <w:rFonts w:ascii="Times New Roman" w:hAnsi="Times New Roman" w:cs="Times New Roman"/>
          <w:color w:val="auto"/>
        </w:rPr>
        <w:t xml:space="preserve"> </w:t>
      </w:r>
      <w:r>
        <w:rPr>
          <w:rFonts w:ascii="Times New Roman" w:hAnsi="Times New Roman" w:cs="Times New Roman"/>
          <w:color w:val="auto"/>
        </w:rPr>
        <w:t>se empleó</w:t>
      </w:r>
      <w:r w:rsidR="00E131AC" w:rsidRPr="00B60E6E">
        <w:rPr>
          <w:rFonts w:ascii="Times New Roman" w:hAnsi="Times New Roman" w:cs="Times New Roman"/>
          <w:color w:val="auto"/>
        </w:rPr>
        <w:t xml:space="preserve"> </w:t>
      </w:r>
      <w:r>
        <w:rPr>
          <w:rFonts w:ascii="Times New Roman" w:hAnsi="Times New Roman" w:cs="Times New Roman"/>
          <w:color w:val="auto"/>
        </w:rPr>
        <w:t>el</w:t>
      </w:r>
      <w:r w:rsidR="00BF7B48" w:rsidRPr="00B60E6E">
        <w:rPr>
          <w:rFonts w:ascii="Times New Roman" w:hAnsi="Times New Roman" w:cs="Times New Roman"/>
          <w:color w:val="auto"/>
        </w:rPr>
        <w:t xml:space="preserve"> estudio cualitativo</w:t>
      </w:r>
      <w:r w:rsidR="00BB69CE" w:rsidRPr="00B60E6E">
        <w:rPr>
          <w:rFonts w:ascii="Times New Roman" w:hAnsi="Times New Roman" w:cs="Times New Roman"/>
          <w:color w:val="auto"/>
        </w:rPr>
        <w:t xml:space="preserve"> y exploratorio</w:t>
      </w:r>
      <w:r w:rsidR="00BD3D58">
        <w:rPr>
          <w:rFonts w:ascii="Times New Roman" w:hAnsi="Times New Roman" w:cs="Times New Roman"/>
          <w:color w:val="auto"/>
        </w:rPr>
        <w:t xml:space="preserve"> porque </w:t>
      </w:r>
      <w:r w:rsidR="00BF7B48" w:rsidRPr="00B60E6E">
        <w:rPr>
          <w:rFonts w:ascii="Times New Roman" w:hAnsi="Times New Roman" w:cs="Times New Roman"/>
          <w:color w:val="auto"/>
        </w:rPr>
        <w:t xml:space="preserve">el tema de </w:t>
      </w:r>
      <w:r w:rsidR="00BD3D58">
        <w:rPr>
          <w:rFonts w:ascii="Times New Roman" w:hAnsi="Times New Roman" w:cs="Times New Roman"/>
          <w:color w:val="auto"/>
        </w:rPr>
        <w:t>investigación</w:t>
      </w:r>
      <w:r>
        <w:rPr>
          <w:rFonts w:ascii="Times New Roman" w:hAnsi="Times New Roman" w:cs="Times New Roman"/>
          <w:color w:val="auto"/>
        </w:rPr>
        <w:t xml:space="preserve"> </w:t>
      </w:r>
      <w:r w:rsidR="00BF7B48" w:rsidRPr="00B60E6E">
        <w:rPr>
          <w:rFonts w:ascii="Times New Roman" w:hAnsi="Times New Roman" w:cs="Times New Roman"/>
          <w:color w:val="auto"/>
        </w:rPr>
        <w:t xml:space="preserve">se </w:t>
      </w:r>
      <w:r w:rsidR="00BD3D58">
        <w:rPr>
          <w:rFonts w:ascii="Times New Roman" w:hAnsi="Times New Roman" w:cs="Times New Roman"/>
          <w:color w:val="auto"/>
        </w:rPr>
        <w:t>encontraba</w:t>
      </w:r>
      <w:r w:rsidR="00BF7B48" w:rsidRPr="00B60E6E">
        <w:rPr>
          <w:rFonts w:ascii="Times New Roman" w:hAnsi="Times New Roman" w:cs="Times New Roman"/>
          <w:color w:val="auto"/>
        </w:rPr>
        <w:t xml:space="preserve"> en un periodo inicial</w:t>
      </w:r>
      <w:r>
        <w:rPr>
          <w:rFonts w:ascii="Times New Roman" w:hAnsi="Times New Roman" w:cs="Times New Roman"/>
          <w:color w:val="auto"/>
        </w:rPr>
        <w:t xml:space="preserve"> en cuanto a la descripción de</w:t>
      </w:r>
      <w:r w:rsidR="00BF7B48" w:rsidRPr="00B60E6E">
        <w:rPr>
          <w:rFonts w:ascii="Times New Roman" w:hAnsi="Times New Roman" w:cs="Times New Roman"/>
          <w:color w:val="auto"/>
        </w:rPr>
        <w:t xml:space="preserve"> las características y </w:t>
      </w:r>
      <w:r>
        <w:rPr>
          <w:rFonts w:ascii="Times New Roman" w:hAnsi="Times New Roman" w:cs="Times New Roman"/>
          <w:color w:val="auto"/>
        </w:rPr>
        <w:t xml:space="preserve">los </w:t>
      </w:r>
      <w:r w:rsidR="00BF7B48" w:rsidRPr="00B60E6E">
        <w:rPr>
          <w:rFonts w:ascii="Times New Roman" w:hAnsi="Times New Roman" w:cs="Times New Roman"/>
          <w:color w:val="auto"/>
        </w:rPr>
        <w:t>hechos (</w:t>
      </w:r>
      <w:r>
        <w:rPr>
          <w:rFonts w:ascii="Times New Roman" w:hAnsi="Times New Roman" w:cs="Times New Roman"/>
          <w:color w:val="auto"/>
        </w:rPr>
        <w:t>Hernández, Fernández y</w:t>
      </w:r>
      <w:r w:rsidRPr="00B60E6E">
        <w:rPr>
          <w:rFonts w:ascii="Times New Roman" w:hAnsi="Times New Roman" w:cs="Times New Roman"/>
          <w:color w:val="auto"/>
        </w:rPr>
        <w:t xml:space="preserve"> Baptista, 2014</w:t>
      </w:r>
      <w:r>
        <w:rPr>
          <w:rFonts w:ascii="Times New Roman" w:hAnsi="Times New Roman" w:cs="Times New Roman"/>
          <w:color w:val="auto"/>
        </w:rPr>
        <w:t xml:space="preserve">; </w:t>
      </w:r>
      <w:r w:rsidR="00BF7B48" w:rsidRPr="00B60E6E">
        <w:rPr>
          <w:rFonts w:ascii="Times New Roman" w:hAnsi="Times New Roman" w:cs="Times New Roman"/>
          <w:color w:val="auto"/>
        </w:rPr>
        <w:t>Martín</w:t>
      </w:r>
      <w:r>
        <w:rPr>
          <w:rFonts w:ascii="Times New Roman" w:hAnsi="Times New Roman" w:cs="Times New Roman"/>
          <w:color w:val="auto"/>
        </w:rPr>
        <w:t>ez, 2006</w:t>
      </w:r>
      <w:r w:rsidR="00BF7B48" w:rsidRPr="00B60E6E">
        <w:rPr>
          <w:rFonts w:ascii="Times New Roman" w:hAnsi="Times New Roman" w:cs="Times New Roman"/>
          <w:color w:val="auto"/>
        </w:rPr>
        <w:t xml:space="preserve">). </w:t>
      </w:r>
      <w:r>
        <w:rPr>
          <w:rFonts w:ascii="Times New Roman" w:hAnsi="Times New Roman" w:cs="Times New Roman"/>
          <w:color w:val="auto"/>
        </w:rPr>
        <w:t xml:space="preserve">Este método, además, </w:t>
      </w:r>
      <w:r w:rsidR="007A05A6" w:rsidRPr="00B60E6E">
        <w:rPr>
          <w:rFonts w:ascii="Times New Roman" w:hAnsi="Times New Roman" w:cs="Times New Roman"/>
          <w:color w:val="auto"/>
        </w:rPr>
        <w:t>admite la subjet</w:t>
      </w:r>
      <w:r w:rsidR="002855DD" w:rsidRPr="00B60E6E">
        <w:rPr>
          <w:rFonts w:ascii="Times New Roman" w:hAnsi="Times New Roman" w:cs="Times New Roman"/>
          <w:color w:val="auto"/>
        </w:rPr>
        <w:t xml:space="preserve">ividad, </w:t>
      </w:r>
      <w:r>
        <w:rPr>
          <w:rFonts w:ascii="Times New Roman" w:hAnsi="Times New Roman" w:cs="Times New Roman"/>
          <w:color w:val="auto"/>
        </w:rPr>
        <w:t xml:space="preserve">la </w:t>
      </w:r>
      <w:r w:rsidR="002855DD" w:rsidRPr="00B60E6E">
        <w:rPr>
          <w:rFonts w:ascii="Times New Roman" w:hAnsi="Times New Roman" w:cs="Times New Roman"/>
          <w:color w:val="auto"/>
        </w:rPr>
        <w:t xml:space="preserve">explicitación, </w:t>
      </w:r>
      <w:r>
        <w:rPr>
          <w:rFonts w:ascii="Times New Roman" w:hAnsi="Times New Roman" w:cs="Times New Roman"/>
          <w:color w:val="auto"/>
        </w:rPr>
        <w:t xml:space="preserve">la </w:t>
      </w:r>
      <w:r w:rsidR="002855DD" w:rsidRPr="00B60E6E">
        <w:rPr>
          <w:rFonts w:ascii="Times New Roman" w:hAnsi="Times New Roman" w:cs="Times New Roman"/>
          <w:color w:val="auto"/>
        </w:rPr>
        <w:t>apertura y</w:t>
      </w:r>
      <w:r w:rsidR="007A05A6" w:rsidRPr="00B60E6E">
        <w:rPr>
          <w:rFonts w:ascii="Times New Roman" w:hAnsi="Times New Roman" w:cs="Times New Roman"/>
          <w:color w:val="auto"/>
        </w:rPr>
        <w:t xml:space="preserve"> </w:t>
      </w:r>
      <w:r>
        <w:rPr>
          <w:rFonts w:ascii="Times New Roman" w:hAnsi="Times New Roman" w:cs="Times New Roman"/>
          <w:color w:val="auto"/>
        </w:rPr>
        <w:t xml:space="preserve">la </w:t>
      </w:r>
      <w:r w:rsidR="007A05A6" w:rsidRPr="00B60E6E">
        <w:rPr>
          <w:rFonts w:ascii="Times New Roman" w:hAnsi="Times New Roman" w:cs="Times New Roman"/>
          <w:color w:val="auto"/>
        </w:rPr>
        <w:t xml:space="preserve">flexibilidad, </w:t>
      </w:r>
      <w:r>
        <w:rPr>
          <w:rFonts w:ascii="Times New Roman" w:hAnsi="Times New Roman" w:cs="Times New Roman"/>
          <w:color w:val="auto"/>
        </w:rPr>
        <w:t xml:space="preserve">pues no se intentan </w:t>
      </w:r>
      <w:r w:rsidR="007A05A6" w:rsidRPr="00B60E6E">
        <w:rPr>
          <w:rFonts w:ascii="Times New Roman" w:hAnsi="Times New Roman" w:cs="Times New Roman"/>
          <w:color w:val="auto"/>
        </w:rPr>
        <w:t>gener</w:t>
      </w:r>
      <w:r w:rsidR="00CF620F" w:rsidRPr="00B60E6E">
        <w:rPr>
          <w:rFonts w:ascii="Times New Roman" w:hAnsi="Times New Roman" w:cs="Times New Roman"/>
          <w:color w:val="auto"/>
        </w:rPr>
        <w:t>alizar los resu</w:t>
      </w:r>
      <w:r w:rsidR="00BB5F5B" w:rsidRPr="00B60E6E">
        <w:rPr>
          <w:rFonts w:ascii="Times New Roman" w:hAnsi="Times New Roman" w:cs="Times New Roman"/>
          <w:color w:val="auto"/>
        </w:rPr>
        <w:t>ltados</w:t>
      </w:r>
      <w:r>
        <w:rPr>
          <w:rFonts w:ascii="Times New Roman" w:hAnsi="Times New Roman" w:cs="Times New Roman"/>
          <w:color w:val="auto"/>
        </w:rPr>
        <w:t xml:space="preserve"> </w:t>
      </w:r>
      <w:r w:rsidR="007A05A6" w:rsidRPr="00B60E6E">
        <w:rPr>
          <w:rFonts w:ascii="Times New Roman" w:hAnsi="Times New Roman" w:cs="Times New Roman"/>
          <w:color w:val="auto"/>
        </w:rPr>
        <w:t xml:space="preserve">para conocer el fenómeno de estudio </w:t>
      </w:r>
      <w:r w:rsidR="00427848" w:rsidRPr="00B60E6E">
        <w:rPr>
          <w:rFonts w:ascii="Times New Roman" w:hAnsi="Times New Roman" w:cs="Times New Roman"/>
          <w:color w:val="auto"/>
        </w:rPr>
        <w:t>por sus cu</w:t>
      </w:r>
      <w:r>
        <w:rPr>
          <w:rFonts w:ascii="Times New Roman" w:hAnsi="Times New Roman" w:cs="Times New Roman"/>
          <w:color w:val="auto"/>
        </w:rPr>
        <w:t>alidades (Hernández, Fernández y</w:t>
      </w:r>
      <w:r w:rsidR="00427848" w:rsidRPr="00B60E6E">
        <w:rPr>
          <w:rFonts w:ascii="Times New Roman" w:hAnsi="Times New Roman" w:cs="Times New Roman"/>
          <w:color w:val="auto"/>
        </w:rPr>
        <w:t xml:space="preserve"> Baptista, 2014). </w:t>
      </w:r>
      <w:r>
        <w:rPr>
          <w:rFonts w:ascii="Times New Roman" w:hAnsi="Times New Roman" w:cs="Times New Roman"/>
          <w:color w:val="auto"/>
        </w:rPr>
        <w:t>Por otra parte</w:t>
      </w:r>
      <w:r w:rsidR="00427848" w:rsidRPr="00B60E6E">
        <w:rPr>
          <w:rFonts w:ascii="Times New Roman" w:hAnsi="Times New Roman" w:cs="Times New Roman"/>
          <w:color w:val="auto"/>
        </w:rPr>
        <w:t xml:space="preserve">, </w:t>
      </w:r>
      <w:r>
        <w:rPr>
          <w:rFonts w:ascii="Times New Roman" w:hAnsi="Times New Roman" w:cs="Times New Roman"/>
          <w:color w:val="auto"/>
        </w:rPr>
        <w:t xml:space="preserve">y </w:t>
      </w:r>
      <w:r w:rsidR="00427848" w:rsidRPr="00B60E6E">
        <w:rPr>
          <w:rFonts w:ascii="Times New Roman" w:hAnsi="Times New Roman" w:cs="Times New Roman"/>
          <w:color w:val="auto"/>
        </w:rPr>
        <w:t xml:space="preserve">para </w:t>
      </w:r>
      <w:r>
        <w:rPr>
          <w:rFonts w:ascii="Times New Roman" w:hAnsi="Times New Roman" w:cs="Times New Roman"/>
          <w:color w:val="auto"/>
        </w:rPr>
        <w:t xml:space="preserve">emplear </w:t>
      </w:r>
      <w:r w:rsidR="00185F56" w:rsidRPr="00B60E6E">
        <w:rPr>
          <w:rFonts w:ascii="Times New Roman" w:hAnsi="Times New Roman" w:cs="Times New Roman"/>
          <w:color w:val="auto"/>
        </w:rPr>
        <w:t>varias</w:t>
      </w:r>
      <w:r w:rsidR="00427848" w:rsidRPr="00B60E6E">
        <w:rPr>
          <w:rFonts w:ascii="Times New Roman" w:hAnsi="Times New Roman" w:cs="Times New Roman"/>
          <w:color w:val="auto"/>
        </w:rPr>
        <w:t xml:space="preserve"> fuentes de evidencia</w:t>
      </w:r>
      <w:r w:rsidR="00BB5F5B" w:rsidRPr="00B60E6E">
        <w:rPr>
          <w:rFonts w:ascii="Times New Roman" w:hAnsi="Times New Roman" w:cs="Times New Roman"/>
          <w:color w:val="auto"/>
        </w:rPr>
        <w:t>,</w:t>
      </w:r>
      <w:r w:rsidR="00AB4CEA" w:rsidRPr="00B60E6E">
        <w:rPr>
          <w:rFonts w:ascii="Times New Roman" w:hAnsi="Times New Roman" w:cs="Times New Roman"/>
          <w:color w:val="auto"/>
        </w:rPr>
        <w:t xml:space="preserve"> esta investigación</w:t>
      </w:r>
      <w:r w:rsidR="00D06CB2" w:rsidRPr="00B60E6E">
        <w:rPr>
          <w:rFonts w:ascii="Times New Roman" w:hAnsi="Times New Roman" w:cs="Times New Roman"/>
          <w:color w:val="auto"/>
        </w:rPr>
        <w:t xml:space="preserve"> también se </w:t>
      </w:r>
      <w:r w:rsidR="00FE3FD5" w:rsidRPr="00B60E6E">
        <w:rPr>
          <w:rFonts w:ascii="Times New Roman" w:hAnsi="Times New Roman" w:cs="Times New Roman"/>
          <w:color w:val="auto"/>
        </w:rPr>
        <w:t>apoyó</w:t>
      </w:r>
      <w:r>
        <w:rPr>
          <w:rFonts w:ascii="Times New Roman" w:hAnsi="Times New Roman" w:cs="Times New Roman"/>
          <w:color w:val="auto"/>
        </w:rPr>
        <w:t>,</w:t>
      </w:r>
      <w:r w:rsidR="00427848" w:rsidRPr="00B60E6E">
        <w:rPr>
          <w:rFonts w:ascii="Times New Roman" w:hAnsi="Times New Roman" w:cs="Times New Roman"/>
          <w:color w:val="auto"/>
        </w:rPr>
        <w:t xml:space="preserve"> </w:t>
      </w:r>
      <w:r>
        <w:rPr>
          <w:rFonts w:ascii="Times New Roman" w:hAnsi="Times New Roman" w:cs="Times New Roman"/>
          <w:color w:val="auto"/>
        </w:rPr>
        <w:t xml:space="preserve">aunque en menor medida, en </w:t>
      </w:r>
      <w:r w:rsidR="00427848" w:rsidRPr="00B60E6E">
        <w:rPr>
          <w:rFonts w:ascii="Times New Roman" w:hAnsi="Times New Roman" w:cs="Times New Roman"/>
          <w:color w:val="auto"/>
        </w:rPr>
        <w:t xml:space="preserve">la metodología de estudios de casos publicada por Yin (1994). </w:t>
      </w:r>
      <w:r w:rsidR="009356EA" w:rsidRPr="00B60E6E">
        <w:rPr>
          <w:rFonts w:ascii="Times New Roman" w:hAnsi="Times New Roman" w:cs="Times New Roman"/>
          <w:color w:val="auto"/>
        </w:rPr>
        <w:t xml:space="preserve">La manera como se </w:t>
      </w:r>
      <w:r w:rsidR="00E31C2E" w:rsidRPr="00B60E6E">
        <w:rPr>
          <w:rFonts w:ascii="Times New Roman" w:hAnsi="Times New Roman" w:cs="Times New Roman"/>
          <w:color w:val="auto"/>
        </w:rPr>
        <w:t>diseñó</w:t>
      </w:r>
      <w:r w:rsidR="00BF7B48" w:rsidRPr="00B60E6E">
        <w:rPr>
          <w:rFonts w:ascii="Times New Roman" w:hAnsi="Times New Roman" w:cs="Times New Roman"/>
          <w:color w:val="auto"/>
        </w:rPr>
        <w:t xml:space="preserve"> este </w:t>
      </w:r>
      <w:r w:rsidR="00BD3D58">
        <w:rPr>
          <w:rFonts w:ascii="Times New Roman" w:hAnsi="Times New Roman" w:cs="Times New Roman"/>
          <w:color w:val="auto"/>
        </w:rPr>
        <w:t>trabajo</w:t>
      </w:r>
      <w:r w:rsidR="00BF7B48" w:rsidRPr="00B60E6E">
        <w:rPr>
          <w:rFonts w:ascii="Times New Roman" w:hAnsi="Times New Roman" w:cs="Times New Roman"/>
          <w:color w:val="auto"/>
        </w:rPr>
        <w:t xml:space="preserve"> se resume </w:t>
      </w:r>
      <w:r w:rsidR="00AE22FD" w:rsidRPr="00B60E6E">
        <w:rPr>
          <w:rFonts w:ascii="Times New Roman" w:hAnsi="Times New Roman" w:cs="Times New Roman"/>
          <w:color w:val="auto"/>
        </w:rPr>
        <w:t xml:space="preserve">en cuatro pasos metodológicos con un enfoque basado en la teoría de Porter. </w:t>
      </w:r>
    </w:p>
    <w:p w14:paraId="1EFF3CEC" w14:textId="6018CFEF" w:rsidR="00FE7FE7" w:rsidRDefault="004B010E" w:rsidP="009452C4">
      <w:pPr>
        <w:spacing w:before="100" w:beforeAutospacing="1" w:after="100" w:afterAutospacing="1" w:line="360" w:lineRule="auto"/>
        <w:ind w:firstLine="567"/>
        <w:jc w:val="both"/>
        <w:textAlignment w:val="baseline"/>
        <w:rPr>
          <w:rFonts w:ascii="Times New Roman" w:hAnsi="Times New Roman" w:cs="Times New Roman"/>
          <w:sz w:val="24"/>
          <w:szCs w:val="24"/>
        </w:rPr>
      </w:pPr>
      <w:r w:rsidRPr="00B60E6E">
        <w:rPr>
          <w:rFonts w:ascii="Times New Roman" w:hAnsi="Times New Roman" w:cs="Times New Roman"/>
          <w:sz w:val="24"/>
          <w:szCs w:val="24"/>
        </w:rPr>
        <w:t xml:space="preserve">El primer paso </w:t>
      </w:r>
      <w:r w:rsidR="009356EA" w:rsidRPr="00B60E6E">
        <w:rPr>
          <w:rFonts w:ascii="Times New Roman" w:hAnsi="Times New Roman" w:cs="Times New Roman"/>
          <w:sz w:val="24"/>
          <w:szCs w:val="24"/>
        </w:rPr>
        <w:t>consistió</w:t>
      </w:r>
      <w:r w:rsidRPr="00B60E6E">
        <w:rPr>
          <w:rFonts w:ascii="Times New Roman" w:hAnsi="Times New Roman" w:cs="Times New Roman"/>
          <w:sz w:val="24"/>
          <w:szCs w:val="24"/>
        </w:rPr>
        <w:t xml:space="preserve"> en la recolección de información</w:t>
      </w:r>
      <w:r w:rsidR="00EA2958" w:rsidRPr="00B60E6E">
        <w:rPr>
          <w:rFonts w:ascii="Times New Roman" w:hAnsi="Times New Roman" w:cs="Times New Roman"/>
          <w:sz w:val="24"/>
          <w:szCs w:val="24"/>
        </w:rPr>
        <w:t xml:space="preserve"> pro</w:t>
      </w:r>
      <w:r w:rsidR="00965BC6">
        <w:rPr>
          <w:rFonts w:ascii="Times New Roman" w:hAnsi="Times New Roman" w:cs="Times New Roman"/>
          <w:sz w:val="24"/>
          <w:szCs w:val="24"/>
        </w:rPr>
        <w:t>veniente de fuentes secundarias.</w:t>
      </w:r>
      <w:r w:rsidR="00742FB1">
        <w:rPr>
          <w:rFonts w:ascii="Times New Roman" w:hAnsi="Times New Roman" w:cs="Times New Roman"/>
          <w:sz w:val="24"/>
          <w:szCs w:val="24"/>
        </w:rPr>
        <w:t xml:space="preserve"> </w:t>
      </w:r>
      <w:r w:rsidR="00965BC6" w:rsidRPr="00B60E6E">
        <w:rPr>
          <w:rFonts w:ascii="Times New Roman" w:hAnsi="Times New Roman" w:cs="Times New Roman"/>
          <w:sz w:val="24"/>
          <w:szCs w:val="24"/>
        </w:rPr>
        <w:t>La principal fuente se recolectó</w:t>
      </w:r>
      <w:r w:rsidR="00965BC6">
        <w:rPr>
          <w:rFonts w:ascii="Times New Roman" w:hAnsi="Times New Roman" w:cs="Times New Roman"/>
          <w:sz w:val="24"/>
          <w:szCs w:val="24"/>
        </w:rPr>
        <w:t xml:space="preserve"> </w:t>
      </w:r>
      <w:r w:rsidR="00AC31D9" w:rsidRPr="00B60E6E">
        <w:rPr>
          <w:rFonts w:ascii="Times New Roman" w:hAnsi="Times New Roman" w:cs="Times New Roman"/>
          <w:sz w:val="24"/>
          <w:szCs w:val="24"/>
        </w:rPr>
        <w:t xml:space="preserve">durante el año 2016 </w:t>
      </w:r>
      <w:r w:rsidR="00742FB1">
        <w:rPr>
          <w:rFonts w:ascii="Times New Roman" w:hAnsi="Times New Roman" w:cs="Times New Roman"/>
          <w:sz w:val="24"/>
          <w:szCs w:val="24"/>
        </w:rPr>
        <w:t xml:space="preserve">con </w:t>
      </w:r>
      <w:r w:rsidRPr="00B60E6E">
        <w:rPr>
          <w:rFonts w:ascii="Times New Roman" w:hAnsi="Times New Roman" w:cs="Times New Roman"/>
          <w:sz w:val="24"/>
          <w:szCs w:val="24"/>
        </w:rPr>
        <w:t xml:space="preserve">el proyecto </w:t>
      </w:r>
      <w:r w:rsidR="00D23D70" w:rsidRPr="00B60E6E">
        <w:rPr>
          <w:rFonts w:ascii="Times New Roman" w:hAnsi="Times New Roman" w:cs="Times New Roman"/>
          <w:sz w:val="24"/>
          <w:szCs w:val="24"/>
        </w:rPr>
        <w:t xml:space="preserve">de investigación </w:t>
      </w:r>
      <w:r w:rsidRPr="000657ED">
        <w:rPr>
          <w:rFonts w:ascii="Times New Roman" w:hAnsi="Times New Roman" w:cs="Times New Roman"/>
          <w:i/>
          <w:sz w:val="24"/>
          <w:szCs w:val="24"/>
        </w:rPr>
        <w:t>Aprovechamiento de la diversidad genética y desarrollo de tecno</w:t>
      </w:r>
      <w:r w:rsidR="00742FB1">
        <w:rPr>
          <w:rFonts w:ascii="Times New Roman" w:hAnsi="Times New Roman" w:cs="Times New Roman"/>
          <w:i/>
          <w:sz w:val="24"/>
          <w:szCs w:val="24"/>
        </w:rPr>
        <w:t>logía sustentable de producción:</w:t>
      </w:r>
      <w:r w:rsidRPr="000657ED">
        <w:rPr>
          <w:rFonts w:ascii="Times New Roman" w:hAnsi="Times New Roman" w:cs="Times New Roman"/>
          <w:i/>
          <w:sz w:val="24"/>
          <w:szCs w:val="24"/>
        </w:rPr>
        <w:t xml:space="preserve"> beneficio y manejo poscosecha de la malanga</w:t>
      </w:r>
      <w:r w:rsidR="00AB17BE" w:rsidRPr="00B60E6E">
        <w:rPr>
          <w:rFonts w:ascii="Times New Roman" w:hAnsi="Times New Roman" w:cs="Times New Roman"/>
          <w:sz w:val="24"/>
          <w:szCs w:val="24"/>
        </w:rPr>
        <w:t xml:space="preserve"> (Asiain </w:t>
      </w:r>
      <w:r w:rsidR="00AB17BE" w:rsidRPr="000657ED">
        <w:rPr>
          <w:rFonts w:ascii="Times New Roman" w:hAnsi="Times New Roman" w:cs="Times New Roman"/>
          <w:i/>
          <w:sz w:val="24"/>
          <w:szCs w:val="24"/>
        </w:rPr>
        <w:t>et al.</w:t>
      </w:r>
      <w:r w:rsidR="00AB17BE" w:rsidRPr="00B60E6E">
        <w:rPr>
          <w:rFonts w:ascii="Times New Roman" w:hAnsi="Times New Roman" w:cs="Times New Roman"/>
          <w:sz w:val="24"/>
          <w:szCs w:val="24"/>
        </w:rPr>
        <w:t>, 2017)</w:t>
      </w:r>
      <w:r w:rsidR="001C1FA4" w:rsidRPr="00B60E6E">
        <w:rPr>
          <w:rFonts w:ascii="Times New Roman" w:hAnsi="Times New Roman" w:cs="Times New Roman"/>
          <w:sz w:val="24"/>
          <w:szCs w:val="24"/>
        </w:rPr>
        <w:t xml:space="preserve">. En </w:t>
      </w:r>
      <w:r w:rsidR="00FE7FE7">
        <w:rPr>
          <w:rFonts w:ascii="Times New Roman" w:hAnsi="Times New Roman" w:cs="Times New Roman"/>
          <w:sz w:val="24"/>
          <w:szCs w:val="24"/>
        </w:rPr>
        <w:t>este</w:t>
      </w:r>
      <w:r w:rsidR="006266BF" w:rsidRPr="00B60E6E">
        <w:rPr>
          <w:rFonts w:ascii="Times New Roman" w:hAnsi="Times New Roman" w:cs="Times New Roman"/>
          <w:sz w:val="24"/>
          <w:szCs w:val="24"/>
        </w:rPr>
        <w:t xml:space="preserve"> </w:t>
      </w:r>
      <w:r w:rsidRPr="00B60E6E">
        <w:rPr>
          <w:rFonts w:ascii="Times New Roman" w:hAnsi="Times New Roman" w:cs="Times New Roman"/>
          <w:sz w:val="24"/>
          <w:szCs w:val="24"/>
        </w:rPr>
        <w:t>se realizó una bús</w:t>
      </w:r>
      <w:r w:rsidR="00742FB1">
        <w:rPr>
          <w:rFonts w:ascii="Times New Roman" w:hAnsi="Times New Roman" w:cs="Times New Roman"/>
          <w:sz w:val="24"/>
          <w:szCs w:val="24"/>
        </w:rPr>
        <w:t>queda de información documental, y luego</w:t>
      </w:r>
      <w:r w:rsidR="00FE7FE7">
        <w:rPr>
          <w:rFonts w:ascii="Times New Roman" w:hAnsi="Times New Roman" w:cs="Times New Roman"/>
          <w:sz w:val="24"/>
          <w:szCs w:val="24"/>
        </w:rPr>
        <w:t xml:space="preserve"> se contactó </w:t>
      </w:r>
      <w:r w:rsidR="00742FB1">
        <w:rPr>
          <w:rFonts w:ascii="Times New Roman" w:hAnsi="Times New Roman" w:cs="Times New Roman"/>
          <w:sz w:val="24"/>
          <w:szCs w:val="24"/>
        </w:rPr>
        <w:t xml:space="preserve">por vía </w:t>
      </w:r>
      <w:r w:rsidR="00FE7FE7">
        <w:rPr>
          <w:rFonts w:ascii="Times New Roman" w:hAnsi="Times New Roman" w:cs="Times New Roman"/>
          <w:sz w:val="24"/>
          <w:szCs w:val="24"/>
        </w:rPr>
        <w:t>telefónica</w:t>
      </w:r>
      <w:r w:rsidRPr="00B60E6E">
        <w:rPr>
          <w:rFonts w:ascii="Times New Roman" w:hAnsi="Times New Roman" w:cs="Times New Roman"/>
          <w:sz w:val="24"/>
          <w:szCs w:val="24"/>
        </w:rPr>
        <w:t xml:space="preserve"> y </w:t>
      </w:r>
      <w:r w:rsidR="00742FB1">
        <w:rPr>
          <w:rFonts w:ascii="Times New Roman" w:hAnsi="Times New Roman" w:cs="Times New Roman"/>
          <w:sz w:val="24"/>
          <w:szCs w:val="24"/>
        </w:rPr>
        <w:t>de manera personal</w:t>
      </w:r>
      <w:r w:rsidRPr="00B60E6E">
        <w:rPr>
          <w:rFonts w:ascii="Times New Roman" w:hAnsi="Times New Roman" w:cs="Times New Roman"/>
          <w:sz w:val="24"/>
          <w:szCs w:val="24"/>
        </w:rPr>
        <w:t xml:space="preserve"> a los jefes de DDR (Distrito de Desarrollo Rural), C</w:t>
      </w:r>
      <w:r w:rsidR="00FE7FE7" w:rsidRPr="00B60E6E">
        <w:rPr>
          <w:rFonts w:ascii="Times New Roman" w:hAnsi="Times New Roman" w:cs="Times New Roman"/>
          <w:sz w:val="24"/>
          <w:szCs w:val="24"/>
        </w:rPr>
        <w:t>aders</w:t>
      </w:r>
      <w:r w:rsidRPr="00B60E6E">
        <w:rPr>
          <w:rFonts w:ascii="Times New Roman" w:hAnsi="Times New Roman" w:cs="Times New Roman"/>
          <w:sz w:val="24"/>
          <w:szCs w:val="24"/>
        </w:rPr>
        <w:t xml:space="preserve"> (Centros de Apoyo para el Desarrollo Rural), </w:t>
      </w:r>
      <w:r w:rsidR="00742FB1">
        <w:rPr>
          <w:rFonts w:ascii="Times New Roman" w:hAnsi="Times New Roman" w:cs="Times New Roman"/>
          <w:sz w:val="24"/>
          <w:szCs w:val="24"/>
        </w:rPr>
        <w:t xml:space="preserve">así como a </w:t>
      </w:r>
      <w:r w:rsidRPr="00B60E6E">
        <w:rPr>
          <w:rFonts w:ascii="Times New Roman" w:hAnsi="Times New Roman" w:cs="Times New Roman"/>
          <w:sz w:val="24"/>
          <w:szCs w:val="24"/>
        </w:rPr>
        <w:t>instituciones de educ</w:t>
      </w:r>
      <w:r w:rsidR="003774E7" w:rsidRPr="00B60E6E">
        <w:rPr>
          <w:rFonts w:ascii="Times New Roman" w:hAnsi="Times New Roman" w:cs="Times New Roman"/>
          <w:sz w:val="24"/>
          <w:szCs w:val="24"/>
        </w:rPr>
        <w:t>ación superior e investigación</w:t>
      </w:r>
      <w:r w:rsidR="00742FB1">
        <w:rPr>
          <w:rFonts w:ascii="Times New Roman" w:hAnsi="Times New Roman" w:cs="Times New Roman"/>
          <w:sz w:val="24"/>
          <w:szCs w:val="24"/>
        </w:rPr>
        <w:t>, y</w:t>
      </w:r>
      <w:r w:rsidR="00FE7FE7">
        <w:rPr>
          <w:rFonts w:ascii="Times New Roman" w:hAnsi="Times New Roman" w:cs="Times New Roman"/>
          <w:sz w:val="24"/>
          <w:szCs w:val="24"/>
        </w:rPr>
        <w:t xml:space="preserve"> </w:t>
      </w:r>
      <w:r w:rsidR="00742FB1">
        <w:rPr>
          <w:rFonts w:ascii="Times New Roman" w:hAnsi="Times New Roman" w:cs="Times New Roman"/>
          <w:sz w:val="24"/>
          <w:szCs w:val="24"/>
        </w:rPr>
        <w:t>a</w:t>
      </w:r>
      <w:r w:rsidR="003774E7" w:rsidRPr="00B60E6E">
        <w:rPr>
          <w:rFonts w:ascii="Times New Roman" w:hAnsi="Times New Roman" w:cs="Times New Roman"/>
          <w:sz w:val="24"/>
          <w:szCs w:val="24"/>
        </w:rPr>
        <w:t xml:space="preserve"> </w:t>
      </w:r>
      <w:r w:rsidR="00742FB1">
        <w:rPr>
          <w:rFonts w:ascii="Times New Roman" w:hAnsi="Times New Roman" w:cs="Times New Roman"/>
          <w:sz w:val="24"/>
          <w:szCs w:val="24"/>
        </w:rPr>
        <w:t xml:space="preserve">los </w:t>
      </w:r>
      <w:r w:rsidRPr="00B60E6E">
        <w:rPr>
          <w:rFonts w:ascii="Times New Roman" w:hAnsi="Times New Roman" w:cs="Times New Roman"/>
          <w:sz w:val="24"/>
          <w:szCs w:val="24"/>
        </w:rPr>
        <w:t>directores de fomento agropecuarios o desarrollo rural sustentable de los municipios</w:t>
      </w:r>
      <w:r w:rsidR="00742FB1">
        <w:rPr>
          <w:rFonts w:ascii="Times New Roman" w:hAnsi="Times New Roman" w:cs="Times New Roman"/>
          <w:sz w:val="24"/>
          <w:szCs w:val="24"/>
        </w:rPr>
        <w:t>; esto</w:t>
      </w:r>
      <w:r w:rsidR="00AC31D9" w:rsidRPr="00B60E6E">
        <w:rPr>
          <w:rFonts w:ascii="Times New Roman" w:hAnsi="Times New Roman" w:cs="Times New Roman"/>
          <w:sz w:val="24"/>
          <w:szCs w:val="24"/>
        </w:rPr>
        <w:t xml:space="preserve"> con la finalidad de </w:t>
      </w:r>
      <w:r w:rsidR="00FE7FE7">
        <w:rPr>
          <w:rFonts w:ascii="Times New Roman" w:hAnsi="Times New Roman" w:cs="Times New Roman"/>
          <w:sz w:val="24"/>
          <w:szCs w:val="24"/>
        </w:rPr>
        <w:t>hallar</w:t>
      </w:r>
      <w:r w:rsidR="00AC31D9" w:rsidRPr="00B60E6E">
        <w:rPr>
          <w:rFonts w:ascii="Times New Roman" w:hAnsi="Times New Roman" w:cs="Times New Roman"/>
          <w:sz w:val="24"/>
          <w:szCs w:val="24"/>
        </w:rPr>
        <w:t xml:space="preserve"> los lugares donde se </w:t>
      </w:r>
      <w:r w:rsidR="00FE7FE7">
        <w:rPr>
          <w:rFonts w:ascii="Times New Roman" w:hAnsi="Times New Roman" w:cs="Times New Roman"/>
          <w:sz w:val="24"/>
          <w:szCs w:val="24"/>
        </w:rPr>
        <w:t>producía</w:t>
      </w:r>
      <w:r w:rsidR="003774E7" w:rsidRPr="00B60E6E">
        <w:rPr>
          <w:rFonts w:ascii="Times New Roman" w:hAnsi="Times New Roman" w:cs="Times New Roman"/>
          <w:sz w:val="24"/>
          <w:szCs w:val="24"/>
        </w:rPr>
        <w:t xml:space="preserve"> </w:t>
      </w:r>
      <w:r w:rsidR="00001EA0" w:rsidRPr="00B60E6E">
        <w:rPr>
          <w:rFonts w:ascii="Times New Roman" w:hAnsi="Times New Roman" w:cs="Times New Roman"/>
          <w:sz w:val="24"/>
          <w:szCs w:val="24"/>
        </w:rPr>
        <w:t xml:space="preserve">la </w:t>
      </w:r>
      <w:r w:rsidR="003774E7" w:rsidRPr="00B60E6E">
        <w:rPr>
          <w:rFonts w:ascii="Times New Roman" w:hAnsi="Times New Roman" w:cs="Times New Roman"/>
          <w:sz w:val="24"/>
          <w:szCs w:val="24"/>
        </w:rPr>
        <w:t xml:space="preserve">malanga </w:t>
      </w:r>
      <w:r w:rsidR="009C6394" w:rsidRPr="00B60E6E">
        <w:rPr>
          <w:rFonts w:ascii="Times New Roman" w:hAnsi="Times New Roman" w:cs="Times New Roman"/>
          <w:sz w:val="24"/>
          <w:szCs w:val="24"/>
        </w:rPr>
        <w:t>mexicana</w:t>
      </w:r>
      <w:r w:rsidR="009356EA" w:rsidRPr="00B60E6E">
        <w:rPr>
          <w:rFonts w:ascii="Times New Roman" w:hAnsi="Times New Roman" w:cs="Times New Roman"/>
          <w:sz w:val="24"/>
          <w:szCs w:val="24"/>
        </w:rPr>
        <w:t xml:space="preserve">, ya que </w:t>
      </w:r>
      <w:r w:rsidR="00FE7FE7">
        <w:rPr>
          <w:rFonts w:ascii="Times New Roman" w:hAnsi="Times New Roman" w:cs="Times New Roman"/>
          <w:sz w:val="24"/>
          <w:szCs w:val="24"/>
        </w:rPr>
        <w:t>esta información no se conocía</w:t>
      </w:r>
      <w:r w:rsidR="009356EA" w:rsidRPr="00B60E6E">
        <w:rPr>
          <w:rFonts w:ascii="Times New Roman" w:hAnsi="Times New Roman" w:cs="Times New Roman"/>
          <w:sz w:val="24"/>
          <w:szCs w:val="24"/>
        </w:rPr>
        <w:t xml:space="preserve"> con certeza</w:t>
      </w:r>
      <w:r w:rsidR="00176631" w:rsidRPr="00B60E6E">
        <w:rPr>
          <w:rFonts w:ascii="Times New Roman" w:hAnsi="Times New Roman" w:cs="Times New Roman"/>
          <w:sz w:val="24"/>
          <w:szCs w:val="24"/>
        </w:rPr>
        <w:t xml:space="preserve">. </w:t>
      </w:r>
      <w:r w:rsidR="00FE7FE7" w:rsidRPr="00742FB1">
        <w:rPr>
          <w:rFonts w:ascii="Times New Roman" w:hAnsi="Times New Roman" w:cs="Times New Roman"/>
          <w:sz w:val="24"/>
          <w:szCs w:val="24"/>
        </w:rPr>
        <w:t>Los resultados demostraron que los sitios donde se producía ese rubro eran los e</w:t>
      </w:r>
      <w:r w:rsidR="00A14423" w:rsidRPr="00742FB1">
        <w:rPr>
          <w:rFonts w:ascii="Times New Roman" w:hAnsi="Times New Roman" w:cs="Times New Roman"/>
          <w:sz w:val="24"/>
          <w:szCs w:val="24"/>
        </w:rPr>
        <w:t>stados de</w:t>
      </w:r>
      <w:r w:rsidR="00A14423" w:rsidRPr="00B60E6E">
        <w:rPr>
          <w:rFonts w:ascii="Times New Roman" w:hAnsi="Times New Roman" w:cs="Times New Roman"/>
          <w:sz w:val="24"/>
          <w:szCs w:val="24"/>
        </w:rPr>
        <w:t xml:space="preserve"> Veracruz, Tabasco y Oaxaca, </w:t>
      </w:r>
      <w:r w:rsidR="00FE7FE7" w:rsidRPr="00742FB1">
        <w:rPr>
          <w:rFonts w:ascii="Times New Roman" w:hAnsi="Times New Roman" w:cs="Times New Roman"/>
          <w:sz w:val="24"/>
          <w:szCs w:val="24"/>
        </w:rPr>
        <w:t>por lo que se convirtieron en las regiones</w:t>
      </w:r>
      <w:r w:rsidR="00431EB3" w:rsidRPr="00B60E6E">
        <w:rPr>
          <w:rFonts w:ascii="Times New Roman" w:hAnsi="Times New Roman" w:cs="Times New Roman"/>
          <w:sz w:val="24"/>
          <w:szCs w:val="24"/>
        </w:rPr>
        <w:t xml:space="preserve"> de</w:t>
      </w:r>
      <w:r w:rsidR="00DB2ED0" w:rsidRPr="00B60E6E">
        <w:rPr>
          <w:rFonts w:ascii="Times New Roman" w:hAnsi="Times New Roman" w:cs="Times New Roman"/>
          <w:sz w:val="24"/>
          <w:szCs w:val="24"/>
        </w:rPr>
        <w:t xml:space="preserve"> estudio de </w:t>
      </w:r>
      <w:r w:rsidR="005E3CBF" w:rsidRPr="00B60E6E">
        <w:rPr>
          <w:rFonts w:ascii="Times New Roman" w:hAnsi="Times New Roman" w:cs="Times New Roman"/>
          <w:sz w:val="24"/>
          <w:szCs w:val="24"/>
        </w:rPr>
        <w:t>la actual</w:t>
      </w:r>
      <w:r w:rsidR="00DB2ED0" w:rsidRPr="00B60E6E">
        <w:rPr>
          <w:rFonts w:ascii="Times New Roman" w:hAnsi="Times New Roman" w:cs="Times New Roman"/>
          <w:sz w:val="24"/>
          <w:szCs w:val="24"/>
        </w:rPr>
        <w:t xml:space="preserve"> investigación.</w:t>
      </w:r>
      <w:r w:rsidR="005129D6" w:rsidRPr="00B60E6E">
        <w:rPr>
          <w:rFonts w:ascii="Times New Roman" w:hAnsi="Times New Roman" w:cs="Times New Roman"/>
          <w:sz w:val="24"/>
          <w:szCs w:val="24"/>
        </w:rPr>
        <w:t xml:space="preserve"> </w:t>
      </w:r>
    </w:p>
    <w:p w14:paraId="7BD7F3F9" w14:textId="6922B5DD" w:rsidR="006A0E3A" w:rsidRPr="00B60E6E" w:rsidRDefault="00FE7FE7" w:rsidP="009452C4">
      <w:pPr>
        <w:spacing w:before="100" w:beforeAutospacing="1" w:after="100" w:afterAutospacing="1" w:line="36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En ese proyecto de </w:t>
      </w:r>
      <w:r w:rsidRPr="00B60E6E">
        <w:rPr>
          <w:rFonts w:ascii="Times New Roman" w:hAnsi="Times New Roman" w:cs="Times New Roman"/>
          <w:sz w:val="24"/>
          <w:szCs w:val="24"/>
        </w:rPr>
        <w:t xml:space="preserve">Asiain </w:t>
      </w:r>
      <w:r w:rsidRPr="000657ED">
        <w:rPr>
          <w:rFonts w:ascii="Times New Roman" w:hAnsi="Times New Roman" w:cs="Times New Roman"/>
          <w:i/>
          <w:sz w:val="24"/>
          <w:szCs w:val="24"/>
        </w:rPr>
        <w:t>et al.</w:t>
      </w:r>
      <w:r>
        <w:rPr>
          <w:rFonts w:ascii="Times New Roman" w:hAnsi="Times New Roman" w:cs="Times New Roman"/>
          <w:sz w:val="24"/>
          <w:szCs w:val="24"/>
        </w:rPr>
        <w:t xml:space="preserve"> (</w:t>
      </w:r>
      <w:r w:rsidRPr="00B60E6E">
        <w:rPr>
          <w:rFonts w:ascii="Times New Roman" w:hAnsi="Times New Roman" w:cs="Times New Roman"/>
          <w:sz w:val="24"/>
          <w:szCs w:val="24"/>
        </w:rPr>
        <w:t>2017</w:t>
      </w:r>
      <w:r>
        <w:rPr>
          <w:rFonts w:ascii="Times New Roman" w:hAnsi="Times New Roman" w:cs="Times New Roman"/>
          <w:sz w:val="24"/>
          <w:szCs w:val="24"/>
        </w:rPr>
        <w:t>) se obtuvo</w:t>
      </w:r>
      <w:r w:rsidR="005129D6" w:rsidRPr="00B60E6E">
        <w:rPr>
          <w:rFonts w:ascii="Times New Roman" w:hAnsi="Times New Roman" w:cs="Times New Roman"/>
          <w:sz w:val="24"/>
          <w:szCs w:val="24"/>
        </w:rPr>
        <w:t xml:space="preserve"> una base de datos</w:t>
      </w:r>
      <w:r>
        <w:rPr>
          <w:rFonts w:ascii="Times New Roman" w:hAnsi="Times New Roman" w:cs="Times New Roman"/>
          <w:sz w:val="24"/>
          <w:szCs w:val="24"/>
        </w:rPr>
        <w:t xml:space="preserve"> a partir de </w:t>
      </w:r>
      <w:r w:rsidR="005129D6" w:rsidRPr="00B60E6E">
        <w:rPr>
          <w:rFonts w:ascii="Times New Roman" w:hAnsi="Times New Roman" w:cs="Times New Roman"/>
          <w:sz w:val="24"/>
          <w:szCs w:val="24"/>
        </w:rPr>
        <w:t>un muestreo en cadena o bola de nieve (no probabilís</w:t>
      </w:r>
      <w:r w:rsidR="00A510D5" w:rsidRPr="00B60E6E">
        <w:rPr>
          <w:rFonts w:ascii="Times New Roman" w:hAnsi="Times New Roman" w:cs="Times New Roman"/>
          <w:sz w:val="24"/>
          <w:szCs w:val="24"/>
        </w:rPr>
        <w:t>tico) aplicado a 64 productores</w:t>
      </w:r>
      <w:r>
        <w:rPr>
          <w:rFonts w:ascii="Times New Roman" w:hAnsi="Times New Roman" w:cs="Times New Roman"/>
          <w:sz w:val="24"/>
          <w:szCs w:val="24"/>
        </w:rPr>
        <w:t xml:space="preserve"> de los </w:t>
      </w:r>
      <w:r w:rsidRPr="00B60E6E">
        <w:rPr>
          <w:rFonts w:ascii="Times New Roman" w:hAnsi="Times New Roman" w:cs="Times New Roman"/>
          <w:sz w:val="24"/>
          <w:szCs w:val="24"/>
        </w:rPr>
        <w:t>mencionados</w:t>
      </w:r>
      <w:r>
        <w:rPr>
          <w:rFonts w:ascii="Times New Roman" w:hAnsi="Times New Roman" w:cs="Times New Roman"/>
          <w:sz w:val="24"/>
          <w:szCs w:val="24"/>
        </w:rPr>
        <w:t xml:space="preserve"> e</w:t>
      </w:r>
      <w:r w:rsidR="005129D6" w:rsidRPr="00B60E6E">
        <w:rPr>
          <w:rFonts w:ascii="Times New Roman" w:hAnsi="Times New Roman" w:cs="Times New Roman"/>
          <w:sz w:val="24"/>
          <w:szCs w:val="24"/>
        </w:rPr>
        <w:t>stados</w:t>
      </w:r>
      <w:r w:rsidR="008F730D" w:rsidRPr="00B60E6E">
        <w:rPr>
          <w:rFonts w:ascii="Times New Roman" w:hAnsi="Times New Roman" w:cs="Times New Roman"/>
          <w:sz w:val="24"/>
          <w:szCs w:val="24"/>
        </w:rPr>
        <w:t>.</w:t>
      </w:r>
      <w:r w:rsidR="00AB4CEA" w:rsidRPr="00B60E6E">
        <w:rPr>
          <w:rFonts w:ascii="Times New Roman" w:hAnsi="Times New Roman" w:cs="Times New Roman"/>
          <w:sz w:val="24"/>
          <w:szCs w:val="24"/>
        </w:rPr>
        <w:t xml:space="preserve"> </w:t>
      </w:r>
      <w:r w:rsidR="00742FB1">
        <w:rPr>
          <w:rFonts w:ascii="Times New Roman" w:hAnsi="Times New Roman" w:cs="Times New Roman"/>
          <w:sz w:val="24"/>
          <w:szCs w:val="24"/>
        </w:rPr>
        <w:lastRenderedPageBreak/>
        <w:t>Es</w:t>
      </w:r>
      <w:r>
        <w:rPr>
          <w:rFonts w:ascii="Times New Roman" w:hAnsi="Times New Roman" w:cs="Times New Roman"/>
          <w:sz w:val="24"/>
          <w:szCs w:val="24"/>
        </w:rPr>
        <w:t xml:space="preserve">a </w:t>
      </w:r>
      <w:r w:rsidRPr="00B60E6E">
        <w:rPr>
          <w:rFonts w:ascii="Times New Roman" w:hAnsi="Times New Roman" w:cs="Times New Roman"/>
          <w:sz w:val="24"/>
          <w:szCs w:val="24"/>
        </w:rPr>
        <w:t xml:space="preserve">información </w:t>
      </w:r>
      <w:r w:rsidR="009356EA" w:rsidRPr="00B60E6E">
        <w:rPr>
          <w:rFonts w:ascii="Times New Roman" w:hAnsi="Times New Roman" w:cs="Times New Roman"/>
          <w:sz w:val="24"/>
          <w:szCs w:val="24"/>
        </w:rPr>
        <w:t xml:space="preserve">se </w:t>
      </w:r>
      <w:r w:rsidR="00AD651F" w:rsidRPr="00B60E6E">
        <w:rPr>
          <w:rFonts w:ascii="Times New Roman" w:hAnsi="Times New Roman" w:cs="Times New Roman"/>
          <w:sz w:val="24"/>
          <w:szCs w:val="24"/>
        </w:rPr>
        <w:t>complementó</w:t>
      </w:r>
      <w:r w:rsidR="00486C95" w:rsidRPr="00B60E6E">
        <w:rPr>
          <w:rFonts w:ascii="Times New Roman" w:hAnsi="Times New Roman" w:cs="Times New Roman"/>
          <w:sz w:val="24"/>
          <w:szCs w:val="24"/>
        </w:rPr>
        <w:t xml:space="preserve"> </w:t>
      </w:r>
      <w:r w:rsidR="005C28BB" w:rsidRPr="00B60E6E">
        <w:rPr>
          <w:rFonts w:ascii="Times New Roman" w:hAnsi="Times New Roman" w:cs="Times New Roman"/>
          <w:sz w:val="24"/>
          <w:szCs w:val="24"/>
        </w:rPr>
        <w:t xml:space="preserve">con visitas a centros de acopio y empresas empacadoras, </w:t>
      </w:r>
      <w:r>
        <w:rPr>
          <w:rFonts w:ascii="Times New Roman" w:hAnsi="Times New Roman" w:cs="Times New Roman"/>
          <w:sz w:val="24"/>
          <w:szCs w:val="24"/>
        </w:rPr>
        <w:t>donde se realizaron entrevistas a</w:t>
      </w:r>
      <w:r w:rsidR="005C28BB" w:rsidRPr="00B60E6E">
        <w:rPr>
          <w:rFonts w:ascii="Times New Roman" w:hAnsi="Times New Roman" w:cs="Times New Roman"/>
          <w:sz w:val="24"/>
          <w:szCs w:val="24"/>
        </w:rPr>
        <w:t xml:space="preserve"> </w:t>
      </w:r>
      <w:r w:rsidR="00124441" w:rsidRPr="00B60E6E">
        <w:rPr>
          <w:rFonts w:ascii="Times New Roman" w:hAnsi="Times New Roman" w:cs="Times New Roman"/>
          <w:sz w:val="24"/>
          <w:szCs w:val="24"/>
        </w:rPr>
        <w:t xml:space="preserve">empresarios </w:t>
      </w:r>
      <w:r>
        <w:rPr>
          <w:rFonts w:ascii="Times New Roman" w:hAnsi="Times New Roman" w:cs="Times New Roman"/>
          <w:sz w:val="24"/>
          <w:szCs w:val="24"/>
        </w:rPr>
        <w:t>que exportaban</w:t>
      </w:r>
      <w:r w:rsidR="00FA5207" w:rsidRPr="00B60E6E">
        <w:rPr>
          <w:rFonts w:ascii="Times New Roman" w:hAnsi="Times New Roman" w:cs="Times New Roman"/>
          <w:sz w:val="24"/>
          <w:szCs w:val="24"/>
        </w:rPr>
        <w:t xml:space="preserve"> y</w:t>
      </w:r>
      <w:r w:rsidR="00682FA4">
        <w:rPr>
          <w:rFonts w:ascii="Times New Roman" w:hAnsi="Times New Roman" w:cs="Times New Roman"/>
          <w:sz w:val="24"/>
          <w:szCs w:val="24"/>
        </w:rPr>
        <w:t xml:space="preserve"> a</w:t>
      </w:r>
      <w:r w:rsidR="009853C5" w:rsidRPr="00B60E6E">
        <w:rPr>
          <w:rFonts w:ascii="Times New Roman" w:hAnsi="Times New Roman" w:cs="Times New Roman"/>
          <w:sz w:val="24"/>
          <w:szCs w:val="24"/>
        </w:rPr>
        <w:t xml:space="preserve"> productores.</w:t>
      </w:r>
    </w:p>
    <w:p w14:paraId="37C6FF10" w14:textId="6F57A022" w:rsidR="009A517B" w:rsidRDefault="0040770C" w:rsidP="009452C4">
      <w:pPr>
        <w:spacing w:before="100" w:beforeAutospacing="1" w:after="100" w:afterAutospacing="1" w:line="360" w:lineRule="auto"/>
        <w:ind w:firstLine="567"/>
        <w:jc w:val="both"/>
        <w:textAlignment w:val="baseline"/>
        <w:rPr>
          <w:rFonts w:ascii="Times New Roman" w:hAnsi="Times New Roman" w:cs="Times New Roman"/>
          <w:sz w:val="24"/>
          <w:szCs w:val="24"/>
        </w:rPr>
      </w:pPr>
      <w:r w:rsidRPr="00B60E6E">
        <w:rPr>
          <w:rFonts w:ascii="Times New Roman" w:hAnsi="Times New Roman" w:cs="Times New Roman"/>
          <w:sz w:val="24"/>
          <w:szCs w:val="24"/>
        </w:rPr>
        <w:t>Al ser el actual</w:t>
      </w:r>
      <w:r w:rsidR="00C84713" w:rsidRPr="00B60E6E">
        <w:rPr>
          <w:rFonts w:ascii="Times New Roman" w:hAnsi="Times New Roman" w:cs="Times New Roman"/>
          <w:sz w:val="24"/>
          <w:szCs w:val="24"/>
        </w:rPr>
        <w:t xml:space="preserve"> estudio uno de los primeros esfuerzos c</w:t>
      </w:r>
      <w:r w:rsidRPr="00B60E6E">
        <w:rPr>
          <w:rFonts w:ascii="Times New Roman" w:hAnsi="Times New Roman" w:cs="Times New Roman"/>
          <w:sz w:val="24"/>
          <w:szCs w:val="24"/>
        </w:rPr>
        <w:t>on este enfoque, y al contarse</w:t>
      </w:r>
      <w:r w:rsidR="00FE7FE7">
        <w:rPr>
          <w:rFonts w:ascii="Times New Roman" w:hAnsi="Times New Roman" w:cs="Times New Roman"/>
          <w:sz w:val="24"/>
          <w:szCs w:val="24"/>
        </w:rPr>
        <w:t xml:space="preserve"> con información escasa, se optó</w:t>
      </w:r>
      <w:r w:rsidRPr="00B60E6E">
        <w:rPr>
          <w:rFonts w:ascii="Times New Roman" w:hAnsi="Times New Roman" w:cs="Times New Roman"/>
          <w:sz w:val="24"/>
          <w:szCs w:val="24"/>
        </w:rPr>
        <w:t xml:space="preserve"> por una investigación cualitativa con un alcance exploratorio. </w:t>
      </w:r>
      <w:r w:rsidR="00FE7FE7">
        <w:rPr>
          <w:rFonts w:ascii="Times New Roman" w:hAnsi="Times New Roman" w:cs="Times New Roman"/>
          <w:sz w:val="24"/>
          <w:szCs w:val="24"/>
        </w:rPr>
        <w:t>P</w:t>
      </w:r>
      <w:r w:rsidR="00C50C1C" w:rsidRPr="00B60E6E">
        <w:rPr>
          <w:rFonts w:ascii="Times New Roman" w:hAnsi="Times New Roman" w:cs="Times New Roman"/>
          <w:sz w:val="24"/>
          <w:szCs w:val="24"/>
        </w:rPr>
        <w:t xml:space="preserve">or </w:t>
      </w:r>
      <w:r w:rsidR="00A724AF" w:rsidRPr="00B60E6E">
        <w:rPr>
          <w:rFonts w:ascii="Times New Roman" w:hAnsi="Times New Roman" w:cs="Times New Roman"/>
          <w:sz w:val="24"/>
          <w:szCs w:val="24"/>
        </w:rPr>
        <w:t>eso</w:t>
      </w:r>
      <w:r w:rsidR="00FE7FE7">
        <w:rPr>
          <w:rFonts w:ascii="Times New Roman" w:hAnsi="Times New Roman" w:cs="Times New Roman"/>
          <w:sz w:val="24"/>
          <w:szCs w:val="24"/>
        </w:rPr>
        <w:t>,</w:t>
      </w:r>
      <w:r w:rsidR="00C50C1C" w:rsidRPr="00B60E6E">
        <w:rPr>
          <w:rFonts w:ascii="Times New Roman" w:hAnsi="Times New Roman" w:cs="Times New Roman"/>
          <w:sz w:val="24"/>
          <w:szCs w:val="24"/>
        </w:rPr>
        <w:t xml:space="preserve"> </w:t>
      </w:r>
      <w:r w:rsidR="00A14423" w:rsidRPr="00B60E6E">
        <w:rPr>
          <w:rFonts w:ascii="Times New Roman" w:hAnsi="Times New Roman" w:cs="Times New Roman"/>
          <w:sz w:val="24"/>
          <w:szCs w:val="24"/>
        </w:rPr>
        <w:t>t</w:t>
      </w:r>
      <w:r w:rsidR="00400F6A" w:rsidRPr="00B60E6E">
        <w:rPr>
          <w:rFonts w:ascii="Times New Roman" w:hAnsi="Times New Roman" w:cs="Times New Roman"/>
          <w:sz w:val="24"/>
          <w:szCs w:val="24"/>
        </w:rPr>
        <w:t xml:space="preserve">oda </w:t>
      </w:r>
      <w:r w:rsidR="001C6529" w:rsidRPr="00B60E6E">
        <w:rPr>
          <w:rFonts w:ascii="Times New Roman" w:hAnsi="Times New Roman" w:cs="Times New Roman"/>
          <w:sz w:val="24"/>
          <w:szCs w:val="24"/>
        </w:rPr>
        <w:t xml:space="preserve">la </w:t>
      </w:r>
      <w:r w:rsidR="00400F6A" w:rsidRPr="00B60E6E">
        <w:rPr>
          <w:rFonts w:ascii="Times New Roman" w:hAnsi="Times New Roman" w:cs="Times New Roman"/>
          <w:sz w:val="24"/>
          <w:szCs w:val="24"/>
        </w:rPr>
        <w:t xml:space="preserve">información recolectada </w:t>
      </w:r>
      <w:r w:rsidR="00FE7FE7">
        <w:rPr>
          <w:rFonts w:ascii="Times New Roman" w:hAnsi="Times New Roman" w:cs="Times New Roman"/>
          <w:sz w:val="24"/>
          <w:szCs w:val="24"/>
        </w:rPr>
        <w:t>en</w:t>
      </w:r>
      <w:r w:rsidR="00400F6A" w:rsidRPr="00B60E6E">
        <w:rPr>
          <w:rFonts w:ascii="Times New Roman" w:hAnsi="Times New Roman" w:cs="Times New Roman"/>
          <w:sz w:val="24"/>
          <w:szCs w:val="24"/>
        </w:rPr>
        <w:t xml:space="preserve"> dicho proyecto se utilizó para este estudio como fuente secundaria</w:t>
      </w:r>
      <w:r w:rsidR="009A517B">
        <w:rPr>
          <w:rFonts w:ascii="Times New Roman" w:hAnsi="Times New Roman" w:cs="Times New Roman"/>
          <w:sz w:val="24"/>
          <w:szCs w:val="24"/>
        </w:rPr>
        <w:t xml:space="preserve"> y también se integró</w:t>
      </w:r>
      <w:r w:rsidR="006A0E3A" w:rsidRPr="00B60E6E">
        <w:rPr>
          <w:rFonts w:ascii="Times New Roman" w:hAnsi="Times New Roman" w:cs="Times New Roman"/>
          <w:sz w:val="24"/>
          <w:szCs w:val="24"/>
        </w:rPr>
        <w:t xml:space="preserve"> </w:t>
      </w:r>
      <w:r w:rsidR="006B53D2" w:rsidRPr="00B60E6E">
        <w:rPr>
          <w:rFonts w:ascii="Times New Roman" w:hAnsi="Times New Roman" w:cs="Times New Roman"/>
          <w:sz w:val="24"/>
          <w:szCs w:val="24"/>
        </w:rPr>
        <w:t>información estadística</w:t>
      </w:r>
      <w:r w:rsidR="006A0E3A" w:rsidRPr="00B60E6E">
        <w:rPr>
          <w:rFonts w:ascii="Times New Roman" w:hAnsi="Times New Roman" w:cs="Times New Roman"/>
          <w:sz w:val="24"/>
          <w:szCs w:val="24"/>
        </w:rPr>
        <w:t xml:space="preserve"> de diversas bases de datos</w:t>
      </w:r>
      <w:r w:rsidR="00FE7FE7">
        <w:rPr>
          <w:rFonts w:ascii="Times New Roman" w:hAnsi="Times New Roman" w:cs="Times New Roman"/>
          <w:sz w:val="24"/>
          <w:szCs w:val="24"/>
        </w:rPr>
        <w:t>,</w:t>
      </w:r>
      <w:r w:rsidR="006A0E3A" w:rsidRPr="00B60E6E">
        <w:rPr>
          <w:rFonts w:ascii="Times New Roman" w:hAnsi="Times New Roman" w:cs="Times New Roman"/>
          <w:sz w:val="24"/>
          <w:szCs w:val="24"/>
        </w:rPr>
        <w:t xml:space="preserve"> como SIAP</w:t>
      </w:r>
      <w:r w:rsidR="00592819">
        <w:rPr>
          <w:rFonts w:ascii="Times New Roman" w:hAnsi="Times New Roman" w:cs="Times New Roman"/>
          <w:sz w:val="24"/>
          <w:szCs w:val="24"/>
        </w:rPr>
        <w:t xml:space="preserve"> (</w:t>
      </w:r>
      <w:r w:rsidR="00592819" w:rsidRPr="00D766EA">
        <w:rPr>
          <w:rFonts w:ascii="Times New Roman" w:hAnsi="Times New Roman"/>
          <w:sz w:val="24"/>
          <w:szCs w:val="24"/>
        </w:rPr>
        <w:t>Servicio de Información Agroalimentaria y Pesquera</w:t>
      </w:r>
      <w:r w:rsidR="00592819">
        <w:rPr>
          <w:rFonts w:ascii="Times New Roman" w:hAnsi="Times New Roman" w:cs="Times New Roman"/>
          <w:sz w:val="24"/>
          <w:szCs w:val="24"/>
        </w:rPr>
        <w:t>)</w:t>
      </w:r>
      <w:r w:rsidR="006A0E3A" w:rsidRPr="00B60E6E">
        <w:rPr>
          <w:rFonts w:ascii="Times New Roman" w:hAnsi="Times New Roman" w:cs="Times New Roman"/>
          <w:sz w:val="24"/>
          <w:szCs w:val="24"/>
        </w:rPr>
        <w:t xml:space="preserve">, USDA </w:t>
      </w:r>
      <w:r w:rsidR="007608D0">
        <w:rPr>
          <w:rFonts w:ascii="Times New Roman" w:hAnsi="Times New Roman" w:cs="Times New Roman"/>
          <w:sz w:val="24"/>
          <w:szCs w:val="24"/>
        </w:rPr>
        <w:t>(</w:t>
      </w:r>
      <w:r w:rsidR="007608D0" w:rsidRPr="007608D0">
        <w:rPr>
          <w:rFonts w:ascii="Times New Roman" w:hAnsi="Times New Roman"/>
          <w:sz w:val="24"/>
          <w:szCs w:val="24"/>
          <w:lang w:val="es-ES"/>
        </w:rPr>
        <w:t>United States Department of Agriculture</w:t>
      </w:r>
      <w:r w:rsidR="007608D0">
        <w:rPr>
          <w:rFonts w:ascii="Times New Roman" w:hAnsi="Times New Roman" w:cs="Times New Roman"/>
          <w:sz w:val="24"/>
          <w:szCs w:val="24"/>
        </w:rPr>
        <w:t xml:space="preserve">) </w:t>
      </w:r>
      <w:r w:rsidR="006A0E3A" w:rsidRPr="00B60E6E">
        <w:rPr>
          <w:rFonts w:ascii="Times New Roman" w:hAnsi="Times New Roman" w:cs="Times New Roman"/>
          <w:sz w:val="24"/>
          <w:szCs w:val="24"/>
        </w:rPr>
        <w:t>y STATCAN</w:t>
      </w:r>
      <w:r w:rsidR="007608D0">
        <w:rPr>
          <w:rFonts w:ascii="Times New Roman" w:hAnsi="Times New Roman" w:cs="Times New Roman"/>
          <w:sz w:val="24"/>
          <w:szCs w:val="24"/>
        </w:rPr>
        <w:t xml:space="preserve"> </w:t>
      </w:r>
      <w:r w:rsidR="007608D0" w:rsidRPr="007608D0">
        <w:rPr>
          <w:rFonts w:ascii="Times New Roman" w:hAnsi="Times New Roman" w:cs="Times New Roman"/>
          <w:sz w:val="24"/>
          <w:szCs w:val="24"/>
        </w:rPr>
        <w:t>(Statistics Canada)</w:t>
      </w:r>
      <w:r w:rsidR="00A6518F" w:rsidRPr="007608D0">
        <w:rPr>
          <w:rFonts w:ascii="Times New Roman" w:hAnsi="Times New Roman" w:cs="Times New Roman"/>
          <w:sz w:val="24"/>
          <w:szCs w:val="24"/>
        </w:rPr>
        <w:t xml:space="preserve">. </w:t>
      </w:r>
      <w:r w:rsidR="009A517B">
        <w:rPr>
          <w:rFonts w:ascii="Times New Roman" w:hAnsi="Times New Roman" w:cs="Times New Roman"/>
          <w:sz w:val="24"/>
          <w:szCs w:val="24"/>
        </w:rPr>
        <w:t xml:space="preserve">Luego, a los datos recabados se les proporcionó </w:t>
      </w:r>
      <w:r w:rsidR="00A6518F" w:rsidRPr="00B60E6E">
        <w:rPr>
          <w:rFonts w:ascii="Times New Roman" w:hAnsi="Times New Roman" w:cs="Times New Roman"/>
          <w:sz w:val="24"/>
          <w:szCs w:val="24"/>
        </w:rPr>
        <w:t xml:space="preserve">un tratamiento y </w:t>
      </w:r>
      <w:r w:rsidR="009A517B">
        <w:rPr>
          <w:rFonts w:ascii="Times New Roman" w:hAnsi="Times New Roman" w:cs="Times New Roman"/>
          <w:sz w:val="24"/>
          <w:szCs w:val="24"/>
        </w:rPr>
        <w:t xml:space="preserve">una </w:t>
      </w:r>
      <w:r w:rsidR="00A6518F" w:rsidRPr="00B60E6E">
        <w:rPr>
          <w:rFonts w:ascii="Times New Roman" w:hAnsi="Times New Roman" w:cs="Times New Roman"/>
          <w:sz w:val="24"/>
          <w:szCs w:val="24"/>
        </w:rPr>
        <w:t>c</w:t>
      </w:r>
      <w:r w:rsidR="009A517B">
        <w:rPr>
          <w:rFonts w:ascii="Times New Roman" w:hAnsi="Times New Roman" w:cs="Times New Roman"/>
          <w:sz w:val="24"/>
          <w:szCs w:val="24"/>
        </w:rPr>
        <w:t xml:space="preserve">lasificación de acuerdo con </w:t>
      </w:r>
      <w:r w:rsidR="00D83340" w:rsidRPr="00B60E6E">
        <w:rPr>
          <w:rFonts w:ascii="Times New Roman" w:hAnsi="Times New Roman" w:cs="Times New Roman"/>
          <w:sz w:val="24"/>
          <w:szCs w:val="24"/>
        </w:rPr>
        <w:t xml:space="preserve">los </w:t>
      </w:r>
      <w:r w:rsidR="00A6518F" w:rsidRPr="00B60E6E">
        <w:rPr>
          <w:rFonts w:ascii="Times New Roman" w:hAnsi="Times New Roman" w:cs="Times New Roman"/>
          <w:sz w:val="24"/>
          <w:szCs w:val="24"/>
        </w:rPr>
        <w:t xml:space="preserve">pasos </w:t>
      </w:r>
      <w:r w:rsidR="00D83340" w:rsidRPr="00B60E6E">
        <w:rPr>
          <w:rFonts w:ascii="Times New Roman" w:hAnsi="Times New Roman" w:cs="Times New Roman"/>
          <w:sz w:val="24"/>
          <w:szCs w:val="24"/>
        </w:rPr>
        <w:t>que serán explicados más adelante (</w:t>
      </w:r>
      <w:r w:rsidR="00A6518F" w:rsidRPr="00B60E6E">
        <w:rPr>
          <w:rFonts w:ascii="Times New Roman" w:hAnsi="Times New Roman" w:cs="Times New Roman"/>
          <w:sz w:val="24"/>
          <w:szCs w:val="24"/>
        </w:rPr>
        <w:t>2, 3 y 4</w:t>
      </w:r>
      <w:r w:rsidR="00D83340" w:rsidRPr="00B60E6E">
        <w:rPr>
          <w:rFonts w:ascii="Times New Roman" w:hAnsi="Times New Roman" w:cs="Times New Roman"/>
          <w:sz w:val="24"/>
          <w:szCs w:val="24"/>
        </w:rPr>
        <w:t>)</w:t>
      </w:r>
      <w:r w:rsidR="00A6518F" w:rsidRPr="00B60E6E">
        <w:rPr>
          <w:rFonts w:ascii="Times New Roman" w:hAnsi="Times New Roman" w:cs="Times New Roman"/>
          <w:sz w:val="24"/>
          <w:szCs w:val="24"/>
        </w:rPr>
        <w:t xml:space="preserve">, es decir, </w:t>
      </w:r>
      <w:r w:rsidR="00EF1FCB" w:rsidRPr="00B60E6E">
        <w:rPr>
          <w:rFonts w:ascii="Times New Roman" w:hAnsi="Times New Roman" w:cs="Times New Roman"/>
          <w:sz w:val="24"/>
          <w:szCs w:val="24"/>
        </w:rPr>
        <w:t xml:space="preserve">según las cinco fuerzas competitivas, diamante y posicionamiento de Porter. </w:t>
      </w:r>
    </w:p>
    <w:p w14:paraId="670441EE" w14:textId="7642F615" w:rsidR="002A5DBB" w:rsidRPr="00B60E6E" w:rsidRDefault="004B58F6" w:rsidP="009452C4">
      <w:pPr>
        <w:spacing w:before="100" w:beforeAutospacing="1" w:after="100" w:afterAutospacing="1" w:line="360" w:lineRule="auto"/>
        <w:ind w:firstLine="567"/>
        <w:jc w:val="both"/>
        <w:textAlignment w:val="baseline"/>
        <w:rPr>
          <w:rFonts w:ascii="Times New Roman" w:hAnsi="Times New Roman" w:cs="Times New Roman"/>
          <w:sz w:val="24"/>
          <w:szCs w:val="24"/>
        </w:rPr>
      </w:pPr>
      <w:r w:rsidRPr="00B60E6E">
        <w:rPr>
          <w:rFonts w:ascii="Times New Roman" w:hAnsi="Times New Roman" w:cs="Times New Roman"/>
          <w:sz w:val="24"/>
          <w:szCs w:val="24"/>
        </w:rPr>
        <w:t>E</w:t>
      </w:r>
      <w:r w:rsidR="009356EA" w:rsidRPr="00B60E6E">
        <w:rPr>
          <w:rFonts w:ascii="Times New Roman" w:hAnsi="Times New Roman" w:cs="Times New Roman"/>
          <w:sz w:val="24"/>
          <w:szCs w:val="24"/>
        </w:rPr>
        <w:t>l</w:t>
      </w:r>
      <w:r w:rsidR="00C12810" w:rsidRPr="00B60E6E">
        <w:rPr>
          <w:rFonts w:ascii="Times New Roman" w:hAnsi="Times New Roman" w:cs="Times New Roman"/>
          <w:sz w:val="24"/>
          <w:szCs w:val="24"/>
        </w:rPr>
        <w:t xml:space="preserve"> análisis</w:t>
      </w:r>
      <w:r w:rsidRPr="00B60E6E">
        <w:rPr>
          <w:rFonts w:ascii="Times New Roman" w:hAnsi="Times New Roman" w:cs="Times New Roman"/>
          <w:sz w:val="24"/>
          <w:szCs w:val="24"/>
        </w:rPr>
        <w:t xml:space="preserve"> competitivo basado en la teoría de </w:t>
      </w:r>
      <w:r w:rsidR="00D83340" w:rsidRPr="00B60E6E">
        <w:rPr>
          <w:rFonts w:ascii="Times New Roman" w:hAnsi="Times New Roman" w:cs="Times New Roman"/>
          <w:sz w:val="24"/>
          <w:szCs w:val="24"/>
        </w:rPr>
        <w:t>Porter</w:t>
      </w:r>
      <w:r w:rsidRPr="00B60E6E">
        <w:rPr>
          <w:rFonts w:ascii="Times New Roman" w:hAnsi="Times New Roman" w:cs="Times New Roman"/>
          <w:sz w:val="24"/>
          <w:szCs w:val="24"/>
        </w:rPr>
        <w:t xml:space="preserve"> </w:t>
      </w:r>
      <w:r w:rsidR="00A724AF" w:rsidRPr="00B60E6E">
        <w:rPr>
          <w:rFonts w:ascii="Times New Roman" w:hAnsi="Times New Roman" w:cs="Times New Roman"/>
          <w:sz w:val="24"/>
          <w:szCs w:val="24"/>
        </w:rPr>
        <w:t>fue realizado</w:t>
      </w:r>
      <w:r w:rsidR="008F766D" w:rsidRPr="00B60E6E">
        <w:rPr>
          <w:rFonts w:ascii="Times New Roman" w:hAnsi="Times New Roman" w:cs="Times New Roman"/>
          <w:sz w:val="24"/>
          <w:szCs w:val="24"/>
        </w:rPr>
        <w:t xml:space="preserve"> por los autores</w:t>
      </w:r>
      <w:r w:rsidR="009A517B">
        <w:rPr>
          <w:rFonts w:ascii="Times New Roman" w:hAnsi="Times New Roman" w:cs="Times New Roman"/>
          <w:sz w:val="24"/>
          <w:szCs w:val="24"/>
        </w:rPr>
        <w:t xml:space="preserve"> de esta investigación</w:t>
      </w:r>
      <w:r w:rsidR="008F766D" w:rsidRPr="00B60E6E">
        <w:rPr>
          <w:rFonts w:ascii="Times New Roman" w:hAnsi="Times New Roman" w:cs="Times New Roman"/>
          <w:sz w:val="24"/>
          <w:szCs w:val="24"/>
        </w:rPr>
        <w:t>, quienes formaron</w:t>
      </w:r>
      <w:r w:rsidRPr="00B60E6E">
        <w:rPr>
          <w:rFonts w:ascii="Times New Roman" w:hAnsi="Times New Roman" w:cs="Times New Roman"/>
          <w:sz w:val="24"/>
          <w:szCs w:val="24"/>
        </w:rPr>
        <w:t xml:space="preserve"> un equipo multidisciplinario para enriquecer </w:t>
      </w:r>
      <w:r w:rsidR="004F5479" w:rsidRPr="00B60E6E">
        <w:rPr>
          <w:rFonts w:ascii="Times New Roman" w:hAnsi="Times New Roman" w:cs="Times New Roman"/>
          <w:sz w:val="24"/>
          <w:szCs w:val="24"/>
        </w:rPr>
        <w:t xml:space="preserve">y retroalimentar </w:t>
      </w:r>
      <w:r w:rsidRPr="00B60E6E">
        <w:rPr>
          <w:rFonts w:ascii="Times New Roman" w:hAnsi="Times New Roman" w:cs="Times New Roman"/>
          <w:sz w:val="24"/>
          <w:szCs w:val="24"/>
        </w:rPr>
        <w:t xml:space="preserve">el estudio. </w:t>
      </w:r>
      <w:r w:rsidR="009A517B">
        <w:rPr>
          <w:rFonts w:ascii="Times New Roman" w:hAnsi="Times New Roman" w:cs="Times New Roman"/>
          <w:sz w:val="24"/>
          <w:szCs w:val="24"/>
        </w:rPr>
        <w:t>Las</w:t>
      </w:r>
      <w:r w:rsidR="00F1349A" w:rsidRPr="00B60E6E">
        <w:rPr>
          <w:rFonts w:ascii="Times New Roman" w:hAnsi="Times New Roman" w:cs="Times New Roman"/>
          <w:sz w:val="24"/>
          <w:szCs w:val="24"/>
        </w:rPr>
        <w:t xml:space="preserve"> líneas </w:t>
      </w:r>
      <w:r w:rsidR="00461C57" w:rsidRPr="00B60E6E">
        <w:rPr>
          <w:rFonts w:ascii="Times New Roman" w:hAnsi="Times New Roman" w:cs="Times New Roman"/>
          <w:sz w:val="24"/>
          <w:szCs w:val="24"/>
        </w:rPr>
        <w:t xml:space="preserve">de investigación </w:t>
      </w:r>
      <w:r w:rsidR="009A517B">
        <w:rPr>
          <w:rFonts w:ascii="Times New Roman" w:hAnsi="Times New Roman" w:cs="Times New Roman"/>
          <w:sz w:val="24"/>
          <w:szCs w:val="24"/>
        </w:rPr>
        <w:t>de estos autores son</w:t>
      </w:r>
      <w:r w:rsidR="00F1349A" w:rsidRPr="00B60E6E">
        <w:rPr>
          <w:rFonts w:ascii="Times New Roman" w:hAnsi="Times New Roman" w:cs="Times New Roman"/>
          <w:sz w:val="24"/>
          <w:szCs w:val="24"/>
        </w:rPr>
        <w:t xml:space="preserve"> </w:t>
      </w:r>
      <w:r w:rsidR="009A517B">
        <w:rPr>
          <w:rFonts w:ascii="Times New Roman" w:hAnsi="Times New Roman" w:cs="Times New Roman"/>
          <w:sz w:val="24"/>
          <w:szCs w:val="24"/>
        </w:rPr>
        <w:t>las siguientes: a</w:t>
      </w:r>
      <w:r w:rsidR="00461C57" w:rsidRPr="00B60E6E">
        <w:rPr>
          <w:rFonts w:ascii="Times New Roman" w:hAnsi="Times New Roman" w:cs="Times New Roman"/>
          <w:sz w:val="24"/>
          <w:szCs w:val="24"/>
        </w:rPr>
        <w:t>gronegocios</w:t>
      </w:r>
      <w:r w:rsidR="0041314C" w:rsidRPr="00B60E6E">
        <w:rPr>
          <w:rFonts w:ascii="Times New Roman" w:hAnsi="Times New Roman" w:cs="Times New Roman"/>
          <w:sz w:val="24"/>
          <w:szCs w:val="24"/>
        </w:rPr>
        <w:t>, dirección de o</w:t>
      </w:r>
      <w:r w:rsidR="00461C57" w:rsidRPr="00B60E6E">
        <w:rPr>
          <w:rFonts w:ascii="Times New Roman" w:hAnsi="Times New Roman" w:cs="Times New Roman"/>
          <w:sz w:val="24"/>
          <w:szCs w:val="24"/>
        </w:rPr>
        <w:t xml:space="preserve">rganizaciones, </w:t>
      </w:r>
      <w:r w:rsidR="0041314C" w:rsidRPr="00B60E6E">
        <w:rPr>
          <w:rFonts w:ascii="Times New Roman" w:hAnsi="Times New Roman" w:cs="Times New Roman"/>
          <w:sz w:val="24"/>
          <w:szCs w:val="24"/>
        </w:rPr>
        <w:t xml:space="preserve">competitividad estratégica, </w:t>
      </w:r>
      <w:r w:rsidR="004B2447" w:rsidRPr="00B60E6E">
        <w:rPr>
          <w:rFonts w:ascii="Times New Roman" w:hAnsi="Times New Roman" w:cs="Times New Roman"/>
          <w:sz w:val="24"/>
          <w:szCs w:val="24"/>
        </w:rPr>
        <w:t xml:space="preserve">modelación matemática, </w:t>
      </w:r>
      <w:r w:rsidR="0041314C" w:rsidRPr="00B60E6E">
        <w:rPr>
          <w:rFonts w:ascii="Times New Roman" w:hAnsi="Times New Roman" w:cs="Times New Roman"/>
          <w:sz w:val="24"/>
          <w:szCs w:val="24"/>
        </w:rPr>
        <w:t>t</w:t>
      </w:r>
      <w:r w:rsidR="009C517C" w:rsidRPr="00B60E6E">
        <w:rPr>
          <w:rFonts w:ascii="Times New Roman" w:hAnsi="Times New Roman" w:cs="Times New Roman"/>
          <w:sz w:val="24"/>
          <w:szCs w:val="24"/>
        </w:rPr>
        <w:t xml:space="preserve">ransferencia de tecnología y </w:t>
      </w:r>
      <w:r w:rsidR="00D314A8" w:rsidRPr="00B60E6E">
        <w:rPr>
          <w:rFonts w:ascii="Times New Roman" w:hAnsi="Times New Roman" w:cs="Times New Roman"/>
          <w:sz w:val="24"/>
          <w:szCs w:val="24"/>
        </w:rPr>
        <w:t>procesos de innovación rural</w:t>
      </w:r>
      <w:r w:rsidR="00F1349A" w:rsidRPr="00B60E6E">
        <w:rPr>
          <w:rFonts w:ascii="Times New Roman" w:hAnsi="Times New Roman" w:cs="Times New Roman"/>
          <w:sz w:val="24"/>
          <w:szCs w:val="24"/>
        </w:rPr>
        <w:t>, d</w:t>
      </w:r>
      <w:r w:rsidR="0041314C" w:rsidRPr="00B60E6E">
        <w:rPr>
          <w:rFonts w:ascii="Times New Roman" w:hAnsi="Times New Roman" w:cs="Times New Roman"/>
          <w:sz w:val="24"/>
          <w:szCs w:val="24"/>
        </w:rPr>
        <w:t>esarrollo rural, logística,</w:t>
      </w:r>
      <w:r w:rsidR="00D314A8" w:rsidRPr="00B60E6E">
        <w:rPr>
          <w:rFonts w:ascii="Times New Roman" w:hAnsi="Times New Roman" w:cs="Times New Roman"/>
          <w:sz w:val="24"/>
          <w:szCs w:val="24"/>
        </w:rPr>
        <w:t xml:space="preserve"> cadenas de suministro agroalimentarias</w:t>
      </w:r>
      <w:r w:rsidR="0041314C" w:rsidRPr="00B60E6E">
        <w:rPr>
          <w:rFonts w:ascii="Times New Roman" w:hAnsi="Times New Roman" w:cs="Times New Roman"/>
          <w:sz w:val="24"/>
          <w:szCs w:val="24"/>
        </w:rPr>
        <w:t>,</w:t>
      </w:r>
      <w:r w:rsidR="00F1349A" w:rsidRPr="00B60E6E">
        <w:rPr>
          <w:rFonts w:ascii="Times New Roman" w:hAnsi="Times New Roman" w:cs="Times New Roman"/>
          <w:sz w:val="24"/>
          <w:szCs w:val="24"/>
        </w:rPr>
        <w:t xml:space="preserve"> </w:t>
      </w:r>
      <w:r w:rsidR="009A517B" w:rsidRPr="00B60E6E">
        <w:rPr>
          <w:rFonts w:ascii="Times New Roman" w:hAnsi="Times New Roman" w:cs="Times New Roman"/>
          <w:sz w:val="24"/>
          <w:szCs w:val="24"/>
        </w:rPr>
        <w:t>pequeñas y medianas empresas</w:t>
      </w:r>
      <w:r w:rsidR="009A517B">
        <w:rPr>
          <w:rFonts w:ascii="Times New Roman" w:hAnsi="Times New Roman" w:cs="Times New Roman"/>
          <w:sz w:val="24"/>
          <w:szCs w:val="24"/>
        </w:rPr>
        <w:t xml:space="preserve"> (p</w:t>
      </w:r>
      <w:r w:rsidR="00F5015F" w:rsidRPr="00B60E6E">
        <w:rPr>
          <w:rFonts w:ascii="Times New Roman" w:hAnsi="Times New Roman" w:cs="Times New Roman"/>
          <w:sz w:val="24"/>
          <w:szCs w:val="24"/>
        </w:rPr>
        <w:t>ymes)</w:t>
      </w:r>
      <w:r w:rsidR="004B2447" w:rsidRPr="00B60E6E">
        <w:rPr>
          <w:rFonts w:ascii="Times New Roman" w:hAnsi="Times New Roman" w:cs="Times New Roman"/>
          <w:sz w:val="24"/>
          <w:szCs w:val="24"/>
        </w:rPr>
        <w:t xml:space="preserve"> y</w:t>
      </w:r>
      <w:r w:rsidR="00F5015F" w:rsidRPr="00B60E6E">
        <w:rPr>
          <w:rFonts w:ascii="Times New Roman" w:hAnsi="Times New Roman" w:cs="Times New Roman"/>
          <w:sz w:val="24"/>
          <w:szCs w:val="24"/>
        </w:rPr>
        <w:t xml:space="preserve"> </w:t>
      </w:r>
      <w:r w:rsidR="0041314C" w:rsidRPr="00B60E6E">
        <w:rPr>
          <w:rFonts w:ascii="Times New Roman" w:hAnsi="Times New Roman" w:cs="Times New Roman"/>
          <w:sz w:val="24"/>
          <w:szCs w:val="24"/>
        </w:rPr>
        <w:t>a</w:t>
      </w:r>
      <w:r w:rsidR="002A5DBB" w:rsidRPr="00B60E6E">
        <w:rPr>
          <w:rFonts w:ascii="Times New Roman" w:hAnsi="Times New Roman" w:cs="Times New Roman"/>
          <w:sz w:val="24"/>
          <w:szCs w:val="24"/>
        </w:rPr>
        <w:t>dministrac</w:t>
      </w:r>
      <w:r w:rsidR="0041314C" w:rsidRPr="00B60E6E">
        <w:rPr>
          <w:rFonts w:ascii="Times New Roman" w:hAnsi="Times New Roman" w:cs="Times New Roman"/>
          <w:sz w:val="24"/>
          <w:szCs w:val="24"/>
        </w:rPr>
        <w:t>ión de la cadena de suministro</w:t>
      </w:r>
      <w:r w:rsidR="00E301FE" w:rsidRPr="00B60E6E">
        <w:rPr>
          <w:rFonts w:ascii="Times New Roman" w:hAnsi="Times New Roman" w:cs="Times New Roman"/>
          <w:sz w:val="24"/>
          <w:szCs w:val="24"/>
        </w:rPr>
        <w:t xml:space="preserve">. </w:t>
      </w:r>
    </w:p>
    <w:p w14:paraId="01E775AD" w14:textId="722E0C6C" w:rsidR="009A517B" w:rsidRDefault="009356EA" w:rsidP="00723C45">
      <w:pPr>
        <w:pStyle w:val="Default"/>
        <w:spacing w:before="100" w:beforeAutospacing="1" w:after="100" w:afterAutospacing="1" w:line="360" w:lineRule="auto"/>
        <w:ind w:firstLine="709"/>
        <w:jc w:val="both"/>
        <w:rPr>
          <w:rFonts w:ascii="Times New Roman" w:hAnsi="Times New Roman" w:cs="Times New Roman"/>
          <w:color w:val="auto"/>
        </w:rPr>
      </w:pPr>
      <w:r w:rsidRPr="00B60E6E">
        <w:rPr>
          <w:rFonts w:ascii="Times New Roman" w:hAnsi="Times New Roman" w:cs="Times New Roman"/>
          <w:color w:val="auto"/>
        </w:rPr>
        <w:t>En el segundo paso se desarrolló</w:t>
      </w:r>
      <w:r w:rsidR="00BF7B48" w:rsidRPr="00B60E6E">
        <w:rPr>
          <w:rFonts w:ascii="Times New Roman" w:hAnsi="Times New Roman" w:cs="Times New Roman"/>
          <w:color w:val="auto"/>
        </w:rPr>
        <w:t xml:space="preserve"> el análisis de las cinco fuerzas competitivas de Porter (2008) </w:t>
      </w:r>
      <w:r w:rsidR="002D7574">
        <w:rPr>
          <w:rFonts w:ascii="Times New Roman" w:hAnsi="Times New Roman" w:cs="Times New Roman"/>
          <w:color w:val="auto"/>
        </w:rPr>
        <w:t xml:space="preserve">para esta actividad productiva, la cual </w:t>
      </w:r>
      <w:r w:rsidR="00742FB1">
        <w:rPr>
          <w:rFonts w:ascii="Times New Roman" w:hAnsi="Times New Roman" w:cs="Times New Roman"/>
          <w:color w:val="auto"/>
        </w:rPr>
        <w:t xml:space="preserve">se basa </w:t>
      </w:r>
      <w:r w:rsidR="007A66F3" w:rsidRPr="00B60E6E">
        <w:rPr>
          <w:rFonts w:ascii="Times New Roman" w:hAnsi="Times New Roman" w:cs="Times New Roman"/>
          <w:color w:val="auto"/>
        </w:rPr>
        <w:t>en los siguientes cinco elementos</w:t>
      </w:r>
      <w:r w:rsidR="00BF7B48" w:rsidRPr="00B60E6E">
        <w:rPr>
          <w:rFonts w:ascii="Times New Roman" w:hAnsi="Times New Roman" w:cs="Times New Roman"/>
          <w:color w:val="auto"/>
        </w:rPr>
        <w:t>:</w:t>
      </w:r>
      <w:r w:rsidR="007A66F3" w:rsidRPr="00B60E6E">
        <w:rPr>
          <w:rFonts w:ascii="Times New Roman" w:hAnsi="Times New Roman" w:cs="Times New Roman"/>
          <w:color w:val="auto"/>
        </w:rPr>
        <w:t xml:space="preserve"> </w:t>
      </w:r>
    </w:p>
    <w:p w14:paraId="71B2BE95" w14:textId="2E9CA4E9" w:rsidR="009A517B" w:rsidRDefault="00C04BA4" w:rsidP="009A517B">
      <w:pPr>
        <w:pStyle w:val="Default"/>
        <w:spacing w:before="100" w:beforeAutospacing="1" w:after="100" w:afterAutospacing="1" w:line="360" w:lineRule="auto"/>
        <w:ind w:left="1418"/>
        <w:jc w:val="both"/>
        <w:rPr>
          <w:rFonts w:ascii="Times New Roman" w:hAnsi="Times New Roman" w:cs="Times New Roman"/>
          <w:color w:val="auto"/>
        </w:rPr>
      </w:pPr>
      <w:r w:rsidRPr="00B60E6E">
        <w:rPr>
          <w:rFonts w:ascii="Times New Roman" w:hAnsi="Times New Roman" w:cs="Times New Roman"/>
          <w:color w:val="auto"/>
        </w:rPr>
        <w:t xml:space="preserve">a) </w:t>
      </w:r>
      <w:r w:rsidR="00BF7B48" w:rsidRPr="00B60E6E">
        <w:rPr>
          <w:rFonts w:ascii="Times New Roman" w:hAnsi="Times New Roman" w:cs="Times New Roman"/>
          <w:color w:val="auto"/>
        </w:rPr>
        <w:t>Identificar a los participantes</w:t>
      </w:r>
      <w:r w:rsidR="00C50C1C" w:rsidRPr="00B60E6E">
        <w:rPr>
          <w:rFonts w:ascii="Times New Roman" w:hAnsi="Times New Roman" w:cs="Times New Roman"/>
          <w:color w:val="auto"/>
        </w:rPr>
        <w:t>,</w:t>
      </w:r>
      <w:r w:rsidR="00BF7B48" w:rsidRPr="00B60E6E">
        <w:rPr>
          <w:rFonts w:ascii="Times New Roman" w:hAnsi="Times New Roman" w:cs="Times New Roman"/>
          <w:color w:val="auto"/>
        </w:rPr>
        <w:t xml:space="preserve"> </w:t>
      </w:r>
      <w:r w:rsidR="007A66F3" w:rsidRPr="00B60E6E">
        <w:rPr>
          <w:rFonts w:ascii="Times New Roman" w:hAnsi="Times New Roman" w:cs="Times New Roman"/>
          <w:color w:val="auto"/>
        </w:rPr>
        <w:t xml:space="preserve">y segmentarlos dentro de grupos; </w:t>
      </w:r>
      <w:r w:rsidRPr="00B60E6E">
        <w:rPr>
          <w:rFonts w:ascii="Times New Roman" w:hAnsi="Times New Roman" w:cs="Times New Roman"/>
          <w:color w:val="auto"/>
        </w:rPr>
        <w:t xml:space="preserve">b) </w:t>
      </w:r>
      <w:r w:rsidR="00BF7B48" w:rsidRPr="00B60E6E">
        <w:rPr>
          <w:rFonts w:ascii="Times New Roman" w:hAnsi="Times New Roman" w:cs="Times New Roman"/>
          <w:color w:val="auto"/>
        </w:rPr>
        <w:t>Evaluar los factores subyacentes de cada fuerza competitiva para determinar qué fuerzas son</w:t>
      </w:r>
      <w:r w:rsidR="007A66F3" w:rsidRPr="00B60E6E">
        <w:rPr>
          <w:rFonts w:ascii="Times New Roman" w:hAnsi="Times New Roman" w:cs="Times New Roman"/>
          <w:color w:val="auto"/>
        </w:rPr>
        <w:t xml:space="preserve"> débiles</w:t>
      </w:r>
      <w:r w:rsidR="002043B6" w:rsidRPr="00B60E6E">
        <w:rPr>
          <w:rFonts w:ascii="Times New Roman" w:hAnsi="Times New Roman" w:cs="Times New Roman"/>
          <w:color w:val="auto"/>
        </w:rPr>
        <w:t xml:space="preserve"> o fuertes,</w:t>
      </w:r>
      <w:r w:rsidR="007A66F3" w:rsidRPr="00B60E6E">
        <w:rPr>
          <w:rFonts w:ascii="Times New Roman" w:hAnsi="Times New Roman" w:cs="Times New Roman"/>
          <w:color w:val="auto"/>
        </w:rPr>
        <w:t xml:space="preserve"> y por qué; </w:t>
      </w:r>
      <w:r w:rsidRPr="00B60E6E">
        <w:rPr>
          <w:rFonts w:ascii="Times New Roman" w:hAnsi="Times New Roman" w:cs="Times New Roman"/>
          <w:color w:val="auto"/>
        </w:rPr>
        <w:t xml:space="preserve">c) </w:t>
      </w:r>
      <w:r w:rsidR="00BF7B48" w:rsidRPr="00B60E6E">
        <w:rPr>
          <w:rFonts w:ascii="Times New Roman" w:hAnsi="Times New Roman" w:cs="Times New Roman"/>
          <w:color w:val="auto"/>
        </w:rPr>
        <w:t>Determinar la estructura gener</w:t>
      </w:r>
      <w:r w:rsidR="004125D2">
        <w:rPr>
          <w:rFonts w:ascii="Times New Roman" w:hAnsi="Times New Roman" w:cs="Times New Roman"/>
          <w:color w:val="auto"/>
        </w:rPr>
        <w:t>al de la industria</w:t>
      </w:r>
      <w:r w:rsidR="007A66F3" w:rsidRPr="00B60E6E">
        <w:rPr>
          <w:rFonts w:ascii="Times New Roman" w:hAnsi="Times New Roman" w:cs="Times New Roman"/>
          <w:color w:val="auto"/>
        </w:rPr>
        <w:t xml:space="preserve">; </w:t>
      </w:r>
      <w:r w:rsidRPr="00B60E6E">
        <w:rPr>
          <w:rFonts w:ascii="Times New Roman" w:hAnsi="Times New Roman" w:cs="Times New Roman"/>
          <w:color w:val="auto"/>
        </w:rPr>
        <w:t xml:space="preserve">d) </w:t>
      </w:r>
      <w:r w:rsidR="00BF7B48" w:rsidRPr="00B60E6E">
        <w:rPr>
          <w:rFonts w:ascii="Times New Roman" w:hAnsi="Times New Roman" w:cs="Times New Roman"/>
          <w:color w:val="auto"/>
        </w:rPr>
        <w:t xml:space="preserve">Analizar los cambios recientes y probables cambios futuros en cada fuerza, </w:t>
      </w:r>
      <w:r w:rsidR="007A66F3" w:rsidRPr="00B60E6E">
        <w:rPr>
          <w:rFonts w:ascii="Times New Roman" w:hAnsi="Times New Roman" w:cs="Times New Roman"/>
          <w:color w:val="auto"/>
        </w:rPr>
        <w:t xml:space="preserve">tanto positivos como negativos; </w:t>
      </w:r>
      <w:r w:rsidRPr="00B60E6E">
        <w:rPr>
          <w:rFonts w:ascii="Times New Roman" w:hAnsi="Times New Roman" w:cs="Times New Roman"/>
          <w:color w:val="auto"/>
        </w:rPr>
        <w:t xml:space="preserve">e) </w:t>
      </w:r>
      <w:r w:rsidR="00BF7B48" w:rsidRPr="00B60E6E">
        <w:rPr>
          <w:rFonts w:ascii="Times New Roman" w:hAnsi="Times New Roman" w:cs="Times New Roman"/>
          <w:color w:val="auto"/>
        </w:rPr>
        <w:t xml:space="preserve">Identificar los aspectos de la estructura que podrían ser influenciados por los competidores, </w:t>
      </w:r>
      <w:r w:rsidR="00770909" w:rsidRPr="00B60E6E">
        <w:rPr>
          <w:rFonts w:ascii="Times New Roman" w:hAnsi="Times New Roman" w:cs="Times New Roman"/>
          <w:color w:val="auto"/>
        </w:rPr>
        <w:t xml:space="preserve">nuevos </w:t>
      </w:r>
      <w:r w:rsidR="00BF7B48" w:rsidRPr="00B60E6E">
        <w:rPr>
          <w:rFonts w:ascii="Times New Roman" w:hAnsi="Times New Roman" w:cs="Times New Roman"/>
          <w:color w:val="auto"/>
        </w:rPr>
        <w:t>operadores</w:t>
      </w:r>
      <w:r w:rsidR="007A66F3" w:rsidRPr="00B60E6E">
        <w:rPr>
          <w:rFonts w:ascii="Times New Roman" w:hAnsi="Times New Roman" w:cs="Times New Roman"/>
          <w:color w:val="auto"/>
        </w:rPr>
        <w:t>, o por su organización</w:t>
      </w:r>
      <w:r w:rsidR="00265740">
        <w:rPr>
          <w:rFonts w:ascii="Times New Roman" w:hAnsi="Times New Roman" w:cs="Times New Roman"/>
          <w:color w:val="auto"/>
        </w:rPr>
        <w:t xml:space="preserve"> </w:t>
      </w:r>
      <w:r w:rsidR="00265740" w:rsidRPr="003E6675">
        <w:rPr>
          <w:rFonts w:ascii="Times New Roman" w:hAnsi="Times New Roman" w:cs="Times New Roman"/>
          <w:color w:val="auto"/>
        </w:rPr>
        <w:t>(p.92).</w:t>
      </w:r>
    </w:p>
    <w:p w14:paraId="5B694EDD" w14:textId="65EE609D" w:rsidR="00BF7B48" w:rsidRPr="00B60E6E" w:rsidRDefault="009A517B" w:rsidP="009A517B">
      <w:pPr>
        <w:pStyle w:val="Default"/>
        <w:spacing w:before="100" w:beforeAutospacing="1" w:after="100" w:afterAutospacing="1" w:line="360" w:lineRule="auto"/>
        <w:jc w:val="both"/>
        <w:rPr>
          <w:rFonts w:ascii="Times New Roman" w:hAnsi="Times New Roman" w:cs="Times New Roman"/>
          <w:color w:val="auto"/>
        </w:rPr>
      </w:pPr>
      <w:r>
        <w:rPr>
          <w:rFonts w:ascii="Times New Roman" w:hAnsi="Times New Roman" w:cs="Times New Roman"/>
          <w:color w:val="auto"/>
        </w:rPr>
        <w:lastRenderedPageBreak/>
        <w:tab/>
        <w:t>R</w:t>
      </w:r>
      <w:r w:rsidR="00770909" w:rsidRPr="00B60E6E">
        <w:rPr>
          <w:rFonts w:ascii="Times New Roman" w:hAnsi="Times New Roman" w:cs="Times New Roman"/>
          <w:color w:val="auto"/>
        </w:rPr>
        <w:t>ealizado lo anterior,</w:t>
      </w:r>
      <w:r>
        <w:rPr>
          <w:rFonts w:ascii="Times New Roman" w:hAnsi="Times New Roman" w:cs="Times New Roman"/>
          <w:color w:val="auto"/>
        </w:rPr>
        <w:t xml:space="preserve"> se valoró</w:t>
      </w:r>
      <w:r w:rsidR="00BF7B48" w:rsidRPr="00B60E6E">
        <w:rPr>
          <w:rFonts w:ascii="Times New Roman" w:hAnsi="Times New Roman" w:cs="Times New Roman"/>
          <w:color w:val="auto"/>
        </w:rPr>
        <w:t xml:space="preserve"> cualitativamente cada elemento y cada fuerza competitiva de manera alta, neutral y baja. </w:t>
      </w:r>
    </w:p>
    <w:p w14:paraId="720350F8" w14:textId="1D81F59F" w:rsidR="00BF7B48" w:rsidRPr="00B60E6E" w:rsidRDefault="009A517B" w:rsidP="00723C45">
      <w:pPr>
        <w:pStyle w:val="Default"/>
        <w:spacing w:before="100" w:beforeAutospacing="1" w:after="100" w:afterAutospacing="1" w:line="360" w:lineRule="auto"/>
        <w:ind w:firstLine="360"/>
        <w:jc w:val="both"/>
        <w:rPr>
          <w:rFonts w:ascii="Times New Roman" w:hAnsi="Times New Roman" w:cs="Times New Roman"/>
          <w:color w:val="auto"/>
        </w:rPr>
      </w:pPr>
      <w:r>
        <w:rPr>
          <w:rFonts w:ascii="Times New Roman" w:hAnsi="Times New Roman" w:cs="Times New Roman"/>
          <w:color w:val="auto"/>
        </w:rPr>
        <w:tab/>
      </w:r>
      <w:r w:rsidR="00BF7B48" w:rsidRPr="00B60E6E">
        <w:rPr>
          <w:rFonts w:ascii="Times New Roman" w:hAnsi="Times New Roman" w:cs="Times New Roman"/>
          <w:color w:val="auto"/>
        </w:rPr>
        <w:t xml:space="preserve">El tercer paso </w:t>
      </w:r>
      <w:r w:rsidR="00E131AC" w:rsidRPr="00B60E6E">
        <w:rPr>
          <w:rFonts w:ascii="Times New Roman" w:hAnsi="Times New Roman" w:cs="Times New Roman"/>
          <w:color w:val="auto"/>
        </w:rPr>
        <w:t>tomó como</w:t>
      </w:r>
      <w:r w:rsidR="00BF7B48" w:rsidRPr="00B60E6E">
        <w:rPr>
          <w:rFonts w:ascii="Times New Roman" w:hAnsi="Times New Roman" w:cs="Times New Roman"/>
          <w:color w:val="auto"/>
        </w:rPr>
        <w:t xml:space="preserve"> base </w:t>
      </w:r>
      <w:r>
        <w:rPr>
          <w:rFonts w:ascii="Times New Roman" w:hAnsi="Times New Roman" w:cs="Times New Roman"/>
          <w:color w:val="auto"/>
        </w:rPr>
        <w:t>las etapas</w:t>
      </w:r>
      <w:r w:rsidR="005A7E12" w:rsidRPr="00B60E6E">
        <w:rPr>
          <w:rFonts w:ascii="Times New Roman" w:hAnsi="Times New Roman" w:cs="Times New Roman"/>
          <w:color w:val="auto"/>
        </w:rPr>
        <w:t xml:space="preserve"> 1 y 2.</w:t>
      </w:r>
      <w:r w:rsidR="00BF7B48" w:rsidRPr="00B60E6E">
        <w:rPr>
          <w:rFonts w:ascii="Times New Roman" w:hAnsi="Times New Roman" w:cs="Times New Roman"/>
          <w:color w:val="auto"/>
        </w:rPr>
        <w:t xml:space="preserve"> </w:t>
      </w:r>
      <w:r w:rsidR="00770909" w:rsidRPr="00B60E6E">
        <w:rPr>
          <w:rFonts w:ascii="Times New Roman" w:hAnsi="Times New Roman" w:cs="Times New Roman"/>
          <w:color w:val="auto"/>
        </w:rPr>
        <w:t xml:space="preserve">En este </w:t>
      </w:r>
      <w:r w:rsidR="009356EA" w:rsidRPr="00B60E6E">
        <w:rPr>
          <w:rFonts w:ascii="Times New Roman" w:hAnsi="Times New Roman" w:cs="Times New Roman"/>
          <w:color w:val="auto"/>
        </w:rPr>
        <w:t>se determinó</w:t>
      </w:r>
      <w:r w:rsidR="009B3AA6" w:rsidRPr="00B60E6E">
        <w:rPr>
          <w:rFonts w:ascii="Times New Roman" w:hAnsi="Times New Roman" w:cs="Times New Roman"/>
          <w:color w:val="auto"/>
        </w:rPr>
        <w:t xml:space="preserve"> el diamante basado en</w:t>
      </w:r>
      <w:r w:rsidR="00BF7B48" w:rsidRPr="00B60E6E">
        <w:rPr>
          <w:rFonts w:ascii="Times New Roman" w:hAnsi="Times New Roman" w:cs="Times New Roman"/>
          <w:color w:val="auto"/>
        </w:rPr>
        <w:t xml:space="preserve"> Porter</w:t>
      </w:r>
      <w:r w:rsidR="009B3AA6" w:rsidRPr="00B60E6E">
        <w:rPr>
          <w:rFonts w:ascii="Times New Roman" w:hAnsi="Times New Roman" w:cs="Times New Roman"/>
          <w:color w:val="auto"/>
        </w:rPr>
        <w:t xml:space="preserve"> (1990)</w:t>
      </w:r>
      <w:r w:rsidR="00BF7B48" w:rsidRPr="00B60E6E">
        <w:rPr>
          <w:rFonts w:ascii="Times New Roman" w:hAnsi="Times New Roman" w:cs="Times New Roman"/>
          <w:color w:val="auto"/>
        </w:rPr>
        <w:t xml:space="preserve">, </w:t>
      </w:r>
      <w:r>
        <w:rPr>
          <w:rFonts w:ascii="Times New Roman" w:hAnsi="Times New Roman" w:cs="Times New Roman"/>
          <w:color w:val="auto"/>
        </w:rPr>
        <w:t xml:space="preserve">para lo cual se explicó y valoró </w:t>
      </w:r>
      <w:r w:rsidR="00BF7B48" w:rsidRPr="00B60E6E">
        <w:rPr>
          <w:rFonts w:ascii="Times New Roman" w:hAnsi="Times New Roman" w:cs="Times New Roman"/>
          <w:color w:val="auto"/>
        </w:rPr>
        <w:t xml:space="preserve">cada elemento cualitativamente de manera positiva, negativa y neutral. </w:t>
      </w:r>
    </w:p>
    <w:p w14:paraId="7E7CA038" w14:textId="0672D087" w:rsidR="00D108BF" w:rsidRPr="00B60E6E" w:rsidRDefault="00BF7B48" w:rsidP="00723C45">
      <w:pPr>
        <w:pStyle w:val="Default"/>
        <w:spacing w:before="100" w:beforeAutospacing="1" w:after="100" w:afterAutospacing="1" w:line="360" w:lineRule="auto"/>
        <w:ind w:firstLine="360"/>
        <w:jc w:val="both"/>
        <w:rPr>
          <w:rFonts w:ascii="Times New Roman" w:hAnsi="Times New Roman" w:cs="Times New Roman"/>
          <w:color w:val="auto"/>
        </w:rPr>
      </w:pPr>
      <w:r w:rsidRPr="00B60E6E">
        <w:rPr>
          <w:rFonts w:ascii="Times New Roman" w:hAnsi="Times New Roman" w:cs="Times New Roman"/>
          <w:color w:val="auto"/>
        </w:rPr>
        <w:t xml:space="preserve">Por último, en el cuarto paso se </w:t>
      </w:r>
      <w:r w:rsidR="009356EA" w:rsidRPr="00B60E6E">
        <w:rPr>
          <w:rFonts w:ascii="Times New Roman" w:hAnsi="Times New Roman" w:cs="Times New Roman"/>
          <w:color w:val="auto"/>
        </w:rPr>
        <w:t>determinó</w:t>
      </w:r>
      <w:r w:rsidR="00186FAA" w:rsidRPr="00B60E6E">
        <w:rPr>
          <w:rFonts w:ascii="Times New Roman" w:hAnsi="Times New Roman" w:cs="Times New Roman"/>
          <w:color w:val="auto"/>
        </w:rPr>
        <w:t xml:space="preserve"> la estrategia genérica a</w:t>
      </w:r>
      <w:r w:rsidR="009A517B">
        <w:rPr>
          <w:rFonts w:ascii="Times New Roman" w:hAnsi="Times New Roman" w:cs="Times New Roman"/>
          <w:color w:val="auto"/>
        </w:rPr>
        <w:t xml:space="preserve"> la que se estaba</w:t>
      </w:r>
      <w:r w:rsidRPr="00B60E6E">
        <w:rPr>
          <w:rFonts w:ascii="Times New Roman" w:hAnsi="Times New Roman" w:cs="Times New Roman"/>
          <w:color w:val="auto"/>
        </w:rPr>
        <w:t xml:space="preserve"> dirigiendo esta actividad con base </w:t>
      </w:r>
      <w:r w:rsidR="009A517B">
        <w:rPr>
          <w:rFonts w:ascii="Times New Roman" w:hAnsi="Times New Roman" w:cs="Times New Roman"/>
          <w:color w:val="auto"/>
        </w:rPr>
        <w:t>en el</w:t>
      </w:r>
      <w:r w:rsidRPr="00B60E6E">
        <w:rPr>
          <w:rFonts w:ascii="Times New Roman" w:hAnsi="Times New Roman" w:cs="Times New Roman"/>
          <w:color w:val="auto"/>
        </w:rPr>
        <w:t xml:space="preserve"> posicionamiento de Porter</w:t>
      </w:r>
      <w:r w:rsidR="00FC182F" w:rsidRPr="00B60E6E">
        <w:rPr>
          <w:rFonts w:ascii="Times New Roman" w:hAnsi="Times New Roman" w:cs="Times New Roman"/>
          <w:color w:val="auto"/>
        </w:rPr>
        <w:t xml:space="preserve"> (2015)</w:t>
      </w:r>
      <w:r w:rsidR="00126721" w:rsidRPr="00B60E6E">
        <w:rPr>
          <w:rFonts w:ascii="Times New Roman" w:hAnsi="Times New Roman" w:cs="Times New Roman"/>
          <w:color w:val="auto"/>
        </w:rPr>
        <w:t xml:space="preserve"> y</w:t>
      </w:r>
      <w:r w:rsidRPr="00B60E6E">
        <w:rPr>
          <w:rFonts w:ascii="Times New Roman" w:hAnsi="Times New Roman" w:cs="Times New Roman"/>
          <w:color w:val="auto"/>
        </w:rPr>
        <w:t xml:space="preserve"> retroalimentado por los pasos anteriores.</w:t>
      </w:r>
    </w:p>
    <w:p w14:paraId="50B8C09B" w14:textId="43BA593D" w:rsidR="00711BB9" w:rsidRPr="000346A1" w:rsidRDefault="007F4BF0" w:rsidP="009A517B">
      <w:pPr>
        <w:pStyle w:val="Ttulo1"/>
        <w:rPr>
          <w:rFonts w:ascii="Calibri" w:eastAsia="Times New Roman" w:hAnsi="Calibri" w:cs="Calibri"/>
          <w:color w:val="000000"/>
          <w:sz w:val="28"/>
          <w:szCs w:val="28"/>
          <w:lang w:eastAsia="es-MX"/>
        </w:rPr>
      </w:pPr>
      <w:r w:rsidRPr="000346A1">
        <w:rPr>
          <w:rFonts w:ascii="Calibri" w:eastAsia="Times New Roman" w:hAnsi="Calibri" w:cs="Calibri"/>
          <w:color w:val="000000"/>
          <w:sz w:val="28"/>
          <w:szCs w:val="28"/>
          <w:lang w:eastAsia="es-MX"/>
        </w:rPr>
        <w:t>Resultados y discusión</w:t>
      </w:r>
    </w:p>
    <w:p w14:paraId="190E75AE" w14:textId="1584EFE4" w:rsidR="00BF7B48" w:rsidRPr="00E204E6" w:rsidRDefault="00BF7B48" w:rsidP="009A517B">
      <w:pPr>
        <w:pStyle w:val="Ttulo2"/>
        <w:rPr>
          <w:sz w:val="24"/>
        </w:rPr>
      </w:pPr>
      <w:r w:rsidRPr="00E204E6">
        <w:rPr>
          <w:sz w:val="24"/>
        </w:rPr>
        <w:t>Las cinco fuerzas competitivas en la actividad productiva de la malanga</w:t>
      </w:r>
    </w:p>
    <w:p w14:paraId="70DBECD9" w14:textId="0DCF282E" w:rsidR="009A517B" w:rsidRDefault="009A517B" w:rsidP="009A517B">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BF7B48" w:rsidRPr="00B60E6E">
        <w:rPr>
          <w:rFonts w:ascii="Times New Roman" w:hAnsi="Times New Roman" w:cs="Times New Roman"/>
          <w:sz w:val="24"/>
          <w:szCs w:val="24"/>
        </w:rPr>
        <w:t>En esta sección se aplican las cinco fuerzas competitivas de Porter para llegar a un análisis de la actividad p</w:t>
      </w:r>
      <w:r>
        <w:rPr>
          <w:rFonts w:ascii="Times New Roman" w:hAnsi="Times New Roman" w:cs="Times New Roman"/>
          <w:sz w:val="24"/>
          <w:szCs w:val="24"/>
        </w:rPr>
        <w:t>roductiva de la malanga. En la figura 1</w:t>
      </w:r>
      <w:r w:rsidR="00BF7B48" w:rsidRPr="00B60E6E">
        <w:rPr>
          <w:rFonts w:ascii="Times New Roman" w:hAnsi="Times New Roman" w:cs="Times New Roman"/>
          <w:sz w:val="24"/>
          <w:szCs w:val="24"/>
        </w:rPr>
        <w:t xml:space="preserve"> se muestran las cinco fuer</w:t>
      </w:r>
      <w:r w:rsidR="00742FB1">
        <w:rPr>
          <w:rFonts w:ascii="Times New Roman" w:hAnsi="Times New Roman" w:cs="Times New Roman"/>
          <w:sz w:val="24"/>
          <w:szCs w:val="24"/>
        </w:rPr>
        <w:t>zas de Porter</w:t>
      </w:r>
      <w:r w:rsidR="00BF7B48" w:rsidRPr="00B60E6E">
        <w:rPr>
          <w:rFonts w:ascii="Times New Roman" w:hAnsi="Times New Roman" w:cs="Times New Roman"/>
          <w:sz w:val="24"/>
          <w:szCs w:val="24"/>
        </w:rPr>
        <w:t xml:space="preserve">. </w:t>
      </w:r>
    </w:p>
    <w:p w14:paraId="5F452DD2" w14:textId="7BFBCB92" w:rsidR="00F37E56" w:rsidRDefault="00F37E56" w:rsidP="009A517B">
      <w:pPr>
        <w:autoSpaceDE w:val="0"/>
        <w:autoSpaceDN w:val="0"/>
        <w:adjustRightInd w:val="0"/>
        <w:spacing w:before="100" w:beforeAutospacing="1" w:after="100" w:afterAutospacing="1" w:line="360" w:lineRule="auto"/>
        <w:jc w:val="both"/>
        <w:rPr>
          <w:rFonts w:ascii="Times New Roman" w:hAnsi="Times New Roman" w:cs="Times New Roman"/>
          <w:b/>
          <w:bCs/>
          <w:color w:val="000000"/>
          <w:sz w:val="24"/>
          <w:szCs w:val="24"/>
        </w:rPr>
      </w:pPr>
    </w:p>
    <w:p w14:paraId="05BD8AAA" w14:textId="537D6184" w:rsidR="00F37E56" w:rsidRDefault="00F37E56" w:rsidP="009A517B">
      <w:pPr>
        <w:autoSpaceDE w:val="0"/>
        <w:autoSpaceDN w:val="0"/>
        <w:adjustRightInd w:val="0"/>
        <w:spacing w:before="100" w:beforeAutospacing="1" w:after="100" w:afterAutospacing="1" w:line="360" w:lineRule="auto"/>
        <w:jc w:val="both"/>
        <w:rPr>
          <w:rFonts w:ascii="Times New Roman" w:hAnsi="Times New Roman" w:cs="Times New Roman"/>
          <w:b/>
          <w:bCs/>
          <w:color w:val="000000"/>
          <w:sz w:val="24"/>
          <w:szCs w:val="24"/>
        </w:rPr>
      </w:pPr>
    </w:p>
    <w:p w14:paraId="0C12E2EB" w14:textId="4B97FC4E" w:rsidR="00F37E56" w:rsidRDefault="00F37E56" w:rsidP="009A517B">
      <w:pPr>
        <w:autoSpaceDE w:val="0"/>
        <w:autoSpaceDN w:val="0"/>
        <w:adjustRightInd w:val="0"/>
        <w:spacing w:before="100" w:beforeAutospacing="1" w:after="100" w:afterAutospacing="1" w:line="360" w:lineRule="auto"/>
        <w:jc w:val="both"/>
        <w:rPr>
          <w:rFonts w:ascii="Times New Roman" w:hAnsi="Times New Roman" w:cs="Times New Roman"/>
          <w:b/>
          <w:bCs/>
          <w:color w:val="000000"/>
          <w:sz w:val="24"/>
          <w:szCs w:val="24"/>
        </w:rPr>
      </w:pPr>
    </w:p>
    <w:p w14:paraId="20B71940" w14:textId="2B5068B8" w:rsidR="00F37E56" w:rsidRDefault="00F37E56" w:rsidP="009A517B">
      <w:pPr>
        <w:autoSpaceDE w:val="0"/>
        <w:autoSpaceDN w:val="0"/>
        <w:adjustRightInd w:val="0"/>
        <w:spacing w:before="100" w:beforeAutospacing="1" w:after="100" w:afterAutospacing="1" w:line="360" w:lineRule="auto"/>
        <w:jc w:val="both"/>
        <w:rPr>
          <w:rFonts w:ascii="Times New Roman" w:hAnsi="Times New Roman" w:cs="Times New Roman"/>
          <w:b/>
          <w:bCs/>
          <w:color w:val="000000"/>
          <w:sz w:val="24"/>
          <w:szCs w:val="24"/>
        </w:rPr>
      </w:pPr>
    </w:p>
    <w:p w14:paraId="46CE24B9" w14:textId="6D63AACA" w:rsidR="00F37E56" w:rsidRDefault="00F37E56" w:rsidP="009A517B">
      <w:pPr>
        <w:autoSpaceDE w:val="0"/>
        <w:autoSpaceDN w:val="0"/>
        <w:adjustRightInd w:val="0"/>
        <w:spacing w:before="100" w:beforeAutospacing="1" w:after="100" w:afterAutospacing="1" w:line="360" w:lineRule="auto"/>
        <w:jc w:val="both"/>
        <w:rPr>
          <w:rFonts w:ascii="Times New Roman" w:hAnsi="Times New Roman" w:cs="Times New Roman"/>
          <w:b/>
          <w:bCs/>
          <w:color w:val="000000"/>
          <w:sz w:val="24"/>
          <w:szCs w:val="24"/>
        </w:rPr>
      </w:pPr>
    </w:p>
    <w:p w14:paraId="239C0291" w14:textId="331B3FD4" w:rsidR="00F37E56" w:rsidRDefault="00F37E56" w:rsidP="009A517B">
      <w:pPr>
        <w:autoSpaceDE w:val="0"/>
        <w:autoSpaceDN w:val="0"/>
        <w:adjustRightInd w:val="0"/>
        <w:spacing w:before="100" w:beforeAutospacing="1" w:after="100" w:afterAutospacing="1" w:line="360" w:lineRule="auto"/>
        <w:jc w:val="both"/>
        <w:rPr>
          <w:rFonts w:ascii="Times New Roman" w:hAnsi="Times New Roman" w:cs="Times New Roman"/>
          <w:b/>
          <w:bCs/>
          <w:color w:val="000000"/>
          <w:sz w:val="24"/>
          <w:szCs w:val="24"/>
        </w:rPr>
      </w:pPr>
    </w:p>
    <w:p w14:paraId="376C88F9" w14:textId="59CF93F1" w:rsidR="00F37E56" w:rsidRDefault="00F37E56" w:rsidP="009A517B">
      <w:pPr>
        <w:autoSpaceDE w:val="0"/>
        <w:autoSpaceDN w:val="0"/>
        <w:adjustRightInd w:val="0"/>
        <w:spacing w:before="100" w:beforeAutospacing="1" w:after="100" w:afterAutospacing="1" w:line="360" w:lineRule="auto"/>
        <w:jc w:val="both"/>
        <w:rPr>
          <w:rFonts w:ascii="Times New Roman" w:hAnsi="Times New Roman" w:cs="Times New Roman"/>
          <w:b/>
          <w:bCs/>
          <w:color w:val="000000"/>
          <w:sz w:val="24"/>
          <w:szCs w:val="24"/>
        </w:rPr>
      </w:pPr>
    </w:p>
    <w:p w14:paraId="0B6B7C71" w14:textId="3591A024" w:rsidR="00F37E56" w:rsidRDefault="00F37E56" w:rsidP="009A517B">
      <w:pPr>
        <w:autoSpaceDE w:val="0"/>
        <w:autoSpaceDN w:val="0"/>
        <w:adjustRightInd w:val="0"/>
        <w:spacing w:before="100" w:beforeAutospacing="1" w:after="100" w:afterAutospacing="1" w:line="360" w:lineRule="auto"/>
        <w:jc w:val="both"/>
        <w:rPr>
          <w:rFonts w:ascii="Times New Roman" w:hAnsi="Times New Roman" w:cs="Times New Roman"/>
          <w:b/>
          <w:bCs/>
          <w:color w:val="000000"/>
          <w:sz w:val="24"/>
          <w:szCs w:val="24"/>
        </w:rPr>
      </w:pPr>
    </w:p>
    <w:p w14:paraId="2EB95B8C" w14:textId="77777777" w:rsidR="00F37E56" w:rsidRPr="00B60E6E" w:rsidRDefault="00F37E56" w:rsidP="009A517B">
      <w:pPr>
        <w:autoSpaceDE w:val="0"/>
        <w:autoSpaceDN w:val="0"/>
        <w:adjustRightInd w:val="0"/>
        <w:spacing w:before="100" w:beforeAutospacing="1" w:after="100" w:afterAutospacing="1" w:line="360" w:lineRule="auto"/>
        <w:jc w:val="both"/>
        <w:rPr>
          <w:rFonts w:ascii="Times New Roman" w:hAnsi="Times New Roman" w:cs="Times New Roman"/>
          <w:b/>
          <w:bCs/>
          <w:color w:val="000000"/>
          <w:sz w:val="24"/>
          <w:szCs w:val="24"/>
        </w:rPr>
      </w:pPr>
    </w:p>
    <w:p w14:paraId="5DAF58DB" w14:textId="7727417C" w:rsidR="00BF7B48" w:rsidRPr="0093123E" w:rsidRDefault="0093123E" w:rsidP="00BF7B48">
      <w:pPr>
        <w:autoSpaceDE w:val="0"/>
        <w:autoSpaceDN w:val="0"/>
        <w:adjustRightInd w:val="0"/>
        <w:spacing w:before="100" w:beforeAutospacing="1" w:after="100" w:afterAutospacing="1" w:line="360" w:lineRule="auto"/>
        <w:jc w:val="center"/>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Figura 1.</w:t>
      </w:r>
      <w:r w:rsidR="00BF7B48" w:rsidRPr="00B60E6E">
        <w:rPr>
          <w:rFonts w:ascii="Times New Roman" w:hAnsi="Times New Roman" w:cs="Times New Roman"/>
          <w:b/>
          <w:bCs/>
          <w:color w:val="000000"/>
          <w:sz w:val="24"/>
          <w:szCs w:val="24"/>
        </w:rPr>
        <w:t xml:space="preserve"> </w:t>
      </w:r>
      <w:r w:rsidR="00BF7B48" w:rsidRPr="0093123E">
        <w:rPr>
          <w:rFonts w:ascii="Times New Roman" w:hAnsi="Times New Roman" w:cs="Times New Roman"/>
          <w:bCs/>
          <w:color w:val="000000"/>
          <w:sz w:val="24"/>
          <w:szCs w:val="24"/>
        </w:rPr>
        <w:t>Las cinco fuerzas competitivas en la actividad productiva de la malanga</w:t>
      </w:r>
    </w:p>
    <w:p w14:paraId="2AF0C4E4" w14:textId="32E4EA95" w:rsidR="00BF7B48" w:rsidRPr="00B60E6E" w:rsidRDefault="00BF7B48" w:rsidP="00BF7B48">
      <w:pPr>
        <w:jc w:val="center"/>
      </w:pPr>
      <w:r w:rsidRPr="00B60E6E">
        <w:rPr>
          <w:noProof/>
          <w:lang w:eastAsia="es-MX"/>
        </w:rPr>
        <w:drawing>
          <wp:inline distT="0" distB="0" distL="0" distR="0" wp14:anchorId="0A0C34E2" wp14:editId="6D970027">
            <wp:extent cx="5320027" cy="4326369"/>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19009" t="14792" r="25323" b="4610"/>
                    <a:stretch>
                      <a:fillRect/>
                    </a:stretch>
                  </pic:blipFill>
                  <pic:spPr bwMode="auto">
                    <a:xfrm>
                      <a:off x="0" y="0"/>
                      <a:ext cx="5322476" cy="4328360"/>
                    </a:xfrm>
                    <a:prstGeom prst="rect">
                      <a:avLst/>
                    </a:prstGeom>
                    <a:noFill/>
                    <a:ln>
                      <a:noFill/>
                    </a:ln>
                  </pic:spPr>
                </pic:pic>
              </a:graphicData>
            </a:graphic>
          </wp:inline>
        </w:drawing>
      </w:r>
    </w:p>
    <w:p w14:paraId="71BE37EA" w14:textId="5CE3F515" w:rsidR="00BF7B48" w:rsidRPr="00B60E6E" w:rsidRDefault="00BF7B48" w:rsidP="0093123E">
      <w:pPr>
        <w:spacing w:before="100" w:beforeAutospacing="1" w:after="100" w:afterAutospacing="1" w:line="360" w:lineRule="auto"/>
        <w:jc w:val="center"/>
        <w:rPr>
          <w:rFonts w:ascii="Times New Roman" w:hAnsi="Times New Roman" w:cs="Times New Roman"/>
          <w:sz w:val="24"/>
          <w:szCs w:val="24"/>
        </w:rPr>
      </w:pPr>
      <w:r w:rsidRPr="00B60E6E">
        <w:rPr>
          <w:rFonts w:ascii="Times New Roman" w:hAnsi="Times New Roman" w:cs="Times New Roman"/>
          <w:sz w:val="24"/>
          <w:szCs w:val="24"/>
        </w:rPr>
        <w:t>Fuente: Elaboración propia a partir de</w:t>
      </w:r>
      <w:r w:rsidR="0093123E">
        <w:rPr>
          <w:rFonts w:ascii="Times New Roman" w:hAnsi="Times New Roman" w:cs="Times New Roman"/>
          <w:sz w:val="24"/>
          <w:szCs w:val="24"/>
        </w:rPr>
        <w:t>l</w:t>
      </w:r>
      <w:r w:rsidRPr="00B60E6E">
        <w:rPr>
          <w:rFonts w:ascii="Times New Roman" w:hAnsi="Times New Roman" w:cs="Times New Roman"/>
          <w:sz w:val="24"/>
          <w:szCs w:val="24"/>
        </w:rPr>
        <w:t xml:space="preserve"> estudio cualitativo basado en Por</w:t>
      </w:r>
      <w:r w:rsidR="0093123E">
        <w:rPr>
          <w:rFonts w:ascii="Times New Roman" w:hAnsi="Times New Roman" w:cs="Times New Roman"/>
          <w:sz w:val="24"/>
          <w:szCs w:val="24"/>
        </w:rPr>
        <w:t>ter (2008)</w:t>
      </w:r>
    </w:p>
    <w:p w14:paraId="29740B17" w14:textId="4192874F" w:rsidR="00BF7B48" w:rsidRPr="00E204E6" w:rsidRDefault="00BF7B48" w:rsidP="00E204E6">
      <w:pPr>
        <w:pStyle w:val="Ttulo2"/>
        <w:rPr>
          <w:sz w:val="24"/>
        </w:rPr>
      </w:pPr>
      <w:r w:rsidRPr="00E204E6">
        <w:rPr>
          <w:sz w:val="24"/>
        </w:rPr>
        <w:t>Amenaza</w:t>
      </w:r>
      <w:r w:rsidR="0093123E" w:rsidRPr="00E204E6">
        <w:rPr>
          <w:sz w:val="24"/>
        </w:rPr>
        <w:t xml:space="preserve"> de nuevos participantes (alto)</w:t>
      </w:r>
    </w:p>
    <w:p w14:paraId="77EA30FE" w14:textId="0FFAA0D0" w:rsidR="0093123E" w:rsidRDefault="0093123E" w:rsidP="0093123E">
      <w:pPr>
        <w:autoSpaceDE w:val="0"/>
        <w:autoSpaceDN w:val="0"/>
        <w:adjustRightInd w:val="0"/>
        <w:spacing w:before="100" w:beforeAutospacing="1" w:after="100" w:afterAutospacing="1"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BE6D68" w:rsidRPr="00B60E6E">
        <w:rPr>
          <w:rFonts w:ascii="Times New Roman" w:hAnsi="Times New Roman" w:cs="Times New Roman"/>
          <w:bCs/>
          <w:color w:val="000000"/>
          <w:sz w:val="24"/>
          <w:szCs w:val="24"/>
        </w:rPr>
        <w:t>El propósito de l</w:t>
      </w:r>
      <w:r w:rsidR="00BF7B48" w:rsidRPr="00B60E6E">
        <w:rPr>
          <w:rFonts w:ascii="Times New Roman" w:hAnsi="Times New Roman" w:cs="Times New Roman"/>
          <w:bCs/>
          <w:color w:val="000000"/>
          <w:sz w:val="24"/>
          <w:szCs w:val="24"/>
        </w:rPr>
        <w:t xml:space="preserve">a producción de malanga </w:t>
      </w:r>
      <w:r w:rsidR="001E7D28" w:rsidRPr="00B60E6E">
        <w:rPr>
          <w:rFonts w:ascii="Times New Roman" w:hAnsi="Times New Roman" w:cs="Times New Roman"/>
          <w:bCs/>
          <w:color w:val="000000"/>
          <w:sz w:val="24"/>
          <w:szCs w:val="24"/>
        </w:rPr>
        <w:t>mexicana</w:t>
      </w:r>
      <w:r w:rsidR="00BF7B48" w:rsidRPr="00B60E6E">
        <w:rPr>
          <w:rFonts w:ascii="Times New Roman" w:hAnsi="Times New Roman" w:cs="Times New Roman"/>
          <w:bCs/>
          <w:color w:val="000000"/>
          <w:sz w:val="24"/>
          <w:szCs w:val="24"/>
        </w:rPr>
        <w:t xml:space="preserve"> </w:t>
      </w:r>
      <w:r w:rsidR="00BE6D68" w:rsidRPr="00B60E6E">
        <w:rPr>
          <w:rFonts w:ascii="Times New Roman" w:hAnsi="Times New Roman" w:cs="Times New Roman"/>
          <w:bCs/>
          <w:color w:val="000000"/>
          <w:sz w:val="24"/>
          <w:szCs w:val="24"/>
        </w:rPr>
        <w:t>es</w:t>
      </w:r>
      <w:r w:rsidR="00BF7B48" w:rsidRPr="00B60E6E">
        <w:rPr>
          <w:rFonts w:ascii="Times New Roman" w:hAnsi="Times New Roman" w:cs="Times New Roman"/>
          <w:bCs/>
          <w:color w:val="000000"/>
          <w:sz w:val="24"/>
          <w:szCs w:val="24"/>
        </w:rPr>
        <w:t xml:space="preserve"> ser cultivada para</w:t>
      </w:r>
      <w:r w:rsidR="00BE6D68" w:rsidRPr="00B60E6E">
        <w:rPr>
          <w:rFonts w:ascii="Times New Roman" w:hAnsi="Times New Roman" w:cs="Times New Roman"/>
          <w:bCs/>
          <w:color w:val="000000"/>
          <w:sz w:val="24"/>
          <w:szCs w:val="24"/>
        </w:rPr>
        <w:t xml:space="preserve"> exportase casi en su totalidad a</w:t>
      </w:r>
      <w:r w:rsidR="00BF7B48" w:rsidRPr="00B60E6E">
        <w:rPr>
          <w:rFonts w:ascii="Times New Roman" w:hAnsi="Times New Roman" w:cs="Times New Roman"/>
          <w:bCs/>
          <w:color w:val="000000"/>
          <w:sz w:val="24"/>
          <w:szCs w:val="24"/>
        </w:rPr>
        <w:t xml:space="preserve"> Canadá y</w:t>
      </w:r>
      <w:r>
        <w:rPr>
          <w:rFonts w:ascii="Times New Roman" w:hAnsi="Times New Roman" w:cs="Times New Roman"/>
          <w:bCs/>
          <w:color w:val="000000"/>
          <w:sz w:val="24"/>
          <w:szCs w:val="24"/>
        </w:rPr>
        <w:t xml:space="preserve"> a</w:t>
      </w:r>
      <w:r w:rsidR="00BF7B48" w:rsidRPr="00B60E6E">
        <w:rPr>
          <w:rFonts w:ascii="Times New Roman" w:hAnsi="Times New Roman" w:cs="Times New Roman"/>
          <w:bCs/>
          <w:color w:val="000000"/>
          <w:sz w:val="24"/>
          <w:szCs w:val="24"/>
        </w:rPr>
        <w:t xml:space="preserve"> Estados Unidos (</w:t>
      </w:r>
      <w:r>
        <w:rPr>
          <w:rFonts w:ascii="Times New Roman" w:hAnsi="Times New Roman" w:cs="Times New Roman"/>
          <w:bCs/>
          <w:color w:val="000000"/>
          <w:sz w:val="24"/>
          <w:szCs w:val="24"/>
        </w:rPr>
        <w:t>EE. UU.</w:t>
      </w:r>
      <w:r w:rsidR="00BF7B48" w:rsidRPr="00B60E6E">
        <w:rPr>
          <w:rFonts w:ascii="Times New Roman" w:hAnsi="Times New Roman" w:cs="Times New Roman"/>
          <w:bCs/>
          <w:color w:val="000000"/>
          <w:sz w:val="24"/>
          <w:szCs w:val="24"/>
        </w:rPr>
        <w:t>). Actualmente</w:t>
      </w:r>
      <w:r>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este sector mexicano se ha perfilado como un retador ante </w:t>
      </w:r>
      <w:r w:rsidR="006C0F7D" w:rsidRPr="00B60E6E">
        <w:rPr>
          <w:rFonts w:ascii="Times New Roman" w:hAnsi="Times New Roman" w:cs="Times New Roman"/>
          <w:bCs/>
          <w:color w:val="000000"/>
          <w:sz w:val="24"/>
          <w:szCs w:val="24"/>
        </w:rPr>
        <w:t>productores</w:t>
      </w:r>
      <w:r w:rsidR="00BF7B48" w:rsidRPr="00B60E6E">
        <w:rPr>
          <w:rFonts w:ascii="Times New Roman" w:hAnsi="Times New Roman" w:cs="Times New Roman"/>
          <w:bCs/>
          <w:color w:val="000000"/>
          <w:sz w:val="24"/>
          <w:szCs w:val="24"/>
        </w:rPr>
        <w:t xml:space="preserve"> internacionales, principalmente desde el año 2012</w:t>
      </w:r>
      <w:r>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cuando </w:t>
      </w:r>
      <w:r w:rsidR="00742FB1">
        <w:rPr>
          <w:rFonts w:ascii="Times New Roman" w:hAnsi="Times New Roman" w:cs="Times New Roman"/>
          <w:bCs/>
          <w:color w:val="000000"/>
          <w:sz w:val="24"/>
          <w:szCs w:val="24"/>
        </w:rPr>
        <w:t>aparecen</w:t>
      </w:r>
      <w:r w:rsidR="00BF7B48" w:rsidRPr="00B60E6E">
        <w:rPr>
          <w:rFonts w:ascii="Times New Roman" w:hAnsi="Times New Roman" w:cs="Times New Roman"/>
          <w:bCs/>
          <w:color w:val="000000"/>
          <w:sz w:val="24"/>
          <w:szCs w:val="24"/>
        </w:rPr>
        <w:t xml:space="preserve"> </w:t>
      </w:r>
      <w:r w:rsidR="00742FB1">
        <w:rPr>
          <w:rFonts w:ascii="Times New Roman" w:hAnsi="Times New Roman" w:cs="Times New Roman"/>
          <w:bCs/>
          <w:color w:val="000000"/>
          <w:sz w:val="24"/>
          <w:szCs w:val="24"/>
        </w:rPr>
        <w:t xml:space="preserve">los </w:t>
      </w:r>
      <w:r w:rsidR="00BF7B48" w:rsidRPr="00B60E6E">
        <w:rPr>
          <w:rFonts w:ascii="Times New Roman" w:hAnsi="Times New Roman" w:cs="Times New Roman"/>
          <w:bCs/>
          <w:color w:val="000000"/>
          <w:sz w:val="24"/>
          <w:szCs w:val="24"/>
        </w:rPr>
        <w:t xml:space="preserve">primeros registros de importación en Canadá y </w:t>
      </w:r>
      <w:r>
        <w:rPr>
          <w:rFonts w:ascii="Times New Roman" w:hAnsi="Times New Roman" w:cs="Times New Roman"/>
          <w:bCs/>
          <w:color w:val="000000"/>
          <w:sz w:val="24"/>
          <w:szCs w:val="24"/>
        </w:rPr>
        <w:t>en EE. UU.</w:t>
      </w:r>
      <w:r w:rsidR="00BF7B48" w:rsidRPr="00B60E6E">
        <w:rPr>
          <w:rFonts w:ascii="Times New Roman" w:hAnsi="Times New Roman" w:cs="Times New Roman"/>
          <w:bCs/>
          <w:color w:val="000000"/>
          <w:sz w:val="24"/>
          <w:szCs w:val="24"/>
        </w:rPr>
        <w:t xml:space="preserve"> (</w:t>
      </w:r>
      <w:r w:rsidR="00BF7B48" w:rsidRPr="00B60E6E">
        <w:rPr>
          <w:rFonts w:ascii="Times New Roman" w:hAnsi="Times New Roman" w:cs="Times New Roman"/>
          <w:sz w:val="24"/>
          <w:szCs w:val="24"/>
        </w:rPr>
        <w:t>STATCAN, 2017; USDA, 2017)</w:t>
      </w:r>
      <w:r w:rsidR="00BF7B48" w:rsidRPr="00B60E6E">
        <w:rPr>
          <w:rFonts w:ascii="Times New Roman" w:hAnsi="Times New Roman" w:cs="Times New Roman"/>
          <w:bCs/>
          <w:color w:val="000000"/>
          <w:sz w:val="24"/>
          <w:szCs w:val="24"/>
        </w:rPr>
        <w:t xml:space="preserve">. </w:t>
      </w:r>
      <w:r w:rsidR="001E7D28" w:rsidRPr="00B60E6E">
        <w:rPr>
          <w:rFonts w:ascii="Times New Roman" w:hAnsi="Times New Roman" w:cs="Times New Roman"/>
          <w:bCs/>
          <w:color w:val="000000"/>
          <w:sz w:val="24"/>
          <w:szCs w:val="24"/>
        </w:rPr>
        <w:t>L</w:t>
      </w:r>
      <w:r w:rsidR="00B83E7B" w:rsidRPr="00B60E6E">
        <w:rPr>
          <w:rFonts w:ascii="Times New Roman" w:hAnsi="Times New Roman" w:cs="Times New Roman"/>
          <w:bCs/>
          <w:color w:val="000000"/>
          <w:sz w:val="24"/>
          <w:szCs w:val="24"/>
        </w:rPr>
        <w:t>a principal</w:t>
      </w:r>
      <w:r w:rsidR="00BF7B48" w:rsidRPr="00B60E6E">
        <w:rPr>
          <w:rFonts w:ascii="Times New Roman" w:hAnsi="Times New Roman" w:cs="Times New Roman"/>
          <w:bCs/>
          <w:color w:val="000000"/>
          <w:sz w:val="24"/>
          <w:szCs w:val="24"/>
        </w:rPr>
        <w:t xml:space="preserve"> amenaza </w:t>
      </w:r>
      <w:r w:rsidR="001E7D28" w:rsidRPr="00B60E6E">
        <w:rPr>
          <w:rFonts w:ascii="Times New Roman" w:hAnsi="Times New Roman" w:cs="Times New Roman"/>
          <w:bCs/>
          <w:color w:val="000000"/>
          <w:sz w:val="24"/>
          <w:szCs w:val="24"/>
        </w:rPr>
        <w:t xml:space="preserve">tanto en el mercado canadiense como en el estadounidense </w:t>
      </w:r>
      <w:r w:rsidR="00BF7B48" w:rsidRPr="00B60E6E">
        <w:rPr>
          <w:rFonts w:ascii="Times New Roman" w:hAnsi="Times New Roman" w:cs="Times New Roman"/>
          <w:bCs/>
          <w:color w:val="000000"/>
          <w:sz w:val="24"/>
          <w:szCs w:val="24"/>
        </w:rPr>
        <w:t xml:space="preserve">para los productores de malanga </w:t>
      </w:r>
      <w:r w:rsidR="00116400" w:rsidRPr="00B60E6E">
        <w:rPr>
          <w:rFonts w:ascii="Times New Roman" w:hAnsi="Times New Roman" w:cs="Times New Roman"/>
          <w:bCs/>
          <w:color w:val="000000"/>
          <w:sz w:val="24"/>
          <w:szCs w:val="24"/>
        </w:rPr>
        <w:t>mexicana</w:t>
      </w:r>
      <w:r w:rsidR="00BF7B48" w:rsidRPr="00B60E6E">
        <w:rPr>
          <w:rFonts w:ascii="Times New Roman" w:hAnsi="Times New Roman" w:cs="Times New Roman"/>
          <w:bCs/>
          <w:color w:val="000000"/>
          <w:sz w:val="24"/>
          <w:szCs w:val="24"/>
        </w:rPr>
        <w:t xml:space="preserve"> </w:t>
      </w:r>
      <w:r w:rsidR="001E7D28" w:rsidRPr="00B60E6E">
        <w:rPr>
          <w:rFonts w:ascii="Times New Roman" w:hAnsi="Times New Roman" w:cs="Times New Roman"/>
          <w:bCs/>
          <w:color w:val="000000"/>
          <w:sz w:val="24"/>
          <w:szCs w:val="24"/>
        </w:rPr>
        <w:t>es la originaria</w:t>
      </w:r>
      <w:r w:rsidR="00BF7B48" w:rsidRPr="00B60E6E">
        <w:rPr>
          <w:rFonts w:ascii="Times New Roman" w:hAnsi="Times New Roman" w:cs="Times New Roman"/>
          <w:bCs/>
          <w:color w:val="000000"/>
          <w:sz w:val="24"/>
          <w:szCs w:val="24"/>
        </w:rPr>
        <w:t xml:space="preserve"> de otros países</w:t>
      </w:r>
      <w:r w:rsidR="00B83E7B" w:rsidRPr="00B60E6E">
        <w:rPr>
          <w:rFonts w:ascii="Times New Roman" w:hAnsi="Times New Roman" w:cs="Times New Roman"/>
          <w:bCs/>
          <w:color w:val="000000"/>
          <w:sz w:val="24"/>
          <w:szCs w:val="24"/>
        </w:rPr>
        <w:t xml:space="preserve">. </w:t>
      </w:r>
    </w:p>
    <w:p w14:paraId="431FCCEA" w14:textId="73BF8D5E" w:rsidR="00BF7B48" w:rsidRPr="00B60E6E" w:rsidRDefault="0093123E" w:rsidP="0093123E">
      <w:pPr>
        <w:autoSpaceDE w:val="0"/>
        <w:autoSpaceDN w:val="0"/>
        <w:adjustRightInd w:val="0"/>
        <w:spacing w:before="100" w:beforeAutospacing="1" w:after="100" w:afterAutospacing="1"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ab/>
      </w:r>
      <w:r w:rsidR="00BF7B48" w:rsidRPr="00B60E6E">
        <w:rPr>
          <w:rFonts w:ascii="Times New Roman" w:hAnsi="Times New Roman" w:cs="Times New Roman"/>
          <w:bCs/>
          <w:color w:val="000000"/>
          <w:sz w:val="24"/>
          <w:szCs w:val="24"/>
        </w:rPr>
        <w:t>En Canadá</w:t>
      </w:r>
      <w:r w:rsidR="0052115A">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la importación</w:t>
      </w:r>
      <w:r>
        <w:rPr>
          <w:rFonts w:ascii="Times New Roman" w:hAnsi="Times New Roman" w:cs="Times New Roman"/>
          <w:bCs/>
          <w:color w:val="000000"/>
          <w:sz w:val="24"/>
          <w:szCs w:val="24"/>
        </w:rPr>
        <w:t xml:space="preserve"> de malanga mexicana en 2016</w:t>
      </w:r>
      <w:r w:rsidR="00BF7B48" w:rsidRPr="00B60E6E">
        <w:rPr>
          <w:rFonts w:ascii="Times New Roman" w:hAnsi="Times New Roman" w:cs="Times New Roman"/>
          <w:bCs/>
          <w:color w:val="000000"/>
          <w:sz w:val="24"/>
          <w:szCs w:val="24"/>
        </w:rPr>
        <w:t xml:space="preserve"> ocu</w:t>
      </w:r>
      <w:r>
        <w:rPr>
          <w:rFonts w:ascii="Times New Roman" w:hAnsi="Times New Roman" w:cs="Times New Roman"/>
          <w:bCs/>
          <w:color w:val="000000"/>
          <w:sz w:val="24"/>
          <w:szCs w:val="24"/>
        </w:rPr>
        <w:t>pó el segundo lugar según</w:t>
      </w:r>
      <w:r w:rsidR="00BF7B48" w:rsidRPr="00B60E6E">
        <w:rPr>
          <w:rFonts w:ascii="Times New Roman" w:hAnsi="Times New Roman" w:cs="Times New Roman"/>
          <w:bCs/>
          <w:color w:val="000000"/>
          <w:sz w:val="24"/>
          <w:szCs w:val="24"/>
        </w:rPr>
        <w:t xml:space="preserve"> su valor monetario</w:t>
      </w:r>
      <w:r>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con 32.8</w:t>
      </w:r>
      <w:r>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 del valo</w:t>
      </w:r>
      <w:r>
        <w:rPr>
          <w:rFonts w:ascii="Times New Roman" w:hAnsi="Times New Roman" w:cs="Times New Roman"/>
          <w:bCs/>
          <w:color w:val="000000"/>
          <w:sz w:val="24"/>
          <w:szCs w:val="24"/>
        </w:rPr>
        <w:t>r total importado (</w:t>
      </w:r>
      <w:r w:rsidRPr="006D13A8">
        <w:rPr>
          <w:rFonts w:ascii="Times New Roman" w:hAnsi="Times New Roman" w:cs="Times New Roman"/>
          <w:bCs/>
          <w:color w:val="000000"/>
          <w:spacing w:val="-20"/>
          <w:sz w:val="24"/>
          <w:szCs w:val="24"/>
          <w14:ligatures w14:val="standardContextual"/>
        </w:rPr>
        <w:t xml:space="preserve">15 </w:t>
      </w:r>
      <w:r w:rsidR="00BF7B48" w:rsidRPr="006D13A8">
        <w:rPr>
          <w:rFonts w:ascii="Times New Roman" w:hAnsi="Times New Roman" w:cs="Times New Roman"/>
          <w:bCs/>
          <w:color w:val="000000"/>
          <w:spacing w:val="-20"/>
          <w:sz w:val="24"/>
          <w:szCs w:val="24"/>
          <w14:ligatures w14:val="standardContextual"/>
        </w:rPr>
        <w:t>060</w:t>
      </w:r>
      <w:r w:rsidRPr="006D13A8">
        <w:rPr>
          <w:rFonts w:ascii="Times New Roman" w:hAnsi="Times New Roman" w:cs="Times New Roman"/>
          <w:bCs/>
          <w:color w:val="000000"/>
          <w:spacing w:val="-20"/>
          <w:sz w:val="24"/>
          <w:szCs w:val="24"/>
          <w14:ligatures w14:val="standardContextual"/>
        </w:rPr>
        <w:t xml:space="preserve"> 167</w:t>
      </w:r>
      <w:r>
        <w:rPr>
          <w:rFonts w:ascii="Times New Roman" w:hAnsi="Times New Roman" w:cs="Times New Roman"/>
          <w:bCs/>
          <w:color w:val="000000"/>
          <w:sz w:val="24"/>
          <w:szCs w:val="24"/>
        </w:rPr>
        <w:t xml:space="preserve"> pesos), lo que equivale a</w:t>
      </w:r>
      <w:r w:rsidR="00BF7B48" w:rsidRPr="00B60E6E">
        <w:rPr>
          <w:rFonts w:ascii="Times New Roman" w:hAnsi="Times New Roman" w:cs="Times New Roman"/>
          <w:bCs/>
          <w:color w:val="000000"/>
          <w:sz w:val="24"/>
          <w:szCs w:val="24"/>
        </w:rPr>
        <w:t xml:space="preserve"> 44.6</w:t>
      </w:r>
      <w:r>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 xml:space="preserve">% de </w:t>
      </w:r>
      <w:r>
        <w:rPr>
          <w:rFonts w:ascii="Times New Roman" w:hAnsi="Times New Roman" w:cs="Times New Roman"/>
          <w:bCs/>
          <w:color w:val="000000"/>
          <w:sz w:val="24"/>
          <w:szCs w:val="24"/>
        </w:rPr>
        <w:t>la cantidad total importada (</w:t>
      </w:r>
      <w:r w:rsidRPr="006D13A8">
        <w:rPr>
          <w:rFonts w:ascii="Times New Roman" w:hAnsi="Times New Roman" w:cs="Times New Roman"/>
          <w:bCs/>
          <w:color w:val="000000"/>
          <w:spacing w:val="-20"/>
          <w:sz w:val="24"/>
          <w:szCs w:val="24"/>
        </w:rPr>
        <w:t>1 112 398</w:t>
      </w:r>
      <w:r w:rsidR="0052115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kg). E</w:t>
      </w:r>
      <w:r w:rsidR="00BF7B48" w:rsidRPr="00B60E6E">
        <w:rPr>
          <w:rFonts w:ascii="Times New Roman" w:hAnsi="Times New Roman" w:cs="Times New Roman"/>
          <w:bCs/>
          <w:color w:val="000000"/>
          <w:sz w:val="24"/>
          <w:szCs w:val="24"/>
        </w:rPr>
        <w:t>l primer lugar lo tuvo China</w:t>
      </w:r>
      <w:r w:rsidR="0052115A">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con 42.3 % en valor monetario (</w:t>
      </w:r>
      <w:r w:rsidRPr="006D13A8">
        <w:rPr>
          <w:rFonts w:ascii="Times New Roman" w:hAnsi="Times New Roman" w:cs="Times New Roman"/>
          <w:bCs/>
          <w:color w:val="000000"/>
          <w:spacing w:val="-20"/>
          <w:sz w:val="24"/>
          <w:szCs w:val="24"/>
        </w:rPr>
        <w:t xml:space="preserve">19 430 </w:t>
      </w:r>
      <w:r w:rsidR="00BF7B48" w:rsidRPr="006D13A8">
        <w:rPr>
          <w:rFonts w:ascii="Times New Roman" w:hAnsi="Times New Roman" w:cs="Times New Roman"/>
          <w:bCs/>
          <w:color w:val="000000"/>
          <w:spacing w:val="-20"/>
          <w:sz w:val="24"/>
          <w:szCs w:val="24"/>
        </w:rPr>
        <w:t>039</w:t>
      </w:r>
      <w:r w:rsidR="00BF7B48" w:rsidRPr="00B60E6E">
        <w:rPr>
          <w:rFonts w:ascii="Times New Roman" w:hAnsi="Times New Roman" w:cs="Times New Roman"/>
          <w:bCs/>
          <w:color w:val="000000"/>
          <w:sz w:val="24"/>
          <w:szCs w:val="24"/>
        </w:rPr>
        <w:t xml:space="preserve"> pesos), </w:t>
      </w:r>
      <w:r>
        <w:rPr>
          <w:rFonts w:ascii="Times New Roman" w:hAnsi="Times New Roman" w:cs="Times New Roman"/>
          <w:bCs/>
          <w:color w:val="000000"/>
          <w:sz w:val="24"/>
          <w:szCs w:val="24"/>
        </w:rPr>
        <w:t>lo cual equivale a</w:t>
      </w:r>
      <w:r w:rsidR="00BF7B48" w:rsidRPr="00B60E6E">
        <w:rPr>
          <w:rFonts w:ascii="Times New Roman" w:hAnsi="Times New Roman" w:cs="Times New Roman"/>
          <w:bCs/>
          <w:color w:val="000000"/>
          <w:sz w:val="24"/>
          <w:szCs w:val="24"/>
        </w:rPr>
        <w:t xml:space="preserve"> 41.4</w:t>
      </w:r>
      <w:r>
        <w:rPr>
          <w:rFonts w:ascii="Times New Roman" w:hAnsi="Times New Roman" w:cs="Times New Roman"/>
          <w:bCs/>
          <w:color w:val="000000"/>
          <w:sz w:val="24"/>
          <w:szCs w:val="24"/>
        </w:rPr>
        <w:t xml:space="preserve"> % en cantidad (</w:t>
      </w:r>
      <w:r w:rsidRPr="006D13A8">
        <w:rPr>
          <w:rFonts w:ascii="Times New Roman" w:hAnsi="Times New Roman" w:cs="Times New Roman"/>
          <w:bCs/>
          <w:color w:val="000000"/>
          <w:spacing w:val="-20"/>
          <w:sz w:val="24"/>
          <w:szCs w:val="24"/>
        </w:rPr>
        <w:t>1 031 907</w:t>
      </w:r>
      <w:r>
        <w:rPr>
          <w:rFonts w:ascii="Times New Roman" w:hAnsi="Times New Roman" w:cs="Times New Roman"/>
          <w:bCs/>
          <w:color w:val="000000"/>
          <w:sz w:val="24"/>
          <w:szCs w:val="24"/>
        </w:rPr>
        <w:t xml:space="preserve"> kg). El tercer lugar lo ocupó </w:t>
      </w:r>
      <w:r w:rsidRPr="00B60E6E">
        <w:rPr>
          <w:rFonts w:ascii="Times New Roman" w:hAnsi="Times New Roman" w:cs="Times New Roman"/>
          <w:bCs/>
          <w:color w:val="000000"/>
          <w:sz w:val="24"/>
          <w:szCs w:val="24"/>
        </w:rPr>
        <w:t>Jamaica</w:t>
      </w:r>
      <w:r>
        <w:rPr>
          <w:rFonts w:ascii="Times New Roman" w:hAnsi="Times New Roman" w:cs="Times New Roman"/>
          <w:bCs/>
          <w:color w:val="000000"/>
          <w:sz w:val="24"/>
          <w:szCs w:val="24"/>
        </w:rPr>
        <w:t>, con</w:t>
      </w:r>
      <w:r w:rsidR="00BF7B48" w:rsidRPr="00B60E6E">
        <w:rPr>
          <w:rFonts w:ascii="Times New Roman" w:hAnsi="Times New Roman" w:cs="Times New Roman"/>
          <w:bCs/>
          <w:color w:val="000000"/>
          <w:sz w:val="24"/>
          <w:szCs w:val="24"/>
        </w:rPr>
        <w:t xml:space="preserve"> 8.6</w:t>
      </w:r>
      <w:r>
        <w:rPr>
          <w:rFonts w:ascii="Times New Roman" w:hAnsi="Times New Roman" w:cs="Times New Roman"/>
          <w:bCs/>
          <w:color w:val="000000"/>
          <w:sz w:val="24"/>
          <w:szCs w:val="24"/>
        </w:rPr>
        <w:t xml:space="preserve"> % del valor monetario (</w:t>
      </w:r>
      <w:r w:rsidRPr="006D13A8">
        <w:rPr>
          <w:rFonts w:ascii="Times New Roman" w:hAnsi="Times New Roman" w:cs="Times New Roman"/>
          <w:bCs/>
          <w:color w:val="000000"/>
          <w:spacing w:val="-20"/>
          <w:sz w:val="24"/>
          <w:szCs w:val="24"/>
        </w:rPr>
        <w:t xml:space="preserve">3 955 </w:t>
      </w:r>
      <w:r w:rsidR="00BF7B48" w:rsidRPr="006D13A8">
        <w:rPr>
          <w:rFonts w:ascii="Times New Roman" w:hAnsi="Times New Roman" w:cs="Times New Roman"/>
          <w:bCs/>
          <w:color w:val="000000"/>
          <w:spacing w:val="-20"/>
          <w:sz w:val="24"/>
          <w:szCs w:val="24"/>
        </w:rPr>
        <w:t>47</w:t>
      </w:r>
      <w:r w:rsidR="00BF7B48" w:rsidRPr="00B60E6E">
        <w:rPr>
          <w:rFonts w:ascii="Times New Roman" w:hAnsi="Times New Roman" w:cs="Times New Roman"/>
          <w:bCs/>
          <w:color w:val="000000"/>
          <w:sz w:val="24"/>
          <w:szCs w:val="24"/>
        </w:rPr>
        <w:t>2 pesos) y 3.5</w:t>
      </w:r>
      <w:r>
        <w:rPr>
          <w:rFonts w:ascii="Times New Roman" w:hAnsi="Times New Roman" w:cs="Times New Roman"/>
          <w:bCs/>
          <w:color w:val="000000"/>
          <w:sz w:val="24"/>
          <w:szCs w:val="24"/>
        </w:rPr>
        <w:t xml:space="preserve"> % (</w:t>
      </w:r>
      <w:r w:rsidRPr="006D13A8">
        <w:rPr>
          <w:rFonts w:ascii="Times New Roman" w:hAnsi="Times New Roman" w:cs="Times New Roman"/>
          <w:bCs/>
          <w:color w:val="000000"/>
          <w:spacing w:val="-20"/>
          <w:sz w:val="24"/>
          <w:szCs w:val="24"/>
        </w:rPr>
        <w:t>87 962</w:t>
      </w:r>
      <w:r>
        <w:rPr>
          <w:rFonts w:ascii="Times New Roman" w:hAnsi="Times New Roman" w:cs="Times New Roman"/>
          <w:bCs/>
          <w:color w:val="000000"/>
          <w:sz w:val="24"/>
          <w:szCs w:val="24"/>
        </w:rPr>
        <w:t xml:space="preserve"> k</w:t>
      </w:r>
      <w:r w:rsidR="00BF7B48" w:rsidRPr="00B60E6E">
        <w:rPr>
          <w:rFonts w:ascii="Times New Roman" w:hAnsi="Times New Roman" w:cs="Times New Roman"/>
          <w:bCs/>
          <w:color w:val="000000"/>
          <w:sz w:val="24"/>
          <w:szCs w:val="24"/>
        </w:rPr>
        <w:t>g) en cantidad (</w:t>
      </w:r>
      <w:r>
        <w:rPr>
          <w:rFonts w:ascii="Times New Roman" w:hAnsi="Times New Roman" w:cs="Times New Roman"/>
          <w:bCs/>
          <w:color w:val="000000"/>
          <w:sz w:val="24"/>
          <w:szCs w:val="24"/>
        </w:rPr>
        <w:t>v</w:t>
      </w:r>
      <w:r w:rsidR="00E51DBE" w:rsidRPr="00B60E6E">
        <w:rPr>
          <w:rFonts w:ascii="Times New Roman" w:hAnsi="Times New Roman" w:cs="Times New Roman"/>
          <w:bCs/>
          <w:color w:val="000000"/>
          <w:sz w:val="24"/>
          <w:szCs w:val="24"/>
        </w:rPr>
        <w:t xml:space="preserve">er </w:t>
      </w:r>
      <w:r>
        <w:rPr>
          <w:rFonts w:ascii="Times New Roman" w:hAnsi="Times New Roman" w:cs="Times New Roman"/>
          <w:bCs/>
          <w:color w:val="000000"/>
          <w:sz w:val="24"/>
          <w:szCs w:val="24"/>
        </w:rPr>
        <w:t>a</w:t>
      </w:r>
      <w:r w:rsidR="00BF7B48" w:rsidRPr="00B60E6E">
        <w:rPr>
          <w:rFonts w:ascii="Times New Roman" w:hAnsi="Times New Roman" w:cs="Times New Roman"/>
          <w:bCs/>
          <w:color w:val="000000"/>
          <w:sz w:val="24"/>
          <w:szCs w:val="24"/>
        </w:rPr>
        <w:t>nexo 2).</w:t>
      </w:r>
    </w:p>
    <w:p w14:paraId="3604F59D" w14:textId="70658C91" w:rsidR="00BF7B48" w:rsidRPr="00B60E6E" w:rsidRDefault="0093123E"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En</w:t>
      </w:r>
      <w:r w:rsidR="00BF7B48" w:rsidRPr="00B60E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EE. UU.</w:t>
      </w:r>
      <w:r w:rsidR="006D13A8">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la participación en el mercado de malanga importada por parte de México es menor, </w:t>
      </w:r>
      <w:r w:rsidR="006D13A8">
        <w:rPr>
          <w:rFonts w:ascii="Times New Roman" w:hAnsi="Times New Roman" w:cs="Times New Roman"/>
          <w:bCs/>
          <w:color w:val="000000"/>
          <w:sz w:val="24"/>
          <w:szCs w:val="24"/>
        </w:rPr>
        <w:t>pues</w:t>
      </w:r>
      <w:r w:rsidR="00BF7B48" w:rsidRPr="00B60E6E">
        <w:rPr>
          <w:rFonts w:ascii="Times New Roman" w:hAnsi="Times New Roman" w:cs="Times New Roman"/>
          <w:bCs/>
          <w:color w:val="000000"/>
          <w:sz w:val="24"/>
          <w:szCs w:val="24"/>
        </w:rPr>
        <w:t xml:space="preserve"> en 2016 </w:t>
      </w:r>
      <w:r w:rsidR="006D13A8">
        <w:rPr>
          <w:rFonts w:ascii="Times New Roman" w:hAnsi="Times New Roman" w:cs="Times New Roman"/>
          <w:bCs/>
          <w:color w:val="000000"/>
          <w:sz w:val="24"/>
          <w:szCs w:val="24"/>
        </w:rPr>
        <w:t>ocupó</w:t>
      </w:r>
      <w:r w:rsidR="00BF7B48" w:rsidRPr="00B60E6E">
        <w:rPr>
          <w:rFonts w:ascii="Times New Roman" w:hAnsi="Times New Roman" w:cs="Times New Roman"/>
          <w:bCs/>
          <w:color w:val="000000"/>
          <w:sz w:val="24"/>
          <w:szCs w:val="24"/>
        </w:rPr>
        <w:t xml:space="preserve"> el sexto lugar</w:t>
      </w:r>
      <w:r w:rsidR="0052115A">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con 1.7</w:t>
      </w:r>
      <w:r>
        <w:rPr>
          <w:rFonts w:ascii="Times New Roman" w:hAnsi="Times New Roman" w:cs="Times New Roman"/>
          <w:bCs/>
          <w:color w:val="000000"/>
          <w:sz w:val="24"/>
          <w:szCs w:val="24"/>
        </w:rPr>
        <w:t xml:space="preserve"> % en valor monetario total (</w:t>
      </w:r>
      <w:r w:rsidRPr="006D13A8">
        <w:rPr>
          <w:rFonts w:ascii="Times New Roman" w:hAnsi="Times New Roman" w:cs="Times New Roman"/>
          <w:bCs/>
          <w:color w:val="000000"/>
          <w:spacing w:val="-20"/>
          <w:sz w:val="24"/>
          <w:szCs w:val="24"/>
        </w:rPr>
        <w:t xml:space="preserve">1 863 </w:t>
      </w:r>
      <w:r w:rsidR="00BF7B48" w:rsidRPr="006D13A8">
        <w:rPr>
          <w:rFonts w:ascii="Times New Roman" w:hAnsi="Times New Roman" w:cs="Times New Roman"/>
          <w:bCs/>
          <w:color w:val="000000"/>
          <w:spacing w:val="-20"/>
          <w:sz w:val="24"/>
          <w:szCs w:val="24"/>
        </w:rPr>
        <w:t>624</w:t>
      </w:r>
      <w:r w:rsidR="00BF7B48" w:rsidRPr="00B60E6E">
        <w:rPr>
          <w:rFonts w:ascii="Times New Roman" w:hAnsi="Times New Roman" w:cs="Times New Roman"/>
          <w:bCs/>
          <w:color w:val="000000"/>
          <w:sz w:val="24"/>
          <w:szCs w:val="24"/>
        </w:rPr>
        <w:t xml:space="preserve"> pesos) y con 3.3</w:t>
      </w:r>
      <w:r>
        <w:rPr>
          <w:rFonts w:ascii="Times New Roman" w:hAnsi="Times New Roman" w:cs="Times New Roman"/>
          <w:bCs/>
          <w:color w:val="000000"/>
          <w:sz w:val="24"/>
          <w:szCs w:val="24"/>
        </w:rPr>
        <w:t xml:space="preserve"> % de la cantidad total (</w:t>
      </w:r>
      <w:r w:rsidRPr="006D13A8">
        <w:rPr>
          <w:rFonts w:ascii="Times New Roman" w:hAnsi="Times New Roman" w:cs="Times New Roman"/>
          <w:bCs/>
          <w:color w:val="000000"/>
          <w:spacing w:val="-20"/>
          <w:sz w:val="24"/>
          <w:szCs w:val="24"/>
        </w:rPr>
        <w:t>199 751</w:t>
      </w:r>
      <w:r>
        <w:rPr>
          <w:rFonts w:ascii="Times New Roman" w:hAnsi="Times New Roman" w:cs="Times New Roman"/>
          <w:bCs/>
          <w:color w:val="000000"/>
          <w:sz w:val="24"/>
          <w:szCs w:val="24"/>
        </w:rPr>
        <w:t xml:space="preserve"> k</w:t>
      </w:r>
      <w:r w:rsidR="00BF7B48" w:rsidRPr="00B60E6E">
        <w:rPr>
          <w:rFonts w:ascii="Times New Roman" w:hAnsi="Times New Roman" w:cs="Times New Roman"/>
          <w:bCs/>
          <w:color w:val="000000"/>
          <w:sz w:val="24"/>
          <w:szCs w:val="24"/>
        </w:rPr>
        <w:t>g) (</w:t>
      </w:r>
      <w:r>
        <w:rPr>
          <w:rFonts w:ascii="Times New Roman" w:hAnsi="Times New Roman" w:cs="Times New Roman"/>
          <w:bCs/>
          <w:color w:val="000000"/>
          <w:sz w:val="24"/>
          <w:szCs w:val="24"/>
        </w:rPr>
        <w:t>a</w:t>
      </w:r>
      <w:r w:rsidR="00BF7B48" w:rsidRPr="00B60E6E">
        <w:rPr>
          <w:rFonts w:ascii="Times New Roman" w:hAnsi="Times New Roman" w:cs="Times New Roman"/>
          <w:bCs/>
          <w:color w:val="000000"/>
          <w:sz w:val="24"/>
          <w:szCs w:val="24"/>
        </w:rPr>
        <w:t xml:space="preserve">nexo 3). Los principales orígenes de la malanga importada en </w:t>
      </w:r>
      <w:r>
        <w:rPr>
          <w:rFonts w:ascii="Times New Roman" w:hAnsi="Times New Roman" w:cs="Times New Roman"/>
          <w:bCs/>
          <w:color w:val="000000"/>
          <w:sz w:val="24"/>
          <w:szCs w:val="24"/>
        </w:rPr>
        <w:t>EE. UU.</w:t>
      </w:r>
      <w:r w:rsidR="00BF7B48" w:rsidRPr="00B60E6E">
        <w:rPr>
          <w:rFonts w:ascii="Times New Roman" w:hAnsi="Times New Roman" w:cs="Times New Roman"/>
          <w:bCs/>
          <w:color w:val="000000"/>
          <w:sz w:val="24"/>
          <w:szCs w:val="24"/>
        </w:rPr>
        <w:t xml:space="preserve"> en </w:t>
      </w:r>
      <w:r>
        <w:rPr>
          <w:rFonts w:ascii="Times New Roman" w:hAnsi="Times New Roman" w:cs="Times New Roman"/>
          <w:bCs/>
          <w:color w:val="000000"/>
          <w:sz w:val="24"/>
          <w:szCs w:val="24"/>
        </w:rPr>
        <w:t>2016 fueron</w:t>
      </w:r>
      <w:r w:rsidR="00BF7B48" w:rsidRPr="00B60E6E">
        <w:rPr>
          <w:rFonts w:ascii="Times New Roman" w:hAnsi="Times New Roman" w:cs="Times New Roman"/>
          <w:bCs/>
          <w:color w:val="000000"/>
          <w:sz w:val="24"/>
          <w:szCs w:val="24"/>
        </w:rPr>
        <w:t xml:space="preserve"> Honduras</w:t>
      </w:r>
      <w:r w:rsidR="0052115A">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con 48.7</w:t>
      </w:r>
      <w:r>
        <w:rPr>
          <w:rFonts w:ascii="Times New Roman" w:hAnsi="Times New Roman" w:cs="Times New Roman"/>
          <w:bCs/>
          <w:color w:val="000000"/>
          <w:sz w:val="24"/>
          <w:szCs w:val="24"/>
        </w:rPr>
        <w:t xml:space="preserve"> % del valor monetario (</w:t>
      </w:r>
      <w:r w:rsidRPr="0093123E">
        <w:rPr>
          <w:rFonts w:ascii="Times New Roman" w:hAnsi="Times New Roman" w:cs="Times New Roman"/>
          <w:bCs/>
          <w:color w:val="000000"/>
          <w:spacing w:val="-20"/>
          <w:sz w:val="24"/>
          <w:szCs w:val="24"/>
        </w:rPr>
        <w:t>52</w:t>
      </w:r>
      <w:r w:rsidR="006D13A8">
        <w:rPr>
          <w:rFonts w:ascii="Times New Roman" w:hAnsi="Times New Roman" w:cs="Times New Roman"/>
          <w:bCs/>
          <w:color w:val="000000"/>
          <w:spacing w:val="-20"/>
          <w:sz w:val="24"/>
          <w:szCs w:val="24"/>
        </w:rPr>
        <w:t xml:space="preserve"> </w:t>
      </w:r>
      <w:r w:rsidR="00BF7B48" w:rsidRPr="0093123E">
        <w:rPr>
          <w:rFonts w:ascii="Times New Roman" w:hAnsi="Times New Roman" w:cs="Times New Roman"/>
          <w:bCs/>
          <w:color w:val="000000"/>
          <w:spacing w:val="-20"/>
          <w:sz w:val="24"/>
          <w:szCs w:val="24"/>
        </w:rPr>
        <w:t>84</w:t>
      </w:r>
      <w:r w:rsidR="006D13A8">
        <w:rPr>
          <w:rFonts w:ascii="Times New Roman" w:hAnsi="Times New Roman" w:cs="Times New Roman"/>
          <w:bCs/>
          <w:color w:val="000000"/>
          <w:spacing w:val="-20"/>
          <w:sz w:val="24"/>
          <w:szCs w:val="24"/>
        </w:rPr>
        <w:t xml:space="preserve">6 </w:t>
      </w:r>
      <w:r w:rsidR="00BF7B48" w:rsidRPr="0093123E">
        <w:rPr>
          <w:rFonts w:ascii="Times New Roman" w:hAnsi="Times New Roman" w:cs="Times New Roman"/>
          <w:bCs/>
          <w:color w:val="000000"/>
          <w:spacing w:val="-20"/>
          <w:sz w:val="24"/>
          <w:szCs w:val="24"/>
        </w:rPr>
        <w:t>330</w:t>
      </w:r>
      <w:r w:rsidR="00BF7B48" w:rsidRPr="00B60E6E">
        <w:rPr>
          <w:rFonts w:ascii="Times New Roman" w:hAnsi="Times New Roman" w:cs="Times New Roman"/>
          <w:bCs/>
          <w:color w:val="000000"/>
          <w:sz w:val="24"/>
          <w:szCs w:val="24"/>
        </w:rPr>
        <w:t xml:space="preserve"> pesos) y </w:t>
      </w:r>
      <w:r w:rsidR="0052115A">
        <w:rPr>
          <w:rFonts w:ascii="Times New Roman" w:hAnsi="Times New Roman" w:cs="Times New Roman"/>
          <w:bCs/>
          <w:color w:val="000000"/>
          <w:sz w:val="24"/>
          <w:szCs w:val="24"/>
        </w:rPr>
        <w:t xml:space="preserve">con </w:t>
      </w:r>
      <w:r w:rsidR="00BF7B48" w:rsidRPr="00B60E6E">
        <w:rPr>
          <w:rFonts w:ascii="Times New Roman" w:hAnsi="Times New Roman" w:cs="Times New Roman"/>
          <w:bCs/>
          <w:color w:val="000000"/>
          <w:sz w:val="24"/>
          <w:szCs w:val="24"/>
        </w:rPr>
        <w:t>38.4</w:t>
      </w:r>
      <w:r w:rsidR="006D13A8">
        <w:rPr>
          <w:rFonts w:ascii="Times New Roman" w:hAnsi="Times New Roman" w:cs="Times New Roman"/>
          <w:bCs/>
          <w:color w:val="000000"/>
          <w:sz w:val="24"/>
          <w:szCs w:val="24"/>
        </w:rPr>
        <w:t xml:space="preserve"> % en cantidad (</w:t>
      </w:r>
      <w:r w:rsidR="006D13A8" w:rsidRPr="006D13A8">
        <w:rPr>
          <w:rFonts w:ascii="Times New Roman" w:hAnsi="Times New Roman" w:cs="Times New Roman"/>
          <w:bCs/>
          <w:color w:val="000000"/>
          <w:spacing w:val="-20"/>
          <w:sz w:val="24"/>
          <w:szCs w:val="24"/>
        </w:rPr>
        <w:t>2 289 530</w:t>
      </w:r>
      <w:r w:rsidR="006D13A8">
        <w:rPr>
          <w:rFonts w:ascii="Times New Roman" w:hAnsi="Times New Roman" w:cs="Times New Roman"/>
          <w:bCs/>
          <w:color w:val="000000"/>
          <w:sz w:val="24"/>
          <w:szCs w:val="24"/>
        </w:rPr>
        <w:t xml:space="preserve"> k</w:t>
      </w:r>
      <w:r w:rsidR="00BF7B48" w:rsidRPr="00B60E6E">
        <w:rPr>
          <w:rFonts w:ascii="Times New Roman" w:hAnsi="Times New Roman" w:cs="Times New Roman"/>
          <w:bCs/>
          <w:color w:val="000000"/>
          <w:sz w:val="24"/>
          <w:szCs w:val="24"/>
        </w:rPr>
        <w:t>g)</w:t>
      </w:r>
      <w:r w:rsidR="00520086">
        <w:rPr>
          <w:rStyle w:val="Refdenotaalpie"/>
          <w:rFonts w:ascii="Times New Roman" w:hAnsi="Times New Roman" w:cs="Times New Roman"/>
          <w:bCs/>
          <w:color w:val="000000"/>
          <w:sz w:val="24"/>
          <w:szCs w:val="24"/>
        </w:rPr>
        <w:footnoteReference w:id="1"/>
      </w:r>
      <w:r w:rsidR="00BF7B48" w:rsidRPr="00B60E6E">
        <w:rPr>
          <w:rFonts w:ascii="Times New Roman" w:hAnsi="Times New Roman" w:cs="Times New Roman"/>
          <w:bCs/>
          <w:color w:val="000000"/>
          <w:sz w:val="24"/>
          <w:szCs w:val="24"/>
        </w:rPr>
        <w:t>; Nicaragua con 38.8</w:t>
      </w:r>
      <w:r w:rsidR="006D13A8">
        <w:rPr>
          <w:rFonts w:ascii="Times New Roman" w:hAnsi="Times New Roman" w:cs="Times New Roman"/>
          <w:bCs/>
          <w:color w:val="000000"/>
          <w:sz w:val="24"/>
          <w:szCs w:val="24"/>
        </w:rPr>
        <w:t xml:space="preserve"> % del valor monetario total (</w:t>
      </w:r>
      <w:r w:rsidR="006D13A8" w:rsidRPr="006D13A8">
        <w:rPr>
          <w:rFonts w:ascii="Times New Roman" w:hAnsi="Times New Roman" w:cs="Times New Roman"/>
          <w:bCs/>
          <w:color w:val="000000"/>
          <w:spacing w:val="-20"/>
          <w:sz w:val="24"/>
          <w:szCs w:val="24"/>
        </w:rPr>
        <w:t xml:space="preserve">42 126 </w:t>
      </w:r>
      <w:r w:rsidR="00BF7B48" w:rsidRPr="006D13A8">
        <w:rPr>
          <w:rFonts w:ascii="Times New Roman" w:hAnsi="Times New Roman" w:cs="Times New Roman"/>
          <w:bCs/>
          <w:color w:val="000000"/>
          <w:spacing w:val="-20"/>
          <w:sz w:val="24"/>
          <w:szCs w:val="24"/>
        </w:rPr>
        <w:t>525</w:t>
      </w:r>
      <w:r w:rsidR="00BF7B48" w:rsidRPr="00B60E6E">
        <w:rPr>
          <w:rFonts w:ascii="Times New Roman" w:hAnsi="Times New Roman" w:cs="Times New Roman"/>
          <w:bCs/>
          <w:color w:val="000000"/>
          <w:sz w:val="24"/>
          <w:szCs w:val="24"/>
        </w:rPr>
        <w:t xml:space="preserve"> pesos) y con</w:t>
      </w:r>
      <w:r w:rsidR="006D13A8">
        <w:rPr>
          <w:rFonts w:ascii="Times New Roman" w:hAnsi="Times New Roman" w:cs="Times New Roman"/>
          <w:bCs/>
          <w:color w:val="000000"/>
          <w:sz w:val="24"/>
          <w:szCs w:val="24"/>
        </w:rPr>
        <w:t xml:space="preserve"> 44.2% en cantidad (</w:t>
      </w:r>
      <w:r w:rsidR="006D13A8" w:rsidRPr="006D13A8">
        <w:rPr>
          <w:rFonts w:ascii="Times New Roman" w:hAnsi="Times New Roman" w:cs="Times New Roman"/>
          <w:bCs/>
          <w:color w:val="000000"/>
          <w:spacing w:val="-20"/>
          <w:sz w:val="24"/>
          <w:szCs w:val="24"/>
        </w:rPr>
        <w:t>2 638 618</w:t>
      </w:r>
      <w:r w:rsidR="006D13A8">
        <w:rPr>
          <w:rFonts w:ascii="Times New Roman" w:hAnsi="Times New Roman" w:cs="Times New Roman"/>
          <w:bCs/>
          <w:color w:val="000000"/>
          <w:sz w:val="24"/>
          <w:szCs w:val="24"/>
        </w:rPr>
        <w:t xml:space="preserve"> k</w:t>
      </w:r>
      <w:r w:rsidR="00520086">
        <w:rPr>
          <w:rFonts w:ascii="Times New Roman" w:hAnsi="Times New Roman" w:cs="Times New Roman"/>
          <w:bCs/>
          <w:color w:val="000000"/>
          <w:sz w:val="24"/>
          <w:szCs w:val="24"/>
        </w:rPr>
        <w:t>g),</w:t>
      </w:r>
      <w:r w:rsidR="00BF7B48" w:rsidRPr="00B60E6E">
        <w:rPr>
          <w:rFonts w:ascii="Times New Roman" w:hAnsi="Times New Roman" w:cs="Times New Roman"/>
          <w:bCs/>
          <w:color w:val="000000"/>
          <w:sz w:val="24"/>
          <w:szCs w:val="24"/>
        </w:rPr>
        <w:t xml:space="preserve"> </w:t>
      </w:r>
      <w:r w:rsidR="00520086">
        <w:rPr>
          <w:rFonts w:ascii="Times New Roman" w:hAnsi="Times New Roman" w:cs="Times New Roman"/>
          <w:bCs/>
          <w:color w:val="000000"/>
          <w:sz w:val="24"/>
          <w:szCs w:val="24"/>
        </w:rPr>
        <w:t xml:space="preserve">y </w:t>
      </w:r>
      <w:r w:rsidR="00BF7B48" w:rsidRPr="00B60E6E">
        <w:rPr>
          <w:rFonts w:ascii="Times New Roman" w:hAnsi="Times New Roman" w:cs="Times New Roman"/>
          <w:bCs/>
          <w:color w:val="000000"/>
          <w:sz w:val="24"/>
          <w:szCs w:val="24"/>
        </w:rPr>
        <w:t>Costa Rica con 4.4</w:t>
      </w:r>
      <w:r w:rsidR="00520086">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 xml:space="preserve">% del valor monetario </w:t>
      </w:r>
      <w:r w:rsidR="00520086">
        <w:rPr>
          <w:rFonts w:ascii="Times New Roman" w:hAnsi="Times New Roman" w:cs="Times New Roman"/>
          <w:bCs/>
          <w:color w:val="000000"/>
          <w:sz w:val="24"/>
          <w:szCs w:val="24"/>
        </w:rPr>
        <w:t>(</w:t>
      </w:r>
      <w:r w:rsidR="00520086" w:rsidRPr="00520086">
        <w:rPr>
          <w:rFonts w:ascii="Times New Roman" w:hAnsi="Times New Roman" w:cs="Times New Roman"/>
          <w:bCs/>
          <w:color w:val="000000"/>
          <w:spacing w:val="-20"/>
          <w:sz w:val="24"/>
          <w:szCs w:val="24"/>
        </w:rPr>
        <w:t xml:space="preserve">4 739 </w:t>
      </w:r>
      <w:r w:rsidR="00BF7B48" w:rsidRPr="00520086">
        <w:rPr>
          <w:rFonts w:ascii="Times New Roman" w:hAnsi="Times New Roman" w:cs="Times New Roman"/>
          <w:bCs/>
          <w:color w:val="000000"/>
          <w:spacing w:val="-20"/>
          <w:sz w:val="24"/>
          <w:szCs w:val="24"/>
        </w:rPr>
        <w:t>317</w:t>
      </w:r>
      <w:r w:rsidR="00BF7B48" w:rsidRPr="00B60E6E">
        <w:rPr>
          <w:rFonts w:ascii="Times New Roman" w:hAnsi="Times New Roman" w:cs="Times New Roman"/>
          <w:bCs/>
          <w:color w:val="000000"/>
          <w:sz w:val="24"/>
          <w:szCs w:val="24"/>
        </w:rPr>
        <w:t xml:space="preserve"> pesos), </w:t>
      </w:r>
      <w:r w:rsidR="00520086">
        <w:rPr>
          <w:rFonts w:ascii="Times New Roman" w:hAnsi="Times New Roman" w:cs="Times New Roman"/>
          <w:bCs/>
          <w:color w:val="000000"/>
          <w:sz w:val="24"/>
          <w:szCs w:val="24"/>
        </w:rPr>
        <w:t>lo que equivale a</w:t>
      </w:r>
      <w:r w:rsidR="00BF7B48" w:rsidRPr="00B60E6E">
        <w:rPr>
          <w:rFonts w:ascii="Times New Roman" w:hAnsi="Times New Roman" w:cs="Times New Roman"/>
          <w:bCs/>
          <w:color w:val="000000"/>
          <w:sz w:val="24"/>
          <w:szCs w:val="24"/>
        </w:rPr>
        <w:t xml:space="preserve"> 5.1</w:t>
      </w:r>
      <w:r w:rsidR="00520086">
        <w:rPr>
          <w:rFonts w:ascii="Times New Roman" w:hAnsi="Times New Roman" w:cs="Times New Roman"/>
          <w:bCs/>
          <w:color w:val="000000"/>
          <w:sz w:val="24"/>
          <w:szCs w:val="24"/>
        </w:rPr>
        <w:t xml:space="preserve"> % en cantidad (</w:t>
      </w:r>
      <w:r w:rsidR="00520086" w:rsidRPr="00520086">
        <w:rPr>
          <w:rFonts w:ascii="Times New Roman" w:hAnsi="Times New Roman" w:cs="Times New Roman"/>
          <w:bCs/>
          <w:color w:val="000000"/>
          <w:spacing w:val="-20"/>
          <w:sz w:val="24"/>
          <w:szCs w:val="24"/>
        </w:rPr>
        <w:t>305 775</w:t>
      </w:r>
      <w:r w:rsidR="00520086">
        <w:rPr>
          <w:rFonts w:ascii="Times New Roman" w:hAnsi="Times New Roman" w:cs="Times New Roman"/>
          <w:bCs/>
          <w:color w:val="000000"/>
          <w:sz w:val="24"/>
          <w:szCs w:val="24"/>
        </w:rPr>
        <w:t xml:space="preserve"> k</w:t>
      </w:r>
      <w:r w:rsidR="00BF7B48" w:rsidRPr="00B60E6E">
        <w:rPr>
          <w:rFonts w:ascii="Times New Roman" w:hAnsi="Times New Roman" w:cs="Times New Roman"/>
          <w:bCs/>
          <w:color w:val="000000"/>
          <w:sz w:val="24"/>
          <w:szCs w:val="24"/>
        </w:rPr>
        <w:t>g) (</w:t>
      </w:r>
      <w:r w:rsidR="00520086">
        <w:rPr>
          <w:rFonts w:ascii="Times New Roman" w:hAnsi="Times New Roman" w:cs="Times New Roman"/>
          <w:bCs/>
          <w:color w:val="000000"/>
          <w:sz w:val="24"/>
          <w:szCs w:val="24"/>
        </w:rPr>
        <w:t>v</w:t>
      </w:r>
      <w:r w:rsidR="00E51DBE" w:rsidRPr="00B60E6E">
        <w:rPr>
          <w:rFonts w:ascii="Times New Roman" w:hAnsi="Times New Roman" w:cs="Times New Roman"/>
          <w:bCs/>
          <w:color w:val="000000"/>
          <w:sz w:val="24"/>
          <w:szCs w:val="24"/>
        </w:rPr>
        <w:t xml:space="preserve">er </w:t>
      </w:r>
      <w:r w:rsidR="00520086">
        <w:rPr>
          <w:rFonts w:ascii="Times New Roman" w:hAnsi="Times New Roman" w:cs="Times New Roman"/>
          <w:bCs/>
          <w:color w:val="000000"/>
          <w:sz w:val="24"/>
          <w:szCs w:val="24"/>
        </w:rPr>
        <w:t>anexo 3).</w:t>
      </w:r>
      <w:r w:rsidR="00BF7B48" w:rsidRPr="00B60E6E">
        <w:rPr>
          <w:rFonts w:ascii="Times New Roman" w:hAnsi="Times New Roman" w:cs="Times New Roman"/>
          <w:bCs/>
          <w:color w:val="000000"/>
          <w:sz w:val="24"/>
          <w:szCs w:val="24"/>
        </w:rPr>
        <w:t xml:space="preserve"> Lo anterior </w:t>
      </w:r>
      <w:r w:rsidR="00520086">
        <w:rPr>
          <w:rFonts w:ascii="Times New Roman" w:hAnsi="Times New Roman" w:cs="Times New Roman"/>
          <w:bCs/>
          <w:color w:val="000000"/>
          <w:sz w:val="24"/>
          <w:szCs w:val="24"/>
        </w:rPr>
        <w:t>brinda</w:t>
      </w:r>
      <w:r w:rsidR="00BF7B48" w:rsidRPr="00B60E6E">
        <w:rPr>
          <w:rFonts w:ascii="Times New Roman" w:hAnsi="Times New Roman" w:cs="Times New Roman"/>
          <w:bCs/>
          <w:color w:val="000000"/>
          <w:sz w:val="24"/>
          <w:szCs w:val="24"/>
        </w:rPr>
        <w:t xml:space="preserve"> un panorama de la incorporación de nuevos participantes que pueden presentarse </w:t>
      </w:r>
      <w:r w:rsidR="0052115A">
        <w:rPr>
          <w:rFonts w:ascii="Times New Roman" w:hAnsi="Times New Roman" w:cs="Times New Roman"/>
          <w:bCs/>
          <w:color w:val="000000"/>
          <w:sz w:val="24"/>
          <w:szCs w:val="24"/>
        </w:rPr>
        <w:t>en distintos años</w:t>
      </w:r>
      <w:r w:rsidR="00BF7B48" w:rsidRPr="00B60E6E">
        <w:rPr>
          <w:rFonts w:ascii="Times New Roman" w:hAnsi="Times New Roman" w:cs="Times New Roman"/>
          <w:bCs/>
          <w:color w:val="000000"/>
          <w:sz w:val="24"/>
          <w:szCs w:val="24"/>
        </w:rPr>
        <w:t>.</w:t>
      </w:r>
    </w:p>
    <w:p w14:paraId="774F623F" w14:textId="02CE89EB" w:rsidR="00BF7B48" w:rsidRPr="00B60E6E" w:rsidRDefault="00BF7B48"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Cs/>
          <w:color w:val="000000"/>
          <w:sz w:val="24"/>
          <w:szCs w:val="24"/>
        </w:rPr>
      </w:pPr>
      <w:r w:rsidRPr="00B60E6E">
        <w:rPr>
          <w:rFonts w:ascii="Times New Roman" w:hAnsi="Times New Roman" w:cs="Times New Roman"/>
          <w:bCs/>
          <w:color w:val="000000"/>
          <w:sz w:val="24"/>
          <w:szCs w:val="24"/>
        </w:rPr>
        <w:t xml:space="preserve">Desde la perspectiva del agricultor, se puede </w:t>
      </w:r>
      <w:r w:rsidR="00520086">
        <w:rPr>
          <w:rFonts w:ascii="Times New Roman" w:hAnsi="Times New Roman" w:cs="Times New Roman"/>
          <w:bCs/>
          <w:color w:val="000000"/>
          <w:sz w:val="24"/>
          <w:szCs w:val="24"/>
        </w:rPr>
        <w:t xml:space="preserve">inferir </w:t>
      </w:r>
      <w:r w:rsidRPr="00B60E6E">
        <w:rPr>
          <w:rFonts w:ascii="Times New Roman" w:hAnsi="Times New Roman" w:cs="Times New Roman"/>
          <w:bCs/>
          <w:color w:val="000000"/>
          <w:sz w:val="24"/>
          <w:szCs w:val="24"/>
        </w:rPr>
        <w:t xml:space="preserve">que no se tiene un aprovechamiento óptimo en </w:t>
      </w:r>
      <w:r w:rsidR="0052115A">
        <w:rPr>
          <w:rFonts w:ascii="Times New Roman" w:hAnsi="Times New Roman" w:cs="Times New Roman"/>
          <w:bCs/>
          <w:color w:val="000000"/>
          <w:sz w:val="24"/>
          <w:szCs w:val="24"/>
        </w:rPr>
        <w:t xml:space="preserve">las </w:t>
      </w:r>
      <w:r w:rsidRPr="00B60E6E">
        <w:rPr>
          <w:rFonts w:ascii="Times New Roman" w:hAnsi="Times New Roman" w:cs="Times New Roman"/>
          <w:bCs/>
          <w:color w:val="000000"/>
          <w:sz w:val="24"/>
          <w:szCs w:val="24"/>
        </w:rPr>
        <w:t>economí</w:t>
      </w:r>
      <w:r w:rsidR="00520086">
        <w:rPr>
          <w:rFonts w:ascii="Times New Roman" w:hAnsi="Times New Roman" w:cs="Times New Roman"/>
          <w:bCs/>
          <w:color w:val="000000"/>
          <w:sz w:val="24"/>
          <w:szCs w:val="24"/>
        </w:rPr>
        <w:t>as de escala, p</w:t>
      </w:r>
      <w:r w:rsidRPr="00B60E6E">
        <w:rPr>
          <w:rFonts w:ascii="Times New Roman" w:hAnsi="Times New Roman" w:cs="Times New Roman"/>
          <w:bCs/>
          <w:color w:val="000000"/>
          <w:sz w:val="24"/>
          <w:szCs w:val="24"/>
        </w:rPr>
        <w:t xml:space="preserve">or lo que la amenaza de otros productores internacionales podría ser </w:t>
      </w:r>
      <w:r w:rsidR="00520086">
        <w:rPr>
          <w:rFonts w:ascii="Times New Roman" w:hAnsi="Times New Roman" w:cs="Times New Roman"/>
          <w:bCs/>
          <w:color w:val="000000"/>
          <w:sz w:val="24"/>
          <w:szCs w:val="24"/>
        </w:rPr>
        <w:t>elevada cuando el mercado esté</w:t>
      </w:r>
      <w:r w:rsidRPr="00B60E6E">
        <w:rPr>
          <w:rFonts w:ascii="Times New Roman" w:hAnsi="Times New Roman" w:cs="Times New Roman"/>
          <w:bCs/>
          <w:color w:val="000000"/>
          <w:sz w:val="24"/>
          <w:szCs w:val="24"/>
        </w:rPr>
        <w:t xml:space="preserve"> </w:t>
      </w:r>
      <w:r w:rsidR="00642054" w:rsidRPr="00B60E6E">
        <w:rPr>
          <w:rFonts w:ascii="Times New Roman" w:hAnsi="Times New Roman" w:cs="Times New Roman"/>
          <w:bCs/>
          <w:color w:val="000000"/>
          <w:sz w:val="24"/>
          <w:szCs w:val="24"/>
        </w:rPr>
        <w:t>más</w:t>
      </w:r>
      <w:r w:rsidRPr="00B60E6E">
        <w:rPr>
          <w:rFonts w:ascii="Times New Roman" w:hAnsi="Times New Roman" w:cs="Times New Roman"/>
          <w:bCs/>
          <w:color w:val="000000"/>
          <w:sz w:val="24"/>
          <w:szCs w:val="24"/>
        </w:rPr>
        <w:t xml:space="preserve"> saturado, </w:t>
      </w:r>
      <w:r w:rsidR="00520086">
        <w:rPr>
          <w:rFonts w:ascii="Times New Roman" w:hAnsi="Times New Roman" w:cs="Times New Roman"/>
          <w:bCs/>
          <w:color w:val="000000"/>
          <w:sz w:val="24"/>
          <w:szCs w:val="24"/>
        </w:rPr>
        <w:t xml:space="preserve">lo cual se puede reflejar </w:t>
      </w:r>
      <w:r w:rsidRPr="00B60E6E">
        <w:rPr>
          <w:rFonts w:ascii="Times New Roman" w:hAnsi="Times New Roman" w:cs="Times New Roman"/>
          <w:bCs/>
          <w:color w:val="000000"/>
          <w:sz w:val="24"/>
          <w:szCs w:val="24"/>
        </w:rPr>
        <w:t xml:space="preserve">especialmente en una competencia de costos y precios bajos. </w:t>
      </w:r>
    </w:p>
    <w:p w14:paraId="3B78FF67" w14:textId="622FAB09" w:rsidR="00BF7B48" w:rsidRPr="00B60E6E" w:rsidRDefault="00BF7B48"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Cs/>
          <w:color w:val="FF0000"/>
          <w:sz w:val="24"/>
          <w:szCs w:val="24"/>
        </w:rPr>
      </w:pPr>
      <w:r w:rsidRPr="00B60E6E">
        <w:rPr>
          <w:rFonts w:ascii="Times New Roman" w:hAnsi="Times New Roman" w:cs="Times New Roman"/>
          <w:bCs/>
          <w:color w:val="000000"/>
          <w:sz w:val="24"/>
          <w:szCs w:val="24"/>
        </w:rPr>
        <w:t>La malanga</w:t>
      </w:r>
      <w:r w:rsidR="00520086">
        <w:rPr>
          <w:rFonts w:ascii="Times New Roman" w:hAnsi="Times New Roman" w:cs="Times New Roman"/>
          <w:bCs/>
          <w:color w:val="000000"/>
          <w:sz w:val="24"/>
          <w:szCs w:val="24"/>
        </w:rPr>
        <w:t>,</w:t>
      </w:r>
      <w:r w:rsidRPr="00B60E6E">
        <w:rPr>
          <w:rFonts w:ascii="Times New Roman" w:hAnsi="Times New Roman" w:cs="Times New Roman"/>
          <w:bCs/>
          <w:color w:val="000000"/>
          <w:sz w:val="24"/>
          <w:szCs w:val="24"/>
        </w:rPr>
        <w:t xml:space="preserve"> al ser vendida en su mayoría sin ningún valor agregado, se percibe como un producto sin diferenciación y sin identidad de marca. Además, como es común en el sector agroalimentario</w:t>
      </w:r>
      <w:r w:rsidR="00520086">
        <w:rPr>
          <w:rFonts w:ascii="Times New Roman" w:hAnsi="Times New Roman" w:cs="Times New Roman"/>
          <w:bCs/>
          <w:color w:val="000000"/>
          <w:sz w:val="24"/>
          <w:szCs w:val="24"/>
        </w:rPr>
        <w:t>,</w:t>
      </w:r>
      <w:r w:rsidRPr="00B60E6E">
        <w:rPr>
          <w:rFonts w:ascii="Times New Roman" w:hAnsi="Times New Roman" w:cs="Times New Roman"/>
          <w:bCs/>
          <w:color w:val="000000"/>
          <w:sz w:val="24"/>
          <w:szCs w:val="24"/>
        </w:rPr>
        <w:t xml:space="preserve"> existen necesidades de capital y acceso a canales de distribución formales. La mayor cantidad de los productos son absorbidos por empacadoras e intermediarios nacionales.</w:t>
      </w:r>
    </w:p>
    <w:p w14:paraId="2BEAD747" w14:textId="76F6D9EB" w:rsidR="00BF7B48" w:rsidRPr="00B60E6E" w:rsidRDefault="00520086"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Por otra parte, </w:t>
      </w:r>
      <w:r w:rsidR="00BF7B48" w:rsidRPr="00B60E6E">
        <w:rPr>
          <w:rFonts w:ascii="Times New Roman" w:hAnsi="Times New Roman" w:cs="Times New Roman"/>
          <w:bCs/>
          <w:color w:val="000000"/>
          <w:sz w:val="24"/>
          <w:szCs w:val="24"/>
        </w:rPr>
        <w:t xml:space="preserve">las políticas gubernamentales </w:t>
      </w:r>
      <w:r>
        <w:rPr>
          <w:rFonts w:ascii="Times New Roman" w:hAnsi="Times New Roman" w:cs="Times New Roman"/>
          <w:bCs/>
          <w:color w:val="000000"/>
          <w:sz w:val="24"/>
          <w:szCs w:val="24"/>
        </w:rPr>
        <w:t xml:space="preserve">son percibidas </w:t>
      </w:r>
      <w:r w:rsidR="00BF7B48" w:rsidRPr="00B60E6E">
        <w:rPr>
          <w:rFonts w:ascii="Times New Roman" w:hAnsi="Times New Roman" w:cs="Times New Roman"/>
          <w:bCs/>
          <w:color w:val="000000"/>
          <w:sz w:val="24"/>
          <w:szCs w:val="24"/>
        </w:rPr>
        <w:t xml:space="preserve">como neutras, y aunque </w:t>
      </w:r>
      <w:r w:rsidRPr="00B60E6E">
        <w:rPr>
          <w:rFonts w:ascii="Times New Roman" w:hAnsi="Times New Roman" w:cs="Times New Roman"/>
          <w:bCs/>
          <w:color w:val="000000"/>
          <w:sz w:val="24"/>
          <w:szCs w:val="24"/>
        </w:rPr>
        <w:t xml:space="preserve">de acuerdo con el </w:t>
      </w:r>
      <w:r w:rsidRPr="00520086">
        <w:rPr>
          <w:rFonts w:ascii="Times New Roman" w:hAnsi="Times New Roman" w:cs="Times New Roman"/>
          <w:i/>
          <w:sz w:val="24"/>
          <w:szCs w:val="24"/>
        </w:rPr>
        <w:t>Diario Oficial de la Federación</w:t>
      </w:r>
      <w:r w:rsidR="0052115A">
        <w:rPr>
          <w:rFonts w:ascii="Times New Roman" w:hAnsi="Times New Roman" w:cs="Times New Roman"/>
          <w:sz w:val="24"/>
          <w:szCs w:val="24"/>
        </w:rPr>
        <w:t>,</w:t>
      </w:r>
      <w:r w:rsidRPr="00B60E6E">
        <w:rPr>
          <w:rFonts w:ascii="Times New Roman" w:hAnsi="Times New Roman" w:cs="Times New Roman"/>
          <w:bCs/>
          <w:color w:val="000000"/>
          <w:sz w:val="24"/>
          <w:szCs w:val="24"/>
        </w:rPr>
        <w:t xml:space="preserve"> el sector agroalimentario </w:t>
      </w:r>
      <w:r w:rsidR="00BF7B48" w:rsidRPr="00B60E6E">
        <w:rPr>
          <w:rFonts w:ascii="Times New Roman" w:hAnsi="Times New Roman" w:cs="Times New Roman"/>
          <w:bCs/>
          <w:color w:val="000000"/>
          <w:sz w:val="24"/>
          <w:szCs w:val="24"/>
        </w:rPr>
        <w:t xml:space="preserve">es una prioridad en la agenda gubernamental </w:t>
      </w:r>
      <w:r w:rsidR="00BF7B48" w:rsidRPr="00B60E6E">
        <w:rPr>
          <w:rFonts w:ascii="Times New Roman" w:hAnsi="Times New Roman" w:cs="Times New Roman"/>
          <w:sz w:val="24"/>
          <w:szCs w:val="24"/>
        </w:rPr>
        <w:t>(</w:t>
      </w:r>
      <w:r w:rsidR="00592819" w:rsidRPr="00B60E6E">
        <w:rPr>
          <w:rFonts w:ascii="Times New Roman" w:hAnsi="Times New Roman" w:cs="Times New Roman"/>
          <w:sz w:val="24"/>
          <w:szCs w:val="24"/>
        </w:rPr>
        <w:t>Sagarpa</w:t>
      </w:r>
      <w:r w:rsidR="00F007B7">
        <w:rPr>
          <w:rFonts w:ascii="Times New Roman" w:hAnsi="Times New Roman"/>
          <w:sz w:val="24"/>
          <w:szCs w:val="24"/>
        </w:rPr>
        <w:t>,</w:t>
      </w:r>
      <w:r w:rsidR="00BF7B48" w:rsidRPr="00B60E6E">
        <w:rPr>
          <w:rFonts w:ascii="Times New Roman" w:hAnsi="Times New Roman" w:cs="Times New Roman"/>
          <w:sz w:val="24"/>
          <w:szCs w:val="24"/>
        </w:rPr>
        <w:t xml:space="preserve"> 2013</w:t>
      </w:r>
      <w:r w:rsidR="00BF7B48" w:rsidRPr="00B60E6E">
        <w:rPr>
          <w:rFonts w:ascii="Times New Roman" w:hAnsi="Times New Roman" w:cs="Times New Roman"/>
          <w:bCs/>
          <w:color w:val="000000"/>
          <w:sz w:val="24"/>
          <w:szCs w:val="24"/>
        </w:rPr>
        <w:t xml:space="preserve">), no se perciben cambios drásticos. </w:t>
      </w:r>
    </w:p>
    <w:p w14:paraId="6B5195DB" w14:textId="688C1398" w:rsidR="00BF7B48" w:rsidRPr="00B60E6E" w:rsidRDefault="00520086"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Por ende, se </w:t>
      </w:r>
      <w:r w:rsidRPr="00B60E6E">
        <w:rPr>
          <w:rFonts w:ascii="Times New Roman" w:hAnsi="Times New Roman" w:cs="Times New Roman"/>
          <w:bCs/>
          <w:color w:val="000000"/>
          <w:sz w:val="24"/>
          <w:szCs w:val="24"/>
        </w:rPr>
        <w:t xml:space="preserve">puede </w:t>
      </w:r>
      <w:r>
        <w:rPr>
          <w:rFonts w:ascii="Times New Roman" w:hAnsi="Times New Roman" w:cs="Times New Roman"/>
          <w:bCs/>
          <w:color w:val="000000"/>
          <w:sz w:val="24"/>
          <w:szCs w:val="24"/>
        </w:rPr>
        <w:t>concebir como alta</w:t>
      </w:r>
      <w:r w:rsidRPr="00B60E6E">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la amenaza de nuevos participantes</w:t>
      </w:r>
      <w:r w:rsidR="00030FC9" w:rsidRPr="00B60E6E">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 xml:space="preserve">en la actividad productiva de la malanga para </w:t>
      </w:r>
      <w:r w:rsidR="007305E4" w:rsidRPr="00B60E6E">
        <w:rPr>
          <w:rFonts w:ascii="Times New Roman" w:hAnsi="Times New Roman" w:cs="Times New Roman"/>
          <w:bCs/>
          <w:color w:val="000000"/>
          <w:sz w:val="24"/>
          <w:szCs w:val="24"/>
        </w:rPr>
        <w:t>su exportación</w:t>
      </w:r>
      <w:r w:rsidR="00BF7B48" w:rsidRPr="00B60E6E">
        <w:rPr>
          <w:rFonts w:ascii="Times New Roman" w:hAnsi="Times New Roman" w:cs="Times New Roman"/>
          <w:bCs/>
          <w:color w:val="000000"/>
          <w:sz w:val="24"/>
          <w:szCs w:val="24"/>
        </w:rPr>
        <w:t xml:space="preserve"> al mercado canadiense y </w:t>
      </w:r>
      <w:r w:rsidR="00030FC9" w:rsidRPr="00B60E6E">
        <w:rPr>
          <w:rFonts w:ascii="Times New Roman" w:hAnsi="Times New Roman" w:cs="Times New Roman"/>
          <w:bCs/>
          <w:color w:val="000000"/>
          <w:sz w:val="24"/>
          <w:szCs w:val="24"/>
        </w:rPr>
        <w:t>estadounidense</w:t>
      </w:r>
      <w:r>
        <w:rPr>
          <w:rFonts w:ascii="Times New Roman" w:hAnsi="Times New Roman" w:cs="Times New Roman"/>
          <w:bCs/>
          <w:color w:val="000000"/>
          <w:sz w:val="24"/>
          <w:szCs w:val="24"/>
        </w:rPr>
        <w:t>, a</w:t>
      </w:r>
      <w:r w:rsidR="00BF7B48" w:rsidRPr="00B60E6E">
        <w:rPr>
          <w:rFonts w:ascii="Times New Roman" w:hAnsi="Times New Roman" w:cs="Times New Roman"/>
          <w:bCs/>
          <w:color w:val="000000"/>
          <w:sz w:val="24"/>
          <w:szCs w:val="24"/>
        </w:rPr>
        <w:t xml:space="preserve">unque </w:t>
      </w:r>
      <w:r w:rsidR="007305E4" w:rsidRPr="00B60E6E">
        <w:rPr>
          <w:rFonts w:ascii="Times New Roman" w:hAnsi="Times New Roman" w:cs="Times New Roman"/>
          <w:bCs/>
          <w:color w:val="000000"/>
          <w:sz w:val="24"/>
          <w:szCs w:val="24"/>
        </w:rPr>
        <w:t xml:space="preserve">por su incorporación al mercado </w:t>
      </w:r>
      <w:r>
        <w:rPr>
          <w:rFonts w:ascii="Times New Roman" w:hAnsi="Times New Roman" w:cs="Times New Roman"/>
          <w:bCs/>
          <w:color w:val="000000"/>
          <w:sz w:val="24"/>
          <w:szCs w:val="24"/>
        </w:rPr>
        <w:t>exportador</w:t>
      </w:r>
      <w:r w:rsidR="007305E4" w:rsidRPr="00B60E6E">
        <w:rPr>
          <w:rFonts w:ascii="Times New Roman" w:hAnsi="Times New Roman" w:cs="Times New Roman"/>
          <w:bCs/>
          <w:color w:val="000000"/>
          <w:sz w:val="24"/>
          <w:szCs w:val="24"/>
        </w:rPr>
        <w:t xml:space="preserve"> </w:t>
      </w:r>
      <w:r w:rsidR="00030FC9" w:rsidRPr="00B60E6E">
        <w:rPr>
          <w:rFonts w:ascii="Times New Roman" w:hAnsi="Times New Roman" w:cs="Times New Roman"/>
          <w:bCs/>
          <w:color w:val="000000"/>
          <w:sz w:val="24"/>
          <w:szCs w:val="24"/>
        </w:rPr>
        <w:t>se percibe a</w:t>
      </w:r>
      <w:r w:rsidR="00BF7B48" w:rsidRPr="00B60E6E">
        <w:rPr>
          <w:rFonts w:ascii="Times New Roman" w:hAnsi="Times New Roman" w:cs="Times New Roman"/>
          <w:bCs/>
          <w:color w:val="000000"/>
          <w:sz w:val="24"/>
          <w:szCs w:val="24"/>
        </w:rPr>
        <w:t xml:space="preserve">l sector mexicano como retador contra otros países que ya lo hacían anteriormente. </w:t>
      </w:r>
    </w:p>
    <w:p w14:paraId="33EEF54F" w14:textId="333864E4" w:rsidR="00BF7B48" w:rsidRPr="00E204E6" w:rsidRDefault="00BF7B48" w:rsidP="00E204E6">
      <w:pPr>
        <w:pStyle w:val="Ttulo2"/>
        <w:rPr>
          <w:sz w:val="24"/>
        </w:rPr>
      </w:pPr>
      <w:r w:rsidRPr="00E204E6">
        <w:rPr>
          <w:sz w:val="24"/>
        </w:rPr>
        <w:t xml:space="preserve">El </w:t>
      </w:r>
      <w:r w:rsidR="00520086" w:rsidRPr="00E204E6">
        <w:rPr>
          <w:sz w:val="24"/>
        </w:rPr>
        <w:t>poder de los proveedores (bajo)</w:t>
      </w:r>
    </w:p>
    <w:p w14:paraId="7145B030" w14:textId="11689320" w:rsidR="00BF7B48" w:rsidRPr="00B60E6E" w:rsidRDefault="00520086" w:rsidP="00BF7B48">
      <w:pPr>
        <w:autoSpaceDE w:val="0"/>
        <w:autoSpaceDN w:val="0"/>
        <w:adjustRightInd w:val="0"/>
        <w:spacing w:before="100" w:beforeAutospacing="1" w:after="100" w:afterAutospacing="1"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BF7B48" w:rsidRPr="00B60E6E">
        <w:rPr>
          <w:rFonts w:ascii="Times New Roman" w:hAnsi="Times New Roman" w:cs="Times New Roman"/>
          <w:bCs/>
          <w:color w:val="000000"/>
          <w:sz w:val="24"/>
          <w:szCs w:val="24"/>
        </w:rPr>
        <w:t xml:space="preserve">Los principales proveedores </w:t>
      </w:r>
      <w:r>
        <w:rPr>
          <w:rFonts w:ascii="Times New Roman" w:hAnsi="Times New Roman" w:cs="Times New Roman"/>
          <w:bCs/>
          <w:color w:val="000000"/>
          <w:sz w:val="24"/>
          <w:szCs w:val="24"/>
        </w:rPr>
        <w:t>para</w:t>
      </w:r>
      <w:r w:rsidR="00372069" w:rsidRPr="00B60E6E">
        <w:rPr>
          <w:rFonts w:ascii="Times New Roman" w:hAnsi="Times New Roman" w:cs="Times New Roman"/>
          <w:bCs/>
          <w:color w:val="000000"/>
          <w:sz w:val="24"/>
          <w:szCs w:val="24"/>
        </w:rPr>
        <w:t xml:space="preserve"> la producción de </w:t>
      </w:r>
      <w:r w:rsidR="00DC1333" w:rsidRPr="00B60E6E">
        <w:rPr>
          <w:rFonts w:ascii="Times New Roman" w:hAnsi="Times New Roman" w:cs="Times New Roman"/>
          <w:bCs/>
          <w:color w:val="000000"/>
          <w:sz w:val="24"/>
          <w:szCs w:val="24"/>
        </w:rPr>
        <w:t>malanga</w:t>
      </w:r>
      <w:r w:rsidR="00BF7B48" w:rsidRPr="00B60E6E">
        <w:rPr>
          <w:rFonts w:ascii="Times New Roman" w:hAnsi="Times New Roman" w:cs="Times New Roman"/>
          <w:bCs/>
          <w:color w:val="000000"/>
          <w:sz w:val="24"/>
          <w:szCs w:val="24"/>
        </w:rPr>
        <w:t xml:space="preserve"> son insumos y servicios. En el primero se encuentran los proveedores de semillas, fertilizantes, plaguicidas, herbicidas, fungicidas, </w:t>
      </w:r>
      <w:r w:rsidR="00E15122" w:rsidRPr="00B60E6E">
        <w:rPr>
          <w:rFonts w:ascii="Times New Roman" w:hAnsi="Times New Roman" w:cs="Times New Roman"/>
          <w:bCs/>
          <w:color w:val="000000"/>
          <w:sz w:val="24"/>
          <w:szCs w:val="24"/>
        </w:rPr>
        <w:t>entre otros</w:t>
      </w:r>
      <w:r w:rsidR="00BF7B48" w:rsidRPr="00B60E6E">
        <w:rPr>
          <w:rFonts w:ascii="Times New Roman" w:hAnsi="Times New Roman" w:cs="Times New Roman"/>
          <w:bCs/>
          <w:color w:val="000000"/>
          <w:sz w:val="24"/>
          <w:szCs w:val="24"/>
        </w:rPr>
        <w:t xml:space="preserve">. En el segundo se </w:t>
      </w:r>
      <w:r>
        <w:rPr>
          <w:rFonts w:ascii="Times New Roman" w:hAnsi="Times New Roman" w:cs="Times New Roman"/>
          <w:bCs/>
          <w:color w:val="000000"/>
          <w:sz w:val="24"/>
          <w:szCs w:val="24"/>
        </w:rPr>
        <w:t>hallan</w:t>
      </w:r>
      <w:r w:rsidR="00BF7B48" w:rsidRPr="00B60E6E">
        <w:rPr>
          <w:rFonts w:ascii="Times New Roman" w:hAnsi="Times New Roman" w:cs="Times New Roman"/>
          <w:bCs/>
          <w:color w:val="000000"/>
          <w:sz w:val="24"/>
          <w:szCs w:val="24"/>
        </w:rPr>
        <w:t xml:space="preserve"> diversos servicios </w:t>
      </w:r>
      <w:r>
        <w:rPr>
          <w:rFonts w:ascii="Times New Roman" w:hAnsi="Times New Roman" w:cs="Times New Roman"/>
          <w:bCs/>
          <w:color w:val="000000"/>
          <w:sz w:val="24"/>
          <w:szCs w:val="24"/>
        </w:rPr>
        <w:t xml:space="preserve">(p. ej., </w:t>
      </w:r>
      <w:r w:rsidRPr="00B60E6E">
        <w:rPr>
          <w:rFonts w:ascii="Times New Roman" w:hAnsi="Times New Roman" w:cs="Times New Roman"/>
          <w:bCs/>
          <w:color w:val="000000"/>
          <w:sz w:val="24"/>
          <w:szCs w:val="24"/>
        </w:rPr>
        <w:t>la asistencia técnica</w:t>
      </w:r>
      <w:r>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que apoy</w:t>
      </w:r>
      <w:r>
        <w:rPr>
          <w:rFonts w:ascii="Times New Roman" w:hAnsi="Times New Roman" w:cs="Times New Roman"/>
          <w:bCs/>
          <w:color w:val="000000"/>
          <w:sz w:val="24"/>
          <w:szCs w:val="24"/>
        </w:rPr>
        <w:t>an al agricultor en sus labores</w:t>
      </w:r>
      <w:r w:rsidR="00BF7B48" w:rsidRPr="00B60E6E">
        <w:rPr>
          <w:rFonts w:ascii="Times New Roman" w:hAnsi="Times New Roman" w:cs="Times New Roman"/>
          <w:bCs/>
          <w:color w:val="000000"/>
          <w:sz w:val="24"/>
          <w:szCs w:val="24"/>
        </w:rPr>
        <w:t>.</w:t>
      </w:r>
    </w:p>
    <w:p w14:paraId="19850F23" w14:textId="2CAEB064" w:rsidR="00BF7B48" w:rsidRPr="00B60E6E" w:rsidRDefault="00BF7B48"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Cs/>
          <w:color w:val="000000"/>
          <w:sz w:val="24"/>
          <w:szCs w:val="24"/>
        </w:rPr>
      </w:pPr>
      <w:r w:rsidRPr="00B60E6E">
        <w:rPr>
          <w:rFonts w:ascii="Times New Roman" w:hAnsi="Times New Roman" w:cs="Times New Roman"/>
          <w:bCs/>
          <w:color w:val="000000"/>
          <w:sz w:val="24"/>
          <w:szCs w:val="24"/>
        </w:rPr>
        <w:t xml:space="preserve">El proveedor </w:t>
      </w:r>
      <w:r w:rsidR="000E156E" w:rsidRPr="00B60E6E">
        <w:rPr>
          <w:rFonts w:ascii="Times New Roman" w:hAnsi="Times New Roman" w:cs="Times New Roman"/>
          <w:bCs/>
          <w:color w:val="000000"/>
          <w:sz w:val="24"/>
          <w:szCs w:val="24"/>
        </w:rPr>
        <w:t xml:space="preserve">más importante es el </w:t>
      </w:r>
      <w:r w:rsidR="00BF49A0" w:rsidRPr="00B60E6E">
        <w:rPr>
          <w:rFonts w:ascii="Times New Roman" w:hAnsi="Times New Roman" w:cs="Times New Roman"/>
          <w:bCs/>
          <w:color w:val="000000"/>
          <w:sz w:val="24"/>
          <w:szCs w:val="24"/>
        </w:rPr>
        <w:t xml:space="preserve">de insumos, </w:t>
      </w:r>
      <w:r w:rsidR="00520086">
        <w:rPr>
          <w:rFonts w:ascii="Times New Roman" w:hAnsi="Times New Roman" w:cs="Times New Roman"/>
          <w:bCs/>
          <w:color w:val="000000"/>
          <w:sz w:val="24"/>
          <w:szCs w:val="24"/>
        </w:rPr>
        <w:t>el cual presenta</w:t>
      </w:r>
      <w:r w:rsidR="000E156E" w:rsidRPr="00B60E6E">
        <w:rPr>
          <w:rFonts w:ascii="Times New Roman" w:hAnsi="Times New Roman" w:cs="Times New Roman"/>
          <w:bCs/>
          <w:color w:val="000000"/>
          <w:sz w:val="24"/>
          <w:szCs w:val="24"/>
        </w:rPr>
        <w:t xml:space="preserve"> una diferenciación</w:t>
      </w:r>
      <w:r w:rsidRPr="00B60E6E">
        <w:rPr>
          <w:rFonts w:ascii="Times New Roman" w:hAnsi="Times New Roman" w:cs="Times New Roman"/>
          <w:bCs/>
          <w:color w:val="000000"/>
          <w:sz w:val="24"/>
          <w:szCs w:val="24"/>
        </w:rPr>
        <w:t xml:space="preserve"> baja. Esto </w:t>
      </w:r>
      <w:r w:rsidR="00520086">
        <w:rPr>
          <w:rFonts w:ascii="Times New Roman" w:hAnsi="Times New Roman" w:cs="Times New Roman"/>
          <w:bCs/>
          <w:color w:val="000000"/>
          <w:sz w:val="24"/>
          <w:szCs w:val="24"/>
        </w:rPr>
        <w:t xml:space="preserve">se debe </w:t>
      </w:r>
      <w:r w:rsidRPr="00B60E6E">
        <w:rPr>
          <w:rFonts w:ascii="Times New Roman" w:hAnsi="Times New Roman" w:cs="Times New Roman"/>
          <w:bCs/>
          <w:color w:val="000000"/>
          <w:sz w:val="24"/>
          <w:szCs w:val="24"/>
        </w:rPr>
        <w:t xml:space="preserve">a que no existen tantas empresas </w:t>
      </w:r>
      <w:r w:rsidR="00520086">
        <w:rPr>
          <w:rFonts w:ascii="Times New Roman" w:hAnsi="Times New Roman" w:cs="Times New Roman"/>
          <w:bCs/>
          <w:color w:val="000000"/>
          <w:sz w:val="24"/>
          <w:szCs w:val="24"/>
        </w:rPr>
        <w:t>para venderlos</w:t>
      </w:r>
      <w:r w:rsidRPr="00B60E6E">
        <w:rPr>
          <w:rFonts w:ascii="Times New Roman" w:hAnsi="Times New Roman" w:cs="Times New Roman"/>
          <w:bCs/>
          <w:color w:val="000000"/>
          <w:sz w:val="24"/>
          <w:szCs w:val="24"/>
        </w:rPr>
        <w:t xml:space="preserve">, </w:t>
      </w:r>
      <w:r w:rsidR="00520086">
        <w:rPr>
          <w:rFonts w:ascii="Times New Roman" w:hAnsi="Times New Roman" w:cs="Times New Roman"/>
          <w:bCs/>
          <w:color w:val="000000"/>
          <w:sz w:val="24"/>
          <w:szCs w:val="24"/>
        </w:rPr>
        <w:t>aunque</w:t>
      </w:r>
      <w:r w:rsidRPr="00B60E6E">
        <w:rPr>
          <w:rFonts w:ascii="Times New Roman" w:hAnsi="Times New Roman" w:cs="Times New Roman"/>
          <w:bCs/>
          <w:color w:val="000000"/>
          <w:sz w:val="24"/>
          <w:szCs w:val="24"/>
        </w:rPr>
        <w:t xml:space="preserve"> s</w:t>
      </w:r>
      <w:r w:rsidR="00747F9F" w:rsidRPr="00B60E6E">
        <w:rPr>
          <w:rFonts w:ascii="Times New Roman" w:hAnsi="Times New Roman" w:cs="Times New Roman"/>
          <w:bCs/>
          <w:color w:val="000000"/>
          <w:sz w:val="24"/>
          <w:szCs w:val="24"/>
        </w:rPr>
        <w:t xml:space="preserve">í </w:t>
      </w:r>
      <w:r w:rsidR="0052115A">
        <w:rPr>
          <w:rFonts w:ascii="Times New Roman" w:hAnsi="Times New Roman" w:cs="Times New Roman"/>
          <w:bCs/>
          <w:color w:val="000000"/>
          <w:sz w:val="24"/>
          <w:szCs w:val="24"/>
        </w:rPr>
        <w:t>hay</w:t>
      </w:r>
      <w:r w:rsidR="00747F9F" w:rsidRPr="00B60E6E">
        <w:rPr>
          <w:rFonts w:ascii="Times New Roman" w:hAnsi="Times New Roman" w:cs="Times New Roman"/>
          <w:bCs/>
          <w:color w:val="000000"/>
          <w:sz w:val="24"/>
          <w:szCs w:val="24"/>
        </w:rPr>
        <w:t xml:space="preserve"> </w:t>
      </w:r>
      <w:r w:rsidRPr="00B60E6E">
        <w:rPr>
          <w:rFonts w:ascii="Times New Roman" w:hAnsi="Times New Roman" w:cs="Times New Roman"/>
          <w:bCs/>
          <w:color w:val="000000"/>
          <w:sz w:val="24"/>
          <w:szCs w:val="24"/>
        </w:rPr>
        <w:t xml:space="preserve">más opciones para sustituir los productos. Los costos de insumos cambian </w:t>
      </w:r>
      <w:r w:rsidR="000E156E" w:rsidRPr="00B60E6E">
        <w:rPr>
          <w:rFonts w:ascii="Times New Roman" w:hAnsi="Times New Roman" w:cs="Times New Roman"/>
          <w:bCs/>
          <w:color w:val="000000"/>
          <w:sz w:val="24"/>
          <w:szCs w:val="24"/>
        </w:rPr>
        <w:t>de acuerdo con</w:t>
      </w:r>
      <w:r w:rsidRPr="00B60E6E">
        <w:rPr>
          <w:rFonts w:ascii="Times New Roman" w:hAnsi="Times New Roman" w:cs="Times New Roman"/>
          <w:bCs/>
          <w:color w:val="000000"/>
          <w:sz w:val="24"/>
          <w:szCs w:val="24"/>
        </w:rPr>
        <w:t xml:space="preserve"> los precios del mercado, por lo que </w:t>
      </w:r>
      <w:r w:rsidR="00520086">
        <w:rPr>
          <w:rFonts w:ascii="Times New Roman" w:hAnsi="Times New Roman" w:cs="Times New Roman"/>
          <w:bCs/>
          <w:color w:val="000000"/>
          <w:sz w:val="24"/>
          <w:szCs w:val="24"/>
        </w:rPr>
        <w:t>e</w:t>
      </w:r>
      <w:r w:rsidRPr="00B60E6E">
        <w:rPr>
          <w:rFonts w:ascii="Times New Roman" w:hAnsi="Times New Roman" w:cs="Times New Roman"/>
          <w:bCs/>
          <w:color w:val="000000"/>
          <w:sz w:val="24"/>
          <w:szCs w:val="24"/>
        </w:rPr>
        <w:t>stos tienen un impacto medio en el costo de la malanga</w:t>
      </w:r>
      <w:r w:rsidR="00483C05" w:rsidRPr="00B60E6E">
        <w:rPr>
          <w:rFonts w:ascii="Times New Roman" w:hAnsi="Times New Roman" w:cs="Times New Roman"/>
          <w:bCs/>
          <w:color w:val="000000"/>
          <w:sz w:val="24"/>
          <w:szCs w:val="24"/>
        </w:rPr>
        <w:t>,</w:t>
      </w:r>
      <w:r w:rsidRPr="00B60E6E">
        <w:rPr>
          <w:rFonts w:ascii="Times New Roman" w:hAnsi="Times New Roman" w:cs="Times New Roman"/>
          <w:bCs/>
          <w:color w:val="000000"/>
          <w:sz w:val="24"/>
          <w:szCs w:val="24"/>
        </w:rPr>
        <w:t xml:space="preserve"> dependiendo de las cantidades usadas. </w:t>
      </w:r>
      <w:r w:rsidR="00844212" w:rsidRPr="00B60E6E">
        <w:rPr>
          <w:rFonts w:ascii="Times New Roman" w:hAnsi="Times New Roman" w:cs="Times New Roman"/>
          <w:bCs/>
          <w:color w:val="000000"/>
          <w:sz w:val="24"/>
          <w:szCs w:val="24"/>
        </w:rPr>
        <w:t>E</w:t>
      </w:r>
      <w:r w:rsidRPr="00B60E6E">
        <w:rPr>
          <w:rFonts w:ascii="Times New Roman" w:hAnsi="Times New Roman" w:cs="Times New Roman"/>
          <w:bCs/>
          <w:color w:val="000000"/>
          <w:sz w:val="24"/>
          <w:szCs w:val="24"/>
        </w:rPr>
        <w:t xml:space="preserve">l volumen de venta para el proveedor es importante, pero no representa una amenaza en su rentabilidad. </w:t>
      </w:r>
    </w:p>
    <w:p w14:paraId="1EF9D2DE" w14:textId="77777777" w:rsidR="00520086" w:rsidRDefault="00BF7B48"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Cs/>
          <w:color w:val="000000"/>
          <w:sz w:val="24"/>
          <w:szCs w:val="24"/>
        </w:rPr>
      </w:pPr>
      <w:r w:rsidRPr="00B60E6E">
        <w:rPr>
          <w:rFonts w:ascii="Times New Roman" w:hAnsi="Times New Roman" w:cs="Times New Roman"/>
          <w:bCs/>
          <w:color w:val="000000"/>
          <w:sz w:val="24"/>
          <w:szCs w:val="24"/>
        </w:rPr>
        <w:t>Considerando todo lo anterior, se puede decir que el pod</w:t>
      </w:r>
      <w:r w:rsidR="00A31EC5" w:rsidRPr="00B60E6E">
        <w:rPr>
          <w:rFonts w:ascii="Times New Roman" w:hAnsi="Times New Roman" w:cs="Times New Roman"/>
          <w:bCs/>
          <w:color w:val="000000"/>
          <w:sz w:val="24"/>
          <w:szCs w:val="24"/>
        </w:rPr>
        <w:t xml:space="preserve">er negociador del proveedor es </w:t>
      </w:r>
      <w:r w:rsidR="00520086">
        <w:rPr>
          <w:rFonts w:ascii="Times New Roman" w:hAnsi="Times New Roman" w:cs="Times New Roman"/>
          <w:bCs/>
          <w:color w:val="000000"/>
          <w:sz w:val="24"/>
          <w:szCs w:val="24"/>
        </w:rPr>
        <w:t>débil, y</w:t>
      </w:r>
      <w:r w:rsidRPr="00B60E6E">
        <w:rPr>
          <w:rFonts w:ascii="Times New Roman" w:hAnsi="Times New Roman" w:cs="Times New Roman"/>
          <w:bCs/>
          <w:color w:val="000000"/>
          <w:sz w:val="24"/>
          <w:szCs w:val="24"/>
        </w:rPr>
        <w:t xml:space="preserve">a que </w:t>
      </w:r>
      <w:r w:rsidR="00520086">
        <w:rPr>
          <w:rFonts w:ascii="Times New Roman" w:hAnsi="Times New Roman" w:cs="Times New Roman"/>
          <w:bCs/>
          <w:color w:val="000000"/>
          <w:sz w:val="24"/>
          <w:szCs w:val="24"/>
        </w:rPr>
        <w:t>e</w:t>
      </w:r>
      <w:r w:rsidRPr="00B60E6E">
        <w:rPr>
          <w:rFonts w:ascii="Times New Roman" w:hAnsi="Times New Roman" w:cs="Times New Roman"/>
          <w:bCs/>
          <w:color w:val="000000"/>
          <w:sz w:val="24"/>
          <w:szCs w:val="24"/>
        </w:rPr>
        <w:t xml:space="preserve">ste no representa una amenaza </w:t>
      </w:r>
      <w:r w:rsidR="00A31EC5" w:rsidRPr="00B60E6E">
        <w:rPr>
          <w:rFonts w:ascii="Times New Roman" w:hAnsi="Times New Roman" w:cs="Times New Roman"/>
          <w:bCs/>
          <w:color w:val="000000"/>
          <w:sz w:val="24"/>
          <w:szCs w:val="24"/>
        </w:rPr>
        <w:t>para influenciar en mayor medida o absorber</w:t>
      </w:r>
      <w:r w:rsidRPr="00B60E6E">
        <w:rPr>
          <w:rFonts w:ascii="Times New Roman" w:hAnsi="Times New Roman" w:cs="Times New Roman"/>
          <w:bCs/>
          <w:color w:val="000000"/>
          <w:sz w:val="24"/>
          <w:szCs w:val="24"/>
        </w:rPr>
        <w:t xml:space="preserve"> el eslabón de la cadena de suministro del agricultor.</w:t>
      </w:r>
    </w:p>
    <w:p w14:paraId="109DDFA6" w14:textId="79355967" w:rsidR="00BF7B48" w:rsidRPr="00E204E6" w:rsidRDefault="00BF7B48" w:rsidP="00E204E6">
      <w:pPr>
        <w:pStyle w:val="Ttulo2"/>
        <w:rPr>
          <w:sz w:val="24"/>
        </w:rPr>
      </w:pPr>
      <w:r w:rsidRPr="00E204E6">
        <w:rPr>
          <w:sz w:val="24"/>
        </w:rPr>
        <w:t xml:space="preserve">El </w:t>
      </w:r>
      <w:r w:rsidR="00520086" w:rsidRPr="00E204E6">
        <w:rPr>
          <w:sz w:val="24"/>
        </w:rPr>
        <w:t>poder de los compradores (alto)</w:t>
      </w:r>
    </w:p>
    <w:p w14:paraId="1399A1B9" w14:textId="562B78E7" w:rsidR="00BF7B48" w:rsidRPr="00B60E6E" w:rsidRDefault="00520086" w:rsidP="00BF7B48">
      <w:pPr>
        <w:autoSpaceDE w:val="0"/>
        <w:autoSpaceDN w:val="0"/>
        <w:adjustRightInd w:val="0"/>
        <w:spacing w:before="100" w:beforeAutospacing="1" w:after="100" w:afterAutospacing="1"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BF7B48" w:rsidRPr="00B60E6E">
        <w:rPr>
          <w:rFonts w:ascii="Times New Roman" w:hAnsi="Times New Roman" w:cs="Times New Roman"/>
          <w:bCs/>
          <w:color w:val="000000"/>
          <w:sz w:val="24"/>
          <w:szCs w:val="24"/>
        </w:rPr>
        <w:t>El poder negociador de los compradores del sec</w:t>
      </w:r>
      <w:r w:rsidR="004E2275">
        <w:rPr>
          <w:rFonts w:ascii="Times New Roman" w:hAnsi="Times New Roman" w:cs="Times New Roman"/>
          <w:bCs/>
          <w:color w:val="000000"/>
          <w:sz w:val="24"/>
          <w:szCs w:val="24"/>
        </w:rPr>
        <w:t>tor de la malanga es alto,</w:t>
      </w:r>
      <w:r w:rsidR="00BF7B48" w:rsidRPr="00B60E6E">
        <w:rPr>
          <w:rFonts w:ascii="Times New Roman" w:hAnsi="Times New Roman" w:cs="Times New Roman"/>
          <w:bCs/>
          <w:color w:val="000000"/>
          <w:sz w:val="24"/>
          <w:szCs w:val="24"/>
        </w:rPr>
        <w:t xml:space="preserve"> </w:t>
      </w:r>
      <w:r w:rsidR="004E2275">
        <w:rPr>
          <w:rFonts w:ascii="Times New Roman" w:hAnsi="Times New Roman" w:cs="Times New Roman"/>
          <w:bCs/>
          <w:color w:val="000000"/>
          <w:sz w:val="24"/>
          <w:szCs w:val="24"/>
        </w:rPr>
        <w:t>y</w:t>
      </w:r>
      <w:r w:rsidR="00483C05" w:rsidRPr="00B60E6E">
        <w:rPr>
          <w:rFonts w:ascii="Times New Roman" w:hAnsi="Times New Roman" w:cs="Times New Roman"/>
          <w:bCs/>
          <w:color w:val="000000"/>
          <w:sz w:val="24"/>
          <w:szCs w:val="24"/>
        </w:rPr>
        <w:t>a que</w:t>
      </w:r>
      <w:r w:rsidR="00BF7B48" w:rsidRPr="00B60E6E">
        <w:rPr>
          <w:rFonts w:ascii="Times New Roman" w:hAnsi="Times New Roman" w:cs="Times New Roman"/>
          <w:bCs/>
          <w:color w:val="000000"/>
          <w:sz w:val="24"/>
          <w:szCs w:val="24"/>
        </w:rPr>
        <w:t xml:space="preserve"> pagan el precio </w:t>
      </w:r>
      <w:r w:rsidR="0052115A">
        <w:rPr>
          <w:rFonts w:ascii="Times New Roman" w:hAnsi="Times New Roman" w:cs="Times New Roman"/>
          <w:bCs/>
          <w:color w:val="000000"/>
          <w:sz w:val="24"/>
          <w:szCs w:val="24"/>
        </w:rPr>
        <w:t>como mejor les conviene,</w:t>
      </w:r>
      <w:r w:rsidR="00BF7B48" w:rsidRPr="00B60E6E">
        <w:rPr>
          <w:rFonts w:ascii="Times New Roman" w:hAnsi="Times New Roman" w:cs="Times New Roman"/>
          <w:bCs/>
          <w:color w:val="000000"/>
          <w:sz w:val="24"/>
          <w:szCs w:val="24"/>
        </w:rPr>
        <w:t xml:space="preserve"> </w:t>
      </w:r>
      <w:r w:rsidR="000571FE" w:rsidRPr="00B60E6E">
        <w:rPr>
          <w:rFonts w:ascii="Times New Roman" w:hAnsi="Times New Roman" w:cs="Times New Roman"/>
          <w:bCs/>
          <w:color w:val="000000"/>
          <w:sz w:val="24"/>
          <w:szCs w:val="24"/>
        </w:rPr>
        <w:t>de acuerdo con</w:t>
      </w:r>
      <w:r w:rsidR="00BF7B48" w:rsidRPr="00B60E6E">
        <w:rPr>
          <w:rFonts w:ascii="Times New Roman" w:hAnsi="Times New Roman" w:cs="Times New Roman"/>
          <w:bCs/>
          <w:color w:val="000000"/>
          <w:sz w:val="24"/>
          <w:szCs w:val="24"/>
        </w:rPr>
        <w:t xml:space="preserve"> la situación del mercado. Además, la concentració</w:t>
      </w:r>
      <w:r w:rsidR="000571FE" w:rsidRPr="00B60E6E">
        <w:rPr>
          <w:rFonts w:ascii="Times New Roman" w:hAnsi="Times New Roman" w:cs="Times New Roman"/>
          <w:bCs/>
          <w:color w:val="000000"/>
          <w:sz w:val="24"/>
          <w:szCs w:val="24"/>
        </w:rPr>
        <w:t>n de compradores es menor que</w:t>
      </w:r>
      <w:r w:rsidR="00BF7B48" w:rsidRPr="00B60E6E">
        <w:rPr>
          <w:rFonts w:ascii="Times New Roman" w:hAnsi="Times New Roman" w:cs="Times New Roman"/>
          <w:bCs/>
          <w:color w:val="000000"/>
          <w:sz w:val="24"/>
          <w:szCs w:val="24"/>
        </w:rPr>
        <w:t xml:space="preserve"> de agricultores, </w:t>
      </w:r>
      <w:r w:rsidR="004E2275">
        <w:rPr>
          <w:rFonts w:ascii="Times New Roman" w:hAnsi="Times New Roman" w:cs="Times New Roman"/>
          <w:bCs/>
          <w:color w:val="000000"/>
          <w:sz w:val="24"/>
          <w:szCs w:val="24"/>
        </w:rPr>
        <w:t xml:space="preserve">los cuales compran </w:t>
      </w:r>
      <w:r w:rsidR="00745F75" w:rsidRPr="00B60E6E">
        <w:rPr>
          <w:rFonts w:ascii="Times New Roman" w:hAnsi="Times New Roman" w:cs="Times New Roman"/>
          <w:bCs/>
          <w:color w:val="000000"/>
          <w:sz w:val="24"/>
          <w:szCs w:val="24"/>
        </w:rPr>
        <w:t>en su mayoría</w:t>
      </w:r>
      <w:r w:rsidR="00BF7B48" w:rsidRPr="00B60E6E">
        <w:rPr>
          <w:rFonts w:ascii="Times New Roman" w:hAnsi="Times New Roman" w:cs="Times New Roman"/>
          <w:bCs/>
          <w:color w:val="000000"/>
          <w:sz w:val="24"/>
          <w:szCs w:val="24"/>
        </w:rPr>
        <w:t xml:space="preserve"> por </w:t>
      </w:r>
      <w:r w:rsidR="00BF7B48" w:rsidRPr="00B60E6E">
        <w:rPr>
          <w:rFonts w:ascii="Times New Roman" w:hAnsi="Times New Roman" w:cs="Times New Roman"/>
          <w:bCs/>
          <w:color w:val="000000"/>
          <w:sz w:val="24"/>
          <w:szCs w:val="24"/>
        </w:rPr>
        <w:lastRenderedPageBreak/>
        <w:t>volumen. Los compradores</w:t>
      </w:r>
      <w:r w:rsidR="000571FE" w:rsidRPr="00B60E6E">
        <w:rPr>
          <w:rFonts w:ascii="Times New Roman" w:hAnsi="Times New Roman" w:cs="Times New Roman"/>
          <w:bCs/>
          <w:color w:val="000000"/>
          <w:sz w:val="24"/>
          <w:szCs w:val="24"/>
        </w:rPr>
        <w:t xml:space="preserve"> nacionales</w:t>
      </w:r>
      <w:r w:rsidR="004E2275">
        <w:rPr>
          <w:rFonts w:ascii="Times New Roman" w:hAnsi="Times New Roman" w:cs="Times New Roman"/>
          <w:bCs/>
          <w:color w:val="000000"/>
          <w:sz w:val="24"/>
          <w:szCs w:val="24"/>
        </w:rPr>
        <w:t xml:space="preserve"> están identificados como</w:t>
      </w:r>
      <w:r w:rsidR="00BF7B48" w:rsidRPr="00B60E6E">
        <w:rPr>
          <w:rFonts w:ascii="Times New Roman" w:hAnsi="Times New Roman" w:cs="Times New Roman"/>
          <w:bCs/>
          <w:color w:val="000000"/>
          <w:sz w:val="24"/>
          <w:szCs w:val="24"/>
        </w:rPr>
        <w:t xml:space="preserve"> acopiadores (48</w:t>
      </w:r>
      <w:r w:rsidR="004E2275">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 central de abastos (2</w:t>
      </w:r>
      <w:r w:rsidR="004E2275">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 centro de acopio (6</w:t>
      </w:r>
      <w:r w:rsidR="004E2275">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 coyotes o intermediarios (14</w:t>
      </w:r>
      <w:r w:rsidR="004E2275">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 xml:space="preserve">%), </w:t>
      </w:r>
      <w:r w:rsidR="004C65AF" w:rsidRPr="00B60E6E">
        <w:rPr>
          <w:rFonts w:ascii="Times New Roman" w:hAnsi="Times New Roman" w:cs="Times New Roman"/>
          <w:bCs/>
          <w:color w:val="000000"/>
          <w:sz w:val="24"/>
          <w:szCs w:val="24"/>
        </w:rPr>
        <w:t>consumidores finales</w:t>
      </w:r>
      <w:r w:rsidR="00BF7B48" w:rsidRPr="00B60E6E">
        <w:rPr>
          <w:rFonts w:ascii="Times New Roman" w:hAnsi="Times New Roman" w:cs="Times New Roman"/>
          <w:bCs/>
          <w:color w:val="000000"/>
          <w:sz w:val="24"/>
          <w:szCs w:val="24"/>
        </w:rPr>
        <w:t xml:space="preserve"> (16</w:t>
      </w:r>
      <w:r w:rsidR="004E2275">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 otro</w:t>
      </w:r>
      <w:r w:rsidR="0052115A">
        <w:rPr>
          <w:rFonts w:ascii="Times New Roman" w:hAnsi="Times New Roman" w:cs="Times New Roman"/>
          <w:bCs/>
          <w:color w:val="000000"/>
          <w:sz w:val="24"/>
          <w:szCs w:val="24"/>
        </w:rPr>
        <w:t>s</w:t>
      </w:r>
      <w:r w:rsidR="00BF7B48" w:rsidRPr="00B60E6E">
        <w:rPr>
          <w:rFonts w:ascii="Times New Roman" w:hAnsi="Times New Roman" w:cs="Times New Roman"/>
          <w:bCs/>
          <w:color w:val="000000"/>
          <w:sz w:val="24"/>
          <w:szCs w:val="24"/>
        </w:rPr>
        <w:t xml:space="preserve"> productor</w:t>
      </w:r>
      <w:r w:rsidR="0052115A">
        <w:rPr>
          <w:rFonts w:ascii="Times New Roman" w:hAnsi="Times New Roman" w:cs="Times New Roman"/>
          <w:bCs/>
          <w:color w:val="000000"/>
          <w:sz w:val="24"/>
          <w:szCs w:val="24"/>
        </w:rPr>
        <w:t>es</w:t>
      </w:r>
      <w:r w:rsidR="00BF7B48" w:rsidRPr="00B60E6E">
        <w:rPr>
          <w:rFonts w:ascii="Times New Roman" w:hAnsi="Times New Roman" w:cs="Times New Roman"/>
          <w:bCs/>
          <w:color w:val="000000"/>
          <w:sz w:val="24"/>
          <w:szCs w:val="24"/>
        </w:rPr>
        <w:t xml:space="preserve"> (2</w:t>
      </w:r>
      <w:r w:rsidR="004E2275">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 xml:space="preserve"> </w:t>
      </w:r>
      <w:r w:rsidR="004E2275">
        <w:rPr>
          <w:rFonts w:ascii="Times New Roman" w:hAnsi="Times New Roman" w:cs="Times New Roman"/>
          <w:bCs/>
          <w:color w:val="000000"/>
          <w:sz w:val="24"/>
          <w:szCs w:val="24"/>
        </w:rPr>
        <w:t xml:space="preserve">y </w:t>
      </w:r>
      <w:r w:rsidR="00BF7B48" w:rsidRPr="00B60E6E">
        <w:rPr>
          <w:rFonts w:ascii="Times New Roman" w:hAnsi="Times New Roman" w:cs="Times New Roman"/>
          <w:bCs/>
          <w:color w:val="000000"/>
          <w:sz w:val="24"/>
          <w:szCs w:val="24"/>
        </w:rPr>
        <w:t>el resto de encuestados no contestaron (13</w:t>
      </w:r>
      <w:r w:rsidR="004E2275">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w:t>
      </w:r>
      <w:r w:rsidR="00D526E3" w:rsidRPr="00B60E6E">
        <w:rPr>
          <w:rFonts w:ascii="Times New Roman" w:hAnsi="Times New Roman" w:cs="Times New Roman"/>
          <w:bCs/>
          <w:color w:val="000000"/>
          <w:sz w:val="24"/>
          <w:szCs w:val="24"/>
        </w:rPr>
        <w:t xml:space="preserve"> (Asiain </w:t>
      </w:r>
      <w:r w:rsidR="00D526E3" w:rsidRPr="004E2275">
        <w:rPr>
          <w:rFonts w:ascii="Times New Roman" w:hAnsi="Times New Roman" w:cs="Times New Roman"/>
          <w:bCs/>
          <w:i/>
          <w:color w:val="000000"/>
          <w:sz w:val="24"/>
          <w:szCs w:val="24"/>
        </w:rPr>
        <w:t>et al.</w:t>
      </w:r>
      <w:r w:rsidR="00D526E3" w:rsidRPr="00B60E6E">
        <w:rPr>
          <w:rFonts w:ascii="Times New Roman" w:hAnsi="Times New Roman" w:cs="Times New Roman"/>
          <w:bCs/>
          <w:color w:val="000000"/>
          <w:sz w:val="24"/>
          <w:szCs w:val="24"/>
        </w:rPr>
        <w:t>, 2017)</w:t>
      </w:r>
      <w:r w:rsidR="004E2275">
        <w:rPr>
          <w:rFonts w:ascii="Times New Roman" w:hAnsi="Times New Roman" w:cs="Times New Roman"/>
          <w:bCs/>
          <w:color w:val="000000"/>
          <w:sz w:val="24"/>
          <w:szCs w:val="24"/>
        </w:rPr>
        <w:t>.</w:t>
      </w:r>
    </w:p>
    <w:p w14:paraId="691DFBF1" w14:textId="6546E657" w:rsidR="00BF7B48" w:rsidRPr="00B60E6E" w:rsidRDefault="003B598D"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Cs/>
          <w:color w:val="000000"/>
          <w:sz w:val="24"/>
          <w:szCs w:val="24"/>
        </w:rPr>
      </w:pPr>
      <w:r w:rsidRPr="00B60E6E">
        <w:rPr>
          <w:rFonts w:ascii="Times New Roman" w:hAnsi="Times New Roman" w:cs="Times New Roman"/>
          <w:bCs/>
          <w:color w:val="000000"/>
          <w:sz w:val="24"/>
          <w:szCs w:val="24"/>
        </w:rPr>
        <w:t xml:space="preserve">La mayoría de compradores nacionales de </w:t>
      </w:r>
      <w:r w:rsidR="00BF7B48" w:rsidRPr="00B60E6E">
        <w:rPr>
          <w:rFonts w:ascii="Times New Roman" w:hAnsi="Times New Roman" w:cs="Times New Roman"/>
          <w:bCs/>
          <w:color w:val="000000"/>
          <w:sz w:val="24"/>
          <w:szCs w:val="24"/>
        </w:rPr>
        <w:t xml:space="preserve">malanga no poseen relaciones formales con los agricultores, por lo que sustituyen el producto por otros cuando </w:t>
      </w:r>
      <w:r w:rsidR="008E0146" w:rsidRPr="00B60E6E">
        <w:rPr>
          <w:rFonts w:ascii="Times New Roman" w:hAnsi="Times New Roman" w:cs="Times New Roman"/>
          <w:bCs/>
          <w:color w:val="000000"/>
          <w:sz w:val="24"/>
          <w:szCs w:val="24"/>
        </w:rPr>
        <w:t>consiguen un mejor precio</w:t>
      </w:r>
      <w:r w:rsidR="00BF7B48" w:rsidRPr="00B60E6E">
        <w:rPr>
          <w:rFonts w:ascii="Times New Roman" w:hAnsi="Times New Roman" w:cs="Times New Roman"/>
          <w:bCs/>
          <w:color w:val="000000"/>
          <w:sz w:val="24"/>
          <w:szCs w:val="24"/>
        </w:rPr>
        <w:t xml:space="preserve">. </w:t>
      </w:r>
      <w:r w:rsidR="004E2275">
        <w:rPr>
          <w:rFonts w:ascii="Times New Roman" w:hAnsi="Times New Roman" w:cs="Times New Roman"/>
          <w:bCs/>
          <w:color w:val="000000"/>
          <w:sz w:val="24"/>
          <w:szCs w:val="24"/>
        </w:rPr>
        <w:t>En este sentido</w:t>
      </w:r>
      <w:r w:rsidR="00BF7B48" w:rsidRPr="00B60E6E">
        <w:rPr>
          <w:rFonts w:ascii="Times New Roman" w:hAnsi="Times New Roman" w:cs="Times New Roman"/>
          <w:bCs/>
          <w:color w:val="000000"/>
          <w:sz w:val="24"/>
          <w:szCs w:val="24"/>
        </w:rPr>
        <w:t xml:space="preserve">, es importante señalar que los compradores mexicanos de malanga también viven </w:t>
      </w:r>
      <w:r w:rsidRPr="00B60E6E">
        <w:rPr>
          <w:rFonts w:ascii="Times New Roman" w:hAnsi="Times New Roman" w:cs="Times New Roman"/>
          <w:bCs/>
          <w:color w:val="000000"/>
          <w:sz w:val="24"/>
          <w:szCs w:val="24"/>
        </w:rPr>
        <w:t xml:space="preserve">una situación similar cuando </w:t>
      </w:r>
      <w:r w:rsidR="00BF7B48" w:rsidRPr="00B60E6E">
        <w:rPr>
          <w:rFonts w:ascii="Times New Roman" w:hAnsi="Times New Roman" w:cs="Times New Roman"/>
          <w:bCs/>
          <w:color w:val="000000"/>
          <w:sz w:val="24"/>
          <w:szCs w:val="24"/>
        </w:rPr>
        <w:t xml:space="preserve">exportan </w:t>
      </w:r>
      <w:r w:rsidR="004E2275">
        <w:rPr>
          <w:rFonts w:ascii="Times New Roman" w:hAnsi="Times New Roman" w:cs="Times New Roman"/>
          <w:bCs/>
          <w:color w:val="000000"/>
          <w:sz w:val="24"/>
          <w:szCs w:val="24"/>
        </w:rPr>
        <w:t xml:space="preserve">el producto </w:t>
      </w:r>
      <w:r w:rsidRPr="00B60E6E">
        <w:rPr>
          <w:rFonts w:ascii="Times New Roman" w:hAnsi="Times New Roman" w:cs="Times New Roman"/>
          <w:bCs/>
          <w:color w:val="000000"/>
          <w:sz w:val="24"/>
          <w:szCs w:val="24"/>
        </w:rPr>
        <w:t>a Canadá</w:t>
      </w:r>
      <w:r w:rsidR="00BF7B48" w:rsidRPr="00B60E6E">
        <w:rPr>
          <w:rFonts w:ascii="Times New Roman" w:hAnsi="Times New Roman" w:cs="Times New Roman"/>
          <w:bCs/>
          <w:color w:val="000000"/>
          <w:sz w:val="24"/>
          <w:szCs w:val="24"/>
        </w:rPr>
        <w:t xml:space="preserve"> y</w:t>
      </w:r>
      <w:r w:rsidRPr="00B60E6E">
        <w:rPr>
          <w:rFonts w:ascii="Times New Roman" w:hAnsi="Times New Roman" w:cs="Times New Roman"/>
          <w:bCs/>
          <w:color w:val="000000"/>
          <w:sz w:val="24"/>
          <w:szCs w:val="24"/>
        </w:rPr>
        <w:t xml:space="preserve"> a</w:t>
      </w:r>
      <w:r w:rsidR="00BF7B48" w:rsidRPr="00B60E6E">
        <w:rPr>
          <w:rFonts w:ascii="Times New Roman" w:hAnsi="Times New Roman" w:cs="Times New Roman"/>
          <w:bCs/>
          <w:color w:val="000000"/>
          <w:sz w:val="24"/>
          <w:szCs w:val="24"/>
        </w:rPr>
        <w:t xml:space="preserve"> </w:t>
      </w:r>
      <w:r w:rsidR="004E2275">
        <w:rPr>
          <w:rFonts w:ascii="Times New Roman" w:hAnsi="Times New Roman" w:cs="Times New Roman"/>
          <w:bCs/>
          <w:color w:val="000000"/>
          <w:sz w:val="24"/>
          <w:szCs w:val="24"/>
        </w:rPr>
        <w:t>EE. UU.</w:t>
      </w:r>
      <w:r w:rsidR="00BF7B48" w:rsidRPr="00B60E6E">
        <w:rPr>
          <w:rFonts w:ascii="Times New Roman" w:hAnsi="Times New Roman" w:cs="Times New Roman"/>
          <w:bCs/>
          <w:color w:val="000000"/>
          <w:sz w:val="24"/>
          <w:szCs w:val="24"/>
        </w:rPr>
        <w:t>, ya que</w:t>
      </w:r>
      <w:r w:rsidR="004E2275">
        <w:rPr>
          <w:rFonts w:ascii="Times New Roman" w:hAnsi="Times New Roman" w:cs="Times New Roman"/>
          <w:bCs/>
          <w:color w:val="000000"/>
          <w:sz w:val="24"/>
          <w:szCs w:val="24"/>
        </w:rPr>
        <w:t xml:space="preserve"> </w:t>
      </w:r>
      <w:r w:rsidR="0052115A">
        <w:rPr>
          <w:rFonts w:ascii="Times New Roman" w:hAnsi="Times New Roman" w:cs="Times New Roman"/>
          <w:bCs/>
          <w:color w:val="000000"/>
          <w:sz w:val="24"/>
          <w:szCs w:val="24"/>
        </w:rPr>
        <w:t>este puede ser sustituido por los</w:t>
      </w:r>
      <w:r w:rsidR="000571FE" w:rsidRPr="00B60E6E">
        <w:rPr>
          <w:rFonts w:ascii="Times New Roman" w:hAnsi="Times New Roman" w:cs="Times New Roman"/>
          <w:bCs/>
          <w:color w:val="000000"/>
          <w:sz w:val="24"/>
          <w:szCs w:val="24"/>
        </w:rPr>
        <w:t xml:space="preserve"> proveniente</w:t>
      </w:r>
      <w:r w:rsidR="0052115A">
        <w:rPr>
          <w:rFonts w:ascii="Times New Roman" w:hAnsi="Times New Roman" w:cs="Times New Roman"/>
          <w:bCs/>
          <w:color w:val="000000"/>
          <w:sz w:val="24"/>
          <w:szCs w:val="24"/>
        </w:rPr>
        <w:t>s</w:t>
      </w:r>
      <w:r w:rsidR="000571FE" w:rsidRPr="00B60E6E">
        <w:rPr>
          <w:rFonts w:ascii="Times New Roman" w:hAnsi="Times New Roman" w:cs="Times New Roman"/>
          <w:bCs/>
          <w:color w:val="000000"/>
          <w:sz w:val="24"/>
          <w:szCs w:val="24"/>
        </w:rPr>
        <w:t xml:space="preserve"> de</w:t>
      </w:r>
      <w:r w:rsidR="004E2275">
        <w:rPr>
          <w:rFonts w:ascii="Times New Roman" w:hAnsi="Times New Roman" w:cs="Times New Roman"/>
          <w:bCs/>
          <w:color w:val="000000"/>
          <w:sz w:val="24"/>
          <w:szCs w:val="24"/>
        </w:rPr>
        <w:t xml:space="preserve"> otros países. </w:t>
      </w:r>
      <w:r w:rsidR="00BF7B48" w:rsidRPr="00B60E6E">
        <w:rPr>
          <w:rFonts w:ascii="Times New Roman" w:hAnsi="Times New Roman" w:cs="Times New Roman"/>
          <w:bCs/>
          <w:color w:val="000000"/>
          <w:sz w:val="24"/>
          <w:szCs w:val="24"/>
        </w:rPr>
        <w:t xml:space="preserve">Por lo tanto, se puede catalogar el poder de los compradores como alto para negociar con los agricultores, </w:t>
      </w:r>
      <w:r w:rsidR="004E2275">
        <w:rPr>
          <w:rFonts w:ascii="Times New Roman" w:hAnsi="Times New Roman" w:cs="Times New Roman"/>
          <w:bCs/>
          <w:color w:val="000000"/>
          <w:sz w:val="24"/>
          <w:szCs w:val="24"/>
        </w:rPr>
        <w:t xml:space="preserve">y existe </w:t>
      </w:r>
      <w:r w:rsidR="00BF7B48" w:rsidRPr="00B60E6E">
        <w:rPr>
          <w:rFonts w:ascii="Times New Roman" w:hAnsi="Times New Roman" w:cs="Times New Roman"/>
          <w:bCs/>
          <w:color w:val="000000"/>
          <w:sz w:val="24"/>
          <w:szCs w:val="24"/>
        </w:rPr>
        <w:t xml:space="preserve">una capacidad de colaboración baja con </w:t>
      </w:r>
      <w:r w:rsidR="0052115A">
        <w:rPr>
          <w:rFonts w:ascii="Times New Roman" w:hAnsi="Times New Roman" w:cs="Times New Roman"/>
          <w:bCs/>
          <w:color w:val="000000"/>
          <w:sz w:val="24"/>
          <w:szCs w:val="24"/>
        </w:rPr>
        <w:t>ellos</w:t>
      </w:r>
      <w:r w:rsidR="004E2275">
        <w:rPr>
          <w:rFonts w:ascii="Times New Roman" w:hAnsi="Times New Roman" w:cs="Times New Roman"/>
          <w:bCs/>
          <w:color w:val="000000"/>
          <w:sz w:val="24"/>
          <w:szCs w:val="24"/>
        </w:rPr>
        <w:t>.</w:t>
      </w:r>
    </w:p>
    <w:p w14:paraId="3E572B1C" w14:textId="7D38886F" w:rsidR="00BF7B48" w:rsidRPr="00E204E6" w:rsidRDefault="00BF7B48" w:rsidP="00E204E6">
      <w:pPr>
        <w:pStyle w:val="Ttulo2"/>
        <w:rPr>
          <w:sz w:val="24"/>
        </w:rPr>
      </w:pPr>
      <w:r w:rsidRPr="00E204E6">
        <w:rPr>
          <w:sz w:val="24"/>
        </w:rPr>
        <w:t>La a</w:t>
      </w:r>
      <w:r w:rsidR="004E2275" w:rsidRPr="00E204E6">
        <w:rPr>
          <w:sz w:val="24"/>
        </w:rPr>
        <w:t>menaza de los sustitutos (alta)</w:t>
      </w:r>
    </w:p>
    <w:p w14:paraId="1601E297" w14:textId="29CABF78" w:rsidR="00BF7B48" w:rsidRPr="00B60E6E" w:rsidRDefault="004E2275" w:rsidP="0064332D">
      <w:pPr>
        <w:autoSpaceDE w:val="0"/>
        <w:autoSpaceDN w:val="0"/>
        <w:adjustRightInd w:val="0"/>
        <w:spacing w:before="100" w:beforeAutospacing="1" w:after="100" w:afterAutospacing="1"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BF7B48" w:rsidRPr="00B60E6E">
        <w:rPr>
          <w:rFonts w:ascii="Times New Roman" w:hAnsi="Times New Roman" w:cs="Times New Roman"/>
          <w:bCs/>
          <w:color w:val="000000"/>
          <w:sz w:val="24"/>
          <w:szCs w:val="24"/>
        </w:rPr>
        <w:t>Los productos que podrían sustituir a la mala</w:t>
      </w:r>
      <w:r w:rsidR="007C3C5C" w:rsidRPr="00B60E6E">
        <w:rPr>
          <w:rFonts w:ascii="Times New Roman" w:hAnsi="Times New Roman" w:cs="Times New Roman"/>
          <w:bCs/>
          <w:color w:val="000000"/>
          <w:sz w:val="24"/>
          <w:szCs w:val="24"/>
        </w:rPr>
        <w:t xml:space="preserve">nga en el mercado nacional </w:t>
      </w:r>
      <w:r>
        <w:rPr>
          <w:rFonts w:ascii="Times New Roman" w:hAnsi="Times New Roman" w:cs="Times New Roman"/>
          <w:bCs/>
          <w:color w:val="000000"/>
          <w:sz w:val="24"/>
          <w:szCs w:val="24"/>
        </w:rPr>
        <w:t>—</w:t>
      </w:r>
      <w:r w:rsidR="007C3C5C" w:rsidRPr="00B60E6E">
        <w:rPr>
          <w:rFonts w:ascii="Times New Roman" w:hAnsi="Times New Roman" w:cs="Times New Roman"/>
          <w:bCs/>
          <w:color w:val="000000"/>
          <w:sz w:val="24"/>
          <w:szCs w:val="24"/>
        </w:rPr>
        <w:t>y</w:t>
      </w:r>
      <w:r w:rsidR="00BF7B48" w:rsidRPr="00B60E6E">
        <w:rPr>
          <w:rFonts w:ascii="Times New Roman" w:hAnsi="Times New Roman" w:cs="Times New Roman"/>
          <w:bCs/>
          <w:color w:val="000000"/>
          <w:sz w:val="24"/>
          <w:szCs w:val="24"/>
        </w:rPr>
        <w:t xml:space="preserve"> principalmente en el extranjero</w:t>
      </w:r>
      <w:r>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podrían provenir de países que ofrezcan el pr</w:t>
      </w:r>
      <w:r w:rsidR="00FC1F3F" w:rsidRPr="00B60E6E">
        <w:rPr>
          <w:rFonts w:ascii="Times New Roman" w:hAnsi="Times New Roman" w:cs="Times New Roman"/>
          <w:bCs/>
          <w:color w:val="000000"/>
          <w:sz w:val="24"/>
          <w:szCs w:val="24"/>
        </w:rPr>
        <w:t xml:space="preserve">oducto con una diferenciación o con </w:t>
      </w:r>
      <w:r w:rsidR="00BF7B48" w:rsidRPr="00B60E6E">
        <w:rPr>
          <w:rFonts w:ascii="Times New Roman" w:hAnsi="Times New Roman" w:cs="Times New Roman"/>
          <w:bCs/>
          <w:color w:val="000000"/>
          <w:sz w:val="24"/>
          <w:szCs w:val="24"/>
        </w:rPr>
        <w:t>precios más bajos. Entre los</w:t>
      </w:r>
      <w:r w:rsidR="00747F9F" w:rsidRPr="00B60E6E">
        <w:rPr>
          <w:rFonts w:ascii="Times New Roman" w:hAnsi="Times New Roman" w:cs="Times New Roman"/>
          <w:bCs/>
          <w:color w:val="000000"/>
          <w:sz w:val="24"/>
          <w:szCs w:val="24"/>
        </w:rPr>
        <w:t xml:space="preserve"> competidores internacionales</w:t>
      </w:r>
      <w:r w:rsidR="00BF7B48" w:rsidRPr="00B60E6E">
        <w:rPr>
          <w:rFonts w:ascii="Times New Roman" w:hAnsi="Times New Roman" w:cs="Times New Roman"/>
          <w:bCs/>
          <w:color w:val="000000"/>
          <w:sz w:val="24"/>
          <w:szCs w:val="24"/>
        </w:rPr>
        <w:t xml:space="preserve"> se encontrarían sus actuales y principales </w:t>
      </w:r>
      <w:r w:rsidR="00954B76" w:rsidRPr="00B60E6E">
        <w:rPr>
          <w:rFonts w:ascii="Times New Roman" w:hAnsi="Times New Roman" w:cs="Times New Roman"/>
          <w:bCs/>
          <w:color w:val="000000"/>
          <w:sz w:val="24"/>
          <w:szCs w:val="24"/>
        </w:rPr>
        <w:t>adversarios</w:t>
      </w:r>
      <w:r w:rsidR="0052115A">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w:t>
      </w:r>
      <w:r w:rsidR="0052115A" w:rsidRPr="00B60E6E">
        <w:rPr>
          <w:rFonts w:ascii="Times New Roman" w:hAnsi="Times New Roman" w:cs="Times New Roman"/>
          <w:bCs/>
          <w:color w:val="000000"/>
          <w:sz w:val="24"/>
          <w:szCs w:val="24"/>
        </w:rPr>
        <w:t>en Canadá</w:t>
      </w:r>
      <w:r w:rsidR="0052115A">
        <w:rPr>
          <w:rFonts w:ascii="Times New Roman" w:hAnsi="Times New Roman" w:cs="Times New Roman"/>
          <w:bCs/>
          <w:color w:val="000000"/>
          <w:sz w:val="24"/>
          <w:szCs w:val="24"/>
        </w:rPr>
        <w:t>,</w:t>
      </w:r>
      <w:r w:rsidR="0052115A" w:rsidRPr="00B60E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p</w:t>
      </w:r>
      <w:r w:rsidR="0004134C" w:rsidRPr="00B60E6E">
        <w:rPr>
          <w:rFonts w:ascii="Times New Roman" w:hAnsi="Times New Roman" w:cs="Times New Roman"/>
          <w:bCs/>
          <w:color w:val="000000"/>
          <w:sz w:val="24"/>
          <w:szCs w:val="24"/>
        </w:rPr>
        <w:t xml:space="preserve">or ejemplo, </w:t>
      </w:r>
      <w:r w:rsidR="00BF7B48" w:rsidRPr="00B60E6E">
        <w:rPr>
          <w:rFonts w:ascii="Times New Roman" w:hAnsi="Times New Roman" w:cs="Times New Roman"/>
          <w:bCs/>
          <w:color w:val="000000"/>
          <w:sz w:val="24"/>
          <w:szCs w:val="24"/>
        </w:rPr>
        <w:t>podrían ser China, Jamaica, Costa Rica e India (</w:t>
      </w:r>
      <w:r>
        <w:rPr>
          <w:rFonts w:ascii="Times New Roman" w:hAnsi="Times New Roman" w:cs="Times New Roman"/>
          <w:bCs/>
          <w:color w:val="000000"/>
          <w:sz w:val="24"/>
          <w:szCs w:val="24"/>
        </w:rPr>
        <w:t>v</w:t>
      </w:r>
      <w:r w:rsidR="00E51DBE" w:rsidRPr="00B60E6E">
        <w:rPr>
          <w:rFonts w:ascii="Times New Roman" w:hAnsi="Times New Roman" w:cs="Times New Roman"/>
          <w:bCs/>
          <w:color w:val="000000"/>
          <w:sz w:val="24"/>
          <w:szCs w:val="24"/>
        </w:rPr>
        <w:t xml:space="preserve">er </w:t>
      </w:r>
      <w:r>
        <w:rPr>
          <w:rFonts w:ascii="Times New Roman" w:hAnsi="Times New Roman" w:cs="Times New Roman"/>
          <w:bCs/>
          <w:color w:val="000000"/>
          <w:sz w:val="24"/>
          <w:szCs w:val="24"/>
        </w:rPr>
        <w:t>anexo 2),</w:t>
      </w:r>
      <w:r w:rsidR="00BF7B48" w:rsidRPr="00B60E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m</w:t>
      </w:r>
      <w:r w:rsidR="00BF7B48" w:rsidRPr="00B60E6E">
        <w:rPr>
          <w:rFonts w:ascii="Times New Roman" w:hAnsi="Times New Roman" w:cs="Times New Roman"/>
          <w:bCs/>
          <w:color w:val="000000"/>
          <w:sz w:val="24"/>
          <w:szCs w:val="24"/>
        </w:rPr>
        <w:t xml:space="preserve">ientras </w:t>
      </w:r>
      <w:r>
        <w:rPr>
          <w:rFonts w:ascii="Times New Roman" w:hAnsi="Times New Roman" w:cs="Times New Roman"/>
          <w:bCs/>
          <w:color w:val="000000"/>
          <w:sz w:val="24"/>
          <w:szCs w:val="24"/>
        </w:rPr>
        <w:t xml:space="preserve">que </w:t>
      </w:r>
      <w:r w:rsidR="00BF7B48" w:rsidRPr="00B60E6E">
        <w:rPr>
          <w:rFonts w:ascii="Times New Roman" w:hAnsi="Times New Roman" w:cs="Times New Roman"/>
          <w:bCs/>
          <w:color w:val="000000"/>
          <w:sz w:val="24"/>
          <w:szCs w:val="24"/>
        </w:rPr>
        <w:t xml:space="preserve">en </w:t>
      </w:r>
      <w:r>
        <w:rPr>
          <w:rFonts w:ascii="Times New Roman" w:hAnsi="Times New Roman" w:cs="Times New Roman"/>
          <w:bCs/>
          <w:color w:val="000000"/>
          <w:sz w:val="24"/>
          <w:szCs w:val="24"/>
        </w:rPr>
        <w:t>EE. UU.</w:t>
      </w:r>
      <w:r w:rsidR="00BF7B48" w:rsidRPr="00B60E6E">
        <w:rPr>
          <w:rFonts w:ascii="Times New Roman" w:hAnsi="Times New Roman" w:cs="Times New Roman"/>
          <w:bCs/>
          <w:color w:val="000000"/>
          <w:sz w:val="24"/>
          <w:szCs w:val="24"/>
        </w:rPr>
        <w:t xml:space="preserve"> serían Hondura</w:t>
      </w:r>
      <w:r>
        <w:rPr>
          <w:rFonts w:ascii="Times New Roman" w:hAnsi="Times New Roman" w:cs="Times New Roman"/>
          <w:bCs/>
          <w:color w:val="000000"/>
          <w:sz w:val="24"/>
          <w:szCs w:val="24"/>
        </w:rPr>
        <w:t>s, Nicaragua, Costa Rica, China e i</w:t>
      </w:r>
      <w:r w:rsidR="00BF7B48" w:rsidRPr="00B60E6E">
        <w:rPr>
          <w:rFonts w:ascii="Times New Roman" w:hAnsi="Times New Roman" w:cs="Times New Roman"/>
          <w:bCs/>
          <w:color w:val="000000"/>
          <w:sz w:val="24"/>
          <w:szCs w:val="24"/>
        </w:rPr>
        <w:t>slas como Fiji y Tonga (</w:t>
      </w:r>
      <w:r w:rsidRPr="00B60E6E">
        <w:rPr>
          <w:rFonts w:ascii="Times New Roman" w:hAnsi="Times New Roman" w:cs="Times New Roman"/>
          <w:bCs/>
          <w:color w:val="000000"/>
          <w:sz w:val="24"/>
          <w:szCs w:val="24"/>
        </w:rPr>
        <w:t>ver anexo</w:t>
      </w:r>
      <w:r w:rsidR="00BF7B48" w:rsidRPr="00B60E6E">
        <w:rPr>
          <w:rFonts w:ascii="Times New Roman" w:hAnsi="Times New Roman" w:cs="Times New Roman"/>
          <w:bCs/>
          <w:color w:val="000000"/>
          <w:sz w:val="24"/>
          <w:szCs w:val="24"/>
        </w:rPr>
        <w:t xml:space="preserve"> 3).</w:t>
      </w:r>
      <w:r>
        <w:rPr>
          <w:rFonts w:ascii="Times New Roman" w:hAnsi="Times New Roman" w:cs="Times New Roman"/>
          <w:bCs/>
          <w:color w:val="000000"/>
          <w:sz w:val="24"/>
          <w:szCs w:val="24"/>
        </w:rPr>
        <w:t xml:space="preserve"> </w:t>
      </w:r>
      <w:r w:rsidR="0064332D" w:rsidRPr="00B60E6E">
        <w:rPr>
          <w:rFonts w:ascii="Times New Roman" w:hAnsi="Times New Roman" w:cs="Times New Roman"/>
          <w:bCs/>
          <w:color w:val="000000"/>
          <w:sz w:val="24"/>
          <w:szCs w:val="24"/>
        </w:rPr>
        <w:t>S</w:t>
      </w:r>
      <w:r w:rsidR="00F24F19" w:rsidRPr="00B60E6E">
        <w:rPr>
          <w:rFonts w:ascii="Times New Roman" w:hAnsi="Times New Roman" w:cs="Times New Roman"/>
          <w:bCs/>
          <w:color w:val="000000"/>
          <w:sz w:val="24"/>
          <w:szCs w:val="24"/>
        </w:rPr>
        <w:t xml:space="preserve">i la competencia se basa en precios bajos, </w:t>
      </w:r>
      <w:r w:rsidR="00A23CDE" w:rsidRPr="00B60E6E">
        <w:rPr>
          <w:rFonts w:ascii="Times New Roman" w:hAnsi="Times New Roman" w:cs="Times New Roman"/>
          <w:bCs/>
          <w:color w:val="000000"/>
          <w:sz w:val="24"/>
          <w:szCs w:val="24"/>
        </w:rPr>
        <w:t xml:space="preserve">existe una alta probabilidad </w:t>
      </w:r>
      <w:r>
        <w:rPr>
          <w:rFonts w:ascii="Times New Roman" w:hAnsi="Times New Roman" w:cs="Times New Roman"/>
          <w:bCs/>
          <w:color w:val="000000"/>
          <w:sz w:val="24"/>
          <w:szCs w:val="24"/>
        </w:rPr>
        <w:t xml:space="preserve">de </w:t>
      </w:r>
      <w:r w:rsidR="00A23CDE" w:rsidRPr="00B60E6E">
        <w:rPr>
          <w:rFonts w:ascii="Times New Roman" w:hAnsi="Times New Roman" w:cs="Times New Roman"/>
          <w:bCs/>
          <w:color w:val="000000"/>
          <w:sz w:val="24"/>
          <w:szCs w:val="24"/>
        </w:rPr>
        <w:t>que l</w:t>
      </w:r>
      <w:r w:rsidR="00BF7B48" w:rsidRPr="00B60E6E">
        <w:rPr>
          <w:rFonts w:ascii="Times New Roman" w:hAnsi="Times New Roman" w:cs="Times New Roman"/>
          <w:bCs/>
          <w:color w:val="000000"/>
          <w:sz w:val="24"/>
          <w:szCs w:val="24"/>
        </w:rPr>
        <w:t>os comprad</w:t>
      </w:r>
      <w:r w:rsidR="00F24F19" w:rsidRPr="00B60E6E">
        <w:rPr>
          <w:rFonts w:ascii="Times New Roman" w:hAnsi="Times New Roman" w:cs="Times New Roman"/>
          <w:bCs/>
          <w:color w:val="000000"/>
          <w:sz w:val="24"/>
          <w:szCs w:val="24"/>
        </w:rPr>
        <w:t xml:space="preserve">ores y consumidores sustituyan la </w:t>
      </w:r>
      <w:r w:rsidR="00A23CDE" w:rsidRPr="00B60E6E">
        <w:rPr>
          <w:rFonts w:ascii="Times New Roman" w:hAnsi="Times New Roman" w:cs="Times New Roman"/>
          <w:bCs/>
          <w:color w:val="000000"/>
          <w:sz w:val="24"/>
          <w:szCs w:val="24"/>
        </w:rPr>
        <w:t>malanga</w:t>
      </w:r>
      <w:r w:rsidR="00BF7B48" w:rsidRPr="00B60E6E">
        <w:rPr>
          <w:rFonts w:ascii="Times New Roman" w:hAnsi="Times New Roman" w:cs="Times New Roman"/>
          <w:bCs/>
          <w:color w:val="000000"/>
          <w:sz w:val="24"/>
          <w:szCs w:val="24"/>
        </w:rPr>
        <w:t>.</w:t>
      </w:r>
    </w:p>
    <w:p w14:paraId="615E66B0" w14:textId="43631DDD" w:rsidR="00BF7B48" w:rsidRPr="00E204E6" w:rsidRDefault="00BF7B48" w:rsidP="00E204E6">
      <w:pPr>
        <w:pStyle w:val="Ttulo2"/>
        <w:rPr>
          <w:sz w:val="24"/>
        </w:rPr>
      </w:pPr>
      <w:r w:rsidRPr="00E204E6">
        <w:rPr>
          <w:sz w:val="24"/>
        </w:rPr>
        <w:t xml:space="preserve">Rivalidad entre </w:t>
      </w:r>
      <w:r w:rsidR="00F007B7" w:rsidRPr="00E204E6">
        <w:rPr>
          <w:sz w:val="24"/>
        </w:rPr>
        <w:t>competidores existentes (a</w:t>
      </w:r>
      <w:r w:rsidR="004E2275" w:rsidRPr="00E204E6">
        <w:rPr>
          <w:sz w:val="24"/>
        </w:rPr>
        <w:t>lta)</w:t>
      </w:r>
    </w:p>
    <w:p w14:paraId="0ACABDC5" w14:textId="17F9D4DE" w:rsidR="00BF7B48" w:rsidRDefault="004E2275" w:rsidP="00BF7B4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BF7B48" w:rsidRPr="00B60E6E">
        <w:rPr>
          <w:rFonts w:ascii="Times New Roman" w:hAnsi="Times New Roman" w:cs="Times New Roman"/>
          <w:sz w:val="24"/>
          <w:szCs w:val="24"/>
        </w:rPr>
        <w:t xml:space="preserve">La rivalidad entre los agricultores </w:t>
      </w:r>
      <w:r w:rsidR="0052115A">
        <w:rPr>
          <w:rFonts w:ascii="Times New Roman" w:hAnsi="Times New Roman" w:cs="Times New Roman"/>
          <w:sz w:val="24"/>
          <w:szCs w:val="24"/>
        </w:rPr>
        <w:t>a nivel nacional</w:t>
      </w:r>
      <w:r w:rsidR="00BF7B48" w:rsidRPr="00B60E6E">
        <w:rPr>
          <w:rFonts w:ascii="Times New Roman" w:hAnsi="Times New Roman" w:cs="Times New Roman"/>
          <w:sz w:val="24"/>
          <w:szCs w:val="24"/>
        </w:rPr>
        <w:t xml:space="preserve"> es alta, ya que existe una concentración </w:t>
      </w:r>
      <w:r>
        <w:rPr>
          <w:rFonts w:ascii="Times New Roman" w:hAnsi="Times New Roman" w:cs="Times New Roman"/>
          <w:sz w:val="24"/>
          <w:szCs w:val="24"/>
        </w:rPr>
        <w:t>elevada</w:t>
      </w:r>
      <w:r w:rsidR="00BF7B48" w:rsidRPr="00B60E6E">
        <w:rPr>
          <w:rFonts w:ascii="Times New Roman" w:hAnsi="Times New Roman" w:cs="Times New Roman"/>
          <w:sz w:val="24"/>
          <w:szCs w:val="24"/>
        </w:rPr>
        <w:t xml:space="preserve"> en las zonas geográficas de Veracruz, Tabasco y Oaxaca. Sin embargo, la principal rivalidad </w:t>
      </w:r>
      <w:r>
        <w:rPr>
          <w:rFonts w:ascii="Times New Roman" w:hAnsi="Times New Roman" w:cs="Times New Roman"/>
          <w:sz w:val="24"/>
          <w:szCs w:val="24"/>
        </w:rPr>
        <w:t>se halla en</w:t>
      </w:r>
      <w:r w:rsidR="00BF7B48" w:rsidRPr="00B60E6E">
        <w:rPr>
          <w:rFonts w:ascii="Times New Roman" w:hAnsi="Times New Roman" w:cs="Times New Roman"/>
          <w:sz w:val="24"/>
          <w:szCs w:val="24"/>
        </w:rPr>
        <w:t xml:space="preserve"> los productos </w:t>
      </w:r>
      <w:r w:rsidR="00BB30BC" w:rsidRPr="00B60E6E">
        <w:rPr>
          <w:rFonts w:ascii="Times New Roman" w:hAnsi="Times New Roman" w:cs="Times New Roman"/>
          <w:sz w:val="24"/>
          <w:szCs w:val="24"/>
        </w:rPr>
        <w:t>agrícolas</w:t>
      </w:r>
      <w:r w:rsidR="00BF7B48" w:rsidRPr="00B60E6E">
        <w:rPr>
          <w:rFonts w:ascii="Times New Roman" w:hAnsi="Times New Roman" w:cs="Times New Roman"/>
          <w:sz w:val="24"/>
          <w:szCs w:val="24"/>
        </w:rPr>
        <w:t xml:space="preserve"> de otros países</w:t>
      </w:r>
      <w:r>
        <w:rPr>
          <w:rFonts w:ascii="Times New Roman" w:hAnsi="Times New Roman" w:cs="Times New Roman"/>
          <w:sz w:val="24"/>
          <w:szCs w:val="24"/>
        </w:rPr>
        <w:t>, los cuales</w:t>
      </w:r>
      <w:r w:rsidR="00BF7B48" w:rsidRPr="00B60E6E">
        <w:rPr>
          <w:rFonts w:ascii="Times New Roman" w:hAnsi="Times New Roman" w:cs="Times New Roman"/>
          <w:sz w:val="24"/>
          <w:szCs w:val="24"/>
        </w:rPr>
        <w:t xml:space="preserve"> compiten principalmente por el mercado internacional con precios bajos, ya que no hay diferencias significativas entre los productos. </w:t>
      </w:r>
    </w:p>
    <w:p w14:paraId="6667F54E" w14:textId="77777777" w:rsidR="00F37E56" w:rsidRPr="00B60E6E" w:rsidRDefault="00F37E56" w:rsidP="00BF7B4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p>
    <w:p w14:paraId="1EDED6A8" w14:textId="77998356" w:rsidR="00BF7B48" w:rsidRPr="00B60E6E" w:rsidRDefault="00BF7B48"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sidRPr="00B60E6E">
        <w:rPr>
          <w:rFonts w:ascii="Times New Roman" w:hAnsi="Times New Roman" w:cs="Times New Roman"/>
          <w:sz w:val="24"/>
          <w:szCs w:val="24"/>
        </w:rPr>
        <w:lastRenderedPageBreak/>
        <w:t xml:space="preserve">El crecimiento de esta actividad productiva es </w:t>
      </w:r>
      <w:r w:rsidR="00AC5A74" w:rsidRPr="00B60E6E">
        <w:rPr>
          <w:rFonts w:ascii="Times New Roman" w:hAnsi="Times New Roman" w:cs="Times New Roman"/>
          <w:sz w:val="24"/>
          <w:szCs w:val="24"/>
        </w:rPr>
        <w:t>lento, por lo que la rivalidad y</w:t>
      </w:r>
      <w:r w:rsidRPr="00B60E6E">
        <w:rPr>
          <w:rFonts w:ascii="Times New Roman" w:hAnsi="Times New Roman" w:cs="Times New Roman"/>
          <w:sz w:val="24"/>
          <w:szCs w:val="24"/>
        </w:rPr>
        <w:t xml:space="preserve"> otros factores</w:t>
      </w:r>
      <w:r w:rsidR="00702405" w:rsidRPr="00B60E6E">
        <w:rPr>
          <w:rFonts w:ascii="Times New Roman" w:hAnsi="Times New Roman" w:cs="Times New Roman"/>
          <w:sz w:val="24"/>
          <w:szCs w:val="24"/>
        </w:rPr>
        <w:t xml:space="preserve"> (</w:t>
      </w:r>
      <w:r w:rsidRPr="00B60E6E">
        <w:rPr>
          <w:rFonts w:ascii="Times New Roman" w:hAnsi="Times New Roman" w:cs="Times New Roman"/>
          <w:sz w:val="24"/>
          <w:szCs w:val="24"/>
        </w:rPr>
        <w:t>cultura, educac</w:t>
      </w:r>
      <w:r w:rsidR="00702405" w:rsidRPr="00B60E6E">
        <w:rPr>
          <w:rFonts w:ascii="Times New Roman" w:hAnsi="Times New Roman" w:cs="Times New Roman"/>
          <w:sz w:val="24"/>
          <w:szCs w:val="24"/>
        </w:rPr>
        <w:t xml:space="preserve">ión, </w:t>
      </w:r>
      <w:r w:rsidR="004E2275">
        <w:rPr>
          <w:rFonts w:ascii="Times New Roman" w:hAnsi="Times New Roman" w:cs="Times New Roman"/>
          <w:sz w:val="24"/>
          <w:szCs w:val="24"/>
        </w:rPr>
        <w:t>etc.</w:t>
      </w:r>
      <w:r w:rsidR="00702405" w:rsidRPr="00B60E6E">
        <w:rPr>
          <w:rFonts w:ascii="Times New Roman" w:hAnsi="Times New Roman" w:cs="Times New Roman"/>
          <w:sz w:val="24"/>
          <w:szCs w:val="24"/>
        </w:rPr>
        <w:t>)</w:t>
      </w:r>
      <w:r w:rsidR="0014689D" w:rsidRPr="00B60E6E">
        <w:rPr>
          <w:rFonts w:ascii="Times New Roman" w:hAnsi="Times New Roman" w:cs="Times New Roman"/>
          <w:sz w:val="24"/>
          <w:szCs w:val="24"/>
        </w:rPr>
        <w:t xml:space="preserve"> podrían manifestarse tanto en una</w:t>
      </w:r>
      <w:r w:rsidRPr="00B60E6E">
        <w:rPr>
          <w:rFonts w:ascii="Times New Roman" w:hAnsi="Times New Roman" w:cs="Times New Roman"/>
          <w:sz w:val="24"/>
          <w:szCs w:val="24"/>
        </w:rPr>
        <w:t xml:space="preserve"> falta </w:t>
      </w:r>
      <w:r w:rsidR="00866812" w:rsidRPr="00B60E6E">
        <w:rPr>
          <w:rFonts w:ascii="Times New Roman" w:hAnsi="Times New Roman" w:cs="Times New Roman"/>
          <w:sz w:val="24"/>
          <w:szCs w:val="24"/>
        </w:rPr>
        <w:t xml:space="preserve">de cooperación horizontal como de </w:t>
      </w:r>
      <w:r w:rsidRPr="00B60E6E">
        <w:rPr>
          <w:rFonts w:ascii="Times New Roman" w:hAnsi="Times New Roman" w:cs="Times New Roman"/>
          <w:sz w:val="24"/>
          <w:szCs w:val="24"/>
        </w:rPr>
        <w:t xml:space="preserve">vinculación en sus cadenas de suministro. </w:t>
      </w:r>
      <w:r w:rsidR="004E2275">
        <w:rPr>
          <w:rFonts w:ascii="Times New Roman" w:hAnsi="Times New Roman" w:cs="Times New Roman"/>
          <w:sz w:val="24"/>
          <w:szCs w:val="24"/>
        </w:rPr>
        <w:t xml:space="preserve">De esta manera, </w:t>
      </w:r>
      <w:r w:rsidRPr="00B60E6E">
        <w:rPr>
          <w:rFonts w:ascii="Times New Roman" w:hAnsi="Times New Roman" w:cs="Times New Roman"/>
          <w:sz w:val="24"/>
          <w:szCs w:val="24"/>
        </w:rPr>
        <w:t xml:space="preserve">se aprecia una </w:t>
      </w:r>
      <w:r w:rsidR="004E2275">
        <w:rPr>
          <w:rFonts w:ascii="Times New Roman" w:hAnsi="Times New Roman" w:cs="Times New Roman"/>
          <w:sz w:val="24"/>
          <w:szCs w:val="24"/>
        </w:rPr>
        <w:t>pronunciada</w:t>
      </w:r>
      <w:r w:rsidRPr="00B60E6E">
        <w:rPr>
          <w:rFonts w:ascii="Times New Roman" w:hAnsi="Times New Roman" w:cs="Times New Roman"/>
          <w:sz w:val="24"/>
          <w:szCs w:val="24"/>
        </w:rPr>
        <w:t xml:space="preserve"> rivalidad por parte de los agricultores, especialmente cua</w:t>
      </w:r>
      <w:r w:rsidR="00BD6194">
        <w:rPr>
          <w:rFonts w:ascii="Times New Roman" w:hAnsi="Times New Roman" w:cs="Times New Roman"/>
          <w:sz w:val="24"/>
          <w:szCs w:val="24"/>
        </w:rPr>
        <w:t>ndo existe una sobreproducción o</w:t>
      </w:r>
      <w:r w:rsidRPr="00B60E6E">
        <w:rPr>
          <w:rFonts w:ascii="Times New Roman" w:hAnsi="Times New Roman" w:cs="Times New Roman"/>
          <w:sz w:val="24"/>
          <w:szCs w:val="24"/>
        </w:rPr>
        <w:t xml:space="preserve"> cuando se incorporan nuevos competidores internacionales para exportar la malanga a </w:t>
      </w:r>
      <w:r w:rsidR="004E2275">
        <w:rPr>
          <w:rFonts w:ascii="Times New Roman" w:hAnsi="Times New Roman" w:cs="Times New Roman"/>
          <w:sz w:val="24"/>
          <w:szCs w:val="24"/>
        </w:rPr>
        <w:t>EE. UU.</w:t>
      </w:r>
      <w:r w:rsidRPr="00B60E6E">
        <w:rPr>
          <w:rFonts w:ascii="Times New Roman" w:hAnsi="Times New Roman" w:cs="Times New Roman"/>
          <w:sz w:val="24"/>
          <w:szCs w:val="24"/>
        </w:rPr>
        <w:t xml:space="preserve"> y </w:t>
      </w:r>
      <w:r w:rsidR="00BD6194">
        <w:rPr>
          <w:rFonts w:ascii="Times New Roman" w:hAnsi="Times New Roman" w:cs="Times New Roman"/>
          <w:sz w:val="24"/>
          <w:szCs w:val="24"/>
        </w:rPr>
        <w:t xml:space="preserve">a </w:t>
      </w:r>
      <w:r w:rsidRPr="00B60E6E">
        <w:rPr>
          <w:rFonts w:ascii="Times New Roman" w:hAnsi="Times New Roman" w:cs="Times New Roman"/>
          <w:sz w:val="24"/>
          <w:szCs w:val="24"/>
        </w:rPr>
        <w:t>Canadá, lo que es aprovechado por los compradores</w:t>
      </w:r>
      <w:r w:rsidR="00987407" w:rsidRPr="00B60E6E">
        <w:rPr>
          <w:rFonts w:ascii="Times New Roman" w:hAnsi="Times New Roman" w:cs="Times New Roman"/>
          <w:sz w:val="24"/>
          <w:szCs w:val="24"/>
        </w:rPr>
        <w:t xml:space="preserve"> internacionales</w:t>
      </w:r>
      <w:r w:rsidRPr="00B60E6E">
        <w:rPr>
          <w:rFonts w:ascii="Times New Roman" w:hAnsi="Times New Roman" w:cs="Times New Roman"/>
          <w:sz w:val="24"/>
          <w:szCs w:val="24"/>
        </w:rPr>
        <w:t xml:space="preserve">. </w:t>
      </w:r>
    </w:p>
    <w:p w14:paraId="65DDA553" w14:textId="25BB9250" w:rsidR="00BF7B48" w:rsidRPr="000346A1" w:rsidRDefault="004E2275" w:rsidP="004E2275">
      <w:pPr>
        <w:pStyle w:val="Ttulo2"/>
        <w:rPr>
          <w:rFonts w:ascii="Calibri" w:eastAsia="Times New Roman" w:hAnsi="Calibri" w:cs="Calibri"/>
          <w:color w:val="000000"/>
          <w:szCs w:val="28"/>
          <w:lang w:eastAsia="es-MX"/>
        </w:rPr>
      </w:pPr>
      <w:r w:rsidRPr="000346A1">
        <w:rPr>
          <w:rFonts w:ascii="Calibri" w:eastAsia="Times New Roman" w:hAnsi="Calibri" w:cs="Calibri"/>
          <w:color w:val="000000"/>
          <w:szCs w:val="28"/>
          <w:lang w:eastAsia="es-MX"/>
        </w:rPr>
        <w:t>El d</w:t>
      </w:r>
      <w:r w:rsidR="00BF7B48" w:rsidRPr="000346A1">
        <w:rPr>
          <w:rFonts w:ascii="Calibri" w:eastAsia="Times New Roman" w:hAnsi="Calibri" w:cs="Calibri"/>
          <w:color w:val="000000"/>
          <w:szCs w:val="28"/>
          <w:lang w:eastAsia="es-MX"/>
        </w:rPr>
        <w:t>iamante de Porter en la actividad productiva de la ma</w:t>
      </w:r>
      <w:r w:rsidRPr="000346A1">
        <w:rPr>
          <w:rFonts w:ascii="Calibri" w:eastAsia="Times New Roman" w:hAnsi="Calibri" w:cs="Calibri"/>
          <w:color w:val="000000"/>
          <w:szCs w:val="28"/>
          <w:lang w:eastAsia="es-MX"/>
        </w:rPr>
        <w:t>langa</w:t>
      </w:r>
    </w:p>
    <w:p w14:paraId="031C4722" w14:textId="44DB0025" w:rsidR="00BF7B48" w:rsidRPr="00B60E6E" w:rsidRDefault="004E2275" w:rsidP="00BF7B48">
      <w:pPr>
        <w:autoSpaceDE w:val="0"/>
        <w:autoSpaceDN w:val="0"/>
        <w:adjustRightInd w:val="0"/>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bCs/>
          <w:sz w:val="24"/>
          <w:szCs w:val="24"/>
        </w:rPr>
        <w:tab/>
      </w:r>
      <w:r w:rsidR="00BF7B48" w:rsidRPr="00B60E6E">
        <w:rPr>
          <w:rFonts w:ascii="Times New Roman" w:hAnsi="Times New Roman" w:cs="Times New Roman"/>
          <w:bCs/>
          <w:sz w:val="24"/>
          <w:szCs w:val="24"/>
        </w:rPr>
        <w:t xml:space="preserve">El diamante de Porter es aplicado en el sector de la malanga para comprender de manera más amplia las condiciones de oferta, demanda, estrategia, estructura, rivalidad y casualidades existentes, así como el rol que tiene el gobierno. </w:t>
      </w:r>
      <w:r>
        <w:rPr>
          <w:rFonts w:ascii="Times New Roman" w:hAnsi="Times New Roman" w:cs="Times New Roman"/>
          <w:bCs/>
          <w:sz w:val="24"/>
          <w:szCs w:val="24"/>
        </w:rPr>
        <w:t>En la f</w:t>
      </w:r>
      <w:r w:rsidRPr="00B60E6E">
        <w:rPr>
          <w:rFonts w:ascii="Times New Roman" w:hAnsi="Times New Roman" w:cs="Times New Roman"/>
          <w:bCs/>
          <w:sz w:val="24"/>
          <w:szCs w:val="24"/>
        </w:rPr>
        <w:t>igura 2</w:t>
      </w:r>
      <w:r>
        <w:rPr>
          <w:rFonts w:ascii="Times New Roman" w:hAnsi="Times New Roman" w:cs="Times New Roman"/>
          <w:bCs/>
          <w:sz w:val="24"/>
          <w:szCs w:val="24"/>
        </w:rPr>
        <w:t xml:space="preserve"> se presenta el diamante</w:t>
      </w:r>
      <w:r w:rsidR="00BF7B48" w:rsidRPr="00B60E6E">
        <w:rPr>
          <w:rFonts w:ascii="Times New Roman" w:hAnsi="Times New Roman" w:cs="Times New Roman"/>
          <w:bCs/>
          <w:sz w:val="24"/>
          <w:szCs w:val="24"/>
        </w:rPr>
        <w:t xml:space="preserve"> </w:t>
      </w:r>
      <w:r w:rsidR="0059524B" w:rsidRPr="00B60E6E">
        <w:rPr>
          <w:rFonts w:ascii="Times New Roman" w:hAnsi="Times New Roman" w:cs="Times New Roman"/>
          <w:bCs/>
          <w:sz w:val="24"/>
          <w:szCs w:val="24"/>
        </w:rPr>
        <w:t xml:space="preserve">y </w:t>
      </w:r>
      <w:r w:rsidR="00BF7B48" w:rsidRPr="00B60E6E">
        <w:rPr>
          <w:rFonts w:ascii="Times New Roman" w:hAnsi="Times New Roman" w:cs="Times New Roman"/>
          <w:bCs/>
          <w:sz w:val="24"/>
          <w:szCs w:val="24"/>
        </w:rPr>
        <w:t>a continuación se explica cada elemento desde una perspectiva positiva, negativa y neutral.</w:t>
      </w:r>
    </w:p>
    <w:p w14:paraId="6EE19EFE" w14:textId="77777777" w:rsidR="00BF7B48" w:rsidRPr="00B60E6E" w:rsidRDefault="00BF7B48" w:rsidP="00BF7B48">
      <w:pPr>
        <w:spacing w:before="100" w:beforeAutospacing="1" w:after="100" w:afterAutospacing="1" w:line="360" w:lineRule="auto"/>
        <w:rPr>
          <w:rFonts w:ascii="Times New Roman" w:hAnsi="Times New Roman" w:cs="Times New Roman"/>
          <w:b/>
          <w:bCs/>
          <w:sz w:val="24"/>
          <w:szCs w:val="24"/>
        </w:rPr>
      </w:pPr>
      <w:r w:rsidRPr="00B60E6E">
        <w:rPr>
          <w:rFonts w:ascii="Times New Roman" w:hAnsi="Times New Roman" w:cs="Times New Roman"/>
          <w:b/>
          <w:bCs/>
          <w:sz w:val="24"/>
          <w:szCs w:val="24"/>
        </w:rPr>
        <w:br w:type="page"/>
      </w:r>
    </w:p>
    <w:p w14:paraId="609D6697" w14:textId="5EDE72E5" w:rsidR="00BF7B48" w:rsidRPr="00B60E6E" w:rsidRDefault="001D3C80" w:rsidP="00BF7B48">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Figura 2.</w:t>
      </w:r>
      <w:r w:rsidR="00BF7B48" w:rsidRPr="001D3C80">
        <w:rPr>
          <w:rFonts w:ascii="Times New Roman" w:hAnsi="Times New Roman" w:cs="Times New Roman"/>
          <w:bCs/>
          <w:sz w:val="24"/>
          <w:szCs w:val="24"/>
        </w:rPr>
        <w:t xml:space="preserve"> Diamante de Porter en la act</w:t>
      </w:r>
      <w:r>
        <w:rPr>
          <w:rFonts w:ascii="Times New Roman" w:hAnsi="Times New Roman" w:cs="Times New Roman"/>
          <w:bCs/>
          <w:sz w:val="24"/>
          <w:szCs w:val="24"/>
        </w:rPr>
        <w:t>ividad productiva de la malanga</w:t>
      </w:r>
    </w:p>
    <w:p w14:paraId="1175AA6A" w14:textId="2D070426" w:rsidR="00BF7B48" w:rsidRPr="00B60E6E" w:rsidRDefault="00BF7B48" w:rsidP="00BF7B48">
      <w:pPr>
        <w:autoSpaceDE w:val="0"/>
        <w:autoSpaceDN w:val="0"/>
        <w:adjustRightInd w:val="0"/>
        <w:spacing w:line="360" w:lineRule="auto"/>
        <w:jc w:val="center"/>
        <w:rPr>
          <w:color w:val="FF0000"/>
        </w:rPr>
      </w:pPr>
      <w:r w:rsidRPr="00B60E6E">
        <w:rPr>
          <w:noProof/>
          <w:lang w:eastAsia="es-MX"/>
        </w:rPr>
        <w:drawing>
          <wp:inline distT="0" distB="0" distL="0" distR="0" wp14:anchorId="115584F1" wp14:editId="25A7AF91">
            <wp:extent cx="6191250" cy="581977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l="25960" t="10197" r="25475" b="8743"/>
                    <a:stretch>
                      <a:fillRect/>
                    </a:stretch>
                  </pic:blipFill>
                  <pic:spPr bwMode="auto">
                    <a:xfrm>
                      <a:off x="0" y="0"/>
                      <a:ext cx="6191250" cy="5819775"/>
                    </a:xfrm>
                    <a:prstGeom prst="rect">
                      <a:avLst/>
                    </a:prstGeom>
                    <a:noFill/>
                    <a:ln>
                      <a:noFill/>
                    </a:ln>
                  </pic:spPr>
                </pic:pic>
              </a:graphicData>
            </a:graphic>
          </wp:inline>
        </w:drawing>
      </w:r>
    </w:p>
    <w:p w14:paraId="6A176C23" w14:textId="24ED5B89" w:rsidR="00BF7B48" w:rsidRPr="00B60E6E" w:rsidRDefault="00BF7B48" w:rsidP="005D4DFA">
      <w:pPr>
        <w:spacing w:after="0" w:line="360" w:lineRule="auto"/>
        <w:jc w:val="center"/>
        <w:rPr>
          <w:rFonts w:ascii="Times New Roman" w:hAnsi="Times New Roman" w:cs="Times New Roman"/>
          <w:sz w:val="24"/>
          <w:szCs w:val="24"/>
        </w:rPr>
      </w:pPr>
      <w:r w:rsidRPr="00B60E6E">
        <w:rPr>
          <w:rFonts w:ascii="Times New Roman" w:hAnsi="Times New Roman" w:cs="Times New Roman"/>
          <w:sz w:val="24"/>
          <w:szCs w:val="24"/>
        </w:rPr>
        <w:t>Fuente: Elaboración propia a partir de</w:t>
      </w:r>
      <w:r w:rsidR="001D3C80">
        <w:rPr>
          <w:rFonts w:ascii="Times New Roman" w:hAnsi="Times New Roman" w:cs="Times New Roman"/>
          <w:sz w:val="24"/>
          <w:szCs w:val="24"/>
        </w:rPr>
        <w:t>l</w:t>
      </w:r>
      <w:r w:rsidRPr="00B60E6E">
        <w:rPr>
          <w:rFonts w:ascii="Times New Roman" w:hAnsi="Times New Roman" w:cs="Times New Roman"/>
          <w:sz w:val="24"/>
          <w:szCs w:val="24"/>
        </w:rPr>
        <w:t xml:space="preserve"> estudio cuali</w:t>
      </w:r>
      <w:r w:rsidR="001D3C80">
        <w:rPr>
          <w:rFonts w:ascii="Times New Roman" w:hAnsi="Times New Roman" w:cs="Times New Roman"/>
          <w:sz w:val="24"/>
          <w:szCs w:val="24"/>
        </w:rPr>
        <w:t>tativo basado en Porter (1990)</w:t>
      </w:r>
    </w:p>
    <w:p w14:paraId="16EAA0F2" w14:textId="3D3A9511" w:rsidR="001D3C80" w:rsidRDefault="001D3C80" w:rsidP="00BF7B48">
      <w:pPr>
        <w:autoSpaceDE w:val="0"/>
        <w:autoSpaceDN w:val="0"/>
        <w:adjustRightInd w:val="0"/>
        <w:spacing w:before="100" w:beforeAutospacing="1" w:after="100" w:afterAutospacing="1" w:line="360" w:lineRule="auto"/>
        <w:jc w:val="both"/>
        <w:rPr>
          <w:rFonts w:ascii="Times New Roman" w:hAnsi="Times New Roman" w:cs="Times New Roman"/>
          <w:b/>
          <w:i/>
          <w:sz w:val="24"/>
          <w:szCs w:val="24"/>
        </w:rPr>
      </w:pPr>
    </w:p>
    <w:p w14:paraId="0B757DF4" w14:textId="77777777" w:rsidR="00F37E56" w:rsidRDefault="00F37E56" w:rsidP="00BF7B48">
      <w:pPr>
        <w:autoSpaceDE w:val="0"/>
        <w:autoSpaceDN w:val="0"/>
        <w:adjustRightInd w:val="0"/>
        <w:spacing w:before="100" w:beforeAutospacing="1" w:after="100" w:afterAutospacing="1" w:line="360" w:lineRule="auto"/>
        <w:jc w:val="both"/>
        <w:rPr>
          <w:rFonts w:ascii="Times New Roman" w:hAnsi="Times New Roman" w:cs="Times New Roman"/>
          <w:b/>
          <w:i/>
          <w:sz w:val="24"/>
          <w:szCs w:val="24"/>
        </w:rPr>
      </w:pPr>
    </w:p>
    <w:p w14:paraId="4F1EF252" w14:textId="4FE4CA72" w:rsidR="00BF7B48" w:rsidRPr="00AB2FCD" w:rsidRDefault="00BF7B48" w:rsidP="001D3C80">
      <w:pPr>
        <w:pStyle w:val="Ttulo3"/>
        <w:rPr>
          <w:bCs w:val="0"/>
          <w:i w:val="0"/>
          <w:color w:val="auto"/>
          <w:sz w:val="24"/>
          <w:szCs w:val="24"/>
        </w:rPr>
      </w:pPr>
      <w:r w:rsidRPr="00AB2FCD">
        <w:rPr>
          <w:bCs w:val="0"/>
          <w:i w:val="0"/>
          <w:color w:val="auto"/>
          <w:sz w:val="24"/>
          <w:szCs w:val="24"/>
        </w:rPr>
        <w:lastRenderedPageBreak/>
        <w:t>Condiciones de los factores</w:t>
      </w:r>
    </w:p>
    <w:p w14:paraId="71431A10" w14:textId="20A16429" w:rsidR="00BF7B48" w:rsidRPr="00B60E6E" w:rsidRDefault="001D3C80" w:rsidP="00BF7B4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Algunas de las </w:t>
      </w:r>
      <w:r w:rsidR="00BF7B48" w:rsidRPr="00B60E6E">
        <w:rPr>
          <w:rFonts w:ascii="Times New Roman" w:hAnsi="Times New Roman" w:cs="Times New Roman"/>
          <w:sz w:val="24"/>
          <w:szCs w:val="24"/>
        </w:rPr>
        <w:t>condiciones q</w:t>
      </w:r>
      <w:r>
        <w:rPr>
          <w:rFonts w:ascii="Times New Roman" w:hAnsi="Times New Roman" w:cs="Times New Roman"/>
          <w:sz w:val="24"/>
          <w:szCs w:val="24"/>
        </w:rPr>
        <w:t>ue están a favor de este sector</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son las siguientes</w:t>
      </w:r>
      <w:r w:rsidR="00BF7B48" w:rsidRPr="00B60E6E">
        <w:rPr>
          <w:rFonts w:ascii="Times New Roman" w:hAnsi="Times New Roman" w:cs="Times New Roman"/>
          <w:sz w:val="24"/>
          <w:szCs w:val="24"/>
        </w:rPr>
        <w:t xml:space="preserve">: la localización geográfica estratégica, la capacidad para producir la malanga y el </w:t>
      </w:r>
      <w:r>
        <w:rPr>
          <w:rFonts w:ascii="Times New Roman" w:hAnsi="Times New Roman" w:cs="Times New Roman"/>
          <w:sz w:val="24"/>
          <w:szCs w:val="24"/>
        </w:rPr>
        <w:t xml:space="preserve">bajo </w:t>
      </w:r>
      <w:r w:rsidR="00BF7B48" w:rsidRPr="00B60E6E">
        <w:rPr>
          <w:rFonts w:ascii="Times New Roman" w:hAnsi="Times New Roman" w:cs="Times New Roman"/>
          <w:sz w:val="24"/>
          <w:szCs w:val="24"/>
        </w:rPr>
        <w:t xml:space="preserve">costo de </w:t>
      </w:r>
      <w:r>
        <w:rPr>
          <w:rFonts w:ascii="Times New Roman" w:hAnsi="Times New Roman" w:cs="Times New Roman"/>
          <w:sz w:val="24"/>
          <w:szCs w:val="24"/>
        </w:rPr>
        <w:t xml:space="preserve">la </w:t>
      </w:r>
      <w:r w:rsidR="00BF7B48" w:rsidRPr="00B60E6E">
        <w:rPr>
          <w:rFonts w:ascii="Times New Roman" w:hAnsi="Times New Roman" w:cs="Times New Roman"/>
          <w:sz w:val="24"/>
          <w:szCs w:val="24"/>
        </w:rPr>
        <w:t xml:space="preserve">mano de obra. La localización geográfica estratégica es un punto fuerte, ya que se cuenta con tierras naturales aprovechables para el cultivo de la malanga, las cuales en varios casos no pueden ser usadas para </w:t>
      </w:r>
      <w:r>
        <w:rPr>
          <w:rFonts w:ascii="Times New Roman" w:hAnsi="Times New Roman" w:cs="Times New Roman"/>
          <w:sz w:val="24"/>
          <w:szCs w:val="24"/>
        </w:rPr>
        <w:t xml:space="preserve">cultivar </w:t>
      </w:r>
      <w:r w:rsidR="00872003" w:rsidRPr="00B60E6E">
        <w:rPr>
          <w:rFonts w:ascii="Times New Roman" w:hAnsi="Times New Roman" w:cs="Times New Roman"/>
          <w:sz w:val="24"/>
          <w:szCs w:val="24"/>
        </w:rPr>
        <w:t xml:space="preserve">otros productos </w:t>
      </w:r>
      <w:r>
        <w:rPr>
          <w:rFonts w:ascii="Times New Roman" w:hAnsi="Times New Roman" w:cs="Times New Roman"/>
          <w:sz w:val="24"/>
          <w:szCs w:val="24"/>
        </w:rPr>
        <w:t>(Olguín-Palacios y</w:t>
      </w:r>
      <w:r w:rsidR="00BF7B48" w:rsidRPr="00B60E6E">
        <w:rPr>
          <w:rFonts w:ascii="Times New Roman" w:hAnsi="Times New Roman" w:cs="Times New Roman"/>
          <w:sz w:val="24"/>
          <w:szCs w:val="24"/>
        </w:rPr>
        <w:t xml:space="preserve"> Álvarez-Ávila, 2011). En </w:t>
      </w:r>
      <w:r>
        <w:rPr>
          <w:rFonts w:ascii="Times New Roman" w:hAnsi="Times New Roman" w:cs="Times New Roman"/>
          <w:sz w:val="24"/>
          <w:szCs w:val="24"/>
        </w:rPr>
        <w:t>relación con e</w:t>
      </w:r>
      <w:r w:rsidR="00B62077" w:rsidRPr="00B60E6E">
        <w:rPr>
          <w:rFonts w:ascii="Times New Roman" w:hAnsi="Times New Roman" w:cs="Times New Roman"/>
          <w:sz w:val="24"/>
          <w:szCs w:val="24"/>
        </w:rPr>
        <w:t xml:space="preserve">l </w:t>
      </w:r>
      <w:r>
        <w:rPr>
          <w:rFonts w:ascii="Times New Roman" w:hAnsi="Times New Roman" w:cs="Times New Roman"/>
          <w:sz w:val="24"/>
          <w:szCs w:val="24"/>
        </w:rPr>
        <w:t>bajo</w:t>
      </w:r>
      <w:r w:rsidRPr="00B60E6E">
        <w:rPr>
          <w:rFonts w:ascii="Times New Roman" w:hAnsi="Times New Roman" w:cs="Times New Roman"/>
          <w:sz w:val="24"/>
          <w:szCs w:val="24"/>
        </w:rPr>
        <w:t xml:space="preserve"> </w:t>
      </w:r>
      <w:r w:rsidR="00B62077" w:rsidRPr="00B60E6E">
        <w:rPr>
          <w:rFonts w:ascii="Times New Roman" w:hAnsi="Times New Roman" w:cs="Times New Roman"/>
          <w:sz w:val="24"/>
          <w:szCs w:val="24"/>
        </w:rPr>
        <w:t xml:space="preserve">costo de </w:t>
      </w:r>
      <w:r w:rsidR="00BD6194">
        <w:rPr>
          <w:rFonts w:ascii="Times New Roman" w:hAnsi="Times New Roman" w:cs="Times New Roman"/>
          <w:sz w:val="24"/>
          <w:szCs w:val="24"/>
        </w:rPr>
        <w:t xml:space="preserve">la </w:t>
      </w:r>
      <w:r w:rsidR="00B62077" w:rsidRPr="00B60E6E">
        <w:rPr>
          <w:rFonts w:ascii="Times New Roman" w:hAnsi="Times New Roman" w:cs="Times New Roman"/>
          <w:sz w:val="24"/>
          <w:szCs w:val="24"/>
        </w:rPr>
        <w:t xml:space="preserve">mano de obra, </w:t>
      </w:r>
      <w:r>
        <w:rPr>
          <w:rFonts w:ascii="Times New Roman" w:hAnsi="Times New Roman" w:cs="Times New Roman"/>
          <w:sz w:val="24"/>
          <w:szCs w:val="24"/>
        </w:rPr>
        <w:t xml:space="preserve">este es un </w:t>
      </w:r>
      <w:r w:rsidR="00BF7B48" w:rsidRPr="00B60E6E">
        <w:rPr>
          <w:rFonts w:ascii="Times New Roman" w:hAnsi="Times New Roman" w:cs="Times New Roman"/>
          <w:sz w:val="24"/>
          <w:szCs w:val="24"/>
        </w:rPr>
        <w:t xml:space="preserve">punto a favor </w:t>
      </w:r>
      <w:r>
        <w:rPr>
          <w:rFonts w:ascii="Times New Roman" w:hAnsi="Times New Roman" w:cs="Times New Roman"/>
          <w:sz w:val="24"/>
          <w:szCs w:val="24"/>
        </w:rPr>
        <w:t xml:space="preserve">si se compara </w:t>
      </w:r>
      <w:r w:rsidR="00BF7B48" w:rsidRPr="00B60E6E">
        <w:rPr>
          <w:rFonts w:ascii="Times New Roman" w:hAnsi="Times New Roman" w:cs="Times New Roman"/>
          <w:sz w:val="24"/>
          <w:szCs w:val="24"/>
        </w:rPr>
        <w:t xml:space="preserve">con otros países donde </w:t>
      </w:r>
      <w:r>
        <w:rPr>
          <w:rFonts w:ascii="Times New Roman" w:hAnsi="Times New Roman" w:cs="Times New Roman"/>
          <w:sz w:val="24"/>
          <w:szCs w:val="24"/>
        </w:rPr>
        <w:t>ese trabajo es mejor pagado</w:t>
      </w:r>
      <w:r w:rsidR="00BF7B48" w:rsidRPr="00B60E6E">
        <w:rPr>
          <w:rFonts w:ascii="Times New Roman" w:hAnsi="Times New Roman" w:cs="Times New Roman"/>
          <w:sz w:val="24"/>
          <w:szCs w:val="24"/>
        </w:rPr>
        <w:t>.</w:t>
      </w:r>
    </w:p>
    <w:p w14:paraId="364BD5B1" w14:textId="43F2D64F" w:rsidR="00BF7B48" w:rsidRPr="00B60E6E" w:rsidRDefault="001D3C80"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BF7B48" w:rsidRPr="00B60E6E">
        <w:rPr>
          <w:rFonts w:ascii="Times New Roman" w:hAnsi="Times New Roman" w:cs="Times New Roman"/>
          <w:sz w:val="24"/>
          <w:szCs w:val="24"/>
        </w:rPr>
        <w:t>os tratados de libre comercio</w:t>
      </w:r>
      <w:r>
        <w:rPr>
          <w:rFonts w:ascii="Times New Roman" w:hAnsi="Times New Roman" w:cs="Times New Roman"/>
          <w:sz w:val="24"/>
          <w:szCs w:val="24"/>
        </w:rPr>
        <w:t>, por otra parte, se perciben de manera neutral,</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pues</w:t>
      </w:r>
      <w:r w:rsidR="00BF7B48" w:rsidRPr="00B60E6E">
        <w:rPr>
          <w:rFonts w:ascii="Times New Roman" w:hAnsi="Times New Roman" w:cs="Times New Roman"/>
          <w:sz w:val="24"/>
          <w:szCs w:val="24"/>
        </w:rPr>
        <w:t xml:space="preserve"> </w:t>
      </w:r>
      <w:r w:rsidR="001D286A" w:rsidRPr="00B60E6E">
        <w:rPr>
          <w:rFonts w:ascii="Times New Roman" w:hAnsi="Times New Roman" w:cs="Times New Roman"/>
          <w:sz w:val="24"/>
          <w:szCs w:val="24"/>
        </w:rPr>
        <w:t xml:space="preserve">actualmente </w:t>
      </w:r>
      <w:r w:rsidR="00BF7B48" w:rsidRPr="00B60E6E">
        <w:rPr>
          <w:rFonts w:ascii="Times New Roman" w:hAnsi="Times New Roman" w:cs="Times New Roman"/>
          <w:sz w:val="24"/>
          <w:szCs w:val="24"/>
        </w:rPr>
        <w:t>la economía mundial está atravesando por v</w:t>
      </w:r>
      <w:r w:rsidR="00913FDB" w:rsidRPr="00B60E6E">
        <w:rPr>
          <w:rFonts w:ascii="Times New Roman" w:hAnsi="Times New Roman" w:cs="Times New Roman"/>
          <w:sz w:val="24"/>
          <w:szCs w:val="24"/>
        </w:rPr>
        <w:t xml:space="preserve">arios cambios políticos, como </w:t>
      </w:r>
      <w:r>
        <w:rPr>
          <w:rFonts w:ascii="Times New Roman" w:hAnsi="Times New Roman" w:cs="Times New Roman"/>
          <w:sz w:val="24"/>
          <w:szCs w:val="24"/>
        </w:rPr>
        <w:t>se evidencia en EE. UU, lo cual</w:t>
      </w:r>
      <w:r w:rsidR="006D58DC" w:rsidRPr="00B60E6E">
        <w:rPr>
          <w:rFonts w:ascii="Times New Roman" w:hAnsi="Times New Roman" w:cs="Times New Roman"/>
          <w:sz w:val="24"/>
          <w:szCs w:val="24"/>
        </w:rPr>
        <w:t xml:space="preserve"> afecta </w:t>
      </w:r>
      <w:r>
        <w:rPr>
          <w:rFonts w:ascii="Times New Roman" w:hAnsi="Times New Roman" w:cs="Times New Roman"/>
          <w:sz w:val="24"/>
          <w:szCs w:val="24"/>
        </w:rPr>
        <w:t>al</w:t>
      </w:r>
      <w:r w:rsidRPr="00B60E6E">
        <w:rPr>
          <w:rFonts w:ascii="Times New Roman" w:hAnsi="Times New Roman" w:cs="Times New Roman"/>
          <w:sz w:val="24"/>
          <w:szCs w:val="24"/>
        </w:rPr>
        <w:t xml:space="preserve"> sector agrícola </w:t>
      </w:r>
      <w:r>
        <w:rPr>
          <w:rFonts w:ascii="Times New Roman" w:hAnsi="Times New Roman" w:cs="Times New Roman"/>
          <w:sz w:val="24"/>
          <w:szCs w:val="24"/>
        </w:rPr>
        <w:t>de</w:t>
      </w:r>
      <w:r w:rsidR="006D58DC" w:rsidRPr="00B60E6E">
        <w:rPr>
          <w:rFonts w:ascii="Times New Roman" w:hAnsi="Times New Roman" w:cs="Times New Roman"/>
          <w:sz w:val="24"/>
          <w:szCs w:val="24"/>
        </w:rPr>
        <w:t xml:space="preserve"> </w:t>
      </w:r>
      <w:r w:rsidR="001D286A" w:rsidRPr="00B60E6E">
        <w:rPr>
          <w:rFonts w:ascii="Times New Roman" w:hAnsi="Times New Roman" w:cs="Times New Roman"/>
          <w:sz w:val="24"/>
          <w:szCs w:val="24"/>
        </w:rPr>
        <w:t>países como</w:t>
      </w:r>
      <w:r w:rsidR="006D58DC" w:rsidRPr="00B60E6E">
        <w:rPr>
          <w:rFonts w:ascii="Times New Roman" w:hAnsi="Times New Roman" w:cs="Times New Roman"/>
          <w:sz w:val="24"/>
          <w:szCs w:val="24"/>
        </w:rPr>
        <w:t xml:space="preserve"> México. </w:t>
      </w:r>
      <w:r w:rsidR="00D34900" w:rsidRPr="00B60E6E">
        <w:rPr>
          <w:rFonts w:ascii="Times New Roman" w:hAnsi="Times New Roman" w:cs="Times New Roman"/>
          <w:sz w:val="24"/>
          <w:szCs w:val="24"/>
        </w:rPr>
        <w:t>Sin embargo</w:t>
      </w:r>
      <w:r w:rsidR="00BF7B48" w:rsidRPr="00B60E6E">
        <w:rPr>
          <w:rFonts w:ascii="Times New Roman" w:hAnsi="Times New Roman" w:cs="Times New Roman"/>
          <w:sz w:val="24"/>
          <w:szCs w:val="24"/>
        </w:rPr>
        <w:t xml:space="preserve">, </w:t>
      </w:r>
      <w:r w:rsidR="008E7736" w:rsidRPr="00B60E6E">
        <w:rPr>
          <w:rFonts w:ascii="Times New Roman" w:hAnsi="Times New Roman" w:cs="Times New Roman"/>
          <w:sz w:val="24"/>
          <w:szCs w:val="24"/>
        </w:rPr>
        <w:t>se debe señalar la importancia que tiene M</w:t>
      </w:r>
      <w:r w:rsidR="00BF7B48" w:rsidRPr="00B60E6E">
        <w:rPr>
          <w:rFonts w:ascii="Times New Roman" w:hAnsi="Times New Roman" w:cs="Times New Roman"/>
          <w:sz w:val="24"/>
          <w:szCs w:val="24"/>
        </w:rPr>
        <w:t xml:space="preserve">éxico junto con Canadá </w:t>
      </w:r>
      <w:r w:rsidR="008E7736" w:rsidRPr="00B60E6E">
        <w:rPr>
          <w:rFonts w:ascii="Times New Roman" w:hAnsi="Times New Roman" w:cs="Times New Roman"/>
          <w:sz w:val="24"/>
          <w:szCs w:val="24"/>
        </w:rPr>
        <w:t xml:space="preserve">para </w:t>
      </w:r>
      <w:r>
        <w:rPr>
          <w:rFonts w:ascii="Times New Roman" w:hAnsi="Times New Roman" w:cs="Times New Roman"/>
          <w:sz w:val="24"/>
          <w:szCs w:val="24"/>
        </w:rPr>
        <w:t>EE. UU.</w:t>
      </w:r>
      <w:r w:rsidR="008E7736" w:rsidRPr="00B60E6E">
        <w:rPr>
          <w:rFonts w:ascii="Times New Roman" w:hAnsi="Times New Roman" w:cs="Times New Roman"/>
          <w:sz w:val="24"/>
          <w:szCs w:val="24"/>
        </w:rPr>
        <w:t xml:space="preserve"> en </w:t>
      </w:r>
      <w:r>
        <w:rPr>
          <w:rFonts w:ascii="Times New Roman" w:hAnsi="Times New Roman" w:cs="Times New Roman"/>
          <w:sz w:val="24"/>
          <w:szCs w:val="24"/>
        </w:rPr>
        <w:t xml:space="preserve">cuanto a </w:t>
      </w:r>
      <w:r w:rsidR="008E7736" w:rsidRPr="00B60E6E">
        <w:rPr>
          <w:rFonts w:ascii="Times New Roman" w:hAnsi="Times New Roman" w:cs="Times New Roman"/>
          <w:sz w:val="24"/>
          <w:szCs w:val="24"/>
        </w:rPr>
        <w:t>productos agrícolas, ya que son sus</w:t>
      </w:r>
      <w:r w:rsidR="00BF7B48" w:rsidRPr="00B60E6E">
        <w:rPr>
          <w:rFonts w:ascii="Times New Roman" w:hAnsi="Times New Roman" w:cs="Times New Roman"/>
          <w:sz w:val="24"/>
          <w:szCs w:val="24"/>
        </w:rPr>
        <w:t xml:space="preserve"> dos principales proveedores</w:t>
      </w:r>
      <w:r w:rsidR="008E7736" w:rsidRPr="00B60E6E">
        <w:rPr>
          <w:rFonts w:ascii="Times New Roman" w:hAnsi="Times New Roman" w:cs="Times New Roman"/>
          <w:sz w:val="24"/>
          <w:szCs w:val="24"/>
        </w:rPr>
        <w:t xml:space="preserve"> </w:t>
      </w:r>
      <w:r w:rsidR="00BF7B48" w:rsidRPr="00B60E6E">
        <w:rPr>
          <w:rFonts w:ascii="Times New Roman" w:hAnsi="Times New Roman" w:cs="Times New Roman"/>
          <w:sz w:val="24"/>
          <w:szCs w:val="24"/>
        </w:rPr>
        <w:t xml:space="preserve">(USDA, 2016). </w:t>
      </w:r>
    </w:p>
    <w:p w14:paraId="1651C723" w14:textId="4218D899" w:rsidR="00BF7B48" w:rsidRPr="00B60E6E" w:rsidRDefault="00BF7B48"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sidRPr="00B60E6E">
        <w:rPr>
          <w:rFonts w:ascii="Times New Roman" w:hAnsi="Times New Roman" w:cs="Times New Roman"/>
          <w:sz w:val="24"/>
          <w:szCs w:val="24"/>
        </w:rPr>
        <w:t xml:space="preserve">Otros puntos neutrales que se </w:t>
      </w:r>
      <w:r w:rsidR="001D3C80">
        <w:rPr>
          <w:rFonts w:ascii="Times New Roman" w:hAnsi="Times New Roman" w:cs="Times New Roman"/>
          <w:sz w:val="24"/>
          <w:szCs w:val="24"/>
        </w:rPr>
        <w:t>pueden encontrar son</w:t>
      </w:r>
      <w:r w:rsidRPr="00B60E6E">
        <w:rPr>
          <w:rFonts w:ascii="Times New Roman" w:hAnsi="Times New Roman" w:cs="Times New Roman"/>
          <w:sz w:val="24"/>
          <w:szCs w:val="24"/>
        </w:rPr>
        <w:t xml:space="preserve"> la calidad, la cual no tiene una gra</w:t>
      </w:r>
      <w:r w:rsidR="001D3C80">
        <w:rPr>
          <w:rFonts w:ascii="Times New Roman" w:hAnsi="Times New Roman" w:cs="Times New Roman"/>
          <w:sz w:val="24"/>
          <w:szCs w:val="24"/>
        </w:rPr>
        <w:t>n diferencia con la competencia. Asimismo,</w:t>
      </w:r>
      <w:r w:rsidRPr="00B60E6E">
        <w:rPr>
          <w:rFonts w:ascii="Times New Roman" w:hAnsi="Times New Roman" w:cs="Times New Roman"/>
          <w:sz w:val="24"/>
          <w:szCs w:val="24"/>
        </w:rPr>
        <w:t xml:space="preserve"> </w:t>
      </w:r>
      <w:r w:rsidR="001D3C80">
        <w:rPr>
          <w:rFonts w:ascii="Times New Roman" w:hAnsi="Times New Roman" w:cs="Times New Roman"/>
          <w:sz w:val="24"/>
          <w:szCs w:val="24"/>
        </w:rPr>
        <w:t xml:space="preserve">debido a que estos cultivos se siembran a campo abierto, </w:t>
      </w:r>
      <w:r w:rsidRPr="00B60E6E">
        <w:rPr>
          <w:rFonts w:ascii="Times New Roman" w:hAnsi="Times New Roman" w:cs="Times New Roman"/>
          <w:sz w:val="24"/>
          <w:szCs w:val="24"/>
        </w:rPr>
        <w:t>las instalacione</w:t>
      </w:r>
      <w:r w:rsidR="008C11A5" w:rsidRPr="00B60E6E">
        <w:rPr>
          <w:rFonts w:ascii="Times New Roman" w:hAnsi="Times New Roman" w:cs="Times New Roman"/>
          <w:sz w:val="24"/>
          <w:szCs w:val="24"/>
        </w:rPr>
        <w:t>s</w:t>
      </w:r>
      <w:r w:rsidRPr="00B60E6E">
        <w:rPr>
          <w:rFonts w:ascii="Times New Roman" w:hAnsi="Times New Roman" w:cs="Times New Roman"/>
          <w:sz w:val="24"/>
          <w:szCs w:val="24"/>
        </w:rPr>
        <w:t xml:space="preserve"> no tienen un impacto alto en </w:t>
      </w:r>
      <w:r w:rsidR="001D3C80">
        <w:rPr>
          <w:rFonts w:ascii="Times New Roman" w:hAnsi="Times New Roman" w:cs="Times New Roman"/>
          <w:sz w:val="24"/>
          <w:szCs w:val="24"/>
        </w:rPr>
        <w:t>el cultivo.</w:t>
      </w:r>
      <w:r w:rsidRPr="00B60E6E">
        <w:rPr>
          <w:rFonts w:ascii="Times New Roman" w:hAnsi="Times New Roman" w:cs="Times New Roman"/>
          <w:sz w:val="24"/>
          <w:szCs w:val="24"/>
        </w:rPr>
        <w:t xml:space="preserve"> </w:t>
      </w:r>
      <w:r w:rsidR="001D3C80">
        <w:rPr>
          <w:rFonts w:ascii="Times New Roman" w:hAnsi="Times New Roman" w:cs="Times New Roman"/>
          <w:sz w:val="24"/>
          <w:szCs w:val="24"/>
        </w:rPr>
        <w:t xml:space="preserve">Además, y aunque </w:t>
      </w:r>
      <w:r w:rsidRPr="00B60E6E">
        <w:rPr>
          <w:rFonts w:ascii="Times New Roman" w:hAnsi="Times New Roman" w:cs="Times New Roman"/>
          <w:sz w:val="24"/>
          <w:szCs w:val="24"/>
        </w:rPr>
        <w:t>las habilidades de ma</w:t>
      </w:r>
      <w:r w:rsidR="001D3C80">
        <w:rPr>
          <w:rFonts w:ascii="Times New Roman" w:hAnsi="Times New Roman" w:cs="Times New Roman"/>
          <w:sz w:val="24"/>
          <w:szCs w:val="24"/>
        </w:rPr>
        <w:t>no de obra son importantes,</w:t>
      </w:r>
      <w:r w:rsidRPr="00B60E6E">
        <w:rPr>
          <w:rFonts w:ascii="Times New Roman" w:hAnsi="Times New Roman" w:cs="Times New Roman"/>
          <w:sz w:val="24"/>
          <w:szCs w:val="24"/>
        </w:rPr>
        <w:t xml:space="preserve"> por el momento no hacen una </w:t>
      </w:r>
      <w:r w:rsidR="001D3C80">
        <w:rPr>
          <w:rFonts w:ascii="Times New Roman" w:hAnsi="Times New Roman" w:cs="Times New Roman"/>
          <w:sz w:val="24"/>
          <w:szCs w:val="24"/>
        </w:rPr>
        <w:t>diferencia significativa</w:t>
      </w:r>
      <w:r w:rsidRPr="00B60E6E">
        <w:rPr>
          <w:rFonts w:ascii="Times New Roman" w:hAnsi="Times New Roman" w:cs="Times New Roman"/>
          <w:sz w:val="24"/>
          <w:szCs w:val="24"/>
        </w:rPr>
        <w:t xml:space="preserve"> en la agricultura. </w:t>
      </w:r>
    </w:p>
    <w:p w14:paraId="5A514967" w14:textId="356DA5C6" w:rsidR="00BF7B48" w:rsidRDefault="001D3C80"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los</w:t>
      </w:r>
      <w:r w:rsidR="00BF7B48" w:rsidRPr="00B60E6E">
        <w:rPr>
          <w:rFonts w:ascii="Times New Roman" w:hAnsi="Times New Roman" w:cs="Times New Roman"/>
          <w:sz w:val="24"/>
          <w:szCs w:val="24"/>
        </w:rPr>
        <w:t xml:space="preserve"> puntos débiles</w:t>
      </w:r>
      <w:r>
        <w:rPr>
          <w:rFonts w:ascii="Times New Roman" w:hAnsi="Times New Roman" w:cs="Times New Roman"/>
          <w:sz w:val="24"/>
          <w:szCs w:val="24"/>
        </w:rPr>
        <w:t>,</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 xml:space="preserve">se pueden mencionar </w:t>
      </w:r>
      <w:r w:rsidR="00CB2B9B">
        <w:rPr>
          <w:rFonts w:ascii="Times New Roman" w:hAnsi="Times New Roman" w:cs="Times New Roman"/>
          <w:sz w:val="24"/>
          <w:szCs w:val="24"/>
        </w:rPr>
        <w:t xml:space="preserve">los siguientes: </w:t>
      </w:r>
      <w:r w:rsidR="00BF7B48" w:rsidRPr="00B60E6E">
        <w:rPr>
          <w:rFonts w:ascii="Times New Roman" w:hAnsi="Times New Roman" w:cs="Times New Roman"/>
          <w:sz w:val="24"/>
          <w:szCs w:val="24"/>
        </w:rPr>
        <w:t xml:space="preserve">administración deficiente, </w:t>
      </w:r>
      <w:r w:rsidR="00CB2B9B">
        <w:rPr>
          <w:rFonts w:ascii="Times New Roman" w:hAnsi="Times New Roman" w:cs="Times New Roman"/>
          <w:sz w:val="24"/>
          <w:szCs w:val="24"/>
        </w:rPr>
        <w:t xml:space="preserve">falta de actualización de las </w:t>
      </w:r>
      <w:r w:rsidR="00BF7B48" w:rsidRPr="00B60E6E">
        <w:rPr>
          <w:rFonts w:ascii="Times New Roman" w:hAnsi="Times New Roman" w:cs="Times New Roman"/>
          <w:sz w:val="24"/>
          <w:szCs w:val="24"/>
        </w:rPr>
        <w:t>tecnología</w:t>
      </w:r>
      <w:r w:rsidR="00CB2B9B">
        <w:rPr>
          <w:rFonts w:ascii="Times New Roman" w:hAnsi="Times New Roman" w:cs="Times New Roman"/>
          <w:sz w:val="24"/>
          <w:szCs w:val="24"/>
        </w:rPr>
        <w:t>s</w:t>
      </w:r>
      <w:r w:rsidR="00BF7B48" w:rsidRPr="00B60E6E">
        <w:rPr>
          <w:rFonts w:ascii="Times New Roman" w:hAnsi="Times New Roman" w:cs="Times New Roman"/>
          <w:sz w:val="24"/>
          <w:szCs w:val="24"/>
        </w:rPr>
        <w:t xml:space="preserve">, conocimiento transferido informalmente, </w:t>
      </w:r>
      <w:r w:rsidR="00AD7EA3" w:rsidRPr="00B60E6E">
        <w:rPr>
          <w:rFonts w:ascii="Times New Roman" w:hAnsi="Times New Roman" w:cs="Times New Roman"/>
          <w:sz w:val="24"/>
          <w:szCs w:val="24"/>
        </w:rPr>
        <w:t xml:space="preserve">baja </w:t>
      </w:r>
      <w:r w:rsidR="00BF7B48" w:rsidRPr="00B60E6E">
        <w:rPr>
          <w:rFonts w:ascii="Times New Roman" w:hAnsi="Times New Roman" w:cs="Times New Roman"/>
          <w:sz w:val="24"/>
          <w:szCs w:val="24"/>
        </w:rPr>
        <w:t>c</w:t>
      </w:r>
      <w:r w:rsidR="00BB6748" w:rsidRPr="00B60E6E">
        <w:rPr>
          <w:rFonts w:ascii="Times New Roman" w:hAnsi="Times New Roman" w:cs="Times New Roman"/>
          <w:sz w:val="24"/>
          <w:szCs w:val="24"/>
        </w:rPr>
        <w:t xml:space="preserve">apacitación, </w:t>
      </w:r>
      <w:r w:rsidR="00CB2B9B">
        <w:rPr>
          <w:rFonts w:ascii="Times New Roman" w:hAnsi="Times New Roman" w:cs="Times New Roman"/>
          <w:sz w:val="24"/>
          <w:szCs w:val="24"/>
        </w:rPr>
        <w:t>escaso</w:t>
      </w:r>
      <w:r w:rsidR="00D145C4" w:rsidRPr="00B60E6E">
        <w:rPr>
          <w:rFonts w:ascii="Times New Roman" w:hAnsi="Times New Roman" w:cs="Times New Roman"/>
          <w:sz w:val="24"/>
          <w:szCs w:val="24"/>
        </w:rPr>
        <w:t xml:space="preserve"> desarrollo de </w:t>
      </w:r>
      <w:r w:rsidR="00BB6748" w:rsidRPr="00B60E6E">
        <w:rPr>
          <w:rFonts w:ascii="Times New Roman" w:hAnsi="Times New Roman" w:cs="Times New Roman"/>
          <w:sz w:val="24"/>
          <w:szCs w:val="24"/>
        </w:rPr>
        <w:t>nuevos productos,</w:t>
      </w:r>
      <w:r w:rsidR="00BF7B48" w:rsidRPr="00B60E6E">
        <w:rPr>
          <w:rFonts w:ascii="Times New Roman" w:hAnsi="Times New Roman" w:cs="Times New Roman"/>
          <w:sz w:val="24"/>
          <w:szCs w:val="24"/>
        </w:rPr>
        <w:t xml:space="preserve"> </w:t>
      </w:r>
      <w:r w:rsidR="00CB2B9B">
        <w:rPr>
          <w:rFonts w:ascii="Times New Roman" w:hAnsi="Times New Roman" w:cs="Times New Roman"/>
          <w:sz w:val="24"/>
          <w:szCs w:val="24"/>
        </w:rPr>
        <w:t xml:space="preserve">carencia de </w:t>
      </w:r>
      <w:r w:rsidR="00BF7B48" w:rsidRPr="00B60E6E">
        <w:rPr>
          <w:rFonts w:ascii="Times New Roman" w:hAnsi="Times New Roman" w:cs="Times New Roman"/>
          <w:sz w:val="24"/>
          <w:szCs w:val="24"/>
        </w:rPr>
        <w:t>in</w:t>
      </w:r>
      <w:r w:rsidR="00CB2B9B">
        <w:rPr>
          <w:rFonts w:ascii="Times New Roman" w:hAnsi="Times New Roman" w:cs="Times New Roman"/>
          <w:sz w:val="24"/>
          <w:szCs w:val="24"/>
        </w:rPr>
        <w:t>vestigaciones</w:t>
      </w:r>
      <w:r w:rsidR="00BB6748" w:rsidRPr="00B60E6E">
        <w:rPr>
          <w:rFonts w:ascii="Times New Roman" w:hAnsi="Times New Roman" w:cs="Times New Roman"/>
          <w:sz w:val="24"/>
          <w:szCs w:val="24"/>
        </w:rPr>
        <w:t xml:space="preserve"> y</w:t>
      </w:r>
      <w:r w:rsidR="002C5CFB" w:rsidRPr="00B60E6E">
        <w:rPr>
          <w:rFonts w:ascii="Times New Roman" w:hAnsi="Times New Roman" w:cs="Times New Roman"/>
          <w:sz w:val="24"/>
          <w:szCs w:val="24"/>
        </w:rPr>
        <w:t xml:space="preserve"> bajo </w:t>
      </w:r>
      <w:r w:rsidR="00BF7B48" w:rsidRPr="00B60E6E">
        <w:rPr>
          <w:rFonts w:ascii="Times New Roman" w:hAnsi="Times New Roman" w:cs="Times New Roman"/>
          <w:sz w:val="24"/>
          <w:szCs w:val="24"/>
        </w:rPr>
        <w:t xml:space="preserve">desarrollo. </w:t>
      </w:r>
      <w:r w:rsidR="00A94F42">
        <w:rPr>
          <w:rFonts w:ascii="Times New Roman" w:hAnsi="Times New Roman" w:cs="Times New Roman"/>
          <w:sz w:val="24"/>
          <w:szCs w:val="24"/>
        </w:rPr>
        <w:t xml:space="preserve">Específicamente, </w:t>
      </w:r>
      <w:r w:rsidR="00CB2B9B">
        <w:rPr>
          <w:rFonts w:ascii="Times New Roman" w:hAnsi="Times New Roman" w:cs="Times New Roman"/>
          <w:sz w:val="24"/>
          <w:szCs w:val="24"/>
        </w:rPr>
        <w:t xml:space="preserve">y según </w:t>
      </w:r>
      <w:r w:rsidR="00AD7EA3" w:rsidRPr="00B60E6E">
        <w:rPr>
          <w:rFonts w:ascii="Times New Roman" w:hAnsi="Times New Roman" w:cs="Times New Roman"/>
          <w:sz w:val="24"/>
          <w:szCs w:val="24"/>
        </w:rPr>
        <w:t xml:space="preserve">Asiain </w:t>
      </w:r>
      <w:r w:rsidR="00AD7EA3" w:rsidRPr="00CB2B9B">
        <w:rPr>
          <w:rFonts w:ascii="Times New Roman" w:hAnsi="Times New Roman" w:cs="Times New Roman"/>
          <w:i/>
          <w:sz w:val="24"/>
          <w:szCs w:val="24"/>
        </w:rPr>
        <w:t>et al.</w:t>
      </w:r>
      <w:r w:rsidR="00AD7EA3" w:rsidRPr="00B60E6E">
        <w:rPr>
          <w:rFonts w:ascii="Times New Roman" w:hAnsi="Times New Roman" w:cs="Times New Roman"/>
          <w:sz w:val="24"/>
          <w:szCs w:val="24"/>
        </w:rPr>
        <w:t>, (2017)</w:t>
      </w:r>
      <w:r w:rsidR="00CB2B9B">
        <w:rPr>
          <w:rFonts w:ascii="Times New Roman" w:hAnsi="Times New Roman" w:cs="Times New Roman"/>
          <w:sz w:val="24"/>
          <w:szCs w:val="24"/>
        </w:rPr>
        <w:t>, se puede decir que</w:t>
      </w:r>
      <w:r w:rsidR="00BF7B48" w:rsidRPr="00B60E6E">
        <w:rPr>
          <w:rFonts w:ascii="Times New Roman" w:hAnsi="Times New Roman" w:cs="Times New Roman"/>
          <w:sz w:val="24"/>
          <w:szCs w:val="24"/>
        </w:rPr>
        <w:t xml:space="preserve"> 66</w:t>
      </w:r>
      <w:r w:rsidR="00CB2B9B">
        <w:rPr>
          <w:rFonts w:ascii="Times New Roman" w:hAnsi="Times New Roman" w:cs="Times New Roman"/>
          <w:sz w:val="24"/>
          <w:szCs w:val="24"/>
        </w:rPr>
        <w:t xml:space="preserve"> </w:t>
      </w:r>
      <w:r w:rsidR="00BF7B48" w:rsidRPr="00B60E6E">
        <w:rPr>
          <w:rFonts w:ascii="Times New Roman" w:hAnsi="Times New Roman" w:cs="Times New Roman"/>
          <w:sz w:val="24"/>
          <w:szCs w:val="24"/>
        </w:rPr>
        <w:t>% de los productores encuestados no planea la compra de in</w:t>
      </w:r>
      <w:r w:rsidR="00CB2B9B">
        <w:rPr>
          <w:rFonts w:ascii="Times New Roman" w:hAnsi="Times New Roman" w:cs="Times New Roman"/>
          <w:sz w:val="24"/>
          <w:szCs w:val="24"/>
        </w:rPr>
        <w:t xml:space="preserve">sumos en función de la demanda, mientras que </w:t>
      </w:r>
      <w:r w:rsidR="00BF7B48" w:rsidRPr="00B60E6E">
        <w:rPr>
          <w:rFonts w:ascii="Times New Roman" w:hAnsi="Times New Roman" w:cs="Times New Roman"/>
          <w:sz w:val="24"/>
          <w:szCs w:val="24"/>
        </w:rPr>
        <w:t>67</w:t>
      </w:r>
      <w:r w:rsidR="00CB2B9B">
        <w:rPr>
          <w:rFonts w:ascii="Times New Roman" w:hAnsi="Times New Roman" w:cs="Times New Roman"/>
          <w:sz w:val="24"/>
          <w:szCs w:val="24"/>
        </w:rPr>
        <w:t xml:space="preserve"> </w:t>
      </w:r>
      <w:r w:rsidR="00BF7B48" w:rsidRPr="00B60E6E">
        <w:rPr>
          <w:rFonts w:ascii="Times New Roman" w:hAnsi="Times New Roman" w:cs="Times New Roman"/>
          <w:sz w:val="24"/>
          <w:szCs w:val="24"/>
        </w:rPr>
        <w:t>% no realiza la planeación de recursos humanos, materiales y financieros en función de la demanda</w:t>
      </w:r>
      <w:r w:rsidR="00CB2B9B">
        <w:rPr>
          <w:rFonts w:ascii="Times New Roman" w:hAnsi="Times New Roman" w:cs="Times New Roman"/>
          <w:sz w:val="24"/>
          <w:szCs w:val="24"/>
        </w:rPr>
        <w:t>.</w:t>
      </w:r>
      <w:r w:rsidR="00BF7B48" w:rsidRPr="00B60E6E">
        <w:rPr>
          <w:rFonts w:ascii="Times New Roman" w:hAnsi="Times New Roman" w:cs="Times New Roman"/>
          <w:sz w:val="24"/>
          <w:szCs w:val="24"/>
        </w:rPr>
        <w:t xml:space="preserve"> </w:t>
      </w:r>
      <w:r w:rsidR="00CB2B9B">
        <w:rPr>
          <w:rFonts w:ascii="Times New Roman" w:hAnsi="Times New Roman" w:cs="Times New Roman"/>
          <w:sz w:val="24"/>
          <w:szCs w:val="24"/>
        </w:rPr>
        <w:t>De hecho</w:t>
      </w:r>
      <w:r w:rsidR="00BF7B48" w:rsidRPr="00B60E6E">
        <w:rPr>
          <w:rFonts w:ascii="Times New Roman" w:hAnsi="Times New Roman" w:cs="Times New Roman"/>
          <w:sz w:val="24"/>
          <w:szCs w:val="24"/>
        </w:rPr>
        <w:t>, 86</w:t>
      </w:r>
      <w:r w:rsidR="00CB2B9B">
        <w:rPr>
          <w:rFonts w:ascii="Times New Roman" w:hAnsi="Times New Roman" w:cs="Times New Roman"/>
          <w:sz w:val="24"/>
          <w:szCs w:val="24"/>
        </w:rPr>
        <w:t xml:space="preserve"> </w:t>
      </w:r>
      <w:r w:rsidR="00BF7B48" w:rsidRPr="00B60E6E">
        <w:rPr>
          <w:rFonts w:ascii="Times New Roman" w:hAnsi="Times New Roman" w:cs="Times New Roman"/>
          <w:sz w:val="24"/>
          <w:szCs w:val="24"/>
        </w:rPr>
        <w:t xml:space="preserve">% de la estimación de </w:t>
      </w:r>
      <w:r w:rsidR="00CB2B9B">
        <w:rPr>
          <w:rFonts w:ascii="Times New Roman" w:hAnsi="Times New Roman" w:cs="Times New Roman"/>
          <w:sz w:val="24"/>
          <w:szCs w:val="24"/>
        </w:rPr>
        <w:t xml:space="preserve">la </w:t>
      </w:r>
      <w:r w:rsidR="00BF7B48" w:rsidRPr="00B60E6E">
        <w:rPr>
          <w:rFonts w:ascii="Times New Roman" w:hAnsi="Times New Roman" w:cs="Times New Roman"/>
          <w:sz w:val="24"/>
          <w:szCs w:val="24"/>
        </w:rPr>
        <w:t xml:space="preserve">producción es realizada </w:t>
      </w:r>
      <w:r w:rsidR="00CB2B9B">
        <w:rPr>
          <w:rFonts w:ascii="Times New Roman" w:hAnsi="Times New Roman" w:cs="Times New Roman"/>
          <w:sz w:val="24"/>
          <w:szCs w:val="24"/>
        </w:rPr>
        <w:t xml:space="preserve">según </w:t>
      </w:r>
      <w:r w:rsidR="00BF7B48" w:rsidRPr="00B60E6E">
        <w:rPr>
          <w:rFonts w:ascii="Times New Roman" w:hAnsi="Times New Roman" w:cs="Times New Roman"/>
          <w:sz w:val="24"/>
          <w:szCs w:val="24"/>
        </w:rPr>
        <w:t>la experiencia de los agricultores</w:t>
      </w:r>
      <w:r w:rsidR="009C0B61" w:rsidRPr="00B60E6E">
        <w:rPr>
          <w:rFonts w:ascii="Times New Roman" w:hAnsi="Times New Roman" w:cs="Times New Roman"/>
          <w:sz w:val="24"/>
          <w:szCs w:val="24"/>
        </w:rPr>
        <w:t xml:space="preserve">. Con </w:t>
      </w:r>
      <w:r w:rsidR="00CB2B9B">
        <w:rPr>
          <w:rFonts w:ascii="Times New Roman" w:hAnsi="Times New Roman" w:cs="Times New Roman"/>
          <w:sz w:val="24"/>
          <w:szCs w:val="24"/>
        </w:rPr>
        <w:t xml:space="preserve">base en estos porcentajes </w:t>
      </w:r>
      <w:r w:rsidR="009C0B61" w:rsidRPr="00B60E6E">
        <w:rPr>
          <w:rFonts w:ascii="Times New Roman" w:hAnsi="Times New Roman" w:cs="Times New Roman"/>
          <w:sz w:val="24"/>
          <w:szCs w:val="24"/>
        </w:rPr>
        <w:t xml:space="preserve">se puede </w:t>
      </w:r>
      <w:r w:rsidR="00CB2B9B">
        <w:rPr>
          <w:rFonts w:ascii="Times New Roman" w:hAnsi="Times New Roman" w:cs="Times New Roman"/>
          <w:sz w:val="24"/>
          <w:szCs w:val="24"/>
        </w:rPr>
        <w:t>asegurar</w:t>
      </w:r>
      <w:r w:rsidR="009C0B61" w:rsidRPr="00B60E6E">
        <w:rPr>
          <w:rFonts w:ascii="Times New Roman" w:hAnsi="Times New Roman" w:cs="Times New Roman"/>
          <w:sz w:val="24"/>
          <w:szCs w:val="24"/>
        </w:rPr>
        <w:t xml:space="preserve"> que no hay una planeación correcta. </w:t>
      </w:r>
    </w:p>
    <w:p w14:paraId="4A7D763E" w14:textId="77777777" w:rsidR="00F37E56" w:rsidRPr="00B60E6E" w:rsidRDefault="00F37E56"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p>
    <w:p w14:paraId="0D2F3187" w14:textId="79D6EC1D" w:rsidR="00BF7B48" w:rsidRPr="00AB2FCD" w:rsidRDefault="00CB2B9B" w:rsidP="00CB2B9B">
      <w:pPr>
        <w:pStyle w:val="Ttulo3"/>
        <w:rPr>
          <w:bCs w:val="0"/>
          <w:i w:val="0"/>
          <w:color w:val="auto"/>
          <w:sz w:val="24"/>
          <w:szCs w:val="24"/>
        </w:rPr>
      </w:pPr>
      <w:r w:rsidRPr="00AB2FCD">
        <w:rPr>
          <w:bCs w:val="0"/>
          <w:i w:val="0"/>
          <w:color w:val="auto"/>
          <w:sz w:val="24"/>
          <w:szCs w:val="24"/>
        </w:rPr>
        <w:lastRenderedPageBreak/>
        <w:t>Condiciones de la demanda</w:t>
      </w:r>
    </w:p>
    <w:p w14:paraId="1B4F1BDA" w14:textId="717BB0F7" w:rsidR="00BF7B48" w:rsidRPr="00B60E6E" w:rsidRDefault="00CB2B9B" w:rsidP="00BF7B48">
      <w:pPr>
        <w:autoSpaceDE w:val="0"/>
        <w:autoSpaceDN w:val="0"/>
        <w:adjustRightInd w:val="0"/>
        <w:spacing w:before="100" w:beforeAutospacing="1" w:after="100" w:afterAutospacing="1"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BF7B48" w:rsidRPr="00B60E6E">
        <w:rPr>
          <w:rFonts w:ascii="Times New Roman" w:hAnsi="Times New Roman" w:cs="Times New Roman"/>
          <w:sz w:val="24"/>
          <w:szCs w:val="24"/>
        </w:rPr>
        <w:t xml:space="preserve">La proximidad de los mercados locales, regionales y extranjeros representa </w:t>
      </w:r>
      <w:r>
        <w:rPr>
          <w:rFonts w:ascii="Times New Roman" w:hAnsi="Times New Roman" w:cs="Times New Roman"/>
          <w:sz w:val="24"/>
          <w:szCs w:val="24"/>
        </w:rPr>
        <w:t xml:space="preserve">una oportunidad </w:t>
      </w:r>
      <w:r w:rsidR="00BF7B48" w:rsidRPr="00B60E6E">
        <w:rPr>
          <w:rFonts w:ascii="Times New Roman" w:hAnsi="Times New Roman" w:cs="Times New Roman"/>
          <w:sz w:val="24"/>
          <w:szCs w:val="24"/>
        </w:rPr>
        <w:t xml:space="preserve">de crecimiento para </w:t>
      </w:r>
      <w:r>
        <w:rPr>
          <w:rFonts w:ascii="Times New Roman" w:hAnsi="Times New Roman" w:cs="Times New Roman"/>
          <w:sz w:val="24"/>
          <w:szCs w:val="24"/>
        </w:rPr>
        <w:t>la</w:t>
      </w:r>
      <w:r w:rsidR="00BF7B48" w:rsidRPr="00B60E6E">
        <w:rPr>
          <w:rFonts w:ascii="Times New Roman" w:hAnsi="Times New Roman" w:cs="Times New Roman"/>
          <w:sz w:val="24"/>
          <w:szCs w:val="24"/>
        </w:rPr>
        <w:t xml:space="preserve"> actividad productiva. Las condiciones de la demanda primer</w:t>
      </w:r>
      <w:r w:rsidR="00626FB6" w:rsidRPr="00B60E6E">
        <w:rPr>
          <w:rFonts w:ascii="Times New Roman" w:hAnsi="Times New Roman" w:cs="Times New Roman"/>
          <w:sz w:val="24"/>
          <w:szCs w:val="24"/>
        </w:rPr>
        <w:t>o recaen en la exportación de malanga a</w:t>
      </w:r>
      <w:r w:rsidR="00BF7B48" w:rsidRPr="00B60E6E">
        <w:rPr>
          <w:rFonts w:ascii="Times New Roman" w:hAnsi="Times New Roman" w:cs="Times New Roman"/>
          <w:sz w:val="24"/>
          <w:szCs w:val="24"/>
        </w:rPr>
        <w:t xml:space="preserve"> Canadá y </w:t>
      </w:r>
      <w:r w:rsidR="00626FB6" w:rsidRPr="00B60E6E">
        <w:rPr>
          <w:rFonts w:ascii="Times New Roman" w:hAnsi="Times New Roman" w:cs="Times New Roman"/>
          <w:sz w:val="24"/>
          <w:szCs w:val="24"/>
        </w:rPr>
        <w:t xml:space="preserve">a </w:t>
      </w:r>
      <w:r>
        <w:rPr>
          <w:rFonts w:ascii="Times New Roman" w:hAnsi="Times New Roman" w:cs="Times New Roman"/>
          <w:sz w:val="24"/>
          <w:szCs w:val="24"/>
        </w:rPr>
        <w:t>EE. UU</w:t>
      </w:r>
      <w:r w:rsidR="00BF7B48" w:rsidRPr="00B60E6E">
        <w:rPr>
          <w:rFonts w:ascii="Times New Roman" w:hAnsi="Times New Roman" w:cs="Times New Roman"/>
          <w:sz w:val="24"/>
          <w:szCs w:val="24"/>
        </w:rPr>
        <w:t>. Las cifras de importación</w:t>
      </w:r>
      <w:r w:rsidR="000613D0" w:rsidRPr="00B60E6E">
        <w:rPr>
          <w:rFonts w:ascii="Times New Roman" w:hAnsi="Times New Roman" w:cs="Times New Roman"/>
          <w:sz w:val="24"/>
          <w:szCs w:val="24"/>
        </w:rPr>
        <w:t xml:space="preserve"> de malanga</w:t>
      </w:r>
      <w:r w:rsidR="00BF7B48" w:rsidRPr="00B60E6E">
        <w:rPr>
          <w:rFonts w:ascii="Times New Roman" w:hAnsi="Times New Roman" w:cs="Times New Roman"/>
          <w:sz w:val="24"/>
          <w:szCs w:val="24"/>
        </w:rPr>
        <w:t xml:space="preserve"> en Canadá </w:t>
      </w:r>
      <w:r w:rsidR="000613D0" w:rsidRPr="00B60E6E">
        <w:rPr>
          <w:rFonts w:ascii="Times New Roman" w:hAnsi="Times New Roman" w:cs="Times New Roman"/>
          <w:sz w:val="24"/>
          <w:szCs w:val="24"/>
        </w:rPr>
        <w:t>proveniente de varios</w:t>
      </w:r>
      <w:r w:rsidR="00BF7B48" w:rsidRPr="00B60E6E">
        <w:rPr>
          <w:rFonts w:ascii="Times New Roman" w:hAnsi="Times New Roman" w:cs="Times New Roman"/>
          <w:sz w:val="24"/>
          <w:szCs w:val="24"/>
        </w:rPr>
        <w:t xml:space="preserve"> países indican una tendencia positiva tanto en cantidad como en valor monetario entre los años 2012 y 2016</w:t>
      </w:r>
      <w:r>
        <w:rPr>
          <w:rFonts w:ascii="Times New Roman" w:hAnsi="Times New Roman" w:cs="Times New Roman"/>
          <w:sz w:val="24"/>
          <w:szCs w:val="24"/>
        </w:rPr>
        <w:t xml:space="preserve"> (f</w:t>
      </w:r>
      <w:r w:rsidR="003E2D55" w:rsidRPr="00B60E6E">
        <w:rPr>
          <w:rFonts w:ascii="Times New Roman" w:hAnsi="Times New Roman" w:cs="Times New Roman"/>
          <w:sz w:val="24"/>
          <w:szCs w:val="24"/>
        </w:rPr>
        <w:t>igura 3</w:t>
      </w:r>
      <w:r w:rsidR="00BF7B48" w:rsidRPr="00B60E6E">
        <w:rPr>
          <w:rFonts w:ascii="Times New Roman" w:hAnsi="Times New Roman" w:cs="Times New Roman"/>
          <w:sz w:val="24"/>
          <w:szCs w:val="24"/>
        </w:rPr>
        <w:t xml:space="preserve"> y </w:t>
      </w:r>
      <w:r w:rsidR="003E2D55" w:rsidRPr="00B60E6E">
        <w:rPr>
          <w:rFonts w:ascii="Times New Roman" w:hAnsi="Times New Roman" w:cs="Times New Roman"/>
          <w:sz w:val="24"/>
          <w:szCs w:val="24"/>
        </w:rPr>
        <w:t>4</w:t>
      </w:r>
      <w:r w:rsidR="00BF7B48" w:rsidRPr="00B60E6E">
        <w:rPr>
          <w:rFonts w:ascii="Times New Roman" w:hAnsi="Times New Roman" w:cs="Times New Roman"/>
          <w:sz w:val="24"/>
          <w:szCs w:val="24"/>
        </w:rPr>
        <w:t xml:space="preserve">). </w:t>
      </w:r>
    </w:p>
    <w:p w14:paraId="44EC311E" w14:textId="658A36C9" w:rsidR="00BF7B48" w:rsidRPr="00B60E6E" w:rsidRDefault="003E2D55" w:rsidP="00BF7B48">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sidRPr="00B60E6E">
        <w:rPr>
          <w:rFonts w:ascii="Times New Roman" w:hAnsi="Times New Roman" w:cs="Times New Roman"/>
          <w:b/>
          <w:bCs/>
          <w:sz w:val="24"/>
          <w:szCs w:val="24"/>
        </w:rPr>
        <w:t>Figura</w:t>
      </w:r>
      <w:r w:rsidR="00BF7B48" w:rsidRPr="00B60E6E">
        <w:rPr>
          <w:rFonts w:ascii="Times New Roman" w:hAnsi="Times New Roman" w:cs="Times New Roman"/>
          <w:b/>
          <w:bCs/>
          <w:sz w:val="24"/>
          <w:szCs w:val="24"/>
        </w:rPr>
        <w:t xml:space="preserve"> </w:t>
      </w:r>
      <w:r w:rsidRPr="00B60E6E">
        <w:rPr>
          <w:rFonts w:ascii="Times New Roman" w:hAnsi="Times New Roman" w:cs="Times New Roman"/>
          <w:b/>
          <w:bCs/>
          <w:sz w:val="24"/>
          <w:szCs w:val="24"/>
        </w:rPr>
        <w:t>3</w:t>
      </w:r>
      <w:r w:rsidR="00CB2B9B">
        <w:rPr>
          <w:rFonts w:ascii="Times New Roman" w:hAnsi="Times New Roman" w:cs="Times New Roman"/>
          <w:b/>
          <w:bCs/>
          <w:sz w:val="24"/>
          <w:szCs w:val="24"/>
        </w:rPr>
        <w:t>.</w:t>
      </w:r>
      <w:r w:rsidR="00BF7B48" w:rsidRPr="00B60E6E">
        <w:rPr>
          <w:rFonts w:ascii="Times New Roman" w:hAnsi="Times New Roman" w:cs="Times New Roman"/>
          <w:b/>
          <w:bCs/>
          <w:sz w:val="24"/>
          <w:szCs w:val="24"/>
        </w:rPr>
        <w:t xml:space="preserve"> </w:t>
      </w:r>
      <w:r w:rsidR="00BF7B48" w:rsidRPr="00CB2B9B">
        <w:rPr>
          <w:rFonts w:ascii="Times New Roman" w:hAnsi="Times New Roman" w:cs="Times New Roman"/>
          <w:bCs/>
          <w:sz w:val="24"/>
          <w:szCs w:val="24"/>
        </w:rPr>
        <w:t xml:space="preserve">Importación mundial </w:t>
      </w:r>
      <w:r w:rsidR="006F2C22" w:rsidRPr="00CB2B9B">
        <w:rPr>
          <w:rFonts w:ascii="Times New Roman" w:hAnsi="Times New Roman" w:cs="Times New Roman"/>
          <w:bCs/>
          <w:sz w:val="24"/>
          <w:szCs w:val="24"/>
        </w:rPr>
        <w:t>de malanga</w:t>
      </w:r>
      <w:r w:rsidR="00747F9F" w:rsidRPr="00CB2B9B">
        <w:rPr>
          <w:rFonts w:ascii="Times New Roman" w:hAnsi="Times New Roman" w:cs="Times New Roman"/>
          <w:bCs/>
          <w:sz w:val="24"/>
          <w:szCs w:val="24"/>
        </w:rPr>
        <w:t xml:space="preserve"> </w:t>
      </w:r>
      <w:r w:rsidR="00BF7B48" w:rsidRPr="00CB2B9B">
        <w:rPr>
          <w:rFonts w:ascii="Times New Roman" w:hAnsi="Times New Roman" w:cs="Times New Roman"/>
          <w:bCs/>
          <w:sz w:val="24"/>
          <w:szCs w:val="24"/>
        </w:rPr>
        <w:t>en Canadá por cantidades</w:t>
      </w:r>
      <w:r w:rsidR="00CB2B9B">
        <w:rPr>
          <w:rFonts w:ascii="Times New Roman" w:hAnsi="Times New Roman" w:cs="Times New Roman"/>
          <w:bCs/>
          <w:sz w:val="24"/>
          <w:szCs w:val="24"/>
        </w:rPr>
        <w:t xml:space="preserve"> entre 2012 y</w:t>
      </w:r>
      <w:r w:rsidR="00C71EC9" w:rsidRPr="00CB2B9B">
        <w:rPr>
          <w:rFonts w:ascii="Times New Roman" w:hAnsi="Times New Roman" w:cs="Times New Roman"/>
          <w:bCs/>
          <w:sz w:val="24"/>
          <w:szCs w:val="24"/>
        </w:rPr>
        <w:t xml:space="preserve"> 2016</w:t>
      </w:r>
    </w:p>
    <w:p w14:paraId="34252B35" w14:textId="43246C7B" w:rsidR="00BF7B48" w:rsidRPr="00B60E6E" w:rsidRDefault="00BF7B48" w:rsidP="00BF7B48">
      <w:pPr>
        <w:autoSpaceDE w:val="0"/>
        <w:autoSpaceDN w:val="0"/>
        <w:adjustRightInd w:val="0"/>
        <w:spacing w:line="360" w:lineRule="auto"/>
        <w:jc w:val="center"/>
      </w:pPr>
      <w:r w:rsidRPr="00B60E6E">
        <w:rPr>
          <w:noProof/>
          <w:lang w:eastAsia="es-MX"/>
        </w:rPr>
        <w:drawing>
          <wp:inline distT="0" distB="0" distL="0" distR="0" wp14:anchorId="18D9C5EE" wp14:editId="78E9F9E3">
            <wp:extent cx="4065905" cy="2390140"/>
            <wp:effectExtent l="0" t="0" r="10795" b="10160"/>
            <wp:docPr id="28" name="Gráfico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F76BE5" w14:textId="3FE5C1D6" w:rsidR="00BF7B48" w:rsidRPr="00B60E6E" w:rsidRDefault="00BF7B48" w:rsidP="00BF7B48">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B60E6E">
        <w:rPr>
          <w:rFonts w:ascii="Times New Roman" w:hAnsi="Times New Roman" w:cs="Times New Roman"/>
          <w:sz w:val="24"/>
          <w:szCs w:val="24"/>
        </w:rPr>
        <w:t>Fuente: Elaboración p</w:t>
      </w:r>
      <w:r w:rsidR="00CB2B9B">
        <w:rPr>
          <w:rFonts w:ascii="Times New Roman" w:hAnsi="Times New Roman" w:cs="Times New Roman"/>
          <w:sz w:val="24"/>
          <w:szCs w:val="24"/>
        </w:rPr>
        <w:t>ropia a partir de STATCAN (2017)</w:t>
      </w:r>
    </w:p>
    <w:p w14:paraId="65145950" w14:textId="77777777" w:rsidR="00F37E56" w:rsidRDefault="00F37E56" w:rsidP="00BF7B48">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p>
    <w:p w14:paraId="7045A4F2" w14:textId="77777777" w:rsidR="00F37E56" w:rsidRDefault="00F37E56" w:rsidP="00BF7B48">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p>
    <w:p w14:paraId="355B707B" w14:textId="77777777" w:rsidR="00F37E56" w:rsidRDefault="00F37E56" w:rsidP="00BF7B48">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p>
    <w:p w14:paraId="0C61CFA1" w14:textId="77777777" w:rsidR="00F37E56" w:rsidRDefault="00F37E56" w:rsidP="00BF7B48">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p>
    <w:p w14:paraId="4E0768F6" w14:textId="77777777" w:rsidR="00F37E56" w:rsidRDefault="00F37E56" w:rsidP="00BF7B48">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p>
    <w:p w14:paraId="3464DDB5" w14:textId="77777777" w:rsidR="00F37E56" w:rsidRDefault="00F37E56" w:rsidP="00BF7B48">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p>
    <w:p w14:paraId="7EF2E949" w14:textId="0D529683" w:rsidR="00BF7B48" w:rsidRPr="00B60E6E" w:rsidRDefault="003E2D55" w:rsidP="00BF7B48">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sidRPr="00B60E6E">
        <w:rPr>
          <w:rFonts w:ascii="Times New Roman" w:hAnsi="Times New Roman" w:cs="Times New Roman"/>
          <w:b/>
          <w:bCs/>
          <w:sz w:val="24"/>
          <w:szCs w:val="24"/>
        </w:rPr>
        <w:lastRenderedPageBreak/>
        <w:t>Figura 4</w:t>
      </w:r>
      <w:r w:rsidR="00CB2B9B">
        <w:rPr>
          <w:rFonts w:ascii="Times New Roman" w:hAnsi="Times New Roman" w:cs="Times New Roman"/>
          <w:b/>
          <w:bCs/>
          <w:sz w:val="24"/>
          <w:szCs w:val="24"/>
        </w:rPr>
        <w:t>.</w:t>
      </w:r>
      <w:r w:rsidR="00BF7B48" w:rsidRPr="00B60E6E">
        <w:rPr>
          <w:rFonts w:ascii="Times New Roman" w:hAnsi="Times New Roman" w:cs="Times New Roman"/>
          <w:b/>
          <w:bCs/>
          <w:sz w:val="24"/>
          <w:szCs w:val="24"/>
        </w:rPr>
        <w:t xml:space="preserve"> </w:t>
      </w:r>
      <w:r w:rsidR="00BF7B48" w:rsidRPr="00CB2B9B">
        <w:rPr>
          <w:rFonts w:ascii="Times New Roman" w:hAnsi="Times New Roman" w:cs="Times New Roman"/>
          <w:bCs/>
          <w:sz w:val="24"/>
          <w:szCs w:val="24"/>
        </w:rPr>
        <w:t xml:space="preserve">Importación mundial </w:t>
      </w:r>
      <w:r w:rsidR="00747F9F" w:rsidRPr="00CB2B9B">
        <w:rPr>
          <w:rFonts w:ascii="Times New Roman" w:hAnsi="Times New Roman" w:cs="Times New Roman"/>
          <w:bCs/>
          <w:sz w:val="24"/>
          <w:szCs w:val="24"/>
        </w:rPr>
        <w:t>de m</w:t>
      </w:r>
      <w:r w:rsidR="006F2C22" w:rsidRPr="00CB2B9B">
        <w:rPr>
          <w:rFonts w:ascii="Times New Roman" w:hAnsi="Times New Roman" w:cs="Times New Roman"/>
          <w:bCs/>
          <w:sz w:val="24"/>
          <w:szCs w:val="24"/>
        </w:rPr>
        <w:t>alanga</w:t>
      </w:r>
      <w:r w:rsidR="00747F9F" w:rsidRPr="00CB2B9B">
        <w:rPr>
          <w:rFonts w:ascii="Times New Roman" w:hAnsi="Times New Roman" w:cs="Times New Roman"/>
          <w:bCs/>
          <w:sz w:val="24"/>
          <w:szCs w:val="24"/>
        </w:rPr>
        <w:t xml:space="preserve"> </w:t>
      </w:r>
      <w:r w:rsidR="00BF7B48" w:rsidRPr="00CB2B9B">
        <w:rPr>
          <w:rFonts w:ascii="Times New Roman" w:hAnsi="Times New Roman" w:cs="Times New Roman"/>
          <w:bCs/>
          <w:sz w:val="24"/>
          <w:szCs w:val="24"/>
        </w:rPr>
        <w:t>en Canadá por valor</w:t>
      </w:r>
      <w:r w:rsidR="00C71EC9" w:rsidRPr="00CB2B9B">
        <w:rPr>
          <w:rFonts w:ascii="Times New Roman" w:hAnsi="Times New Roman" w:cs="Times New Roman"/>
          <w:bCs/>
          <w:sz w:val="24"/>
          <w:szCs w:val="24"/>
        </w:rPr>
        <w:t xml:space="preserve"> </w:t>
      </w:r>
      <w:r w:rsidR="00CB2B9B">
        <w:rPr>
          <w:rFonts w:ascii="Times New Roman" w:hAnsi="Times New Roman" w:cs="Times New Roman"/>
          <w:bCs/>
          <w:sz w:val="24"/>
          <w:szCs w:val="24"/>
        </w:rPr>
        <w:t>entre 2012 y</w:t>
      </w:r>
      <w:r w:rsidR="00C71EC9" w:rsidRPr="00CB2B9B">
        <w:rPr>
          <w:rFonts w:ascii="Times New Roman" w:hAnsi="Times New Roman" w:cs="Times New Roman"/>
          <w:bCs/>
          <w:sz w:val="24"/>
          <w:szCs w:val="24"/>
        </w:rPr>
        <w:t xml:space="preserve"> 2016</w:t>
      </w:r>
    </w:p>
    <w:p w14:paraId="47EC7F18" w14:textId="3A8446D8" w:rsidR="00BF7B48" w:rsidRPr="00B60E6E" w:rsidRDefault="00BF7B48" w:rsidP="00BF7B48">
      <w:pPr>
        <w:autoSpaceDE w:val="0"/>
        <w:autoSpaceDN w:val="0"/>
        <w:adjustRightInd w:val="0"/>
        <w:spacing w:line="360" w:lineRule="auto"/>
        <w:jc w:val="center"/>
      </w:pPr>
      <w:r w:rsidRPr="00B60E6E">
        <w:rPr>
          <w:noProof/>
          <w:lang w:eastAsia="es-MX"/>
        </w:rPr>
        <w:drawing>
          <wp:inline distT="0" distB="0" distL="0" distR="0" wp14:anchorId="758AEDA9" wp14:editId="21C26AB4">
            <wp:extent cx="3975735" cy="2521585"/>
            <wp:effectExtent l="0" t="0" r="5715" b="12065"/>
            <wp:docPr id="27" name="Gráfico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D49302" w14:textId="78280059" w:rsidR="00BF7B48" w:rsidRPr="00B60E6E" w:rsidRDefault="00BF7B48" w:rsidP="00BF7B48">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B60E6E">
        <w:rPr>
          <w:rFonts w:ascii="Times New Roman" w:hAnsi="Times New Roman" w:cs="Times New Roman"/>
          <w:sz w:val="24"/>
          <w:szCs w:val="24"/>
        </w:rPr>
        <w:t>Fuente: Elaboración p</w:t>
      </w:r>
      <w:r w:rsidR="00CB2B9B">
        <w:rPr>
          <w:rFonts w:ascii="Times New Roman" w:hAnsi="Times New Roman" w:cs="Times New Roman"/>
          <w:sz w:val="24"/>
          <w:szCs w:val="24"/>
        </w:rPr>
        <w:t>ropia a partir de STATCAN (2017)</w:t>
      </w:r>
    </w:p>
    <w:p w14:paraId="307F7CDF" w14:textId="6C3A920E" w:rsidR="00BF7B48" w:rsidRPr="00B60E6E" w:rsidRDefault="00CB2B9B"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F7B48" w:rsidRPr="00B60E6E">
        <w:rPr>
          <w:rFonts w:ascii="Times New Roman" w:hAnsi="Times New Roman" w:cs="Times New Roman"/>
          <w:sz w:val="24"/>
          <w:szCs w:val="24"/>
        </w:rPr>
        <w:t xml:space="preserve">n </w:t>
      </w:r>
      <w:r>
        <w:rPr>
          <w:rFonts w:ascii="Times New Roman" w:hAnsi="Times New Roman" w:cs="Times New Roman"/>
          <w:sz w:val="24"/>
          <w:szCs w:val="24"/>
        </w:rPr>
        <w:t>EE. UU.</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 xml:space="preserve">por otra parte, </w:t>
      </w:r>
      <w:r w:rsidR="00BF7B48" w:rsidRPr="00B60E6E">
        <w:rPr>
          <w:rFonts w:ascii="Times New Roman" w:hAnsi="Times New Roman" w:cs="Times New Roman"/>
          <w:sz w:val="24"/>
          <w:szCs w:val="24"/>
        </w:rPr>
        <w:t xml:space="preserve">se percibe una tendencia positiva en la importación mundial de malanga tanto en cantidades como en valor monetario entre </w:t>
      </w:r>
      <w:r>
        <w:rPr>
          <w:rFonts w:ascii="Times New Roman" w:hAnsi="Times New Roman" w:cs="Times New Roman"/>
          <w:sz w:val="24"/>
          <w:szCs w:val="24"/>
        </w:rPr>
        <w:t>los años 2012 y 2016 (f</w:t>
      </w:r>
      <w:r w:rsidR="003E2D55" w:rsidRPr="00B60E6E">
        <w:rPr>
          <w:rFonts w:ascii="Times New Roman" w:hAnsi="Times New Roman" w:cs="Times New Roman"/>
          <w:sz w:val="24"/>
          <w:szCs w:val="24"/>
        </w:rPr>
        <w:t>iguras 5 y 6</w:t>
      </w:r>
      <w:r w:rsidR="00BF7B48" w:rsidRPr="00B60E6E">
        <w:rPr>
          <w:rFonts w:ascii="Times New Roman" w:hAnsi="Times New Roman" w:cs="Times New Roman"/>
          <w:sz w:val="24"/>
          <w:szCs w:val="24"/>
        </w:rPr>
        <w:t xml:space="preserve">). </w:t>
      </w:r>
    </w:p>
    <w:p w14:paraId="369C8B93" w14:textId="73B5668E" w:rsidR="00BF7B48" w:rsidRPr="00B60E6E" w:rsidRDefault="003E2D55" w:rsidP="00F7304C">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sidRPr="00B60E6E">
        <w:rPr>
          <w:rFonts w:ascii="Times New Roman" w:hAnsi="Times New Roman" w:cs="Times New Roman"/>
          <w:b/>
          <w:bCs/>
          <w:sz w:val="24"/>
          <w:szCs w:val="24"/>
        </w:rPr>
        <w:t>Figura 5</w:t>
      </w:r>
      <w:r w:rsidR="00CB2B9B">
        <w:rPr>
          <w:rFonts w:ascii="Times New Roman" w:hAnsi="Times New Roman" w:cs="Times New Roman"/>
          <w:b/>
          <w:bCs/>
          <w:sz w:val="24"/>
          <w:szCs w:val="24"/>
        </w:rPr>
        <w:t>.</w:t>
      </w:r>
      <w:r w:rsidR="00BF7B48" w:rsidRPr="00B60E6E">
        <w:rPr>
          <w:rFonts w:ascii="Times New Roman" w:hAnsi="Times New Roman" w:cs="Times New Roman"/>
          <w:b/>
          <w:bCs/>
          <w:sz w:val="24"/>
          <w:szCs w:val="24"/>
        </w:rPr>
        <w:t xml:space="preserve"> </w:t>
      </w:r>
      <w:r w:rsidR="00BF7B48" w:rsidRPr="00CB2B9B">
        <w:rPr>
          <w:rFonts w:ascii="Times New Roman" w:hAnsi="Times New Roman" w:cs="Times New Roman"/>
          <w:bCs/>
          <w:sz w:val="24"/>
          <w:szCs w:val="24"/>
        </w:rPr>
        <w:t xml:space="preserve">Importación mundial </w:t>
      </w:r>
      <w:r w:rsidR="006F2C22" w:rsidRPr="00CB2B9B">
        <w:rPr>
          <w:rFonts w:ascii="Times New Roman" w:hAnsi="Times New Roman" w:cs="Times New Roman"/>
          <w:bCs/>
          <w:sz w:val="24"/>
          <w:szCs w:val="24"/>
        </w:rPr>
        <w:t xml:space="preserve">de malanga </w:t>
      </w:r>
      <w:r w:rsidR="00BF7B48" w:rsidRPr="00CB2B9B">
        <w:rPr>
          <w:rFonts w:ascii="Times New Roman" w:hAnsi="Times New Roman" w:cs="Times New Roman"/>
          <w:bCs/>
          <w:sz w:val="24"/>
          <w:szCs w:val="24"/>
        </w:rPr>
        <w:t xml:space="preserve">en </w:t>
      </w:r>
      <w:r w:rsidR="00CB2B9B">
        <w:rPr>
          <w:rFonts w:ascii="Times New Roman" w:hAnsi="Times New Roman" w:cs="Times New Roman"/>
          <w:bCs/>
          <w:sz w:val="24"/>
          <w:szCs w:val="24"/>
        </w:rPr>
        <w:t>EE. UU.</w:t>
      </w:r>
      <w:r w:rsidR="00BF7B48" w:rsidRPr="00CB2B9B">
        <w:rPr>
          <w:rFonts w:ascii="Times New Roman" w:hAnsi="Times New Roman" w:cs="Times New Roman"/>
          <w:bCs/>
          <w:sz w:val="24"/>
          <w:szCs w:val="24"/>
        </w:rPr>
        <w:t xml:space="preserve"> por cantidades</w:t>
      </w:r>
      <w:r w:rsidR="00C71EC9" w:rsidRPr="00CB2B9B">
        <w:rPr>
          <w:rFonts w:ascii="Times New Roman" w:hAnsi="Times New Roman" w:cs="Times New Roman"/>
          <w:bCs/>
          <w:sz w:val="24"/>
          <w:szCs w:val="24"/>
        </w:rPr>
        <w:t xml:space="preserve"> </w:t>
      </w:r>
      <w:r w:rsidR="00CB2B9B">
        <w:rPr>
          <w:rFonts w:ascii="Times New Roman" w:hAnsi="Times New Roman" w:cs="Times New Roman"/>
          <w:bCs/>
          <w:sz w:val="24"/>
          <w:szCs w:val="24"/>
        </w:rPr>
        <w:t>entre 2012 y</w:t>
      </w:r>
      <w:r w:rsidR="00C71EC9" w:rsidRPr="00CB2B9B">
        <w:rPr>
          <w:rFonts w:ascii="Times New Roman" w:hAnsi="Times New Roman" w:cs="Times New Roman"/>
          <w:bCs/>
          <w:sz w:val="24"/>
          <w:szCs w:val="24"/>
        </w:rPr>
        <w:t xml:space="preserve"> 2016</w:t>
      </w:r>
    </w:p>
    <w:p w14:paraId="2EA34DF6" w14:textId="216E1E44" w:rsidR="00BF7B48" w:rsidRPr="00B60E6E" w:rsidRDefault="00BF7B48" w:rsidP="00BF7B48">
      <w:pPr>
        <w:autoSpaceDE w:val="0"/>
        <w:autoSpaceDN w:val="0"/>
        <w:adjustRightInd w:val="0"/>
        <w:spacing w:line="360" w:lineRule="auto"/>
        <w:jc w:val="center"/>
      </w:pPr>
      <w:r w:rsidRPr="00B60E6E">
        <w:rPr>
          <w:noProof/>
          <w:lang w:eastAsia="es-MX"/>
        </w:rPr>
        <w:drawing>
          <wp:inline distT="0" distB="0" distL="0" distR="0" wp14:anchorId="6DCC610E" wp14:editId="24A6789E">
            <wp:extent cx="3825240" cy="2385695"/>
            <wp:effectExtent l="0" t="0" r="3810" b="14605"/>
            <wp:docPr id="21" name="Gráfic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F29BC0" w14:textId="185052D0" w:rsidR="00BF7B48" w:rsidRPr="00B60E6E" w:rsidRDefault="00BF7B48" w:rsidP="00F7304C">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B60E6E">
        <w:rPr>
          <w:rFonts w:ascii="Times New Roman" w:hAnsi="Times New Roman" w:cs="Times New Roman"/>
          <w:sz w:val="24"/>
          <w:szCs w:val="24"/>
        </w:rPr>
        <w:t>Fuente: Elaboració</w:t>
      </w:r>
      <w:r w:rsidR="00CB2B9B">
        <w:rPr>
          <w:rFonts w:ascii="Times New Roman" w:hAnsi="Times New Roman" w:cs="Times New Roman"/>
          <w:sz w:val="24"/>
          <w:szCs w:val="24"/>
        </w:rPr>
        <w:t>n propia a partir de USDA (2017)</w:t>
      </w:r>
    </w:p>
    <w:p w14:paraId="78EC1B55" w14:textId="14108A6B" w:rsidR="00BF7B48" w:rsidRPr="00B60E6E" w:rsidRDefault="003E2D55" w:rsidP="00F7304C">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sidRPr="00B60E6E">
        <w:rPr>
          <w:rFonts w:ascii="Times New Roman" w:hAnsi="Times New Roman" w:cs="Times New Roman"/>
          <w:b/>
          <w:bCs/>
          <w:sz w:val="24"/>
          <w:szCs w:val="24"/>
        </w:rPr>
        <w:lastRenderedPageBreak/>
        <w:t>Figura 6</w:t>
      </w:r>
      <w:r w:rsidR="00CB2B9B">
        <w:rPr>
          <w:rFonts w:ascii="Times New Roman" w:hAnsi="Times New Roman" w:cs="Times New Roman"/>
          <w:b/>
          <w:bCs/>
          <w:sz w:val="24"/>
          <w:szCs w:val="24"/>
        </w:rPr>
        <w:t>.</w:t>
      </w:r>
      <w:r w:rsidR="00BF7B48" w:rsidRPr="00B60E6E">
        <w:rPr>
          <w:rFonts w:ascii="Times New Roman" w:hAnsi="Times New Roman" w:cs="Times New Roman"/>
          <w:b/>
          <w:bCs/>
          <w:sz w:val="24"/>
          <w:szCs w:val="24"/>
        </w:rPr>
        <w:t xml:space="preserve"> </w:t>
      </w:r>
      <w:r w:rsidR="00BF7B48" w:rsidRPr="00CB2B9B">
        <w:rPr>
          <w:rFonts w:ascii="Times New Roman" w:hAnsi="Times New Roman" w:cs="Times New Roman"/>
          <w:bCs/>
          <w:sz w:val="24"/>
          <w:szCs w:val="24"/>
        </w:rPr>
        <w:t xml:space="preserve">Importación mundial </w:t>
      </w:r>
      <w:r w:rsidR="006F2C22" w:rsidRPr="00CB2B9B">
        <w:rPr>
          <w:rFonts w:ascii="Times New Roman" w:hAnsi="Times New Roman" w:cs="Times New Roman"/>
          <w:bCs/>
          <w:sz w:val="24"/>
          <w:szCs w:val="24"/>
        </w:rPr>
        <w:t>de malanga</w:t>
      </w:r>
      <w:r w:rsidR="00612C3E" w:rsidRPr="00CB2B9B">
        <w:rPr>
          <w:rFonts w:ascii="Times New Roman" w:hAnsi="Times New Roman" w:cs="Times New Roman"/>
          <w:bCs/>
          <w:sz w:val="24"/>
          <w:szCs w:val="24"/>
        </w:rPr>
        <w:t xml:space="preserve"> </w:t>
      </w:r>
      <w:r w:rsidR="00BF7B48" w:rsidRPr="00CB2B9B">
        <w:rPr>
          <w:rFonts w:ascii="Times New Roman" w:hAnsi="Times New Roman" w:cs="Times New Roman"/>
          <w:bCs/>
          <w:sz w:val="24"/>
          <w:szCs w:val="24"/>
        </w:rPr>
        <w:t xml:space="preserve">en </w:t>
      </w:r>
      <w:r w:rsidR="00CB2B9B">
        <w:rPr>
          <w:rFonts w:ascii="Times New Roman" w:hAnsi="Times New Roman" w:cs="Times New Roman"/>
          <w:bCs/>
          <w:sz w:val="24"/>
          <w:szCs w:val="24"/>
        </w:rPr>
        <w:t>EE. UU.</w:t>
      </w:r>
      <w:r w:rsidR="00BF7B48" w:rsidRPr="00CB2B9B">
        <w:rPr>
          <w:rFonts w:ascii="Times New Roman" w:hAnsi="Times New Roman" w:cs="Times New Roman"/>
          <w:bCs/>
          <w:sz w:val="24"/>
          <w:szCs w:val="24"/>
        </w:rPr>
        <w:t xml:space="preserve"> por valor</w:t>
      </w:r>
      <w:r w:rsidR="00C71EC9" w:rsidRPr="00CB2B9B">
        <w:rPr>
          <w:rFonts w:ascii="Times New Roman" w:hAnsi="Times New Roman" w:cs="Times New Roman"/>
          <w:bCs/>
          <w:sz w:val="24"/>
          <w:szCs w:val="24"/>
        </w:rPr>
        <w:t xml:space="preserve"> </w:t>
      </w:r>
      <w:r w:rsidR="00CB2B9B">
        <w:rPr>
          <w:rFonts w:ascii="Times New Roman" w:hAnsi="Times New Roman" w:cs="Times New Roman"/>
          <w:bCs/>
          <w:sz w:val="24"/>
          <w:szCs w:val="24"/>
        </w:rPr>
        <w:t>entre 2012 y</w:t>
      </w:r>
      <w:r w:rsidR="00C71EC9" w:rsidRPr="00CB2B9B">
        <w:rPr>
          <w:rFonts w:ascii="Times New Roman" w:hAnsi="Times New Roman" w:cs="Times New Roman"/>
          <w:bCs/>
          <w:sz w:val="24"/>
          <w:szCs w:val="24"/>
        </w:rPr>
        <w:t xml:space="preserve"> 2016</w:t>
      </w:r>
    </w:p>
    <w:p w14:paraId="14E18D48" w14:textId="7EEB8D51" w:rsidR="00BF7B48" w:rsidRPr="00B60E6E" w:rsidRDefault="00BF7B48" w:rsidP="00BF7B48">
      <w:pPr>
        <w:autoSpaceDE w:val="0"/>
        <w:autoSpaceDN w:val="0"/>
        <w:adjustRightInd w:val="0"/>
        <w:spacing w:line="360" w:lineRule="auto"/>
        <w:jc w:val="center"/>
      </w:pPr>
      <w:r w:rsidRPr="00B60E6E">
        <w:rPr>
          <w:noProof/>
          <w:lang w:eastAsia="es-MX"/>
        </w:rPr>
        <w:drawing>
          <wp:inline distT="0" distB="0" distL="0" distR="0" wp14:anchorId="54B44F3E" wp14:editId="62A56A4A">
            <wp:extent cx="3646805" cy="2319655"/>
            <wp:effectExtent l="0" t="0" r="10795" b="4445"/>
            <wp:docPr id="20" name="Gráfic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F5D14F" w14:textId="474511B7" w:rsidR="00BF7B48" w:rsidRPr="00B60E6E" w:rsidRDefault="00BF7B48" w:rsidP="00BF7B48">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B60E6E">
        <w:rPr>
          <w:rFonts w:ascii="Times New Roman" w:hAnsi="Times New Roman" w:cs="Times New Roman"/>
          <w:sz w:val="24"/>
          <w:szCs w:val="24"/>
        </w:rPr>
        <w:t>Fuente: Elaboració</w:t>
      </w:r>
      <w:r w:rsidR="00CB2B9B">
        <w:rPr>
          <w:rFonts w:ascii="Times New Roman" w:hAnsi="Times New Roman" w:cs="Times New Roman"/>
          <w:sz w:val="24"/>
          <w:szCs w:val="24"/>
        </w:rPr>
        <w:t>n propia a partir de USDA (2017)</w:t>
      </w:r>
    </w:p>
    <w:p w14:paraId="5E4DE4F3" w14:textId="1CB4ECB7" w:rsidR="00BF7B48" w:rsidRPr="00B60E6E" w:rsidRDefault="00A44791"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
          <w:bCs/>
          <w:sz w:val="24"/>
          <w:szCs w:val="24"/>
        </w:rPr>
      </w:pPr>
      <w:r w:rsidRPr="00B60E6E">
        <w:rPr>
          <w:rFonts w:ascii="Times New Roman" w:hAnsi="Times New Roman" w:cs="Times New Roman"/>
          <w:sz w:val="24"/>
          <w:szCs w:val="24"/>
        </w:rPr>
        <w:t>E</w:t>
      </w:r>
      <w:r w:rsidR="00BF7B48" w:rsidRPr="00B60E6E">
        <w:rPr>
          <w:rFonts w:ascii="Times New Roman" w:hAnsi="Times New Roman" w:cs="Times New Roman"/>
          <w:sz w:val="24"/>
          <w:szCs w:val="24"/>
        </w:rPr>
        <w:t>n los mismos años, las cifras de exportación de malanga</w:t>
      </w:r>
      <w:r w:rsidRPr="00B60E6E">
        <w:rPr>
          <w:rFonts w:ascii="Times New Roman" w:hAnsi="Times New Roman" w:cs="Times New Roman"/>
          <w:sz w:val="24"/>
          <w:szCs w:val="24"/>
        </w:rPr>
        <w:t xml:space="preserve"> de México</w:t>
      </w:r>
      <w:r w:rsidR="00BF7B48" w:rsidRPr="00B60E6E">
        <w:rPr>
          <w:rFonts w:ascii="Times New Roman" w:hAnsi="Times New Roman" w:cs="Times New Roman"/>
          <w:sz w:val="24"/>
          <w:szCs w:val="24"/>
        </w:rPr>
        <w:t xml:space="preserve"> a Canadá indican matemáticamente que existe una tendencia positiva en cantidades exportadas, </w:t>
      </w:r>
      <w:r w:rsidR="00F727A9">
        <w:rPr>
          <w:rFonts w:ascii="Times New Roman" w:hAnsi="Times New Roman" w:cs="Times New Roman"/>
          <w:sz w:val="24"/>
          <w:szCs w:val="24"/>
        </w:rPr>
        <w:t>aunque también hay</w:t>
      </w:r>
      <w:r w:rsidR="00BF7B48" w:rsidRPr="00B60E6E">
        <w:rPr>
          <w:rFonts w:ascii="Times New Roman" w:hAnsi="Times New Roman" w:cs="Times New Roman"/>
          <w:sz w:val="24"/>
          <w:szCs w:val="24"/>
        </w:rPr>
        <w:t xml:space="preserve"> una tendencia negativ</w:t>
      </w:r>
      <w:r w:rsidR="003E2D55" w:rsidRPr="00B60E6E">
        <w:rPr>
          <w:rFonts w:ascii="Times New Roman" w:hAnsi="Times New Roman" w:cs="Times New Roman"/>
          <w:sz w:val="24"/>
          <w:szCs w:val="24"/>
        </w:rPr>
        <w:t>a en valor moneta</w:t>
      </w:r>
      <w:r w:rsidR="00F727A9">
        <w:rPr>
          <w:rFonts w:ascii="Times New Roman" w:hAnsi="Times New Roman" w:cs="Times New Roman"/>
          <w:sz w:val="24"/>
          <w:szCs w:val="24"/>
        </w:rPr>
        <w:t>rio (f</w:t>
      </w:r>
      <w:r w:rsidR="003E2D55" w:rsidRPr="00B60E6E">
        <w:rPr>
          <w:rFonts w:ascii="Times New Roman" w:hAnsi="Times New Roman" w:cs="Times New Roman"/>
          <w:sz w:val="24"/>
          <w:szCs w:val="24"/>
        </w:rPr>
        <w:t>iguras 7</w:t>
      </w:r>
      <w:r w:rsidR="00BF7B48" w:rsidRPr="00B60E6E">
        <w:rPr>
          <w:rFonts w:ascii="Times New Roman" w:hAnsi="Times New Roman" w:cs="Times New Roman"/>
          <w:sz w:val="24"/>
          <w:szCs w:val="24"/>
        </w:rPr>
        <w:t xml:space="preserve"> y </w:t>
      </w:r>
      <w:r w:rsidR="003E2D55" w:rsidRPr="00B60E6E">
        <w:rPr>
          <w:rFonts w:ascii="Times New Roman" w:hAnsi="Times New Roman" w:cs="Times New Roman"/>
          <w:sz w:val="24"/>
          <w:szCs w:val="24"/>
        </w:rPr>
        <w:t>8</w:t>
      </w:r>
      <w:r w:rsidR="00BF7B48" w:rsidRPr="00B60E6E">
        <w:rPr>
          <w:rFonts w:ascii="Times New Roman" w:hAnsi="Times New Roman" w:cs="Times New Roman"/>
          <w:sz w:val="24"/>
          <w:szCs w:val="24"/>
        </w:rPr>
        <w:t xml:space="preserve">). </w:t>
      </w:r>
    </w:p>
    <w:p w14:paraId="74460BAC" w14:textId="18685AA7" w:rsidR="00BF7B48" w:rsidRPr="00B60E6E" w:rsidRDefault="003E2D55" w:rsidP="00F7304C">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sidRPr="00B60E6E">
        <w:rPr>
          <w:rFonts w:ascii="Times New Roman" w:hAnsi="Times New Roman" w:cs="Times New Roman"/>
          <w:b/>
          <w:bCs/>
          <w:sz w:val="24"/>
          <w:szCs w:val="24"/>
        </w:rPr>
        <w:t>Figura 7</w:t>
      </w:r>
      <w:r w:rsidR="00F727A9">
        <w:rPr>
          <w:rFonts w:ascii="Times New Roman" w:hAnsi="Times New Roman" w:cs="Times New Roman"/>
          <w:b/>
          <w:bCs/>
          <w:sz w:val="24"/>
          <w:szCs w:val="24"/>
        </w:rPr>
        <w:t>.</w:t>
      </w:r>
      <w:r w:rsidR="00BF7B48" w:rsidRPr="00B60E6E">
        <w:rPr>
          <w:rFonts w:ascii="Times New Roman" w:hAnsi="Times New Roman" w:cs="Times New Roman"/>
          <w:b/>
          <w:bCs/>
          <w:sz w:val="24"/>
          <w:szCs w:val="24"/>
        </w:rPr>
        <w:t xml:space="preserve"> </w:t>
      </w:r>
      <w:r w:rsidR="00BF7B48" w:rsidRPr="00F727A9">
        <w:rPr>
          <w:rFonts w:ascii="Times New Roman" w:hAnsi="Times New Roman" w:cs="Times New Roman"/>
          <w:bCs/>
          <w:sz w:val="24"/>
          <w:szCs w:val="24"/>
        </w:rPr>
        <w:t>Exportaciones</w:t>
      </w:r>
      <w:r w:rsidR="00612C3E" w:rsidRPr="00F727A9">
        <w:rPr>
          <w:rFonts w:ascii="Times New Roman" w:hAnsi="Times New Roman" w:cs="Times New Roman"/>
          <w:bCs/>
          <w:sz w:val="24"/>
          <w:szCs w:val="24"/>
        </w:rPr>
        <w:t xml:space="preserve"> </w:t>
      </w:r>
      <w:r w:rsidR="006F2C22" w:rsidRPr="00F727A9">
        <w:rPr>
          <w:rFonts w:ascii="Times New Roman" w:hAnsi="Times New Roman" w:cs="Times New Roman"/>
          <w:bCs/>
          <w:sz w:val="24"/>
          <w:szCs w:val="24"/>
        </w:rPr>
        <w:t>de malanga</w:t>
      </w:r>
      <w:r w:rsidR="00BF7B48" w:rsidRPr="00F727A9">
        <w:rPr>
          <w:rFonts w:ascii="Times New Roman" w:hAnsi="Times New Roman" w:cs="Times New Roman"/>
          <w:bCs/>
          <w:sz w:val="24"/>
          <w:szCs w:val="24"/>
        </w:rPr>
        <w:t xml:space="preserve"> de México a Canadá por cantidades</w:t>
      </w:r>
      <w:r w:rsidR="00B7363C" w:rsidRPr="00F727A9">
        <w:rPr>
          <w:rFonts w:ascii="Times New Roman" w:hAnsi="Times New Roman" w:cs="Times New Roman"/>
          <w:bCs/>
          <w:sz w:val="24"/>
          <w:szCs w:val="24"/>
        </w:rPr>
        <w:t xml:space="preserve"> </w:t>
      </w:r>
      <w:r w:rsidR="00F727A9">
        <w:rPr>
          <w:rFonts w:ascii="Times New Roman" w:hAnsi="Times New Roman" w:cs="Times New Roman"/>
          <w:bCs/>
          <w:sz w:val="24"/>
          <w:szCs w:val="24"/>
        </w:rPr>
        <w:t>entre 2012 y</w:t>
      </w:r>
      <w:r w:rsidR="00B7363C" w:rsidRPr="00F727A9">
        <w:rPr>
          <w:rFonts w:ascii="Times New Roman" w:hAnsi="Times New Roman" w:cs="Times New Roman"/>
          <w:bCs/>
          <w:sz w:val="24"/>
          <w:szCs w:val="24"/>
        </w:rPr>
        <w:t xml:space="preserve"> 2016</w:t>
      </w:r>
    </w:p>
    <w:p w14:paraId="3E3AB534" w14:textId="24178E89" w:rsidR="00BF7B48" w:rsidRPr="00B60E6E" w:rsidRDefault="00BF7B48" w:rsidP="00BF7B48">
      <w:pPr>
        <w:autoSpaceDE w:val="0"/>
        <w:autoSpaceDN w:val="0"/>
        <w:adjustRightInd w:val="0"/>
        <w:spacing w:line="360" w:lineRule="auto"/>
        <w:jc w:val="center"/>
      </w:pPr>
      <w:r w:rsidRPr="00B60E6E">
        <w:rPr>
          <w:noProof/>
          <w:lang w:eastAsia="es-MX"/>
        </w:rPr>
        <w:drawing>
          <wp:inline distT="0" distB="0" distL="0" distR="0" wp14:anchorId="2450F2CA" wp14:editId="45D19E89">
            <wp:extent cx="4018280" cy="2543175"/>
            <wp:effectExtent l="0" t="0" r="1270" b="9525"/>
            <wp:docPr id="19" name="Gráfico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465F22" w14:textId="30DF5185" w:rsidR="00BF7B48" w:rsidRPr="00B60E6E" w:rsidRDefault="00BF7B48" w:rsidP="005D4DFA">
      <w:pPr>
        <w:autoSpaceDE w:val="0"/>
        <w:autoSpaceDN w:val="0"/>
        <w:adjustRightInd w:val="0"/>
        <w:spacing w:after="0" w:line="360" w:lineRule="auto"/>
        <w:jc w:val="center"/>
        <w:rPr>
          <w:rFonts w:ascii="Times New Roman" w:hAnsi="Times New Roman" w:cs="Times New Roman"/>
          <w:sz w:val="24"/>
          <w:szCs w:val="24"/>
        </w:rPr>
      </w:pPr>
      <w:r w:rsidRPr="00B60E6E">
        <w:rPr>
          <w:rFonts w:ascii="Times New Roman" w:hAnsi="Times New Roman" w:cs="Times New Roman"/>
          <w:sz w:val="24"/>
          <w:szCs w:val="24"/>
        </w:rPr>
        <w:t>Fuente: Elaboración p</w:t>
      </w:r>
      <w:r w:rsidR="00F727A9">
        <w:rPr>
          <w:rFonts w:ascii="Times New Roman" w:hAnsi="Times New Roman" w:cs="Times New Roman"/>
          <w:sz w:val="24"/>
          <w:szCs w:val="24"/>
        </w:rPr>
        <w:t>ropia a partir de STATCAN (2017)</w:t>
      </w:r>
    </w:p>
    <w:p w14:paraId="3FBC93FD" w14:textId="53805BB4" w:rsidR="00BF7B48" w:rsidRPr="00F727A9" w:rsidRDefault="003E2D55" w:rsidP="00F7304C">
      <w:pPr>
        <w:autoSpaceDE w:val="0"/>
        <w:autoSpaceDN w:val="0"/>
        <w:adjustRightInd w:val="0"/>
        <w:spacing w:before="100" w:beforeAutospacing="1" w:after="100" w:afterAutospacing="1" w:line="360" w:lineRule="auto"/>
        <w:jc w:val="center"/>
        <w:rPr>
          <w:rFonts w:ascii="Times New Roman" w:hAnsi="Times New Roman" w:cs="Times New Roman"/>
          <w:bCs/>
          <w:sz w:val="24"/>
          <w:szCs w:val="24"/>
        </w:rPr>
      </w:pPr>
      <w:r w:rsidRPr="00B60E6E">
        <w:rPr>
          <w:rFonts w:ascii="Times New Roman" w:hAnsi="Times New Roman" w:cs="Times New Roman"/>
          <w:b/>
          <w:bCs/>
          <w:sz w:val="24"/>
          <w:szCs w:val="24"/>
        </w:rPr>
        <w:lastRenderedPageBreak/>
        <w:t>Figura</w:t>
      </w:r>
      <w:r w:rsidR="00BF7B48" w:rsidRPr="00B60E6E">
        <w:rPr>
          <w:rFonts w:ascii="Times New Roman" w:hAnsi="Times New Roman" w:cs="Times New Roman"/>
          <w:b/>
          <w:bCs/>
          <w:sz w:val="24"/>
          <w:szCs w:val="24"/>
        </w:rPr>
        <w:t xml:space="preserve"> </w:t>
      </w:r>
      <w:r w:rsidRPr="00B60E6E">
        <w:rPr>
          <w:rFonts w:ascii="Times New Roman" w:hAnsi="Times New Roman" w:cs="Times New Roman"/>
          <w:b/>
          <w:bCs/>
          <w:sz w:val="24"/>
          <w:szCs w:val="24"/>
        </w:rPr>
        <w:t>8</w:t>
      </w:r>
      <w:r w:rsidR="00F727A9">
        <w:rPr>
          <w:rFonts w:ascii="Times New Roman" w:hAnsi="Times New Roman" w:cs="Times New Roman"/>
          <w:b/>
          <w:bCs/>
          <w:sz w:val="24"/>
          <w:szCs w:val="24"/>
        </w:rPr>
        <w:t>.</w:t>
      </w:r>
      <w:r w:rsidR="00BF7B48" w:rsidRPr="00B60E6E">
        <w:rPr>
          <w:rFonts w:ascii="Times New Roman" w:hAnsi="Times New Roman" w:cs="Times New Roman"/>
          <w:b/>
          <w:bCs/>
          <w:sz w:val="24"/>
          <w:szCs w:val="24"/>
        </w:rPr>
        <w:t xml:space="preserve"> </w:t>
      </w:r>
      <w:r w:rsidR="00BF7B48" w:rsidRPr="00F727A9">
        <w:rPr>
          <w:rFonts w:ascii="Times New Roman" w:hAnsi="Times New Roman" w:cs="Times New Roman"/>
          <w:bCs/>
          <w:sz w:val="24"/>
          <w:szCs w:val="24"/>
        </w:rPr>
        <w:t xml:space="preserve">Exportaciones </w:t>
      </w:r>
      <w:r w:rsidR="006F2C22" w:rsidRPr="00F727A9">
        <w:rPr>
          <w:rFonts w:ascii="Times New Roman" w:hAnsi="Times New Roman" w:cs="Times New Roman"/>
          <w:bCs/>
          <w:sz w:val="24"/>
          <w:szCs w:val="24"/>
        </w:rPr>
        <w:t xml:space="preserve">de malanga </w:t>
      </w:r>
      <w:r w:rsidR="00BF7B48" w:rsidRPr="00F727A9">
        <w:rPr>
          <w:rFonts w:ascii="Times New Roman" w:hAnsi="Times New Roman" w:cs="Times New Roman"/>
          <w:bCs/>
          <w:sz w:val="24"/>
          <w:szCs w:val="24"/>
        </w:rPr>
        <w:t>de México a Canadá por valor</w:t>
      </w:r>
      <w:r w:rsidR="00B7363C" w:rsidRPr="00F727A9">
        <w:rPr>
          <w:rFonts w:ascii="Times New Roman" w:hAnsi="Times New Roman" w:cs="Times New Roman"/>
          <w:bCs/>
          <w:sz w:val="24"/>
          <w:szCs w:val="24"/>
        </w:rPr>
        <w:t xml:space="preserve"> </w:t>
      </w:r>
      <w:r w:rsidR="00F727A9">
        <w:rPr>
          <w:rFonts w:ascii="Times New Roman" w:hAnsi="Times New Roman" w:cs="Times New Roman"/>
          <w:bCs/>
          <w:sz w:val="24"/>
          <w:szCs w:val="24"/>
        </w:rPr>
        <w:t>entre 2012 y</w:t>
      </w:r>
      <w:r w:rsidR="00B7363C" w:rsidRPr="00F727A9">
        <w:rPr>
          <w:rFonts w:ascii="Times New Roman" w:hAnsi="Times New Roman" w:cs="Times New Roman"/>
          <w:bCs/>
          <w:sz w:val="24"/>
          <w:szCs w:val="24"/>
        </w:rPr>
        <w:t xml:space="preserve"> 2016</w:t>
      </w:r>
    </w:p>
    <w:p w14:paraId="40861578" w14:textId="52CC3D0E" w:rsidR="00BF7B48" w:rsidRPr="00B60E6E" w:rsidRDefault="00BF7B48" w:rsidP="00BF7B48">
      <w:pPr>
        <w:autoSpaceDE w:val="0"/>
        <w:autoSpaceDN w:val="0"/>
        <w:adjustRightInd w:val="0"/>
        <w:spacing w:line="360" w:lineRule="auto"/>
        <w:jc w:val="center"/>
      </w:pPr>
      <w:r w:rsidRPr="00B60E6E">
        <w:rPr>
          <w:noProof/>
          <w:lang w:eastAsia="es-MX"/>
        </w:rPr>
        <w:drawing>
          <wp:inline distT="0" distB="0" distL="0" distR="0" wp14:anchorId="507EED20" wp14:editId="6DB5C247">
            <wp:extent cx="4062095" cy="2581275"/>
            <wp:effectExtent l="0" t="0" r="14605" b="9525"/>
            <wp:docPr id="18"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F27E26" w14:textId="3E11462B" w:rsidR="00BF7B48" w:rsidRPr="00B60E6E" w:rsidRDefault="00BF7B48" w:rsidP="005D4DFA">
      <w:pPr>
        <w:autoSpaceDE w:val="0"/>
        <w:autoSpaceDN w:val="0"/>
        <w:adjustRightInd w:val="0"/>
        <w:spacing w:after="0" w:line="360" w:lineRule="auto"/>
        <w:jc w:val="center"/>
        <w:rPr>
          <w:rFonts w:ascii="Times New Roman" w:hAnsi="Times New Roman" w:cs="Times New Roman"/>
          <w:sz w:val="24"/>
          <w:szCs w:val="24"/>
        </w:rPr>
      </w:pPr>
      <w:r w:rsidRPr="00B60E6E">
        <w:rPr>
          <w:rFonts w:ascii="Times New Roman" w:hAnsi="Times New Roman" w:cs="Times New Roman"/>
          <w:sz w:val="24"/>
          <w:szCs w:val="24"/>
        </w:rPr>
        <w:t>Fuente: Elaboración p</w:t>
      </w:r>
      <w:r w:rsidR="00F727A9">
        <w:rPr>
          <w:rFonts w:ascii="Times New Roman" w:hAnsi="Times New Roman" w:cs="Times New Roman"/>
          <w:sz w:val="24"/>
          <w:szCs w:val="24"/>
        </w:rPr>
        <w:t>ropia a partir de STATCAN (2017)</w:t>
      </w:r>
    </w:p>
    <w:p w14:paraId="0C4AB938" w14:textId="2ABDF4F7" w:rsidR="00BF7B48" w:rsidRPr="00B60E6E" w:rsidRDefault="00BF7B48"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
          <w:bCs/>
          <w:sz w:val="24"/>
          <w:szCs w:val="24"/>
        </w:rPr>
      </w:pPr>
      <w:r w:rsidRPr="00B60E6E">
        <w:rPr>
          <w:rFonts w:ascii="Times New Roman" w:hAnsi="Times New Roman" w:cs="Times New Roman"/>
          <w:sz w:val="24"/>
          <w:szCs w:val="24"/>
        </w:rPr>
        <w:t xml:space="preserve">Esta situación es más crítica en las exportaciones de México a </w:t>
      </w:r>
      <w:r w:rsidR="00F727A9">
        <w:rPr>
          <w:rFonts w:ascii="Times New Roman" w:hAnsi="Times New Roman" w:cs="Times New Roman"/>
          <w:sz w:val="24"/>
          <w:szCs w:val="24"/>
        </w:rPr>
        <w:t>EE. UU.</w:t>
      </w:r>
      <w:r w:rsidRPr="00B60E6E">
        <w:rPr>
          <w:rFonts w:ascii="Times New Roman" w:hAnsi="Times New Roman" w:cs="Times New Roman"/>
          <w:sz w:val="24"/>
          <w:szCs w:val="24"/>
        </w:rPr>
        <w:t>, ya que tanto en cantidades como en valor monetario las tendencias son negativa</w:t>
      </w:r>
      <w:r w:rsidR="00F727A9">
        <w:rPr>
          <w:rFonts w:ascii="Times New Roman" w:hAnsi="Times New Roman" w:cs="Times New Roman"/>
          <w:sz w:val="24"/>
          <w:szCs w:val="24"/>
        </w:rPr>
        <w:t>s (f</w:t>
      </w:r>
      <w:r w:rsidR="003E2D55" w:rsidRPr="00B60E6E">
        <w:rPr>
          <w:rFonts w:ascii="Times New Roman" w:hAnsi="Times New Roman" w:cs="Times New Roman"/>
          <w:sz w:val="24"/>
          <w:szCs w:val="24"/>
        </w:rPr>
        <w:t>iguras 9</w:t>
      </w:r>
      <w:r w:rsidRPr="00B60E6E">
        <w:rPr>
          <w:rFonts w:ascii="Times New Roman" w:hAnsi="Times New Roman" w:cs="Times New Roman"/>
          <w:sz w:val="24"/>
          <w:szCs w:val="24"/>
        </w:rPr>
        <w:t xml:space="preserve"> y </w:t>
      </w:r>
      <w:r w:rsidR="003E2D55" w:rsidRPr="00B60E6E">
        <w:rPr>
          <w:rFonts w:ascii="Times New Roman" w:hAnsi="Times New Roman" w:cs="Times New Roman"/>
          <w:sz w:val="24"/>
          <w:szCs w:val="24"/>
        </w:rPr>
        <w:t>10</w:t>
      </w:r>
      <w:r w:rsidRPr="00B60E6E">
        <w:rPr>
          <w:rFonts w:ascii="Times New Roman" w:hAnsi="Times New Roman" w:cs="Times New Roman"/>
          <w:sz w:val="24"/>
          <w:szCs w:val="24"/>
        </w:rPr>
        <w:t>).</w:t>
      </w:r>
    </w:p>
    <w:p w14:paraId="29B05956" w14:textId="27222C29" w:rsidR="00BF7B48" w:rsidRPr="00B60E6E" w:rsidRDefault="007F4BF0" w:rsidP="006B419D">
      <w:pPr>
        <w:autoSpaceDE w:val="0"/>
        <w:autoSpaceDN w:val="0"/>
        <w:adjustRightInd w:val="0"/>
        <w:spacing w:before="100" w:beforeAutospacing="1" w:after="100" w:afterAutospacing="1" w:line="360" w:lineRule="auto"/>
        <w:jc w:val="center"/>
        <w:rPr>
          <w:rFonts w:ascii="Times New Roman" w:hAnsi="Times New Roman" w:cs="Times New Roman"/>
          <w:b/>
          <w:bCs/>
          <w:sz w:val="24"/>
          <w:szCs w:val="24"/>
        </w:rPr>
      </w:pPr>
      <w:r w:rsidRPr="00B60E6E">
        <w:rPr>
          <w:rFonts w:ascii="Times New Roman" w:hAnsi="Times New Roman" w:cs="Times New Roman"/>
          <w:b/>
          <w:bCs/>
          <w:sz w:val="24"/>
          <w:szCs w:val="24"/>
        </w:rPr>
        <w:t>Figura</w:t>
      </w:r>
      <w:r w:rsidR="00BF7B48" w:rsidRPr="00B60E6E">
        <w:rPr>
          <w:rFonts w:ascii="Times New Roman" w:hAnsi="Times New Roman" w:cs="Times New Roman"/>
          <w:b/>
          <w:bCs/>
          <w:sz w:val="24"/>
          <w:szCs w:val="24"/>
        </w:rPr>
        <w:t xml:space="preserve"> </w:t>
      </w:r>
      <w:r w:rsidR="003E2D55" w:rsidRPr="00B60E6E">
        <w:rPr>
          <w:rFonts w:ascii="Times New Roman" w:hAnsi="Times New Roman" w:cs="Times New Roman"/>
          <w:b/>
          <w:bCs/>
          <w:sz w:val="24"/>
          <w:szCs w:val="24"/>
        </w:rPr>
        <w:t>9</w:t>
      </w:r>
      <w:r w:rsidR="00F727A9">
        <w:rPr>
          <w:rFonts w:ascii="Times New Roman" w:hAnsi="Times New Roman" w:cs="Times New Roman"/>
          <w:b/>
          <w:bCs/>
          <w:sz w:val="24"/>
          <w:szCs w:val="24"/>
        </w:rPr>
        <w:t>.</w:t>
      </w:r>
      <w:r w:rsidR="00BF7B48" w:rsidRPr="00B60E6E">
        <w:rPr>
          <w:rFonts w:ascii="Times New Roman" w:hAnsi="Times New Roman" w:cs="Times New Roman"/>
          <w:b/>
          <w:bCs/>
          <w:sz w:val="24"/>
          <w:szCs w:val="24"/>
        </w:rPr>
        <w:t xml:space="preserve"> </w:t>
      </w:r>
      <w:r w:rsidR="00BF7B48" w:rsidRPr="00F727A9">
        <w:rPr>
          <w:rFonts w:ascii="Times New Roman" w:hAnsi="Times New Roman" w:cs="Times New Roman"/>
          <w:bCs/>
          <w:sz w:val="24"/>
          <w:szCs w:val="24"/>
        </w:rPr>
        <w:t xml:space="preserve">Exportaciones de </w:t>
      </w:r>
      <w:r w:rsidR="006F2C22" w:rsidRPr="00F727A9">
        <w:rPr>
          <w:rFonts w:ascii="Times New Roman" w:hAnsi="Times New Roman" w:cs="Times New Roman"/>
          <w:bCs/>
          <w:sz w:val="24"/>
          <w:szCs w:val="24"/>
        </w:rPr>
        <w:t xml:space="preserve">malanga de </w:t>
      </w:r>
      <w:r w:rsidR="00BF7B48" w:rsidRPr="00F727A9">
        <w:rPr>
          <w:rFonts w:ascii="Times New Roman" w:hAnsi="Times New Roman" w:cs="Times New Roman"/>
          <w:bCs/>
          <w:sz w:val="24"/>
          <w:szCs w:val="24"/>
        </w:rPr>
        <w:t xml:space="preserve">México a </w:t>
      </w:r>
      <w:r w:rsidR="00F727A9">
        <w:rPr>
          <w:rFonts w:ascii="Times New Roman" w:hAnsi="Times New Roman" w:cs="Times New Roman"/>
          <w:bCs/>
          <w:sz w:val="24"/>
          <w:szCs w:val="24"/>
        </w:rPr>
        <w:t>EE. UU.</w:t>
      </w:r>
      <w:r w:rsidR="00BF7B48" w:rsidRPr="00F727A9">
        <w:rPr>
          <w:rFonts w:ascii="Times New Roman" w:hAnsi="Times New Roman" w:cs="Times New Roman"/>
          <w:bCs/>
          <w:sz w:val="24"/>
          <w:szCs w:val="24"/>
        </w:rPr>
        <w:t xml:space="preserve"> por cantidades</w:t>
      </w:r>
      <w:r w:rsidR="00B7363C" w:rsidRPr="00F727A9">
        <w:rPr>
          <w:rFonts w:ascii="Times New Roman" w:hAnsi="Times New Roman" w:cs="Times New Roman"/>
          <w:bCs/>
          <w:sz w:val="24"/>
          <w:szCs w:val="24"/>
        </w:rPr>
        <w:t xml:space="preserve"> </w:t>
      </w:r>
      <w:r w:rsidR="00F727A9">
        <w:rPr>
          <w:rFonts w:ascii="Times New Roman" w:hAnsi="Times New Roman" w:cs="Times New Roman"/>
          <w:bCs/>
          <w:sz w:val="24"/>
          <w:szCs w:val="24"/>
        </w:rPr>
        <w:t>entre 2012 y</w:t>
      </w:r>
      <w:r w:rsidR="00B7363C" w:rsidRPr="00F727A9">
        <w:rPr>
          <w:rFonts w:ascii="Times New Roman" w:hAnsi="Times New Roman" w:cs="Times New Roman"/>
          <w:bCs/>
          <w:sz w:val="24"/>
          <w:szCs w:val="24"/>
        </w:rPr>
        <w:t xml:space="preserve"> 2016</w:t>
      </w:r>
    </w:p>
    <w:p w14:paraId="6D5FF05C" w14:textId="699D86B0" w:rsidR="00BF7B48" w:rsidRPr="00B60E6E" w:rsidRDefault="00BF7B48" w:rsidP="00BF7B48">
      <w:pPr>
        <w:autoSpaceDE w:val="0"/>
        <w:autoSpaceDN w:val="0"/>
        <w:adjustRightInd w:val="0"/>
        <w:spacing w:line="360" w:lineRule="auto"/>
        <w:jc w:val="center"/>
      </w:pPr>
      <w:r w:rsidRPr="00B60E6E">
        <w:rPr>
          <w:noProof/>
          <w:lang w:eastAsia="es-MX"/>
        </w:rPr>
        <w:drawing>
          <wp:inline distT="0" distB="0" distL="0" distR="0" wp14:anchorId="305BB1E1" wp14:editId="1BE3C3FE">
            <wp:extent cx="3932555" cy="2581275"/>
            <wp:effectExtent l="0" t="0" r="10795" b="9525"/>
            <wp:docPr id="17"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94FB80" w14:textId="3DB345E7" w:rsidR="00BF7B48" w:rsidRPr="00B60E6E" w:rsidRDefault="00BF7B48" w:rsidP="006B419D">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B60E6E">
        <w:rPr>
          <w:rFonts w:ascii="Times New Roman" w:hAnsi="Times New Roman" w:cs="Times New Roman"/>
          <w:sz w:val="24"/>
          <w:szCs w:val="24"/>
        </w:rPr>
        <w:t>Fuente: Elaboració</w:t>
      </w:r>
      <w:r w:rsidR="00F727A9">
        <w:rPr>
          <w:rFonts w:ascii="Times New Roman" w:hAnsi="Times New Roman" w:cs="Times New Roman"/>
          <w:sz w:val="24"/>
          <w:szCs w:val="24"/>
        </w:rPr>
        <w:t>n propia a partir de USDA (2017)</w:t>
      </w:r>
    </w:p>
    <w:p w14:paraId="32811D91" w14:textId="29CFE90F" w:rsidR="00BF7B48" w:rsidRPr="00F727A9" w:rsidRDefault="007F4BF0" w:rsidP="006B419D">
      <w:pPr>
        <w:autoSpaceDE w:val="0"/>
        <w:autoSpaceDN w:val="0"/>
        <w:adjustRightInd w:val="0"/>
        <w:spacing w:before="100" w:beforeAutospacing="1" w:after="100" w:afterAutospacing="1" w:line="360" w:lineRule="auto"/>
        <w:jc w:val="center"/>
        <w:rPr>
          <w:rFonts w:ascii="Times New Roman" w:hAnsi="Times New Roman" w:cs="Times New Roman"/>
          <w:bCs/>
          <w:sz w:val="24"/>
          <w:szCs w:val="24"/>
        </w:rPr>
      </w:pPr>
      <w:r w:rsidRPr="00B60E6E">
        <w:rPr>
          <w:rFonts w:ascii="Times New Roman" w:hAnsi="Times New Roman" w:cs="Times New Roman"/>
          <w:b/>
          <w:bCs/>
          <w:sz w:val="24"/>
          <w:szCs w:val="24"/>
        </w:rPr>
        <w:lastRenderedPageBreak/>
        <w:t>Figura</w:t>
      </w:r>
      <w:r w:rsidR="00BF7B48" w:rsidRPr="00B60E6E">
        <w:rPr>
          <w:rFonts w:ascii="Times New Roman" w:hAnsi="Times New Roman" w:cs="Times New Roman"/>
          <w:b/>
          <w:bCs/>
          <w:sz w:val="24"/>
          <w:szCs w:val="24"/>
        </w:rPr>
        <w:t xml:space="preserve"> </w:t>
      </w:r>
      <w:r w:rsidR="003E2D55" w:rsidRPr="00B60E6E">
        <w:rPr>
          <w:rFonts w:ascii="Times New Roman" w:hAnsi="Times New Roman" w:cs="Times New Roman"/>
          <w:b/>
          <w:bCs/>
          <w:sz w:val="24"/>
          <w:szCs w:val="24"/>
        </w:rPr>
        <w:t>10</w:t>
      </w:r>
      <w:r w:rsidR="00F727A9">
        <w:rPr>
          <w:rFonts w:ascii="Times New Roman" w:hAnsi="Times New Roman" w:cs="Times New Roman"/>
          <w:b/>
          <w:bCs/>
          <w:sz w:val="24"/>
          <w:szCs w:val="24"/>
        </w:rPr>
        <w:t>.</w:t>
      </w:r>
      <w:r w:rsidR="00BF7B48" w:rsidRPr="00B60E6E">
        <w:rPr>
          <w:rFonts w:ascii="Times New Roman" w:hAnsi="Times New Roman" w:cs="Times New Roman"/>
          <w:b/>
          <w:bCs/>
          <w:sz w:val="24"/>
          <w:szCs w:val="24"/>
        </w:rPr>
        <w:t xml:space="preserve"> </w:t>
      </w:r>
      <w:r w:rsidR="00BF7B48" w:rsidRPr="00F727A9">
        <w:rPr>
          <w:rFonts w:ascii="Times New Roman" w:hAnsi="Times New Roman" w:cs="Times New Roman"/>
          <w:bCs/>
          <w:sz w:val="24"/>
          <w:szCs w:val="24"/>
        </w:rPr>
        <w:t xml:space="preserve">Exportaciones de </w:t>
      </w:r>
      <w:r w:rsidR="006F2C22" w:rsidRPr="00F727A9">
        <w:rPr>
          <w:rFonts w:ascii="Times New Roman" w:hAnsi="Times New Roman" w:cs="Times New Roman"/>
          <w:bCs/>
          <w:sz w:val="24"/>
          <w:szCs w:val="24"/>
        </w:rPr>
        <w:t xml:space="preserve">malanga de </w:t>
      </w:r>
      <w:r w:rsidR="00BF7B48" w:rsidRPr="00F727A9">
        <w:rPr>
          <w:rFonts w:ascii="Times New Roman" w:hAnsi="Times New Roman" w:cs="Times New Roman"/>
          <w:bCs/>
          <w:sz w:val="24"/>
          <w:szCs w:val="24"/>
        </w:rPr>
        <w:t xml:space="preserve">México a </w:t>
      </w:r>
      <w:r w:rsidR="00F727A9">
        <w:rPr>
          <w:rFonts w:ascii="Times New Roman" w:hAnsi="Times New Roman" w:cs="Times New Roman"/>
          <w:bCs/>
          <w:sz w:val="24"/>
          <w:szCs w:val="24"/>
        </w:rPr>
        <w:t>EE. UU.</w:t>
      </w:r>
      <w:r w:rsidR="00BF7B48" w:rsidRPr="00F727A9">
        <w:rPr>
          <w:rFonts w:ascii="Times New Roman" w:hAnsi="Times New Roman" w:cs="Times New Roman"/>
          <w:bCs/>
          <w:sz w:val="24"/>
          <w:szCs w:val="24"/>
        </w:rPr>
        <w:t xml:space="preserve"> por valor</w:t>
      </w:r>
      <w:r w:rsidR="00B7363C" w:rsidRPr="00F727A9">
        <w:rPr>
          <w:rFonts w:ascii="Times New Roman" w:hAnsi="Times New Roman" w:cs="Times New Roman"/>
          <w:bCs/>
          <w:sz w:val="24"/>
          <w:szCs w:val="24"/>
        </w:rPr>
        <w:t xml:space="preserve"> </w:t>
      </w:r>
      <w:r w:rsidR="00F727A9">
        <w:rPr>
          <w:rFonts w:ascii="Times New Roman" w:hAnsi="Times New Roman" w:cs="Times New Roman"/>
          <w:bCs/>
          <w:sz w:val="24"/>
          <w:szCs w:val="24"/>
        </w:rPr>
        <w:t>entre 2012 y</w:t>
      </w:r>
      <w:r w:rsidR="00B7363C" w:rsidRPr="00F727A9">
        <w:rPr>
          <w:rFonts w:ascii="Times New Roman" w:hAnsi="Times New Roman" w:cs="Times New Roman"/>
          <w:bCs/>
          <w:sz w:val="24"/>
          <w:szCs w:val="24"/>
        </w:rPr>
        <w:t xml:space="preserve"> 2016</w:t>
      </w:r>
    </w:p>
    <w:p w14:paraId="1E5802C5" w14:textId="3ECECB1C" w:rsidR="00BF7B48" w:rsidRPr="00B60E6E" w:rsidRDefault="00BF7B48" w:rsidP="00BF7B48">
      <w:pPr>
        <w:autoSpaceDE w:val="0"/>
        <w:autoSpaceDN w:val="0"/>
        <w:adjustRightInd w:val="0"/>
        <w:spacing w:line="360" w:lineRule="auto"/>
        <w:jc w:val="center"/>
      </w:pPr>
      <w:r w:rsidRPr="00B60E6E">
        <w:rPr>
          <w:noProof/>
          <w:lang w:eastAsia="es-MX"/>
        </w:rPr>
        <w:drawing>
          <wp:inline distT="0" distB="0" distL="0" distR="0" wp14:anchorId="48C3C2A1" wp14:editId="40BA1BF1">
            <wp:extent cx="3932555" cy="2489835"/>
            <wp:effectExtent l="0" t="0" r="10795" b="5715"/>
            <wp:docPr id="1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6EF0CC" w14:textId="6D57A560" w:rsidR="00BF7B48" w:rsidRPr="00B60E6E" w:rsidRDefault="00BF7B48" w:rsidP="006B419D">
      <w:pPr>
        <w:autoSpaceDE w:val="0"/>
        <w:autoSpaceDN w:val="0"/>
        <w:adjustRightInd w:val="0"/>
        <w:spacing w:before="100" w:beforeAutospacing="1" w:after="100" w:afterAutospacing="1" w:line="360" w:lineRule="auto"/>
        <w:jc w:val="center"/>
        <w:rPr>
          <w:rFonts w:ascii="Times New Roman" w:hAnsi="Times New Roman" w:cs="Times New Roman"/>
          <w:sz w:val="24"/>
          <w:szCs w:val="24"/>
        </w:rPr>
      </w:pPr>
      <w:r w:rsidRPr="00B60E6E">
        <w:rPr>
          <w:rFonts w:ascii="Times New Roman" w:hAnsi="Times New Roman" w:cs="Times New Roman"/>
          <w:sz w:val="24"/>
          <w:szCs w:val="24"/>
        </w:rPr>
        <w:t>Fuente: Elaboració</w:t>
      </w:r>
      <w:r w:rsidR="00F727A9">
        <w:rPr>
          <w:rFonts w:ascii="Times New Roman" w:hAnsi="Times New Roman" w:cs="Times New Roman"/>
          <w:sz w:val="24"/>
          <w:szCs w:val="24"/>
        </w:rPr>
        <w:t>n propia a partir de USDA (2017)</w:t>
      </w:r>
    </w:p>
    <w:p w14:paraId="0818828D" w14:textId="128A4C3C" w:rsidR="00BF7B48" w:rsidRPr="00B60E6E" w:rsidRDefault="00BF7B48"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sidRPr="00B60E6E">
        <w:rPr>
          <w:rFonts w:ascii="Times New Roman" w:hAnsi="Times New Roman" w:cs="Times New Roman"/>
          <w:sz w:val="24"/>
          <w:szCs w:val="24"/>
        </w:rPr>
        <w:t xml:space="preserve">Por otra </w:t>
      </w:r>
      <w:r w:rsidR="00A148B9" w:rsidRPr="00B60E6E">
        <w:rPr>
          <w:rFonts w:ascii="Times New Roman" w:hAnsi="Times New Roman" w:cs="Times New Roman"/>
          <w:sz w:val="24"/>
          <w:szCs w:val="24"/>
        </w:rPr>
        <w:t>parte,</w:t>
      </w:r>
      <w:r w:rsidRPr="00B60E6E">
        <w:rPr>
          <w:rFonts w:ascii="Times New Roman" w:hAnsi="Times New Roman" w:cs="Times New Roman"/>
          <w:sz w:val="24"/>
          <w:szCs w:val="24"/>
        </w:rPr>
        <w:t xml:space="preserve"> en el mercado nacional </w:t>
      </w:r>
      <w:r w:rsidR="00EE486C">
        <w:rPr>
          <w:rFonts w:ascii="Times New Roman" w:hAnsi="Times New Roman" w:cs="Times New Roman"/>
          <w:sz w:val="24"/>
          <w:szCs w:val="24"/>
        </w:rPr>
        <w:t>está</w:t>
      </w:r>
      <w:r w:rsidRPr="00B60E6E">
        <w:rPr>
          <w:rFonts w:ascii="Times New Roman" w:hAnsi="Times New Roman" w:cs="Times New Roman"/>
          <w:sz w:val="24"/>
          <w:szCs w:val="24"/>
        </w:rPr>
        <w:t xml:space="preserve"> la posibilidad de incursionar en mayor medida, ya que existe un gran número de la población econ</w:t>
      </w:r>
      <w:r w:rsidR="00EE486C">
        <w:rPr>
          <w:rFonts w:ascii="Times New Roman" w:hAnsi="Times New Roman" w:cs="Times New Roman"/>
          <w:sz w:val="24"/>
          <w:szCs w:val="24"/>
        </w:rPr>
        <w:t>ómicamente activa ocupada (</w:t>
      </w:r>
      <w:r w:rsidR="00EE486C" w:rsidRPr="00EE486C">
        <w:rPr>
          <w:rFonts w:ascii="Times New Roman" w:hAnsi="Times New Roman" w:cs="Times New Roman"/>
          <w:spacing w:val="-20"/>
          <w:sz w:val="24"/>
          <w:szCs w:val="24"/>
        </w:rPr>
        <w:t xml:space="preserve">51 859 </w:t>
      </w:r>
      <w:r w:rsidRPr="00EE486C">
        <w:rPr>
          <w:rFonts w:ascii="Times New Roman" w:hAnsi="Times New Roman" w:cs="Times New Roman"/>
          <w:spacing w:val="-20"/>
          <w:sz w:val="24"/>
          <w:szCs w:val="24"/>
        </w:rPr>
        <w:t>895</w:t>
      </w:r>
      <w:r w:rsidRPr="00B60E6E">
        <w:rPr>
          <w:rFonts w:ascii="Times New Roman" w:hAnsi="Times New Roman" w:cs="Times New Roman"/>
          <w:sz w:val="24"/>
          <w:szCs w:val="24"/>
        </w:rPr>
        <w:t xml:space="preserve"> personas</w:t>
      </w:r>
      <w:r w:rsidR="00EE486C">
        <w:rPr>
          <w:rFonts w:ascii="Times New Roman" w:hAnsi="Times New Roman" w:cs="Times New Roman"/>
          <w:sz w:val="24"/>
          <w:szCs w:val="24"/>
        </w:rPr>
        <w:t>), lo que equivale a</w:t>
      </w:r>
      <w:r w:rsidRPr="00B60E6E">
        <w:rPr>
          <w:rFonts w:ascii="Times New Roman" w:hAnsi="Times New Roman" w:cs="Times New Roman"/>
          <w:sz w:val="24"/>
          <w:szCs w:val="24"/>
        </w:rPr>
        <w:t xml:space="preserve"> 42.1</w:t>
      </w:r>
      <w:r w:rsidR="00EE486C">
        <w:rPr>
          <w:rFonts w:ascii="Times New Roman" w:hAnsi="Times New Roman" w:cs="Times New Roman"/>
          <w:sz w:val="24"/>
          <w:szCs w:val="24"/>
        </w:rPr>
        <w:t xml:space="preserve"> </w:t>
      </w:r>
      <w:r w:rsidRPr="00B60E6E">
        <w:rPr>
          <w:rFonts w:ascii="Times New Roman" w:hAnsi="Times New Roman" w:cs="Times New Roman"/>
          <w:sz w:val="24"/>
          <w:szCs w:val="24"/>
        </w:rPr>
        <w:t>% de la población total (</w:t>
      </w:r>
      <w:r w:rsidR="00EE486C" w:rsidRPr="00B60E6E">
        <w:rPr>
          <w:rFonts w:ascii="Times New Roman" w:hAnsi="Times New Roman"/>
          <w:sz w:val="24"/>
          <w:szCs w:val="24"/>
        </w:rPr>
        <w:t>Instituto Nacional de Estadística y Geografía</w:t>
      </w:r>
      <w:r w:rsidR="00EE486C" w:rsidRPr="00B60E6E">
        <w:rPr>
          <w:rFonts w:ascii="Times New Roman" w:hAnsi="Times New Roman" w:cs="Times New Roman"/>
          <w:sz w:val="24"/>
          <w:szCs w:val="24"/>
        </w:rPr>
        <w:t xml:space="preserve"> </w:t>
      </w:r>
      <w:r w:rsidR="00EE486C">
        <w:rPr>
          <w:rFonts w:ascii="Times New Roman" w:hAnsi="Times New Roman" w:cs="Times New Roman"/>
          <w:sz w:val="24"/>
          <w:szCs w:val="24"/>
        </w:rPr>
        <w:t>[</w:t>
      </w:r>
      <w:r w:rsidRPr="00B60E6E">
        <w:rPr>
          <w:rFonts w:ascii="Times New Roman" w:hAnsi="Times New Roman" w:cs="Times New Roman"/>
          <w:sz w:val="24"/>
          <w:szCs w:val="24"/>
        </w:rPr>
        <w:t>I</w:t>
      </w:r>
      <w:r w:rsidR="00BD6194" w:rsidRPr="00B60E6E">
        <w:rPr>
          <w:rFonts w:ascii="Times New Roman" w:hAnsi="Times New Roman" w:cs="Times New Roman"/>
          <w:sz w:val="24"/>
          <w:szCs w:val="24"/>
        </w:rPr>
        <w:t>negi</w:t>
      </w:r>
      <w:r w:rsidR="00EE486C">
        <w:rPr>
          <w:rFonts w:ascii="Times New Roman" w:hAnsi="Times New Roman" w:cs="Times New Roman"/>
          <w:sz w:val="24"/>
          <w:szCs w:val="24"/>
        </w:rPr>
        <w:t>]</w:t>
      </w:r>
      <w:r w:rsidRPr="00B60E6E">
        <w:rPr>
          <w:rFonts w:ascii="Times New Roman" w:hAnsi="Times New Roman" w:cs="Times New Roman"/>
          <w:sz w:val="24"/>
          <w:szCs w:val="24"/>
        </w:rPr>
        <w:t>, 2017).</w:t>
      </w:r>
      <w:r w:rsidR="009967CE" w:rsidRPr="00B60E6E">
        <w:rPr>
          <w:rFonts w:ascii="Times New Roman" w:hAnsi="Times New Roman" w:cs="Times New Roman"/>
          <w:sz w:val="24"/>
          <w:szCs w:val="24"/>
        </w:rPr>
        <w:t xml:space="preserve"> Ese dato</w:t>
      </w:r>
      <w:r w:rsidR="001619F2">
        <w:rPr>
          <w:rFonts w:ascii="Times New Roman" w:hAnsi="Times New Roman" w:cs="Times New Roman"/>
          <w:sz w:val="24"/>
          <w:szCs w:val="24"/>
        </w:rPr>
        <w:t xml:space="preserve"> solo</w:t>
      </w:r>
      <w:r w:rsidR="009967CE" w:rsidRPr="00B60E6E">
        <w:rPr>
          <w:rFonts w:ascii="Times New Roman" w:hAnsi="Times New Roman" w:cs="Times New Roman"/>
          <w:sz w:val="24"/>
          <w:szCs w:val="24"/>
        </w:rPr>
        <w:t xml:space="preserve"> se toma </w:t>
      </w:r>
      <w:r w:rsidR="000D491D" w:rsidRPr="00B60E6E">
        <w:rPr>
          <w:rFonts w:ascii="Times New Roman" w:hAnsi="Times New Roman" w:cs="Times New Roman"/>
          <w:sz w:val="24"/>
          <w:szCs w:val="24"/>
        </w:rPr>
        <w:t>como un referente</w:t>
      </w:r>
      <w:r w:rsidR="009967CE" w:rsidRPr="00B60E6E">
        <w:rPr>
          <w:rFonts w:ascii="Times New Roman" w:hAnsi="Times New Roman" w:cs="Times New Roman"/>
          <w:sz w:val="24"/>
          <w:szCs w:val="24"/>
        </w:rPr>
        <w:t xml:space="preserve"> general</w:t>
      </w:r>
      <w:r w:rsidR="00EE486C">
        <w:rPr>
          <w:rFonts w:ascii="Times New Roman" w:hAnsi="Times New Roman" w:cs="Times New Roman"/>
          <w:sz w:val="24"/>
          <w:szCs w:val="24"/>
        </w:rPr>
        <w:t xml:space="preserve"> debido a que no se cuenta</w:t>
      </w:r>
      <w:r w:rsidR="009967CE" w:rsidRPr="00B60E6E">
        <w:rPr>
          <w:rFonts w:ascii="Times New Roman" w:hAnsi="Times New Roman" w:cs="Times New Roman"/>
          <w:sz w:val="24"/>
          <w:szCs w:val="24"/>
        </w:rPr>
        <w:t xml:space="preserve"> con </w:t>
      </w:r>
      <w:r w:rsidR="00BD6194">
        <w:rPr>
          <w:rFonts w:ascii="Times New Roman" w:hAnsi="Times New Roman" w:cs="Times New Roman"/>
          <w:sz w:val="24"/>
          <w:szCs w:val="24"/>
        </w:rPr>
        <w:t>cifras</w:t>
      </w:r>
      <w:r w:rsidR="009967CE" w:rsidRPr="00B60E6E">
        <w:rPr>
          <w:rFonts w:ascii="Times New Roman" w:hAnsi="Times New Roman" w:cs="Times New Roman"/>
          <w:sz w:val="24"/>
          <w:szCs w:val="24"/>
        </w:rPr>
        <w:t xml:space="preserve"> de consumo </w:t>
      </w:r>
      <w:r w:rsidR="000D491D" w:rsidRPr="00B60E6E">
        <w:rPr>
          <w:rFonts w:ascii="Times New Roman" w:hAnsi="Times New Roman" w:cs="Times New Roman"/>
          <w:sz w:val="24"/>
          <w:szCs w:val="24"/>
        </w:rPr>
        <w:t xml:space="preserve">específicos </w:t>
      </w:r>
      <w:r w:rsidR="009967CE" w:rsidRPr="00B60E6E">
        <w:rPr>
          <w:rFonts w:ascii="Times New Roman" w:hAnsi="Times New Roman" w:cs="Times New Roman"/>
          <w:sz w:val="24"/>
          <w:szCs w:val="24"/>
        </w:rPr>
        <w:t>de la malanga en México.</w:t>
      </w:r>
      <w:r w:rsidRPr="00B60E6E">
        <w:rPr>
          <w:rFonts w:ascii="Times New Roman" w:hAnsi="Times New Roman" w:cs="Times New Roman"/>
          <w:sz w:val="24"/>
          <w:szCs w:val="24"/>
        </w:rPr>
        <w:t xml:space="preserve"> </w:t>
      </w:r>
      <w:r w:rsidR="00976BDE" w:rsidRPr="00B60E6E">
        <w:rPr>
          <w:rFonts w:ascii="Times New Roman" w:hAnsi="Times New Roman" w:cs="Times New Roman"/>
          <w:sz w:val="24"/>
          <w:szCs w:val="24"/>
        </w:rPr>
        <w:t xml:space="preserve"> </w:t>
      </w:r>
    </w:p>
    <w:p w14:paraId="2F5516CB" w14:textId="6828A1B1" w:rsidR="00BF7B48" w:rsidRPr="00B60E6E" w:rsidRDefault="00EE486C"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00BF7B48" w:rsidRPr="00B60E6E">
        <w:rPr>
          <w:rFonts w:ascii="Times New Roman" w:hAnsi="Times New Roman" w:cs="Times New Roman"/>
          <w:sz w:val="24"/>
          <w:szCs w:val="24"/>
        </w:rPr>
        <w:t>l libre comercio</w:t>
      </w:r>
      <w:r>
        <w:rPr>
          <w:rFonts w:ascii="Times New Roman" w:hAnsi="Times New Roman" w:cs="Times New Roman"/>
          <w:sz w:val="24"/>
          <w:szCs w:val="24"/>
        </w:rPr>
        <w:t>,</w:t>
      </w:r>
      <w:r w:rsidR="00BF7B48" w:rsidRPr="00B60E6E">
        <w:rPr>
          <w:rFonts w:ascii="Times New Roman" w:hAnsi="Times New Roman" w:cs="Times New Roman"/>
          <w:sz w:val="24"/>
          <w:szCs w:val="24"/>
        </w:rPr>
        <w:t xml:space="preserve"> </w:t>
      </w:r>
      <w:r w:rsidRPr="00B60E6E">
        <w:rPr>
          <w:rFonts w:ascii="Times New Roman" w:hAnsi="Times New Roman" w:cs="Times New Roman"/>
          <w:sz w:val="24"/>
          <w:szCs w:val="24"/>
        </w:rPr>
        <w:t>especialmente con Canadá</w:t>
      </w:r>
      <w:r>
        <w:rPr>
          <w:rFonts w:ascii="Times New Roman" w:hAnsi="Times New Roman" w:cs="Times New Roman"/>
          <w:sz w:val="24"/>
          <w:szCs w:val="24"/>
        </w:rPr>
        <w:t>,</w:t>
      </w:r>
      <w:r w:rsidRPr="00B60E6E">
        <w:rPr>
          <w:rFonts w:ascii="Times New Roman" w:hAnsi="Times New Roman" w:cs="Times New Roman"/>
          <w:sz w:val="24"/>
          <w:szCs w:val="24"/>
        </w:rPr>
        <w:t xml:space="preserve"> </w:t>
      </w:r>
      <w:r w:rsidR="00BF7B48" w:rsidRPr="00B60E6E">
        <w:rPr>
          <w:rFonts w:ascii="Times New Roman" w:hAnsi="Times New Roman" w:cs="Times New Roman"/>
          <w:sz w:val="24"/>
          <w:szCs w:val="24"/>
        </w:rPr>
        <w:t>se puede ver como un punto pos</w:t>
      </w:r>
      <w:r>
        <w:rPr>
          <w:rFonts w:ascii="Times New Roman" w:hAnsi="Times New Roman" w:cs="Times New Roman"/>
          <w:sz w:val="24"/>
          <w:szCs w:val="24"/>
        </w:rPr>
        <w:t>itivo,</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a</w:t>
      </w:r>
      <w:r w:rsidR="00BF7B48" w:rsidRPr="00B60E6E">
        <w:rPr>
          <w:rFonts w:ascii="Times New Roman" w:hAnsi="Times New Roman" w:cs="Times New Roman"/>
          <w:sz w:val="24"/>
          <w:szCs w:val="24"/>
        </w:rPr>
        <w:t xml:space="preserve">unque en la actualidad </w:t>
      </w:r>
      <w:r>
        <w:rPr>
          <w:rFonts w:ascii="Times New Roman" w:hAnsi="Times New Roman" w:cs="Times New Roman"/>
          <w:sz w:val="24"/>
          <w:szCs w:val="24"/>
        </w:rPr>
        <w:t>hay</w:t>
      </w:r>
      <w:r w:rsidR="00BF7B48" w:rsidRPr="00B60E6E">
        <w:rPr>
          <w:rFonts w:ascii="Times New Roman" w:hAnsi="Times New Roman" w:cs="Times New Roman"/>
          <w:sz w:val="24"/>
          <w:szCs w:val="24"/>
        </w:rPr>
        <w:t xml:space="preserve"> incertidumbre por </w:t>
      </w:r>
      <w:r w:rsidR="002D6FAD" w:rsidRPr="00B60E6E">
        <w:rPr>
          <w:rFonts w:ascii="Times New Roman" w:hAnsi="Times New Roman" w:cs="Times New Roman"/>
          <w:sz w:val="24"/>
          <w:szCs w:val="24"/>
        </w:rPr>
        <w:t xml:space="preserve">la </w:t>
      </w:r>
      <w:r w:rsidR="00BF7B48" w:rsidRPr="00B60E6E">
        <w:rPr>
          <w:rFonts w:ascii="Times New Roman" w:hAnsi="Times New Roman" w:cs="Times New Roman"/>
          <w:sz w:val="24"/>
          <w:szCs w:val="24"/>
        </w:rPr>
        <w:t>actualiza</w:t>
      </w:r>
      <w:r w:rsidR="002D6FAD" w:rsidRPr="00B60E6E">
        <w:rPr>
          <w:rFonts w:ascii="Times New Roman" w:hAnsi="Times New Roman" w:cs="Times New Roman"/>
          <w:sz w:val="24"/>
          <w:szCs w:val="24"/>
        </w:rPr>
        <w:t>ción de</w:t>
      </w:r>
      <w:r w:rsidR="00BF7B48" w:rsidRPr="00B60E6E">
        <w:rPr>
          <w:rFonts w:ascii="Times New Roman" w:hAnsi="Times New Roman" w:cs="Times New Roman"/>
          <w:sz w:val="24"/>
          <w:szCs w:val="24"/>
        </w:rPr>
        <w:t xml:space="preserve"> los tratados. Por su parte, el libre comercio con </w:t>
      </w:r>
      <w:r>
        <w:rPr>
          <w:rFonts w:ascii="Times New Roman" w:hAnsi="Times New Roman" w:cs="Times New Roman"/>
          <w:sz w:val="24"/>
          <w:szCs w:val="24"/>
        </w:rPr>
        <w:t>EE. UU.</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 xml:space="preserve">puede generar </w:t>
      </w:r>
      <w:r w:rsidR="00BF7B48" w:rsidRPr="00B60E6E">
        <w:rPr>
          <w:rFonts w:ascii="Times New Roman" w:hAnsi="Times New Roman" w:cs="Times New Roman"/>
          <w:sz w:val="24"/>
          <w:szCs w:val="24"/>
        </w:rPr>
        <w:t>oportunidades</w:t>
      </w:r>
      <w:r>
        <w:rPr>
          <w:rFonts w:ascii="Times New Roman" w:hAnsi="Times New Roman" w:cs="Times New Roman"/>
          <w:sz w:val="24"/>
          <w:szCs w:val="24"/>
        </w:rPr>
        <w:t>, pero también</w:t>
      </w:r>
      <w:r w:rsidR="00BF7B48" w:rsidRPr="00B60E6E">
        <w:rPr>
          <w:rFonts w:ascii="Times New Roman" w:hAnsi="Times New Roman" w:cs="Times New Roman"/>
          <w:sz w:val="24"/>
          <w:szCs w:val="24"/>
        </w:rPr>
        <w:t xml:space="preserve"> incertidumbre</w:t>
      </w:r>
      <w:r w:rsidR="00341E0E" w:rsidRPr="00B60E6E">
        <w:rPr>
          <w:rFonts w:ascii="Times New Roman" w:hAnsi="Times New Roman" w:cs="Times New Roman"/>
          <w:sz w:val="24"/>
          <w:szCs w:val="24"/>
        </w:rPr>
        <w:t>,</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 xml:space="preserve">de ahí que se </w:t>
      </w:r>
      <w:r w:rsidR="005D5F1E">
        <w:rPr>
          <w:rFonts w:ascii="Times New Roman" w:hAnsi="Times New Roman" w:cs="Times New Roman"/>
          <w:sz w:val="24"/>
          <w:szCs w:val="24"/>
        </w:rPr>
        <w:t xml:space="preserve">valore de manera </w:t>
      </w:r>
      <w:r>
        <w:rPr>
          <w:rFonts w:ascii="Times New Roman" w:hAnsi="Times New Roman" w:cs="Times New Roman"/>
          <w:sz w:val="24"/>
          <w:szCs w:val="24"/>
        </w:rPr>
        <w:t>neutral</w:t>
      </w:r>
      <w:r w:rsidR="005D5F1E">
        <w:rPr>
          <w:rFonts w:ascii="Times New Roman" w:hAnsi="Times New Roman" w:cs="Times New Roman"/>
          <w:sz w:val="24"/>
          <w:szCs w:val="24"/>
        </w:rPr>
        <w:t xml:space="preserve"> este elemento </w:t>
      </w:r>
      <w:r w:rsidR="008A0C6C" w:rsidRPr="00B60E6E">
        <w:rPr>
          <w:rFonts w:ascii="Times New Roman" w:hAnsi="Times New Roman" w:cs="Times New Roman"/>
          <w:sz w:val="24"/>
          <w:szCs w:val="24"/>
        </w:rPr>
        <w:t>dentro de</w:t>
      </w:r>
      <w:r w:rsidR="00BF7B48" w:rsidRPr="00B60E6E">
        <w:rPr>
          <w:rFonts w:ascii="Times New Roman" w:hAnsi="Times New Roman" w:cs="Times New Roman"/>
          <w:sz w:val="24"/>
          <w:szCs w:val="24"/>
        </w:rPr>
        <w:t xml:space="preserve"> las condiciones de la demanda </w:t>
      </w:r>
      <w:r w:rsidR="005B53B1" w:rsidRPr="00B60E6E">
        <w:rPr>
          <w:rFonts w:ascii="Times New Roman" w:hAnsi="Times New Roman" w:cs="Times New Roman"/>
          <w:sz w:val="24"/>
          <w:szCs w:val="24"/>
        </w:rPr>
        <w:t>en el</w:t>
      </w:r>
      <w:r w:rsidR="000410FD" w:rsidRPr="00B60E6E">
        <w:rPr>
          <w:rFonts w:ascii="Times New Roman" w:hAnsi="Times New Roman" w:cs="Times New Roman"/>
          <w:sz w:val="24"/>
          <w:szCs w:val="24"/>
        </w:rPr>
        <w:t xml:space="preserve"> diamante de Porter.</w:t>
      </w:r>
    </w:p>
    <w:p w14:paraId="6E582CBB" w14:textId="378A3CC1" w:rsidR="00BF7B48" w:rsidRPr="00B60E6E" w:rsidRDefault="00EE486C"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w:t>
      </w:r>
      <w:r w:rsidRPr="00B60E6E">
        <w:rPr>
          <w:rFonts w:ascii="Times New Roman" w:hAnsi="Times New Roman" w:cs="Times New Roman"/>
          <w:sz w:val="24"/>
          <w:szCs w:val="24"/>
        </w:rPr>
        <w:t>por ser un producto novedoso en el mercado nacional</w:t>
      </w:r>
      <w:r>
        <w:rPr>
          <w:rFonts w:ascii="Times New Roman" w:hAnsi="Times New Roman" w:cs="Times New Roman"/>
          <w:sz w:val="24"/>
          <w:szCs w:val="24"/>
        </w:rPr>
        <w:t>, l</w:t>
      </w:r>
      <w:r w:rsidR="00BF7B48" w:rsidRPr="00B60E6E">
        <w:rPr>
          <w:rFonts w:ascii="Times New Roman" w:hAnsi="Times New Roman" w:cs="Times New Roman"/>
          <w:sz w:val="24"/>
          <w:szCs w:val="24"/>
        </w:rPr>
        <w:t xml:space="preserve">a malanga es </w:t>
      </w:r>
      <w:r>
        <w:rPr>
          <w:rFonts w:ascii="Times New Roman" w:hAnsi="Times New Roman" w:cs="Times New Roman"/>
          <w:sz w:val="24"/>
          <w:szCs w:val="24"/>
        </w:rPr>
        <w:t>poc</w:t>
      </w:r>
      <w:r w:rsidR="00BD6194">
        <w:rPr>
          <w:rFonts w:ascii="Times New Roman" w:hAnsi="Times New Roman" w:cs="Times New Roman"/>
          <w:sz w:val="24"/>
          <w:szCs w:val="24"/>
        </w:rPr>
        <w:t>o conocida</w:t>
      </w:r>
      <w:r>
        <w:rPr>
          <w:rFonts w:ascii="Times New Roman" w:hAnsi="Times New Roman" w:cs="Times New Roman"/>
          <w:sz w:val="24"/>
          <w:szCs w:val="24"/>
        </w:rPr>
        <w:t xml:space="preserve"> por los consumidores mexicanos, aunque se cultiva para exportar</w:t>
      </w:r>
      <w:r w:rsidR="00BF7B48" w:rsidRPr="00B60E6E">
        <w:rPr>
          <w:rFonts w:ascii="Times New Roman" w:hAnsi="Times New Roman" w:cs="Times New Roman"/>
          <w:sz w:val="24"/>
          <w:szCs w:val="24"/>
        </w:rPr>
        <w:t xml:space="preserve"> </w:t>
      </w:r>
      <w:r w:rsidRPr="00B60E6E">
        <w:rPr>
          <w:rFonts w:ascii="Times New Roman" w:hAnsi="Times New Roman" w:cs="Times New Roman"/>
          <w:sz w:val="24"/>
          <w:szCs w:val="24"/>
        </w:rPr>
        <w:t xml:space="preserve">principalmente </w:t>
      </w:r>
      <w:r w:rsidR="00BF7B48" w:rsidRPr="00B60E6E">
        <w:rPr>
          <w:rFonts w:ascii="Times New Roman" w:hAnsi="Times New Roman" w:cs="Times New Roman"/>
          <w:sz w:val="24"/>
          <w:szCs w:val="24"/>
        </w:rPr>
        <w:t xml:space="preserve">a Canadá y </w:t>
      </w:r>
      <w:r w:rsidR="00BD6194">
        <w:rPr>
          <w:rFonts w:ascii="Times New Roman" w:hAnsi="Times New Roman" w:cs="Times New Roman"/>
          <w:sz w:val="24"/>
          <w:szCs w:val="24"/>
        </w:rPr>
        <w:t xml:space="preserve">a </w:t>
      </w:r>
      <w:r>
        <w:rPr>
          <w:rFonts w:ascii="Times New Roman" w:hAnsi="Times New Roman" w:cs="Times New Roman"/>
          <w:sz w:val="24"/>
          <w:szCs w:val="24"/>
        </w:rPr>
        <w:t>EE. UU.</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lo cual no se debe interpretar como un impedimento para impulsar su</w:t>
      </w:r>
      <w:r w:rsidR="00BF7B48" w:rsidRPr="00B60E6E">
        <w:rPr>
          <w:rFonts w:ascii="Times New Roman" w:hAnsi="Times New Roman" w:cs="Times New Roman"/>
          <w:sz w:val="24"/>
          <w:szCs w:val="24"/>
        </w:rPr>
        <w:t xml:space="preserve"> crecimiento en el mercado nacional</w:t>
      </w:r>
      <w:r>
        <w:rPr>
          <w:rFonts w:ascii="Times New Roman" w:hAnsi="Times New Roman" w:cs="Times New Roman"/>
          <w:sz w:val="24"/>
          <w:szCs w:val="24"/>
        </w:rPr>
        <w:t xml:space="preserve">, </w:t>
      </w:r>
      <w:r w:rsidR="00BD6194">
        <w:rPr>
          <w:rFonts w:ascii="Times New Roman" w:hAnsi="Times New Roman" w:cs="Times New Roman"/>
          <w:sz w:val="24"/>
          <w:szCs w:val="24"/>
        </w:rPr>
        <w:t xml:space="preserve">pues </w:t>
      </w:r>
      <w:r>
        <w:rPr>
          <w:rFonts w:ascii="Times New Roman" w:hAnsi="Times New Roman" w:cs="Times New Roman"/>
          <w:sz w:val="24"/>
          <w:szCs w:val="24"/>
        </w:rPr>
        <w:t xml:space="preserve">existe </w:t>
      </w:r>
      <w:r w:rsidR="00BF7B48" w:rsidRPr="00B60E6E">
        <w:rPr>
          <w:rFonts w:ascii="Times New Roman" w:hAnsi="Times New Roman" w:cs="Times New Roman"/>
          <w:sz w:val="24"/>
          <w:szCs w:val="24"/>
        </w:rPr>
        <w:t xml:space="preserve">una posibilidad latente para su expansión y explotación. </w:t>
      </w:r>
      <w:r>
        <w:rPr>
          <w:rFonts w:ascii="Times New Roman" w:hAnsi="Times New Roman" w:cs="Times New Roman"/>
          <w:sz w:val="24"/>
          <w:szCs w:val="24"/>
        </w:rPr>
        <w:t xml:space="preserve">Este, por tanto, </w:t>
      </w:r>
      <w:r w:rsidR="00542DFF">
        <w:rPr>
          <w:rFonts w:ascii="Times New Roman" w:hAnsi="Times New Roman" w:cs="Times New Roman"/>
          <w:sz w:val="24"/>
          <w:szCs w:val="24"/>
        </w:rPr>
        <w:t xml:space="preserve">también </w:t>
      </w:r>
      <w:r>
        <w:rPr>
          <w:rFonts w:ascii="Times New Roman" w:hAnsi="Times New Roman" w:cs="Times New Roman"/>
          <w:sz w:val="24"/>
          <w:szCs w:val="24"/>
        </w:rPr>
        <w:t xml:space="preserve">puede ser </w:t>
      </w:r>
      <w:r w:rsidR="00286F48" w:rsidRPr="00B60E6E">
        <w:rPr>
          <w:rFonts w:ascii="Times New Roman" w:hAnsi="Times New Roman" w:cs="Times New Roman"/>
          <w:sz w:val="24"/>
          <w:szCs w:val="24"/>
        </w:rPr>
        <w:t>considerado como</w:t>
      </w:r>
      <w:r w:rsidR="00BF7B48" w:rsidRPr="00B60E6E">
        <w:rPr>
          <w:rFonts w:ascii="Times New Roman" w:hAnsi="Times New Roman" w:cs="Times New Roman"/>
          <w:sz w:val="24"/>
          <w:szCs w:val="24"/>
        </w:rPr>
        <w:t xml:space="preserve"> </w:t>
      </w:r>
      <w:r w:rsidR="00542DFF">
        <w:rPr>
          <w:rFonts w:ascii="Times New Roman" w:hAnsi="Times New Roman" w:cs="Times New Roman"/>
          <w:sz w:val="24"/>
          <w:szCs w:val="24"/>
        </w:rPr>
        <w:t>un punto neutral</w:t>
      </w:r>
      <w:r w:rsidR="00BF7B48" w:rsidRPr="00B60E6E">
        <w:rPr>
          <w:rFonts w:ascii="Times New Roman" w:hAnsi="Times New Roman" w:cs="Times New Roman"/>
          <w:sz w:val="24"/>
          <w:szCs w:val="24"/>
        </w:rPr>
        <w:t>.</w:t>
      </w:r>
    </w:p>
    <w:p w14:paraId="47B8EA9C" w14:textId="46F299BA" w:rsidR="00BF7B48" w:rsidRPr="00B60E6E" w:rsidRDefault="00542DFF"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cambio, u</w:t>
      </w:r>
      <w:r w:rsidR="00E9608D" w:rsidRPr="00B60E6E">
        <w:rPr>
          <w:rFonts w:ascii="Times New Roman" w:hAnsi="Times New Roman" w:cs="Times New Roman"/>
          <w:sz w:val="24"/>
          <w:szCs w:val="24"/>
        </w:rPr>
        <w:t xml:space="preserve">no de los </w:t>
      </w:r>
      <w:r>
        <w:rPr>
          <w:rFonts w:ascii="Times New Roman" w:hAnsi="Times New Roman" w:cs="Times New Roman"/>
          <w:sz w:val="24"/>
          <w:szCs w:val="24"/>
        </w:rPr>
        <w:t>factores</w:t>
      </w:r>
      <w:r w:rsidR="00E9608D" w:rsidRPr="00B60E6E">
        <w:rPr>
          <w:rFonts w:ascii="Times New Roman" w:hAnsi="Times New Roman" w:cs="Times New Roman"/>
          <w:sz w:val="24"/>
          <w:szCs w:val="24"/>
        </w:rPr>
        <w:t xml:space="preserve"> negativos </w:t>
      </w:r>
      <w:r w:rsidR="00861BD6" w:rsidRPr="00B60E6E">
        <w:rPr>
          <w:rFonts w:ascii="Times New Roman" w:hAnsi="Times New Roman" w:cs="Times New Roman"/>
          <w:sz w:val="24"/>
          <w:szCs w:val="24"/>
        </w:rPr>
        <w:t xml:space="preserve">es el alto poder negociador del cliente </w:t>
      </w:r>
      <w:r w:rsidR="00E9608D" w:rsidRPr="00B60E6E">
        <w:rPr>
          <w:rFonts w:ascii="Times New Roman" w:hAnsi="Times New Roman" w:cs="Times New Roman"/>
          <w:sz w:val="24"/>
          <w:szCs w:val="24"/>
        </w:rPr>
        <w:t>dentro de</w:t>
      </w:r>
      <w:r w:rsidR="00BF7B48" w:rsidRPr="00B60E6E">
        <w:rPr>
          <w:rFonts w:ascii="Times New Roman" w:hAnsi="Times New Roman" w:cs="Times New Roman"/>
          <w:sz w:val="24"/>
          <w:szCs w:val="24"/>
        </w:rPr>
        <w:t xml:space="preserve"> las condiciones de la de</w:t>
      </w:r>
      <w:r w:rsidR="00A31287" w:rsidRPr="00B60E6E">
        <w:rPr>
          <w:rFonts w:ascii="Times New Roman" w:hAnsi="Times New Roman" w:cs="Times New Roman"/>
          <w:sz w:val="24"/>
          <w:szCs w:val="24"/>
        </w:rPr>
        <w:t>manda</w:t>
      </w:r>
      <w:r>
        <w:rPr>
          <w:rFonts w:ascii="Times New Roman" w:hAnsi="Times New Roman" w:cs="Times New Roman"/>
          <w:sz w:val="24"/>
          <w:szCs w:val="24"/>
        </w:rPr>
        <w:t>, lo cual</w:t>
      </w:r>
      <w:r w:rsidR="00A31287" w:rsidRPr="00B60E6E">
        <w:rPr>
          <w:rFonts w:ascii="Times New Roman" w:hAnsi="Times New Roman" w:cs="Times New Roman"/>
          <w:sz w:val="24"/>
          <w:szCs w:val="24"/>
        </w:rPr>
        <w:t xml:space="preserve"> perjudica a</w:t>
      </w:r>
      <w:r w:rsidR="005D2827" w:rsidRPr="00B60E6E">
        <w:rPr>
          <w:rFonts w:ascii="Times New Roman" w:hAnsi="Times New Roman" w:cs="Times New Roman"/>
          <w:sz w:val="24"/>
          <w:szCs w:val="24"/>
        </w:rPr>
        <w:t xml:space="preserve"> los agricultores de</w:t>
      </w:r>
      <w:r w:rsidR="00BF7B48" w:rsidRPr="00B60E6E">
        <w:rPr>
          <w:rFonts w:ascii="Times New Roman" w:hAnsi="Times New Roman" w:cs="Times New Roman"/>
          <w:sz w:val="24"/>
          <w:szCs w:val="24"/>
        </w:rPr>
        <w:t xml:space="preserve"> malanga</w:t>
      </w:r>
      <w:r w:rsidR="005D609E" w:rsidRPr="00B60E6E">
        <w:rPr>
          <w:rFonts w:ascii="Times New Roman" w:hAnsi="Times New Roman" w:cs="Times New Roman"/>
          <w:sz w:val="24"/>
          <w:szCs w:val="24"/>
        </w:rPr>
        <w:t>.</w:t>
      </w:r>
      <w:r w:rsidR="00BF7B48" w:rsidRPr="00B60E6E">
        <w:rPr>
          <w:rFonts w:ascii="Times New Roman" w:hAnsi="Times New Roman" w:cs="Times New Roman"/>
          <w:sz w:val="24"/>
          <w:szCs w:val="24"/>
        </w:rPr>
        <w:t xml:space="preserve"> </w:t>
      </w:r>
      <w:r w:rsidR="005D609E" w:rsidRPr="00B60E6E">
        <w:rPr>
          <w:rFonts w:ascii="Times New Roman" w:hAnsi="Times New Roman" w:cs="Times New Roman"/>
          <w:sz w:val="24"/>
          <w:szCs w:val="24"/>
        </w:rPr>
        <w:t>N</w:t>
      </w:r>
      <w:r w:rsidR="00BF7B48" w:rsidRPr="00B60E6E">
        <w:rPr>
          <w:rFonts w:ascii="Times New Roman" w:hAnsi="Times New Roman" w:cs="Times New Roman"/>
          <w:sz w:val="24"/>
          <w:szCs w:val="24"/>
        </w:rPr>
        <w:t>acionalmente</w:t>
      </w:r>
      <w:r>
        <w:rPr>
          <w:rFonts w:ascii="Times New Roman" w:hAnsi="Times New Roman" w:cs="Times New Roman"/>
          <w:sz w:val="24"/>
          <w:szCs w:val="24"/>
        </w:rPr>
        <w:t>,</w:t>
      </w:r>
      <w:r w:rsidR="00BF7B48" w:rsidRPr="00B60E6E">
        <w:rPr>
          <w:rFonts w:ascii="Times New Roman" w:hAnsi="Times New Roman" w:cs="Times New Roman"/>
          <w:sz w:val="24"/>
          <w:szCs w:val="24"/>
        </w:rPr>
        <w:t xml:space="preserve"> </w:t>
      </w:r>
      <w:r w:rsidR="00A31287" w:rsidRPr="00B60E6E">
        <w:rPr>
          <w:rFonts w:ascii="Times New Roman" w:hAnsi="Times New Roman" w:cs="Times New Roman"/>
          <w:sz w:val="24"/>
          <w:szCs w:val="24"/>
        </w:rPr>
        <w:t xml:space="preserve">este alto poder negociador del cliente sucede con </w:t>
      </w:r>
      <w:r w:rsidR="00BF7B48" w:rsidRPr="00B60E6E">
        <w:rPr>
          <w:rFonts w:ascii="Times New Roman" w:hAnsi="Times New Roman" w:cs="Times New Roman"/>
          <w:sz w:val="24"/>
          <w:szCs w:val="24"/>
        </w:rPr>
        <w:t>las empacadoras e</w:t>
      </w:r>
      <w:r w:rsidR="005D609E" w:rsidRPr="00B60E6E">
        <w:rPr>
          <w:rFonts w:ascii="Times New Roman" w:hAnsi="Times New Roman" w:cs="Times New Roman"/>
          <w:sz w:val="24"/>
          <w:szCs w:val="24"/>
        </w:rPr>
        <w:t xml:space="preserve"> intermediarios</w:t>
      </w:r>
      <w:r w:rsidR="00C5611A" w:rsidRPr="00B60E6E">
        <w:rPr>
          <w:rFonts w:ascii="Times New Roman" w:hAnsi="Times New Roman" w:cs="Times New Roman"/>
          <w:sz w:val="24"/>
          <w:szCs w:val="24"/>
        </w:rPr>
        <w:t>,</w:t>
      </w:r>
      <w:r w:rsidR="005D609E" w:rsidRPr="00B60E6E">
        <w:rPr>
          <w:rFonts w:ascii="Times New Roman" w:hAnsi="Times New Roman" w:cs="Times New Roman"/>
          <w:sz w:val="24"/>
          <w:szCs w:val="24"/>
        </w:rPr>
        <w:t xml:space="preserve"> </w:t>
      </w:r>
      <w:r>
        <w:rPr>
          <w:rFonts w:ascii="Times New Roman" w:hAnsi="Times New Roman" w:cs="Times New Roman"/>
          <w:sz w:val="24"/>
          <w:szCs w:val="24"/>
        </w:rPr>
        <w:t xml:space="preserve">mientras que de manera internacional se concreta </w:t>
      </w:r>
      <w:r w:rsidR="00A31287" w:rsidRPr="00B60E6E">
        <w:rPr>
          <w:rFonts w:ascii="Times New Roman" w:hAnsi="Times New Roman" w:cs="Times New Roman"/>
          <w:sz w:val="24"/>
          <w:szCs w:val="24"/>
        </w:rPr>
        <w:t xml:space="preserve">con </w:t>
      </w:r>
      <w:r w:rsidR="00BF7B48" w:rsidRPr="00B60E6E">
        <w:rPr>
          <w:rFonts w:ascii="Times New Roman" w:hAnsi="Times New Roman" w:cs="Times New Roman"/>
          <w:sz w:val="24"/>
          <w:szCs w:val="24"/>
        </w:rPr>
        <w:t xml:space="preserve">los mayoristas extranjeros que tienen la opción de adquirir la malanga de otros orígenes. </w:t>
      </w:r>
      <w:r>
        <w:rPr>
          <w:rFonts w:ascii="Times New Roman" w:hAnsi="Times New Roman" w:cs="Times New Roman"/>
          <w:sz w:val="24"/>
          <w:szCs w:val="24"/>
        </w:rPr>
        <w:t>A esto</w:t>
      </w:r>
      <w:r w:rsidR="00BF7B48" w:rsidRPr="00B60E6E">
        <w:rPr>
          <w:rFonts w:ascii="Times New Roman" w:hAnsi="Times New Roman" w:cs="Times New Roman"/>
          <w:sz w:val="24"/>
          <w:szCs w:val="24"/>
        </w:rPr>
        <w:t xml:space="preserve"> se suma un posic</w:t>
      </w:r>
      <w:r>
        <w:rPr>
          <w:rFonts w:ascii="Times New Roman" w:hAnsi="Times New Roman" w:cs="Times New Roman"/>
          <w:sz w:val="24"/>
          <w:szCs w:val="24"/>
        </w:rPr>
        <w:t>ionamiento de marca casi nulo, así como</w:t>
      </w:r>
      <w:r w:rsidR="00BF7B48" w:rsidRPr="00B60E6E">
        <w:rPr>
          <w:rFonts w:ascii="Times New Roman" w:hAnsi="Times New Roman" w:cs="Times New Roman"/>
          <w:sz w:val="24"/>
          <w:szCs w:val="24"/>
        </w:rPr>
        <w:t xml:space="preserve"> la </w:t>
      </w:r>
      <w:r>
        <w:rPr>
          <w:rFonts w:ascii="Times New Roman" w:hAnsi="Times New Roman" w:cs="Times New Roman"/>
          <w:sz w:val="24"/>
          <w:szCs w:val="24"/>
        </w:rPr>
        <w:t>escasa</w:t>
      </w:r>
      <w:r w:rsidR="00BF7B48" w:rsidRPr="00B60E6E">
        <w:rPr>
          <w:rFonts w:ascii="Times New Roman" w:hAnsi="Times New Roman" w:cs="Times New Roman"/>
          <w:sz w:val="24"/>
          <w:szCs w:val="24"/>
        </w:rPr>
        <w:t xml:space="preserve"> diversidad de mercados, ya que la malanga en su mayoría es exportada a Canadá y </w:t>
      </w:r>
      <w:r>
        <w:rPr>
          <w:rFonts w:ascii="Times New Roman" w:hAnsi="Times New Roman" w:cs="Times New Roman"/>
          <w:sz w:val="24"/>
          <w:szCs w:val="24"/>
        </w:rPr>
        <w:t>a EE. UU</w:t>
      </w:r>
      <w:r w:rsidR="00BF7B48" w:rsidRPr="00B60E6E">
        <w:rPr>
          <w:rFonts w:ascii="Times New Roman" w:hAnsi="Times New Roman" w:cs="Times New Roman"/>
          <w:sz w:val="24"/>
          <w:szCs w:val="24"/>
        </w:rPr>
        <w:t xml:space="preserve">. </w:t>
      </w:r>
    </w:p>
    <w:p w14:paraId="1C0D3313" w14:textId="790D637B" w:rsidR="00BF7B48" w:rsidRPr="00AB2FCD" w:rsidRDefault="00542DFF" w:rsidP="00542DFF">
      <w:pPr>
        <w:pStyle w:val="Ttulo3"/>
        <w:rPr>
          <w:bCs w:val="0"/>
          <w:i w:val="0"/>
          <w:color w:val="auto"/>
          <w:sz w:val="24"/>
          <w:szCs w:val="24"/>
        </w:rPr>
      </w:pPr>
      <w:r w:rsidRPr="00AB2FCD">
        <w:rPr>
          <w:bCs w:val="0"/>
          <w:i w:val="0"/>
          <w:color w:val="auto"/>
          <w:sz w:val="24"/>
          <w:szCs w:val="24"/>
        </w:rPr>
        <w:t>Sectores afines y auxiliares</w:t>
      </w:r>
    </w:p>
    <w:p w14:paraId="416D0F8F" w14:textId="6E707C42" w:rsidR="00BF7B48" w:rsidRPr="00B60E6E" w:rsidRDefault="00542DFF" w:rsidP="00BF7B48">
      <w:p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r>
      <w:r w:rsidR="00BF7B48" w:rsidRPr="00B60E6E">
        <w:rPr>
          <w:rFonts w:ascii="Times New Roman" w:hAnsi="Times New Roman" w:cs="Times New Roman"/>
          <w:sz w:val="24"/>
          <w:szCs w:val="24"/>
        </w:rPr>
        <w:t xml:space="preserve">La principal institución que apoya a este sector es </w:t>
      </w:r>
      <w:r>
        <w:rPr>
          <w:rFonts w:ascii="Times New Roman" w:hAnsi="Times New Roman" w:cs="Times New Roman"/>
          <w:sz w:val="24"/>
          <w:szCs w:val="24"/>
        </w:rPr>
        <w:t xml:space="preserve">la </w:t>
      </w:r>
      <w:r w:rsidRPr="00B60E6E">
        <w:rPr>
          <w:rFonts w:ascii="Times New Roman" w:hAnsi="Times New Roman" w:cs="Times New Roman"/>
          <w:sz w:val="24"/>
          <w:szCs w:val="24"/>
        </w:rPr>
        <w:t>Sagarpa</w:t>
      </w:r>
      <w:r>
        <w:rPr>
          <w:rFonts w:ascii="Times New Roman" w:hAnsi="Times New Roman" w:cs="Times New Roman"/>
          <w:sz w:val="24"/>
          <w:szCs w:val="24"/>
        </w:rPr>
        <w:t xml:space="preserve">, aunque esto </w:t>
      </w:r>
      <w:r w:rsidR="00BD6194">
        <w:rPr>
          <w:rFonts w:ascii="Times New Roman" w:hAnsi="Times New Roman" w:cs="Times New Roman"/>
          <w:sz w:val="24"/>
          <w:szCs w:val="24"/>
        </w:rPr>
        <w:t xml:space="preserve">no es </w:t>
      </w:r>
      <w:r>
        <w:rPr>
          <w:rFonts w:ascii="Times New Roman" w:hAnsi="Times New Roman" w:cs="Times New Roman"/>
          <w:sz w:val="24"/>
          <w:szCs w:val="24"/>
        </w:rPr>
        <w:t>suficiente</w:t>
      </w:r>
      <w:r w:rsidR="00B27F76" w:rsidRPr="00B60E6E">
        <w:rPr>
          <w:rFonts w:ascii="Times New Roman" w:hAnsi="Times New Roman" w:cs="Times New Roman"/>
          <w:sz w:val="24"/>
          <w:szCs w:val="24"/>
        </w:rPr>
        <w:t xml:space="preserve">, </w:t>
      </w:r>
      <w:r w:rsidR="00BD6194">
        <w:rPr>
          <w:rFonts w:ascii="Times New Roman" w:hAnsi="Times New Roman" w:cs="Times New Roman"/>
          <w:sz w:val="24"/>
          <w:szCs w:val="24"/>
        </w:rPr>
        <w:t xml:space="preserve">pues </w:t>
      </w:r>
      <w:r>
        <w:rPr>
          <w:rFonts w:ascii="Times New Roman" w:hAnsi="Times New Roman" w:cs="Times New Roman"/>
          <w:sz w:val="24"/>
          <w:szCs w:val="24"/>
        </w:rPr>
        <w:t xml:space="preserve">no se producen </w:t>
      </w:r>
      <w:r w:rsidR="00BF7B48" w:rsidRPr="00B60E6E">
        <w:rPr>
          <w:rFonts w:ascii="Times New Roman" w:hAnsi="Times New Roman" w:cs="Times New Roman"/>
          <w:sz w:val="24"/>
          <w:szCs w:val="24"/>
        </w:rPr>
        <w:t xml:space="preserve">cambios drásticos </w:t>
      </w:r>
      <w:r>
        <w:rPr>
          <w:rFonts w:ascii="Times New Roman" w:hAnsi="Times New Roman" w:cs="Times New Roman"/>
          <w:sz w:val="24"/>
          <w:szCs w:val="24"/>
        </w:rPr>
        <w:t xml:space="preserve">para beneficiar </w:t>
      </w:r>
      <w:r w:rsidR="00B27F76" w:rsidRPr="00B60E6E">
        <w:rPr>
          <w:rFonts w:ascii="Times New Roman" w:hAnsi="Times New Roman" w:cs="Times New Roman"/>
          <w:sz w:val="24"/>
          <w:szCs w:val="24"/>
        </w:rPr>
        <w:t>a</w:t>
      </w:r>
      <w:r w:rsidR="00BF7B48" w:rsidRPr="00B60E6E">
        <w:rPr>
          <w:rFonts w:ascii="Times New Roman" w:hAnsi="Times New Roman" w:cs="Times New Roman"/>
          <w:sz w:val="24"/>
          <w:szCs w:val="24"/>
        </w:rPr>
        <w:t xml:space="preserve"> los agricultores. También existen universidades y centros de investigación que brindan apoyo de manera general a los sectores agrícolas, pero de igual manera estos son </w:t>
      </w:r>
      <w:r>
        <w:rPr>
          <w:rFonts w:ascii="Times New Roman" w:hAnsi="Times New Roman" w:cs="Times New Roman"/>
          <w:sz w:val="24"/>
          <w:szCs w:val="24"/>
        </w:rPr>
        <w:t xml:space="preserve">limitados. De hecho, uno </w:t>
      </w:r>
      <w:r w:rsidR="00BF7B48" w:rsidRPr="00B60E6E">
        <w:rPr>
          <w:rFonts w:ascii="Times New Roman" w:hAnsi="Times New Roman" w:cs="Times New Roman"/>
          <w:sz w:val="24"/>
          <w:szCs w:val="24"/>
        </w:rPr>
        <w:t xml:space="preserve">de los centros de investigación </w:t>
      </w:r>
      <w:r>
        <w:rPr>
          <w:rFonts w:ascii="Times New Roman" w:hAnsi="Times New Roman" w:cs="Times New Roman"/>
          <w:sz w:val="24"/>
          <w:szCs w:val="24"/>
        </w:rPr>
        <w:t xml:space="preserve">que más se destaca por su </w:t>
      </w:r>
      <w:r w:rsidR="00BF7B48" w:rsidRPr="00B60E6E">
        <w:rPr>
          <w:rFonts w:ascii="Times New Roman" w:hAnsi="Times New Roman" w:cs="Times New Roman"/>
          <w:sz w:val="24"/>
          <w:szCs w:val="24"/>
        </w:rPr>
        <w:t xml:space="preserve">contacto cercano y directo con la actividad productiva de la malanga es el </w:t>
      </w:r>
      <w:r w:rsidRPr="00B60E6E">
        <w:rPr>
          <w:rFonts w:ascii="Times New Roman" w:hAnsi="Times New Roman" w:cs="Times New Roman"/>
          <w:sz w:val="24"/>
          <w:szCs w:val="24"/>
        </w:rPr>
        <w:t xml:space="preserve">Colegio de Postgraduados </w:t>
      </w:r>
      <w:r>
        <w:rPr>
          <w:rFonts w:ascii="Times New Roman" w:hAnsi="Times New Roman" w:cs="Times New Roman"/>
          <w:sz w:val="24"/>
          <w:szCs w:val="24"/>
        </w:rPr>
        <w:t>(</w:t>
      </w:r>
      <w:r w:rsidR="00BF7B48" w:rsidRPr="00B60E6E">
        <w:rPr>
          <w:rFonts w:ascii="Times New Roman" w:hAnsi="Times New Roman" w:cs="Times New Roman"/>
          <w:sz w:val="24"/>
          <w:szCs w:val="24"/>
        </w:rPr>
        <w:t>C</w:t>
      </w:r>
      <w:r w:rsidRPr="00B60E6E">
        <w:rPr>
          <w:rFonts w:ascii="Times New Roman" w:hAnsi="Times New Roman" w:cs="Times New Roman"/>
          <w:sz w:val="24"/>
          <w:szCs w:val="24"/>
        </w:rPr>
        <w:t>olpos</w:t>
      </w:r>
      <w:r>
        <w:rPr>
          <w:rFonts w:ascii="Times New Roman" w:hAnsi="Times New Roman" w:cs="Times New Roman"/>
          <w:sz w:val="24"/>
          <w:szCs w:val="24"/>
        </w:rPr>
        <w:t>).</w:t>
      </w:r>
    </w:p>
    <w:p w14:paraId="0FFAA882" w14:textId="06D8D1CD" w:rsidR="00BF7B48" w:rsidRPr="00B60E6E" w:rsidRDefault="00542DFF"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se </w:t>
      </w:r>
      <w:r w:rsidR="00BD6194">
        <w:rPr>
          <w:rFonts w:ascii="Times New Roman" w:hAnsi="Times New Roman" w:cs="Times New Roman"/>
          <w:sz w:val="24"/>
          <w:szCs w:val="24"/>
        </w:rPr>
        <w:t>pueden</w:t>
      </w:r>
      <w:r w:rsidRPr="00B60E6E">
        <w:rPr>
          <w:rFonts w:ascii="Times New Roman" w:hAnsi="Times New Roman" w:cs="Times New Roman"/>
          <w:sz w:val="24"/>
          <w:szCs w:val="24"/>
        </w:rPr>
        <w:t xml:space="preserve"> catalogar como neutrales</w:t>
      </w:r>
      <w:r>
        <w:rPr>
          <w:rFonts w:ascii="Times New Roman" w:hAnsi="Times New Roman" w:cs="Times New Roman"/>
          <w:sz w:val="24"/>
          <w:szCs w:val="24"/>
        </w:rPr>
        <w:t xml:space="preserve"> l</w:t>
      </w:r>
      <w:r w:rsidR="00BF7B48" w:rsidRPr="00B60E6E">
        <w:rPr>
          <w:rFonts w:ascii="Times New Roman" w:hAnsi="Times New Roman" w:cs="Times New Roman"/>
          <w:sz w:val="24"/>
          <w:szCs w:val="24"/>
        </w:rPr>
        <w:t>os proveedores secundarios usados por los agricultores de la malanga</w:t>
      </w:r>
      <w:r>
        <w:rPr>
          <w:rFonts w:ascii="Times New Roman" w:hAnsi="Times New Roman" w:cs="Times New Roman"/>
          <w:sz w:val="24"/>
          <w:szCs w:val="24"/>
        </w:rPr>
        <w:t>,</w:t>
      </w:r>
      <w:r w:rsidR="00BF7B48" w:rsidRPr="00B60E6E">
        <w:rPr>
          <w:rFonts w:ascii="Times New Roman" w:hAnsi="Times New Roman" w:cs="Times New Roman"/>
          <w:sz w:val="24"/>
          <w:szCs w:val="24"/>
        </w:rPr>
        <w:t xml:space="preserve"> ya que estos </w:t>
      </w:r>
      <w:r w:rsidRPr="00B60E6E">
        <w:rPr>
          <w:rFonts w:ascii="Times New Roman" w:hAnsi="Times New Roman" w:cs="Times New Roman"/>
          <w:sz w:val="24"/>
          <w:szCs w:val="24"/>
        </w:rPr>
        <w:t xml:space="preserve">también </w:t>
      </w:r>
      <w:r w:rsidR="00BF7B48" w:rsidRPr="00B60E6E">
        <w:rPr>
          <w:rFonts w:ascii="Times New Roman" w:hAnsi="Times New Roman" w:cs="Times New Roman"/>
          <w:sz w:val="24"/>
          <w:szCs w:val="24"/>
        </w:rPr>
        <w:t xml:space="preserve">son </w:t>
      </w:r>
      <w:r>
        <w:rPr>
          <w:rFonts w:ascii="Times New Roman" w:hAnsi="Times New Roman" w:cs="Times New Roman"/>
          <w:sz w:val="24"/>
          <w:szCs w:val="24"/>
        </w:rPr>
        <w:t>empleados</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para otro tipo de cultivos, por lo que existen</w:t>
      </w:r>
      <w:r w:rsidR="00BF7B48" w:rsidRPr="00B60E6E">
        <w:rPr>
          <w:rFonts w:ascii="Times New Roman" w:hAnsi="Times New Roman" w:cs="Times New Roman"/>
          <w:sz w:val="24"/>
          <w:szCs w:val="24"/>
        </w:rPr>
        <w:t xml:space="preserve"> varias alternativas para la sustitución de insumos. </w:t>
      </w:r>
    </w:p>
    <w:p w14:paraId="1E1F489D" w14:textId="67EB2AAC" w:rsidR="00BF7B48" w:rsidRPr="00B60E6E" w:rsidRDefault="00BF7B48"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sz w:val="24"/>
          <w:szCs w:val="24"/>
        </w:rPr>
      </w:pPr>
      <w:r w:rsidRPr="00B60E6E">
        <w:rPr>
          <w:rFonts w:ascii="Times New Roman" w:hAnsi="Times New Roman" w:cs="Times New Roman"/>
          <w:sz w:val="24"/>
          <w:szCs w:val="24"/>
        </w:rPr>
        <w:t>Los puntos negativos</w:t>
      </w:r>
      <w:r w:rsidR="00542DFF">
        <w:rPr>
          <w:rFonts w:ascii="Times New Roman" w:hAnsi="Times New Roman" w:cs="Times New Roman"/>
          <w:sz w:val="24"/>
          <w:szCs w:val="24"/>
        </w:rPr>
        <w:t>,</w:t>
      </w:r>
      <w:r w:rsidRPr="00B60E6E">
        <w:rPr>
          <w:rFonts w:ascii="Times New Roman" w:hAnsi="Times New Roman" w:cs="Times New Roman"/>
          <w:sz w:val="24"/>
          <w:szCs w:val="24"/>
        </w:rPr>
        <w:t xml:space="preserve"> como en vari</w:t>
      </w:r>
      <w:r w:rsidR="00C5611A" w:rsidRPr="00B60E6E">
        <w:rPr>
          <w:rFonts w:ascii="Times New Roman" w:hAnsi="Times New Roman" w:cs="Times New Roman"/>
          <w:sz w:val="24"/>
          <w:szCs w:val="24"/>
        </w:rPr>
        <w:t>os sectores agrícolas de México</w:t>
      </w:r>
      <w:r w:rsidR="00542DFF">
        <w:rPr>
          <w:rFonts w:ascii="Times New Roman" w:hAnsi="Times New Roman" w:cs="Times New Roman"/>
          <w:sz w:val="24"/>
          <w:szCs w:val="24"/>
        </w:rPr>
        <w:t>,</w:t>
      </w:r>
      <w:r w:rsidRPr="00B60E6E">
        <w:rPr>
          <w:rFonts w:ascii="Times New Roman" w:hAnsi="Times New Roman" w:cs="Times New Roman"/>
          <w:sz w:val="24"/>
          <w:szCs w:val="24"/>
        </w:rPr>
        <w:t xml:space="preserve"> son</w:t>
      </w:r>
      <w:r w:rsidR="00542DFF">
        <w:rPr>
          <w:rFonts w:ascii="Times New Roman" w:hAnsi="Times New Roman" w:cs="Times New Roman"/>
          <w:sz w:val="24"/>
          <w:szCs w:val="24"/>
        </w:rPr>
        <w:t xml:space="preserve"> la</w:t>
      </w:r>
      <w:r w:rsidRPr="00B60E6E">
        <w:rPr>
          <w:rFonts w:ascii="Times New Roman" w:hAnsi="Times New Roman" w:cs="Times New Roman"/>
          <w:sz w:val="24"/>
          <w:szCs w:val="24"/>
        </w:rPr>
        <w:t xml:space="preserve"> </w:t>
      </w:r>
      <w:r w:rsidR="00542DFF">
        <w:rPr>
          <w:rFonts w:ascii="Times New Roman" w:hAnsi="Times New Roman" w:cs="Times New Roman"/>
          <w:sz w:val="24"/>
          <w:szCs w:val="24"/>
        </w:rPr>
        <w:t>carencia</w:t>
      </w:r>
      <w:r w:rsidRPr="00B60E6E">
        <w:rPr>
          <w:rFonts w:ascii="Times New Roman" w:hAnsi="Times New Roman" w:cs="Times New Roman"/>
          <w:sz w:val="24"/>
          <w:szCs w:val="24"/>
        </w:rPr>
        <w:t xml:space="preserve"> </w:t>
      </w:r>
      <w:r w:rsidR="00542DFF">
        <w:rPr>
          <w:rFonts w:ascii="Times New Roman" w:hAnsi="Times New Roman" w:cs="Times New Roman"/>
          <w:sz w:val="24"/>
          <w:szCs w:val="24"/>
        </w:rPr>
        <w:t xml:space="preserve">de </w:t>
      </w:r>
      <w:r w:rsidR="00C5611A" w:rsidRPr="00B60E6E">
        <w:rPr>
          <w:rFonts w:ascii="Times New Roman" w:hAnsi="Times New Roman" w:cs="Times New Roman"/>
          <w:sz w:val="24"/>
          <w:szCs w:val="24"/>
        </w:rPr>
        <w:t>tecnología</w:t>
      </w:r>
      <w:r w:rsidR="00542DFF">
        <w:rPr>
          <w:rFonts w:ascii="Times New Roman" w:hAnsi="Times New Roman" w:cs="Times New Roman"/>
          <w:sz w:val="24"/>
          <w:szCs w:val="24"/>
        </w:rPr>
        <w:t xml:space="preserve"> y la </w:t>
      </w:r>
      <w:r w:rsidRPr="00B60E6E">
        <w:rPr>
          <w:rFonts w:ascii="Times New Roman" w:hAnsi="Times New Roman" w:cs="Times New Roman"/>
          <w:sz w:val="24"/>
          <w:szCs w:val="24"/>
        </w:rPr>
        <w:t>escasez de maquinaria y equipo</w:t>
      </w:r>
      <w:r w:rsidR="00542DFF">
        <w:rPr>
          <w:rFonts w:ascii="Times New Roman" w:hAnsi="Times New Roman" w:cs="Times New Roman"/>
          <w:sz w:val="24"/>
          <w:szCs w:val="24"/>
        </w:rPr>
        <w:t>s</w:t>
      </w:r>
      <w:r w:rsidRPr="00B60E6E">
        <w:rPr>
          <w:rFonts w:ascii="Times New Roman" w:hAnsi="Times New Roman" w:cs="Times New Roman"/>
          <w:sz w:val="24"/>
          <w:szCs w:val="24"/>
        </w:rPr>
        <w:t xml:space="preserve">. </w:t>
      </w:r>
      <w:r w:rsidR="00040C2E">
        <w:rPr>
          <w:rFonts w:ascii="Times New Roman" w:hAnsi="Times New Roman" w:cs="Times New Roman"/>
          <w:sz w:val="24"/>
          <w:szCs w:val="24"/>
        </w:rPr>
        <w:t xml:space="preserve">Por </w:t>
      </w:r>
      <w:r w:rsidR="00542DFF">
        <w:rPr>
          <w:rFonts w:ascii="Times New Roman" w:hAnsi="Times New Roman" w:cs="Times New Roman"/>
          <w:sz w:val="24"/>
          <w:szCs w:val="24"/>
        </w:rPr>
        <w:t>ejemplo</w:t>
      </w:r>
      <w:r w:rsidR="00040C2E">
        <w:rPr>
          <w:rFonts w:ascii="Times New Roman" w:hAnsi="Times New Roman" w:cs="Times New Roman"/>
          <w:sz w:val="24"/>
          <w:szCs w:val="24"/>
        </w:rPr>
        <w:t>,</w:t>
      </w:r>
      <w:r w:rsidR="00542DFF">
        <w:rPr>
          <w:rFonts w:ascii="Times New Roman" w:hAnsi="Times New Roman" w:cs="Times New Roman"/>
          <w:sz w:val="24"/>
          <w:szCs w:val="24"/>
        </w:rPr>
        <w:t xml:space="preserve"> </w:t>
      </w:r>
      <w:r w:rsidRPr="00B60E6E">
        <w:rPr>
          <w:rFonts w:ascii="Times New Roman" w:hAnsi="Times New Roman" w:cs="Times New Roman"/>
          <w:sz w:val="24"/>
          <w:szCs w:val="24"/>
        </w:rPr>
        <w:t>78</w:t>
      </w:r>
      <w:r w:rsidR="00542DFF">
        <w:rPr>
          <w:rFonts w:ascii="Times New Roman" w:hAnsi="Times New Roman" w:cs="Times New Roman"/>
          <w:sz w:val="24"/>
          <w:szCs w:val="24"/>
        </w:rPr>
        <w:t xml:space="preserve"> % de los agricultores no posee</w:t>
      </w:r>
      <w:r w:rsidRPr="00B60E6E">
        <w:rPr>
          <w:rFonts w:ascii="Times New Roman" w:hAnsi="Times New Roman" w:cs="Times New Roman"/>
          <w:sz w:val="24"/>
          <w:szCs w:val="24"/>
        </w:rPr>
        <w:t xml:space="preserve"> </w:t>
      </w:r>
      <w:r w:rsidR="00040C2E">
        <w:rPr>
          <w:rFonts w:ascii="Times New Roman" w:hAnsi="Times New Roman" w:cs="Times New Roman"/>
          <w:sz w:val="24"/>
          <w:szCs w:val="24"/>
        </w:rPr>
        <w:t>ningún</w:t>
      </w:r>
      <w:r w:rsidRPr="00B60E6E">
        <w:rPr>
          <w:rFonts w:ascii="Times New Roman" w:hAnsi="Times New Roman" w:cs="Times New Roman"/>
          <w:sz w:val="24"/>
          <w:szCs w:val="24"/>
        </w:rPr>
        <w:t xml:space="preserve"> ti</w:t>
      </w:r>
      <w:r w:rsidR="00872D15">
        <w:rPr>
          <w:rFonts w:ascii="Times New Roman" w:hAnsi="Times New Roman" w:cs="Times New Roman"/>
          <w:sz w:val="24"/>
          <w:szCs w:val="24"/>
        </w:rPr>
        <w:t>po de má</w:t>
      </w:r>
      <w:r w:rsidR="00040C2E">
        <w:rPr>
          <w:rFonts w:ascii="Times New Roman" w:hAnsi="Times New Roman" w:cs="Times New Roman"/>
          <w:sz w:val="24"/>
          <w:szCs w:val="24"/>
        </w:rPr>
        <w:t xml:space="preserve">quina o equipo agrícola, mientras que </w:t>
      </w:r>
      <w:r w:rsidRPr="00B60E6E">
        <w:rPr>
          <w:rFonts w:ascii="Times New Roman" w:hAnsi="Times New Roman" w:cs="Times New Roman"/>
          <w:sz w:val="24"/>
          <w:szCs w:val="24"/>
        </w:rPr>
        <w:t>22</w:t>
      </w:r>
      <w:r w:rsidR="00040C2E">
        <w:rPr>
          <w:rFonts w:ascii="Times New Roman" w:hAnsi="Times New Roman" w:cs="Times New Roman"/>
          <w:sz w:val="24"/>
          <w:szCs w:val="24"/>
        </w:rPr>
        <w:t xml:space="preserve"> % solo suele contar,</w:t>
      </w:r>
      <w:r w:rsidRPr="00B60E6E">
        <w:rPr>
          <w:rFonts w:ascii="Times New Roman" w:hAnsi="Times New Roman" w:cs="Times New Roman"/>
          <w:sz w:val="24"/>
          <w:szCs w:val="24"/>
        </w:rPr>
        <w:t xml:space="preserve"> comúnmente</w:t>
      </w:r>
      <w:r w:rsidR="00040C2E">
        <w:rPr>
          <w:rFonts w:ascii="Times New Roman" w:hAnsi="Times New Roman" w:cs="Times New Roman"/>
          <w:sz w:val="24"/>
          <w:szCs w:val="24"/>
        </w:rPr>
        <w:t>, con</w:t>
      </w:r>
      <w:r w:rsidRPr="00B60E6E">
        <w:rPr>
          <w:rFonts w:ascii="Times New Roman" w:hAnsi="Times New Roman" w:cs="Times New Roman"/>
          <w:sz w:val="24"/>
          <w:szCs w:val="24"/>
        </w:rPr>
        <w:t xml:space="preserve"> un vehículo</w:t>
      </w:r>
      <w:r w:rsidR="00B27F76" w:rsidRPr="00B60E6E">
        <w:rPr>
          <w:rFonts w:ascii="Times New Roman" w:hAnsi="Times New Roman" w:cs="Times New Roman"/>
          <w:sz w:val="24"/>
          <w:szCs w:val="24"/>
        </w:rPr>
        <w:t xml:space="preserve"> (Asiain </w:t>
      </w:r>
      <w:r w:rsidR="00B27F76" w:rsidRPr="00040C2E">
        <w:rPr>
          <w:rFonts w:ascii="Times New Roman" w:hAnsi="Times New Roman" w:cs="Times New Roman"/>
          <w:i/>
          <w:sz w:val="24"/>
          <w:szCs w:val="24"/>
        </w:rPr>
        <w:t>et al.</w:t>
      </w:r>
      <w:r w:rsidR="00B27F76" w:rsidRPr="00B60E6E">
        <w:rPr>
          <w:rFonts w:ascii="Times New Roman" w:hAnsi="Times New Roman" w:cs="Times New Roman"/>
          <w:sz w:val="24"/>
          <w:szCs w:val="24"/>
        </w:rPr>
        <w:t>, 2017)</w:t>
      </w:r>
      <w:r w:rsidRPr="00B60E6E">
        <w:rPr>
          <w:rFonts w:ascii="Times New Roman" w:hAnsi="Times New Roman" w:cs="Times New Roman"/>
          <w:sz w:val="24"/>
          <w:szCs w:val="24"/>
        </w:rPr>
        <w:t xml:space="preserve">. </w:t>
      </w:r>
    </w:p>
    <w:p w14:paraId="31316A28" w14:textId="6349B548" w:rsidR="00BF7B48" w:rsidRPr="00AB2FCD" w:rsidRDefault="00BF7B48" w:rsidP="00040C2E">
      <w:pPr>
        <w:pStyle w:val="Ttulo3"/>
        <w:rPr>
          <w:bCs w:val="0"/>
          <w:i w:val="0"/>
          <w:color w:val="auto"/>
          <w:sz w:val="24"/>
          <w:szCs w:val="24"/>
        </w:rPr>
      </w:pPr>
      <w:r w:rsidRPr="00AB2FCD">
        <w:rPr>
          <w:bCs w:val="0"/>
          <w:i w:val="0"/>
          <w:color w:val="auto"/>
          <w:sz w:val="24"/>
          <w:szCs w:val="24"/>
        </w:rPr>
        <w:t>Estrategia, estruct</w:t>
      </w:r>
      <w:r w:rsidR="00040C2E" w:rsidRPr="00AB2FCD">
        <w:rPr>
          <w:bCs w:val="0"/>
          <w:i w:val="0"/>
          <w:color w:val="auto"/>
          <w:sz w:val="24"/>
          <w:szCs w:val="24"/>
        </w:rPr>
        <w:t>ura y rivalidad de las empresas</w:t>
      </w:r>
    </w:p>
    <w:p w14:paraId="4FC24012" w14:textId="09061ACD" w:rsidR="00BF7B48" w:rsidRPr="00B60E6E" w:rsidRDefault="00040C2E" w:rsidP="00BF7B48">
      <w:pPr>
        <w:autoSpaceDE w:val="0"/>
        <w:autoSpaceDN w:val="0"/>
        <w:adjustRightInd w:val="0"/>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BF7B48" w:rsidRPr="00B60E6E">
        <w:rPr>
          <w:rFonts w:ascii="Times New Roman" w:hAnsi="Times New Roman" w:cs="Times New Roman"/>
          <w:bCs/>
          <w:sz w:val="24"/>
          <w:szCs w:val="24"/>
        </w:rPr>
        <w:t xml:space="preserve">Los agricultores de malanga tienden a </w:t>
      </w:r>
      <w:r w:rsidR="00872D15">
        <w:rPr>
          <w:rFonts w:ascii="Times New Roman" w:hAnsi="Times New Roman" w:cs="Times New Roman"/>
          <w:bCs/>
          <w:sz w:val="24"/>
          <w:szCs w:val="24"/>
        </w:rPr>
        <w:t>promover</w:t>
      </w:r>
      <w:r w:rsidR="00BF7B48" w:rsidRPr="00B60E6E">
        <w:rPr>
          <w:rFonts w:ascii="Times New Roman" w:hAnsi="Times New Roman" w:cs="Times New Roman"/>
          <w:bCs/>
          <w:sz w:val="24"/>
          <w:szCs w:val="24"/>
        </w:rPr>
        <w:t xml:space="preserve"> una alta rivalidad para vender su producto. Esto al parecer provoca que la cooperación horizontal no sea </w:t>
      </w:r>
      <w:r>
        <w:rPr>
          <w:rFonts w:ascii="Times New Roman" w:hAnsi="Times New Roman" w:cs="Times New Roman"/>
          <w:bCs/>
          <w:sz w:val="24"/>
          <w:szCs w:val="24"/>
        </w:rPr>
        <w:t xml:space="preserve">la más idónea, de modo que no se pueden </w:t>
      </w:r>
      <w:r w:rsidR="00BF7B48" w:rsidRPr="00B60E6E">
        <w:rPr>
          <w:rFonts w:ascii="Times New Roman" w:hAnsi="Times New Roman" w:cs="Times New Roman"/>
          <w:bCs/>
          <w:sz w:val="24"/>
          <w:szCs w:val="24"/>
        </w:rPr>
        <w:t xml:space="preserve">alcanzar beneficios mutuos. Por ejemplo, </w:t>
      </w:r>
      <w:r w:rsidRPr="00B60E6E">
        <w:rPr>
          <w:rFonts w:ascii="Times New Roman" w:hAnsi="Times New Roman" w:cs="Times New Roman"/>
          <w:bCs/>
          <w:sz w:val="24"/>
          <w:szCs w:val="24"/>
        </w:rPr>
        <w:t>69</w:t>
      </w:r>
      <w:r>
        <w:rPr>
          <w:rFonts w:ascii="Times New Roman" w:hAnsi="Times New Roman" w:cs="Times New Roman"/>
          <w:bCs/>
          <w:sz w:val="24"/>
          <w:szCs w:val="24"/>
        </w:rPr>
        <w:t xml:space="preserve"> </w:t>
      </w:r>
      <w:r w:rsidRPr="00B60E6E">
        <w:rPr>
          <w:rFonts w:ascii="Times New Roman" w:hAnsi="Times New Roman" w:cs="Times New Roman"/>
          <w:bCs/>
          <w:sz w:val="24"/>
          <w:szCs w:val="24"/>
        </w:rPr>
        <w:t xml:space="preserve">% </w:t>
      </w:r>
      <w:r>
        <w:rPr>
          <w:rFonts w:ascii="Times New Roman" w:hAnsi="Times New Roman" w:cs="Times New Roman"/>
          <w:bCs/>
          <w:sz w:val="24"/>
          <w:szCs w:val="24"/>
        </w:rPr>
        <w:t xml:space="preserve">de </w:t>
      </w:r>
      <w:r w:rsidR="00BF7B48" w:rsidRPr="00B60E6E">
        <w:rPr>
          <w:rFonts w:ascii="Times New Roman" w:hAnsi="Times New Roman" w:cs="Times New Roman"/>
          <w:bCs/>
          <w:sz w:val="24"/>
          <w:szCs w:val="24"/>
        </w:rPr>
        <w:t xml:space="preserve">los productores que llegan a trasladar la malanga no </w:t>
      </w:r>
      <w:r>
        <w:rPr>
          <w:rFonts w:ascii="Times New Roman" w:hAnsi="Times New Roman" w:cs="Times New Roman"/>
          <w:bCs/>
          <w:sz w:val="24"/>
          <w:szCs w:val="24"/>
        </w:rPr>
        <w:t>utilizan toda</w:t>
      </w:r>
      <w:r w:rsidR="00BF7B48" w:rsidRPr="00B60E6E">
        <w:rPr>
          <w:rFonts w:ascii="Times New Roman" w:hAnsi="Times New Roman" w:cs="Times New Roman"/>
          <w:bCs/>
          <w:sz w:val="24"/>
          <w:szCs w:val="24"/>
        </w:rPr>
        <w:t xml:space="preserve"> </w:t>
      </w:r>
      <w:r>
        <w:rPr>
          <w:rFonts w:ascii="Times New Roman" w:hAnsi="Times New Roman" w:cs="Times New Roman"/>
          <w:bCs/>
          <w:sz w:val="24"/>
          <w:szCs w:val="24"/>
        </w:rPr>
        <w:t xml:space="preserve">la </w:t>
      </w:r>
      <w:r w:rsidR="00BF7B48" w:rsidRPr="00B60E6E">
        <w:rPr>
          <w:rFonts w:ascii="Times New Roman" w:hAnsi="Times New Roman" w:cs="Times New Roman"/>
          <w:bCs/>
          <w:sz w:val="24"/>
          <w:szCs w:val="24"/>
        </w:rPr>
        <w:t>capacidad del vehículo de carga</w:t>
      </w:r>
      <w:r w:rsidR="00616A5A" w:rsidRPr="00B60E6E">
        <w:rPr>
          <w:rFonts w:ascii="Times New Roman" w:hAnsi="Times New Roman" w:cs="Times New Roman"/>
          <w:bCs/>
          <w:sz w:val="24"/>
          <w:szCs w:val="24"/>
        </w:rPr>
        <w:t>,</w:t>
      </w:r>
      <w:r w:rsidR="00BF7B48" w:rsidRPr="00B60E6E">
        <w:rPr>
          <w:rFonts w:ascii="Times New Roman" w:hAnsi="Times New Roman" w:cs="Times New Roman"/>
          <w:bCs/>
          <w:sz w:val="24"/>
          <w:szCs w:val="24"/>
        </w:rPr>
        <w:t xml:space="preserve"> </w:t>
      </w:r>
      <w:r>
        <w:rPr>
          <w:rFonts w:ascii="Times New Roman" w:hAnsi="Times New Roman" w:cs="Times New Roman"/>
          <w:bCs/>
          <w:sz w:val="24"/>
          <w:szCs w:val="24"/>
        </w:rPr>
        <w:t xml:space="preserve">mientras que </w:t>
      </w:r>
      <w:r w:rsidR="00616A5A" w:rsidRPr="00B60E6E">
        <w:rPr>
          <w:rFonts w:ascii="Times New Roman" w:hAnsi="Times New Roman" w:cs="Times New Roman"/>
          <w:bCs/>
          <w:sz w:val="24"/>
          <w:szCs w:val="24"/>
        </w:rPr>
        <w:t xml:space="preserve">solo </w:t>
      </w:r>
      <w:r w:rsidR="00BF7B48" w:rsidRPr="00B60E6E">
        <w:rPr>
          <w:rFonts w:ascii="Times New Roman" w:hAnsi="Times New Roman" w:cs="Times New Roman"/>
          <w:bCs/>
          <w:sz w:val="24"/>
          <w:szCs w:val="24"/>
        </w:rPr>
        <w:t>14</w:t>
      </w:r>
      <w:r>
        <w:rPr>
          <w:rFonts w:ascii="Times New Roman" w:hAnsi="Times New Roman" w:cs="Times New Roman"/>
          <w:bCs/>
          <w:sz w:val="24"/>
          <w:szCs w:val="24"/>
        </w:rPr>
        <w:t xml:space="preserve"> </w:t>
      </w:r>
      <w:r w:rsidR="00BF7B48" w:rsidRPr="00B60E6E">
        <w:rPr>
          <w:rFonts w:ascii="Times New Roman" w:hAnsi="Times New Roman" w:cs="Times New Roman"/>
          <w:bCs/>
          <w:sz w:val="24"/>
          <w:szCs w:val="24"/>
        </w:rPr>
        <w:t xml:space="preserve">% </w:t>
      </w:r>
      <w:r>
        <w:rPr>
          <w:rFonts w:ascii="Times New Roman" w:hAnsi="Times New Roman" w:cs="Times New Roman"/>
          <w:bCs/>
          <w:sz w:val="24"/>
          <w:szCs w:val="24"/>
        </w:rPr>
        <w:t xml:space="preserve">emplea </w:t>
      </w:r>
      <w:r w:rsidR="00BF7B48" w:rsidRPr="00B60E6E">
        <w:rPr>
          <w:rFonts w:ascii="Times New Roman" w:hAnsi="Times New Roman" w:cs="Times New Roman"/>
          <w:bCs/>
          <w:sz w:val="24"/>
          <w:szCs w:val="24"/>
        </w:rPr>
        <w:t xml:space="preserve">la </w:t>
      </w:r>
      <w:r w:rsidR="00BF7B48" w:rsidRPr="00B60E6E">
        <w:rPr>
          <w:rFonts w:ascii="Times New Roman" w:hAnsi="Times New Roman" w:cs="Times New Roman"/>
          <w:bCs/>
          <w:sz w:val="24"/>
          <w:szCs w:val="24"/>
        </w:rPr>
        <w:lastRenderedPageBreak/>
        <w:t xml:space="preserve">máxima capacidad </w:t>
      </w:r>
      <w:r w:rsidR="00616A5A" w:rsidRPr="00B60E6E">
        <w:rPr>
          <w:rFonts w:ascii="Times New Roman" w:hAnsi="Times New Roman" w:cs="Times New Roman"/>
          <w:bCs/>
          <w:sz w:val="24"/>
          <w:szCs w:val="24"/>
        </w:rPr>
        <w:t>(</w:t>
      </w:r>
      <w:r w:rsidR="00773C33" w:rsidRPr="00B60E6E">
        <w:rPr>
          <w:rFonts w:ascii="Times New Roman" w:hAnsi="Times New Roman" w:cs="Times New Roman"/>
          <w:bCs/>
          <w:sz w:val="24"/>
          <w:szCs w:val="24"/>
        </w:rPr>
        <w:t xml:space="preserve">Asiain </w:t>
      </w:r>
      <w:r w:rsidR="00773C33" w:rsidRPr="00040C2E">
        <w:rPr>
          <w:rFonts w:ascii="Times New Roman" w:hAnsi="Times New Roman" w:cs="Times New Roman"/>
          <w:bCs/>
          <w:i/>
          <w:sz w:val="24"/>
          <w:szCs w:val="24"/>
        </w:rPr>
        <w:t>et al.</w:t>
      </w:r>
      <w:r w:rsidR="00773C33" w:rsidRPr="00B60E6E">
        <w:rPr>
          <w:rFonts w:ascii="Times New Roman" w:hAnsi="Times New Roman" w:cs="Times New Roman"/>
          <w:bCs/>
          <w:sz w:val="24"/>
          <w:szCs w:val="24"/>
        </w:rPr>
        <w:t>, 2017</w:t>
      </w:r>
      <w:r w:rsidR="00BF5AEB" w:rsidRPr="00B60E6E">
        <w:rPr>
          <w:rFonts w:ascii="Times New Roman" w:hAnsi="Times New Roman" w:cs="Times New Roman"/>
          <w:bCs/>
          <w:sz w:val="24"/>
          <w:szCs w:val="24"/>
        </w:rPr>
        <w:t>)</w:t>
      </w:r>
      <w:r w:rsidR="00BF7B48" w:rsidRPr="00B60E6E">
        <w:rPr>
          <w:rFonts w:ascii="Times New Roman" w:hAnsi="Times New Roman" w:cs="Times New Roman"/>
          <w:bCs/>
          <w:sz w:val="24"/>
          <w:szCs w:val="24"/>
        </w:rPr>
        <w:t xml:space="preserve">. </w:t>
      </w:r>
      <w:r>
        <w:rPr>
          <w:rFonts w:ascii="Times New Roman" w:hAnsi="Times New Roman" w:cs="Times New Roman"/>
          <w:bCs/>
          <w:sz w:val="24"/>
          <w:szCs w:val="24"/>
        </w:rPr>
        <w:t>Estos porcentajes permiten inferir</w:t>
      </w:r>
      <w:r w:rsidR="00BF7B48" w:rsidRPr="00B60E6E">
        <w:rPr>
          <w:rFonts w:ascii="Times New Roman" w:hAnsi="Times New Roman" w:cs="Times New Roman"/>
          <w:bCs/>
          <w:sz w:val="24"/>
          <w:szCs w:val="24"/>
        </w:rPr>
        <w:t xml:space="preserve"> que no </w:t>
      </w:r>
      <w:r>
        <w:rPr>
          <w:rFonts w:ascii="Times New Roman" w:hAnsi="Times New Roman" w:cs="Times New Roman"/>
          <w:bCs/>
          <w:sz w:val="24"/>
          <w:szCs w:val="24"/>
        </w:rPr>
        <w:t xml:space="preserve">se </w:t>
      </w:r>
      <w:r w:rsidR="00BF7B48" w:rsidRPr="00B60E6E">
        <w:rPr>
          <w:rFonts w:ascii="Times New Roman" w:hAnsi="Times New Roman" w:cs="Times New Roman"/>
          <w:bCs/>
          <w:sz w:val="24"/>
          <w:szCs w:val="24"/>
        </w:rPr>
        <w:t>buscan alianzas para compartir la capacidad de vehículos con otros agricultores. Además, como los agricultores se concentran en ciertas áreas geográficas benignas para la siembra de malanga</w:t>
      </w:r>
      <w:r>
        <w:rPr>
          <w:rFonts w:ascii="Times New Roman" w:hAnsi="Times New Roman" w:cs="Times New Roman"/>
          <w:bCs/>
          <w:sz w:val="24"/>
          <w:szCs w:val="24"/>
        </w:rPr>
        <w:t>,</w:t>
      </w:r>
      <w:r w:rsidR="00773C33" w:rsidRPr="00B60E6E">
        <w:rPr>
          <w:rFonts w:ascii="Times New Roman" w:hAnsi="Times New Roman" w:cs="Times New Roman"/>
          <w:bCs/>
          <w:sz w:val="24"/>
          <w:szCs w:val="24"/>
        </w:rPr>
        <w:t xml:space="preserve"> provoca </w:t>
      </w:r>
      <w:r w:rsidR="00BF7B48" w:rsidRPr="00B60E6E">
        <w:rPr>
          <w:rFonts w:ascii="Times New Roman" w:hAnsi="Times New Roman" w:cs="Times New Roman"/>
          <w:bCs/>
          <w:sz w:val="24"/>
          <w:szCs w:val="24"/>
        </w:rPr>
        <w:t>en ocasiones una sobreproducción y una guerra de precios entre ellos, lo q</w:t>
      </w:r>
      <w:r>
        <w:rPr>
          <w:rFonts w:ascii="Times New Roman" w:hAnsi="Times New Roman" w:cs="Times New Roman"/>
          <w:bCs/>
          <w:sz w:val="24"/>
          <w:szCs w:val="24"/>
        </w:rPr>
        <w:t>ue beneficia a los compradores.</w:t>
      </w:r>
    </w:p>
    <w:p w14:paraId="6A20CD93" w14:textId="7DB430B6" w:rsidR="00BF7B48" w:rsidRPr="00B60E6E" w:rsidRDefault="00BF7B48"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Cs/>
          <w:sz w:val="24"/>
          <w:szCs w:val="24"/>
        </w:rPr>
      </w:pPr>
      <w:r w:rsidRPr="00B60E6E">
        <w:rPr>
          <w:rFonts w:ascii="Times New Roman" w:hAnsi="Times New Roman" w:cs="Times New Roman"/>
          <w:bCs/>
          <w:sz w:val="24"/>
          <w:szCs w:val="24"/>
        </w:rPr>
        <w:t>Desafortunadamente, existen varios puntos negativos en esta se</w:t>
      </w:r>
      <w:r w:rsidR="008177B0" w:rsidRPr="00B60E6E">
        <w:rPr>
          <w:rFonts w:ascii="Times New Roman" w:hAnsi="Times New Roman" w:cs="Times New Roman"/>
          <w:bCs/>
          <w:sz w:val="24"/>
          <w:szCs w:val="24"/>
        </w:rPr>
        <w:t>cción del diamante</w:t>
      </w:r>
      <w:r w:rsidR="00040C2E">
        <w:rPr>
          <w:rFonts w:ascii="Times New Roman" w:hAnsi="Times New Roman" w:cs="Times New Roman"/>
          <w:bCs/>
          <w:sz w:val="24"/>
          <w:szCs w:val="24"/>
        </w:rPr>
        <w:t>, uno de los cuales se evidencia</w:t>
      </w:r>
      <w:r w:rsidRPr="00B60E6E">
        <w:rPr>
          <w:rFonts w:ascii="Times New Roman" w:hAnsi="Times New Roman" w:cs="Times New Roman"/>
          <w:bCs/>
          <w:sz w:val="24"/>
          <w:szCs w:val="24"/>
        </w:rPr>
        <w:t xml:space="preserve"> </w:t>
      </w:r>
      <w:r w:rsidR="00E879CE" w:rsidRPr="00B60E6E">
        <w:rPr>
          <w:rFonts w:ascii="Times New Roman" w:hAnsi="Times New Roman" w:cs="Times New Roman"/>
          <w:bCs/>
          <w:sz w:val="24"/>
          <w:szCs w:val="24"/>
        </w:rPr>
        <w:t xml:space="preserve">en la baja </w:t>
      </w:r>
      <w:r w:rsidRPr="00B60E6E">
        <w:rPr>
          <w:rFonts w:ascii="Times New Roman" w:hAnsi="Times New Roman" w:cs="Times New Roman"/>
          <w:bCs/>
          <w:sz w:val="24"/>
          <w:szCs w:val="24"/>
        </w:rPr>
        <w:t>cooperación tanto horizontal como vertic</w:t>
      </w:r>
      <w:r w:rsidR="00620A56" w:rsidRPr="00B60E6E">
        <w:rPr>
          <w:rFonts w:ascii="Times New Roman" w:hAnsi="Times New Roman" w:cs="Times New Roman"/>
          <w:bCs/>
          <w:sz w:val="24"/>
          <w:szCs w:val="24"/>
        </w:rPr>
        <w:t xml:space="preserve">al en las cadenas de suministro </w:t>
      </w:r>
      <w:r w:rsidRPr="00B60E6E">
        <w:rPr>
          <w:rFonts w:ascii="Times New Roman" w:hAnsi="Times New Roman" w:cs="Times New Roman"/>
          <w:bCs/>
          <w:sz w:val="24"/>
          <w:szCs w:val="24"/>
        </w:rPr>
        <w:t xml:space="preserve">locales. A esto se une una </w:t>
      </w:r>
      <w:r w:rsidR="00040C2E">
        <w:rPr>
          <w:rFonts w:ascii="Times New Roman" w:hAnsi="Times New Roman" w:cs="Times New Roman"/>
          <w:bCs/>
          <w:sz w:val="24"/>
          <w:szCs w:val="24"/>
        </w:rPr>
        <w:t>escasa</w:t>
      </w:r>
      <w:r w:rsidRPr="00B60E6E">
        <w:rPr>
          <w:rFonts w:ascii="Times New Roman" w:hAnsi="Times New Roman" w:cs="Times New Roman"/>
          <w:bCs/>
          <w:sz w:val="24"/>
          <w:szCs w:val="24"/>
        </w:rPr>
        <w:t xml:space="preserve"> productividad, baja tecnología y </w:t>
      </w:r>
      <w:r w:rsidR="00040C2E">
        <w:rPr>
          <w:rFonts w:ascii="Times New Roman" w:hAnsi="Times New Roman" w:cs="Times New Roman"/>
          <w:bCs/>
          <w:sz w:val="24"/>
          <w:szCs w:val="24"/>
        </w:rPr>
        <w:t>deficiente</w:t>
      </w:r>
      <w:r w:rsidRPr="00B60E6E">
        <w:rPr>
          <w:rFonts w:ascii="Times New Roman" w:hAnsi="Times New Roman" w:cs="Times New Roman"/>
          <w:bCs/>
          <w:sz w:val="24"/>
          <w:szCs w:val="24"/>
        </w:rPr>
        <w:t xml:space="preserve"> administración. </w:t>
      </w:r>
      <w:r w:rsidR="00040C2E">
        <w:rPr>
          <w:rFonts w:ascii="Times New Roman" w:hAnsi="Times New Roman" w:cs="Times New Roman"/>
          <w:bCs/>
          <w:sz w:val="24"/>
          <w:szCs w:val="24"/>
        </w:rPr>
        <w:t>Esto último se refleja en la falta de planeación en</w:t>
      </w:r>
      <w:r w:rsidRPr="00B60E6E">
        <w:rPr>
          <w:rFonts w:ascii="Times New Roman" w:hAnsi="Times New Roman" w:cs="Times New Roman"/>
          <w:bCs/>
          <w:sz w:val="24"/>
          <w:szCs w:val="24"/>
        </w:rPr>
        <w:t xml:space="preserve"> los recursos humanos,</w:t>
      </w:r>
      <w:r w:rsidR="00872D15">
        <w:rPr>
          <w:rFonts w:ascii="Times New Roman" w:hAnsi="Times New Roman" w:cs="Times New Roman"/>
          <w:bCs/>
          <w:sz w:val="24"/>
          <w:szCs w:val="24"/>
        </w:rPr>
        <w:t xml:space="preserve"> en</w:t>
      </w:r>
      <w:r w:rsidRPr="00B60E6E">
        <w:rPr>
          <w:rFonts w:ascii="Times New Roman" w:hAnsi="Times New Roman" w:cs="Times New Roman"/>
          <w:bCs/>
          <w:sz w:val="24"/>
          <w:szCs w:val="24"/>
        </w:rPr>
        <w:t xml:space="preserve"> </w:t>
      </w:r>
      <w:r w:rsidR="00872D15">
        <w:rPr>
          <w:rFonts w:ascii="Times New Roman" w:hAnsi="Times New Roman" w:cs="Times New Roman"/>
          <w:bCs/>
          <w:sz w:val="24"/>
          <w:szCs w:val="24"/>
        </w:rPr>
        <w:t xml:space="preserve">la </w:t>
      </w:r>
      <w:r w:rsidRPr="00B60E6E">
        <w:rPr>
          <w:rFonts w:ascii="Times New Roman" w:hAnsi="Times New Roman" w:cs="Times New Roman"/>
          <w:bCs/>
          <w:sz w:val="24"/>
          <w:szCs w:val="24"/>
        </w:rPr>
        <w:t xml:space="preserve">compra de insumos, materiales y finanzas, así como </w:t>
      </w:r>
      <w:r w:rsidR="00872D15">
        <w:rPr>
          <w:rFonts w:ascii="Times New Roman" w:hAnsi="Times New Roman" w:cs="Times New Roman"/>
          <w:bCs/>
          <w:sz w:val="24"/>
          <w:szCs w:val="24"/>
        </w:rPr>
        <w:t xml:space="preserve">en el </w:t>
      </w:r>
      <w:r w:rsidRPr="00B60E6E">
        <w:rPr>
          <w:rFonts w:ascii="Times New Roman" w:hAnsi="Times New Roman" w:cs="Times New Roman"/>
          <w:bCs/>
          <w:sz w:val="24"/>
          <w:szCs w:val="24"/>
        </w:rPr>
        <w:t>inadecuado control de existencias</w:t>
      </w:r>
      <w:r w:rsidR="006C35EF" w:rsidRPr="00B60E6E">
        <w:rPr>
          <w:rFonts w:ascii="Times New Roman" w:hAnsi="Times New Roman" w:cs="Times New Roman"/>
          <w:bCs/>
          <w:sz w:val="24"/>
          <w:szCs w:val="24"/>
        </w:rPr>
        <w:t xml:space="preserve"> </w:t>
      </w:r>
      <w:r w:rsidR="00B34457" w:rsidRPr="00B60E6E">
        <w:rPr>
          <w:rFonts w:ascii="Times New Roman" w:hAnsi="Times New Roman" w:cs="Times New Roman"/>
          <w:bCs/>
          <w:sz w:val="24"/>
          <w:szCs w:val="24"/>
        </w:rPr>
        <w:t>(</w:t>
      </w:r>
      <w:r w:rsidR="006C35EF" w:rsidRPr="00B60E6E">
        <w:rPr>
          <w:rFonts w:ascii="Times New Roman" w:hAnsi="Times New Roman" w:cs="Times New Roman"/>
          <w:bCs/>
          <w:sz w:val="24"/>
          <w:szCs w:val="24"/>
        </w:rPr>
        <w:t xml:space="preserve">Asiain </w:t>
      </w:r>
      <w:r w:rsidR="006C35EF" w:rsidRPr="00040C2E">
        <w:rPr>
          <w:rFonts w:ascii="Times New Roman" w:hAnsi="Times New Roman" w:cs="Times New Roman"/>
          <w:bCs/>
          <w:i/>
          <w:sz w:val="24"/>
          <w:szCs w:val="24"/>
        </w:rPr>
        <w:t>et al.</w:t>
      </w:r>
      <w:r w:rsidR="006C35EF" w:rsidRPr="00B60E6E">
        <w:rPr>
          <w:rFonts w:ascii="Times New Roman" w:hAnsi="Times New Roman" w:cs="Times New Roman"/>
          <w:bCs/>
          <w:sz w:val="24"/>
          <w:szCs w:val="24"/>
        </w:rPr>
        <w:t>, 2017</w:t>
      </w:r>
      <w:r w:rsidR="00B34457" w:rsidRPr="00B60E6E">
        <w:rPr>
          <w:rFonts w:ascii="Times New Roman" w:hAnsi="Times New Roman" w:cs="Times New Roman"/>
          <w:bCs/>
          <w:sz w:val="24"/>
          <w:szCs w:val="24"/>
        </w:rPr>
        <w:t>)</w:t>
      </w:r>
      <w:r w:rsidRPr="00B60E6E">
        <w:rPr>
          <w:rFonts w:ascii="Times New Roman" w:hAnsi="Times New Roman" w:cs="Times New Roman"/>
          <w:bCs/>
          <w:sz w:val="24"/>
          <w:szCs w:val="24"/>
        </w:rPr>
        <w:t xml:space="preserve">. </w:t>
      </w:r>
      <w:r w:rsidR="00040C2E">
        <w:rPr>
          <w:rFonts w:ascii="Times New Roman" w:hAnsi="Times New Roman" w:cs="Times New Roman"/>
          <w:bCs/>
          <w:sz w:val="24"/>
          <w:szCs w:val="24"/>
        </w:rPr>
        <w:t>A esto se le debe sumar</w:t>
      </w:r>
      <w:r w:rsidR="00B46237" w:rsidRPr="00B60E6E">
        <w:rPr>
          <w:rFonts w:ascii="Times New Roman" w:hAnsi="Times New Roman" w:cs="Times New Roman"/>
          <w:bCs/>
          <w:sz w:val="24"/>
          <w:szCs w:val="24"/>
        </w:rPr>
        <w:t xml:space="preserve"> el </w:t>
      </w:r>
      <w:r w:rsidR="00040C2E">
        <w:rPr>
          <w:rFonts w:ascii="Times New Roman" w:hAnsi="Times New Roman" w:cs="Times New Roman"/>
          <w:bCs/>
          <w:sz w:val="24"/>
          <w:szCs w:val="24"/>
        </w:rPr>
        <w:t>escaso</w:t>
      </w:r>
      <w:r w:rsidR="00B46237" w:rsidRPr="00B60E6E">
        <w:rPr>
          <w:rFonts w:ascii="Times New Roman" w:hAnsi="Times New Roman" w:cs="Times New Roman"/>
          <w:bCs/>
          <w:sz w:val="24"/>
          <w:szCs w:val="24"/>
        </w:rPr>
        <w:t xml:space="preserve"> valor agregado</w:t>
      </w:r>
      <w:r w:rsidR="00872D15">
        <w:rPr>
          <w:rFonts w:ascii="Times New Roman" w:hAnsi="Times New Roman" w:cs="Times New Roman"/>
          <w:bCs/>
          <w:sz w:val="24"/>
          <w:szCs w:val="24"/>
        </w:rPr>
        <w:t xml:space="preserve"> del producto</w:t>
      </w:r>
      <w:r w:rsidR="00040C2E">
        <w:rPr>
          <w:rFonts w:ascii="Times New Roman" w:hAnsi="Times New Roman" w:cs="Times New Roman"/>
          <w:bCs/>
          <w:sz w:val="24"/>
          <w:szCs w:val="24"/>
        </w:rPr>
        <w:t>, lo cual</w:t>
      </w:r>
      <w:r w:rsidRPr="00B60E6E">
        <w:rPr>
          <w:rFonts w:ascii="Times New Roman" w:hAnsi="Times New Roman" w:cs="Times New Roman"/>
          <w:bCs/>
          <w:sz w:val="24"/>
          <w:szCs w:val="24"/>
        </w:rPr>
        <w:t xml:space="preserve"> </w:t>
      </w:r>
      <w:r w:rsidR="00040C2E">
        <w:rPr>
          <w:rFonts w:ascii="Times New Roman" w:hAnsi="Times New Roman" w:cs="Times New Roman"/>
          <w:bCs/>
          <w:sz w:val="24"/>
          <w:szCs w:val="24"/>
        </w:rPr>
        <w:t xml:space="preserve">fortalece </w:t>
      </w:r>
      <w:r w:rsidRPr="00B60E6E">
        <w:rPr>
          <w:rFonts w:ascii="Times New Roman" w:hAnsi="Times New Roman" w:cs="Times New Roman"/>
          <w:bCs/>
          <w:sz w:val="24"/>
          <w:szCs w:val="24"/>
        </w:rPr>
        <w:t xml:space="preserve">el poder de los compradores </w:t>
      </w:r>
      <w:r w:rsidR="00B34457" w:rsidRPr="00B60E6E">
        <w:rPr>
          <w:rFonts w:ascii="Times New Roman" w:hAnsi="Times New Roman" w:cs="Times New Roman"/>
          <w:bCs/>
          <w:sz w:val="24"/>
          <w:szCs w:val="24"/>
        </w:rPr>
        <w:t xml:space="preserve">en </w:t>
      </w:r>
      <w:r w:rsidR="009A42BB" w:rsidRPr="00B60E6E">
        <w:rPr>
          <w:rFonts w:ascii="Times New Roman" w:hAnsi="Times New Roman" w:cs="Times New Roman"/>
          <w:bCs/>
          <w:sz w:val="24"/>
          <w:szCs w:val="24"/>
        </w:rPr>
        <w:t xml:space="preserve">contra </w:t>
      </w:r>
      <w:r w:rsidR="00B34457" w:rsidRPr="00B60E6E">
        <w:rPr>
          <w:rFonts w:ascii="Times New Roman" w:hAnsi="Times New Roman" w:cs="Times New Roman"/>
          <w:bCs/>
          <w:sz w:val="24"/>
          <w:szCs w:val="24"/>
        </w:rPr>
        <w:t>d</w:t>
      </w:r>
      <w:r w:rsidR="009A42BB" w:rsidRPr="00B60E6E">
        <w:rPr>
          <w:rFonts w:ascii="Times New Roman" w:hAnsi="Times New Roman" w:cs="Times New Roman"/>
          <w:bCs/>
          <w:sz w:val="24"/>
          <w:szCs w:val="24"/>
        </w:rPr>
        <w:t>el agricultor</w:t>
      </w:r>
      <w:r w:rsidR="00872D15">
        <w:rPr>
          <w:rFonts w:ascii="Times New Roman" w:hAnsi="Times New Roman" w:cs="Times New Roman"/>
          <w:bCs/>
          <w:sz w:val="24"/>
          <w:szCs w:val="24"/>
        </w:rPr>
        <w:t>.</w:t>
      </w:r>
    </w:p>
    <w:p w14:paraId="077B74D8" w14:textId="67B00895" w:rsidR="00BF7B48" w:rsidRPr="00AB2FCD" w:rsidRDefault="00BF7B48" w:rsidP="00040C2E">
      <w:pPr>
        <w:pStyle w:val="Ttulo3"/>
        <w:rPr>
          <w:i w:val="0"/>
          <w:color w:val="auto"/>
          <w:sz w:val="24"/>
          <w:szCs w:val="24"/>
        </w:rPr>
      </w:pPr>
      <w:r w:rsidRPr="00AB2FCD">
        <w:rPr>
          <w:i w:val="0"/>
          <w:color w:val="auto"/>
          <w:sz w:val="24"/>
          <w:szCs w:val="24"/>
        </w:rPr>
        <w:t>Gobierno</w:t>
      </w:r>
    </w:p>
    <w:p w14:paraId="263E4049" w14:textId="3618DF59" w:rsidR="00BF7B48" w:rsidRPr="00B60E6E" w:rsidRDefault="00040C2E" w:rsidP="00BF7B48">
      <w:pPr>
        <w:autoSpaceDE w:val="0"/>
        <w:autoSpaceDN w:val="0"/>
        <w:adjustRightInd w:val="0"/>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BF7B48" w:rsidRPr="00B60E6E">
        <w:rPr>
          <w:rFonts w:ascii="Times New Roman" w:hAnsi="Times New Roman" w:cs="Times New Roman"/>
          <w:bCs/>
          <w:sz w:val="24"/>
          <w:szCs w:val="24"/>
        </w:rPr>
        <w:t>Teóricamente</w:t>
      </w:r>
      <w:r>
        <w:rPr>
          <w:rFonts w:ascii="Times New Roman" w:hAnsi="Times New Roman" w:cs="Times New Roman"/>
          <w:bCs/>
          <w:sz w:val="24"/>
          <w:szCs w:val="24"/>
        </w:rPr>
        <w:t>,</w:t>
      </w:r>
      <w:r w:rsidR="00BF7B48" w:rsidRPr="00B60E6E">
        <w:rPr>
          <w:rFonts w:ascii="Times New Roman" w:hAnsi="Times New Roman" w:cs="Times New Roman"/>
          <w:bCs/>
          <w:sz w:val="24"/>
          <w:szCs w:val="24"/>
        </w:rPr>
        <w:t xml:space="preserve"> el comercio exterior regulado es </w:t>
      </w:r>
      <w:r>
        <w:rPr>
          <w:rFonts w:ascii="Times New Roman" w:hAnsi="Times New Roman" w:cs="Times New Roman"/>
          <w:bCs/>
          <w:sz w:val="24"/>
          <w:szCs w:val="24"/>
        </w:rPr>
        <w:t>pésimo</w:t>
      </w:r>
      <w:r w:rsidR="00BF7B48" w:rsidRPr="00B60E6E">
        <w:rPr>
          <w:rFonts w:ascii="Times New Roman" w:hAnsi="Times New Roman" w:cs="Times New Roman"/>
          <w:bCs/>
          <w:sz w:val="24"/>
          <w:szCs w:val="24"/>
        </w:rPr>
        <w:t xml:space="preserve"> para las i</w:t>
      </w:r>
      <w:r w:rsidR="00B30689" w:rsidRPr="00B60E6E">
        <w:rPr>
          <w:rFonts w:ascii="Times New Roman" w:hAnsi="Times New Roman" w:cs="Times New Roman"/>
          <w:bCs/>
          <w:sz w:val="24"/>
          <w:szCs w:val="24"/>
        </w:rPr>
        <w:t>ndustrias en general.</w:t>
      </w:r>
      <w:r w:rsidR="00BF7B48" w:rsidRPr="00B60E6E">
        <w:rPr>
          <w:rFonts w:ascii="Times New Roman" w:hAnsi="Times New Roman" w:cs="Times New Roman"/>
          <w:bCs/>
          <w:sz w:val="24"/>
          <w:szCs w:val="24"/>
        </w:rPr>
        <w:t xml:space="preserve"> </w:t>
      </w:r>
      <w:r w:rsidR="000209CE">
        <w:rPr>
          <w:rFonts w:ascii="Times New Roman" w:hAnsi="Times New Roman" w:cs="Times New Roman"/>
          <w:bCs/>
          <w:sz w:val="24"/>
          <w:szCs w:val="24"/>
        </w:rPr>
        <w:t>Sin embargo, e</w:t>
      </w:r>
      <w:r w:rsidR="00BF7B48" w:rsidRPr="00B60E6E">
        <w:rPr>
          <w:rFonts w:ascii="Times New Roman" w:hAnsi="Times New Roman" w:cs="Times New Roman"/>
          <w:bCs/>
          <w:sz w:val="24"/>
          <w:szCs w:val="24"/>
        </w:rPr>
        <w:t>n esta secc</w:t>
      </w:r>
      <w:r w:rsidR="00B30689" w:rsidRPr="00B60E6E">
        <w:rPr>
          <w:rFonts w:ascii="Times New Roman" w:hAnsi="Times New Roman" w:cs="Times New Roman"/>
          <w:bCs/>
          <w:sz w:val="24"/>
          <w:szCs w:val="24"/>
        </w:rPr>
        <w:t xml:space="preserve">ión se </w:t>
      </w:r>
      <w:r w:rsidR="000209CE">
        <w:rPr>
          <w:rFonts w:ascii="Times New Roman" w:hAnsi="Times New Roman" w:cs="Times New Roman"/>
          <w:bCs/>
          <w:sz w:val="24"/>
          <w:szCs w:val="24"/>
        </w:rPr>
        <w:t>ubica</w:t>
      </w:r>
      <w:r w:rsidR="00B30689" w:rsidRPr="00B60E6E">
        <w:rPr>
          <w:rFonts w:ascii="Times New Roman" w:hAnsi="Times New Roman" w:cs="Times New Roman"/>
          <w:bCs/>
          <w:sz w:val="24"/>
          <w:szCs w:val="24"/>
        </w:rPr>
        <w:t xml:space="preserve"> como </w:t>
      </w:r>
      <w:r>
        <w:rPr>
          <w:rFonts w:ascii="Times New Roman" w:hAnsi="Times New Roman" w:cs="Times New Roman"/>
          <w:bCs/>
          <w:sz w:val="24"/>
          <w:szCs w:val="24"/>
        </w:rPr>
        <w:t>punto</w:t>
      </w:r>
      <w:r w:rsidR="00B30689" w:rsidRPr="00B60E6E">
        <w:rPr>
          <w:rFonts w:ascii="Times New Roman" w:hAnsi="Times New Roman" w:cs="Times New Roman"/>
          <w:bCs/>
          <w:sz w:val="24"/>
          <w:szCs w:val="24"/>
        </w:rPr>
        <w:t xml:space="preserve"> </w:t>
      </w:r>
      <w:r w:rsidR="000209CE">
        <w:rPr>
          <w:rFonts w:ascii="Times New Roman" w:hAnsi="Times New Roman" w:cs="Times New Roman"/>
          <w:bCs/>
          <w:sz w:val="24"/>
          <w:szCs w:val="24"/>
        </w:rPr>
        <w:t>favorable</w:t>
      </w:r>
      <w:r>
        <w:rPr>
          <w:rFonts w:ascii="Times New Roman" w:hAnsi="Times New Roman" w:cs="Times New Roman"/>
          <w:bCs/>
          <w:sz w:val="24"/>
          <w:szCs w:val="24"/>
        </w:rPr>
        <w:t xml:space="preserve"> porque</w:t>
      </w:r>
      <w:r w:rsidR="00BF7B48" w:rsidRPr="00B60E6E">
        <w:rPr>
          <w:rFonts w:ascii="Times New Roman" w:hAnsi="Times New Roman" w:cs="Times New Roman"/>
          <w:bCs/>
          <w:sz w:val="24"/>
          <w:szCs w:val="24"/>
        </w:rPr>
        <w:t xml:space="preserve"> México es uno de los países con más tratados comerciales en el mundo, </w:t>
      </w:r>
      <w:r w:rsidR="000209CE">
        <w:rPr>
          <w:rFonts w:ascii="Times New Roman" w:hAnsi="Times New Roman" w:cs="Times New Roman"/>
          <w:bCs/>
          <w:sz w:val="24"/>
          <w:szCs w:val="24"/>
        </w:rPr>
        <w:t>de modo que es uno de los que más posibilitan e</w:t>
      </w:r>
      <w:r w:rsidR="00B30689" w:rsidRPr="00B60E6E">
        <w:rPr>
          <w:rFonts w:ascii="Times New Roman" w:hAnsi="Times New Roman" w:cs="Times New Roman"/>
          <w:bCs/>
          <w:sz w:val="24"/>
          <w:szCs w:val="24"/>
        </w:rPr>
        <w:t>l libre mercado. Por su parte</w:t>
      </w:r>
      <w:r w:rsidR="00BF7B48" w:rsidRPr="00B60E6E">
        <w:rPr>
          <w:rFonts w:ascii="Times New Roman" w:hAnsi="Times New Roman" w:cs="Times New Roman"/>
          <w:bCs/>
          <w:sz w:val="24"/>
          <w:szCs w:val="24"/>
        </w:rPr>
        <w:t xml:space="preserve">, la política antimonopolística en el sector también se puede catalogar como </w:t>
      </w:r>
      <w:r w:rsidR="000209CE">
        <w:rPr>
          <w:rFonts w:ascii="Times New Roman" w:hAnsi="Times New Roman" w:cs="Times New Roman"/>
          <w:bCs/>
          <w:sz w:val="24"/>
          <w:szCs w:val="24"/>
        </w:rPr>
        <w:t>una variable beneficiosa</w:t>
      </w:r>
      <w:r w:rsidR="00BF7B48" w:rsidRPr="00B60E6E">
        <w:rPr>
          <w:rFonts w:ascii="Times New Roman" w:hAnsi="Times New Roman" w:cs="Times New Roman"/>
          <w:bCs/>
          <w:sz w:val="24"/>
          <w:szCs w:val="24"/>
        </w:rPr>
        <w:t xml:space="preserve"> para los agri</w:t>
      </w:r>
      <w:r w:rsidR="000209CE">
        <w:rPr>
          <w:rFonts w:ascii="Times New Roman" w:hAnsi="Times New Roman" w:cs="Times New Roman"/>
          <w:bCs/>
          <w:sz w:val="24"/>
          <w:szCs w:val="24"/>
        </w:rPr>
        <w:t>cultores. No obstante, vale destacar que Calderón (2014)</w:t>
      </w:r>
      <w:r w:rsidR="00BF7B48" w:rsidRPr="00B60E6E">
        <w:rPr>
          <w:rFonts w:ascii="Times New Roman" w:hAnsi="Times New Roman" w:cs="Times New Roman"/>
          <w:bCs/>
          <w:sz w:val="24"/>
          <w:szCs w:val="24"/>
        </w:rPr>
        <w:t xml:space="preserve"> ha documentado que el </w:t>
      </w:r>
      <w:r w:rsidR="000209CE" w:rsidRPr="00B60E6E">
        <w:rPr>
          <w:rFonts w:ascii="Times New Roman" w:hAnsi="Times New Roman" w:cs="Times New Roman"/>
          <w:bCs/>
          <w:sz w:val="24"/>
          <w:szCs w:val="24"/>
        </w:rPr>
        <w:t xml:space="preserve">Tratado de Libre Comercio de América del Norte </w:t>
      </w:r>
      <w:r w:rsidR="000209CE">
        <w:rPr>
          <w:rFonts w:ascii="Times New Roman" w:hAnsi="Times New Roman" w:cs="Times New Roman"/>
          <w:bCs/>
          <w:sz w:val="24"/>
          <w:szCs w:val="24"/>
        </w:rPr>
        <w:t>(TLCAN</w:t>
      </w:r>
      <w:r w:rsidR="00BF7B48" w:rsidRPr="00B60E6E">
        <w:rPr>
          <w:rFonts w:ascii="Times New Roman" w:hAnsi="Times New Roman" w:cs="Times New Roman"/>
          <w:bCs/>
          <w:sz w:val="24"/>
          <w:szCs w:val="24"/>
        </w:rPr>
        <w:t xml:space="preserve">) ha </w:t>
      </w:r>
      <w:r w:rsidR="000209CE">
        <w:rPr>
          <w:rFonts w:ascii="Times New Roman" w:hAnsi="Times New Roman" w:cs="Times New Roman"/>
          <w:bCs/>
          <w:sz w:val="24"/>
          <w:szCs w:val="24"/>
        </w:rPr>
        <w:t>resultado</w:t>
      </w:r>
      <w:r w:rsidR="00BF7B48" w:rsidRPr="00B60E6E">
        <w:rPr>
          <w:rFonts w:ascii="Times New Roman" w:hAnsi="Times New Roman" w:cs="Times New Roman"/>
          <w:bCs/>
          <w:sz w:val="24"/>
          <w:szCs w:val="24"/>
        </w:rPr>
        <w:t xml:space="preserve"> </w:t>
      </w:r>
      <w:r w:rsidR="000209CE">
        <w:rPr>
          <w:rFonts w:ascii="Times New Roman" w:hAnsi="Times New Roman" w:cs="Times New Roman"/>
          <w:bCs/>
          <w:sz w:val="24"/>
          <w:szCs w:val="24"/>
        </w:rPr>
        <w:t>perjudicial</w:t>
      </w:r>
      <w:r w:rsidR="00BF7B48" w:rsidRPr="00B60E6E">
        <w:rPr>
          <w:rFonts w:ascii="Times New Roman" w:hAnsi="Times New Roman" w:cs="Times New Roman"/>
          <w:bCs/>
          <w:sz w:val="24"/>
          <w:szCs w:val="24"/>
        </w:rPr>
        <w:t xml:space="preserve"> para algunos exportadores mexicanos del sector agrícola</w:t>
      </w:r>
      <w:r w:rsidR="000209CE">
        <w:rPr>
          <w:rFonts w:ascii="Times New Roman" w:hAnsi="Times New Roman" w:cs="Times New Roman"/>
          <w:bCs/>
          <w:sz w:val="24"/>
          <w:szCs w:val="24"/>
        </w:rPr>
        <w:t xml:space="preserve">, los cuales deben competir </w:t>
      </w:r>
      <w:r w:rsidR="00BF7B48" w:rsidRPr="00B60E6E">
        <w:rPr>
          <w:rFonts w:ascii="Times New Roman" w:hAnsi="Times New Roman" w:cs="Times New Roman"/>
          <w:bCs/>
          <w:sz w:val="24"/>
          <w:szCs w:val="24"/>
        </w:rPr>
        <w:t xml:space="preserve">con </w:t>
      </w:r>
      <w:r w:rsidR="005F691C">
        <w:rPr>
          <w:rFonts w:ascii="Times New Roman" w:hAnsi="Times New Roman" w:cs="Times New Roman"/>
          <w:bCs/>
          <w:sz w:val="24"/>
          <w:szCs w:val="24"/>
        </w:rPr>
        <w:t xml:space="preserve">más </w:t>
      </w:r>
      <w:r w:rsidR="00BF7B48" w:rsidRPr="00B60E6E">
        <w:rPr>
          <w:rFonts w:ascii="Times New Roman" w:hAnsi="Times New Roman" w:cs="Times New Roman"/>
          <w:bCs/>
          <w:sz w:val="24"/>
          <w:szCs w:val="24"/>
        </w:rPr>
        <w:t xml:space="preserve">países. Además, </w:t>
      </w:r>
      <w:r w:rsidR="000209CE">
        <w:rPr>
          <w:rFonts w:ascii="Times New Roman" w:hAnsi="Times New Roman" w:cs="Times New Roman"/>
          <w:bCs/>
          <w:sz w:val="24"/>
          <w:szCs w:val="24"/>
        </w:rPr>
        <w:t>este</w:t>
      </w:r>
      <w:r w:rsidR="00612C3E" w:rsidRPr="00B60E6E">
        <w:rPr>
          <w:rFonts w:ascii="Times New Roman" w:hAnsi="Times New Roman" w:cs="Times New Roman"/>
          <w:bCs/>
          <w:sz w:val="24"/>
          <w:szCs w:val="24"/>
        </w:rPr>
        <w:t xml:space="preserve"> autor </w:t>
      </w:r>
      <w:r w:rsidR="00BF7B48" w:rsidRPr="00B60E6E">
        <w:rPr>
          <w:rFonts w:ascii="Times New Roman" w:hAnsi="Times New Roman" w:cs="Times New Roman"/>
          <w:bCs/>
          <w:sz w:val="24"/>
          <w:szCs w:val="24"/>
        </w:rPr>
        <w:t xml:space="preserve">resalta que actualmente </w:t>
      </w:r>
      <w:r w:rsidR="00872D15">
        <w:rPr>
          <w:rFonts w:ascii="Times New Roman" w:hAnsi="Times New Roman" w:cs="Times New Roman"/>
          <w:bCs/>
          <w:sz w:val="24"/>
          <w:szCs w:val="24"/>
        </w:rPr>
        <w:t>hay</w:t>
      </w:r>
      <w:r w:rsidR="00BF7B48" w:rsidRPr="00B60E6E">
        <w:rPr>
          <w:rFonts w:ascii="Times New Roman" w:hAnsi="Times New Roman" w:cs="Times New Roman"/>
          <w:bCs/>
          <w:sz w:val="24"/>
          <w:szCs w:val="24"/>
        </w:rPr>
        <w:t xml:space="preserve"> una dependencia alimentaria de México con </w:t>
      </w:r>
      <w:r w:rsidR="000209CE">
        <w:rPr>
          <w:rFonts w:ascii="Times New Roman" w:hAnsi="Times New Roman" w:cs="Times New Roman"/>
          <w:bCs/>
          <w:sz w:val="24"/>
          <w:szCs w:val="24"/>
        </w:rPr>
        <w:t>EE. UU.</w:t>
      </w:r>
      <w:r w:rsidR="00BF7B48" w:rsidRPr="00B60E6E">
        <w:rPr>
          <w:rFonts w:ascii="Times New Roman" w:hAnsi="Times New Roman" w:cs="Times New Roman"/>
          <w:bCs/>
          <w:sz w:val="24"/>
          <w:szCs w:val="24"/>
        </w:rPr>
        <w:t xml:space="preserve">, </w:t>
      </w:r>
      <w:r w:rsidR="00872D15">
        <w:rPr>
          <w:rFonts w:ascii="Times New Roman" w:hAnsi="Times New Roman" w:cs="Times New Roman"/>
          <w:bCs/>
          <w:sz w:val="24"/>
          <w:szCs w:val="24"/>
        </w:rPr>
        <w:t>la</w:t>
      </w:r>
      <w:r w:rsidR="000209CE">
        <w:rPr>
          <w:rFonts w:ascii="Times New Roman" w:hAnsi="Times New Roman" w:cs="Times New Roman"/>
          <w:bCs/>
          <w:sz w:val="24"/>
          <w:szCs w:val="24"/>
        </w:rPr>
        <w:t xml:space="preserve"> cual se ha incrementado </w:t>
      </w:r>
      <w:r w:rsidR="00BF7B48" w:rsidRPr="00B60E6E">
        <w:rPr>
          <w:rFonts w:ascii="Times New Roman" w:hAnsi="Times New Roman" w:cs="Times New Roman"/>
          <w:bCs/>
          <w:sz w:val="24"/>
          <w:szCs w:val="24"/>
        </w:rPr>
        <w:t>aún más desde la firma del TLCAN.</w:t>
      </w:r>
    </w:p>
    <w:p w14:paraId="3D3504BD" w14:textId="0477F13F" w:rsidR="00BF7B48" w:rsidRPr="00B60E6E" w:rsidRDefault="00872D15" w:rsidP="00BF7B48">
      <w:pPr>
        <w:autoSpaceDE w:val="0"/>
        <w:autoSpaceDN w:val="0"/>
        <w:adjustRightInd w:val="0"/>
        <w:spacing w:before="100" w:beforeAutospacing="1" w:after="100" w:afterAutospacing="1"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Asimismo, e</w:t>
      </w:r>
      <w:r w:rsidR="00BF7B48" w:rsidRPr="00B60E6E">
        <w:rPr>
          <w:rFonts w:ascii="Times New Roman" w:hAnsi="Times New Roman" w:cs="Times New Roman"/>
          <w:bCs/>
          <w:sz w:val="24"/>
          <w:szCs w:val="24"/>
        </w:rPr>
        <w:t>xisten varios puntos que afectan</w:t>
      </w:r>
      <w:r w:rsidR="00596461" w:rsidRPr="00B60E6E">
        <w:rPr>
          <w:rFonts w:ascii="Times New Roman" w:hAnsi="Times New Roman" w:cs="Times New Roman"/>
          <w:bCs/>
          <w:sz w:val="24"/>
          <w:szCs w:val="24"/>
        </w:rPr>
        <w:t xml:space="preserve"> la actividad productiva de </w:t>
      </w:r>
      <w:r w:rsidR="00063476" w:rsidRPr="00B60E6E">
        <w:rPr>
          <w:rFonts w:ascii="Times New Roman" w:hAnsi="Times New Roman" w:cs="Times New Roman"/>
          <w:bCs/>
          <w:sz w:val="24"/>
          <w:szCs w:val="24"/>
        </w:rPr>
        <w:t xml:space="preserve">la </w:t>
      </w:r>
      <w:r w:rsidR="00596461" w:rsidRPr="00B60E6E">
        <w:rPr>
          <w:rFonts w:ascii="Times New Roman" w:hAnsi="Times New Roman" w:cs="Times New Roman"/>
          <w:bCs/>
          <w:sz w:val="24"/>
          <w:szCs w:val="24"/>
        </w:rPr>
        <w:t>m</w:t>
      </w:r>
      <w:r w:rsidR="000209CE">
        <w:rPr>
          <w:rFonts w:ascii="Times New Roman" w:hAnsi="Times New Roman" w:cs="Times New Roman"/>
          <w:bCs/>
          <w:sz w:val="24"/>
          <w:szCs w:val="24"/>
        </w:rPr>
        <w:t>alanga, entre los que se destaca</w:t>
      </w:r>
      <w:r w:rsidR="00BF7B48" w:rsidRPr="00B60E6E">
        <w:rPr>
          <w:rFonts w:ascii="Times New Roman" w:hAnsi="Times New Roman" w:cs="Times New Roman"/>
          <w:bCs/>
          <w:sz w:val="24"/>
          <w:szCs w:val="24"/>
        </w:rPr>
        <w:t xml:space="preserve"> </w:t>
      </w:r>
      <w:r w:rsidR="00596461" w:rsidRPr="00B60E6E">
        <w:rPr>
          <w:rFonts w:ascii="Times New Roman" w:hAnsi="Times New Roman" w:cs="Times New Roman"/>
          <w:bCs/>
          <w:sz w:val="24"/>
          <w:szCs w:val="24"/>
        </w:rPr>
        <w:t xml:space="preserve">una </w:t>
      </w:r>
      <w:r w:rsidR="000209CE">
        <w:rPr>
          <w:rFonts w:ascii="Times New Roman" w:hAnsi="Times New Roman" w:cs="Times New Roman"/>
          <w:bCs/>
          <w:sz w:val="24"/>
          <w:szCs w:val="24"/>
        </w:rPr>
        <w:t>insuficiente</w:t>
      </w:r>
      <w:r w:rsidR="00596461" w:rsidRPr="00B60E6E">
        <w:rPr>
          <w:rFonts w:ascii="Times New Roman" w:hAnsi="Times New Roman" w:cs="Times New Roman"/>
          <w:bCs/>
          <w:sz w:val="24"/>
          <w:szCs w:val="24"/>
        </w:rPr>
        <w:t xml:space="preserve"> </w:t>
      </w:r>
      <w:r w:rsidR="00BF7B48" w:rsidRPr="00B60E6E">
        <w:rPr>
          <w:rFonts w:ascii="Times New Roman" w:hAnsi="Times New Roman" w:cs="Times New Roman"/>
          <w:bCs/>
          <w:sz w:val="24"/>
          <w:szCs w:val="24"/>
        </w:rPr>
        <w:t>promoci</w:t>
      </w:r>
      <w:r w:rsidR="00596461" w:rsidRPr="00B60E6E">
        <w:rPr>
          <w:rFonts w:ascii="Times New Roman" w:hAnsi="Times New Roman" w:cs="Times New Roman"/>
          <w:bCs/>
          <w:sz w:val="24"/>
          <w:szCs w:val="24"/>
        </w:rPr>
        <w:t>ón de inversión continua</w:t>
      </w:r>
      <w:r w:rsidR="00D13EBA" w:rsidRPr="00B60E6E">
        <w:rPr>
          <w:rFonts w:ascii="Times New Roman" w:hAnsi="Times New Roman" w:cs="Times New Roman"/>
          <w:bCs/>
          <w:sz w:val="24"/>
          <w:szCs w:val="24"/>
        </w:rPr>
        <w:t xml:space="preserve"> por parte del gobierno</w:t>
      </w:r>
      <w:r w:rsidR="00BF7B48" w:rsidRPr="00B60E6E">
        <w:rPr>
          <w:rFonts w:ascii="Times New Roman" w:hAnsi="Times New Roman" w:cs="Times New Roman"/>
          <w:bCs/>
          <w:sz w:val="24"/>
          <w:szCs w:val="24"/>
        </w:rPr>
        <w:t xml:space="preserve">, </w:t>
      </w:r>
      <w:r w:rsidR="000209CE">
        <w:rPr>
          <w:rFonts w:ascii="Times New Roman" w:hAnsi="Times New Roman" w:cs="Times New Roman"/>
          <w:bCs/>
          <w:sz w:val="24"/>
          <w:szCs w:val="24"/>
        </w:rPr>
        <w:t xml:space="preserve">que solo se materializa </w:t>
      </w:r>
      <w:r w:rsidR="00D13EBA" w:rsidRPr="00B60E6E">
        <w:rPr>
          <w:rFonts w:ascii="Times New Roman" w:hAnsi="Times New Roman" w:cs="Times New Roman"/>
          <w:bCs/>
          <w:sz w:val="24"/>
          <w:szCs w:val="24"/>
        </w:rPr>
        <w:t>en algunos</w:t>
      </w:r>
      <w:r w:rsidR="00D96BF6" w:rsidRPr="00B60E6E">
        <w:rPr>
          <w:rFonts w:ascii="Times New Roman" w:hAnsi="Times New Roman" w:cs="Times New Roman"/>
          <w:bCs/>
          <w:sz w:val="24"/>
          <w:szCs w:val="24"/>
        </w:rPr>
        <w:t xml:space="preserve"> programas de apoyo </w:t>
      </w:r>
      <w:r w:rsidR="00874803" w:rsidRPr="00B60E6E">
        <w:rPr>
          <w:rFonts w:ascii="Times New Roman" w:hAnsi="Times New Roman" w:cs="Times New Roman"/>
          <w:bCs/>
          <w:sz w:val="24"/>
          <w:szCs w:val="24"/>
        </w:rPr>
        <w:t>para los campesinos</w:t>
      </w:r>
      <w:r w:rsidR="000209CE">
        <w:rPr>
          <w:rFonts w:ascii="Times New Roman" w:hAnsi="Times New Roman" w:cs="Times New Roman"/>
          <w:bCs/>
          <w:sz w:val="24"/>
          <w:szCs w:val="24"/>
        </w:rPr>
        <w:t>. Aunado a esto, se debe mencionar que</w:t>
      </w:r>
      <w:r w:rsidR="00D13EBA" w:rsidRPr="00B60E6E">
        <w:rPr>
          <w:rFonts w:ascii="Times New Roman" w:hAnsi="Times New Roman" w:cs="Times New Roman"/>
          <w:bCs/>
          <w:sz w:val="24"/>
          <w:szCs w:val="24"/>
        </w:rPr>
        <w:t xml:space="preserve"> l</w:t>
      </w:r>
      <w:r w:rsidR="00BF7B48" w:rsidRPr="00B60E6E">
        <w:rPr>
          <w:rFonts w:ascii="Times New Roman" w:hAnsi="Times New Roman" w:cs="Times New Roman"/>
          <w:bCs/>
          <w:sz w:val="24"/>
          <w:szCs w:val="24"/>
        </w:rPr>
        <w:t xml:space="preserve">a inversión por parte del agricultor </w:t>
      </w:r>
      <w:r w:rsidR="000209CE">
        <w:rPr>
          <w:rFonts w:ascii="Times New Roman" w:hAnsi="Times New Roman" w:cs="Times New Roman"/>
          <w:bCs/>
          <w:sz w:val="24"/>
          <w:szCs w:val="24"/>
        </w:rPr>
        <w:t xml:space="preserve">también </w:t>
      </w:r>
      <w:r w:rsidR="00BF7B48" w:rsidRPr="00B60E6E">
        <w:rPr>
          <w:rFonts w:ascii="Times New Roman" w:hAnsi="Times New Roman" w:cs="Times New Roman"/>
          <w:bCs/>
          <w:sz w:val="24"/>
          <w:szCs w:val="24"/>
        </w:rPr>
        <w:t xml:space="preserve">tiende a ser muy baja. </w:t>
      </w:r>
      <w:r w:rsidR="00D13EBA" w:rsidRPr="00B60E6E">
        <w:rPr>
          <w:rFonts w:ascii="Times New Roman" w:hAnsi="Times New Roman" w:cs="Times New Roman"/>
          <w:bCs/>
          <w:sz w:val="24"/>
          <w:szCs w:val="24"/>
        </w:rPr>
        <w:t>En lo que respecta a</w:t>
      </w:r>
      <w:r w:rsidR="00BF7B48" w:rsidRPr="00B60E6E">
        <w:rPr>
          <w:rFonts w:ascii="Times New Roman" w:hAnsi="Times New Roman" w:cs="Times New Roman"/>
          <w:bCs/>
          <w:sz w:val="24"/>
          <w:szCs w:val="24"/>
        </w:rPr>
        <w:t xml:space="preserve"> la intervención del Estado en los mercados de factores y </w:t>
      </w:r>
      <w:r w:rsidR="005B52D1" w:rsidRPr="00B60E6E">
        <w:rPr>
          <w:rFonts w:ascii="Times New Roman" w:hAnsi="Times New Roman" w:cs="Times New Roman"/>
          <w:bCs/>
          <w:sz w:val="24"/>
          <w:szCs w:val="24"/>
        </w:rPr>
        <w:t>dinero</w:t>
      </w:r>
      <w:r w:rsidR="00995BEB" w:rsidRPr="00B60E6E">
        <w:rPr>
          <w:rFonts w:ascii="Times New Roman" w:hAnsi="Times New Roman" w:cs="Times New Roman"/>
          <w:bCs/>
          <w:sz w:val="24"/>
          <w:szCs w:val="24"/>
        </w:rPr>
        <w:t>,</w:t>
      </w:r>
      <w:r w:rsidR="00BF7B48" w:rsidRPr="00B60E6E">
        <w:rPr>
          <w:rFonts w:ascii="Times New Roman" w:hAnsi="Times New Roman" w:cs="Times New Roman"/>
          <w:bCs/>
          <w:sz w:val="24"/>
          <w:szCs w:val="24"/>
        </w:rPr>
        <w:t xml:space="preserve"> </w:t>
      </w:r>
      <w:r w:rsidR="00995BEB" w:rsidRPr="00B60E6E">
        <w:rPr>
          <w:rFonts w:ascii="Times New Roman" w:hAnsi="Times New Roman" w:cs="Times New Roman"/>
          <w:bCs/>
          <w:sz w:val="24"/>
          <w:szCs w:val="24"/>
        </w:rPr>
        <w:t>aún</w:t>
      </w:r>
      <w:r w:rsidR="00205EF1" w:rsidRPr="00B60E6E">
        <w:rPr>
          <w:rFonts w:ascii="Times New Roman" w:hAnsi="Times New Roman" w:cs="Times New Roman"/>
          <w:bCs/>
          <w:sz w:val="24"/>
          <w:szCs w:val="24"/>
        </w:rPr>
        <w:t xml:space="preserve"> </w:t>
      </w:r>
      <w:r w:rsidR="00995BEB" w:rsidRPr="00B60E6E">
        <w:rPr>
          <w:rFonts w:ascii="Times New Roman" w:hAnsi="Times New Roman" w:cs="Times New Roman"/>
          <w:bCs/>
          <w:sz w:val="24"/>
          <w:szCs w:val="24"/>
        </w:rPr>
        <w:t>se presenta</w:t>
      </w:r>
      <w:r w:rsidR="00BF7B48" w:rsidRPr="00B60E6E">
        <w:rPr>
          <w:rFonts w:ascii="Times New Roman" w:hAnsi="Times New Roman" w:cs="Times New Roman"/>
          <w:bCs/>
          <w:sz w:val="24"/>
          <w:szCs w:val="24"/>
        </w:rPr>
        <w:t xml:space="preserve"> ante los </w:t>
      </w:r>
      <w:r w:rsidR="00BF7B48" w:rsidRPr="00B60E6E">
        <w:rPr>
          <w:rFonts w:ascii="Times New Roman" w:hAnsi="Times New Roman" w:cs="Times New Roman"/>
          <w:bCs/>
          <w:sz w:val="24"/>
          <w:szCs w:val="24"/>
        </w:rPr>
        <w:lastRenderedPageBreak/>
        <w:t>desequilibrios económicos globales</w:t>
      </w:r>
      <w:r w:rsidR="005B52D1" w:rsidRPr="00B60E6E">
        <w:rPr>
          <w:rFonts w:ascii="Times New Roman" w:hAnsi="Times New Roman" w:cs="Times New Roman"/>
          <w:bCs/>
          <w:sz w:val="24"/>
          <w:szCs w:val="24"/>
        </w:rPr>
        <w:t>,</w:t>
      </w:r>
      <w:r w:rsidR="00BF7B48" w:rsidRPr="00B60E6E">
        <w:rPr>
          <w:rFonts w:ascii="Times New Roman" w:hAnsi="Times New Roman" w:cs="Times New Roman"/>
          <w:bCs/>
          <w:sz w:val="24"/>
          <w:szCs w:val="24"/>
        </w:rPr>
        <w:t xml:space="preserve"> pero ca</w:t>
      </w:r>
      <w:r w:rsidR="000209CE">
        <w:rPr>
          <w:rFonts w:ascii="Times New Roman" w:hAnsi="Times New Roman" w:cs="Times New Roman"/>
          <w:bCs/>
          <w:sz w:val="24"/>
          <w:szCs w:val="24"/>
        </w:rPr>
        <w:t>da vez es menos común, mientras que</w:t>
      </w:r>
      <w:r w:rsidR="00BF7B48" w:rsidRPr="00B60E6E">
        <w:rPr>
          <w:rFonts w:ascii="Times New Roman" w:hAnsi="Times New Roman" w:cs="Times New Roman"/>
          <w:bCs/>
          <w:sz w:val="24"/>
          <w:szCs w:val="24"/>
        </w:rPr>
        <w:t xml:space="preserve"> las normas </w:t>
      </w:r>
      <w:r>
        <w:rPr>
          <w:rFonts w:ascii="Times New Roman" w:hAnsi="Times New Roman" w:cs="Times New Roman"/>
          <w:bCs/>
          <w:sz w:val="24"/>
          <w:szCs w:val="24"/>
        </w:rPr>
        <w:t>para la</w:t>
      </w:r>
      <w:r w:rsidR="00BF7B48" w:rsidRPr="00B60E6E">
        <w:rPr>
          <w:rFonts w:ascii="Times New Roman" w:hAnsi="Times New Roman" w:cs="Times New Roman"/>
          <w:bCs/>
          <w:sz w:val="24"/>
          <w:szCs w:val="24"/>
        </w:rPr>
        <w:t xml:space="preserve"> protección de productos, seguridad y ambiente </w:t>
      </w:r>
      <w:r w:rsidR="000209CE">
        <w:rPr>
          <w:rFonts w:ascii="Times New Roman" w:hAnsi="Times New Roman" w:cs="Times New Roman"/>
          <w:bCs/>
          <w:sz w:val="24"/>
          <w:szCs w:val="24"/>
        </w:rPr>
        <w:t>todavía</w:t>
      </w:r>
      <w:r w:rsidR="00BF7B48" w:rsidRPr="00B60E6E">
        <w:rPr>
          <w:rFonts w:ascii="Times New Roman" w:hAnsi="Times New Roman" w:cs="Times New Roman"/>
          <w:bCs/>
          <w:sz w:val="24"/>
          <w:szCs w:val="24"/>
        </w:rPr>
        <w:t xml:space="preserve"> se encuentran en una etapa </w:t>
      </w:r>
      <w:r>
        <w:rPr>
          <w:rFonts w:ascii="Times New Roman" w:hAnsi="Times New Roman" w:cs="Times New Roman"/>
          <w:bCs/>
          <w:sz w:val="24"/>
          <w:szCs w:val="24"/>
        </w:rPr>
        <w:t>incipiente</w:t>
      </w:r>
      <w:r w:rsidR="00BF7B48" w:rsidRPr="00B60E6E">
        <w:rPr>
          <w:rFonts w:ascii="Times New Roman" w:hAnsi="Times New Roman" w:cs="Times New Roman"/>
          <w:bCs/>
          <w:sz w:val="24"/>
          <w:szCs w:val="24"/>
        </w:rPr>
        <w:t xml:space="preserve"> pa</w:t>
      </w:r>
      <w:r>
        <w:rPr>
          <w:rFonts w:ascii="Times New Roman" w:hAnsi="Times New Roman" w:cs="Times New Roman"/>
          <w:bCs/>
          <w:sz w:val="24"/>
          <w:szCs w:val="24"/>
        </w:rPr>
        <w:t>ra su aplicación.</w:t>
      </w:r>
    </w:p>
    <w:p w14:paraId="3603A6CB" w14:textId="6746251A" w:rsidR="00BF7B48" w:rsidRPr="00AB2FCD" w:rsidRDefault="00BF7B48" w:rsidP="003D0124">
      <w:pPr>
        <w:pStyle w:val="Ttulo3"/>
        <w:rPr>
          <w:i w:val="0"/>
          <w:color w:val="auto"/>
          <w:sz w:val="24"/>
          <w:szCs w:val="24"/>
        </w:rPr>
      </w:pPr>
      <w:r w:rsidRPr="00AB2FCD">
        <w:rPr>
          <w:i w:val="0"/>
          <w:color w:val="auto"/>
          <w:sz w:val="24"/>
          <w:szCs w:val="24"/>
        </w:rPr>
        <w:t>Casualidad o azar</w:t>
      </w:r>
    </w:p>
    <w:p w14:paraId="4522954F" w14:textId="1B885816" w:rsidR="00BF7B48" w:rsidRPr="00B60E6E" w:rsidRDefault="003D0124" w:rsidP="00BF7B48">
      <w:pPr>
        <w:autoSpaceDE w:val="0"/>
        <w:autoSpaceDN w:val="0"/>
        <w:adjustRightInd w:val="0"/>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612C3E" w:rsidRPr="00B60E6E">
        <w:rPr>
          <w:rFonts w:ascii="Times New Roman" w:hAnsi="Times New Roman" w:cs="Times New Roman"/>
          <w:bCs/>
          <w:sz w:val="24"/>
          <w:szCs w:val="24"/>
        </w:rPr>
        <w:t>L</w:t>
      </w:r>
      <w:r w:rsidR="00BF7B48" w:rsidRPr="00B60E6E">
        <w:rPr>
          <w:rFonts w:ascii="Times New Roman" w:hAnsi="Times New Roman" w:cs="Times New Roman"/>
          <w:bCs/>
          <w:sz w:val="24"/>
          <w:szCs w:val="24"/>
        </w:rPr>
        <w:t xml:space="preserve">os agricultores de malanga están expuestos a la </w:t>
      </w:r>
      <w:r w:rsidR="00612C3E" w:rsidRPr="00B60E6E">
        <w:rPr>
          <w:rFonts w:ascii="Times New Roman" w:hAnsi="Times New Roman" w:cs="Times New Roman"/>
          <w:bCs/>
          <w:sz w:val="24"/>
          <w:szCs w:val="24"/>
        </w:rPr>
        <w:t>aleatorie</w:t>
      </w:r>
      <w:r w:rsidR="00BF7B48" w:rsidRPr="00B60E6E">
        <w:rPr>
          <w:rFonts w:ascii="Times New Roman" w:hAnsi="Times New Roman" w:cs="Times New Roman"/>
          <w:bCs/>
          <w:sz w:val="24"/>
          <w:szCs w:val="24"/>
        </w:rPr>
        <w:t xml:space="preserve">dad de eventos. En primer </w:t>
      </w:r>
      <w:r w:rsidR="005750CB" w:rsidRPr="00B60E6E">
        <w:rPr>
          <w:rFonts w:ascii="Times New Roman" w:hAnsi="Times New Roman" w:cs="Times New Roman"/>
          <w:bCs/>
          <w:sz w:val="24"/>
          <w:szCs w:val="24"/>
        </w:rPr>
        <w:t>lugar,</w:t>
      </w:r>
      <w:r w:rsidR="00BF7B48" w:rsidRPr="00B60E6E">
        <w:rPr>
          <w:rFonts w:ascii="Times New Roman" w:hAnsi="Times New Roman" w:cs="Times New Roman"/>
          <w:bCs/>
          <w:sz w:val="24"/>
          <w:szCs w:val="24"/>
        </w:rPr>
        <w:t xml:space="preserve"> se encuentra la </w:t>
      </w:r>
      <w:r w:rsidR="00872D15" w:rsidRPr="00B60E6E">
        <w:rPr>
          <w:rFonts w:ascii="Times New Roman" w:hAnsi="Times New Roman" w:cs="Times New Roman"/>
          <w:bCs/>
          <w:sz w:val="24"/>
          <w:szCs w:val="24"/>
        </w:rPr>
        <w:t>fluctuación</w:t>
      </w:r>
      <w:r w:rsidR="00BF7B48" w:rsidRPr="00B60E6E">
        <w:rPr>
          <w:rFonts w:ascii="Times New Roman" w:hAnsi="Times New Roman" w:cs="Times New Roman"/>
          <w:bCs/>
          <w:sz w:val="24"/>
          <w:szCs w:val="24"/>
        </w:rPr>
        <w:t xml:space="preserve"> económica nacional que podría presentarse por diversas causas. En segundo </w:t>
      </w:r>
      <w:r w:rsidR="005750CB" w:rsidRPr="00B60E6E">
        <w:rPr>
          <w:rFonts w:ascii="Times New Roman" w:hAnsi="Times New Roman" w:cs="Times New Roman"/>
          <w:bCs/>
          <w:sz w:val="24"/>
          <w:szCs w:val="24"/>
        </w:rPr>
        <w:t>lugar,</w:t>
      </w:r>
      <w:r w:rsidR="00BF7B48" w:rsidRPr="00B60E6E">
        <w:rPr>
          <w:rFonts w:ascii="Times New Roman" w:hAnsi="Times New Roman" w:cs="Times New Roman"/>
          <w:bCs/>
          <w:sz w:val="24"/>
          <w:szCs w:val="24"/>
        </w:rPr>
        <w:t xml:space="preserve"> los agricultores podrían ser afectados por la inestabilidad global, en especial por desequilibrios provenientes de </w:t>
      </w:r>
      <w:r>
        <w:rPr>
          <w:rFonts w:ascii="Times New Roman" w:hAnsi="Times New Roman" w:cs="Times New Roman"/>
          <w:bCs/>
          <w:sz w:val="24"/>
          <w:szCs w:val="24"/>
        </w:rPr>
        <w:t>EE. UU</w:t>
      </w:r>
      <w:r w:rsidR="00BF7B48" w:rsidRPr="00B60E6E">
        <w:rPr>
          <w:rFonts w:ascii="Times New Roman" w:hAnsi="Times New Roman" w:cs="Times New Roman"/>
          <w:bCs/>
          <w:sz w:val="24"/>
          <w:szCs w:val="24"/>
        </w:rPr>
        <w:t>.</w:t>
      </w:r>
      <w:r>
        <w:rPr>
          <w:rFonts w:ascii="Times New Roman" w:hAnsi="Times New Roman" w:cs="Times New Roman"/>
          <w:bCs/>
          <w:sz w:val="24"/>
          <w:szCs w:val="24"/>
        </w:rPr>
        <w:t xml:space="preserve"> P</w:t>
      </w:r>
      <w:r w:rsidR="005750CB" w:rsidRPr="00B60E6E">
        <w:rPr>
          <w:rFonts w:ascii="Times New Roman" w:hAnsi="Times New Roman" w:cs="Times New Roman"/>
          <w:bCs/>
          <w:sz w:val="24"/>
          <w:szCs w:val="24"/>
        </w:rPr>
        <w:t>or último,</w:t>
      </w:r>
      <w:r w:rsidR="00BF7B48" w:rsidRPr="00B60E6E">
        <w:rPr>
          <w:rFonts w:ascii="Times New Roman" w:hAnsi="Times New Roman" w:cs="Times New Roman"/>
          <w:bCs/>
          <w:sz w:val="24"/>
          <w:szCs w:val="24"/>
        </w:rPr>
        <w:t xml:space="preserve"> los desastres naturales son otros aspectos que provienen de la casualidad y que pueden ocasionar p</w:t>
      </w:r>
      <w:r w:rsidR="00612C3E" w:rsidRPr="00B60E6E">
        <w:rPr>
          <w:rFonts w:ascii="Times New Roman" w:hAnsi="Times New Roman" w:cs="Times New Roman"/>
          <w:bCs/>
          <w:sz w:val="24"/>
          <w:szCs w:val="24"/>
        </w:rPr>
        <w:t>é</w:t>
      </w:r>
      <w:r w:rsidR="00BF7B48" w:rsidRPr="00B60E6E">
        <w:rPr>
          <w:rFonts w:ascii="Times New Roman" w:hAnsi="Times New Roman" w:cs="Times New Roman"/>
          <w:bCs/>
          <w:sz w:val="24"/>
          <w:szCs w:val="24"/>
        </w:rPr>
        <w:t>rdidas en los cultivos de la malanga.</w:t>
      </w:r>
    </w:p>
    <w:p w14:paraId="5AC6D030" w14:textId="090A42A5" w:rsidR="00BF7B48" w:rsidRPr="000346A1" w:rsidRDefault="00E24F7B" w:rsidP="003D0124">
      <w:pPr>
        <w:pStyle w:val="Ttulo2"/>
        <w:rPr>
          <w:rFonts w:ascii="Calibri" w:eastAsia="Times New Roman" w:hAnsi="Calibri" w:cs="Calibri"/>
          <w:color w:val="000000"/>
          <w:szCs w:val="28"/>
          <w:lang w:eastAsia="es-MX"/>
        </w:rPr>
      </w:pPr>
      <w:r w:rsidRPr="000346A1">
        <w:rPr>
          <w:rFonts w:ascii="Calibri" w:eastAsia="Times New Roman" w:hAnsi="Calibri" w:cs="Calibri"/>
          <w:color w:val="000000"/>
          <w:szCs w:val="28"/>
          <w:lang w:eastAsia="es-MX"/>
        </w:rPr>
        <w:t xml:space="preserve">Posicionamiento de la actividad productiva </w:t>
      </w:r>
      <w:r w:rsidR="00BF7B48" w:rsidRPr="000346A1">
        <w:rPr>
          <w:rFonts w:ascii="Calibri" w:eastAsia="Times New Roman" w:hAnsi="Calibri" w:cs="Calibri"/>
          <w:color w:val="000000"/>
          <w:szCs w:val="28"/>
          <w:lang w:eastAsia="es-MX"/>
        </w:rPr>
        <w:t xml:space="preserve">de </w:t>
      </w:r>
      <w:r w:rsidRPr="000346A1">
        <w:rPr>
          <w:rFonts w:ascii="Calibri" w:eastAsia="Times New Roman" w:hAnsi="Calibri" w:cs="Calibri"/>
          <w:color w:val="000000"/>
          <w:szCs w:val="28"/>
          <w:lang w:eastAsia="es-MX"/>
        </w:rPr>
        <w:t>la m</w:t>
      </w:r>
      <w:r w:rsidR="00BF7B48" w:rsidRPr="000346A1">
        <w:rPr>
          <w:rFonts w:ascii="Calibri" w:eastAsia="Times New Roman" w:hAnsi="Calibri" w:cs="Calibri"/>
          <w:color w:val="000000"/>
          <w:szCs w:val="28"/>
          <w:lang w:eastAsia="es-MX"/>
        </w:rPr>
        <w:t>alanga</w:t>
      </w:r>
    </w:p>
    <w:p w14:paraId="182DAF23" w14:textId="44B2E48F" w:rsidR="00BF7B48" w:rsidRPr="00B60E6E" w:rsidRDefault="003D0124" w:rsidP="00BF7B48">
      <w:pPr>
        <w:autoSpaceDE w:val="0"/>
        <w:autoSpaceDN w:val="0"/>
        <w:adjustRightInd w:val="0"/>
        <w:spacing w:before="100" w:beforeAutospacing="1" w:after="100" w:afterAutospacing="1"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BF7B48" w:rsidRPr="00B60E6E">
        <w:rPr>
          <w:rFonts w:ascii="Times New Roman" w:hAnsi="Times New Roman" w:cs="Times New Roman"/>
          <w:bCs/>
          <w:color w:val="000000"/>
          <w:sz w:val="24"/>
          <w:szCs w:val="24"/>
        </w:rPr>
        <w:t xml:space="preserve">Con lo expuesto en las </w:t>
      </w:r>
      <w:r>
        <w:rPr>
          <w:rFonts w:ascii="Times New Roman" w:hAnsi="Times New Roman" w:cs="Times New Roman"/>
          <w:bCs/>
          <w:color w:val="000000"/>
          <w:sz w:val="24"/>
          <w:szCs w:val="24"/>
        </w:rPr>
        <w:t>páginas anteriores</w:t>
      </w:r>
      <w:r w:rsidR="00BF7B48" w:rsidRPr="00B60E6E">
        <w:rPr>
          <w:rFonts w:ascii="Times New Roman" w:hAnsi="Times New Roman" w:cs="Times New Roman"/>
          <w:bCs/>
          <w:color w:val="000000"/>
          <w:sz w:val="24"/>
          <w:szCs w:val="24"/>
        </w:rPr>
        <w:t xml:space="preserve">, se puede señalar que esta actividad productiva se </w:t>
      </w:r>
      <w:r w:rsidR="0044199A" w:rsidRPr="00B60E6E">
        <w:rPr>
          <w:rFonts w:ascii="Times New Roman" w:hAnsi="Times New Roman" w:cs="Times New Roman"/>
          <w:bCs/>
          <w:color w:val="000000"/>
          <w:sz w:val="24"/>
          <w:szCs w:val="24"/>
        </w:rPr>
        <w:t xml:space="preserve">dirige circunstancialmente </w:t>
      </w:r>
      <w:r w:rsidR="00BF7B48" w:rsidRPr="00B60E6E">
        <w:rPr>
          <w:rFonts w:ascii="Times New Roman" w:hAnsi="Times New Roman" w:cs="Times New Roman"/>
          <w:bCs/>
          <w:color w:val="000000"/>
          <w:sz w:val="24"/>
          <w:szCs w:val="24"/>
        </w:rPr>
        <w:t xml:space="preserve">a competir con una estrategia de liderazgo en costos bajos para exportar la malanga a Canadá y </w:t>
      </w:r>
      <w:r>
        <w:rPr>
          <w:rFonts w:ascii="Times New Roman" w:hAnsi="Times New Roman" w:cs="Times New Roman"/>
          <w:bCs/>
          <w:color w:val="000000"/>
          <w:sz w:val="24"/>
          <w:szCs w:val="24"/>
        </w:rPr>
        <w:t>a EE. UU</w:t>
      </w:r>
      <w:r w:rsidR="00BF7B48" w:rsidRPr="00B60E6E">
        <w:rPr>
          <w:rFonts w:ascii="Times New Roman" w:hAnsi="Times New Roman" w:cs="Times New Roman"/>
          <w:bCs/>
          <w:color w:val="000000"/>
          <w:sz w:val="24"/>
          <w:szCs w:val="24"/>
        </w:rPr>
        <w:t xml:space="preserve">. En ambos mercados el consumidor tiende a buscar precios </w:t>
      </w:r>
      <w:r w:rsidR="00135BA6" w:rsidRPr="00B60E6E">
        <w:rPr>
          <w:rFonts w:ascii="Times New Roman" w:hAnsi="Times New Roman" w:cs="Times New Roman"/>
          <w:bCs/>
          <w:color w:val="000000"/>
          <w:sz w:val="24"/>
          <w:szCs w:val="24"/>
        </w:rPr>
        <w:t>bajos,</w:t>
      </w:r>
      <w:r w:rsidR="00612C3E" w:rsidRPr="00B60E6E">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por lo que es necesario que</w:t>
      </w:r>
      <w:r w:rsidR="00135BA6" w:rsidRPr="00B60E6E">
        <w:rPr>
          <w:rFonts w:ascii="Times New Roman" w:hAnsi="Times New Roman" w:cs="Times New Roman"/>
          <w:bCs/>
          <w:color w:val="000000"/>
          <w:sz w:val="24"/>
          <w:szCs w:val="24"/>
        </w:rPr>
        <w:t xml:space="preserve"> los agricultores</w:t>
      </w:r>
      <w:r w:rsidR="00BF7B48" w:rsidRPr="00B60E6E">
        <w:rPr>
          <w:rFonts w:ascii="Times New Roman" w:hAnsi="Times New Roman" w:cs="Times New Roman"/>
          <w:bCs/>
          <w:color w:val="000000"/>
          <w:sz w:val="24"/>
          <w:szCs w:val="24"/>
        </w:rPr>
        <w:t xml:space="preserve"> establezcan una </w:t>
      </w:r>
      <w:r w:rsidR="00872D15">
        <w:rPr>
          <w:rFonts w:ascii="Times New Roman" w:hAnsi="Times New Roman" w:cs="Times New Roman"/>
          <w:bCs/>
          <w:color w:val="000000"/>
          <w:sz w:val="24"/>
          <w:szCs w:val="24"/>
        </w:rPr>
        <w:t>alternativa</w:t>
      </w:r>
      <w:r w:rsidR="00BF7B48" w:rsidRPr="00B60E6E">
        <w:rPr>
          <w:rFonts w:ascii="Times New Roman" w:hAnsi="Times New Roman" w:cs="Times New Roman"/>
          <w:bCs/>
          <w:color w:val="000000"/>
          <w:sz w:val="24"/>
          <w:szCs w:val="24"/>
        </w:rPr>
        <w:t xml:space="preserve"> </w:t>
      </w:r>
      <w:r w:rsidR="0080128B" w:rsidRPr="00B60E6E">
        <w:rPr>
          <w:rFonts w:ascii="Times New Roman" w:hAnsi="Times New Roman" w:cs="Times New Roman"/>
          <w:bCs/>
          <w:color w:val="000000"/>
          <w:sz w:val="24"/>
          <w:szCs w:val="24"/>
        </w:rPr>
        <w:t xml:space="preserve">bien estructurada antes </w:t>
      </w:r>
      <w:r>
        <w:rPr>
          <w:rFonts w:ascii="Times New Roman" w:hAnsi="Times New Roman" w:cs="Times New Roman"/>
          <w:bCs/>
          <w:color w:val="000000"/>
          <w:sz w:val="24"/>
          <w:szCs w:val="24"/>
        </w:rPr>
        <w:t xml:space="preserve">de </w:t>
      </w:r>
      <w:r w:rsidR="0080128B" w:rsidRPr="00B60E6E">
        <w:rPr>
          <w:rFonts w:ascii="Times New Roman" w:hAnsi="Times New Roman" w:cs="Times New Roman"/>
          <w:bCs/>
          <w:color w:val="000000"/>
          <w:sz w:val="24"/>
          <w:szCs w:val="24"/>
        </w:rPr>
        <w:t xml:space="preserve">que se sature el mercado </w:t>
      </w:r>
      <w:r w:rsidR="00B86982" w:rsidRPr="00B60E6E">
        <w:rPr>
          <w:rFonts w:ascii="Times New Roman" w:hAnsi="Times New Roman" w:cs="Times New Roman"/>
          <w:bCs/>
          <w:color w:val="000000"/>
          <w:sz w:val="24"/>
          <w:szCs w:val="24"/>
        </w:rPr>
        <w:t>para reducir costos</w:t>
      </w:r>
      <w:r>
        <w:rPr>
          <w:rFonts w:ascii="Times New Roman" w:hAnsi="Times New Roman" w:cs="Times New Roman"/>
          <w:bCs/>
          <w:color w:val="000000"/>
          <w:sz w:val="24"/>
          <w:szCs w:val="24"/>
        </w:rPr>
        <w:t>,</w:t>
      </w:r>
      <w:r w:rsidR="00B86982" w:rsidRPr="00B60E6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forma que </w:t>
      </w:r>
      <w:r w:rsidR="00872D15">
        <w:rPr>
          <w:rFonts w:ascii="Times New Roman" w:hAnsi="Times New Roman" w:cs="Times New Roman"/>
          <w:bCs/>
          <w:color w:val="000000"/>
          <w:sz w:val="24"/>
          <w:szCs w:val="24"/>
        </w:rPr>
        <w:t xml:space="preserve">se </w:t>
      </w:r>
      <w:r>
        <w:rPr>
          <w:rFonts w:ascii="Times New Roman" w:hAnsi="Times New Roman" w:cs="Times New Roman"/>
          <w:bCs/>
          <w:color w:val="000000"/>
          <w:sz w:val="24"/>
          <w:szCs w:val="24"/>
        </w:rPr>
        <w:t xml:space="preserve">pueda </w:t>
      </w:r>
      <w:r w:rsidR="0080128B" w:rsidRPr="00B60E6E">
        <w:rPr>
          <w:rFonts w:ascii="Times New Roman" w:hAnsi="Times New Roman" w:cs="Times New Roman"/>
          <w:bCs/>
          <w:color w:val="000000"/>
          <w:sz w:val="24"/>
          <w:szCs w:val="24"/>
        </w:rPr>
        <w:t xml:space="preserve">competir con precios bajos. </w:t>
      </w:r>
      <w:r w:rsidR="00135BA6" w:rsidRPr="00B60E6E">
        <w:rPr>
          <w:rFonts w:ascii="Times New Roman" w:hAnsi="Times New Roman" w:cs="Times New Roman"/>
          <w:bCs/>
          <w:color w:val="000000"/>
          <w:sz w:val="24"/>
          <w:szCs w:val="24"/>
        </w:rPr>
        <w:t xml:space="preserve">Por </w:t>
      </w:r>
      <w:r>
        <w:rPr>
          <w:rFonts w:ascii="Times New Roman" w:hAnsi="Times New Roman" w:cs="Times New Roman"/>
          <w:bCs/>
          <w:color w:val="000000"/>
          <w:sz w:val="24"/>
          <w:szCs w:val="24"/>
        </w:rPr>
        <w:t xml:space="preserve">ende, </w:t>
      </w:r>
      <w:r w:rsidR="00135BA6" w:rsidRPr="00B60E6E">
        <w:rPr>
          <w:rFonts w:ascii="Times New Roman" w:hAnsi="Times New Roman" w:cs="Times New Roman"/>
          <w:bCs/>
          <w:color w:val="000000"/>
          <w:sz w:val="24"/>
          <w:szCs w:val="24"/>
        </w:rPr>
        <w:t>l</w:t>
      </w:r>
      <w:r w:rsidR="00BF7B48" w:rsidRPr="00B60E6E">
        <w:rPr>
          <w:rFonts w:ascii="Times New Roman" w:hAnsi="Times New Roman" w:cs="Times New Roman"/>
          <w:bCs/>
          <w:color w:val="000000"/>
          <w:sz w:val="24"/>
          <w:szCs w:val="24"/>
        </w:rPr>
        <w:t xml:space="preserve">a primera </w:t>
      </w:r>
      <w:r w:rsidR="00872D15" w:rsidRPr="00B60E6E">
        <w:rPr>
          <w:rFonts w:ascii="Times New Roman" w:hAnsi="Times New Roman" w:cs="Times New Roman"/>
          <w:bCs/>
          <w:color w:val="000000"/>
          <w:sz w:val="24"/>
          <w:szCs w:val="24"/>
        </w:rPr>
        <w:t>elección</w:t>
      </w:r>
      <w:r w:rsidR="00BF7B48" w:rsidRPr="00B60E6E">
        <w:rPr>
          <w:rFonts w:ascii="Times New Roman" w:hAnsi="Times New Roman" w:cs="Times New Roman"/>
          <w:bCs/>
          <w:color w:val="000000"/>
          <w:sz w:val="24"/>
          <w:szCs w:val="24"/>
        </w:rPr>
        <w:t xml:space="preserve"> </w:t>
      </w:r>
      <w:r w:rsidR="00135BA6" w:rsidRPr="00B60E6E">
        <w:rPr>
          <w:rFonts w:ascii="Times New Roman" w:hAnsi="Times New Roman" w:cs="Times New Roman"/>
          <w:bCs/>
          <w:color w:val="000000"/>
          <w:sz w:val="24"/>
          <w:szCs w:val="24"/>
        </w:rPr>
        <w:t xml:space="preserve">sería </w:t>
      </w:r>
      <w:r w:rsidR="000341A5" w:rsidRPr="00B60E6E">
        <w:rPr>
          <w:rFonts w:ascii="Times New Roman" w:hAnsi="Times New Roman" w:cs="Times New Roman"/>
          <w:bCs/>
          <w:color w:val="000000"/>
          <w:sz w:val="24"/>
          <w:szCs w:val="24"/>
        </w:rPr>
        <w:t>continuar</w:t>
      </w:r>
      <w:r w:rsidR="00BF7B48" w:rsidRPr="00B60E6E">
        <w:rPr>
          <w:rFonts w:ascii="Times New Roman" w:hAnsi="Times New Roman" w:cs="Times New Roman"/>
          <w:bCs/>
          <w:color w:val="000000"/>
          <w:sz w:val="24"/>
          <w:szCs w:val="24"/>
        </w:rPr>
        <w:t xml:space="preserve"> </w:t>
      </w:r>
      <w:r w:rsidR="00135BA6" w:rsidRPr="00B60E6E">
        <w:rPr>
          <w:rFonts w:ascii="Times New Roman" w:hAnsi="Times New Roman" w:cs="Times New Roman"/>
          <w:bCs/>
          <w:color w:val="000000"/>
          <w:sz w:val="24"/>
          <w:szCs w:val="24"/>
        </w:rPr>
        <w:t>con la</w:t>
      </w:r>
      <w:r w:rsidR="00872D15">
        <w:rPr>
          <w:rFonts w:ascii="Times New Roman" w:hAnsi="Times New Roman" w:cs="Times New Roman"/>
          <w:bCs/>
          <w:color w:val="000000"/>
          <w:sz w:val="24"/>
          <w:szCs w:val="24"/>
        </w:rPr>
        <w:t xml:space="preserve"> </w:t>
      </w:r>
      <w:r w:rsidR="00F37ACD">
        <w:rPr>
          <w:rFonts w:ascii="Times New Roman" w:hAnsi="Times New Roman" w:cs="Times New Roman"/>
          <w:bCs/>
          <w:color w:val="000000"/>
          <w:sz w:val="24"/>
          <w:szCs w:val="24"/>
        </w:rPr>
        <w:t>estrategia</w:t>
      </w:r>
      <w:r w:rsidR="00BF7B48" w:rsidRPr="00B60E6E">
        <w:rPr>
          <w:rFonts w:ascii="Times New Roman" w:hAnsi="Times New Roman" w:cs="Times New Roman"/>
          <w:bCs/>
          <w:color w:val="000000"/>
          <w:sz w:val="24"/>
          <w:szCs w:val="24"/>
        </w:rPr>
        <w:t xml:space="preserve"> de liderazgo en costos bajos,</w:t>
      </w:r>
      <w:r w:rsidR="00135BA6" w:rsidRPr="00B60E6E">
        <w:rPr>
          <w:rFonts w:ascii="Times New Roman" w:hAnsi="Times New Roman" w:cs="Times New Roman"/>
          <w:bCs/>
          <w:color w:val="000000"/>
          <w:sz w:val="24"/>
          <w:szCs w:val="24"/>
        </w:rPr>
        <w:t xml:space="preserve"> s</w:t>
      </w:r>
      <w:r w:rsidR="00BF7B48" w:rsidRPr="00B60E6E">
        <w:rPr>
          <w:rFonts w:ascii="Times New Roman" w:hAnsi="Times New Roman" w:cs="Times New Roman"/>
          <w:bCs/>
          <w:color w:val="000000"/>
          <w:sz w:val="24"/>
          <w:szCs w:val="24"/>
        </w:rPr>
        <w:t xml:space="preserve">iguiendo las bases de Porter (1996), </w:t>
      </w:r>
      <w:r w:rsidR="0072705E" w:rsidRPr="00B60E6E">
        <w:rPr>
          <w:rFonts w:ascii="Times New Roman" w:hAnsi="Times New Roman" w:cs="Times New Roman"/>
          <w:bCs/>
          <w:color w:val="000000"/>
          <w:sz w:val="24"/>
          <w:szCs w:val="24"/>
        </w:rPr>
        <w:t xml:space="preserve">es decir, </w:t>
      </w:r>
      <w:r w:rsidR="00BF7B48" w:rsidRPr="00B60E6E">
        <w:rPr>
          <w:rFonts w:ascii="Times New Roman" w:hAnsi="Times New Roman" w:cs="Times New Roman"/>
          <w:bCs/>
          <w:color w:val="000000"/>
          <w:sz w:val="24"/>
          <w:szCs w:val="24"/>
        </w:rPr>
        <w:t xml:space="preserve">buscando mantener lo más posible la </w:t>
      </w:r>
      <w:r w:rsidR="00C8158E">
        <w:rPr>
          <w:rFonts w:ascii="Times New Roman" w:hAnsi="Times New Roman" w:cs="Times New Roman"/>
          <w:bCs/>
          <w:color w:val="000000"/>
          <w:sz w:val="24"/>
          <w:szCs w:val="24"/>
        </w:rPr>
        <w:t>estrategia</w:t>
      </w:r>
      <w:r w:rsidR="00BF7B48" w:rsidRPr="00B60E6E">
        <w:rPr>
          <w:rFonts w:ascii="Times New Roman" w:hAnsi="Times New Roman" w:cs="Times New Roman"/>
          <w:bCs/>
          <w:color w:val="000000"/>
          <w:sz w:val="24"/>
          <w:szCs w:val="24"/>
        </w:rPr>
        <w:t xml:space="preserve"> establecida durante varios periodos</w:t>
      </w:r>
      <w:r>
        <w:rPr>
          <w:rFonts w:ascii="Times New Roman" w:hAnsi="Times New Roman" w:cs="Times New Roman"/>
          <w:bCs/>
          <w:color w:val="000000"/>
          <w:sz w:val="24"/>
          <w:szCs w:val="24"/>
        </w:rPr>
        <w:t>.</w:t>
      </w:r>
    </w:p>
    <w:p w14:paraId="740A7D6A" w14:textId="3751A408" w:rsidR="004D0434" w:rsidRPr="00B60E6E" w:rsidRDefault="0080128B" w:rsidP="00BF7B48">
      <w:pPr>
        <w:autoSpaceDE w:val="0"/>
        <w:autoSpaceDN w:val="0"/>
        <w:adjustRightInd w:val="0"/>
        <w:spacing w:after="0" w:line="360" w:lineRule="auto"/>
        <w:ind w:firstLine="708"/>
        <w:jc w:val="both"/>
        <w:rPr>
          <w:rFonts w:ascii="Times New Roman" w:hAnsi="Times New Roman" w:cs="Times New Roman"/>
          <w:bCs/>
          <w:color w:val="000000"/>
          <w:sz w:val="24"/>
          <w:szCs w:val="24"/>
        </w:rPr>
      </w:pPr>
      <w:r w:rsidRPr="00B60E6E">
        <w:rPr>
          <w:rFonts w:ascii="Times New Roman" w:hAnsi="Times New Roman" w:cs="Times New Roman"/>
          <w:bCs/>
          <w:color w:val="000000"/>
          <w:sz w:val="24"/>
          <w:szCs w:val="24"/>
        </w:rPr>
        <w:t>U</w:t>
      </w:r>
      <w:r w:rsidR="00BF7B48" w:rsidRPr="00B60E6E">
        <w:rPr>
          <w:rFonts w:ascii="Times New Roman" w:hAnsi="Times New Roman" w:cs="Times New Roman"/>
          <w:bCs/>
          <w:color w:val="000000"/>
          <w:sz w:val="24"/>
          <w:szCs w:val="24"/>
        </w:rPr>
        <w:t>na segunda alternativa</w:t>
      </w:r>
      <w:r w:rsidRPr="00B60E6E">
        <w:rPr>
          <w:rFonts w:ascii="Times New Roman" w:hAnsi="Times New Roman" w:cs="Times New Roman"/>
          <w:bCs/>
          <w:color w:val="000000"/>
          <w:sz w:val="24"/>
          <w:szCs w:val="24"/>
        </w:rPr>
        <w:t xml:space="preserve"> </w:t>
      </w:r>
      <w:r w:rsidR="00BF7B48" w:rsidRPr="00B60E6E">
        <w:rPr>
          <w:rFonts w:ascii="Times New Roman" w:hAnsi="Times New Roman" w:cs="Times New Roman"/>
          <w:bCs/>
          <w:color w:val="000000"/>
          <w:sz w:val="24"/>
          <w:szCs w:val="24"/>
        </w:rPr>
        <w:t xml:space="preserve">podría </w:t>
      </w:r>
      <w:r w:rsidR="003D0124">
        <w:rPr>
          <w:rFonts w:ascii="Times New Roman" w:hAnsi="Times New Roman" w:cs="Times New Roman"/>
          <w:bCs/>
          <w:color w:val="000000"/>
          <w:sz w:val="24"/>
          <w:szCs w:val="24"/>
        </w:rPr>
        <w:t xml:space="preserve">ser </w:t>
      </w:r>
      <w:r w:rsidR="00BF7B48" w:rsidRPr="00B60E6E">
        <w:rPr>
          <w:rFonts w:ascii="Times New Roman" w:hAnsi="Times New Roman" w:cs="Times New Roman"/>
          <w:bCs/>
          <w:color w:val="000000"/>
          <w:sz w:val="24"/>
          <w:szCs w:val="24"/>
        </w:rPr>
        <w:t xml:space="preserve">evolucionar a </w:t>
      </w:r>
      <w:r w:rsidR="003D0124">
        <w:rPr>
          <w:rFonts w:ascii="Times New Roman" w:hAnsi="Times New Roman" w:cs="Times New Roman"/>
          <w:bCs/>
          <w:color w:val="000000"/>
          <w:sz w:val="24"/>
          <w:szCs w:val="24"/>
        </w:rPr>
        <w:t>un posicionamiento diferenciado</w:t>
      </w:r>
      <w:r w:rsidR="00BF7B48" w:rsidRPr="00B60E6E">
        <w:rPr>
          <w:rFonts w:ascii="Times New Roman" w:hAnsi="Times New Roman" w:cs="Times New Roman"/>
          <w:bCs/>
          <w:color w:val="000000"/>
          <w:sz w:val="24"/>
          <w:szCs w:val="24"/>
        </w:rPr>
        <w:t xml:space="preserve"> </w:t>
      </w:r>
      <w:r w:rsidR="003D0124">
        <w:rPr>
          <w:rFonts w:ascii="Times New Roman" w:hAnsi="Times New Roman" w:cs="Times New Roman"/>
          <w:bCs/>
          <w:color w:val="000000"/>
          <w:sz w:val="24"/>
          <w:szCs w:val="24"/>
        </w:rPr>
        <w:t xml:space="preserve">que le agregue </w:t>
      </w:r>
      <w:r w:rsidR="00BF7B48" w:rsidRPr="00B60E6E">
        <w:rPr>
          <w:rFonts w:ascii="Times New Roman" w:hAnsi="Times New Roman" w:cs="Times New Roman"/>
          <w:bCs/>
          <w:color w:val="000000"/>
          <w:sz w:val="24"/>
          <w:szCs w:val="24"/>
        </w:rPr>
        <w:t xml:space="preserve">valor </w:t>
      </w:r>
      <w:r w:rsidR="003D0124">
        <w:rPr>
          <w:rFonts w:ascii="Times New Roman" w:hAnsi="Times New Roman" w:cs="Times New Roman"/>
          <w:bCs/>
          <w:color w:val="000000"/>
          <w:sz w:val="24"/>
          <w:szCs w:val="24"/>
        </w:rPr>
        <w:t>a la malanga según</w:t>
      </w:r>
      <w:r w:rsidR="00BF7B48" w:rsidRPr="00B60E6E">
        <w:rPr>
          <w:rFonts w:ascii="Times New Roman" w:hAnsi="Times New Roman" w:cs="Times New Roman"/>
          <w:bCs/>
          <w:color w:val="000000"/>
          <w:sz w:val="24"/>
          <w:szCs w:val="24"/>
        </w:rPr>
        <w:t xml:space="preserve"> las necesidades que se vayan presentando en el mercado nacional o extranjero</w:t>
      </w:r>
      <w:r w:rsidR="00527A67" w:rsidRPr="00B60E6E">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w:t>
      </w:r>
      <w:r w:rsidR="003D0124">
        <w:rPr>
          <w:rFonts w:ascii="Times New Roman" w:hAnsi="Times New Roman" w:cs="Times New Roman"/>
          <w:bCs/>
          <w:color w:val="000000"/>
          <w:sz w:val="24"/>
          <w:szCs w:val="24"/>
        </w:rPr>
        <w:t>Para ello, se pueden seguir las bases de Gunther</w:t>
      </w:r>
      <w:r w:rsidR="00BF7B48" w:rsidRPr="00B60E6E">
        <w:rPr>
          <w:rFonts w:ascii="Times New Roman" w:hAnsi="Times New Roman" w:cs="Times New Roman"/>
          <w:bCs/>
          <w:color w:val="000000"/>
          <w:sz w:val="24"/>
          <w:szCs w:val="24"/>
        </w:rPr>
        <w:t xml:space="preserve"> (2013)</w:t>
      </w:r>
      <w:r w:rsidR="003D0124">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w:t>
      </w:r>
      <w:r w:rsidR="00204FEF">
        <w:rPr>
          <w:rFonts w:ascii="Times New Roman" w:hAnsi="Times New Roman" w:cs="Times New Roman"/>
          <w:bCs/>
          <w:color w:val="000000"/>
          <w:sz w:val="24"/>
          <w:szCs w:val="24"/>
        </w:rPr>
        <w:t xml:space="preserve">las cuales determinan que se debe cambiar </w:t>
      </w:r>
      <w:r w:rsidR="00BF7B48" w:rsidRPr="00B60E6E">
        <w:rPr>
          <w:rFonts w:ascii="Times New Roman" w:hAnsi="Times New Roman" w:cs="Times New Roman"/>
          <w:bCs/>
          <w:color w:val="000000"/>
          <w:sz w:val="24"/>
          <w:szCs w:val="24"/>
        </w:rPr>
        <w:t xml:space="preserve">la estrategia cuando </w:t>
      </w:r>
      <w:r w:rsidRPr="00B60E6E">
        <w:rPr>
          <w:rFonts w:ascii="Times New Roman" w:hAnsi="Times New Roman" w:cs="Times New Roman"/>
          <w:bCs/>
          <w:color w:val="000000"/>
          <w:sz w:val="24"/>
          <w:szCs w:val="24"/>
        </w:rPr>
        <w:t xml:space="preserve">la ventaja </w:t>
      </w:r>
      <w:r w:rsidR="00204FEF">
        <w:rPr>
          <w:rFonts w:ascii="Times New Roman" w:hAnsi="Times New Roman" w:cs="Times New Roman"/>
          <w:bCs/>
          <w:color w:val="000000"/>
          <w:sz w:val="24"/>
          <w:szCs w:val="24"/>
        </w:rPr>
        <w:t>se halle</w:t>
      </w:r>
      <w:r w:rsidR="00BF7B48" w:rsidRPr="00B60E6E">
        <w:rPr>
          <w:rFonts w:ascii="Times New Roman" w:hAnsi="Times New Roman" w:cs="Times New Roman"/>
          <w:bCs/>
          <w:color w:val="000000"/>
          <w:sz w:val="24"/>
          <w:szCs w:val="24"/>
        </w:rPr>
        <w:t xml:space="preserve"> en riesgo, ya que de lo contrario podría </w:t>
      </w:r>
      <w:r w:rsidR="00204FEF">
        <w:rPr>
          <w:rFonts w:ascii="Times New Roman" w:hAnsi="Times New Roman" w:cs="Times New Roman"/>
          <w:bCs/>
          <w:color w:val="000000"/>
          <w:sz w:val="24"/>
          <w:szCs w:val="24"/>
        </w:rPr>
        <w:t>surgir</w:t>
      </w:r>
      <w:r w:rsidR="00BF7B48" w:rsidRPr="00B60E6E">
        <w:rPr>
          <w:rFonts w:ascii="Times New Roman" w:hAnsi="Times New Roman" w:cs="Times New Roman"/>
          <w:bCs/>
          <w:color w:val="000000"/>
          <w:sz w:val="24"/>
          <w:szCs w:val="24"/>
        </w:rPr>
        <w:t xml:space="preserve"> </w:t>
      </w:r>
      <w:r w:rsidR="00204FEF">
        <w:rPr>
          <w:rFonts w:ascii="Times New Roman" w:hAnsi="Times New Roman" w:cs="Times New Roman"/>
          <w:bCs/>
          <w:color w:val="000000"/>
          <w:sz w:val="24"/>
          <w:szCs w:val="24"/>
        </w:rPr>
        <w:t xml:space="preserve">el </w:t>
      </w:r>
      <w:r w:rsidR="00BF7B48" w:rsidRPr="00B60E6E">
        <w:rPr>
          <w:rFonts w:ascii="Times New Roman" w:hAnsi="Times New Roman" w:cs="Times New Roman"/>
          <w:bCs/>
          <w:color w:val="000000"/>
          <w:sz w:val="24"/>
          <w:szCs w:val="24"/>
        </w:rPr>
        <w:t xml:space="preserve">fracaso. De </w:t>
      </w:r>
      <w:r w:rsidR="00204FEF">
        <w:rPr>
          <w:rFonts w:ascii="Times New Roman" w:hAnsi="Times New Roman" w:cs="Times New Roman"/>
          <w:bCs/>
          <w:color w:val="000000"/>
          <w:sz w:val="24"/>
          <w:szCs w:val="24"/>
        </w:rPr>
        <w:t>acuerdo con</w:t>
      </w:r>
      <w:r w:rsidR="00527A67" w:rsidRPr="00B60E6E">
        <w:rPr>
          <w:rFonts w:ascii="Times New Roman" w:hAnsi="Times New Roman" w:cs="Times New Roman"/>
          <w:bCs/>
          <w:color w:val="000000"/>
          <w:sz w:val="24"/>
          <w:szCs w:val="24"/>
        </w:rPr>
        <w:t xml:space="preserve"> esta segunda </w:t>
      </w:r>
      <w:r w:rsidR="00204FEF">
        <w:rPr>
          <w:rFonts w:ascii="Times New Roman" w:hAnsi="Times New Roman" w:cs="Times New Roman"/>
          <w:bCs/>
          <w:color w:val="000000"/>
          <w:sz w:val="24"/>
          <w:szCs w:val="24"/>
        </w:rPr>
        <w:t>opción</w:t>
      </w:r>
      <w:r w:rsidRPr="00B60E6E">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existen algunos productores de malanga que están empezando a agregarle valor</w:t>
      </w:r>
      <w:r w:rsidR="00204FEF">
        <w:rPr>
          <w:rFonts w:ascii="Times New Roman" w:hAnsi="Times New Roman" w:cs="Times New Roman"/>
          <w:bCs/>
          <w:color w:val="000000"/>
          <w:sz w:val="24"/>
          <w:szCs w:val="24"/>
        </w:rPr>
        <w:t xml:space="preserve"> al </w:t>
      </w:r>
      <w:r w:rsidR="00F37ACD">
        <w:rPr>
          <w:rFonts w:ascii="Times New Roman" w:hAnsi="Times New Roman" w:cs="Times New Roman"/>
          <w:bCs/>
          <w:color w:val="000000"/>
          <w:sz w:val="24"/>
          <w:szCs w:val="24"/>
        </w:rPr>
        <w:t>rubro</w:t>
      </w:r>
      <w:r w:rsidR="00BF7B48" w:rsidRPr="00B60E6E">
        <w:rPr>
          <w:rFonts w:ascii="Times New Roman" w:hAnsi="Times New Roman" w:cs="Times New Roman"/>
          <w:bCs/>
          <w:color w:val="000000"/>
          <w:sz w:val="24"/>
          <w:szCs w:val="24"/>
        </w:rPr>
        <w:t xml:space="preserve">, </w:t>
      </w:r>
      <w:r w:rsidR="00204FEF">
        <w:rPr>
          <w:rFonts w:ascii="Times New Roman" w:hAnsi="Times New Roman" w:cs="Times New Roman"/>
          <w:bCs/>
          <w:color w:val="000000"/>
          <w:sz w:val="24"/>
          <w:szCs w:val="24"/>
        </w:rPr>
        <w:t xml:space="preserve">por ejemplo, a través de </w:t>
      </w:r>
      <w:r w:rsidR="00BF7B48" w:rsidRPr="00B60E6E">
        <w:rPr>
          <w:rFonts w:ascii="Times New Roman" w:hAnsi="Times New Roman" w:cs="Times New Roman"/>
          <w:bCs/>
          <w:color w:val="000000"/>
          <w:sz w:val="24"/>
          <w:szCs w:val="24"/>
        </w:rPr>
        <w:t>fritangas</w:t>
      </w:r>
      <w:r w:rsidR="00204FEF">
        <w:rPr>
          <w:rFonts w:ascii="Times New Roman" w:hAnsi="Times New Roman" w:cs="Times New Roman"/>
          <w:bCs/>
          <w:color w:val="000000"/>
          <w:sz w:val="24"/>
          <w:szCs w:val="24"/>
        </w:rPr>
        <w:t>. Asimismo, hay</w:t>
      </w:r>
      <w:r w:rsidR="00BF7B48" w:rsidRPr="00B60E6E">
        <w:rPr>
          <w:rFonts w:ascii="Times New Roman" w:hAnsi="Times New Roman" w:cs="Times New Roman"/>
          <w:bCs/>
          <w:color w:val="000000"/>
          <w:sz w:val="24"/>
          <w:szCs w:val="24"/>
        </w:rPr>
        <w:t xml:space="preserve"> empacadoras que están buscando la manera de transformar </w:t>
      </w:r>
      <w:r w:rsidR="00F37ACD">
        <w:rPr>
          <w:rFonts w:ascii="Times New Roman" w:hAnsi="Times New Roman" w:cs="Times New Roman"/>
          <w:bCs/>
          <w:color w:val="000000"/>
          <w:sz w:val="24"/>
          <w:szCs w:val="24"/>
        </w:rPr>
        <w:t>este producto</w:t>
      </w:r>
      <w:r w:rsidR="00BF7B48" w:rsidRPr="00B60E6E">
        <w:rPr>
          <w:rFonts w:ascii="Times New Roman" w:hAnsi="Times New Roman" w:cs="Times New Roman"/>
          <w:bCs/>
          <w:color w:val="000000"/>
          <w:sz w:val="24"/>
          <w:szCs w:val="24"/>
        </w:rPr>
        <w:t xml:space="preserve">, </w:t>
      </w:r>
      <w:r w:rsidR="00204FEF">
        <w:rPr>
          <w:rFonts w:ascii="Times New Roman" w:hAnsi="Times New Roman" w:cs="Times New Roman"/>
          <w:bCs/>
          <w:color w:val="000000"/>
          <w:sz w:val="24"/>
          <w:szCs w:val="24"/>
        </w:rPr>
        <w:t xml:space="preserve">aunque </w:t>
      </w:r>
      <w:r w:rsidR="00BF7B48" w:rsidRPr="00B60E6E">
        <w:rPr>
          <w:rFonts w:ascii="Times New Roman" w:hAnsi="Times New Roman" w:cs="Times New Roman"/>
          <w:bCs/>
          <w:color w:val="000000"/>
          <w:sz w:val="24"/>
          <w:szCs w:val="24"/>
        </w:rPr>
        <w:t xml:space="preserve">aún </w:t>
      </w:r>
      <w:r w:rsidR="00204FEF">
        <w:rPr>
          <w:rFonts w:ascii="Times New Roman" w:hAnsi="Times New Roman" w:cs="Times New Roman"/>
          <w:bCs/>
          <w:color w:val="000000"/>
          <w:sz w:val="24"/>
          <w:szCs w:val="24"/>
        </w:rPr>
        <w:t xml:space="preserve">no se tiene un resultado </w:t>
      </w:r>
      <w:r w:rsidR="00BF7B48" w:rsidRPr="00B60E6E">
        <w:rPr>
          <w:rFonts w:ascii="Times New Roman" w:hAnsi="Times New Roman" w:cs="Times New Roman"/>
          <w:bCs/>
          <w:color w:val="000000"/>
          <w:sz w:val="24"/>
          <w:szCs w:val="24"/>
        </w:rPr>
        <w:t>concreto. En ambos casos</w:t>
      </w:r>
      <w:r w:rsidR="00204FEF">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estos esfuerzos están dirigiéndose hacia el mercado local </w:t>
      </w:r>
      <w:r w:rsidR="00BF7B48" w:rsidRPr="00B60E6E">
        <w:rPr>
          <w:rFonts w:ascii="Times New Roman" w:hAnsi="Times New Roman" w:cs="Times New Roman"/>
          <w:bCs/>
          <w:color w:val="000000"/>
          <w:sz w:val="24"/>
          <w:szCs w:val="24"/>
        </w:rPr>
        <w:lastRenderedPageBreak/>
        <w:t>y nacional</w:t>
      </w:r>
      <w:r w:rsidR="00204FEF">
        <w:rPr>
          <w:rFonts w:ascii="Times New Roman" w:hAnsi="Times New Roman" w:cs="Times New Roman"/>
          <w:bCs/>
          <w:color w:val="000000"/>
          <w:sz w:val="24"/>
          <w:szCs w:val="24"/>
        </w:rPr>
        <w:t>,</w:t>
      </w:r>
      <w:r w:rsidR="00BF7B48" w:rsidRPr="00B60E6E">
        <w:rPr>
          <w:rFonts w:ascii="Times New Roman" w:hAnsi="Times New Roman" w:cs="Times New Roman"/>
          <w:bCs/>
          <w:color w:val="000000"/>
          <w:sz w:val="24"/>
          <w:szCs w:val="24"/>
        </w:rPr>
        <w:t xml:space="preserve"> dond</w:t>
      </w:r>
      <w:r w:rsidR="00204FEF">
        <w:rPr>
          <w:rFonts w:ascii="Times New Roman" w:hAnsi="Times New Roman" w:cs="Times New Roman"/>
          <w:bCs/>
          <w:color w:val="000000"/>
          <w:sz w:val="24"/>
          <w:szCs w:val="24"/>
        </w:rPr>
        <w:t>e la malanga no es muy conocida</w:t>
      </w:r>
      <w:r w:rsidR="00F37ACD">
        <w:rPr>
          <w:rFonts w:ascii="Times New Roman" w:hAnsi="Times New Roman" w:cs="Times New Roman"/>
          <w:bCs/>
          <w:color w:val="000000"/>
          <w:sz w:val="24"/>
          <w:szCs w:val="24"/>
        </w:rPr>
        <w:t xml:space="preserve"> ni consumida. Esto significa que </w:t>
      </w:r>
      <w:r w:rsidR="00BF7B48" w:rsidRPr="00B60E6E">
        <w:rPr>
          <w:rFonts w:ascii="Times New Roman" w:hAnsi="Times New Roman" w:cs="Times New Roman"/>
          <w:bCs/>
          <w:color w:val="000000"/>
          <w:sz w:val="24"/>
          <w:szCs w:val="24"/>
        </w:rPr>
        <w:t xml:space="preserve">existe </w:t>
      </w:r>
      <w:r w:rsidR="00204FEF">
        <w:rPr>
          <w:rFonts w:ascii="Times New Roman" w:hAnsi="Times New Roman" w:cs="Times New Roman"/>
          <w:bCs/>
          <w:color w:val="000000"/>
          <w:sz w:val="24"/>
          <w:szCs w:val="24"/>
        </w:rPr>
        <w:t>un</w:t>
      </w:r>
      <w:r w:rsidR="00BF7B48" w:rsidRPr="00B60E6E">
        <w:rPr>
          <w:rFonts w:ascii="Times New Roman" w:hAnsi="Times New Roman" w:cs="Times New Roman"/>
          <w:bCs/>
          <w:color w:val="000000"/>
          <w:sz w:val="24"/>
          <w:szCs w:val="24"/>
        </w:rPr>
        <w:t xml:space="preserve"> nicho de mercado que podría ser explotado.</w:t>
      </w:r>
      <w:r w:rsidR="00B91FFE" w:rsidRPr="00B60E6E">
        <w:rPr>
          <w:rFonts w:ascii="Times New Roman" w:hAnsi="Times New Roman" w:cs="Times New Roman"/>
          <w:bCs/>
          <w:color w:val="000000"/>
          <w:sz w:val="24"/>
          <w:szCs w:val="24"/>
        </w:rPr>
        <w:t xml:space="preserve"> </w:t>
      </w:r>
    </w:p>
    <w:p w14:paraId="7455923A" w14:textId="77777777" w:rsidR="00204FEF" w:rsidRDefault="00204FEF" w:rsidP="0021455B">
      <w:pPr>
        <w:spacing w:before="160" w:after="80" w:line="240" w:lineRule="auto"/>
        <w:textAlignment w:val="baseline"/>
        <w:rPr>
          <w:rFonts w:ascii="Times New Roman" w:hAnsi="Times New Roman" w:cs="Times New Roman"/>
          <w:b/>
          <w:color w:val="7030A0"/>
          <w:sz w:val="24"/>
          <w:szCs w:val="24"/>
        </w:rPr>
      </w:pPr>
    </w:p>
    <w:p w14:paraId="2611921D" w14:textId="501C5F1B" w:rsidR="00EB1B17" w:rsidRPr="000346A1" w:rsidRDefault="0021455B" w:rsidP="00204FEF">
      <w:pPr>
        <w:pStyle w:val="Ttulo1"/>
        <w:rPr>
          <w:rFonts w:ascii="Calibri" w:eastAsia="Times New Roman" w:hAnsi="Calibri" w:cs="Calibri"/>
          <w:color w:val="000000"/>
          <w:sz w:val="28"/>
          <w:szCs w:val="28"/>
          <w:lang w:eastAsia="es-MX"/>
        </w:rPr>
      </w:pPr>
      <w:r w:rsidRPr="000346A1">
        <w:rPr>
          <w:rFonts w:ascii="Calibri" w:eastAsia="Times New Roman" w:hAnsi="Calibri" w:cs="Calibri"/>
          <w:color w:val="000000"/>
          <w:sz w:val="28"/>
          <w:szCs w:val="28"/>
          <w:lang w:eastAsia="es-MX"/>
        </w:rPr>
        <w:t>Conclusiones</w:t>
      </w:r>
    </w:p>
    <w:p w14:paraId="4FEF90A9" w14:textId="4633DEA1" w:rsidR="00BF7B48" w:rsidRPr="00B60E6E" w:rsidRDefault="00204FEF" w:rsidP="00204FEF">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 esta </w:t>
      </w:r>
      <w:r w:rsidR="00BF7B48" w:rsidRPr="00B60E6E">
        <w:rPr>
          <w:rFonts w:ascii="Times New Roman" w:hAnsi="Times New Roman" w:cs="Times New Roman"/>
          <w:sz w:val="24"/>
          <w:szCs w:val="24"/>
        </w:rPr>
        <w:t>investigación</w:t>
      </w:r>
      <w:r w:rsidR="00612C3E" w:rsidRPr="00B60E6E">
        <w:rPr>
          <w:rFonts w:ascii="Times New Roman" w:hAnsi="Times New Roman" w:cs="Times New Roman"/>
          <w:sz w:val="24"/>
          <w:szCs w:val="24"/>
        </w:rPr>
        <w:t xml:space="preserve"> </w:t>
      </w:r>
      <w:r>
        <w:rPr>
          <w:rFonts w:ascii="Times New Roman" w:hAnsi="Times New Roman" w:cs="Times New Roman"/>
          <w:sz w:val="24"/>
          <w:szCs w:val="24"/>
        </w:rPr>
        <w:t xml:space="preserve">se ha pretendido analizar </w:t>
      </w:r>
      <w:r w:rsidRPr="00B60E6E">
        <w:rPr>
          <w:rFonts w:ascii="Times New Roman" w:hAnsi="Times New Roman" w:cs="Times New Roman"/>
          <w:sz w:val="24"/>
          <w:szCs w:val="24"/>
        </w:rPr>
        <w:t>la situación estratégica y competitiva</w:t>
      </w:r>
      <w:r>
        <w:rPr>
          <w:rFonts w:ascii="Times New Roman" w:hAnsi="Times New Roman" w:cs="Times New Roman"/>
          <w:sz w:val="24"/>
          <w:szCs w:val="24"/>
        </w:rPr>
        <w:t xml:space="preserve"> </w:t>
      </w:r>
      <w:r w:rsidRPr="00B60E6E">
        <w:rPr>
          <w:rFonts w:ascii="Times New Roman" w:hAnsi="Times New Roman" w:cs="Times New Roman"/>
          <w:sz w:val="24"/>
          <w:szCs w:val="24"/>
        </w:rPr>
        <w:t>de la actividad productiva de la malanga</w:t>
      </w:r>
      <w:r>
        <w:rPr>
          <w:rFonts w:ascii="Times New Roman" w:hAnsi="Times New Roman" w:cs="Times New Roman"/>
          <w:sz w:val="24"/>
          <w:szCs w:val="24"/>
        </w:rPr>
        <w:t>, para lo cual se ha empleado,</w:t>
      </w:r>
      <w:r w:rsidRPr="00204FEF">
        <w:rPr>
          <w:rFonts w:ascii="Times New Roman" w:hAnsi="Times New Roman" w:cs="Times New Roman"/>
          <w:sz w:val="24"/>
          <w:szCs w:val="24"/>
        </w:rPr>
        <w:t xml:space="preserve"> </w:t>
      </w:r>
      <w:r w:rsidRPr="00B60E6E">
        <w:rPr>
          <w:rFonts w:ascii="Times New Roman" w:hAnsi="Times New Roman" w:cs="Times New Roman"/>
          <w:sz w:val="24"/>
          <w:szCs w:val="24"/>
        </w:rPr>
        <w:t xml:space="preserve">desde </w:t>
      </w:r>
      <w:r w:rsidR="00F37ACD">
        <w:rPr>
          <w:rFonts w:ascii="Times New Roman" w:hAnsi="Times New Roman" w:cs="Times New Roman"/>
          <w:sz w:val="24"/>
          <w:szCs w:val="24"/>
        </w:rPr>
        <w:t>la</w:t>
      </w:r>
      <w:r w:rsidRPr="00B60E6E">
        <w:rPr>
          <w:rFonts w:ascii="Times New Roman" w:hAnsi="Times New Roman" w:cs="Times New Roman"/>
          <w:sz w:val="24"/>
          <w:szCs w:val="24"/>
        </w:rPr>
        <w:t xml:space="preserve"> perspectiva del agricultor</w:t>
      </w:r>
      <w:r>
        <w:rPr>
          <w:rFonts w:ascii="Times New Roman" w:hAnsi="Times New Roman" w:cs="Times New Roman"/>
          <w:sz w:val="24"/>
          <w:szCs w:val="24"/>
        </w:rPr>
        <w:t xml:space="preserve">, </w:t>
      </w:r>
      <w:r w:rsidR="003E6AB3" w:rsidRPr="00B60E6E">
        <w:rPr>
          <w:rFonts w:ascii="Times New Roman" w:hAnsi="Times New Roman" w:cs="Times New Roman"/>
          <w:sz w:val="24"/>
          <w:szCs w:val="24"/>
        </w:rPr>
        <w:t>la teoría de Porter.</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Los resultados permiten deducir,</w:t>
      </w:r>
      <w:r w:rsidRPr="00204FEF">
        <w:rPr>
          <w:rFonts w:ascii="Times New Roman" w:hAnsi="Times New Roman" w:cs="Times New Roman"/>
          <w:sz w:val="24"/>
          <w:szCs w:val="24"/>
        </w:rPr>
        <w:t xml:space="preserve"> </w:t>
      </w:r>
      <w:r>
        <w:rPr>
          <w:rFonts w:ascii="Times New Roman" w:hAnsi="Times New Roman" w:cs="Times New Roman"/>
          <w:sz w:val="24"/>
          <w:szCs w:val="24"/>
        </w:rPr>
        <w:t>de acuerdo con</w:t>
      </w:r>
      <w:r w:rsidRPr="00B60E6E">
        <w:rPr>
          <w:rFonts w:ascii="Times New Roman" w:hAnsi="Times New Roman" w:cs="Times New Roman"/>
          <w:sz w:val="24"/>
          <w:szCs w:val="24"/>
        </w:rPr>
        <w:t xml:space="preserve"> la matriz de posicionamiento de </w:t>
      </w:r>
      <w:r>
        <w:rPr>
          <w:rFonts w:ascii="Times New Roman" w:hAnsi="Times New Roman" w:cs="Times New Roman"/>
          <w:sz w:val="24"/>
          <w:szCs w:val="24"/>
        </w:rPr>
        <w:t xml:space="preserve">este autor, que </w:t>
      </w:r>
      <w:r w:rsidR="00BF7B48" w:rsidRPr="00B60E6E">
        <w:rPr>
          <w:rFonts w:ascii="Times New Roman" w:hAnsi="Times New Roman" w:cs="Times New Roman"/>
          <w:sz w:val="24"/>
          <w:szCs w:val="24"/>
        </w:rPr>
        <w:t xml:space="preserve">actualmente no se cuenta con una estrategia genérica establecida </w:t>
      </w:r>
      <w:r w:rsidR="00612C3E" w:rsidRPr="00B60E6E">
        <w:rPr>
          <w:rFonts w:ascii="Times New Roman" w:hAnsi="Times New Roman" w:cs="Times New Roman"/>
          <w:sz w:val="24"/>
          <w:szCs w:val="24"/>
        </w:rPr>
        <w:t>por parte de los product</w:t>
      </w:r>
      <w:r w:rsidR="00324FF4" w:rsidRPr="00B60E6E">
        <w:rPr>
          <w:rFonts w:ascii="Times New Roman" w:hAnsi="Times New Roman" w:cs="Times New Roman"/>
          <w:sz w:val="24"/>
          <w:szCs w:val="24"/>
        </w:rPr>
        <w:t>ores</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De hecho, l</w:t>
      </w:r>
      <w:r w:rsidR="00BF7B48" w:rsidRPr="00B60E6E">
        <w:rPr>
          <w:rFonts w:ascii="Times New Roman" w:hAnsi="Times New Roman" w:cs="Times New Roman"/>
          <w:sz w:val="24"/>
          <w:szCs w:val="24"/>
        </w:rPr>
        <w:t xml:space="preserve">a principal </w:t>
      </w:r>
      <w:r w:rsidR="00F37ACD">
        <w:rPr>
          <w:rFonts w:ascii="Times New Roman" w:hAnsi="Times New Roman" w:cs="Times New Roman"/>
          <w:sz w:val="24"/>
          <w:szCs w:val="24"/>
        </w:rPr>
        <w:t>alternativa</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 xml:space="preserve">empleada </w:t>
      </w:r>
      <w:r w:rsidR="00BF7B48" w:rsidRPr="00B60E6E">
        <w:rPr>
          <w:rFonts w:ascii="Times New Roman" w:hAnsi="Times New Roman" w:cs="Times New Roman"/>
          <w:sz w:val="24"/>
          <w:szCs w:val="24"/>
        </w:rPr>
        <w:t>es</w:t>
      </w:r>
      <w:r w:rsidR="00324FF4" w:rsidRPr="00B60E6E">
        <w:rPr>
          <w:rFonts w:ascii="Times New Roman" w:hAnsi="Times New Roman" w:cs="Times New Roman"/>
          <w:sz w:val="24"/>
          <w:szCs w:val="24"/>
        </w:rPr>
        <w:t xml:space="preserve"> </w:t>
      </w:r>
      <w:r w:rsidR="00BF7B48" w:rsidRPr="00B60E6E">
        <w:rPr>
          <w:rFonts w:ascii="Times New Roman" w:hAnsi="Times New Roman" w:cs="Times New Roman"/>
          <w:sz w:val="24"/>
          <w:szCs w:val="24"/>
        </w:rPr>
        <w:t xml:space="preserve">la </w:t>
      </w:r>
      <w:r>
        <w:rPr>
          <w:rFonts w:ascii="Times New Roman" w:hAnsi="Times New Roman" w:cs="Times New Roman"/>
          <w:sz w:val="24"/>
          <w:szCs w:val="24"/>
        </w:rPr>
        <w:t>de liderazgo en costos,</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lo cual significa que</w:t>
      </w:r>
      <w:r w:rsidR="00BF7B48" w:rsidRPr="00B60E6E">
        <w:rPr>
          <w:rFonts w:ascii="Times New Roman" w:hAnsi="Times New Roman" w:cs="Times New Roman"/>
          <w:sz w:val="24"/>
          <w:szCs w:val="24"/>
        </w:rPr>
        <w:t xml:space="preserve"> están</w:t>
      </w:r>
      <w:r w:rsidR="002E196C" w:rsidRPr="00B60E6E">
        <w:rPr>
          <w:rFonts w:ascii="Times New Roman" w:hAnsi="Times New Roman" w:cs="Times New Roman"/>
          <w:sz w:val="24"/>
          <w:szCs w:val="24"/>
        </w:rPr>
        <w:t xml:space="preserve"> compitiendo </w:t>
      </w:r>
      <w:r w:rsidRPr="00B60E6E">
        <w:rPr>
          <w:rFonts w:ascii="Times New Roman" w:hAnsi="Times New Roman" w:cs="Times New Roman"/>
          <w:sz w:val="24"/>
          <w:szCs w:val="24"/>
        </w:rPr>
        <w:t xml:space="preserve">internacionalmente </w:t>
      </w:r>
      <w:r w:rsidR="002E196C" w:rsidRPr="00B60E6E">
        <w:rPr>
          <w:rFonts w:ascii="Times New Roman" w:hAnsi="Times New Roman" w:cs="Times New Roman"/>
          <w:sz w:val="24"/>
          <w:szCs w:val="24"/>
        </w:rPr>
        <w:t xml:space="preserve">con precios bajos. </w:t>
      </w:r>
    </w:p>
    <w:p w14:paraId="348D7A63" w14:textId="33DFE373" w:rsidR="00BF7B48" w:rsidRPr="00B60E6E" w:rsidRDefault="00F37ACD" w:rsidP="00BF7B48">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1A48A7" w:rsidRPr="00B60E6E">
        <w:rPr>
          <w:rFonts w:ascii="Times New Roman" w:hAnsi="Times New Roman" w:cs="Times New Roman"/>
          <w:sz w:val="24"/>
          <w:szCs w:val="24"/>
        </w:rPr>
        <w:t>e acuerdo con el análisis de las cinco fuerzas y diamante de Porter</w:t>
      </w:r>
      <w:r w:rsidR="001A48A7">
        <w:rPr>
          <w:rFonts w:ascii="Times New Roman" w:hAnsi="Times New Roman" w:cs="Times New Roman"/>
          <w:sz w:val="24"/>
          <w:szCs w:val="24"/>
        </w:rPr>
        <w:t>,</w:t>
      </w:r>
      <w:r w:rsidR="001A48A7" w:rsidRPr="00B60E6E">
        <w:rPr>
          <w:rFonts w:ascii="Times New Roman" w:hAnsi="Times New Roman" w:cs="Times New Roman"/>
          <w:sz w:val="24"/>
          <w:szCs w:val="24"/>
        </w:rPr>
        <w:t xml:space="preserve"> </w:t>
      </w:r>
      <w:r w:rsidR="001A48A7">
        <w:rPr>
          <w:rFonts w:ascii="Times New Roman" w:hAnsi="Times New Roman" w:cs="Times New Roman"/>
          <w:sz w:val="24"/>
          <w:szCs w:val="24"/>
        </w:rPr>
        <w:t>l</w:t>
      </w:r>
      <w:r w:rsidR="00BF7B48" w:rsidRPr="00B60E6E">
        <w:rPr>
          <w:rFonts w:ascii="Times New Roman" w:hAnsi="Times New Roman" w:cs="Times New Roman"/>
          <w:sz w:val="24"/>
          <w:szCs w:val="24"/>
        </w:rPr>
        <w:t>a situación competitiva se percibe vulnerable</w:t>
      </w:r>
      <w:r w:rsidR="00457558" w:rsidRPr="00B60E6E">
        <w:rPr>
          <w:rFonts w:ascii="Times New Roman" w:hAnsi="Times New Roman" w:cs="Times New Roman"/>
          <w:sz w:val="24"/>
          <w:szCs w:val="24"/>
        </w:rPr>
        <w:t xml:space="preserve">. Esto </w:t>
      </w:r>
      <w:r w:rsidR="00204FEF">
        <w:rPr>
          <w:rFonts w:ascii="Times New Roman" w:hAnsi="Times New Roman" w:cs="Times New Roman"/>
          <w:sz w:val="24"/>
          <w:szCs w:val="24"/>
        </w:rPr>
        <w:t xml:space="preserve">se debe </w:t>
      </w:r>
      <w:r w:rsidR="00457558" w:rsidRPr="00B60E6E">
        <w:rPr>
          <w:rFonts w:ascii="Times New Roman" w:hAnsi="Times New Roman" w:cs="Times New Roman"/>
          <w:sz w:val="24"/>
          <w:szCs w:val="24"/>
        </w:rPr>
        <w:t>a</w:t>
      </w:r>
      <w:r w:rsidR="00BF7B48" w:rsidRPr="00B60E6E">
        <w:rPr>
          <w:rFonts w:ascii="Times New Roman" w:hAnsi="Times New Roman" w:cs="Times New Roman"/>
          <w:sz w:val="24"/>
          <w:szCs w:val="24"/>
        </w:rPr>
        <w:t xml:space="preserve"> que la malanga es sustituida por otra </w:t>
      </w:r>
      <w:r w:rsidR="001A48A7">
        <w:rPr>
          <w:rFonts w:ascii="Times New Roman" w:hAnsi="Times New Roman" w:cs="Times New Roman"/>
          <w:sz w:val="24"/>
          <w:szCs w:val="24"/>
        </w:rPr>
        <w:t>cuando en el</w:t>
      </w:r>
      <w:r w:rsidR="001A48A7" w:rsidRPr="00B60E6E">
        <w:rPr>
          <w:rFonts w:ascii="Times New Roman" w:hAnsi="Times New Roman" w:cs="Times New Roman"/>
          <w:sz w:val="24"/>
          <w:szCs w:val="24"/>
        </w:rPr>
        <w:t xml:space="preserve"> mercado extranjero</w:t>
      </w:r>
      <w:r w:rsidR="001A48A7">
        <w:rPr>
          <w:rFonts w:ascii="Times New Roman" w:hAnsi="Times New Roman" w:cs="Times New Roman"/>
          <w:sz w:val="24"/>
          <w:szCs w:val="24"/>
        </w:rPr>
        <w:t xml:space="preserve"> emerge</w:t>
      </w:r>
      <w:r w:rsidR="00BF7B48" w:rsidRPr="00B60E6E">
        <w:rPr>
          <w:rFonts w:ascii="Times New Roman" w:hAnsi="Times New Roman" w:cs="Times New Roman"/>
          <w:sz w:val="24"/>
          <w:szCs w:val="24"/>
        </w:rPr>
        <w:t xml:space="preserve"> </w:t>
      </w:r>
      <w:r w:rsidR="001A48A7">
        <w:rPr>
          <w:rFonts w:ascii="Times New Roman" w:hAnsi="Times New Roman" w:cs="Times New Roman"/>
          <w:sz w:val="24"/>
          <w:szCs w:val="24"/>
        </w:rPr>
        <w:t xml:space="preserve">un </w:t>
      </w:r>
      <w:r w:rsidR="00BF7B48" w:rsidRPr="00B60E6E">
        <w:rPr>
          <w:rFonts w:ascii="Times New Roman" w:hAnsi="Times New Roman" w:cs="Times New Roman"/>
          <w:sz w:val="24"/>
          <w:szCs w:val="24"/>
        </w:rPr>
        <w:t>competidor con precio</w:t>
      </w:r>
      <w:r w:rsidR="001A48A7">
        <w:rPr>
          <w:rFonts w:ascii="Times New Roman" w:hAnsi="Times New Roman" w:cs="Times New Roman"/>
          <w:sz w:val="24"/>
          <w:szCs w:val="24"/>
        </w:rPr>
        <w:t>s</w:t>
      </w:r>
      <w:r w:rsidR="00BF7B48" w:rsidRPr="00B60E6E">
        <w:rPr>
          <w:rFonts w:ascii="Times New Roman" w:hAnsi="Times New Roman" w:cs="Times New Roman"/>
          <w:sz w:val="24"/>
          <w:szCs w:val="24"/>
        </w:rPr>
        <w:t xml:space="preserve"> más bajo</w:t>
      </w:r>
      <w:r w:rsidR="001A48A7">
        <w:rPr>
          <w:rFonts w:ascii="Times New Roman" w:hAnsi="Times New Roman" w:cs="Times New Roman"/>
          <w:sz w:val="24"/>
          <w:szCs w:val="24"/>
        </w:rPr>
        <w:t xml:space="preserve">s, lo cual </w:t>
      </w:r>
      <w:r w:rsidR="00076C1C">
        <w:rPr>
          <w:rFonts w:ascii="Times New Roman" w:hAnsi="Times New Roman" w:cs="Times New Roman"/>
          <w:sz w:val="24"/>
          <w:szCs w:val="24"/>
        </w:rPr>
        <w:t xml:space="preserve">puede </w:t>
      </w:r>
      <w:r w:rsidR="00BF7B48" w:rsidRPr="00B60E6E">
        <w:rPr>
          <w:rFonts w:ascii="Times New Roman" w:hAnsi="Times New Roman" w:cs="Times New Roman"/>
          <w:sz w:val="24"/>
          <w:szCs w:val="24"/>
        </w:rPr>
        <w:t>provoca</w:t>
      </w:r>
      <w:r w:rsidR="00076C1C">
        <w:rPr>
          <w:rFonts w:ascii="Times New Roman" w:hAnsi="Times New Roman" w:cs="Times New Roman"/>
          <w:sz w:val="24"/>
          <w:szCs w:val="24"/>
        </w:rPr>
        <w:t>r</w:t>
      </w:r>
      <w:r w:rsidR="00BF7B48" w:rsidRPr="00B60E6E">
        <w:rPr>
          <w:rFonts w:ascii="Times New Roman" w:hAnsi="Times New Roman" w:cs="Times New Roman"/>
          <w:sz w:val="24"/>
          <w:szCs w:val="24"/>
        </w:rPr>
        <w:t xml:space="preserve"> que </w:t>
      </w:r>
      <w:r w:rsidR="00C8158E">
        <w:rPr>
          <w:rFonts w:ascii="Times New Roman" w:hAnsi="Times New Roman" w:cs="Times New Roman"/>
          <w:sz w:val="24"/>
          <w:szCs w:val="24"/>
        </w:rPr>
        <w:t xml:space="preserve">a </w:t>
      </w:r>
      <w:r w:rsidR="00BF7B48" w:rsidRPr="00B60E6E">
        <w:rPr>
          <w:rFonts w:ascii="Times New Roman" w:hAnsi="Times New Roman" w:cs="Times New Roman"/>
          <w:sz w:val="24"/>
          <w:szCs w:val="24"/>
        </w:rPr>
        <w:t>los agricultores</w:t>
      </w:r>
      <w:r w:rsidR="00000758">
        <w:rPr>
          <w:rFonts w:ascii="Times New Roman" w:hAnsi="Times New Roman" w:cs="Times New Roman"/>
          <w:sz w:val="24"/>
          <w:szCs w:val="24"/>
        </w:rPr>
        <w:t xml:space="preserve"> mexicanos</w:t>
      </w:r>
      <w:r w:rsidR="00BF7B48" w:rsidRPr="00B60E6E">
        <w:rPr>
          <w:rFonts w:ascii="Times New Roman" w:hAnsi="Times New Roman" w:cs="Times New Roman"/>
          <w:sz w:val="24"/>
          <w:szCs w:val="24"/>
        </w:rPr>
        <w:t xml:space="preserve"> </w:t>
      </w:r>
      <w:r w:rsidR="000F3C4B">
        <w:rPr>
          <w:rFonts w:ascii="Times New Roman" w:hAnsi="Times New Roman" w:cs="Times New Roman"/>
          <w:sz w:val="24"/>
          <w:szCs w:val="24"/>
        </w:rPr>
        <w:t>les</w:t>
      </w:r>
      <w:r w:rsidR="00076C1C">
        <w:rPr>
          <w:rFonts w:ascii="Times New Roman" w:hAnsi="Times New Roman" w:cs="Times New Roman"/>
          <w:sz w:val="24"/>
          <w:szCs w:val="24"/>
        </w:rPr>
        <w:t xml:space="preserve"> </w:t>
      </w:r>
      <w:r w:rsidR="00BF7B48" w:rsidRPr="00B60E6E">
        <w:rPr>
          <w:rFonts w:ascii="Times New Roman" w:hAnsi="Times New Roman" w:cs="Times New Roman"/>
          <w:sz w:val="24"/>
          <w:szCs w:val="24"/>
        </w:rPr>
        <w:t xml:space="preserve">compren la malanga a </w:t>
      </w:r>
      <w:r w:rsidR="001A48A7">
        <w:rPr>
          <w:rFonts w:ascii="Times New Roman" w:hAnsi="Times New Roman" w:cs="Times New Roman"/>
          <w:sz w:val="24"/>
          <w:szCs w:val="24"/>
        </w:rPr>
        <w:t xml:space="preserve">menores </w:t>
      </w:r>
      <w:r w:rsidR="00BF7B48" w:rsidRPr="00B60E6E">
        <w:rPr>
          <w:rFonts w:ascii="Times New Roman" w:hAnsi="Times New Roman" w:cs="Times New Roman"/>
          <w:sz w:val="24"/>
          <w:szCs w:val="24"/>
        </w:rPr>
        <w:t>precios</w:t>
      </w:r>
      <w:r w:rsidR="00076C1C">
        <w:rPr>
          <w:rFonts w:ascii="Times New Roman" w:hAnsi="Times New Roman" w:cs="Times New Roman"/>
          <w:sz w:val="24"/>
          <w:szCs w:val="24"/>
        </w:rPr>
        <w:t xml:space="preserve">, </w:t>
      </w:r>
      <w:r w:rsidR="000F3C4B">
        <w:rPr>
          <w:rFonts w:ascii="Times New Roman" w:hAnsi="Times New Roman" w:cs="Times New Roman"/>
          <w:sz w:val="24"/>
          <w:szCs w:val="24"/>
        </w:rPr>
        <w:t xml:space="preserve">e incluso </w:t>
      </w:r>
      <w:r w:rsidR="00076C1C">
        <w:rPr>
          <w:rFonts w:ascii="Times New Roman" w:hAnsi="Times New Roman" w:cs="Times New Roman"/>
          <w:sz w:val="24"/>
          <w:szCs w:val="24"/>
        </w:rPr>
        <w:t>corran</w:t>
      </w:r>
      <w:r w:rsidR="001A48A7">
        <w:rPr>
          <w:rFonts w:ascii="Times New Roman" w:hAnsi="Times New Roman" w:cs="Times New Roman"/>
          <w:sz w:val="24"/>
          <w:szCs w:val="24"/>
        </w:rPr>
        <w:t xml:space="preserve"> </w:t>
      </w:r>
      <w:r w:rsidR="00BF7B48" w:rsidRPr="00B60E6E">
        <w:rPr>
          <w:rFonts w:ascii="Times New Roman" w:hAnsi="Times New Roman" w:cs="Times New Roman"/>
          <w:sz w:val="24"/>
          <w:szCs w:val="24"/>
        </w:rPr>
        <w:t xml:space="preserve">el riesgo de no recuperar </w:t>
      </w:r>
      <w:r w:rsidR="001A48A7">
        <w:rPr>
          <w:rFonts w:ascii="Times New Roman" w:hAnsi="Times New Roman" w:cs="Times New Roman"/>
          <w:sz w:val="24"/>
          <w:szCs w:val="24"/>
        </w:rPr>
        <w:t>la</w:t>
      </w:r>
      <w:r w:rsidR="00BF7B48" w:rsidRPr="00B60E6E">
        <w:rPr>
          <w:rFonts w:ascii="Times New Roman" w:hAnsi="Times New Roman" w:cs="Times New Roman"/>
          <w:sz w:val="24"/>
          <w:szCs w:val="24"/>
        </w:rPr>
        <w:t xml:space="preserve"> inversi</w:t>
      </w:r>
      <w:r w:rsidR="00000758">
        <w:rPr>
          <w:rFonts w:ascii="Times New Roman" w:hAnsi="Times New Roman" w:cs="Times New Roman"/>
          <w:sz w:val="24"/>
          <w:szCs w:val="24"/>
        </w:rPr>
        <w:t>ón.</w:t>
      </w:r>
      <w:r w:rsidR="00BF7B48" w:rsidRPr="00B60E6E">
        <w:rPr>
          <w:rFonts w:ascii="Times New Roman" w:hAnsi="Times New Roman" w:cs="Times New Roman"/>
          <w:sz w:val="24"/>
          <w:szCs w:val="24"/>
        </w:rPr>
        <w:t xml:space="preserve"> </w:t>
      </w:r>
      <w:r w:rsidR="00000758">
        <w:rPr>
          <w:rFonts w:ascii="Times New Roman" w:hAnsi="Times New Roman" w:cs="Times New Roman"/>
          <w:sz w:val="24"/>
          <w:szCs w:val="24"/>
        </w:rPr>
        <w:t xml:space="preserve">Por lo cual </w:t>
      </w:r>
      <w:r w:rsidR="00BF7B48" w:rsidRPr="00A7582F">
        <w:rPr>
          <w:rFonts w:ascii="Times New Roman" w:hAnsi="Times New Roman" w:cs="Times New Roman"/>
          <w:sz w:val="24"/>
          <w:szCs w:val="24"/>
        </w:rPr>
        <w:t>este producto se c</w:t>
      </w:r>
      <w:r w:rsidR="004F536F" w:rsidRPr="00A7582F">
        <w:rPr>
          <w:rFonts w:ascii="Times New Roman" w:hAnsi="Times New Roman" w:cs="Times New Roman"/>
          <w:sz w:val="24"/>
          <w:szCs w:val="24"/>
        </w:rPr>
        <w:t>ultiva más como una oportunidad,</w:t>
      </w:r>
      <w:r w:rsidR="00076C1C" w:rsidRPr="00A7582F">
        <w:rPr>
          <w:rFonts w:ascii="Times New Roman" w:hAnsi="Times New Roman" w:cs="Times New Roman"/>
          <w:sz w:val="24"/>
          <w:szCs w:val="24"/>
        </w:rPr>
        <w:t xml:space="preserve"> </w:t>
      </w:r>
      <w:r w:rsidR="004F536F" w:rsidRPr="00A7582F">
        <w:rPr>
          <w:rFonts w:ascii="Times New Roman" w:hAnsi="Times New Roman" w:cs="Times New Roman"/>
          <w:sz w:val="24"/>
          <w:szCs w:val="24"/>
        </w:rPr>
        <w:t>e</w:t>
      </w:r>
      <w:r w:rsidR="00076C1C" w:rsidRPr="00A7582F">
        <w:rPr>
          <w:rFonts w:ascii="Times New Roman" w:hAnsi="Times New Roman" w:cs="Times New Roman"/>
          <w:sz w:val="24"/>
          <w:szCs w:val="24"/>
        </w:rPr>
        <w:t>sto</w:t>
      </w:r>
      <w:r w:rsidR="00076C1C">
        <w:rPr>
          <w:rFonts w:ascii="Times New Roman" w:hAnsi="Times New Roman" w:cs="Times New Roman"/>
          <w:sz w:val="24"/>
          <w:szCs w:val="24"/>
        </w:rPr>
        <w:t xml:space="preserve"> significa que</w:t>
      </w:r>
      <w:r w:rsidR="001A48A7">
        <w:rPr>
          <w:rFonts w:ascii="Times New Roman" w:hAnsi="Times New Roman" w:cs="Times New Roman"/>
          <w:sz w:val="24"/>
          <w:szCs w:val="24"/>
        </w:rPr>
        <w:t xml:space="preserve"> entra </w:t>
      </w:r>
      <w:r w:rsidR="00BF7B48" w:rsidRPr="00B60E6E">
        <w:rPr>
          <w:rFonts w:ascii="Times New Roman" w:hAnsi="Times New Roman" w:cs="Times New Roman"/>
          <w:sz w:val="24"/>
          <w:szCs w:val="24"/>
        </w:rPr>
        <w:t xml:space="preserve">al mercado sin una visión amplia, </w:t>
      </w:r>
      <w:r w:rsidR="004F536F">
        <w:rPr>
          <w:rFonts w:ascii="Times New Roman" w:hAnsi="Times New Roman" w:cs="Times New Roman"/>
          <w:sz w:val="24"/>
          <w:szCs w:val="24"/>
        </w:rPr>
        <w:t>quedando</w:t>
      </w:r>
      <w:r w:rsidR="001A48A7">
        <w:rPr>
          <w:rFonts w:ascii="Times New Roman" w:hAnsi="Times New Roman" w:cs="Times New Roman"/>
          <w:sz w:val="24"/>
          <w:szCs w:val="24"/>
        </w:rPr>
        <w:t xml:space="preserve"> </w:t>
      </w:r>
      <w:r w:rsidR="00BF7B48" w:rsidRPr="00B60E6E">
        <w:rPr>
          <w:rFonts w:ascii="Times New Roman" w:hAnsi="Times New Roman" w:cs="Times New Roman"/>
          <w:sz w:val="24"/>
          <w:szCs w:val="24"/>
        </w:rPr>
        <w:t>bajo un alto poder negociador del comprador nacional</w:t>
      </w:r>
      <w:r w:rsidR="001A48A7">
        <w:rPr>
          <w:rFonts w:ascii="Times New Roman" w:hAnsi="Times New Roman" w:cs="Times New Roman"/>
          <w:sz w:val="24"/>
          <w:szCs w:val="24"/>
        </w:rPr>
        <w:t xml:space="preserve"> y</w:t>
      </w:r>
      <w:r w:rsidR="00076C1C">
        <w:rPr>
          <w:rFonts w:ascii="Times New Roman" w:hAnsi="Times New Roman" w:cs="Times New Roman"/>
          <w:sz w:val="24"/>
          <w:szCs w:val="24"/>
        </w:rPr>
        <w:t xml:space="preserve"> </w:t>
      </w:r>
      <w:r w:rsidR="00A7582F" w:rsidRPr="00B60E6E">
        <w:rPr>
          <w:rFonts w:ascii="Times New Roman" w:hAnsi="Times New Roman" w:cs="Times New Roman"/>
          <w:sz w:val="24"/>
          <w:szCs w:val="24"/>
        </w:rPr>
        <w:t xml:space="preserve">principalmente </w:t>
      </w:r>
      <w:r w:rsidR="00A7582F">
        <w:rPr>
          <w:rFonts w:ascii="Times New Roman" w:hAnsi="Times New Roman" w:cs="Times New Roman"/>
          <w:sz w:val="24"/>
          <w:szCs w:val="24"/>
        </w:rPr>
        <w:t xml:space="preserve">del </w:t>
      </w:r>
      <w:r w:rsidR="00BF7B48" w:rsidRPr="00B60E6E">
        <w:rPr>
          <w:rFonts w:ascii="Times New Roman" w:hAnsi="Times New Roman" w:cs="Times New Roman"/>
          <w:sz w:val="24"/>
          <w:szCs w:val="24"/>
        </w:rPr>
        <w:t xml:space="preserve">extranjero. Por lo </w:t>
      </w:r>
      <w:r w:rsidR="00457558" w:rsidRPr="00B60E6E">
        <w:rPr>
          <w:rFonts w:ascii="Times New Roman" w:hAnsi="Times New Roman" w:cs="Times New Roman"/>
          <w:sz w:val="24"/>
          <w:szCs w:val="24"/>
        </w:rPr>
        <w:t>tanto,</w:t>
      </w:r>
      <w:r w:rsidR="00BF7B48" w:rsidRPr="00B60E6E">
        <w:rPr>
          <w:rFonts w:ascii="Times New Roman" w:hAnsi="Times New Roman" w:cs="Times New Roman"/>
          <w:sz w:val="24"/>
          <w:szCs w:val="24"/>
        </w:rPr>
        <w:t xml:space="preserve"> si </w:t>
      </w:r>
      <w:r w:rsidR="00C342A6" w:rsidRPr="00B60E6E">
        <w:rPr>
          <w:rFonts w:ascii="Times New Roman" w:hAnsi="Times New Roman" w:cs="Times New Roman"/>
          <w:sz w:val="24"/>
          <w:szCs w:val="24"/>
        </w:rPr>
        <w:t xml:space="preserve">los agricultores </w:t>
      </w:r>
      <w:r w:rsidR="00BF7B48" w:rsidRPr="00B60E6E">
        <w:rPr>
          <w:rFonts w:ascii="Times New Roman" w:hAnsi="Times New Roman" w:cs="Times New Roman"/>
          <w:sz w:val="24"/>
          <w:szCs w:val="24"/>
        </w:rPr>
        <w:t>quieren seguir con esta estrategia</w:t>
      </w:r>
      <w:r w:rsidR="001A48A7">
        <w:rPr>
          <w:rFonts w:ascii="Times New Roman" w:hAnsi="Times New Roman" w:cs="Times New Roman"/>
          <w:sz w:val="24"/>
          <w:szCs w:val="24"/>
        </w:rPr>
        <w:t>,</w:t>
      </w:r>
      <w:r w:rsidR="00BF7B48" w:rsidRPr="00B60E6E">
        <w:rPr>
          <w:rFonts w:ascii="Times New Roman" w:hAnsi="Times New Roman" w:cs="Times New Roman"/>
          <w:sz w:val="24"/>
          <w:szCs w:val="24"/>
        </w:rPr>
        <w:t xml:space="preserve"> deberán reducir costos y trabajar más con economías de escala. A pesar de ello, existen actores que se inclinan sin planearlo por una estrategia de diferenciación o de enfoque de segmento, aunque </w:t>
      </w:r>
      <w:r w:rsidR="001A48A7">
        <w:rPr>
          <w:rFonts w:ascii="Times New Roman" w:hAnsi="Times New Roman" w:cs="Times New Roman"/>
          <w:sz w:val="24"/>
          <w:szCs w:val="24"/>
        </w:rPr>
        <w:t xml:space="preserve">estos </w:t>
      </w:r>
      <w:r w:rsidR="00BF7B48" w:rsidRPr="00B60E6E">
        <w:rPr>
          <w:rFonts w:ascii="Times New Roman" w:hAnsi="Times New Roman" w:cs="Times New Roman"/>
          <w:sz w:val="24"/>
          <w:szCs w:val="24"/>
        </w:rPr>
        <w:t xml:space="preserve">son casi nulos. </w:t>
      </w:r>
    </w:p>
    <w:p w14:paraId="329CFD62" w14:textId="14FFC6DD" w:rsidR="00BF7B48" w:rsidRPr="00B60E6E" w:rsidRDefault="00076C1C" w:rsidP="00BF7B48">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w:t>
      </w:r>
      <w:r w:rsidR="00F37ACD">
        <w:rPr>
          <w:rFonts w:ascii="Times New Roman" w:hAnsi="Times New Roman" w:cs="Times New Roman"/>
          <w:sz w:val="24"/>
          <w:szCs w:val="24"/>
        </w:rPr>
        <w:t xml:space="preserve">e </w:t>
      </w:r>
      <w:r w:rsidR="001A48A7">
        <w:rPr>
          <w:rFonts w:ascii="Times New Roman" w:hAnsi="Times New Roman" w:cs="Times New Roman"/>
          <w:sz w:val="24"/>
          <w:szCs w:val="24"/>
        </w:rPr>
        <w:t>i</w:t>
      </w:r>
      <w:r w:rsidR="00BF7B48" w:rsidRPr="00B60E6E">
        <w:rPr>
          <w:rFonts w:ascii="Times New Roman" w:hAnsi="Times New Roman" w:cs="Times New Roman"/>
          <w:sz w:val="24"/>
          <w:szCs w:val="24"/>
        </w:rPr>
        <w:t>ndependientemente de las estrategias genéricas de posicionamiento que sigan</w:t>
      </w:r>
      <w:r w:rsidR="003549AB" w:rsidRPr="00B60E6E">
        <w:rPr>
          <w:rFonts w:ascii="Times New Roman" w:hAnsi="Times New Roman" w:cs="Times New Roman"/>
          <w:sz w:val="24"/>
          <w:szCs w:val="24"/>
        </w:rPr>
        <w:t xml:space="preserve"> los agricultores</w:t>
      </w:r>
      <w:r w:rsidR="00BF7B48" w:rsidRPr="00B60E6E">
        <w:rPr>
          <w:rFonts w:ascii="Times New Roman" w:hAnsi="Times New Roman" w:cs="Times New Roman"/>
          <w:sz w:val="24"/>
          <w:szCs w:val="24"/>
        </w:rPr>
        <w:t xml:space="preserve">, es vital que </w:t>
      </w:r>
      <w:r w:rsidR="00800AB8" w:rsidRPr="00B60E6E">
        <w:rPr>
          <w:rFonts w:ascii="Times New Roman" w:hAnsi="Times New Roman" w:cs="Times New Roman"/>
          <w:sz w:val="24"/>
          <w:szCs w:val="24"/>
        </w:rPr>
        <w:t xml:space="preserve">los productores de malanga y </w:t>
      </w:r>
      <w:r w:rsidR="00BF7B48" w:rsidRPr="00B60E6E">
        <w:rPr>
          <w:rFonts w:ascii="Times New Roman" w:hAnsi="Times New Roman" w:cs="Times New Roman"/>
          <w:sz w:val="24"/>
          <w:szCs w:val="24"/>
        </w:rPr>
        <w:t xml:space="preserve">los actores </w:t>
      </w:r>
      <w:r w:rsidR="000E6AF8" w:rsidRPr="00B60E6E">
        <w:rPr>
          <w:rFonts w:ascii="Times New Roman" w:hAnsi="Times New Roman" w:cs="Times New Roman"/>
          <w:sz w:val="24"/>
          <w:szCs w:val="24"/>
        </w:rPr>
        <w:t xml:space="preserve">involucrados </w:t>
      </w:r>
      <w:r w:rsidR="001A48A7">
        <w:rPr>
          <w:rFonts w:ascii="Times New Roman" w:hAnsi="Times New Roman" w:cs="Times New Roman"/>
          <w:sz w:val="24"/>
          <w:szCs w:val="24"/>
        </w:rPr>
        <w:t>en</w:t>
      </w:r>
      <w:r w:rsidR="00BF7B48" w:rsidRPr="00B60E6E">
        <w:rPr>
          <w:rFonts w:ascii="Times New Roman" w:hAnsi="Times New Roman" w:cs="Times New Roman"/>
          <w:sz w:val="24"/>
          <w:szCs w:val="24"/>
        </w:rPr>
        <w:t xml:space="preserve"> esta actividad logren </w:t>
      </w:r>
      <w:r w:rsidR="001A48A7">
        <w:rPr>
          <w:rFonts w:ascii="Times New Roman" w:hAnsi="Times New Roman" w:cs="Times New Roman"/>
          <w:sz w:val="24"/>
          <w:szCs w:val="24"/>
        </w:rPr>
        <w:t>la cooperación y</w:t>
      </w:r>
      <w:r w:rsidR="00BF7B48" w:rsidRPr="00B60E6E">
        <w:rPr>
          <w:rFonts w:ascii="Times New Roman" w:hAnsi="Times New Roman" w:cs="Times New Roman"/>
          <w:sz w:val="24"/>
          <w:szCs w:val="24"/>
        </w:rPr>
        <w:t xml:space="preserve"> </w:t>
      </w:r>
      <w:r w:rsidR="001A48A7">
        <w:rPr>
          <w:rFonts w:ascii="Times New Roman" w:hAnsi="Times New Roman" w:cs="Times New Roman"/>
          <w:sz w:val="24"/>
          <w:szCs w:val="24"/>
        </w:rPr>
        <w:t xml:space="preserve">la </w:t>
      </w:r>
      <w:r w:rsidR="00BF7B48" w:rsidRPr="00B60E6E">
        <w:rPr>
          <w:rFonts w:ascii="Times New Roman" w:hAnsi="Times New Roman" w:cs="Times New Roman"/>
          <w:sz w:val="24"/>
          <w:szCs w:val="24"/>
        </w:rPr>
        <w:t xml:space="preserve">formalización </w:t>
      </w:r>
      <w:r w:rsidR="001A48A7">
        <w:rPr>
          <w:rFonts w:ascii="Times New Roman" w:hAnsi="Times New Roman" w:cs="Times New Roman"/>
          <w:sz w:val="24"/>
          <w:szCs w:val="24"/>
        </w:rPr>
        <w:t>tanto horizontal</w:t>
      </w:r>
      <w:r w:rsidR="00BF7B48" w:rsidRPr="00B60E6E">
        <w:rPr>
          <w:rFonts w:ascii="Times New Roman" w:hAnsi="Times New Roman" w:cs="Times New Roman"/>
          <w:sz w:val="24"/>
          <w:szCs w:val="24"/>
        </w:rPr>
        <w:t xml:space="preserve"> </w:t>
      </w:r>
      <w:r>
        <w:rPr>
          <w:rFonts w:ascii="Times New Roman" w:hAnsi="Times New Roman" w:cs="Times New Roman"/>
          <w:sz w:val="24"/>
          <w:szCs w:val="24"/>
        </w:rPr>
        <w:t>como vertical</w:t>
      </w:r>
      <w:r w:rsidR="00BF7B48" w:rsidRPr="00B60E6E">
        <w:rPr>
          <w:rFonts w:ascii="Times New Roman" w:hAnsi="Times New Roman" w:cs="Times New Roman"/>
          <w:sz w:val="24"/>
          <w:szCs w:val="24"/>
        </w:rPr>
        <w:t xml:space="preserve">. </w:t>
      </w:r>
      <w:r w:rsidR="001A48A7">
        <w:rPr>
          <w:rFonts w:ascii="Times New Roman" w:hAnsi="Times New Roman" w:cs="Times New Roman"/>
          <w:sz w:val="24"/>
          <w:szCs w:val="24"/>
        </w:rPr>
        <w:t>De esta manera</w:t>
      </w:r>
      <w:r w:rsidR="00BF7B48" w:rsidRPr="00B60E6E">
        <w:rPr>
          <w:rFonts w:ascii="Times New Roman" w:hAnsi="Times New Roman" w:cs="Times New Roman"/>
          <w:sz w:val="24"/>
          <w:szCs w:val="24"/>
        </w:rPr>
        <w:t xml:space="preserve"> </w:t>
      </w:r>
      <w:r w:rsidR="00CE04F2">
        <w:rPr>
          <w:rFonts w:ascii="Times New Roman" w:hAnsi="Times New Roman" w:cs="Times New Roman"/>
          <w:sz w:val="24"/>
          <w:szCs w:val="24"/>
        </w:rPr>
        <w:t xml:space="preserve">también </w:t>
      </w:r>
      <w:r w:rsidR="001A48A7">
        <w:rPr>
          <w:rFonts w:ascii="Times New Roman" w:hAnsi="Times New Roman" w:cs="Times New Roman"/>
          <w:sz w:val="24"/>
          <w:szCs w:val="24"/>
        </w:rPr>
        <w:t>podría ocurrir</w:t>
      </w:r>
      <w:r w:rsidR="00BF7B48" w:rsidRPr="00B60E6E">
        <w:rPr>
          <w:rFonts w:ascii="Times New Roman" w:hAnsi="Times New Roman" w:cs="Times New Roman"/>
          <w:sz w:val="24"/>
          <w:szCs w:val="24"/>
        </w:rPr>
        <w:t xml:space="preserve"> una sinergia con las instituciones gubernamentales, académicas, de investigación y otras que se encuentran en la región</w:t>
      </w:r>
      <w:r w:rsidR="001A48A7">
        <w:rPr>
          <w:rFonts w:ascii="Times New Roman" w:hAnsi="Times New Roman" w:cs="Times New Roman"/>
          <w:sz w:val="24"/>
          <w:szCs w:val="24"/>
        </w:rPr>
        <w:t>. Así, se podría competir globalmente, y</w:t>
      </w:r>
      <w:r w:rsidR="00BF7B48" w:rsidRPr="00B60E6E">
        <w:rPr>
          <w:rFonts w:ascii="Times New Roman" w:hAnsi="Times New Roman" w:cs="Times New Roman"/>
          <w:sz w:val="24"/>
          <w:szCs w:val="24"/>
        </w:rPr>
        <w:t xml:space="preserve">a que </w:t>
      </w:r>
      <w:r w:rsidR="001A48A7">
        <w:rPr>
          <w:rFonts w:ascii="Times New Roman" w:hAnsi="Times New Roman" w:cs="Times New Roman"/>
          <w:sz w:val="24"/>
          <w:szCs w:val="24"/>
        </w:rPr>
        <w:t>este</w:t>
      </w:r>
      <w:r w:rsidR="00BF7B48" w:rsidRPr="00B60E6E">
        <w:rPr>
          <w:rFonts w:ascii="Times New Roman" w:hAnsi="Times New Roman" w:cs="Times New Roman"/>
          <w:sz w:val="24"/>
          <w:szCs w:val="24"/>
        </w:rPr>
        <w:t xml:space="preserve"> es un sector con potencial para contribuir a</w:t>
      </w:r>
      <w:r w:rsidR="00F37ACD">
        <w:rPr>
          <w:rFonts w:ascii="Times New Roman" w:hAnsi="Times New Roman" w:cs="Times New Roman"/>
          <w:sz w:val="24"/>
          <w:szCs w:val="24"/>
        </w:rPr>
        <w:t>l desarrollo</w:t>
      </w:r>
      <w:r w:rsidR="00BF7B48" w:rsidRPr="00B60E6E">
        <w:rPr>
          <w:rFonts w:ascii="Times New Roman" w:hAnsi="Times New Roman" w:cs="Times New Roman"/>
          <w:sz w:val="24"/>
          <w:szCs w:val="24"/>
        </w:rPr>
        <w:t xml:space="preserve"> </w:t>
      </w:r>
      <w:r w:rsidR="00F37ACD">
        <w:rPr>
          <w:rFonts w:ascii="Times New Roman" w:hAnsi="Times New Roman" w:cs="Times New Roman"/>
          <w:sz w:val="24"/>
          <w:szCs w:val="24"/>
        </w:rPr>
        <w:t xml:space="preserve">de </w:t>
      </w:r>
      <w:r w:rsidR="00BF7B48" w:rsidRPr="00B60E6E">
        <w:rPr>
          <w:rFonts w:ascii="Times New Roman" w:hAnsi="Times New Roman" w:cs="Times New Roman"/>
          <w:sz w:val="24"/>
          <w:szCs w:val="24"/>
        </w:rPr>
        <w:t xml:space="preserve">la economía y </w:t>
      </w:r>
      <w:r w:rsidR="00F37ACD">
        <w:rPr>
          <w:rFonts w:ascii="Times New Roman" w:hAnsi="Times New Roman" w:cs="Times New Roman"/>
          <w:sz w:val="24"/>
          <w:szCs w:val="24"/>
        </w:rPr>
        <w:t>de</w:t>
      </w:r>
      <w:r w:rsidR="00BF7B48" w:rsidRPr="00B60E6E">
        <w:rPr>
          <w:rFonts w:ascii="Times New Roman" w:hAnsi="Times New Roman" w:cs="Times New Roman"/>
          <w:sz w:val="24"/>
          <w:szCs w:val="24"/>
        </w:rPr>
        <w:t xml:space="preserve"> empleos en beneficio de la región y</w:t>
      </w:r>
      <w:r w:rsidR="001A48A7">
        <w:rPr>
          <w:rFonts w:ascii="Times New Roman" w:hAnsi="Times New Roman" w:cs="Times New Roman"/>
          <w:sz w:val="24"/>
          <w:szCs w:val="24"/>
        </w:rPr>
        <w:t>,</w:t>
      </w:r>
      <w:r w:rsidR="00BF7B48" w:rsidRPr="00B60E6E">
        <w:rPr>
          <w:rFonts w:ascii="Times New Roman" w:hAnsi="Times New Roman" w:cs="Times New Roman"/>
          <w:sz w:val="24"/>
          <w:szCs w:val="24"/>
        </w:rPr>
        <w:t xml:space="preserve"> por ende</w:t>
      </w:r>
      <w:r w:rsidR="001A48A7">
        <w:rPr>
          <w:rFonts w:ascii="Times New Roman" w:hAnsi="Times New Roman" w:cs="Times New Roman"/>
          <w:sz w:val="24"/>
          <w:szCs w:val="24"/>
        </w:rPr>
        <w:t>,</w:t>
      </w:r>
      <w:r w:rsidR="00BF7B48" w:rsidRPr="00B60E6E">
        <w:rPr>
          <w:rFonts w:ascii="Times New Roman" w:hAnsi="Times New Roman" w:cs="Times New Roman"/>
          <w:sz w:val="24"/>
          <w:szCs w:val="24"/>
        </w:rPr>
        <w:t xml:space="preserve"> del país. </w:t>
      </w:r>
    </w:p>
    <w:p w14:paraId="1F30F067" w14:textId="77777777" w:rsidR="001A48A7" w:rsidRDefault="001A48A7" w:rsidP="0021455B">
      <w:pPr>
        <w:spacing w:before="160" w:after="80" w:line="240" w:lineRule="auto"/>
        <w:textAlignment w:val="baseline"/>
        <w:rPr>
          <w:rFonts w:ascii="Times New Roman" w:hAnsi="Times New Roman" w:cs="Times New Roman"/>
          <w:b/>
          <w:color w:val="7030A0"/>
          <w:sz w:val="24"/>
          <w:szCs w:val="24"/>
        </w:rPr>
      </w:pPr>
    </w:p>
    <w:p w14:paraId="4BB17523" w14:textId="77777777" w:rsidR="00BF7B48" w:rsidRPr="00B60E6E" w:rsidRDefault="00BF7B48" w:rsidP="001A48A7">
      <w:pPr>
        <w:pStyle w:val="Ttulo1"/>
      </w:pPr>
      <w:r w:rsidRPr="00B60E6E">
        <w:t>Agradecimientos</w:t>
      </w:r>
    </w:p>
    <w:p w14:paraId="71985F17" w14:textId="26A5BCD4" w:rsidR="000346A1" w:rsidRDefault="000346A1" w:rsidP="00BF7B48">
      <w:pPr>
        <w:spacing w:before="100" w:beforeAutospacing="1" w:after="100" w:afterAutospacing="1" w:line="360" w:lineRule="auto"/>
        <w:jc w:val="both"/>
        <w:rPr>
          <w:rFonts w:ascii="Times New Roman" w:hAnsi="Times New Roman" w:cs="Times New Roman"/>
          <w:sz w:val="24"/>
          <w:szCs w:val="24"/>
        </w:rPr>
      </w:pPr>
      <w:r w:rsidRPr="000346A1">
        <w:rPr>
          <w:rFonts w:ascii="Times New Roman" w:hAnsi="Times New Roman" w:cs="Times New Roman"/>
          <w:sz w:val="24"/>
          <w:szCs w:val="24"/>
        </w:rPr>
        <w:t xml:space="preserve">Se agradece al Colegio de Postgraduados (COLPOS) Campus Veracruz y al Fondo Sectorial </w:t>
      </w:r>
      <w:r w:rsidRPr="00B60E6E">
        <w:rPr>
          <w:rFonts w:ascii="Times New Roman" w:hAnsi="Times New Roman" w:cs="Times New Roman"/>
          <w:sz w:val="24"/>
          <w:szCs w:val="24"/>
        </w:rPr>
        <w:t>Sagarpa-Conacyt</w:t>
      </w:r>
      <w:r w:rsidRPr="000346A1">
        <w:rPr>
          <w:rFonts w:ascii="Times New Roman" w:hAnsi="Times New Roman" w:cs="Times New Roman"/>
          <w:sz w:val="24"/>
          <w:szCs w:val="24"/>
        </w:rPr>
        <w:t xml:space="preserve"> por financiar esta investigación a través del proyecto </w:t>
      </w:r>
      <w:r w:rsidRPr="000346A1">
        <w:rPr>
          <w:rFonts w:ascii="Times New Roman" w:hAnsi="Times New Roman" w:cs="Times New Roman"/>
          <w:i/>
          <w:sz w:val="24"/>
          <w:szCs w:val="24"/>
        </w:rPr>
        <w:t>Aprovechamiento de la diversidad genética y desarrollo de tecnología sustentable de producción, beneficio y manejo poscosecha de la malanga con clave 265427 de la convocatoria 2015-3.</w:t>
      </w:r>
    </w:p>
    <w:p w14:paraId="14EE5FB7" w14:textId="77777777" w:rsidR="001A48A7" w:rsidRPr="00B60E6E" w:rsidRDefault="001A48A7" w:rsidP="00BF7B48">
      <w:pPr>
        <w:spacing w:before="100" w:beforeAutospacing="1" w:after="100" w:afterAutospacing="1" w:line="360" w:lineRule="auto"/>
        <w:jc w:val="both"/>
        <w:rPr>
          <w:rFonts w:ascii="Times New Roman" w:hAnsi="Times New Roman" w:cs="Times New Roman"/>
          <w:sz w:val="24"/>
          <w:szCs w:val="24"/>
        </w:rPr>
      </w:pPr>
    </w:p>
    <w:p w14:paraId="56D7C941" w14:textId="4B054079" w:rsidR="003639EA" w:rsidRPr="000346A1" w:rsidRDefault="001A48A7" w:rsidP="001A48A7">
      <w:pPr>
        <w:pStyle w:val="Ttulo1"/>
        <w:rPr>
          <w:rFonts w:ascii="Calibri" w:eastAsia="Times New Roman" w:hAnsi="Calibri" w:cs="Calibri"/>
          <w:color w:val="000000"/>
          <w:sz w:val="28"/>
          <w:szCs w:val="28"/>
          <w:lang w:eastAsia="es-MX"/>
        </w:rPr>
      </w:pPr>
      <w:r w:rsidRPr="000346A1">
        <w:rPr>
          <w:rFonts w:ascii="Calibri" w:eastAsia="Times New Roman" w:hAnsi="Calibri" w:cs="Calibri"/>
          <w:color w:val="000000"/>
          <w:sz w:val="28"/>
          <w:szCs w:val="28"/>
          <w:lang w:eastAsia="es-MX"/>
        </w:rPr>
        <w:t>Referencias</w:t>
      </w:r>
    </w:p>
    <w:p w14:paraId="3D7CA25B" w14:textId="77B129C7" w:rsidR="00655B59" w:rsidRPr="00D766EA" w:rsidRDefault="00655B59"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rPr>
      </w:pPr>
      <w:r w:rsidRPr="00655B59">
        <w:rPr>
          <w:rFonts w:ascii="Times New Roman" w:hAnsi="Times New Roman"/>
          <w:sz w:val="24"/>
          <w:szCs w:val="24"/>
        </w:rPr>
        <w:t xml:space="preserve">Asiain, A., Arvizu, E., Gallardo, F., Chalate, H., Acosta, J. y Moreno, V. (2017). </w:t>
      </w:r>
      <w:r w:rsidRPr="00655B59">
        <w:rPr>
          <w:rFonts w:ascii="Times New Roman" w:hAnsi="Times New Roman"/>
          <w:i/>
          <w:sz w:val="24"/>
          <w:szCs w:val="24"/>
        </w:rPr>
        <w:t>Tipología y caracterización de los sistemas de producción de malanga en los estados de Oaxaca, Tabasco y Veracruz.</w:t>
      </w:r>
      <w:r w:rsidRPr="00655B59">
        <w:rPr>
          <w:rFonts w:ascii="Times New Roman" w:hAnsi="Times New Roman"/>
          <w:sz w:val="24"/>
          <w:szCs w:val="24"/>
        </w:rPr>
        <w:t xml:space="preserve"> Primer informe técnico del proyecto "Aprovechamiento de la diversidad genética y desarrollo de tecnología sustentable de producción, beneficio y manejo poscosecha de la malanga". Fondo </w:t>
      </w:r>
      <w:r w:rsidR="00857DEB">
        <w:rPr>
          <w:rFonts w:ascii="Times New Roman" w:hAnsi="Times New Roman"/>
          <w:sz w:val="24"/>
          <w:szCs w:val="24"/>
        </w:rPr>
        <w:t>Conacyt-S</w:t>
      </w:r>
      <w:r w:rsidR="00857DEB" w:rsidRPr="00655B59">
        <w:rPr>
          <w:rFonts w:ascii="Times New Roman" w:hAnsi="Times New Roman"/>
          <w:sz w:val="24"/>
          <w:szCs w:val="24"/>
        </w:rPr>
        <w:t>agarpa</w:t>
      </w:r>
      <w:r w:rsidRPr="00655B59">
        <w:rPr>
          <w:rFonts w:ascii="Times New Roman" w:hAnsi="Times New Roman"/>
          <w:sz w:val="24"/>
          <w:szCs w:val="24"/>
        </w:rPr>
        <w:t xml:space="preserve"> 265427-2015-3. México</w:t>
      </w:r>
      <w:r>
        <w:rPr>
          <w:rFonts w:ascii="Times New Roman" w:hAnsi="Times New Roman"/>
          <w:sz w:val="24"/>
          <w:szCs w:val="24"/>
        </w:rPr>
        <w:t>:</w:t>
      </w:r>
      <w:r w:rsidRPr="00655B59">
        <w:rPr>
          <w:rFonts w:ascii="Times New Roman" w:hAnsi="Times New Roman"/>
          <w:sz w:val="24"/>
          <w:szCs w:val="24"/>
        </w:rPr>
        <w:t xml:space="preserve"> </w:t>
      </w:r>
      <w:r>
        <w:rPr>
          <w:rFonts w:ascii="Times New Roman" w:hAnsi="Times New Roman"/>
          <w:sz w:val="24"/>
          <w:szCs w:val="24"/>
        </w:rPr>
        <w:t>Colegio de Postgraduados</w:t>
      </w:r>
      <w:r w:rsidRPr="00655B59">
        <w:rPr>
          <w:rFonts w:ascii="Times New Roman" w:hAnsi="Times New Roman"/>
          <w:sz w:val="24"/>
          <w:szCs w:val="24"/>
        </w:rPr>
        <w:t>.</w:t>
      </w:r>
    </w:p>
    <w:p w14:paraId="01F7D0CA" w14:textId="7E73B96B" w:rsidR="00FD121A" w:rsidRPr="00A779CA"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s-ES"/>
        </w:rPr>
      </w:pPr>
      <w:r w:rsidRPr="00D766EA">
        <w:rPr>
          <w:rFonts w:ascii="Times New Roman" w:hAnsi="Times New Roman"/>
          <w:sz w:val="24"/>
          <w:szCs w:val="24"/>
        </w:rPr>
        <w:t xml:space="preserve">Banco de México (Banxico) (2017). </w:t>
      </w:r>
      <w:r w:rsidRPr="00A779CA">
        <w:rPr>
          <w:rFonts w:ascii="Times New Roman" w:hAnsi="Times New Roman"/>
          <w:i/>
          <w:sz w:val="24"/>
          <w:szCs w:val="24"/>
        </w:rPr>
        <w:t>Mercado cambiario (tipos de cambio)</w:t>
      </w:r>
      <w:r w:rsidRPr="00D766EA">
        <w:rPr>
          <w:rFonts w:ascii="Times New Roman" w:hAnsi="Times New Roman"/>
          <w:sz w:val="24"/>
          <w:szCs w:val="24"/>
        </w:rPr>
        <w:t xml:space="preserve">. </w:t>
      </w:r>
      <w:r w:rsidR="00A779CA">
        <w:rPr>
          <w:rFonts w:ascii="Times New Roman" w:hAnsi="Times New Roman"/>
          <w:sz w:val="24"/>
          <w:szCs w:val="24"/>
        </w:rPr>
        <w:t>Recuperado de</w:t>
      </w:r>
      <w:r w:rsidRPr="00A779CA">
        <w:rPr>
          <w:rFonts w:ascii="Times New Roman" w:hAnsi="Times New Roman"/>
          <w:sz w:val="24"/>
          <w:szCs w:val="24"/>
          <w:lang w:val="es-ES"/>
        </w:rPr>
        <w:t xml:space="preserve"> </w:t>
      </w:r>
      <w:hyperlink r:id="rId18" w:history="1">
        <w:r w:rsidRPr="00A779CA">
          <w:rPr>
            <w:rStyle w:val="Hipervnculo"/>
            <w:rFonts w:ascii="Times New Roman" w:hAnsi="Times New Roman"/>
            <w:sz w:val="24"/>
            <w:szCs w:val="24"/>
            <w:lang w:val="es-ES"/>
          </w:rPr>
          <w:t>http://www.banxico.org.mx/portal-mercado-cambiario/index.html</w:t>
        </w:r>
      </w:hyperlink>
      <w:r w:rsidRPr="00A779CA">
        <w:rPr>
          <w:rFonts w:ascii="Times New Roman" w:hAnsi="Times New Roman"/>
          <w:sz w:val="24"/>
          <w:szCs w:val="24"/>
          <w:lang w:val="es-ES"/>
        </w:rPr>
        <w:t xml:space="preserve">. </w:t>
      </w:r>
    </w:p>
    <w:p w14:paraId="1B117B73" w14:textId="77777777" w:rsidR="00FD121A" w:rsidRPr="00D766EA"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rPr>
      </w:pPr>
      <w:r w:rsidRPr="00D766EA">
        <w:rPr>
          <w:rFonts w:ascii="Times New Roman" w:hAnsi="Times New Roman"/>
          <w:sz w:val="24"/>
          <w:szCs w:val="24"/>
        </w:rPr>
        <w:t xml:space="preserve">Bueno, E. (1996). </w:t>
      </w:r>
      <w:r w:rsidRPr="00D766EA">
        <w:rPr>
          <w:rFonts w:ascii="Times New Roman" w:hAnsi="Times New Roman"/>
          <w:i/>
          <w:sz w:val="24"/>
          <w:szCs w:val="24"/>
        </w:rPr>
        <w:t>Organización de empresas: estructura, procesos y modelos</w:t>
      </w:r>
      <w:r w:rsidRPr="00D766EA">
        <w:rPr>
          <w:rFonts w:ascii="Times New Roman" w:hAnsi="Times New Roman"/>
          <w:sz w:val="24"/>
          <w:szCs w:val="24"/>
        </w:rPr>
        <w:t>. Editorial Pirámide.</w:t>
      </w:r>
    </w:p>
    <w:p w14:paraId="08B9A8C0" w14:textId="77777777" w:rsidR="00FD121A" w:rsidRPr="00402688"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n-US"/>
        </w:rPr>
      </w:pPr>
      <w:r w:rsidRPr="00D766EA">
        <w:rPr>
          <w:rFonts w:ascii="Times New Roman" w:hAnsi="Times New Roman"/>
          <w:sz w:val="24"/>
          <w:szCs w:val="24"/>
        </w:rPr>
        <w:t xml:space="preserve">Calderón, J. A. (2014). </w:t>
      </w:r>
      <w:r w:rsidRPr="00D766EA">
        <w:rPr>
          <w:rFonts w:ascii="Times New Roman" w:hAnsi="Times New Roman"/>
          <w:i/>
          <w:sz w:val="24"/>
          <w:szCs w:val="24"/>
        </w:rPr>
        <w:t>20 años del TLCAN, su impacto en la balanza de pagos, agricultura y vulnerabilidad externa de la economía mexicana</w:t>
      </w:r>
      <w:r w:rsidRPr="00D766EA">
        <w:rPr>
          <w:rFonts w:ascii="Times New Roman" w:hAnsi="Times New Roman"/>
          <w:sz w:val="24"/>
          <w:szCs w:val="24"/>
        </w:rPr>
        <w:t xml:space="preserve">. </w:t>
      </w:r>
      <w:r w:rsidRPr="00A779CA">
        <w:rPr>
          <w:rFonts w:ascii="Times New Roman" w:hAnsi="Times New Roman"/>
          <w:sz w:val="24"/>
          <w:szCs w:val="24"/>
          <w:lang w:val="en-US"/>
        </w:rPr>
        <w:t>México: Miguel Ángel Porrú</w:t>
      </w:r>
      <w:r w:rsidRPr="00402688">
        <w:rPr>
          <w:rFonts w:ascii="Times New Roman" w:hAnsi="Times New Roman"/>
          <w:sz w:val="24"/>
          <w:szCs w:val="24"/>
          <w:lang w:val="en-US"/>
        </w:rPr>
        <w:t>.</w:t>
      </w:r>
    </w:p>
    <w:p w14:paraId="558B7A2E" w14:textId="77777777" w:rsidR="00FD121A" w:rsidRPr="00D766EA"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n-US"/>
        </w:rPr>
      </w:pPr>
      <w:r w:rsidRPr="00D766EA">
        <w:rPr>
          <w:rFonts w:ascii="Times New Roman" w:hAnsi="Times New Roman"/>
          <w:sz w:val="24"/>
          <w:szCs w:val="24"/>
          <w:lang w:val="en-US"/>
        </w:rPr>
        <w:t xml:space="preserve">Gunther, R. (2013). Transient Advantage. </w:t>
      </w:r>
      <w:r w:rsidRPr="00D766EA">
        <w:rPr>
          <w:rFonts w:ascii="Times New Roman" w:hAnsi="Times New Roman"/>
          <w:i/>
          <w:sz w:val="24"/>
          <w:szCs w:val="24"/>
          <w:lang w:val="en-US"/>
        </w:rPr>
        <w:t>Harvard Business Review</w:t>
      </w:r>
      <w:r w:rsidRPr="00D766EA">
        <w:rPr>
          <w:rFonts w:ascii="Times New Roman" w:hAnsi="Times New Roman"/>
          <w:sz w:val="24"/>
          <w:szCs w:val="24"/>
          <w:lang w:val="en-US"/>
        </w:rPr>
        <w:t xml:space="preserve">, 62-70. </w:t>
      </w:r>
    </w:p>
    <w:p w14:paraId="62DB2BE6" w14:textId="77777777" w:rsidR="00FD121A" w:rsidRPr="00D766EA"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rPr>
      </w:pPr>
      <w:r w:rsidRPr="00D766EA">
        <w:rPr>
          <w:rFonts w:ascii="Times New Roman" w:hAnsi="Times New Roman"/>
          <w:sz w:val="24"/>
          <w:szCs w:val="24"/>
          <w:lang w:val="en-US"/>
        </w:rPr>
        <w:t xml:space="preserve">Encaoua, D. and Jacquemin, A. (1980). Degree of Monopoly, Indices of Concentration and Threat of Entry. </w:t>
      </w:r>
      <w:r w:rsidRPr="00D766EA">
        <w:rPr>
          <w:rFonts w:ascii="Times New Roman" w:hAnsi="Times New Roman"/>
          <w:i/>
          <w:sz w:val="24"/>
          <w:szCs w:val="24"/>
        </w:rPr>
        <w:t>International Economic Review</w:t>
      </w:r>
      <w:r w:rsidRPr="00D766EA">
        <w:rPr>
          <w:rFonts w:ascii="Times New Roman" w:hAnsi="Times New Roman"/>
          <w:sz w:val="24"/>
          <w:szCs w:val="24"/>
        </w:rPr>
        <w:t xml:space="preserve">, </w:t>
      </w:r>
      <w:r w:rsidRPr="00D766EA">
        <w:rPr>
          <w:rFonts w:ascii="Times New Roman" w:hAnsi="Times New Roman"/>
          <w:i/>
          <w:sz w:val="24"/>
          <w:szCs w:val="24"/>
        </w:rPr>
        <w:t>21</w:t>
      </w:r>
      <w:r w:rsidRPr="00D766EA">
        <w:rPr>
          <w:rFonts w:ascii="Times New Roman" w:hAnsi="Times New Roman"/>
          <w:sz w:val="24"/>
          <w:szCs w:val="24"/>
        </w:rPr>
        <w:t>(1), 87-105.</w:t>
      </w:r>
    </w:p>
    <w:p w14:paraId="0D2FF3B2" w14:textId="77777777" w:rsidR="00FD121A" w:rsidRPr="00D766EA"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n-US"/>
        </w:rPr>
      </w:pPr>
      <w:r w:rsidRPr="00D766EA">
        <w:rPr>
          <w:rFonts w:ascii="Times New Roman" w:hAnsi="Times New Roman"/>
          <w:sz w:val="24"/>
          <w:szCs w:val="24"/>
        </w:rPr>
        <w:t xml:space="preserve">Hernández, R., Fernández, C. y Baptista, P. (2014). </w:t>
      </w:r>
      <w:r w:rsidRPr="00D766EA">
        <w:rPr>
          <w:rFonts w:ascii="Times New Roman" w:hAnsi="Times New Roman"/>
          <w:i/>
          <w:sz w:val="24"/>
          <w:szCs w:val="24"/>
        </w:rPr>
        <w:t>Metodología de la investigación</w:t>
      </w:r>
      <w:r w:rsidRPr="00D766EA">
        <w:rPr>
          <w:rFonts w:ascii="Times New Roman" w:hAnsi="Times New Roman"/>
          <w:sz w:val="24"/>
          <w:szCs w:val="24"/>
        </w:rPr>
        <w:t xml:space="preserve">. </w:t>
      </w:r>
      <w:r w:rsidRPr="00D766EA">
        <w:rPr>
          <w:rFonts w:ascii="Times New Roman" w:hAnsi="Times New Roman"/>
          <w:sz w:val="24"/>
          <w:szCs w:val="24"/>
          <w:lang w:val="en-US"/>
        </w:rPr>
        <w:t xml:space="preserve">México: McGraw Hill. </w:t>
      </w:r>
    </w:p>
    <w:p w14:paraId="03A49EAD" w14:textId="77777777" w:rsidR="00FD121A" w:rsidRPr="000346A1"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rPr>
      </w:pPr>
      <w:r w:rsidRPr="00D766EA">
        <w:rPr>
          <w:rFonts w:ascii="Times New Roman" w:hAnsi="Times New Roman"/>
          <w:sz w:val="24"/>
          <w:szCs w:val="24"/>
          <w:lang w:val="en-US"/>
        </w:rPr>
        <w:t xml:space="preserve">Hofer, C. and Schendel, D. (1978). </w:t>
      </w:r>
      <w:r w:rsidRPr="00963194">
        <w:rPr>
          <w:rFonts w:ascii="Times New Roman" w:hAnsi="Times New Roman"/>
          <w:i/>
          <w:sz w:val="24"/>
          <w:szCs w:val="24"/>
          <w:lang w:val="en-US"/>
        </w:rPr>
        <w:t>Strategy Formulation: Analytical Concepts</w:t>
      </w:r>
      <w:r w:rsidRPr="00D766EA">
        <w:rPr>
          <w:rFonts w:ascii="Times New Roman" w:hAnsi="Times New Roman"/>
          <w:sz w:val="24"/>
          <w:szCs w:val="24"/>
          <w:lang w:val="en-US"/>
        </w:rPr>
        <w:t xml:space="preserve">. </w:t>
      </w:r>
      <w:r w:rsidRPr="000346A1">
        <w:rPr>
          <w:rFonts w:ascii="Times New Roman" w:hAnsi="Times New Roman"/>
          <w:sz w:val="24"/>
          <w:szCs w:val="24"/>
        </w:rPr>
        <w:t xml:space="preserve">West Publishing Company.  </w:t>
      </w:r>
    </w:p>
    <w:p w14:paraId="5D68105D" w14:textId="462BBC41" w:rsidR="00FD121A" w:rsidRPr="00A779CA"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s-ES"/>
        </w:rPr>
      </w:pPr>
      <w:r w:rsidRPr="00D766EA">
        <w:rPr>
          <w:rFonts w:ascii="Times New Roman" w:hAnsi="Times New Roman"/>
          <w:sz w:val="24"/>
          <w:szCs w:val="24"/>
        </w:rPr>
        <w:lastRenderedPageBreak/>
        <w:t xml:space="preserve">Instituto Nacional de Estadística y Geografía (Inegi) (2017). </w:t>
      </w:r>
      <w:r w:rsidRPr="00963194">
        <w:rPr>
          <w:rFonts w:ascii="Times New Roman" w:hAnsi="Times New Roman"/>
          <w:i/>
          <w:sz w:val="24"/>
          <w:szCs w:val="24"/>
        </w:rPr>
        <w:t>Indicadores de ocupación y empleo al primer trimestre de 2017. Encuesta Nacional de Ocupación y Empleo</w:t>
      </w:r>
      <w:r w:rsidRPr="00D766EA">
        <w:rPr>
          <w:rFonts w:ascii="Times New Roman" w:hAnsi="Times New Roman"/>
          <w:sz w:val="24"/>
          <w:szCs w:val="24"/>
        </w:rPr>
        <w:t xml:space="preserve">. </w:t>
      </w:r>
      <w:r w:rsidR="00963194">
        <w:rPr>
          <w:rFonts w:ascii="Times New Roman" w:hAnsi="Times New Roman"/>
          <w:sz w:val="24"/>
          <w:szCs w:val="24"/>
        </w:rPr>
        <w:t xml:space="preserve">Recuperado de </w:t>
      </w:r>
      <w:r w:rsidRPr="00A779CA">
        <w:rPr>
          <w:rFonts w:ascii="Times New Roman" w:hAnsi="Times New Roman"/>
          <w:sz w:val="24"/>
          <w:szCs w:val="24"/>
          <w:lang w:val="es-ES"/>
        </w:rPr>
        <w:t xml:space="preserve"> </w:t>
      </w:r>
      <w:hyperlink r:id="rId19" w:history="1">
        <w:r w:rsidRPr="00A779CA">
          <w:rPr>
            <w:rStyle w:val="Hipervnculo"/>
            <w:rFonts w:ascii="Times New Roman" w:hAnsi="Times New Roman"/>
            <w:sz w:val="24"/>
            <w:szCs w:val="24"/>
            <w:lang w:val="es-ES"/>
          </w:rPr>
          <w:t>http://www3.inegi.org.mx/sistemas/temas/default.aspx?s=est&amp;c=25433&amp;t=1</w:t>
        </w:r>
      </w:hyperlink>
      <w:r w:rsidRPr="00A779CA">
        <w:rPr>
          <w:rFonts w:ascii="Times New Roman" w:hAnsi="Times New Roman"/>
          <w:sz w:val="24"/>
          <w:szCs w:val="24"/>
          <w:lang w:val="es-ES"/>
        </w:rPr>
        <w:t xml:space="preserve">. </w:t>
      </w:r>
    </w:p>
    <w:p w14:paraId="7C489E7E" w14:textId="75B276BE" w:rsidR="00FD121A" w:rsidRPr="00963194"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s-ES"/>
        </w:rPr>
      </w:pPr>
      <w:r w:rsidRPr="00D766EA">
        <w:rPr>
          <w:rFonts w:ascii="Times New Roman" w:hAnsi="Times New Roman"/>
          <w:sz w:val="24"/>
          <w:szCs w:val="24"/>
        </w:rPr>
        <w:t xml:space="preserve">Martínez, C. (2006). El método de estudio de caso. Estrategia metodológica de la investigación científica. </w:t>
      </w:r>
      <w:r w:rsidRPr="00963194">
        <w:rPr>
          <w:rFonts w:ascii="Times New Roman" w:hAnsi="Times New Roman"/>
          <w:i/>
          <w:sz w:val="24"/>
          <w:szCs w:val="24"/>
          <w:lang w:val="es-ES"/>
        </w:rPr>
        <w:t>Pensamiento y Gestión</w:t>
      </w:r>
      <w:r w:rsidRPr="00963194">
        <w:rPr>
          <w:rFonts w:ascii="Times New Roman" w:hAnsi="Times New Roman"/>
          <w:sz w:val="24"/>
          <w:szCs w:val="24"/>
          <w:lang w:val="es-ES"/>
        </w:rPr>
        <w:t>, (20), 165-193.</w:t>
      </w:r>
      <w:r w:rsidR="00963194" w:rsidRPr="00963194">
        <w:rPr>
          <w:rFonts w:ascii="Times New Roman" w:hAnsi="Times New Roman"/>
          <w:sz w:val="24"/>
          <w:szCs w:val="24"/>
          <w:lang w:val="es-ES"/>
        </w:rPr>
        <w:t xml:space="preserve"> Recuperado de </w:t>
      </w:r>
      <w:hyperlink r:id="rId20" w:history="1">
        <w:r w:rsidR="00963194" w:rsidRPr="00D25683">
          <w:rPr>
            <w:rStyle w:val="Hipervnculo"/>
            <w:rFonts w:ascii="Times New Roman" w:hAnsi="Times New Roman"/>
            <w:sz w:val="24"/>
            <w:szCs w:val="24"/>
            <w:lang w:val="es-ES"/>
          </w:rPr>
          <w:t>http://www.redalyc.org/pdf/646/64602005.pdf</w:t>
        </w:r>
      </w:hyperlink>
      <w:r w:rsidR="00963194">
        <w:rPr>
          <w:rFonts w:ascii="Times New Roman" w:hAnsi="Times New Roman"/>
          <w:sz w:val="24"/>
          <w:szCs w:val="24"/>
          <w:lang w:val="es-ES"/>
        </w:rPr>
        <w:t xml:space="preserve">. </w:t>
      </w:r>
    </w:p>
    <w:p w14:paraId="0F895292" w14:textId="77777777" w:rsidR="00DB0623" w:rsidRDefault="00FD121A" w:rsidP="00DB0623">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rPr>
      </w:pPr>
      <w:r w:rsidRPr="00D766EA">
        <w:rPr>
          <w:rFonts w:ascii="Times New Roman" w:hAnsi="Times New Roman"/>
          <w:sz w:val="24"/>
          <w:szCs w:val="24"/>
          <w:lang w:val="en-US"/>
        </w:rPr>
        <w:t xml:space="preserve">Mintzberg, H. (1994). </w:t>
      </w:r>
      <w:r w:rsidRPr="00D766EA">
        <w:rPr>
          <w:rFonts w:ascii="Times New Roman" w:hAnsi="Times New Roman"/>
          <w:i/>
          <w:sz w:val="24"/>
          <w:szCs w:val="24"/>
          <w:lang w:val="en-US"/>
        </w:rPr>
        <w:t>Rise and Fall of Strategic Planning</w:t>
      </w:r>
      <w:r w:rsidRPr="00D766EA">
        <w:rPr>
          <w:rFonts w:ascii="Times New Roman" w:hAnsi="Times New Roman"/>
          <w:sz w:val="24"/>
          <w:szCs w:val="24"/>
          <w:lang w:val="en-US"/>
        </w:rPr>
        <w:t xml:space="preserve">. </w:t>
      </w:r>
      <w:r w:rsidR="00DB0623">
        <w:rPr>
          <w:rFonts w:ascii="Times New Roman" w:hAnsi="Times New Roman"/>
          <w:sz w:val="24"/>
          <w:szCs w:val="24"/>
        </w:rPr>
        <w:t>USA: The Free Press.</w:t>
      </w:r>
    </w:p>
    <w:p w14:paraId="42812E78" w14:textId="192EA168" w:rsidR="00FD121A" w:rsidRPr="00A32304" w:rsidRDefault="00FD121A" w:rsidP="00DB0623">
      <w:pPr>
        <w:pStyle w:val="Prrafodelista"/>
        <w:tabs>
          <w:tab w:val="left" w:pos="-720"/>
        </w:tabs>
        <w:suppressAutoHyphens/>
        <w:spacing w:before="100" w:beforeAutospacing="1" w:after="100" w:afterAutospacing="1" w:line="360" w:lineRule="auto"/>
        <w:ind w:left="777" w:hanging="709"/>
        <w:jc w:val="both"/>
        <w:rPr>
          <w:rFonts w:ascii="Times New Roman" w:hAnsi="Times New Roman" w:cs="Times New Roman"/>
          <w:sz w:val="24"/>
          <w:szCs w:val="24"/>
          <w:lang w:val="en-GB"/>
        </w:rPr>
      </w:pPr>
      <w:r w:rsidRPr="00DB0623">
        <w:rPr>
          <w:rFonts w:ascii="Times New Roman" w:hAnsi="Times New Roman" w:cs="Times New Roman"/>
          <w:sz w:val="24"/>
          <w:szCs w:val="24"/>
        </w:rPr>
        <w:t>Olguín-Palacios, C. y Álvar</w:t>
      </w:r>
      <w:r w:rsidR="00DB0623" w:rsidRPr="00DB0623">
        <w:rPr>
          <w:rFonts w:ascii="Times New Roman" w:hAnsi="Times New Roman" w:cs="Times New Roman"/>
          <w:sz w:val="24"/>
          <w:szCs w:val="24"/>
        </w:rPr>
        <w:t xml:space="preserve">ez-Ávila, M. (2011). La malanga </w:t>
      </w:r>
      <w:r w:rsidR="00DB0623" w:rsidRPr="00DB0623">
        <w:rPr>
          <w:rFonts w:ascii="Times New Roman" w:hAnsi="Times New Roman" w:cs="Times New Roman"/>
          <w:bCs/>
          <w:color w:val="000000"/>
          <w:sz w:val="24"/>
          <w:szCs w:val="24"/>
        </w:rPr>
        <w:t>(Colocasia esculenta (L.) Schott)</w:t>
      </w:r>
      <w:r w:rsidR="00DB0623" w:rsidRPr="00DB0623">
        <w:rPr>
          <w:rFonts w:ascii="Times New Roman" w:hAnsi="Times New Roman" w:cs="Times New Roman"/>
          <w:sz w:val="24"/>
          <w:szCs w:val="24"/>
        </w:rPr>
        <w:t xml:space="preserve"> b</w:t>
      </w:r>
      <w:r w:rsidRPr="00DB0623">
        <w:rPr>
          <w:rFonts w:ascii="Times New Roman" w:hAnsi="Times New Roman" w:cs="Times New Roman"/>
          <w:sz w:val="24"/>
          <w:szCs w:val="24"/>
        </w:rPr>
        <w:t xml:space="preserve">ajo un enfoque de investigación-desarrollo. </w:t>
      </w:r>
      <w:r w:rsidRPr="00A32304">
        <w:rPr>
          <w:rFonts w:ascii="Times New Roman" w:hAnsi="Times New Roman" w:cs="Times New Roman"/>
          <w:i/>
          <w:sz w:val="24"/>
          <w:szCs w:val="24"/>
          <w:lang w:val="en-GB"/>
        </w:rPr>
        <w:t>Agroproductividad</w:t>
      </w:r>
      <w:r w:rsidRPr="00A32304">
        <w:rPr>
          <w:rFonts w:ascii="Times New Roman" w:hAnsi="Times New Roman" w:cs="Times New Roman"/>
          <w:sz w:val="24"/>
          <w:szCs w:val="24"/>
          <w:lang w:val="en-GB"/>
        </w:rPr>
        <w:t xml:space="preserve">, </w:t>
      </w:r>
      <w:r w:rsidRPr="00A32304">
        <w:rPr>
          <w:rFonts w:ascii="Times New Roman" w:hAnsi="Times New Roman" w:cs="Times New Roman"/>
          <w:i/>
          <w:sz w:val="24"/>
          <w:szCs w:val="24"/>
          <w:lang w:val="en-GB"/>
        </w:rPr>
        <w:t>4</w:t>
      </w:r>
      <w:r w:rsidR="00DB0623" w:rsidRPr="00A32304">
        <w:rPr>
          <w:rFonts w:ascii="Times New Roman" w:hAnsi="Times New Roman" w:cs="Times New Roman"/>
          <w:sz w:val="24"/>
          <w:szCs w:val="24"/>
          <w:lang w:val="en-GB"/>
        </w:rPr>
        <w:t>(4)</w:t>
      </w:r>
      <w:r w:rsidRPr="00A32304">
        <w:rPr>
          <w:rFonts w:ascii="Times New Roman" w:hAnsi="Times New Roman" w:cs="Times New Roman"/>
          <w:sz w:val="24"/>
          <w:szCs w:val="24"/>
          <w:lang w:val="en-GB"/>
        </w:rPr>
        <w:t>, 26-33.</w:t>
      </w:r>
    </w:p>
    <w:p w14:paraId="70E078C6" w14:textId="7329D5D5" w:rsidR="00FD121A" w:rsidRPr="00D766EA"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n-US"/>
        </w:rPr>
      </w:pPr>
      <w:r w:rsidRPr="00A32304">
        <w:rPr>
          <w:rFonts w:ascii="Times New Roman" w:hAnsi="Times New Roman"/>
          <w:sz w:val="24"/>
          <w:szCs w:val="24"/>
          <w:lang w:val="en-GB"/>
        </w:rPr>
        <w:t xml:space="preserve">Porter, M. (1990). </w:t>
      </w:r>
      <w:r w:rsidRPr="00D766EA">
        <w:rPr>
          <w:rFonts w:ascii="Times New Roman" w:hAnsi="Times New Roman"/>
          <w:sz w:val="24"/>
          <w:szCs w:val="24"/>
          <w:lang w:val="en-US"/>
        </w:rPr>
        <w:t>The Competitive Advantage of Nations. </w:t>
      </w:r>
      <w:r w:rsidRPr="00D766EA">
        <w:rPr>
          <w:rFonts w:ascii="Times New Roman" w:hAnsi="Times New Roman"/>
          <w:i/>
          <w:sz w:val="24"/>
          <w:szCs w:val="24"/>
          <w:lang w:val="en-US"/>
        </w:rPr>
        <w:t>Harvard Business Review</w:t>
      </w:r>
      <w:r w:rsidRPr="00D766EA">
        <w:rPr>
          <w:rFonts w:ascii="Times New Roman" w:hAnsi="Times New Roman"/>
          <w:sz w:val="24"/>
          <w:szCs w:val="24"/>
          <w:lang w:val="en-US"/>
        </w:rPr>
        <w:t xml:space="preserve">, </w:t>
      </w:r>
      <w:r w:rsidR="00D7580C">
        <w:rPr>
          <w:rFonts w:ascii="Times New Roman" w:hAnsi="Times New Roman"/>
          <w:i/>
          <w:sz w:val="24"/>
          <w:szCs w:val="24"/>
          <w:lang w:val="en-US"/>
        </w:rPr>
        <w:t>68</w:t>
      </w:r>
      <w:r w:rsidR="00D7580C" w:rsidRPr="00D7580C">
        <w:rPr>
          <w:rFonts w:ascii="Times New Roman" w:hAnsi="Times New Roman"/>
          <w:sz w:val="24"/>
          <w:szCs w:val="24"/>
          <w:lang w:val="en-US"/>
        </w:rPr>
        <w:t>(2)</w:t>
      </w:r>
      <w:r w:rsidR="00D7580C">
        <w:rPr>
          <w:rFonts w:ascii="Times New Roman" w:hAnsi="Times New Roman"/>
          <w:i/>
          <w:sz w:val="24"/>
          <w:szCs w:val="24"/>
          <w:lang w:val="en-US"/>
        </w:rPr>
        <w:t xml:space="preserve">, </w:t>
      </w:r>
      <w:r w:rsidRPr="00D766EA">
        <w:rPr>
          <w:rFonts w:ascii="Times New Roman" w:hAnsi="Times New Roman"/>
          <w:sz w:val="24"/>
          <w:szCs w:val="24"/>
          <w:lang w:val="en-US"/>
        </w:rPr>
        <w:t>73-91.</w:t>
      </w:r>
    </w:p>
    <w:p w14:paraId="6E863332" w14:textId="3449F72C" w:rsidR="00FD121A" w:rsidRPr="00D766EA"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n-US"/>
        </w:rPr>
      </w:pPr>
      <w:r w:rsidRPr="00D766EA">
        <w:rPr>
          <w:rFonts w:ascii="Times New Roman" w:hAnsi="Times New Roman"/>
          <w:sz w:val="24"/>
          <w:szCs w:val="24"/>
          <w:lang w:val="en-US"/>
        </w:rPr>
        <w:t xml:space="preserve">Porter, M. (1996). What is Strategy? </w:t>
      </w:r>
      <w:r w:rsidRPr="00D766EA">
        <w:rPr>
          <w:rFonts w:ascii="Times New Roman" w:hAnsi="Times New Roman"/>
          <w:i/>
          <w:sz w:val="24"/>
          <w:szCs w:val="24"/>
          <w:lang w:val="en-US"/>
        </w:rPr>
        <w:t>Harvard Business Review</w:t>
      </w:r>
      <w:r w:rsidRPr="00D766EA">
        <w:rPr>
          <w:rFonts w:ascii="Times New Roman" w:hAnsi="Times New Roman"/>
          <w:sz w:val="24"/>
          <w:szCs w:val="24"/>
          <w:lang w:val="en-US"/>
        </w:rPr>
        <w:t xml:space="preserve">, </w:t>
      </w:r>
      <w:r w:rsidR="00D7580C" w:rsidRPr="00D7580C">
        <w:rPr>
          <w:rFonts w:ascii="Times New Roman" w:hAnsi="Times New Roman"/>
          <w:i/>
          <w:sz w:val="24"/>
          <w:szCs w:val="24"/>
          <w:lang w:val="en-US"/>
        </w:rPr>
        <w:t>74</w:t>
      </w:r>
      <w:r w:rsidR="001D471C">
        <w:rPr>
          <w:rFonts w:ascii="Times New Roman" w:hAnsi="Times New Roman"/>
          <w:sz w:val="24"/>
          <w:szCs w:val="24"/>
          <w:lang w:val="en-US"/>
        </w:rPr>
        <w:t>(6), 59</w:t>
      </w:r>
      <w:r w:rsidR="00D7580C">
        <w:rPr>
          <w:rFonts w:ascii="Times New Roman" w:hAnsi="Times New Roman"/>
          <w:sz w:val="24"/>
          <w:szCs w:val="24"/>
          <w:lang w:val="en-US"/>
        </w:rPr>
        <w:t>-78</w:t>
      </w:r>
      <w:r w:rsidRPr="00D766EA">
        <w:rPr>
          <w:rFonts w:ascii="Times New Roman" w:hAnsi="Times New Roman"/>
          <w:sz w:val="24"/>
          <w:szCs w:val="24"/>
          <w:lang w:val="en-US"/>
        </w:rPr>
        <w:t>.</w:t>
      </w:r>
    </w:p>
    <w:p w14:paraId="2D66FB54" w14:textId="573182A5" w:rsidR="00FD121A" w:rsidRPr="00A779CA"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s-ES"/>
        </w:rPr>
      </w:pPr>
      <w:r w:rsidRPr="00D766EA">
        <w:rPr>
          <w:rFonts w:ascii="Times New Roman" w:hAnsi="Times New Roman"/>
          <w:sz w:val="24"/>
          <w:szCs w:val="24"/>
          <w:lang w:val="en-US"/>
        </w:rPr>
        <w:t xml:space="preserve">Porter, M. (2008). The Five Competitive Forces That Shape Strategy. </w:t>
      </w:r>
      <w:r w:rsidR="00341359">
        <w:rPr>
          <w:rFonts w:ascii="Times New Roman" w:hAnsi="Times New Roman"/>
          <w:i/>
          <w:sz w:val="24"/>
          <w:szCs w:val="24"/>
          <w:lang w:val="es-ES"/>
        </w:rPr>
        <w:t xml:space="preserve">Harvard Business </w:t>
      </w:r>
      <w:r w:rsidRPr="00A779CA">
        <w:rPr>
          <w:rFonts w:ascii="Times New Roman" w:hAnsi="Times New Roman"/>
          <w:i/>
          <w:sz w:val="24"/>
          <w:szCs w:val="24"/>
          <w:lang w:val="es-ES"/>
        </w:rPr>
        <w:t>Review</w:t>
      </w:r>
      <w:r w:rsidRPr="00A779CA">
        <w:rPr>
          <w:rFonts w:ascii="Times New Roman" w:hAnsi="Times New Roman"/>
          <w:sz w:val="24"/>
          <w:szCs w:val="24"/>
          <w:lang w:val="es-ES"/>
        </w:rPr>
        <w:t xml:space="preserve">, </w:t>
      </w:r>
      <w:r w:rsidR="00D7580C" w:rsidRPr="00D7580C">
        <w:rPr>
          <w:rFonts w:ascii="Times New Roman" w:hAnsi="Times New Roman"/>
          <w:i/>
          <w:sz w:val="24"/>
          <w:szCs w:val="24"/>
          <w:lang w:val="es-ES"/>
        </w:rPr>
        <w:t>86</w:t>
      </w:r>
      <w:r w:rsidR="00D7580C">
        <w:rPr>
          <w:rFonts w:ascii="Times New Roman" w:hAnsi="Times New Roman"/>
          <w:sz w:val="24"/>
          <w:szCs w:val="24"/>
          <w:lang w:val="es-ES"/>
        </w:rPr>
        <w:t xml:space="preserve">(1), </w:t>
      </w:r>
      <w:r w:rsidRPr="00A779CA">
        <w:rPr>
          <w:rFonts w:ascii="Times New Roman" w:hAnsi="Times New Roman"/>
          <w:sz w:val="24"/>
          <w:szCs w:val="24"/>
          <w:lang w:val="es-ES"/>
        </w:rPr>
        <w:t>78-93.</w:t>
      </w:r>
    </w:p>
    <w:p w14:paraId="62C48A39" w14:textId="77777777" w:rsidR="00FD121A" w:rsidRPr="000346A1"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n-US"/>
        </w:rPr>
      </w:pPr>
      <w:r w:rsidRPr="00D766EA">
        <w:rPr>
          <w:rFonts w:ascii="Times New Roman" w:hAnsi="Times New Roman"/>
          <w:sz w:val="24"/>
          <w:szCs w:val="24"/>
        </w:rPr>
        <w:t xml:space="preserve">Porter, M. (2015). </w:t>
      </w:r>
      <w:r w:rsidRPr="00D766EA">
        <w:rPr>
          <w:rFonts w:ascii="Times New Roman" w:hAnsi="Times New Roman"/>
          <w:i/>
          <w:sz w:val="24"/>
          <w:szCs w:val="24"/>
        </w:rPr>
        <w:t>Ventaja competitiva. Creación y sostenimiento de un desempeño superior</w:t>
      </w:r>
      <w:r w:rsidRPr="00D766EA">
        <w:rPr>
          <w:rFonts w:ascii="Times New Roman" w:hAnsi="Times New Roman"/>
          <w:sz w:val="24"/>
          <w:szCs w:val="24"/>
        </w:rPr>
        <w:t xml:space="preserve">. </w:t>
      </w:r>
      <w:r w:rsidRPr="000346A1">
        <w:rPr>
          <w:rFonts w:ascii="Times New Roman" w:hAnsi="Times New Roman"/>
          <w:sz w:val="24"/>
          <w:szCs w:val="24"/>
          <w:lang w:val="en-US"/>
        </w:rPr>
        <w:t>México: Grupo Editorial Patria.</w:t>
      </w:r>
    </w:p>
    <w:p w14:paraId="3E303528" w14:textId="18ABC06B" w:rsidR="00FD121A" w:rsidRPr="00592819"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s-ES"/>
        </w:rPr>
      </w:pPr>
      <w:r w:rsidRPr="00D766EA">
        <w:rPr>
          <w:rFonts w:ascii="Times New Roman" w:hAnsi="Times New Roman"/>
          <w:sz w:val="24"/>
          <w:szCs w:val="24"/>
          <w:lang w:val="en-US"/>
        </w:rPr>
        <w:t>Scherer, F. and Ross, D. (1990). </w:t>
      </w:r>
      <w:r w:rsidRPr="00D7580C">
        <w:rPr>
          <w:rFonts w:ascii="Times New Roman" w:hAnsi="Times New Roman"/>
          <w:i/>
          <w:sz w:val="24"/>
          <w:szCs w:val="24"/>
          <w:lang w:val="en-US"/>
        </w:rPr>
        <w:t>Industrial Market Structure and Economic Performance</w:t>
      </w:r>
      <w:r w:rsidRPr="00D766EA">
        <w:rPr>
          <w:rFonts w:ascii="Times New Roman" w:hAnsi="Times New Roman"/>
          <w:sz w:val="24"/>
          <w:szCs w:val="24"/>
          <w:lang w:val="en-US"/>
        </w:rPr>
        <w:t xml:space="preserve"> (</w:t>
      </w:r>
      <w:r w:rsidRPr="00A779CA">
        <w:rPr>
          <w:rFonts w:ascii="Times New Roman" w:hAnsi="Times New Roman"/>
          <w:sz w:val="24"/>
          <w:szCs w:val="24"/>
          <w:lang w:val="en-US"/>
        </w:rPr>
        <w:t>3</w:t>
      </w:r>
      <w:r w:rsidRPr="00A779CA">
        <w:rPr>
          <w:rFonts w:ascii="Times New Roman" w:hAnsi="Times New Roman"/>
          <w:sz w:val="24"/>
          <w:szCs w:val="24"/>
          <w:vertAlign w:val="superscript"/>
          <w:lang w:val="en-US"/>
        </w:rPr>
        <w:t>th</w:t>
      </w:r>
      <w:r w:rsidRPr="00A779CA">
        <w:rPr>
          <w:rFonts w:ascii="Times New Roman" w:hAnsi="Times New Roman"/>
          <w:sz w:val="24"/>
          <w:szCs w:val="24"/>
          <w:lang w:val="en-US"/>
        </w:rPr>
        <w:t xml:space="preserve"> ed.). </w:t>
      </w:r>
      <w:r w:rsidR="00D7580C">
        <w:rPr>
          <w:rFonts w:ascii="Times New Roman" w:eastAsia="Arial Unicode MS" w:hAnsi="Times New Roman" w:cs="Times New Roman"/>
          <w:color w:val="000000"/>
          <w:sz w:val="24"/>
          <w:szCs w:val="24"/>
          <w:shd w:val="clear" w:color="auto" w:fill="FBFBF9"/>
        </w:rPr>
        <w:t>Boston</w:t>
      </w:r>
      <w:r w:rsidR="00D7580C" w:rsidRPr="00D7580C">
        <w:rPr>
          <w:rFonts w:ascii="Times New Roman" w:eastAsia="Arial Unicode MS" w:hAnsi="Times New Roman" w:cs="Times New Roman"/>
          <w:color w:val="000000"/>
          <w:sz w:val="24"/>
          <w:szCs w:val="24"/>
          <w:shd w:val="clear" w:color="auto" w:fill="FBFBF9"/>
        </w:rPr>
        <w:t>: Houghton Mifflin</w:t>
      </w:r>
      <w:r w:rsidR="00D7580C">
        <w:rPr>
          <w:rFonts w:ascii="Helvetica" w:hAnsi="Helvetica"/>
          <w:color w:val="333333"/>
          <w:sz w:val="20"/>
          <w:szCs w:val="20"/>
          <w:shd w:val="clear" w:color="auto" w:fill="FFFFFF"/>
        </w:rPr>
        <w:t>.</w:t>
      </w:r>
    </w:p>
    <w:p w14:paraId="5A741732" w14:textId="00FD7CD7" w:rsidR="00FD121A" w:rsidRPr="00A779CA"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s-ES"/>
        </w:rPr>
      </w:pPr>
      <w:r w:rsidRPr="00D766EA">
        <w:rPr>
          <w:rFonts w:ascii="Times New Roman" w:hAnsi="Times New Roman"/>
          <w:sz w:val="24"/>
          <w:szCs w:val="24"/>
        </w:rPr>
        <w:t>Secretaría de Agricultura, Ganadería, Desarrollo Rural, Pesca y Alimentación</w:t>
      </w:r>
      <w:r w:rsidRPr="00D766EA">
        <w:rPr>
          <w:rFonts w:ascii="Times New Roman" w:hAnsi="Times New Roman"/>
          <w:i/>
          <w:sz w:val="24"/>
          <w:szCs w:val="24"/>
        </w:rPr>
        <w:t xml:space="preserve"> </w:t>
      </w:r>
      <w:r w:rsidR="00592819">
        <w:rPr>
          <w:rFonts w:ascii="Times New Roman" w:hAnsi="Times New Roman"/>
          <w:sz w:val="24"/>
          <w:szCs w:val="24"/>
        </w:rPr>
        <w:t xml:space="preserve"> (</w:t>
      </w:r>
      <w:r w:rsidR="00592819" w:rsidRPr="00B60E6E">
        <w:rPr>
          <w:rFonts w:ascii="Times New Roman" w:hAnsi="Times New Roman" w:cs="Times New Roman"/>
          <w:sz w:val="24"/>
          <w:szCs w:val="24"/>
        </w:rPr>
        <w:t>Sagarpa</w:t>
      </w:r>
      <w:r w:rsidR="00592819">
        <w:rPr>
          <w:rFonts w:ascii="Times New Roman" w:hAnsi="Times New Roman"/>
          <w:sz w:val="24"/>
          <w:szCs w:val="24"/>
        </w:rPr>
        <w:t xml:space="preserve">) </w:t>
      </w:r>
      <w:r w:rsidRPr="00D766EA">
        <w:rPr>
          <w:rFonts w:ascii="Times New Roman" w:hAnsi="Times New Roman"/>
          <w:sz w:val="24"/>
          <w:szCs w:val="24"/>
        </w:rPr>
        <w:t xml:space="preserve">(2013). </w:t>
      </w:r>
      <w:r w:rsidRPr="00592819">
        <w:rPr>
          <w:rFonts w:ascii="Times New Roman" w:hAnsi="Times New Roman"/>
          <w:i/>
          <w:sz w:val="24"/>
          <w:szCs w:val="24"/>
        </w:rPr>
        <w:t>Decreto por el que se aprueba el Programa Sectorial de Desarrollo Agropecuario, Pesquero y Alimentario 2013-2018. Cuarta Sección</w:t>
      </w:r>
      <w:r w:rsidRPr="00D766EA">
        <w:rPr>
          <w:rFonts w:ascii="Times New Roman" w:hAnsi="Times New Roman"/>
          <w:sz w:val="24"/>
          <w:szCs w:val="24"/>
        </w:rPr>
        <w:t xml:space="preserve">. Publicado en el </w:t>
      </w:r>
      <w:r w:rsidRPr="00D766EA">
        <w:rPr>
          <w:rFonts w:ascii="Times New Roman" w:hAnsi="Times New Roman"/>
          <w:i/>
          <w:sz w:val="24"/>
          <w:szCs w:val="24"/>
        </w:rPr>
        <w:t>Diario Oficial de la Federación</w:t>
      </w:r>
      <w:r w:rsidR="00D7580C">
        <w:rPr>
          <w:rFonts w:ascii="Times New Roman" w:hAnsi="Times New Roman"/>
          <w:sz w:val="24"/>
          <w:szCs w:val="24"/>
        </w:rPr>
        <w:t xml:space="preserve"> el 13 de diciembre de 2013</w:t>
      </w:r>
      <w:r w:rsidRPr="00A779CA">
        <w:rPr>
          <w:rFonts w:ascii="Times New Roman" w:hAnsi="Times New Roman"/>
          <w:sz w:val="24"/>
          <w:szCs w:val="24"/>
          <w:lang w:val="es-ES"/>
        </w:rPr>
        <w:t xml:space="preserve">. </w:t>
      </w:r>
      <w:r w:rsidR="00D7580C">
        <w:rPr>
          <w:rFonts w:ascii="Times New Roman" w:hAnsi="Times New Roman"/>
          <w:sz w:val="24"/>
          <w:szCs w:val="24"/>
          <w:lang w:val="es-ES"/>
        </w:rPr>
        <w:t xml:space="preserve">Recuperado de </w:t>
      </w:r>
      <w:hyperlink r:id="rId21" w:history="1">
        <w:r w:rsidR="00D7580C" w:rsidRPr="00D25683">
          <w:rPr>
            <w:rStyle w:val="Hipervnculo"/>
            <w:rFonts w:ascii="Times New Roman" w:hAnsi="Times New Roman"/>
            <w:sz w:val="24"/>
            <w:szCs w:val="24"/>
            <w:lang w:val="es-ES"/>
          </w:rPr>
          <w:t>http://www.sagarpa.gob.mx/ganaderia/Documents/2015/MANUALES%20Y%20PLANES/Programa_Sectorial_SAGARPA_2013-2018%20(1).pdf</w:t>
        </w:r>
      </w:hyperlink>
      <w:r w:rsidR="00D7580C">
        <w:rPr>
          <w:rFonts w:ascii="Times New Roman" w:hAnsi="Times New Roman"/>
          <w:sz w:val="24"/>
          <w:szCs w:val="24"/>
          <w:lang w:val="es-ES"/>
        </w:rPr>
        <w:t xml:space="preserve">. </w:t>
      </w:r>
    </w:p>
    <w:p w14:paraId="32AAC6EF" w14:textId="6A0F7DCE" w:rsidR="00FD121A" w:rsidRPr="00592819" w:rsidRDefault="00592819"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s-ES"/>
        </w:rPr>
      </w:pPr>
      <w:r w:rsidRPr="00D766EA">
        <w:rPr>
          <w:rFonts w:ascii="Times New Roman" w:hAnsi="Times New Roman"/>
          <w:sz w:val="24"/>
          <w:szCs w:val="24"/>
        </w:rPr>
        <w:t xml:space="preserve">Servicio de Información Agroalimentaria y Pesquera </w:t>
      </w:r>
      <w:r>
        <w:rPr>
          <w:rFonts w:ascii="Times New Roman" w:hAnsi="Times New Roman"/>
          <w:sz w:val="24"/>
          <w:szCs w:val="24"/>
        </w:rPr>
        <w:t>(SIAP)</w:t>
      </w:r>
      <w:r w:rsidR="00FD121A" w:rsidRPr="00D766EA">
        <w:rPr>
          <w:rFonts w:ascii="Times New Roman" w:hAnsi="Times New Roman"/>
          <w:sz w:val="24"/>
          <w:szCs w:val="24"/>
        </w:rPr>
        <w:t xml:space="preserve"> (2017). </w:t>
      </w:r>
      <w:r w:rsidR="00FD121A" w:rsidRPr="00592819">
        <w:rPr>
          <w:rFonts w:ascii="Times New Roman" w:hAnsi="Times New Roman"/>
          <w:i/>
          <w:sz w:val="24"/>
          <w:szCs w:val="24"/>
        </w:rPr>
        <w:t>Datos abiertos. Estadística de Producción Agrícola</w:t>
      </w:r>
      <w:r w:rsidR="00FD121A" w:rsidRPr="00D766EA">
        <w:rPr>
          <w:rFonts w:ascii="Times New Roman" w:hAnsi="Times New Roman"/>
          <w:sz w:val="24"/>
          <w:szCs w:val="24"/>
        </w:rPr>
        <w:t xml:space="preserve">. </w:t>
      </w:r>
      <w:r>
        <w:rPr>
          <w:rFonts w:ascii="Times New Roman" w:hAnsi="Times New Roman"/>
          <w:sz w:val="24"/>
          <w:szCs w:val="24"/>
        </w:rPr>
        <w:t xml:space="preserve">Recuperado de </w:t>
      </w:r>
      <w:r w:rsidR="00FD121A" w:rsidRPr="00592819">
        <w:rPr>
          <w:rFonts w:ascii="Times New Roman" w:hAnsi="Times New Roman"/>
          <w:sz w:val="24"/>
          <w:szCs w:val="24"/>
          <w:lang w:val="es-ES"/>
        </w:rPr>
        <w:t xml:space="preserve"> </w:t>
      </w:r>
      <w:hyperlink r:id="rId22" w:history="1">
        <w:r w:rsidRPr="00D25683">
          <w:rPr>
            <w:rStyle w:val="Hipervnculo"/>
            <w:rFonts w:ascii="Times New Roman" w:hAnsi="Times New Roman"/>
            <w:sz w:val="24"/>
            <w:szCs w:val="24"/>
            <w:lang w:val="es-ES"/>
          </w:rPr>
          <w:t>http://infosiap.siap.gob.mx/gobmx/datosAbiertos.php</w:t>
        </w:r>
      </w:hyperlink>
      <w:r>
        <w:rPr>
          <w:rFonts w:ascii="Times New Roman" w:hAnsi="Times New Roman"/>
          <w:sz w:val="24"/>
          <w:szCs w:val="24"/>
          <w:lang w:val="es-ES"/>
        </w:rPr>
        <w:t xml:space="preserve">. </w:t>
      </w:r>
    </w:p>
    <w:p w14:paraId="5C9E9CA2" w14:textId="7C6ABF61" w:rsidR="00FD121A" w:rsidRPr="00D766EA" w:rsidRDefault="00592819"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n-US"/>
        </w:rPr>
      </w:pPr>
      <w:r w:rsidRPr="007608D0">
        <w:rPr>
          <w:rStyle w:val="nfasis"/>
          <w:rFonts w:ascii="Times New Roman" w:hAnsi="Times New Roman" w:cs="Times New Roman"/>
          <w:bCs/>
          <w:i w:val="0"/>
          <w:iCs w:val="0"/>
          <w:sz w:val="24"/>
          <w:szCs w:val="24"/>
          <w:shd w:val="clear" w:color="auto" w:fill="FFFFFF"/>
          <w:lang w:val="en-US"/>
        </w:rPr>
        <w:t>Statistics Canada</w:t>
      </w:r>
      <w:r w:rsidRPr="007608D0">
        <w:rPr>
          <w:rFonts w:ascii="Times New Roman" w:hAnsi="Times New Roman" w:cs="Times New Roman"/>
          <w:sz w:val="24"/>
          <w:szCs w:val="24"/>
          <w:lang w:val="en-US"/>
        </w:rPr>
        <w:t xml:space="preserve"> </w:t>
      </w:r>
      <w:r w:rsidRPr="007608D0">
        <w:rPr>
          <w:rFonts w:ascii="Times New Roman" w:hAnsi="Times New Roman"/>
          <w:sz w:val="24"/>
          <w:szCs w:val="24"/>
          <w:lang w:val="en-US"/>
        </w:rPr>
        <w:t>(</w:t>
      </w:r>
      <w:r w:rsidR="00FD121A" w:rsidRPr="007608D0">
        <w:rPr>
          <w:rFonts w:ascii="Times New Roman" w:hAnsi="Times New Roman"/>
          <w:sz w:val="24"/>
          <w:szCs w:val="24"/>
          <w:lang w:val="en-US"/>
        </w:rPr>
        <w:t>STATCAN</w:t>
      </w:r>
      <w:r w:rsidRPr="007608D0">
        <w:rPr>
          <w:rFonts w:ascii="Times New Roman" w:hAnsi="Times New Roman"/>
          <w:sz w:val="24"/>
          <w:szCs w:val="24"/>
          <w:lang w:val="en-US"/>
        </w:rPr>
        <w:t>)</w:t>
      </w:r>
      <w:r w:rsidR="00FD121A" w:rsidRPr="007608D0">
        <w:rPr>
          <w:rFonts w:ascii="Times New Roman" w:hAnsi="Times New Roman"/>
          <w:sz w:val="24"/>
          <w:szCs w:val="24"/>
          <w:lang w:val="en-US"/>
        </w:rPr>
        <w:t xml:space="preserve"> (2017). </w:t>
      </w:r>
      <w:r w:rsidR="00FD121A" w:rsidRPr="007608D0">
        <w:rPr>
          <w:rFonts w:ascii="Times New Roman" w:hAnsi="Times New Roman"/>
          <w:i/>
          <w:sz w:val="24"/>
          <w:szCs w:val="24"/>
          <w:lang w:val="en-US"/>
        </w:rPr>
        <w:t>Top 20 countries for January 2017 to which we imported commodity "71440</w:t>
      </w:r>
      <w:r w:rsidR="00FD121A" w:rsidRPr="007608D0">
        <w:rPr>
          <w:rFonts w:ascii="Times New Roman" w:hAnsi="Times New Roman"/>
          <w:sz w:val="24"/>
          <w:szCs w:val="24"/>
          <w:lang w:val="en-US"/>
        </w:rPr>
        <w:t xml:space="preserve">. </w:t>
      </w:r>
      <w:r w:rsidR="00FD121A" w:rsidRPr="00D766EA">
        <w:rPr>
          <w:rFonts w:ascii="Times New Roman" w:hAnsi="Times New Roman"/>
          <w:sz w:val="24"/>
          <w:szCs w:val="24"/>
          <w:lang w:val="en-US"/>
        </w:rPr>
        <w:t xml:space="preserve">Canadian International Merchandise Trade Database. </w:t>
      </w:r>
    </w:p>
    <w:p w14:paraId="4BEBDC93" w14:textId="139163A0" w:rsidR="00FD121A" w:rsidRPr="007608D0" w:rsidRDefault="007608D0"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n-US"/>
        </w:rPr>
      </w:pPr>
      <w:r w:rsidRPr="00D766EA">
        <w:rPr>
          <w:rFonts w:ascii="Times New Roman" w:hAnsi="Times New Roman"/>
          <w:sz w:val="24"/>
          <w:szCs w:val="24"/>
          <w:lang w:val="en-US"/>
        </w:rPr>
        <w:lastRenderedPageBreak/>
        <w:t>United States</w:t>
      </w:r>
      <w:r>
        <w:rPr>
          <w:rFonts w:ascii="Times New Roman" w:hAnsi="Times New Roman"/>
          <w:sz w:val="24"/>
          <w:szCs w:val="24"/>
          <w:lang w:val="en-US"/>
        </w:rPr>
        <w:t xml:space="preserve"> </w:t>
      </w:r>
      <w:r w:rsidRPr="00D766EA">
        <w:rPr>
          <w:rFonts w:ascii="Times New Roman" w:hAnsi="Times New Roman"/>
          <w:sz w:val="24"/>
          <w:szCs w:val="24"/>
          <w:lang w:val="en-US"/>
        </w:rPr>
        <w:t xml:space="preserve">Department of Agriculture </w:t>
      </w:r>
      <w:r>
        <w:rPr>
          <w:rFonts w:ascii="Times New Roman" w:hAnsi="Times New Roman"/>
          <w:sz w:val="24"/>
          <w:szCs w:val="24"/>
          <w:lang w:val="en-US"/>
        </w:rPr>
        <w:t>(</w:t>
      </w:r>
      <w:r w:rsidR="00FD121A" w:rsidRPr="00D766EA">
        <w:rPr>
          <w:rFonts w:ascii="Times New Roman" w:hAnsi="Times New Roman"/>
          <w:sz w:val="24"/>
          <w:szCs w:val="24"/>
          <w:lang w:val="en-US"/>
        </w:rPr>
        <w:t>USDA</w:t>
      </w:r>
      <w:r>
        <w:rPr>
          <w:rFonts w:ascii="Times New Roman" w:hAnsi="Times New Roman"/>
          <w:sz w:val="24"/>
          <w:szCs w:val="24"/>
          <w:lang w:val="en-US"/>
        </w:rPr>
        <w:t>)</w:t>
      </w:r>
      <w:r w:rsidR="00FD121A" w:rsidRPr="00D766EA">
        <w:rPr>
          <w:rFonts w:ascii="Times New Roman" w:hAnsi="Times New Roman"/>
          <w:sz w:val="24"/>
          <w:szCs w:val="24"/>
          <w:lang w:val="en-US"/>
        </w:rPr>
        <w:t xml:space="preserve"> (2016). </w:t>
      </w:r>
      <w:r w:rsidR="00FD121A" w:rsidRPr="007608D0">
        <w:rPr>
          <w:rFonts w:ascii="Times New Roman" w:hAnsi="Times New Roman"/>
          <w:i/>
          <w:sz w:val="24"/>
          <w:szCs w:val="24"/>
          <w:lang w:val="en-US"/>
        </w:rPr>
        <w:t>Canada and Mexico are the two largest suppliers of U.S. agricultural impo</w:t>
      </w:r>
      <w:r w:rsidRPr="007608D0">
        <w:rPr>
          <w:rFonts w:ascii="Times New Roman" w:hAnsi="Times New Roman"/>
          <w:i/>
          <w:sz w:val="24"/>
          <w:szCs w:val="24"/>
          <w:lang w:val="en-US"/>
        </w:rPr>
        <w:t>rts</w:t>
      </w:r>
      <w:r w:rsidR="00FD121A" w:rsidRPr="00D766EA">
        <w:rPr>
          <w:rFonts w:ascii="Times New Roman" w:hAnsi="Times New Roman"/>
          <w:sz w:val="24"/>
          <w:szCs w:val="24"/>
          <w:lang w:val="en-US"/>
        </w:rPr>
        <w:t xml:space="preserve">. </w:t>
      </w:r>
      <w:r>
        <w:rPr>
          <w:rFonts w:ascii="Times New Roman" w:hAnsi="Times New Roman"/>
          <w:sz w:val="24"/>
          <w:szCs w:val="24"/>
          <w:lang w:val="en-US"/>
        </w:rPr>
        <w:t xml:space="preserve">Retrieved from </w:t>
      </w:r>
      <w:hyperlink r:id="rId23" w:history="1">
        <w:r w:rsidR="00FD121A" w:rsidRPr="007608D0">
          <w:rPr>
            <w:rStyle w:val="Hipervnculo"/>
            <w:rFonts w:ascii="Times New Roman" w:hAnsi="Times New Roman"/>
            <w:sz w:val="24"/>
            <w:szCs w:val="24"/>
            <w:lang w:val="en-US"/>
          </w:rPr>
          <w:t>https://www.ers.usda.gov/data-products/chart-gallery/gallery/chart-detail/?chartId=58394</w:t>
        </w:r>
      </w:hyperlink>
      <w:r w:rsidR="00FD121A" w:rsidRPr="007608D0">
        <w:rPr>
          <w:rFonts w:ascii="Times New Roman" w:hAnsi="Times New Roman"/>
          <w:sz w:val="24"/>
          <w:szCs w:val="24"/>
          <w:lang w:val="en-US"/>
        </w:rPr>
        <w:t xml:space="preserve">. </w:t>
      </w:r>
    </w:p>
    <w:p w14:paraId="3279D88F" w14:textId="06C863CA" w:rsidR="00FD121A" w:rsidRPr="00D766EA" w:rsidRDefault="007608D0"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n-US"/>
        </w:rPr>
      </w:pPr>
      <w:r w:rsidRPr="00D766EA">
        <w:rPr>
          <w:rFonts w:ascii="Times New Roman" w:hAnsi="Times New Roman"/>
          <w:sz w:val="24"/>
          <w:szCs w:val="24"/>
          <w:lang w:val="en-US"/>
        </w:rPr>
        <w:t>United States</w:t>
      </w:r>
      <w:r>
        <w:rPr>
          <w:rFonts w:ascii="Times New Roman" w:hAnsi="Times New Roman"/>
          <w:sz w:val="24"/>
          <w:szCs w:val="24"/>
          <w:lang w:val="en-US"/>
        </w:rPr>
        <w:t xml:space="preserve"> </w:t>
      </w:r>
      <w:r w:rsidRPr="00D766EA">
        <w:rPr>
          <w:rFonts w:ascii="Times New Roman" w:hAnsi="Times New Roman"/>
          <w:sz w:val="24"/>
          <w:szCs w:val="24"/>
          <w:lang w:val="en-US"/>
        </w:rPr>
        <w:t xml:space="preserve">Department of Agriculture </w:t>
      </w:r>
      <w:r>
        <w:rPr>
          <w:rFonts w:ascii="Times New Roman" w:hAnsi="Times New Roman"/>
          <w:sz w:val="24"/>
          <w:szCs w:val="24"/>
          <w:lang w:val="en-US"/>
        </w:rPr>
        <w:t>(</w:t>
      </w:r>
      <w:r w:rsidR="00FD121A" w:rsidRPr="00D766EA">
        <w:rPr>
          <w:rFonts w:ascii="Times New Roman" w:hAnsi="Times New Roman"/>
          <w:sz w:val="24"/>
          <w:szCs w:val="24"/>
          <w:lang w:val="en-US"/>
        </w:rPr>
        <w:t>USDA</w:t>
      </w:r>
      <w:r>
        <w:rPr>
          <w:rFonts w:ascii="Times New Roman" w:hAnsi="Times New Roman"/>
          <w:sz w:val="24"/>
          <w:szCs w:val="24"/>
          <w:lang w:val="en-US"/>
        </w:rPr>
        <w:t>)</w:t>
      </w:r>
      <w:r w:rsidR="00FD121A" w:rsidRPr="00D766EA">
        <w:rPr>
          <w:rFonts w:ascii="Times New Roman" w:hAnsi="Times New Roman"/>
          <w:sz w:val="24"/>
          <w:szCs w:val="24"/>
          <w:lang w:val="en-US"/>
        </w:rPr>
        <w:t xml:space="preserve"> (2017). Standard Query. Foreign Agricultural Service. </w:t>
      </w:r>
      <w:r>
        <w:rPr>
          <w:rFonts w:ascii="Times New Roman" w:hAnsi="Times New Roman"/>
          <w:sz w:val="24"/>
          <w:szCs w:val="24"/>
          <w:lang w:val="en-US"/>
        </w:rPr>
        <w:t>Retrieved from</w:t>
      </w:r>
      <w:r w:rsidR="00FD121A" w:rsidRPr="00D766EA">
        <w:rPr>
          <w:rFonts w:ascii="Times New Roman" w:hAnsi="Times New Roman"/>
          <w:sz w:val="24"/>
          <w:szCs w:val="24"/>
          <w:lang w:val="en-US"/>
        </w:rPr>
        <w:t xml:space="preserve"> </w:t>
      </w:r>
      <w:hyperlink r:id="rId24" w:history="1">
        <w:r w:rsidR="00FD121A" w:rsidRPr="00D766EA">
          <w:rPr>
            <w:rStyle w:val="Hipervnculo"/>
            <w:rFonts w:ascii="Times New Roman" w:hAnsi="Times New Roman"/>
            <w:sz w:val="24"/>
            <w:szCs w:val="24"/>
            <w:lang w:val="en-US"/>
          </w:rPr>
          <w:t>https://apps.fas.usda.gov/gats/ExpressQuery1.aspx</w:t>
        </w:r>
      </w:hyperlink>
      <w:r w:rsidR="00FD121A" w:rsidRPr="00D766EA">
        <w:rPr>
          <w:rFonts w:ascii="Times New Roman" w:hAnsi="Times New Roman"/>
          <w:sz w:val="24"/>
          <w:szCs w:val="24"/>
          <w:lang w:val="en-US"/>
        </w:rPr>
        <w:t xml:space="preserve">. </w:t>
      </w:r>
    </w:p>
    <w:p w14:paraId="0775A1AC" w14:textId="0BE2AEE9" w:rsidR="00FD121A" w:rsidRDefault="00FD121A" w:rsidP="00FD121A">
      <w:pPr>
        <w:pStyle w:val="Prrafodelista"/>
        <w:tabs>
          <w:tab w:val="left" w:pos="-720"/>
        </w:tabs>
        <w:suppressAutoHyphens/>
        <w:spacing w:before="100" w:beforeAutospacing="1" w:after="100" w:afterAutospacing="1" w:line="360" w:lineRule="auto"/>
        <w:ind w:left="777" w:hanging="709"/>
        <w:jc w:val="both"/>
        <w:rPr>
          <w:rFonts w:ascii="Times New Roman" w:hAnsi="Times New Roman"/>
          <w:sz w:val="24"/>
          <w:szCs w:val="24"/>
          <w:lang w:val="en-US"/>
        </w:rPr>
      </w:pPr>
      <w:r w:rsidRPr="00D766EA">
        <w:rPr>
          <w:rFonts w:ascii="Times New Roman" w:hAnsi="Times New Roman"/>
          <w:sz w:val="24"/>
          <w:szCs w:val="24"/>
          <w:lang w:val="en-US"/>
        </w:rPr>
        <w:t xml:space="preserve">Yin, R. (1994). </w:t>
      </w:r>
      <w:r w:rsidRPr="00D766EA">
        <w:rPr>
          <w:rFonts w:ascii="Times New Roman" w:hAnsi="Times New Roman"/>
          <w:i/>
          <w:sz w:val="24"/>
          <w:szCs w:val="24"/>
          <w:lang w:val="en-US"/>
        </w:rPr>
        <w:t>Case Study Research. Desing and Methods</w:t>
      </w:r>
      <w:r w:rsidRPr="00D766EA">
        <w:rPr>
          <w:rFonts w:ascii="Times New Roman" w:hAnsi="Times New Roman"/>
          <w:sz w:val="24"/>
          <w:szCs w:val="24"/>
          <w:lang w:val="en-US"/>
        </w:rPr>
        <w:t xml:space="preserve">. </w:t>
      </w:r>
      <w:r w:rsidR="00402688" w:rsidRPr="000346A1">
        <w:rPr>
          <w:rFonts w:ascii="Times New Roman" w:hAnsi="Times New Roman"/>
          <w:sz w:val="24"/>
          <w:szCs w:val="24"/>
          <w:lang w:val="en-US"/>
        </w:rPr>
        <w:t>London:</w:t>
      </w:r>
      <w:r w:rsidR="00402688">
        <w:rPr>
          <w:rFonts w:ascii="Times New Roman" w:hAnsi="Times New Roman"/>
          <w:sz w:val="24"/>
          <w:szCs w:val="24"/>
          <w:lang w:val="en-US"/>
        </w:rPr>
        <w:t xml:space="preserve"> Sage</w:t>
      </w:r>
      <w:r w:rsidRPr="00D766EA">
        <w:rPr>
          <w:rFonts w:ascii="Times New Roman" w:hAnsi="Times New Roman"/>
          <w:sz w:val="24"/>
          <w:szCs w:val="24"/>
          <w:lang w:val="en-US"/>
        </w:rPr>
        <w:t xml:space="preserve"> </w:t>
      </w:r>
      <w:r w:rsidR="007608D0" w:rsidRPr="000346A1">
        <w:rPr>
          <w:rFonts w:ascii="Times New Roman" w:hAnsi="Times New Roman"/>
          <w:sz w:val="24"/>
          <w:szCs w:val="24"/>
          <w:lang w:val="en-US"/>
        </w:rPr>
        <w:t>Publications</w:t>
      </w:r>
      <w:r w:rsidRPr="000346A1">
        <w:rPr>
          <w:rFonts w:ascii="Times New Roman" w:hAnsi="Times New Roman"/>
          <w:sz w:val="24"/>
          <w:szCs w:val="24"/>
          <w:lang w:val="en-US"/>
        </w:rPr>
        <w:t>.</w:t>
      </w:r>
    </w:p>
    <w:p w14:paraId="125CC6A3" w14:textId="77777777" w:rsidR="00F37E56" w:rsidRPr="00F37E56" w:rsidRDefault="00F37E56" w:rsidP="00F37E56">
      <w:pPr>
        <w:tabs>
          <w:tab w:val="left" w:pos="-720"/>
        </w:tabs>
        <w:suppressAutoHyphens/>
        <w:spacing w:before="100" w:beforeAutospacing="1" w:after="100" w:afterAutospacing="1" w:line="360" w:lineRule="auto"/>
        <w:jc w:val="both"/>
        <w:rPr>
          <w:rFonts w:ascii="Times New Roman" w:hAnsi="Times New Roman"/>
          <w:sz w:val="24"/>
          <w:szCs w:val="24"/>
          <w:lang w:val="en-US"/>
        </w:rPr>
      </w:pPr>
    </w:p>
    <w:p w14:paraId="46C7EE0B" w14:textId="77777777" w:rsidR="00FD121A" w:rsidRPr="000346A1" w:rsidRDefault="00FD121A" w:rsidP="00FD121A">
      <w:pPr>
        <w:rPr>
          <w:lang w:val="en-US"/>
        </w:rPr>
      </w:pPr>
    </w:p>
    <w:p w14:paraId="46A962D6" w14:textId="77777777" w:rsidR="003639EA" w:rsidRPr="000346A1" w:rsidRDefault="00DB61B2">
      <w:pPr>
        <w:rPr>
          <w:rFonts w:ascii="Times New Roman" w:eastAsia="Times New Roman" w:hAnsi="Times New Roman" w:cs="Times New Roman"/>
          <w:b/>
          <w:bCs/>
          <w:smallCaps/>
          <w:color w:val="000000"/>
          <w:sz w:val="24"/>
          <w:szCs w:val="24"/>
          <w:lang w:val="en-US" w:eastAsia="es-MX"/>
        </w:rPr>
        <w:sectPr w:rsidR="003639EA" w:rsidRPr="000346A1" w:rsidSect="004F0732">
          <w:headerReference w:type="default" r:id="rId25"/>
          <w:footerReference w:type="default" r:id="rId26"/>
          <w:pgSz w:w="12240" w:h="15840"/>
          <w:pgMar w:top="1985" w:right="1418" w:bottom="1418" w:left="1418" w:header="709" w:footer="709" w:gutter="0"/>
          <w:cols w:space="708"/>
          <w:docGrid w:linePitch="360"/>
        </w:sectPr>
      </w:pPr>
      <w:r w:rsidRPr="000346A1">
        <w:rPr>
          <w:rFonts w:ascii="Times New Roman" w:eastAsia="Times New Roman" w:hAnsi="Times New Roman" w:cs="Times New Roman"/>
          <w:b/>
          <w:bCs/>
          <w:smallCaps/>
          <w:color w:val="000000"/>
          <w:sz w:val="24"/>
          <w:szCs w:val="24"/>
          <w:lang w:val="en-US" w:eastAsia="es-MX"/>
        </w:rPr>
        <w:br w:type="page"/>
      </w:r>
      <w:bookmarkStart w:id="1" w:name="_GoBack"/>
      <w:bookmarkEnd w:id="1"/>
    </w:p>
    <w:p w14:paraId="34590211" w14:textId="119CDE5E" w:rsidR="003639EA" w:rsidRPr="00B60E6E" w:rsidRDefault="00BC5394" w:rsidP="00F37ACD">
      <w:pPr>
        <w:pStyle w:val="Ttulo1"/>
        <w:jc w:val="center"/>
        <w:rPr>
          <w:bCs/>
          <w:lang w:val="es-ES_tradnl"/>
        </w:rPr>
      </w:pPr>
      <w:r>
        <w:rPr>
          <w:lang w:val="es-ES_tradnl"/>
        </w:rPr>
        <w:lastRenderedPageBreak/>
        <w:t>Anexos</w:t>
      </w:r>
    </w:p>
    <w:p w14:paraId="61FADC48" w14:textId="77777777" w:rsidR="003639EA" w:rsidRPr="00B60E6E" w:rsidRDefault="003639EA" w:rsidP="005508B0">
      <w:pPr>
        <w:pStyle w:val="Ttulo1"/>
        <w:rPr>
          <w:lang w:val="es-ES_tradnl"/>
        </w:rPr>
      </w:pPr>
    </w:p>
    <w:p w14:paraId="5985A403" w14:textId="12CB9C49" w:rsidR="003639EA" w:rsidRPr="00F37ACD" w:rsidRDefault="00F37ACD" w:rsidP="00F37ACD">
      <w:pPr>
        <w:pStyle w:val="Ttulo1"/>
        <w:jc w:val="center"/>
        <w:rPr>
          <w:bCs/>
          <w:lang w:val="es-ES_tradnl"/>
        </w:rPr>
      </w:pPr>
      <w:r w:rsidRPr="00F37ACD">
        <w:rPr>
          <w:sz w:val="24"/>
          <w:lang w:val="es-ES_tradnl"/>
        </w:rPr>
        <w:t xml:space="preserve">Anexo 1. </w:t>
      </w:r>
      <w:r w:rsidR="003639EA" w:rsidRPr="00B60E6E">
        <w:rPr>
          <w:b w:val="0"/>
          <w:bCs/>
          <w:sz w:val="24"/>
        </w:rPr>
        <w:t>Volumen, precio y v</w:t>
      </w:r>
      <w:r>
        <w:rPr>
          <w:b w:val="0"/>
          <w:bCs/>
          <w:sz w:val="24"/>
        </w:rPr>
        <w:t>alor de la malanga en México entre 2010 y 2015</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01"/>
        <w:gridCol w:w="1429"/>
        <w:gridCol w:w="1559"/>
        <w:gridCol w:w="1418"/>
        <w:gridCol w:w="2126"/>
        <w:gridCol w:w="1418"/>
      </w:tblGrid>
      <w:tr w:rsidR="003639EA" w:rsidRPr="00B60E6E" w14:paraId="4A737B62" w14:textId="77777777" w:rsidTr="004B672E">
        <w:trPr>
          <w:trHeight w:val="783"/>
          <w:jc w:val="center"/>
        </w:trPr>
        <w:tc>
          <w:tcPr>
            <w:tcW w:w="724" w:type="dxa"/>
            <w:shd w:val="clear" w:color="auto" w:fill="auto"/>
            <w:noWrap/>
            <w:vAlign w:val="center"/>
            <w:hideMark/>
          </w:tcPr>
          <w:p w14:paraId="76F1FBAD" w14:textId="77777777" w:rsidR="003639EA" w:rsidRPr="00B60E6E" w:rsidRDefault="003639EA" w:rsidP="00FE7DA6">
            <w:pPr>
              <w:spacing w:after="0" w:line="240" w:lineRule="auto"/>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lang w:eastAsia="es-MX"/>
              </w:rPr>
              <w:t>Año</w:t>
            </w:r>
          </w:p>
        </w:tc>
        <w:tc>
          <w:tcPr>
            <w:tcW w:w="1701" w:type="dxa"/>
            <w:shd w:val="clear" w:color="auto" w:fill="auto"/>
            <w:vAlign w:val="center"/>
            <w:hideMark/>
          </w:tcPr>
          <w:p w14:paraId="3C510DF7" w14:textId="4F82CA15" w:rsidR="003639EA" w:rsidRPr="00B60E6E" w:rsidRDefault="003639EA" w:rsidP="00FE7DA6">
            <w:pPr>
              <w:spacing w:after="0" w:line="240" w:lineRule="auto"/>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lang w:eastAsia="es-MX"/>
              </w:rPr>
              <w:t>Volumen de producción</w:t>
            </w:r>
            <w:r w:rsidRPr="00B60E6E">
              <w:rPr>
                <w:rStyle w:val="Refdenotaalpie"/>
                <w:rFonts w:ascii="Times New Roman" w:hAnsi="Times New Roman" w:cs="Times New Roman"/>
                <w:b/>
                <w:bCs/>
                <w:sz w:val="24"/>
                <w:szCs w:val="24"/>
              </w:rPr>
              <w:footnoteReference w:id="2"/>
            </w:r>
            <w:r w:rsidR="00F37ACD">
              <w:rPr>
                <w:rFonts w:ascii="Times New Roman" w:hAnsi="Times New Roman" w:cs="Times New Roman"/>
                <w:b/>
                <w:bCs/>
                <w:color w:val="000000"/>
                <w:sz w:val="24"/>
                <w:szCs w:val="24"/>
                <w:lang w:eastAsia="es-MX"/>
              </w:rPr>
              <w:t xml:space="preserve"> (k</w:t>
            </w:r>
            <w:r w:rsidRPr="00B60E6E">
              <w:rPr>
                <w:rFonts w:ascii="Times New Roman" w:hAnsi="Times New Roman" w:cs="Times New Roman"/>
                <w:b/>
                <w:bCs/>
                <w:color w:val="000000"/>
                <w:sz w:val="24"/>
                <w:szCs w:val="24"/>
                <w:lang w:eastAsia="es-MX"/>
              </w:rPr>
              <w:t>ilogramos)</w:t>
            </w:r>
          </w:p>
        </w:tc>
        <w:tc>
          <w:tcPr>
            <w:tcW w:w="1429" w:type="dxa"/>
            <w:shd w:val="clear" w:color="auto" w:fill="auto"/>
            <w:vAlign w:val="center"/>
            <w:hideMark/>
          </w:tcPr>
          <w:p w14:paraId="0C9188C9" w14:textId="77777777" w:rsidR="003639EA" w:rsidRPr="00B60E6E" w:rsidRDefault="003639EA" w:rsidP="00FE7DA6">
            <w:pPr>
              <w:spacing w:after="0" w:line="240" w:lineRule="auto"/>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lang w:eastAsia="es-MX"/>
              </w:rPr>
              <w:t>Tasa de crecimiento % del volumen</w:t>
            </w:r>
          </w:p>
        </w:tc>
        <w:tc>
          <w:tcPr>
            <w:tcW w:w="1559" w:type="dxa"/>
            <w:shd w:val="clear" w:color="auto" w:fill="auto"/>
            <w:vAlign w:val="center"/>
            <w:hideMark/>
          </w:tcPr>
          <w:p w14:paraId="46394882" w14:textId="304CD5F9" w:rsidR="003639EA" w:rsidRPr="00B60E6E" w:rsidRDefault="003639EA" w:rsidP="00FE7DA6">
            <w:pPr>
              <w:spacing w:after="0" w:line="240" w:lineRule="auto"/>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lang w:eastAsia="es-MX"/>
              </w:rPr>
              <w:t>Precio</w:t>
            </w:r>
            <w:r w:rsidRPr="00B60E6E">
              <w:rPr>
                <w:rStyle w:val="Refdenotaalpie"/>
                <w:rFonts w:ascii="Times New Roman" w:hAnsi="Times New Roman" w:cs="Times New Roman"/>
                <w:b/>
                <w:bCs/>
                <w:color w:val="000000"/>
                <w:sz w:val="24"/>
                <w:szCs w:val="24"/>
                <w:lang w:eastAsia="es-MX"/>
              </w:rPr>
              <w:footnoteReference w:id="3"/>
            </w:r>
            <w:r w:rsidR="00F37ACD">
              <w:rPr>
                <w:rFonts w:ascii="Times New Roman" w:hAnsi="Times New Roman" w:cs="Times New Roman"/>
                <w:b/>
                <w:bCs/>
                <w:color w:val="000000"/>
                <w:sz w:val="24"/>
                <w:szCs w:val="24"/>
                <w:lang w:eastAsia="es-MX"/>
              </w:rPr>
              <w:t xml:space="preserve"> (p</w:t>
            </w:r>
            <w:r w:rsidRPr="00B60E6E">
              <w:rPr>
                <w:rFonts w:ascii="Times New Roman" w:hAnsi="Times New Roman" w:cs="Times New Roman"/>
                <w:b/>
                <w:bCs/>
                <w:color w:val="000000"/>
                <w:sz w:val="24"/>
                <w:szCs w:val="24"/>
                <w:lang w:eastAsia="es-MX"/>
              </w:rPr>
              <w:t>esos x 1000 kilogramos)</w:t>
            </w:r>
          </w:p>
        </w:tc>
        <w:tc>
          <w:tcPr>
            <w:tcW w:w="1418" w:type="dxa"/>
            <w:shd w:val="clear" w:color="auto" w:fill="auto"/>
            <w:vAlign w:val="center"/>
            <w:hideMark/>
          </w:tcPr>
          <w:p w14:paraId="1E9F73A1" w14:textId="77777777" w:rsidR="003639EA" w:rsidRPr="00B60E6E" w:rsidRDefault="003639EA" w:rsidP="00FE7DA6">
            <w:pPr>
              <w:spacing w:after="0" w:line="240" w:lineRule="auto"/>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lang w:eastAsia="es-MX"/>
              </w:rPr>
              <w:t>Tasa de crecimiento % de precio</w:t>
            </w:r>
          </w:p>
        </w:tc>
        <w:tc>
          <w:tcPr>
            <w:tcW w:w="2126" w:type="dxa"/>
            <w:shd w:val="clear" w:color="auto" w:fill="auto"/>
            <w:vAlign w:val="center"/>
            <w:hideMark/>
          </w:tcPr>
          <w:p w14:paraId="66239724" w14:textId="1A0E6C29" w:rsidR="003639EA" w:rsidRPr="00B60E6E" w:rsidRDefault="003639EA" w:rsidP="00FE7DA6">
            <w:pPr>
              <w:spacing w:after="0" w:line="240" w:lineRule="auto"/>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lang w:eastAsia="es-MX"/>
              </w:rPr>
              <w:t>Valor</w:t>
            </w:r>
            <w:r w:rsidRPr="00B60E6E">
              <w:rPr>
                <w:rStyle w:val="Refdenotaalpie"/>
                <w:rFonts w:ascii="Times New Roman" w:hAnsi="Times New Roman" w:cs="Times New Roman"/>
                <w:b/>
                <w:bCs/>
                <w:color w:val="000000"/>
                <w:sz w:val="24"/>
                <w:szCs w:val="24"/>
                <w:lang w:eastAsia="es-MX"/>
              </w:rPr>
              <w:footnoteReference w:id="4"/>
            </w:r>
            <w:r w:rsidR="00F37ACD">
              <w:rPr>
                <w:rFonts w:ascii="Times New Roman" w:hAnsi="Times New Roman" w:cs="Times New Roman"/>
                <w:b/>
                <w:bCs/>
                <w:color w:val="000000"/>
                <w:sz w:val="24"/>
                <w:szCs w:val="24"/>
                <w:lang w:eastAsia="es-MX"/>
              </w:rPr>
              <w:t xml:space="preserve"> (p</w:t>
            </w:r>
            <w:r w:rsidRPr="00B60E6E">
              <w:rPr>
                <w:rFonts w:ascii="Times New Roman" w:hAnsi="Times New Roman" w:cs="Times New Roman"/>
                <w:b/>
                <w:bCs/>
                <w:color w:val="000000"/>
                <w:sz w:val="24"/>
                <w:szCs w:val="24"/>
                <w:lang w:eastAsia="es-MX"/>
              </w:rPr>
              <w:t>esos corrientes nacionales)</w:t>
            </w:r>
          </w:p>
        </w:tc>
        <w:tc>
          <w:tcPr>
            <w:tcW w:w="1418" w:type="dxa"/>
            <w:shd w:val="clear" w:color="auto" w:fill="auto"/>
            <w:vAlign w:val="center"/>
            <w:hideMark/>
          </w:tcPr>
          <w:p w14:paraId="7E6A2DFF" w14:textId="77777777" w:rsidR="003639EA" w:rsidRPr="00B60E6E" w:rsidRDefault="003639EA" w:rsidP="00FE7DA6">
            <w:pPr>
              <w:spacing w:after="0" w:line="240" w:lineRule="auto"/>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lang w:eastAsia="es-MX"/>
              </w:rPr>
              <w:t>Tasa de crecimiento % de valor</w:t>
            </w:r>
          </w:p>
        </w:tc>
      </w:tr>
      <w:tr w:rsidR="003639EA" w:rsidRPr="00B60E6E" w14:paraId="56295791" w14:textId="77777777" w:rsidTr="004B672E">
        <w:trPr>
          <w:trHeight w:val="300"/>
          <w:jc w:val="center"/>
        </w:trPr>
        <w:tc>
          <w:tcPr>
            <w:tcW w:w="724" w:type="dxa"/>
            <w:shd w:val="clear" w:color="auto" w:fill="auto"/>
            <w:noWrap/>
            <w:vAlign w:val="bottom"/>
            <w:hideMark/>
          </w:tcPr>
          <w:p w14:paraId="4B51403C" w14:textId="77777777" w:rsidR="003639EA" w:rsidRPr="00B60E6E" w:rsidRDefault="003639EA" w:rsidP="00FE7DA6">
            <w:pPr>
              <w:spacing w:after="0" w:line="240" w:lineRule="auto"/>
              <w:jc w:val="right"/>
              <w:rPr>
                <w:rFonts w:ascii="Times New Roman" w:hAnsi="Times New Roman" w:cs="Times New Roman"/>
                <w:b/>
                <w:color w:val="000000"/>
                <w:sz w:val="24"/>
                <w:szCs w:val="24"/>
                <w:lang w:eastAsia="es-MX"/>
              </w:rPr>
            </w:pPr>
            <w:r w:rsidRPr="00B60E6E">
              <w:rPr>
                <w:rFonts w:ascii="Times New Roman" w:hAnsi="Times New Roman" w:cs="Times New Roman"/>
                <w:b/>
                <w:color w:val="000000"/>
                <w:sz w:val="24"/>
                <w:szCs w:val="24"/>
                <w:lang w:eastAsia="es-MX"/>
              </w:rPr>
              <w:t>2010</w:t>
            </w:r>
          </w:p>
        </w:tc>
        <w:tc>
          <w:tcPr>
            <w:tcW w:w="1701" w:type="dxa"/>
            <w:shd w:val="clear" w:color="auto" w:fill="auto"/>
            <w:noWrap/>
            <w:vAlign w:val="center"/>
            <w:hideMark/>
          </w:tcPr>
          <w:p w14:paraId="071A0B47" w14:textId="45B927A7"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9 725 </w:t>
            </w:r>
            <w:r w:rsidR="003639EA" w:rsidRPr="00B60E6E">
              <w:rPr>
                <w:rFonts w:ascii="Times New Roman" w:hAnsi="Times New Roman" w:cs="Times New Roman"/>
                <w:color w:val="000000"/>
                <w:sz w:val="24"/>
                <w:szCs w:val="24"/>
                <w:lang w:eastAsia="es-MX"/>
              </w:rPr>
              <w:t>000</w:t>
            </w:r>
          </w:p>
        </w:tc>
        <w:tc>
          <w:tcPr>
            <w:tcW w:w="1429" w:type="dxa"/>
            <w:shd w:val="clear" w:color="auto" w:fill="auto"/>
            <w:noWrap/>
            <w:vAlign w:val="bottom"/>
            <w:hideMark/>
          </w:tcPr>
          <w:p w14:paraId="0D2F4F3B" w14:textId="77777777"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 </w:t>
            </w:r>
          </w:p>
        </w:tc>
        <w:tc>
          <w:tcPr>
            <w:tcW w:w="1559" w:type="dxa"/>
            <w:shd w:val="clear" w:color="auto" w:fill="auto"/>
            <w:noWrap/>
            <w:vAlign w:val="center"/>
            <w:hideMark/>
          </w:tcPr>
          <w:p w14:paraId="6AFF32E5" w14:textId="498B7E9A"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$13 </w:t>
            </w:r>
            <w:r w:rsidR="003639EA" w:rsidRPr="00B60E6E">
              <w:rPr>
                <w:rFonts w:ascii="Times New Roman" w:hAnsi="Times New Roman" w:cs="Times New Roman"/>
                <w:color w:val="000000"/>
                <w:sz w:val="24"/>
                <w:szCs w:val="24"/>
                <w:lang w:eastAsia="es-MX"/>
              </w:rPr>
              <w:t>000</w:t>
            </w:r>
          </w:p>
        </w:tc>
        <w:tc>
          <w:tcPr>
            <w:tcW w:w="1418" w:type="dxa"/>
            <w:shd w:val="clear" w:color="auto" w:fill="auto"/>
            <w:noWrap/>
            <w:vAlign w:val="bottom"/>
            <w:hideMark/>
          </w:tcPr>
          <w:p w14:paraId="5B505853" w14:textId="77777777" w:rsidR="003639EA" w:rsidRPr="00B60E6E" w:rsidRDefault="003639EA" w:rsidP="00FE7DA6">
            <w:pPr>
              <w:spacing w:after="0" w:line="240" w:lineRule="auto"/>
              <w:jc w:val="right"/>
              <w:rPr>
                <w:rFonts w:ascii="Times New Roman" w:hAnsi="Times New Roman" w:cs="Times New Roman"/>
                <w:color w:val="000000"/>
                <w:sz w:val="24"/>
                <w:szCs w:val="24"/>
                <w:lang w:eastAsia="es-MX"/>
              </w:rPr>
            </w:pPr>
          </w:p>
        </w:tc>
        <w:tc>
          <w:tcPr>
            <w:tcW w:w="2126" w:type="dxa"/>
            <w:shd w:val="clear" w:color="auto" w:fill="auto"/>
            <w:noWrap/>
            <w:vAlign w:val="bottom"/>
            <w:hideMark/>
          </w:tcPr>
          <w:p w14:paraId="34595FF7" w14:textId="32A8FA64"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 $            35 774 </w:t>
            </w:r>
            <w:r w:rsidR="003639EA" w:rsidRPr="00B60E6E">
              <w:rPr>
                <w:rFonts w:ascii="Times New Roman" w:hAnsi="Times New Roman" w:cs="Times New Roman"/>
                <w:color w:val="000000"/>
                <w:sz w:val="24"/>
                <w:szCs w:val="24"/>
                <w:lang w:eastAsia="es-MX"/>
              </w:rPr>
              <w:t xml:space="preserve">025 </w:t>
            </w:r>
          </w:p>
        </w:tc>
        <w:tc>
          <w:tcPr>
            <w:tcW w:w="1418" w:type="dxa"/>
            <w:shd w:val="clear" w:color="auto" w:fill="auto"/>
            <w:noWrap/>
            <w:vAlign w:val="bottom"/>
            <w:hideMark/>
          </w:tcPr>
          <w:p w14:paraId="63C34B37" w14:textId="77777777" w:rsidR="003639EA" w:rsidRPr="00B60E6E" w:rsidRDefault="003639EA" w:rsidP="00FE7DA6">
            <w:pPr>
              <w:spacing w:after="0" w:line="240" w:lineRule="auto"/>
              <w:jc w:val="right"/>
              <w:rPr>
                <w:rFonts w:ascii="Times New Roman" w:hAnsi="Times New Roman" w:cs="Times New Roman"/>
                <w:color w:val="000000"/>
                <w:sz w:val="24"/>
                <w:szCs w:val="24"/>
                <w:lang w:eastAsia="es-MX"/>
              </w:rPr>
            </w:pPr>
          </w:p>
        </w:tc>
      </w:tr>
      <w:tr w:rsidR="003639EA" w:rsidRPr="00B60E6E" w14:paraId="0FEE88A0" w14:textId="77777777" w:rsidTr="004B672E">
        <w:trPr>
          <w:trHeight w:val="300"/>
          <w:jc w:val="center"/>
        </w:trPr>
        <w:tc>
          <w:tcPr>
            <w:tcW w:w="724" w:type="dxa"/>
            <w:shd w:val="clear" w:color="auto" w:fill="auto"/>
            <w:noWrap/>
            <w:vAlign w:val="bottom"/>
            <w:hideMark/>
          </w:tcPr>
          <w:p w14:paraId="0B1146AC" w14:textId="77777777" w:rsidR="003639EA" w:rsidRPr="00B60E6E" w:rsidRDefault="003639EA" w:rsidP="00FE7DA6">
            <w:pPr>
              <w:spacing w:after="0" w:line="240" w:lineRule="auto"/>
              <w:jc w:val="right"/>
              <w:rPr>
                <w:rFonts w:ascii="Times New Roman" w:hAnsi="Times New Roman" w:cs="Times New Roman"/>
                <w:b/>
                <w:color w:val="000000"/>
                <w:sz w:val="24"/>
                <w:szCs w:val="24"/>
                <w:lang w:eastAsia="es-MX"/>
              </w:rPr>
            </w:pPr>
            <w:r w:rsidRPr="00B60E6E">
              <w:rPr>
                <w:rFonts w:ascii="Times New Roman" w:hAnsi="Times New Roman" w:cs="Times New Roman"/>
                <w:b/>
                <w:color w:val="000000"/>
                <w:sz w:val="24"/>
                <w:szCs w:val="24"/>
                <w:lang w:eastAsia="es-MX"/>
              </w:rPr>
              <w:t>2011</w:t>
            </w:r>
          </w:p>
        </w:tc>
        <w:tc>
          <w:tcPr>
            <w:tcW w:w="1701" w:type="dxa"/>
            <w:shd w:val="clear" w:color="auto" w:fill="auto"/>
            <w:noWrap/>
            <w:vAlign w:val="center"/>
            <w:hideMark/>
          </w:tcPr>
          <w:p w14:paraId="30D0E4AA" w14:textId="20331091"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14 320 </w:t>
            </w:r>
            <w:r w:rsidR="003639EA" w:rsidRPr="00B60E6E">
              <w:rPr>
                <w:rFonts w:ascii="Times New Roman" w:hAnsi="Times New Roman" w:cs="Times New Roman"/>
                <w:color w:val="000000"/>
                <w:sz w:val="24"/>
                <w:szCs w:val="24"/>
                <w:lang w:eastAsia="es-MX"/>
              </w:rPr>
              <w:t>000</w:t>
            </w:r>
          </w:p>
        </w:tc>
        <w:tc>
          <w:tcPr>
            <w:tcW w:w="1429" w:type="dxa"/>
            <w:shd w:val="clear" w:color="auto" w:fill="auto"/>
            <w:noWrap/>
            <w:vAlign w:val="bottom"/>
            <w:hideMark/>
          </w:tcPr>
          <w:p w14:paraId="58E11FBA" w14:textId="0BA7CD44"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47.3</w:t>
            </w:r>
            <w:r w:rsidR="00F37ACD">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559" w:type="dxa"/>
            <w:shd w:val="clear" w:color="auto" w:fill="auto"/>
            <w:noWrap/>
            <w:vAlign w:val="center"/>
            <w:hideMark/>
          </w:tcPr>
          <w:p w14:paraId="4F8B17D5" w14:textId="45B81AB1"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$13 </w:t>
            </w:r>
            <w:r w:rsidR="003639EA" w:rsidRPr="00B60E6E">
              <w:rPr>
                <w:rFonts w:ascii="Times New Roman" w:hAnsi="Times New Roman" w:cs="Times New Roman"/>
                <w:color w:val="000000"/>
                <w:sz w:val="24"/>
                <w:szCs w:val="24"/>
                <w:lang w:eastAsia="es-MX"/>
              </w:rPr>
              <w:t>500</w:t>
            </w:r>
          </w:p>
        </w:tc>
        <w:tc>
          <w:tcPr>
            <w:tcW w:w="1418" w:type="dxa"/>
            <w:shd w:val="clear" w:color="auto" w:fill="auto"/>
            <w:noWrap/>
            <w:vAlign w:val="bottom"/>
            <w:hideMark/>
          </w:tcPr>
          <w:p w14:paraId="261E2A7C" w14:textId="555C18D5"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3.8</w:t>
            </w:r>
            <w:r w:rsidR="00F37ACD">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6" w:type="dxa"/>
            <w:shd w:val="clear" w:color="auto" w:fill="auto"/>
            <w:noWrap/>
            <w:vAlign w:val="bottom"/>
            <w:hideMark/>
          </w:tcPr>
          <w:p w14:paraId="6E50A44C" w14:textId="0D5ADC60"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 $            41 890 </w:t>
            </w:r>
            <w:r w:rsidR="003639EA" w:rsidRPr="00B60E6E">
              <w:rPr>
                <w:rFonts w:ascii="Times New Roman" w:hAnsi="Times New Roman" w:cs="Times New Roman"/>
                <w:color w:val="000000"/>
                <w:sz w:val="24"/>
                <w:szCs w:val="24"/>
                <w:lang w:eastAsia="es-MX"/>
              </w:rPr>
              <w:t xml:space="preserve">000 </w:t>
            </w:r>
          </w:p>
        </w:tc>
        <w:tc>
          <w:tcPr>
            <w:tcW w:w="1418" w:type="dxa"/>
            <w:shd w:val="clear" w:color="auto" w:fill="auto"/>
            <w:noWrap/>
            <w:vAlign w:val="bottom"/>
            <w:hideMark/>
          </w:tcPr>
          <w:p w14:paraId="26BBDBDE" w14:textId="6D6B3AD9"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17.1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6FAEDA6F" w14:textId="77777777" w:rsidTr="004B672E">
        <w:trPr>
          <w:trHeight w:val="300"/>
          <w:jc w:val="center"/>
        </w:trPr>
        <w:tc>
          <w:tcPr>
            <w:tcW w:w="724" w:type="dxa"/>
            <w:shd w:val="clear" w:color="auto" w:fill="auto"/>
            <w:noWrap/>
            <w:vAlign w:val="bottom"/>
            <w:hideMark/>
          </w:tcPr>
          <w:p w14:paraId="4CFC25B6" w14:textId="77777777" w:rsidR="003639EA" w:rsidRPr="00B60E6E" w:rsidRDefault="003639EA" w:rsidP="00FE7DA6">
            <w:pPr>
              <w:spacing w:after="0" w:line="240" w:lineRule="auto"/>
              <w:jc w:val="right"/>
              <w:rPr>
                <w:rFonts w:ascii="Times New Roman" w:hAnsi="Times New Roman" w:cs="Times New Roman"/>
                <w:b/>
                <w:color w:val="000000"/>
                <w:sz w:val="24"/>
                <w:szCs w:val="24"/>
                <w:lang w:eastAsia="es-MX"/>
              </w:rPr>
            </w:pPr>
            <w:r w:rsidRPr="00B60E6E">
              <w:rPr>
                <w:rFonts w:ascii="Times New Roman" w:hAnsi="Times New Roman" w:cs="Times New Roman"/>
                <w:b/>
                <w:color w:val="000000"/>
                <w:sz w:val="24"/>
                <w:szCs w:val="24"/>
                <w:lang w:eastAsia="es-MX"/>
              </w:rPr>
              <w:t>2012</w:t>
            </w:r>
          </w:p>
        </w:tc>
        <w:tc>
          <w:tcPr>
            <w:tcW w:w="1701" w:type="dxa"/>
            <w:shd w:val="clear" w:color="auto" w:fill="auto"/>
            <w:noWrap/>
            <w:vAlign w:val="center"/>
            <w:hideMark/>
          </w:tcPr>
          <w:p w14:paraId="003F8AD1" w14:textId="09365269"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20 170 </w:t>
            </w:r>
            <w:r w:rsidR="003639EA" w:rsidRPr="00B60E6E">
              <w:rPr>
                <w:rFonts w:ascii="Times New Roman" w:hAnsi="Times New Roman" w:cs="Times New Roman"/>
                <w:color w:val="000000"/>
                <w:sz w:val="24"/>
                <w:szCs w:val="24"/>
                <w:lang w:eastAsia="es-MX"/>
              </w:rPr>
              <w:t>000</w:t>
            </w:r>
          </w:p>
        </w:tc>
        <w:tc>
          <w:tcPr>
            <w:tcW w:w="1429" w:type="dxa"/>
            <w:shd w:val="clear" w:color="auto" w:fill="auto"/>
            <w:noWrap/>
            <w:vAlign w:val="bottom"/>
            <w:hideMark/>
          </w:tcPr>
          <w:p w14:paraId="20BD2348" w14:textId="394AF50D"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40.9</w:t>
            </w:r>
            <w:r w:rsidR="00F37ACD">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559" w:type="dxa"/>
            <w:shd w:val="clear" w:color="auto" w:fill="auto"/>
            <w:noWrap/>
            <w:vAlign w:val="center"/>
            <w:hideMark/>
          </w:tcPr>
          <w:p w14:paraId="12FF5335" w14:textId="02DC0217"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$28 </w:t>
            </w:r>
            <w:r w:rsidR="003639EA" w:rsidRPr="00B60E6E">
              <w:rPr>
                <w:rFonts w:ascii="Times New Roman" w:hAnsi="Times New Roman" w:cs="Times New Roman"/>
                <w:color w:val="000000"/>
                <w:sz w:val="24"/>
                <w:szCs w:val="24"/>
                <w:lang w:eastAsia="es-MX"/>
              </w:rPr>
              <w:t>579</w:t>
            </w:r>
          </w:p>
        </w:tc>
        <w:tc>
          <w:tcPr>
            <w:tcW w:w="1418" w:type="dxa"/>
            <w:shd w:val="clear" w:color="auto" w:fill="auto"/>
            <w:noWrap/>
            <w:vAlign w:val="bottom"/>
            <w:hideMark/>
          </w:tcPr>
          <w:p w14:paraId="6827D624" w14:textId="2D5FF58E"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111.7</w:t>
            </w:r>
            <w:r w:rsidR="00F37ACD">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6" w:type="dxa"/>
            <w:shd w:val="clear" w:color="auto" w:fill="auto"/>
            <w:noWrap/>
            <w:vAlign w:val="bottom"/>
            <w:hideMark/>
          </w:tcPr>
          <w:p w14:paraId="5B4F24A1" w14:textId="5B77436C"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 $          162 834 </w:t>
            </w:r>
            <w:r w:rsidR="003639EA" w:rsidRPr="00B60E6E">
              <w:rPr>
                <w:rFonts w:ascii="Times New Roman" w:hAnsi="Times New Roman" w:cs="Times New Roman"/>
                <w:color w:val="000000"/>
                <w:sz w:val="24"/>
                <w:szCs w:val="24"/>
                <w:lang w:eastAsia="es-MX"/>
              </w:rPr>
              <w:t xml:space="preserve">920 </w:t>
            </w:r>
          </w:p>
        </w:tc>
        <w:tc>
          <w:tcPr>
            <w:tcW w:w="1418" w:type="dxa"/>
            <w:shd w:val="clear" w:color="auto" w:fill="auto"/>
            <w:noWrap/>
            <w:vAlign w:val="bottom"/>
            <w:hideMark/>
          </w:tcPr>
          <w:p w14:paraId="063D1081" w14:textId="45BD8367"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288.7</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111BDDCA" w14:textId="77777777" w:rsidTr="004B672E">
        <w:trPr>
          <w:trHeight w:val="300"/>
          <w:jc w:val="center"/>
        </w:trPr>
        <w:tc>
          <w:tcPr>
            <w:tcW w:w="724" w:type="dxa"/>
            <w:shd w:val="clear" w:color="auto" w:fill="auto"/>
            <w:noWrap/>
            <w:vAlign w:val="bottom"/>
            <w:hideMark/>
          </w:tcPr>
          <w:p w14:paraId="21FECFA9" w14:textId="77777777" w:rsidR="003639EA" w:rsidRPr="00B60E6E" w:rsidRDefault="003639EA" w:rsidP="00FE7DA6">
            <w:pPr>
              <w:spacing w:after="0" w:line="240" w:lineRule="auto"/>
              <w:jc w:val="right"/>
              <w:rPr>
                <w:rFonts w:ascii="Times New Roman" w:hAnsi="Times New Roman" w:cs="Times New Roman"/>
                <w:b/>
                <w:color w:val="000000"/>
                <w:sz w:val="24"/>
                <w:szCs w:val="24"/>
                <w:lang w:eastAsia="es-MX"/>
              </w:rPr>
            </w:pPr>
            <w:r w:rsidRPr="00B60E6E">
              <w:rPr>
                <w:rFonts w:ascii="Times New Roman" w:hAnsi="Times New Roman" w:cs="Times New Roman"/>
                <w:b/>
                <w:color w:val="000000"/>
                <w:sz w:val="24"/>
                <w:szCs w:val="24"/>
                <w:lang w:eastAsia="es-MX"/>
              </w:rPr>
              <w:t>2013</w:t>
            </w:r>
          </w:p>
        </w:tc>
        <w:tc>
          <w:tcPr>
            <w:tcW w:w="1701" w:type="dxa"/>
            <w:shd w:val="clear" w:color="auto" w:fill="auto"/>
            <w:noWrap/>
            <w:vAlign w:val="center"/>
            <w:hideMark/>
          </w:tcPr>
          <w:p w14:paraId="47713945" w14:textId="49EB9726"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13 960 </w:t>
            </w:r>
            <w:r w:rsidR="003639EA" w:rsidRPr="00B60E6E">
              <w:rPr>
                <w:rFonts w:ascii="Times New Roman" w:hAnsi="Times New Roman" w:cs="Times New Roman"/>
                <w:color w:val="000000"/>
                <w:sz w:val="24"/>
                <w:szCs w:val="24"/>
                <w:lang w:eastAsia="es-MX"/>
              </w:rPr>
              <w:t>000</w:t>
            </w:r>
          </w:p>
        </w:tc>
        <w:tc>
          <w:tcPr>
            <w:tcW w:w="1429" w:type="dxa"/>
            <w:shd w:val="clear" w:color="auto" w:fill="auto"/>
            <w:noWrap/>
            <w:vAlign w:val="bottom"/>
            <w:hideMark/>
          </w:tcPr>
          <w:p w14:paraId="5DAEF2B7" w14:textId="67977AB2"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-30.8</w:t>
            </w:r>
            <w:r w:rsidR="00F37ACD">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559" w:type="dxa"/>
            <w:shd w:val="clear" w:color="auto" w:fill="auto"/>
            <w:noWrap/>
            <w:vAlign w:val="center"/>
            <w:hideMark/>
          </w:tcPr>
          <w:p w14:paraId="1BA250D7" w14:textId="781284D6"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w:t>
            </w:r>
            <w:r w:rsidR="00F37ACD">
              <w:rPr>
                <w:rFonts w:ascii="Times New Roman" w:hAnsi="Times New Roman" w:cs="Times New Roman"/>
                <w:color w:val="000000"/>
                <w:sz w:val="24"/>
                <w:szCs w:val="24"/>
                <w:lang w:eastAsia="es-MX"/>
              </w:rPr>
              <w:t xml:space="preserve">21 </w:t>
            </w:r>
            <w:r w:rsidRPr="00B60E6E">
              <w:rPr>
                <w:rFonts w:ascii="Times New Roman" w:hAnsi="Times New Roman" w:cs="Times New Roman"/>
                <w:color w:val="000000"/>
                <w:sz w:val="24"/>
                <w:szCs w:val="24"/>
                <w:lang w:eastAsia="es-MX"/>
              </w:rPr>
              <w:t>500</w:t>
            </w:r>
          </w:p>
        </w:tc>
        <w:tc>
          <w:tcPr>
            <w:tcW w:w="1418" w:type="dxa"/>
            <w:shd w:val="clear" w:color="auto" w:fill="auto"/>
            <w:noWrap/>
            <w:vAlign w:val="bottom"/>
            <w:hideMark/>
          </w:tcPr>
          <w:p w14:paraId="3D041355" w14:textId="5D309F66"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-24.8</w:t>
            </w:r>
            <w:r w:rsidR="00F37ACD">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6" w:type="dxa"/>
            <w:shd w:val="clear" w:color="auto" w:fill="auto"/>
            <w:noWrap/>
            <w:vAlign w:val="bottom"/>
            <w:hideMark/>
          </w:tcPr>
          <w:p w14:paraId="60668BCE" w14:textId="3A171586"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 $            82 375 </w:t>
            </w:r>
            <w:r w:rsidR="003639EA" w:rsidRPr="00B60E6E">
              <w:rPr>
                <w:rFonts w:ascii="Times New Roman" w:hAnsi="Times New Roman" w:cs="Times New Roman"/>
                <w:color w:val="000000"/>
                <w:sz w:val="24"/>
                <w:szCs w:val="24"/>
                <w:lang w:eastAsia="es-MX"/>
              </w:rPr>
              <w:t xml:space="preserve">000 </w:t>
            </w:r>
          </w:p>
        </w:tc>
        <w:tc>
          <w:tcPr>
            <w:tcW w:w="1418" w:type="dxa"/>
            <w:shd w:val="clear" w:color="auto" w:fill="auto"/>
            <w:noWrap/>
            <w:vAlign w:val="bottom"/>
            <w:hideMark/>
          </w:tcPr>
          <w:p w14:paraId="590E3533" w14:textId="1266E7E7"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-49.4</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6F5E2370" w14:textId="77777777" w:rsidTr="004B672E">
        <w:trPr>
          <w:trHeight w:val="300"/>
          <w:jc w:val="center"/>
        </w:trPr>
        <w:tc>
          <w:tcPr>
            <w:tcW w:w="724" w:type="dxa"/>
            <w:shd w:val="clear" w:color="auto" w:fill="auto"/>
            <w:noWrap/>
            <w:vAlign w:val="bottom"/>
            <w:hideMark/>
          </w:tcPr>
          <w:p w14:paraId="75185650" w14:textId="77777777" w:rsidR="003639EA" w:rsidRPr="00B60E6E" w:rsidRDefault="003639EA" w:rsidP="00FE7DA6">
            <w:pPr>
              <w:spacing w:after="0" w:line="240" w:lineRule="auto"/>
              <w:jc w:val="right"/>
              <w:rPr>
                <w:rFonts w:ascii="Times New Roman" w:hAnsi="Times New Roman" w:cs="Times New Roman"/>
                <w:b/>
                <w:color w:val="000000"/>
                <w:sz w:val="24"/>
                <w:szCs w:val="24"/>
                <w:lang w:eastAsia="es-MX"/>
              </w:rPr>
            </w:pPr>
            <w:r w:rsidRPr="00B60E6E">
              <w:rPr>
                <w:rFonts w:ascii="Times New Roman" w:hAnsi="Times New Roman" w:cs="Times New Roman"/>
                <w:b/>
                <w:color w:val="000000"/>
                <w:sz w:val="24"/>
                <w:szCs w:val="24"/>
                <w:lang w:eastAsia="es-MX"/>
              </w:rPr>
              <w:t>2014</w:t>
            </w:r>
          </w:p>
        </w:tc>
        <w:tc>
          <w:tcPr>
            <w:tcW w:w="1701" w:type="dxa"/>
            <w:shd w:val="clear" w:color="auto" w:fill="auto"/>
            <w:noWrap/>
            <w:vAlign w:val="center"/>
            <w:hideMark/>
          </w:tcPr>
          <w:p w14:paraId="41B4234A" w14:textId="266DA18E"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8 881 </w:t>
            </w:r>
            <w:r w:rsidR="003639EA" w:rsidRPr="00B60E6E">
              <w:rPr>
                <w:rFonts w:ascii="Times New Roman" w:hAnsi="Times New Roman" w:cs="Times New Roman"/>
                <w:color w:val="000000"/>
                <w:sz w:val="24"/>
                <w:szCs w:val="24"/>
                <w:lang w:eastAsia="es-MX"/>
              </w:rPr>
              <w:t>000</w:t>
            </w:r>
          </w:p>
        </w:tc>
        <w:tc>
          <w:tcPr>
            <w:tcW w:w="1429" w:type="dxa"/>
            <w:shd w:val="clear" w:color="auto" w:fill="auto"/>
            <w:noWrap/>
            <w:vAlign w:val="bottom"/>
            <w:hideMark/>
          </w:tcPr>
          <w:p w14:paraId="36BA9AD6" w14:textId="1D4B2A03"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-36.4</w:t>
            </w:r>
            <w:r w:rsidR="00F37ACD">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559" w:type="dxa"/>
            <w:shd w:val="clear" w:color="auto" w:fill="auto"/>
            <w:noWrap/>
            <w:vAlign w:val="center"/>
            <w:hideMark/>
          </w:tcPr>
          <w:p w14:paraId="2FD2CC20" w14:textId="31C224F1"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$29 </w:t>
            </w:r>
            <w:r w:rsidR="003639EA" w:rsidRPr="00B60E6E">
              <w:rPr>
                <w:rFonts w:ascii="Times New Roman" w:hAnsi="Times New Roman" w:cs="Times New Roman"/>
                <w:color w:val="000000"/>
                <w:sz w:val="24"/>
                <w:szCs w:val="24"/>
                <w:lang w:eastAsia="es-MX"/>
              </w:rPr>
              <w:t>320</w:t>
            </w:r>
          </w:p>
        </w:tc>
        <w:tc>
          <w:tcPr>
            <w:tcW w:w="1418" w:type="dxa"/>
            <w:shd w:val="clear" w:color="auto" w:fill="auto"/>
            <w:noWrap/>
            <w:vAlign w:val="bottom"/>
            <w:hideMark/>
          </w:tcPr>
          <w:p w14:paraId="44EDACEF" w14:textId="5B90CDB6"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36.4</w:t>
            </w:r>
            <w:r w:rsidR="00F37ACD">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6" w:type="dxa"/>
            <w:shd w:val="clear" w:color="auto" w:fill="auto"/>
            <w:noWrap/>
            <w:vAlign w:val="bottom"/>
            <w:hideMark/>
          </w:tcPr>
          <w:p w14:paraId="6D102756" w14:textId="20D126B9"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 $            53 187 </w:t>
            </w:r>
            <w:r w:rsidR="003639EA" w:rsidRPr="00B60E6E">
              <w:rPr>
                <w:rFonts w:ascii="Times New Roman" w:hAnsi="Times New Roman" w:cs="Times New Roman"/>
                <w:color w:val="000000"/>
                <w:sz w:val="24"/>
                <w:szCs w:val="24"/>
                <w:lang w:eastAsia="es-MX"/>
              </w:rPr>
              <w:t xml:space="preserve">350 </w:t>
            </w:r>
          </w:p>
        </w:tc>
        <w:tc>
          <w:tcPr>
            <w:tcW w:w="1418" w:type="dxa"/>
            <w:shd w:val="clear" w:color="auto" w:fill="auto"/>
            <w:noWrap/>
            <w:vAlign w:val="bottom"/>
            <w:hideMark/>
          </w:tcPr>
          <w:p w14:paraId="1FC1F845" w14:textId="10DB4876"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-35.4</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647CBA76" w14:textId="77777777" w:rsidTr="004B672E">
        <w:trPr>
          <w:trHeight w:val="315"/>
          <w:jc w:val="center"/>
        </w:trPr>
        <w:tc>
          <w:tcPr>
            <w:tcW w:w="724" w:type="dxa"/>
            <w:shd w:val="clear" w:color="auto" w:fill="auto"/>
            <w:noWrap/>
            <w:vAlign w:val="bottom"/>
            <w:hideMark/>
          </w:tcPr>
          <w:p w14:paraId="09827E9F" w14:textId="77777777" w:rsidR="003639EA" w:rsidRPr="00B60E6E" w:rsidRDefault="003639EA" w:rsidP="00FE7DA6">
            <w:pPr>
              <w:spacing w:after="0" w:line="240" w:lineRule="auto"/>
              <w:jc w:val="right"/>
              <w:rPr>
                <w:rFonts w:ascii="Times New Roman" w:hAnsi="Times New Roman" w:cs="Times New Roman"/>
                <w:b/>
                <w:color w:val="000000"/>
                <w:sz w:val="24"/>
                <w:szCs w:val="24"/>
                <w:lang w:eastAsia="es-MX"/>
              </w:rPr>
            </w:pPr>
            <w:r w:rsidRPr="00B60E6E">
              <w:rPr>
                <w:rFonts w:ascii="Times New Roman" w:hAnsi="Times New Roman" w:cs="Times New Roman"/>
                <w:b/>
                <w:color w:val="000000"/>
                <w:sz w:val="24"/>
                <w:szCs w:val="24"/>
                <w:lang w:eastAsia="es-MX"/>
              </w:rPr>
              <w:t>2015</w:t>
            </w:r>
          </w:p>
        </w:tc>
        <w:tc>
          <w:tcPr>
            <w:tcW w:w="1701" w:type="dxa"/>
            <w:shd w:val="clear" w:color="auto" w:fill="auto"/>
            <w:noWrap/>
            <w:vAlign w:val="center"/>
            <w:hideMark/>
          </w:tcPr>
          <w:p w14:paraId="6E4041D9" w14:textId="55C1FD6D"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16 552 </w:t>
            </w:r>
            <w:r w:rsidR="003639EA" w:rsidRPr="00B60E6E">
              <w:rPr>
                <w:rFonts w:ascii="Times New Roman" w:hAnsi="Times New Roman" w:cs="Times New Roman"/>
                <w:color w:val="000000"/>
                <w:sz w:val="24"/>
                <w:szCs w:val="24"/>
                <w:lang w:eastAsia="es-MX"/>
              </w:rPr>
              <w:t>000</w:t>
            </w:r>
          </w:p>
        </w:tc>
        <w:tc>
          <w:tcPr>
            <w:tcW w:w="1429" w:type="dxa"/>
            <w:shd w:val="clear" w:color="auto" w:fill="auto"/>
            <w:noWrap/>
            <w:vAlign w:val="bottom"/>
            <w:hideMark/>
          </w:tcPr>
          <w:p w14:paraId="322B027E" w14:textId="0E242FD1"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86.4</w:t>
            </w:r>
            <w:r w:rsidR="00F37ACD">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559" w:type="dxa"/>
            <w:shd w:val="clear" w:color="auto" w:fill="auto"/>
            <w:noWrap/>
            <w:vAlign w:val="center"/>
            <w:hideMark/>
          </w:tcPr>
          <w:p w14:paraId="370B5B8A" w14:textId="27341975"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$15 </w:t>
            </w:r>
            <w:r w:rsidR="003639EA" w:rsidRPr="00B60E6E">
              <w:rPr>
                <w:rFonts w:ascii="Times New Roman" w:hAnsi="Times New Roman" w:cs="Times New Roman"/>
                <w:color w:val="000000"/>
                <w:sz w:val="24"/>
                <w:szCs w:val="24"/>
                <w:lang w:eastAsia="es-MX"/>
              </w:rPr>
              <w:t>800</w:t>
            </w:r>
          </w:p>
        </w:tc>
        <w:tc>
          <w:tcPr>
            <w:tcW w:w="1418" w:type="dxa"/>
            <w:shd w:val="clear" w:color="auto" w:fill="auto"/>
            <w:noWrap/>
            <w:vAlign w:val="bottom"/>
            <w:hideMark/>
          </w:tcPr>
          <w:p w14:paraId="49C386B6" w14:textId="14C16D75"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-46.1</w:t>
            </w:r>
            <w:r w:rsidR="00F37ACD">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6" w:type="dxa"/>
            <w:shd w:val="clear" w:color="auto" w:fill="auto"/>
            <w:noWrap/>
            <w:vAlign w:val="bottom"/>
            <w:hideMark/>
          </w:tcPr>
          <w:p w14:paraId="6D13DC31" w14:textId="115EF6FA" w:rsidR="003639EA" w:rsidRPr="00B60E6E" w:rsidRDefault="00F37ACD" w:rsidP="00FE7DA6">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 xml:space="preserve"> $            66 364 </w:t>
            </w:r>
            <w:r w:rsidR="003639EA" w:rsidRPr="00B60E6E">
              <w:rPr>
                <w:rFonts w:ascii="Times New Roman" w:hAnsi="Times New Roman" w:cs="Times New Roman"/>
                <w:color w:val="000000"/>
                <w:sz w:val="24"/>
                <w:szCs w:val="24"/>
                <w:lang w:eastAsia="es-MX"/>
              </w:rPr>
              <w:t xml:space="preserve">000 </w:t>
            </w:r>
          </w:p>
        </w:tc>
        <w:tc>
          <w:tcPr>
            <w:tcW w:w="1418" w:type="dxa"/>
            <w:shd w:val="clear" w:color="auto" w:fill="auto"/>
            <w:noWrap/>
            <w:vAlign w:val="bottom"/>
            <w:hideMark/>
          </w:tcPr>
          <w:p w14:paraId="2DF3291B" w14:textId="47778B8B" w:rsidR="003639EA" w:rsidRPr="00B60E6E" w:rsidRDefault="003639EA" w:rsidP="00FE7DA6">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24.8</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bl>
    <w:p w14:paraId="200A2FEA" w14:textId="55051877" w:rsidR="003639EA" w:rsidRPr="00B60E6E" w:rsidRDefault="003639EA" w:rsidP="003639EA">
      <w:pPr>
        <w:jc w:val="center"/>
        <w:rPr>
          <w:rFonts w:ascii="Times New Roman" w:hAnsi="Times New Roman" w:cs="Times New Roman"/>
          <w:sz w:val="24"/>
          <w:szCs w:val="24"/>
        </w:rPr>
      </w:pPr>
      <w:r w:rsidRPr="00B60E6E">
        <w:rPr>
          <w:rFonts w:ascii="Times New Roman" w:hAnsi="Times New Roman" w:cs="Times New Roman"/>
          <w:sz w:val="24"/>
          <w:szCs w:val="24"/>
        </w:rPr>
        <w:t xml:space="preserve">Fuente: Elaboración </w:t>
      </w:r>
      <w:r w:rsidR="006106A4">
        <w:rPr>
          <w:rFonts w:ascii="Times New Roman" w:hAnsi="Times New Roman" w:cs="Times New Roman"/>
          <w:sz w:val="24"/>
          <w:szCs w:val="24"/>
        </w:rPr>
        <w:t>propia a partir de SIAP (2017)</w:t>
      </w:r>
    </w:p>
    <w:p w14:paraId="41DCDED4" w14:textId="77777777" w:rsidR="003639EA" w:rsidRPr="00B60E6E" w:rsidRDefault="003639EA" w:rsidP="003639EA"/>
    <w:p w14:paraId="515D350B" w14:textId="77777777" w:rsidR="003639EA" w:rsidRPr="00B60E6E" w:rsidRDefault="003639EA" w:rsidP="003639EA">
      <w:pPr>
        <w:rPr>
          <w:b/>
          <w:bCs/>
          <w:smallCaps/>
          <w:color w:val="000000"/>
          <w:lang w:eastAsia="es-MX"/>
        </w:rPr>
      </w:pPr>
      <w:r w:rsidRPr="00B60E6E">
        <w:rPr>
          <w:b/>
          <w:bCs/>
          <w:smallCaps/>
          <w:color w:val="000000"/>
          <w:lang w:eastAsia="es-MX"/>
        </w:rPr>
        <w:br w:type="page"/>
      </w:r>
    </w:p>
    <w:p w14:paraId="1765913F" w14:textId="45CB7E15" w:rsidR="003639EA" w:rsidRPr="00B60E6E" w:rsidRDefault="006106A4" w:rsidP="006106A4">
      <w:pPr>
        <w:pStyle w:val="Ttulo1"/>
        <w:jc w:val="center"/>
        <w:rPr>
          <w:b w:val="0"/>
          <w:bCs/>
          <w:sz w:val="24"/>
        </w:rPr>
      </w:pPr>
      <w:r w:rsidRPr="006106A4">
        <w:rPr>
          <w:sz w:val="24"/>
          <w:lang w:val="es-ES_tradnl"/>
        </w:rPr>
        <w:lastRenderedPageBreak/>
        <w:t xml:space="preserve">Anexo 2. </w:t>
      </w:r>
      <w:r w:rsidR="003639EA" w:rsidRPr="00B60E6E">
        <w:rPr>
          <w:b w:val="0"/>
          <w:bCs/>
          <w:sz w:val="24"/>
        </w:rPr>
        <w:t>Los 10 países que importan más malanga en Canadá, por cantidad y valor económico</w:t>
      </w:r>
      <w:r w:rsidR="003639EA" w:rsidRPr="00B60E6E">
        <w:rPr>
          <w:rStyle w:val="Refdenotaalpie"/>
          <w:b w:val="0"/>
          <w:bCs/>
          <w:sz w:val="24"/>
        </w:rPr>
        <w:footnoteReference w:id="5"/>
      </w:r>
    </w:p>
    <w:tbl>
      <w:tblPr>
        <w:tblW w:w="13608" w:type="dxa"/>
        <w:jc w:val="center"/>
        <w:tblLayout w:type="fixed"/>
        <w:tblCellMar>
          <w:left w:w="70" w:type="dxa"/>
          <w:right w:w="70" w:type="dxa"/>
        </w:tblCellMar>
        <w:tblLook w:val="04A0" w:firstRow="1" w:lastRow="0" w:firstColumn="1" w:lastColumn="0" w:noHBand="0" w:noVBand="1"/>
      </w:tblPr>
      <w:tblGrid>
        <w:gridCol w:w="647"/>
        <w:gridCol w:w="1260"/>
        <w:gridCol w:w="1778"/>
        <w:gridCol w:w="1418"/>
        <w:gridCol w:w="1100"/>
        <w:gridCol w:w="1451"/>
        <w:gridCol w:w="1843"/>
        <w:gridCol w:w="1418"/>
        <w:gridCol w:w="1134"/>
        <w:gridCol w:w="1559"/>
      </w:tblGrid>
      <w:tr w:rsidR="003639EA" w:rsidRPr="00B60E6E" w14:paraId="3D29F8A0" w14:textId="77777777" w:rsidTr="004B672E">
        <w:trPr>
          <w:trHeight w:val="330"/>
          <w:jc w:val="center"/>
        </w:trPr>
        <w:tc>
          <w:tcPr>
            <w:tcW w:w="6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1DF60" w14:textId="77777777" w:rsidR="003639EA" w:rsidRPr="00B60E6E" w:rsidRDefault="003639EA" w:rsidP="00C26398">
            <w:pPr>
              <w:spacing w:after="0" w:line="240" w:lineRule="auto"/>
              <w:jc w:val="center"/>
              <w:rPr>
                <w:rFonts w:ascii="Times New Roman" w:hAnsi="Times New Roman" w:cs="Times New Roman"/>
                <w:color w:val="000000"/>
                <w:sz w:val="24"/>
                <w:szCs w:val="24"/>
                <w:lang w:eastAsia="es-MX"/>
              </w:rPr>
            </w:pPr>
            <w:bookmarkStart w:id="2" w:name="RANGE!B21"/>
            <w:r w:rsidRPr="00B60E6E">
              <w:rPr>
                <w:rFonts w:ascii="Times New Roman" w:hAnsi="Times New Roman" w:cs="Times New Roman"/>
                <w:color w:val="000000"/>
                <w:sz w:val="24"/>
                <w:szCs w:val="24"/>
                <w:lang w:eastAsia="es-MX"/>
              </w:rPr>
              <w:t> </w:t>
            </w:r>
            <w:bookmarkEnd w:id="2"/>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14:paraId="47633646" w14:textId="77777777" w:rsidR="003639EA" w:rsidRPr="00B60E6E" w:rsidRDefault="003639EA" w:rsidP="00C26398">
            <w:pPr>
              <w:spacing w:after="0" w:line="240" w:lineRule="auto"/>
              <w:jc w:val="center"/>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 </w:t>
            </w:r>
          </w:p>
        </w:tc>
        <w:tc>
          <w:tcPr>
            <w:tcW w:w="574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425F173" w14:textId="77777777" w:rsidR="003639EA" w:rsidRPr="00B60E6E" w:rsidRDefault="003639EA" w:rsidP="00C26398">
            <w:pPr>
              <w:spacing w:after="0" w:line="240" w:lineRule="auto"/>
              <w:jc w:val="center"/>
              <w:rPr>
                <w:rFonts w:ascii="Times New Roman" w:hAnsi="Times New Roman" w:cs="Times New Roman"/>
                <w:b/>
                <w:color w:val="000000"/>
                <w:sz w:val="24"/>
                <w:szCs w:val="24"/>
                <w:lang w:eastAsia="es-MX"/>
              </w:rPr>
            </w:pPr>
            <w:r w:rsidRPr="00B60E6E">
              <w:rPr>
                <w:rFonts w:ascii="Times New Roman" w:hAnsi="Times New Roman" w:cs="Times New Roman"/>
                <w:b/>
                <w:color w:val="000000"/>
                <w:sz w:val="24"/>
                <w:szCs w:val="24"/>
                <w:lang w:eastAsia="es-MX"/>
              </w:rPr>
              <w:t>2015</w:t>
            </w:r>
          </w:p>
        </w:tc>
        <w:tc>
          <w:tcPr>
            <w:tcW w:w="595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EAC9055" w14:textId="77777777" w:rsidR="003639EA" w:rsidRPr="00B60E6E" w:rsidRDefault="003639EA" w:rsidP="00C26398">
            <w:pPr>
              <w:spacing w:after="0" w:line="240" w:lineRule="auto"/>
              <w:jc w:val="center"/>
              <w:rPr>
                <w:rFonts w:ascii="Times New Roman" w:hAnsi="Times New Roman" w:cs="Times New Roman"/>
                <w:b/>
                <w:color w:val="000000"/>
                <w:sz w:val="24"/>
                <w:szCs w:val="24"/>
                <w:lang w:eastAsia="es-MX"/>
              </w:rPr>
            </w:pPr>
            <w:r w:rsidRPr="00B60E6E">
              <w:rPr>
                <w:rFonts w:ascii="Times New Roman" w:hAnsi="Times New Roman" w:cs="Times New Roman"/>
                <w:b/>
                <w:color w:val="000000"/>
                <w:sz w:val="24"/>
                <w:szCs w:val="24"/>
                <w:lang w:eastAsia="es-MX"/>
              </w:rPr>
              <w:t>2016</w:t>
            </w:r>
          </w:p>
        </w:tc>
      </w:tr>
      <w:tr w:rsidR="003639EA" w:rsidRPr="00B60E6E" w14:paraId="57931DDC" w14:textId="77777777" w:rsidTr="004B672E">
        <w:trPr>
          <w:trHeight w:val="960"/>
          <w:jc w:val="center"/>
        </w:trPr>
        <w:tc>
          <w:tcPr>
            <w:tcW w:w="647" w:type="dxa"/>
            <w:tcBorders>
              <w:top w:val="nil"/>
              <w:left w:val="single" w:sz="8" w:space="0" w:color="auto"/>
              <w:bottom w:val="single" w:sz="8" w:space="0" w:color="auto"/>
              <w:right w:val="single" w:sz="8" w:space="0" w:color="auto"/>
            </w:tcBorders>
            <w:shd w:val="clear" w:color="auto" w:fill="auto"/>
            <w:vAlign w:val="center"/>
            <w:hideMark/>
          </w:tcPr>
          <w:p w14:paraId="0E33F3C3"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Rank</w:t>
            </w:r>
          </w:p>
        </w:tc>
        <w:tc>
          <w:tcPr>
            <w:tcW w:w="1260" w:type="dxa"/>
            <w:tcBorders>
              <w:top w:val="nil"/>
              <w:left w:val="nil"/>
              <w:bottom w:val="single" w:sz="8" w:space="0" w:color="auto"/>
              <w:right w:val="single" w:sz="8" w:space="0" w:color="auto"/>
            </w:tcBorders>
            <w:shd w:val="clear" w:color="auto" w:fill="auto"/>
            <w:noWrap/>
            <w:vAlign w:val="center"/>
            <w:hideMark/>
          </w:tcPr>
          <w:p w14:paraId="7A1B26F3"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País</w:t>
            </w:r>
          </w:p>
        </w:tc>
        <w:tc>
          <w:tcPr>
            <w:tcW w:w="1778" w:type="dxa"/>
            <w:tcBorders>
              <w:top w:val="nil"/>
              <w:left w:val="nil"/>
              <w:bottom w:val="single" w:sz="8" w:space="0" w:color="auto"/>
              <w:right w:val="single" w:sz="8" w:space="0" w:color="auto"/>
            </w:tcBorders>
            <w:shd w:val="clear" w:color="auto" w:fill="auto"/>
            <w:vAlign w:val="center"/>
            <w:hideMark/>
          </w:tcPr>
          <w:p w14:paraId="7EB2316F" w14:textId="65B53115"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Valor (p</w:t>
            </w:r>
            <w:r w:rsidR="003639EA" w:rsidRPr="00B60E6E">
              <w:rPr>
                <w:rFonts w:ascii="Times New Roman" w:hAnsi="Times New Roman" w:cs="Times New Roman"/>
                <w:color w:val="000000"/>
                <w:sz w:val="24"/>
                <w:szCs w:val="24"/>
                <w:lang w:eastAsia="es-MX"/>
              </w:rPr>
              <w:t>esos mexicanos)</w:t>
            </w:r>
            <w:r w:rsidR="003639EA" w:rsidRPr="00B60E6E">
              <w:rPr>
                <w:rStyle w:val="Refdenotaalpie"/>
                <w:rFonts w:ascii="Times New Roman" w:hAnsi="Times New Roman" w:cs="Times New Roman"/>
                <w:color w:val="000000"/>
                <w:sz w:val="24"/>
                <w:szCs w:val="24"/>
                <w:lang w:eastAsia="es-MX"/>
              </w:rPr>
              <w:footnoteReference w:id="6"/>
            </w:r>
          </w:p>
        </w:tc>
        <w:tc>
          <w:tcPr>
            <w:tcW w:w="1418" w:type="dxa"/>
            <w:tcBorders>
              <w:top w:val="nil"/>
              <w:left w:val="nil"/>
              <w:bottom w:val="single" w:sz="8" w:space="0" w:color="auto"/>
              <w:right w:val="single" w:sz="8" w:space="0" w:color="auto"/>
            </w:tcBorders>
            <w:shd w:val="clear" w:color="auto" w:fill="auto"/>
            <w:vAlign w:val="center"/>
            <w:hideMark/>
          </w:tcPr>
          <w:p w14:paraId="151F6497"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Participación % en valor</w:t>
            </w:r>
          </w:p>
        </w:tc>
        <w:tc>
          <w:tcPr>
            <w:tcW w:w="1100" w:type="dxa"/>
            <w:tcBorders>
              <w:top w:val="nil"/>
              <w:left w:val="nil"/>
              <w:bottom w:val="single" w:sz="8" w:space="0" w:color="auto"/>
              <w:right w:val="single" w:sz="8" w:space="0" w:color="auto"/>
            </w:tcBorders>
            <w:shd w:val="clear" w:color="auto" w:fill="auto"/>
            <w:vAlign w:val="center"/>
            <w:hideMark/>
          </w:tcPr>
          <w:p w14:paraId="7062B2AB" w14:textId="2619AF8A"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Cantidad (k</w:t>
            </w:r>
            <w:r w:rsidR="003639EA" w:rsidRPr="00B60E6E">
              <w:rPr>
                <w:rFonts w:ascii="Times New Roman" w:hAnsi="Times New Roman" w:cs="Times New Roman"/>
                <w:color w:val="000000"/>
                <w:sz w:val="24"/>
                <w:szCs w:val="24"/>
                <w:lang w:eastAsia="es-MX"/>
              </w:rPr>
              <w:t>g)</w:t>
            </w:r>
          </w:p>
        </w:tc>
        <w:tc>
          <w:tcPr>
            <w:tcW w:w="1451" w:type="dxa"/>
            <w:tcBorders>
              <w:top w:val="nil"/>
              <w:left w:val="nil"/>
              <w:bottom w:val="single" w:sz="8" w:space="0" w:color="auto"/>
              <w:right w:val="single" w:sz="8" w:space="0" w:color="auto"/>
            </w:tcBorders>
            <w:shd w:val="clear" w:color="auto" w:fill="auto"/>
            <w:vAlign w:val="center"/>
            <w:hideMark/>
          </w:tcPr>
          <w:p w14:paraId="156D44B5"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Participación % en cantidad</w:t>
            </w:r>
          </w:p>
        </w:tc>
        <w:tc>
          <w:tcPr>
            <w:tcW w:w="1843" w:type="dxa"/>
            <w:tcBorders>
              <w:top w:val="nil"/>
              <w:left w:val="nil"/>
              <w:bottom w:val="single" w:sz="8" w:space="0" w:color="auto"/>
              <w:right w:val="single" w:sz="8" w:space="0" w:color="auto"/>
            </w:tcBorders>
            <w:shd w:val="clear" w:color="auto" w:fill="auto"/>
            <w:vAlign w:val="center"/>
            <w:hideMark/>
          </w:tcPr>
          <w:p w14:paraId="1BF18D87" w14:textId="17A0F12F"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Valor (p</w:t>
            </w:r>
            <w:r w:rsidR="003639EA" w:rsidRPr="00B60E6E">
              <w:rPr>
                <w:rFonts w:ascii="Times New Roman" w:hAnsi="Times New Roman" w:cs="Times New Roman"/>
                <w:color w:val="000000"/>
                <w:sz w:val="24"/>
                <w:szCs w:val="24"/>
                <w:lang w:eastAsia="es-MX"/>
              </w:rPr>
              <w:t>esos mexicanos)</w:t>
            </w:r>
          </w:p>
        </w:tc>
        <w:tc>
          <w:tcPr>
            <w:tcW w:w="1418" w:type="dxa"/>
            <w:tcBorders>
              <w:top w:val="nil"/>
              <w:left w:val="nil"/>
              <w:bottom w:val="single" w:sz="8" w:space="0" w:color="auto"/>
              <w:right w:val="single" w:sz="8" w:space="0" w:color="auto"/>
            </w:tcBorders>
            <w:shd w:val="clear" w:color="auto" w:fill="auto"/>
            <w:vAlign w:val="center"/>
            <w:hideMark/>
          </w:tcPr>
          <w:p w14:paraId="1CCF293F"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Participación % en valor</w:t>
            </w:r>
          </w:p>
        </w:tc>
        <w:tc>
          <w:tcPr>
            <w:tcW w:w="1134" w:type="dxa"/>
            <w:tcBorders>
              <w:top w:val="nil"/>
              <w:left w:val="nil"/>
              <w:bottom w:val="single" w:sz="8" w:space="0" w:color="auto"/>
              <w:right w:val="single" w:sz="8" w:space="0" w:color="auto"/>
            </w:tcBorders>
            <w:shd w:val="clear" w:color="auto" w:fill="auto"/>
            <w:vAlign w:val="center"/>
            <w:hideMark/>
          </w:tcPr>
          <w:p w14:paraId="526E0803" w14:textId="02EC1B9C"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Cantidad (k</w:t>
            </w:r>
            <w:r w:rsidR="003639EA" w:rsidRPr="00B60E6E">
              <w:rPr>
                <w:rFonts w:ascii="Times New Roman" w:hAnsi="Times New Roman" w:cs="Times New Roman"/>
                <w:color w:val="000000"/>
                <w:sz w:val="24"/>
                <w:szCs w:val="24"/>
                <w:lang w:eastAsia="es-MX"/>
              </w:rPr>
              <w:t>g)</w:t>
            </w:r>
          </w:p>
        </w:tc>
        <w:tc>
          <w:tcPr>
            <w:tcW w:w="1559" w:type="dxa"/>
            <w:tcBorders>
              <w:top w:val="nil"/>
              <w:left w:val="nil"/>
              <w:bottom w:val="single" w:sz="8" w:space="0" w:color="auto"/>
              <w:right w:val="single" w:sz="8" w:space="0" w:color="auto"/>
            </w:tcBorders>
            <w:shd w:val="clear" w:color="auto" w:fill="auto"/>
            <w:vAlign w:val="center"/>
            <w:hideMark/>
          </w:tcPr>
          <w:p w14:paraId="623648C8"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Participación % en cantidad</w:t>
            </w:r>
          </w:p>
        </w:tc>
      </w:tr>
      <w:tr w:rsidR="003639EA" w:rsidRPr="00B60E6E" w14:paraId="76DF98AC" w14:textId="77777777" w:rsidTr="004B672E">
        <w:trPr>
          <w:trHeight w:val="330"/>
          <w:jc w:val="center"/>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41ED6EC4"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Total</w:t>
            </w:r>
          </w:p>
        </w:tc>
        <w:tc>
          <w:tcPr>
            <w:tcW w:w="1260" w:type="dxa"/>
            <w:tcBorders>
              <w:top w:val="nil"/>
              <w:left w:val="nil"/>
              <w:bottom w:val="single" w:sz="8" w:space="0" w:color="auto"/>
              <w:right w:val="single" w:sz="8" w:space="0" w:color="auto"/>
            </w:tcBorders>
            <w:shd w:val="clear" w:color="auto" w:fill="auto"/>
            <w:noWrap/>
            <w:vAlign w:val="center"/>
            <w:hideMark/>
          </w:tcPr>
          <w:p w14:paraId="4CBF39FB"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Total Mundial</w:t>
            </w:r>
          </w:p>
        </w:tc>
        <w:tc>
          <w:tcPr>
            <w:tcW w:w="1778" w:type="dxa"/>
            <w:tcBorders>
              <w:top w:val="nil"/>
              <w:left w:val="nil"/>
              <w:bottom w:val="single" w:sz="8" w:space="0" w:color="auto"/>
              <w:right w:val="single" w:sz="8" w:space="0" w:color="auto"/>
            </w:tcBorders>
            <w:shd w:val="clear" w:color="auto" w:fill="auto"/>
            <w:noWrap/>
            <w:vAlign w:val="center"/>
            <w:hideMark/>
          </w:tcPr>
          <w:p w14:paraId="5F2037C9" w14:textId="7782E441"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39 822 </w:t>
            </w:r>
            <w:r w:rsidR="003639EA" w:rsidRPr="00B60E6E">
              <w:rPr>
                <w:rFonts w:ascii="Times New Roman" w:hAnsi="Times New Roman" w:cs="Times New Roman"/>
                <w:color w:val="000000"/>
                <w:sz w:val="24"/>
                <w:szCs w:val="24"/>
              </w:rPr>
              <w:t xml:space="preserve">909 </w:t>
            </w:r>
          </w:p>
        </w:tc>
        <w:tc>
          <w:tcPr>
            <w:tcW w:w="1418" w:type="dxa"/>
            <w:tcBorders>
              <w:top w:val="nil"/>
              <w:left w:val="nil"/>
              <w:bottom w:val="single" w:sz="8" w:space="0" w:color="auto"/>
              <w:right w:val="single" w:sz="8" w:space="0" w:color="auto"/>
            </w:tcBorders>
            <w:shd w:val="clear" w:color="auto" w:fill="auto"/>
            <w:noWrap/>
            <w:vAlign w:val="center"/>
            <w:hideMark/>
          </w:tcPr>
          <w:p w14:paraId="7208FF8B" w14:textId="0E05E61F"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100.0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5E407C6B" w14:textId="3963DBB7"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2 107 </w:t>
            </w:r>
            <w:r w:rsidR="003639EA" w:rsidRPr="00B60E6E">
              <w:rPr>
                <w:rFonts w:ascii="Times New Roman" w:hAnsi="Times New Roman" w:cs="Times New Roman"/>
                <w:color w:val="000000"/>
                <w:sz w:val="24"/>
                <w:szCs w:val="24"/>
              </w:rPr>
              <w:t>306</w:t>
            </w:r>
          </w:p>
        </w:tc>
        <w:tc>
          <w:tcPr>
            <w:tcW w:w="1451" w:type="dxa"/>
            <w:tcBorders>
              <w:top w:val="nil"/>
              <w:left w:val="nil"/>
              <w:bottom w:val="single" w:sz="8" w:space="0" w:color="auto"/>
              <w:right w:val="single" w:sz="8" w:space="0" w:color="auto"/>
            </w:tcBorders>
            <w:shd w:val="clear" w:color="auto" w:fill="auto"/>
            <w:noWrap/>
            <w:vAlign w:val="center"/>
            <w:hideMark/>
          </w:tcPr>
          <w:p w14:paraId="6AF1F7B3" w14:textId="3F5AA99C"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100.0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843" w:type="dxa"/>
            <w:tcBorders>
              <w:top w:val="nil"/>
              <w:left w:val="nil"/>
              <w:bottom w:val="single" w:sz="8" w:space="0" w:color="auto"/>
              <w:right w:val="single" w:sz="8" w:space="0" w:color="auto"/>
            </w:tcBorders>
            <w:shd w:val="clear" w:color="auto" w:fill="auto"/>
            <w:noWrap/>
            <w:vAlign w:val="center"/>
            <w:hideMark/>
          </w:tcPr>
          <w:p w14:paraId="5FB87E45" w14:textId="1C0FE0BD"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45 980 </w:t>
            </w:r>
            <w:r w:rsidR="003639EA" w:rsidRPr="00B60E6E">
              <w:rPr>
                <w:rFonts w:ascii="Times New Roman" w:hAnsi="Times New Roman" w:cs="Times New Roman"/>
                <w:color w:val="000000"/>
                <w:sz w:val="24"/>
                <w:szCs w:val="24"/>
              </w:rPr>
              <w:t xml:space="preserve">051 </w:t>
            </w:r>
          </w:p>
        </w:tc>
        <w:tc>
          <w:tcPr>
            <w:tcW w:w="1418" w:type="dxa"/>
            <w:tcBorders>
              <w:top w:val="nil"/>
              <w:left w:val="nil"/>
              <w:bottom w:val="single" w:sz="8" w:space="0" w:color="auto"/>
              <w:right w:val="single" w:sz="8" w:space="0" w:color="auto"/>
            </w:tcBorders>
            <w:shd w:val="clear" w:color="auto" w:fill="auto"/>
            <w:noWrap/>
            <w:vAlign w:val="center"/>
            <w:hideMark/>
          </w:tcPr>
          <w:p w14:paraId="43D0FACD" w14:textId="282D661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100.0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43326D3A" w14:textId="772B9126"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2 493 </w:t>
            </w:r>
            <w:r w:rsidR="003639EA" w:rsidRPr="00B60E6E">
              <w:rPr>
                <w:rFonts w:ascii="Times New Roman" w:hAnsi="Times New Roman" w:cs="Times New Roman"/>
                <w:color w:val="000000"/>
                <w:sz w:val="24"/>
                <w:szCs w:val="24"/>
              </w:rPr>
              <w:t>520</w:t>
            </w:r>
          </w:p>
        </w:tc>
        <w:tc>
          <w:tcPr>
            <w:tcW w:w="1559" w:type="dxa"/>
            <w:tcBorders>
              <w:top w:val="nil"/>
              <w:left w:val="nil"/>
              <w:bottom w:val="single" w:sz="8" w:space="0" w:color="auto"/>
              <w:right w:val="single" w:sz="8" w:space="0" w:color="auto"/>
            </w:tcBorders>
            <w:shd w:val="clear" w:color="auto" w:fill="auto"/>
            <w:noWrap/>
            <w:vAlign w:val="center"/>
            <w:hideMark/>
          </w:tcPr>
          <w:p w14:paraId="00953359" w14:textId="3E57A5D9"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100.0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5BBD7C11" w14:textId="77777777" w:rsidTr="004B672E">
        <w:trPr>
          <w:trHeight w:val="330"/>
          <w:jc w:val="center"/>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7AF0F94A"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1</w:t>
            </w:r>
          </w:p>
        </w:tc>
        <w:tc>
          <w:tcPr>
            <w:tcW w:w="1260" w:type="dxa"/>
            <w:tcBorders>
              <w:top w:val="nil"/>
              <w:left w:val="nil"/>
              <w:bottom w:val="single" w:sz="8" w:space="0" w:color="auto"/>
              <w:right w:val="single" w:sz="8" w:space="0" w:color="auto"/>
            </w:tcBorders>
            <w:shd w:val="clear" w:color="auto" w:fill="auto"/>
            <w:noWrap/>
            <w:vAlign w:val="center"/>
            <w:hideMark/>
          </w:tcPr>
          <w:p w14:paraId="09988C8A"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China</w:t>
            </w:r>
          </w:p>
        </w:tc>
        <w:tc>
          <w:tcPr>
            <w:tcW w:w="1778" w:type="dxa"/>
            <w:tcBorders>
              <w:top w:val="nil"/>
              <w:left w:val="nil"/>
              <w:bottom w:val="single" w:sz="8" w:space="0" w:color="auto"/>
              <w:right w:val="single" w:sz="8" w:space="0" w:color="auto"/>
            </w:tcBorders>
            <w:shd w:val="clear" w:color="auto" w:fill="auto"/>
            <w:noWrap/>
            <w:vAlign w:val="center"/>
            <w:hideMark/>
          </w:tcPr>
          <w:p w14:paraId="3C5438F7" w14:textId="69C7540E" w:rsidR="003639EA" w:rsidRPr="00B60E6E" w:rsidRDefault="006106A4" w:rsidP="006106A4">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1 722 </w:t>
            </w:r>
            <w:r w:rsidR="003639EA" w:rsidRPr="00B60E6E">
              <w:rPr>
                <w:rFonts w:ascii="Times New Roman" w:hAnsi="Times New Roman" w:cs="Times New Roman"/>
                <w:color w:val="000000"/>
                <w:sz w:val="24"/>
                <w:szCs w:val="24"/>
              </w:rPr>
              <w:t xml:space="preserve">588 </w:t>
            </w:r>
          </w:p>
        </w:tc>
        <w:tc>
          <w:tcPr>
            <w:tcW w:w="1418" w:type="dxa"/>
            <w:tcBorders>
              <w:top w:val="nil"/>
              <w:left w:val="nil"/>
              <w:bottom w:val="single" w:sz="8" w:space="0" w:color="auto"/>
              <w:right w:val="single" w:sz="8" w:space="0" w:color="auto"/>
            </w:tcBorders>
            <w:shd w:val="clear" w:color="auto" w:fill="auto"/>
            <w:noWrap/>
            <w:vAlign w:val="center"/>
            <w:hideMark/>
          </w:tcPr>
          <w:p w14:paraId="061A235E" w14:textId="1359E95D"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44.8</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33CB7323" w14:textId="1D00EDEC"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916 </w:t>
            </w:r>
            <w:r w:rsidR="003639EA" w:rsidRPr="00B60E6E">
              <w:rPr>
                <w:rFonts w:ascii="Times New Roman" w:hAnsi="Times New Roman" w:cs="Times New Roman"/>
                <w:color w:val="000000"/>
                <w:sz w:val="24"/>
                <w:szCs w:val="24"/>
              </w:rPr>
              <w:t>678</w:t>
            </w:r>
          </w:p>
        </w:tc>
        <w:tc>
          <w:tcPr>
            <w:tcW w:w="1451" w:type="dxa"/>
            <w:tcBorders>
              <w:top w:val="nil"/>
              <w:left w:val="nil"/>
              <w:bottom w:val="single" w:sz="8" w:space="0" w:color="auto"/>
              <w:right w:val="single" w:sz="8" w:space="0" w:color="auto"/>
            </w:tcBorders>
            <w:shd w:val="clear" w:color="auto" w:fill="auto"/>
            <w:noWrap/>
            <w:vAlign w:val="center"/>
            <w:hideMark/>
          </w:tcPr>
          <w:p w14:paraId="1F0CE314" w14:textId="142994F3"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43.5</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843" w:type="dxa"/>
            <w:tcBorders>
              <w:top w:val="nil"/>
              <w:left w:val="nil"/>
              <w:bottom w:val="single" w:sz="8" w:space="0" w:color="auto"/>
              <w:right w:val="single" w:sz="8" w:space="0" w:color="auto"/>
            </w:tcBorders>
            <w:shd w:val="clear" w:color="auto" w:fill="auto"/>
            <w:noWrap/>
            <w:vAlign w:val="center"/>
            <w:hideMark/>
          </w:tcPr>
          <w:p w14:paraId="4C70362E" w14:textId="1F80499B"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19 430 </w:t>
            </w:r>
            <w:r w:rsidR="003639EA" w:rsidRPr="00B60E6E">
              <w:rPr>
                <w:rFonts w:ascii="Times New Roman" w:hAnsi="Times New Roman" w:cs="Times New Roman"/>
                <w:color w:val="000000"/>
                <w:sz w:val="24"/>
                <w:szCs w:val="24"/>
              </w:rPr>
              <w:t xml:space="preserve">039 </w:t>
            </w:r>
          </w:p>
        </w:tc>
        <w:tc>
          <w:tcPr>
            <w:tcW w:w="1418" w:type="dxa"/>
            <w:tcBorders>
              <w:top w:val="nil"/>
              <w:left w:val="nil"/>
              <w:bottom w:val="single" w:sz="8" w:space="0" w:color="auto"/>
              <w:right w:val="single" w:sz="8" w:space="0" w:color="auto"/>
            </w:tcBorders>
            <w:shd w:val="clear" w:color="auto" w:fill="auto"/>
            <w:noWrap/>
            <w:vAlign w:val="center"/>
            <w:hideMark/>
          </w:tcPr>
          <w:p w14:paraId="07DB5A3B" w14:textId="70B13E83"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42.3</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052142E8" w14:textId="734388A0"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1 031 </w:t>
            </w:r>
            <w:r w:rsidR="003639EA" w:rsidRPr="00B60E6E">
              <w:rPr>
                <w:rFonts w:ascii="Times New Roman" w:hAnsi="Times New Roman" w:cs="Times New Roman"/>
                <w:color w:val="000000"/>
                <w:sz w:val="24"/>
                <w:szCs w:val="24"/>
              </w:rPr>
              <w:t>907</w:t>
            </w:r>
          </w:p>
        </w:tc>
        <w:tc>
          <w:tcPr>
            <w:tcW w:w="1559" w:type="dxa"/>
            <w:tcBorders>
              <w:top w:val="nil"/>
              <w:left w:val="nil"/>
              <w:bottom w:val="single" w:sz="8" w:space="0" w:color="auto"/>
              <w:right w:val="single" w:sz="8" w:space="0" w:color="auto"/>
            </w:tcBorders>
            <w:shd w:val="clear" w:color="auto" w:fill="auto"/>
            <w:noWrap/>
            <w:vAlign w:val="center"/>
            <w:hideMark/>
          </w:tcPr>
          <w:p w14:paraId="68107DF8" w14:textId="4382581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41.4</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392508FC" w14:textId="77777777" w:rsidTr="004B672E">
        <w:trPr>
          <w:trHeight w:val="330"/>
          <w:jc w:val="center"/>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0F4D8460" w14:textId="77777777" w:rsidR="003639EA" w:rsidRPr="00B60E6E" w:rsidRDefault="003639EA" w:rsidP="00C26398">
            <w:pPr>
              <w:spacing w:after="0" w:line="240" w:lineRule="auto"/>
              <w:jc w:val="right"/>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lang w:eastAsia="es-MX"/>
              </w:rPr>
              <w:t>2</w:t>
            </w:r>
          </w:p>
        </w:tc>
        <w:tc>
          <w:tcPr>
            <w:tcW w:w="1260" w:type="dxa"/>
            <w:tcBorders>
              <w:top w:val="nil"/>
              <w:left w:val="nil"/>
              <w:bottom w:val="single" w:sz="8" w:space="0" w:color="auto"/>
              <w:right w:val="single" w:sz="8" w:space="0" w:color="auto"/>
            </w:tcBorders>
            <w:shd w:val="clear" w:color="auto" w:fill="auto"/>
            <w:noWrap/>
            <w:vAlign w:val="center"/>
            <w:hideMark/>
          </w:tcPr>
          <w:p w14:paraId="2BDC1571" w14:textId="77777777" w:rsidR="003639EA" w:rsidRPr="00B60E6E" w:rsidRDefault="003639EA" w:rsidP="00C26398">
            <w:pPr>
              <w:spacing w:after="0" w:line="240" w:lineRule="auto"/>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lang w:eastAsia="es-MX"/>
              </w:rPr>
              <w:t>México</w:t>
            </w:r>
          </w:p>
        </w:tc>
        <w:tc>
          <w:tcPr>
            <w:tcW w:w="1778" w:type="dxa"/>
            <w:tcBorders>
              <w:top w:val="nil"/>
              <w:left w:val="nil"/>
              <w:bottom w:val="single" w:sz="8" w:space="0" w:color="auto"/>
              <w:right w:val="single" w:sz="8" w:space="0" w:color="auto"/>
            </w:tcBorders>
            <w:shd w:val="clear" w:color="auto" w:fill="auto"/>
            <w:noWrap/>
            <w:vAlign w:val="center"/>
            <w:hideMark/>
          </w:tcPr>
          <w:p w14:paraId="352F5D3A" w14:textId="5B4983DA" w:rsidR="003639EA" w:rsidRPr="00B60E6E" w:rsidRDefault="003639EA" w:rsidP="00C26398">
            <w:pPr>
              <w:spacing w:after="0" w:line="240" w:lineRule="auto"/>
              <w:jc w:val="right"/>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rPr>
              <w:t xml:space="preserve"> $  </w:t>
            </w:r>
            <w:r w:rsidR="006106A4">
              <w:rPr>
                <w:rFonts w:ascii="Times New Roman" w:hAnsi="Times New Roman" w:cs="Times New Roman"/>
                <w:b/>
                <w:bCs/>
                <w:color w:val="000000"/>
                <w:sz w:val="24"/>
                <w:szCs w:val="24"/>
              </w:rPr>
              <w:t xml:space="preserve">    13 451 </w:t>
            </w:r>
            <w:r w:rsidRPr="00B60E6E">
              <w:rPr>
                <w:rFonts w:ascii="Times New Roman" w:hAnsi="Times New Roman" w:cs="Times New Roman"/>
                <w:b/>
                <w:bCs/>
                <w:color w:val="000000"/>
                <w:sz w:val="24"/>
                <w:szCs w:val="24"/>
              </w:rPr>
              <w:t xml:space="preserve">549 </w:t>
            </w:r>
          </w:p>
        </w:tc>
        <w:tc>
          <w:tcPr>
            <w:tcW w:w="1418" w:type="dxa"/>
            <w:tcBorders>
              <w:top w:val="nil"/>
              <w:left w:val="nil"/>
              <w:bottom w:val="single" w:sz="8" w:space="0" w:color="auto"/>
              <w:right w:val="single" w:sz="8" w:space="0" w:color="auto"/>
            </w:tcBorders>
            <w:shd w:val="clear" w:color="auto" w:fill="auto"/>
            <w:noWrap/>
            <w:vAlign w:val="center"/>
            <w:hideMark/>
          </w:tcPr>
          <w:p w14:paraId="7518575A" w14:textId="7B5A4DCD" w:rsidR="003639EA" w:rsidRPr="00B60E6E" w:rsidRDefault="003639EA" w:rsidP="00C26398">
            <w:pPr>
              <w:spacing w:after="0" w:line="240" w:lineRule="auto"/>
              <w:jc w:val="right"/>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rPr>
              <w:t>33.8</w:t>
            </w:r>
            <w:r w:rsidR="006106A4">
              <w:rPr>
                <w:rFonts w:ascii="Times New Roman" w:hAnsi="Times New Roman" w:cs="Times New Roman"/>
                <w:b/>
                <w:bCs/>
                <w:color w:val="000000"/>
                <w:sz w:val="24"/>
                <w:szCs w:val="24"/>
              </w:rPr>
              <w:t xml:space="preserve"> </w:t>
            </w:r>
            <w:r w:rsidRPr="00B60E6E">
              <w:rPr>
                <w:rFonts w:ascii="Times New Roman" w:hAnsi="Times New Roman" w:cs="Times New Roman"/>
                <w:b/>
                <w:bCs/>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41DC1D5E" w14:textId="29A58A97" w:rsidR="003639EA" w:rsidRPr="00B60E6E" w:rsidRDefault="006106A4" w:rsidP="00C26398">
            <w:pPr>
              <w:spacing w:after="0" w:line="240" w:lineRule="auto"/>
              <w:jc w:val="right"/>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rPr>
              <w:t xml:space="preserve">936 </w:t>
            </w:r>
            <w:r w:rsidR="003639EA" w:rsidRPr="00B60E6E">
              <w:rPr>
                <w:rFonts w:ascii="Times New Roman" w:hAnsi="Times New Roman" w:cs="Times New Roman"/>
                <w:b/>
                <w:bCs/>
                <w:color w:val="000000"/>
                <w:sz w:val="24"/>
                <w:szCs w:val="24"/>
              </w:rPr>
              <w:t>304</w:t>
            </w:r>
          </w:p>
        </w:tc>
        <w:tc>
          <w:tcPr>
            <w:tcW w:w="1451" w:type="dxa"/>
            <w:tcBorders>
              <w:top w:val="nil"/>
              <w:left w:val="nil"/>
              <w:bottom w:val="single" w:sz="8" w:space="0" w:color="auto"/>
              <w:right w:val="single" w:sz="8" w:space="0" w:color="auto"/>
            </w:tcBorders>
            <w:shd w:val="clear" w:color="auto" w:fill="auto"/>
            <w:noWrap/>
            <w:vAlign w:val="center"/>
            <w:hideMark/>
          </w:tcPr>
          <w:p w14:paraId="345F7AC9" w14:textId="1A43F3F7" w:rsidR="003639EA" w:rsidRPr="00B60E6E" w:rsidRDefault="003639EA" w:rsidP="00C26398">
            <w:pPr>
              <w:spacing w:after="0" w:line="240" w:lineRule="auto"/>
              <w:jc w:val="right"/>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rPr>
              <w:t>44.4</w:t>
            </w:r>
            <w:r w:rsidR="006106A4">
              <w:rPr>
                <w:rFonts w:ascii="Times New Roman" w:hAnsi="Times New Roman" w:cs="Times New Roman"/>
                <w:b/>
                <w:bCs/>
                <w:color w:val="000000"/>
                <w:sz w:val="24"/>
                <w:szCs w:val="24"/>
              </w:rPr>
              <w:t xml:space="preserve"> </w:t>
            </w:r>
            <w:r w:rsidRPr="00B60E6E">
              <w:rPr>
                <w:rFonts w:ascii="Times New Roman" w:hAnsi="Times New Roman" w:cs="Times New Roman"/>
                <w:b/>
                <w:bCs/>
                <w:color w:val="000000"/>
                <w:sz w:val="24"/>
                <w:szCs w:val="24"/>
              </w:rPr>
              <w:t>%</w:t>
            </w:r>
          </w:p>
        </w:tc>
        <w:tc>
          <w:tcPr>
            <w:tcW w:w="1843" w:type="dxa"/>
            <w:tcBorders>
              <w:top w:val="nil"/>
              <w:left w:val="nil"/>
              <w:bottom w:val="single" w:sz="8" w:space="0" w:color="auto"/>
              <w:right w:val="single" w:sz="8" w:space="0" w:color="auto"/>
            </w:tcBorders>
            <w:shd w:val="clear" w:color="auto" w:fill="auto"/>
            <w:noWrap/>
            <w:vAlign w:val="center"/>
            <w:hideMark/>
          </w:tcPr>
          <w:p w14:paraId="4DF6507A" w14:textId="7857D63F" w:rsidR="003639EA" w:rsidRPr="00B60E6E" w:rsidRDefault="006106A4" w:rsidP="00C26398">
            <w:pPr>
              <w:spacing w:after="0" w:line="240" w:lineRule="auto"/>
              <w:jc w:val="right"/>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rPr>
              <w:t xml:space="preserve"> $      15 060 </w:t>
            </w:r>
            <w:r w:rsidR="003639EA" w:rsidRPr="00B60E6E">
              <w:rPr>
                <w:rFonts w:ascii="Times New Roman" w:hAnsi="Times New Roman" w:cs="Times New Roman"/>
                <w:b/>
                <w:bCs/>
                <w:color w:val="000000"/>
                <w:sz w:val="24"/>
                <w:szCs w:val="24"/>
              </w:rPr>
              <w:t xml:space="preserve">167 </w:t>
            </w:r>
          </w:p>
        </w:tc>
        <w:tc>
          <w:tcPr>
            <w:tcW w:w="1418" w:type="dxa"/>
            <w:tcBorders>
              <w:top w:val="nil"/>
              <w:left w:val="nil"/>
              <w:bottom w:val="single" w:sz="8" w:space="0" w:color="auto"/>
              <w:right w:val="single" w:sz="8" w:space="0" w:color="auto"/>
            </w:tcBorders>
            <w:shd w:val="clear" w:color="auto" w:fill="auto"/>
            <w:noWrap/>
            <w:vAlign w:val="center"/>
            <w:hideMark/>
          </w:tcPr>
          <w:p w14:paraId="7D7A41E4" w14:textId="5AB82B76" w:rsidR="003639EA" w:rsidRPr="00B60E6E" w:rsidRDefault="003639EA" w:rsidP="00C26398">
            <w:pPr>
              <w:spacing w:after="0" w:line="240" w:lineRule="auto"/>
              <w:jc w:val="right"/>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rPr>
              <w:t>32.8</w:t>
            </w:r>
            <w:r w:rsidR="006106A4">
              <w:rPr>
                <w:rFonts w:ascii="Times New Roman" w:hAnsi="Times New Roman" w:cs="Times New Roman"/>
                <w:b/>
                <w:bCs/>
                <w:color w:val="000000"/>
                <w:sz w:val="24"/>
                <w:szCs w:val="24"/>
              </w:rPr>
              <w:t xml:space="preserve"> </w:t>
            </w:r>
            <w:r w:rsidRPr="00B60E6E">
              <w:rPr>
                <w:rFonts w:ascii="Times New Roman" w:hAnsi="Times New Roman" w:cs="Times New Roman"/>
                <w:b/>
                <w:bCs/>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563EC568" w14:textId="27A9F639" w:rsidR="003639EA" w:rsidRPr="00B60E6E" w:rsidRDefault="006106A4" w:rsidP="00C26398">
            <w:pPr>
              <w:spacing w:after="0" w:line="240" w:lineRule="auto"/>
              <w:jc w:val="right"/>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rPr>
              <w:t xml:space="preserve">1 112 </w:t>
            </w:r>
            <w:r w:rsidR="003639EA" w:rsidRPr="00B60E6E">
              <w:rPr>
                <w:rFonts w:ascii="Times New Roman" w:hAnsi="Times New Roman" w:cs="Times New Roman"/>
                <w:b/>
                <w:bCs/>
                <w:color w:val="000000"/>
                <w:sz w:val="24"/>
                <w:szCs w:val="24"/>
              </w:rPr>
              <w:t>398</w:t>
            </w:r>
          </w:p>
        </w:tc>
        <w:tc>
          <w:tcPr>
            <w:tcW w:w="1559" w:type="dxa"/>
            <w:tcBorders>
              <w:top w:val="nil"/>
              <w:left w:val="nil"/>
              <w:bottom w:val="single" w:sz="8" w:space="0" w:color="auto"/>
              <w:right w:val="single" w:sz="8" w:space="0" w:color="auto"/>
            </w:tcBorders>
            <w:shd w:val="clear" w:color="auto" w:fill="auto"/>
            <w:noWrap/>
            <w:vAlign w:val="center"/>
            <w:hideMark/>
          </w:tcPr>
          <w:p w14:paraId="4128111B" w14:textId="7A793CAB" w:rsidR="003639EA" w:rsidRPr="00B60E6E" w:rsidRDefault="003639EA" w:rsidP="00C26398">
            <w:pPr>
              <w:spacing w:after="0" w:line="240" w:lineRule="auto"/>
              <w:jc w:val="right"/>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rPr>
              <w:t>44.6</w:t>
            </w:r>
            <w:r w:rsidR="006106A4">
              <w:rPr>
                <w:rFonts w:ascii="Times New Roman" w:hAnsi="Times New Roman" w:cs="Times New Roman"/>
                <w:b/>
                <w:bCs/>
                <w:color w:val="000000"/>
                <w:sz w:val="24"/>
                <w:szCs w:val="24"/>
              </w:rPr>
              <w:t xml:space="preserve"> </w:t>
            </w:r>
            <w:r w:rsidRPr="00B60E6E">
              <w:rPr>
                <w:rFonts w:ascii="Times New Roman" w:hAnsi="Times New Roman" w:cs="Times New Roman"/>
                <w:b/>
                <w:bCs/>
                <w:color w:val="000000"/>
                <w:sz w:val="24"/>
                <w:szCs w:val="24"/>
              </w:rPr>
              <w:t>%</w:t>
            </w:r>
          </w:p>
        </w:tc>
      </w:tr>
      <w:tr w:rsidR="003639EA" w:rsidRPr="00B60E6E" w14:paraId="00D71D4A" w14:textId="77777777" w:rsidTr="004B672E">
        <w:trPr>
          <w:trHeight w:val="330"/>
          <w:jc w:val="center"/>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5CD66CA8"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3</w:t>
            </w:r>
          </w:p>
        </w:tc>
        <w:tc>
          <w:tcPr>
            <w:tcW w:w="1260" w:type="dxa"/>
            <w:tcBorders>
              <w:top w:val="nil"/>
              <w:left w:val="nil"/>
              <w:bottom w:val="single" w:sz="8" w:space="0" w:color="auto"/>
              <w:right w:val="single" w:sz="8" w:space="0" w:color="auto"/>
            </w:tcBorders>
            <w:shd w:val="clear" w:color="auto" w:fill="auto"/>
            <w:noWrap/>
            <w:vAlign w:val="center"/>
            <w:hideMark/>
          </w:tcPr>
          <w:p w14:paraId="29136351"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Jamaica</w:t>
            </w:r>
          </w:p>
        </w:tc>
        <w:tc>
          <w:tcPr>
            <w:tcW w:w="1778" w:type="dxa"/>
            <w:tcBorders>
              <w:top w:val="nil"/>
              <w:left w:val="nil"/>
              <w:bottom w:val="single" w:sz="8" w:space="0" w:color="auto"/>
              <w:right w:val="single" w:sz="8" w:space="0" w:color="auto"/>
            </w:tcBorders>
            <w:shd w:val="clear" w:color="auto" w:fill="auto"/>
            <w:noWrap/>
            <w:vAlign w:val="center"/>
            <w:hideMark/>
          </w:tcPr>
          <w:p w14:paraId="67D5DEAF" w14:textId="30AD6EAD"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3 364 </w:t>
            </w:r>
            <w:r w:rsidR="003639EA" w:rsidRPr="00B60E6E">
              <w:rPr>
                <w:rFonts w:ascii="Times New Roman" w:hAnsi="Times New Roman" w:cs="Times New Roman"/>
                <w:color w:val="000000"/>
                <w:sz w:val="24"/>
                <w:szCs w:val="24"/>
              </w:rPr>
              <w:t xml:space="preserve">121 </w:t>
            </w:r>
          </w:p>
        </w:tc>
        <w:tc>
          <w:tcPr>
            <w:tcW w:w="1418" w:type="dxa"/>
            <w:tcBorders>
              <w:top w:val="nil"/>
              <w:left w:val="nil"/>
              <w:bottom w:val="single" w:sz="8" w:space="0" w:color="auto"/>
              <w:right w:val="single" w:sz="8" w:space="0" w:color="auto"/>
            </w:tcBorders>
            <w:shd w:val="clear" w:color="auto" w:fill="auto"/>
            <w:noWrap/>
            <w:vAlign w:val="center"/>
            <w:hideMark/>
          </w:tcPr>
          <w:p w14:paraId="12CCCBA0" w14:textId="5267BA71"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8.4</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55AC69C1" w14:textId="43310225"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76 </w:t>
            </w:r>
            <w:r w:rsidR="003639EA" w:rsidRPr="00B60E6E">
              <w:rPr>
                <w:rFonts w:ascii="Times New Roman" w:hAnsi="Times New Roman" w:cs="Times New Roman"/>
                <w:color w:val="000000"/>
                <w:sz w:val="24"/>
                <w:szCs w:val="24"/>
              </w:rPr>
              <w:t>378</w:t>
            </w:r>
          </w:p>
        </w:tc>
        <w:tc>
          <w:tcPr>
            <w:tcW w:w="1451" w:type="dxa"/>
            <w:tcBorders>
              <w:top w:val="nil"/>
              <w:left w:val="nil"/>
              <w:bottom w:val="single" w:sz="8" w:space="0" w:color="auto"/>
              <w:right w:val="single" w:sz="8" w:space="0" w:color="auto"/>
            </w:tcBorders>
            <w:shd w:val="clear" w:color="auto" w:fill="auto"/>
            <w:noWrap/>
            <w:vAlign w:val="center"/>
            <w:hideMark/>
          </w:tcPr>
          <w:p w14:paraId="5261E688" w14:textId="3BF2FB5C"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3.6</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843" w:type="dxa"/>
            <w:tcBorders>
              <w:top w:val="nil"/>
              <w:left w:val="nil"/>
              <w:bottom w:val="single" w:sz="8" w:space="0" w:color="auto"/>
              <w:right w:val="single" w:sz="8" w:space="0" w:color="auto"/>
            </w:tcBorders>
            <w:shd w:val="clear" w:color="auto" w:fill="auto"/>
            <w:noWrap/>
            <w:vAlign w:val="center"/>
            <w:hideMark/>
          </w:tcPr>
          <w:p w14:paraId="10D5CBF2" w14:textId="4E7C8BE1"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3 955 </w:t>
            </w:r>
            <w:r w:rsidR="003639EA" w:rsidRPr="00B60E6E">
              <w:rPr>
                <w:rFonts w:ascii="Times New Roman" w:hAnsi="Times New Roman" w:cs="Times New Roman"/>
                <w:color w:val="000000"/>
                <w:sz w:val="24"/>
                <w:szCs w:val="24"/>
              </w:rPr>
              <w:t xml:space="preserve">472 </w:t>
            </w:r>
          </w:p>
        </w:tc>
        <w:tc>
          <w:tcPr>
            <w:tcW w:w="1418" w:type="dxa"/>
            <w:tcBorders>
              <w:top w:val="nil"/>
              <w:left w:val="nil"/>
              <w:bottom w:val="single" w:sz="8" w:space="0" w:color="auto"/>
              <w:right w:val="single" w:sz="8" w:space="0" w:color="auto"/>
            </w:tcBorders>
            <w:shd w:val="clear" w:color="auto" w:fill="auto"/>
            <w:noWrap/>
            <w:vAlign w:val="center"/>
            <w:hideMark/>
          </w:tcPr>
          <w:p w14:paraId="74FDC2E6" w14:textId="66684214"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8.6</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462AF667" w14:textId="380AFAA9"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87 </w:t>
            </w:r>
            <w:r w:rsidR="003639EA" w:rsidRPr="00B60E6E">
              <w:rPr>
                <w:rFonts w:ascii="Times New Roman" w:hAnsi="Times New Roman" w:cs="Times New Roman"/>
                <w:color w:val="000000"/>
                <w:sz w:val="24"/>
                <w:szCs w:val="24"/>
              </w:rPr>
              <w:t>962</w:t>
            </w:r>
          </w:p>
        </w:tc>
        <w:tc>
          <w:tcPr>
            <w:tcW w:w="1559" w:type="dxa"/>
            <w:tcBorders>
              <w:top w:val="nil"/>
              <w:left w:val="nil"/>
              <w:bottom w:val="single" w:sz="8" w:space="0" w:color="auto"/>
              <w:right w:val="single" w:sz="8" w:space="0" w:color="auto"/>
            </w:tcBorders>
            <w:shd w:val="clear" w:color="auto" w:fill="auto"/>
            <w:noWrap/>
            <w:vAlign w:val="center"/>
            <w:hideMark/>
          </w:tcPr>
          <w:p w14:paraId="793BA934" w14:textId="18196AAE"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3.5</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257DFB9D" w14:textId="77777777" w:rsidTr="004B672E">
        <w:trPr>
          <w:trHeight w:val="330"/>
          <w:jc w:val="center"/>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578B5ADA"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4</w:t>
            </w:r>
          </w:p>
        </w:tc>
        <w:tc>
          <w:tcPr>
            <w:tcW w:w="1260" w:type="dxa"/>
            <w:tcBorders>
              <w:top w:val="nil"/>
              <w:left w:val="nil"/>
              <w:bottom w:val="single" w:sz="8" w:space="0" w:color="auto"/>
              <w:right w:val="single" w:sz="8" w:space="0" w:color="auto"/>
            </w:tcBorders>
            <w:shd w:val="clear" w:color="auto" w:fill="auto"/>
            <w:noWrap/>
            <w:vAlign w:val="center"/>
            <w:hideMark/>
          </w:tcPr>
          <w:p w14:paraId="1829352A"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Costa Rica</w:t>
            </w:r>
          </w:p>
        </w:tc>
        <w:tc>
          <w:tcPr>
            <w:tcW w:w="1778" w:type="dxa"/>
            <w:tcBorders>
              <w:top w:val="nil"/>
              <w:left w:val="nil"/>
              <w:bottom w:val="single" w:sz="8" w:space="0" w:color="auto"/>
              <w:right w:val="single" w:sz="8" w:space="0" w:color="auto"/>
            </w:tcBorders>
            <w:shd w:val="clear" w:color="auto" w:fill="auto"/>
            <w:noWrap/>
            <w:vAlign w:val="center"/>
            <w:hideMark/>
          </w:tcPr>
          <w:p w14:paraId="7FE954A3" w14:textId="47AD4974"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1 616 </w:t>
            </w:r>
            <w:r w:rsidR="003639EA" w:rsidRPr="00B60E6E">
              <w:rPr>
                <w:rFonts w:ascii="Times New Roman" w:hAnsi="Times New Roman" w:cs="Times New Roman"/>
                <w:color w:val="000000"/>
                <w:sz w:val="24"/>
                <w:szCs w:val="24"/>
              </w:rPr>
              <w:t xml:space="preserve">662 </w:t>
            </w:r>
          </w:p>
        </w:tc>
        <w:tc>
          <w:tcPr>
            <w:tcW w:w="1418" w:type="dxa"/>
            <w:tcBorders>
              <w:top w:val="nil"/>
              <w:left w:val="nil"/>
              <w:bottom w:val="single" w:sz="8" w:space="0" w:color="auto"/>
              <w:right w:val="single" w:sz="8" w:space="0" w:color="auto"/>
            </w:tcBorders>
            <w:shd w:val="clear" w:color="auto" w:fill="auto"/>
            <w:noWrap/>
            <w:vAlign w:val="center"/>
            <w:hideMark/>
          </w:tcPr>
          <w:p w14:paraId="3560DCE3" w14:textId="70685C63"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6006CB0D" w14:textId="4AD500EF"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68 </w:t>
            </w:r>
            <w:r w:rsidR="003639EA" w:rsidRPr="00B60E6E">
              <w:rPr>
                <w:rFonts w:ascii="Times New Roman" w:hAnsi="Times New Roman" w:cs="Times New Roman"/>
                <w:color w:val="000000"/>
                <w:sz w:val="24"/>
                <w:szCs w:val="24"/>
              </w:rPr>
              <w:t>290</w:t>
            </w:r>
          </w:p>
        </w:tc>
        <w:tc>
          <w:tcPr>
            <w:tcW w:w="1451" w:type="dxa"/>
            <w:tcBorders>
              <w:top w:val="nil"/>
              <w:left w:val="nil"/>
              <w:bottom w:val="single" w:sz="8" w:space="0" w:color="auto"/>
              <w:right w:val="single" w:sz="8" w:space="0" w:color="auto"/>
            </w:tcBorders>
            <w:shd w:val="clear" w:color="auto" w:fill="auto"/>
            <w:noWrap/>
            <w:vAlign w:val="center"/>
            <w:hideMark/>
          </w:tcPr>
          <w:p w14:paraId="7FA8A2B6" w14:textId="73A1CDD6"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843" w:type="dxa"/>
            <w:tcBorders>
              <w:top w:val="nil"/>
              <w:left w:val="nil"/>
              <w:bottom w:val="single" w:sz="8" w:space="0" w:color="auto"/>
              <w:right w:val="single" w:sz="8" w:space="0" w:color="auto"/>
            </w:tcBorders>
            <w:shd w:val="clear" w:color="auto" w:fill="auto"/>
            <w:noWrap/>
            <w:vAlign w:val="center"/>
            <w:hideMark/>
          </w:tcPr>
          <w:p w14:paraId="03771D07" w14:textId="6A956A29"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2 593 </w:t>
            </w:r>
            <w:r w:rsidR="003639EA" w:rsidRPr="00B60E6E">
              <w:rPr>
                <w:rFonts w:ascii="Times New Roman" w:hAnsi="Times New Roman" w:cs="Times New Roman"/>
                <w:color w:val="000000"/>
                <w:sz w:val="24"/>
                <w:szCs w:val="24"/>
              </w:rPr>
              <w:t xml:space="preserve">513 </w:t>
            </w:r>
          </w:p>
        </w:tc>
        <w:tc>
          <w:tcPr>
            <w:tcW w:w="1418" w:type="dxa"/>
            <w:tcBorders>
              <w:top w:val="nil"/>
              <w:left w:val="nil"/>
              <w:bottom w:val="single" w:sz="8" w:space="0" w:color="auto"/>
              <w:right w:val="single" w:sz="8" w:space="0" w:color="auto"/>
            </w:tcBorders>
            <w:shd w:val="clear" w:color="auto" w:fill="auto"/>
            <w:noWrap/>
            <w:vAlign w:val="center"/>
            <w:hideMark/>
          </w:tcPr>
          <w:p w14:paraId="0BA1413B" w14:textId="48BBEEE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5.6</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445023F0" w14:textId="41792404"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104 </w:t>
            </w:r>
            <w:r w:rsidR="003639EA" w:rsidRPr="00B60E6E">
              <w:rPr>
                <w:rFonts w:ascii="Times New Roman" w:hAnsi="Times New Roman" w:cs="Times New Roman"/>
                <w:color w:val="000000"/>
                <w:sz w:val="24"/>
                <w:szCs w:val="24"/>
              </w:rPr>
              <w:t>061</w:t>
            </w:r>
          </w:p>
        </w:tc>
        <w:tc>
          <w:tcPr>
            <w:tcW w:w="1559" w:type="dxa"/>
            <w:tcBorders>
              <w:top w:val="nil"/>
              <w:left w:val="nil"/>
              <w:bottom w:val="single" w:sz="8" w:space="0" w:color="auto"/>
              <w:right w:val="single" w:sz="8" w:space="0" w:color="auto"/>
            </w:tcBorders>
            <w:shd w:val="clear" w:color="auto" w:fill="auto"/>
            <w:noWrap/>
            <w:vAlign w:val="center"/>
            <w:hideMark/>
          </w:tcPr>
          <w:p w14:paraId="517F8E2B" w14:textId="221E40BF"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7725B2BA" w14:textId="77777777" w:rsidTr="004B672E">
        <w:trPr>
          <w:trHeight w:val="330"/>
          <w:jc w:val="center"/>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6D2A7067"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5</w:t>
            </w:r>
          </w:p>
        </w:tc>
        <w:tc>
          <w:tcPr>
            <w:tcW w:w="1260" w:type="dxa"/>
            <w:tcBorders>
              <w:top w:val="nil"/>
              <w:left w:val="nil"/>
              <w:bottom w:val="single" w:sz="8" w:space="0" w:color="auto"/>
              <w:right w:val="single" w:sz="8" w:space="0" w:color="auto"/>
            </w:tcBorders>
            <w:shd w:val="clear" w:color="auto" w:fill="auto"/>
            <w:noWrap/>
            <w:vAlign w:val="center"/>
            <w:hideMark/>
          </w:tcPr>
          <w:p w14:paraId="10270C5E"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India</w:t>
            </w:r>
          </w:p>
        </w:tc>
        <w:tc>
          <w:tcPr>
            <w:tcW w:w="1778" w:type="dxa"/>
            <w:tcBorders>
              <w:top w:val="nil"/>
              <w:left w:val="nil"/>
              <w:bottom w:val="single" w:sz="8" w:space="0" w:color="auto"/>
              <w:right w:val="single" w:sz="8" w:space="0" w:color="auto"/>
            </w:tcBorders>
            <w:shd w:val="clear" w:color="auto" w:fill="auto"/>
            <w:noWrap/>
            <w:vAlign w:val="center"/>
            <w:hideMark/>
          </w:tcPr>
          <w:p w14:paraId="451229D2" w14:textId="2687E8A5"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836 </w:t>
            </w:r>
            <w:r w:rsidR="003639EA" w:rsidRPr="00B60E6E">
              <w:rPr>
                <w:rFonts w:ascii="Times New Roman" w:hAnsi="Times New Roman" w:cs="Times New Roman"/>
                <w:color w:val="000000"/>
                <w:sz w:val="24"/>
                <w:szCs w:val="24"/>
              </w:rPr>
              <w:t xml:space="preserve">703 </w:t>
            </w:r>
          </w:p>
        </w:tc>
        <w:tc>
          <w:tcPr>
            <w:tcW w:w="1418" w:type="dxa"/>
            <w:tcBorders>
              <w:top w:val="nil"/>
              <w:left w:val="nil"/>
              <w:bottom w:val="single" w:sz="8" w:space="0" w:color="auto"/>
              <w:right w:val="single" w:sz="8" w:space="0" w:color="auto"/>
            </w:tcBorders>
            <w:shd w:val="clear" w:color="auto" w:fill="auto"/>
            <w:noWrap/>
            <w:vAlign w:val="center"/>
            <w:hideMark/>
          </w:tcPr>
          <w:p w14:paraId="64DB358D" w14:textId="6EAD2BE9"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48A26160" w14:textId="6AF567F5"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18 </w:t>
            </w:r>
            <w:r w:rsidR="003639EA" w:rsidRPr="00B60E6E">
              <w:rPr>
                <w:rFonts w:ascii="Times New Roman" w:hAnsi="Times New Roman" w:cs="Times New Roman"/>
                <w:color w:val="000000"/>
                <w:sz w:val="24"/>
                <w:szCs w:val="24"/>
              </w:rPr>
              <w:t>386</w:t>
            </w:r>
          </w:p>
        </w:tc>
        <w:tc>
          <w:tcPr>
            <w:tcW w:w="1451" w:type="dxa"/>
            <w:tcBorders>
              <w:top w:val="nil"/>
              <w:left w:val="nil"/>
              <w:bottom w:val="single" w:sz="8" w:space="0" w:color="auto"/>
              <w:right w:val="single" w:sz="8" w:space="0" w:color="auto"/>
            </w:tcBorders>
            <w:shd w:val="clear" w:color="auto" w:fill="auto"/>
            <w:noWrap/>
            <w:vAlign w:val="center"/>
            <w:hideMark/>
          </w:tcPr>
          <w:p w14:paraId="187E8315" w14:textId="21628DA5"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0.9</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843" w:type="dxa"/>
            <w:tcBorders>
              <w:top w:val="nil"/>
              <w:left w:val="nil"/>
              <w:bottom w:val="single" w:sz="8" w:space="0" w:color="auto"/>
              <w:right w:val="single" w:sz="8" w:space="0" w:color="auto"/>
            </w:tcBorders>
            <w:shd w:val="clear" w:color="auto" w:fill="auto"/>
            <w:noWrap/>
            <w:vAlign w:val="center"/>
            <w:hideMark/>
          </w:tcPr>
          <w:p w14:paraId="487782FD" w14:textId="037C6090"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1 554 </w:t>
            </w:r>
            <w:r w:rsidR="003639EA" w:rsidRPr="00B60E6E">
              <w:rPr>
                <w:rFonts w:ascii="Times New Roman" w:hAnsi="Times New Roman" w:cs="Times New Roman"/>
                <w:color w:val="000000"/>
                <w:sz w:val="24"/>
                <w:szCs w:val="24"/>
              </w:rPr>
              <w:t xml:space="preserve">280 </w:t>
            </w:r>
          </w:p>
        </w:tc>
        <w:tc>
          <w:tcPr>
            <w:tcW w:w="1418" w:type="dxa"/>
            <w:tcBorders>
              <w:top w:val="nil"/>
              <w:left w:val="nil"/>
              <w:bottom w:val="single" w:sz="8" w:space="0" w:color="auto"/>
              <w:right w:val="single" w:sz="8" w:space="0" w:color="auto"/>
            </w:tcBorders>
            <w:shd w:val="clear" w:color="auto" w:fill="auto"/>
            <w:noWrap/>
            <w:vAlign w:val="center"/>
            <w:hideMark/>
          </w:tcPr>
          <w:p w14:paraId="2BE8ECE4" w14:textId="6CC8F48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3.4</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21D4BD86" w14:textId="77A7A85D"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28 </w:t>
            </w:r>
            <w:r w:rsidR="003639EA" w:rsidRPr="00B60E6E">
              <w:rPr>
                <w:rFonts w:ascii="Times New Roman" w:hAnsi="Times New Roman" w:cs="Times New Roman"/>
                <w:color w:val="000000"/>
                <w:sz w:val="24"/>
                <w:szCs w:val="24"/>
              </w:rPr>
              <w:t>086</w:t>
            </w:r>
          </w:p>
        </w:tc>
        <w:tc>
          <w:tcPr>
            <w:tcW w:w="1559" w:type="dxa"/>
            <w:tcBorders>
              <w:top w:val="nil"/>
              <w:left w:val="nil"/>
              <w:bottom w:val="single" w:sz="8" w:space="0" w:color="auto"/>
              <w:right w:val="single" w:sz="8" w:space="0" w:color="auto"/>
            </w:tcBorders>
            <w:shd w:val="clear" w:color="auto" w:fill="auto"/>
            <w:noWrap/>
            <w:vAlign w:val="center"/>
            <w:hideMark/>
          </w:tcPr>
          <w:p w14:paraId="79777739" w14:textId="7DA6A75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698525FD" w14:textId="77777777" w:rsidTr="004B672E">
        <w:trPr>
          <w:trHeight w:val="330"/>
          <w:jc w:val="center"/>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7C466E7F"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6</w:t>
            </w:r>
          </w:p>
        </w:tc>
        <w:tc>
          <w:tcPr>
            <w:tcW w:w="1260" w:type="dxa"/>
            <w:tcBorders>
              <w:top w:val="nil"/>
              <w:left w:val="nil"/>
              <w:bottom w:val="single" w:sz="8" w:space="0" w:color="auto"/>
              <w:right w:val="single" w:sz="8" w:space="0" w:color="auto"/>
            </w:tcBorders>
            <w:shd w:val="clear" w:color="auto" w:fill="auto"/>
            <w:noWrap/>
            <w:vAlign w:val="center"/>
            <w:hideMark/>
          </w:tcPr>
          <w:p w14:paraId="3509F1C1"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Estados Unidos</w:t>
            </w:r>
          </w:p>
        </w:tc>
        <w:tc>
          <w:tcPr>
            <w:tcW w:w="1778" w:type="dxa"/>
            <w:tcBorders>
              <w:top w:val="nil"/>
              <w:left w:val="nil"/>
              <w:bottom w:val="single" w:sz="8" w:space="0" w:color="auto"/>
              <w:right w:val="single" w:sz="8" w:space="0" w:color="auto"/>
            </w:tcBorders>
            <w:shd w:val="clear" w:color="auto" w:fill="auto"/>
            <w:noWrap/>
            <w:vAlign w:val="center"/>
            <w:hideMark/>
          </w:tcPr>
          <w:p w14:paraId="598C3714" w14:textId="1A6A55E1"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1 187 </w:t>
            </w:r>
            <w:r w:rsidR="003639EA" w:rsidRPr="00B60E6E">
              <w:rPr>
                <w:rFonts w:ascii="Times New Roman" w:hAnsi="Times New Roman" w:cs="Times New Roman"/>
                <w:color w:val="000000"/>
                <w:sz w:val="24"/>
                <w:szCs w:val="24"/>
              </w:rPr>
              <w:t xml:space="preserve">314 </w:t>
            </w:r>
          </w:p>
        </w:tc>
        <w:tc>
          <w:tcPr>
            <w:tcW w:w="1418" w:type="dxa"/>
            <w:tcBorders>
              <w:top w:val="nil"/>
              <w:left w:val="nil"/>
              <w:bottom w:val="single" w:sz="8" w:space="0" w:color="auto"/>
              <w:right w:val="single" w:sz="8" w:space="0" w:color="auto"/>
            </w:tcBorders>
            <w:shd w:val="clear" w:color="auto" w:fill="auto"/>
            <w:noWrap/>
            <w:vAlign w:val="center"/>
            <w:hideMark/>
          </w:tcPr>
          <w:p w14:paraId="7329DC6B" w14:textId="047A83B5"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27F9F321" w14:textId="79EC0C58"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37 </w:t>
            </w:r>
            <w:r w:rsidR="003639EA" w:rsidRPr="00B60E6E">
              <w:rPr>
                <w:rFonts w:ascii="Times New Roman" w:hAnsi="Times New Roman" w:cs="Times New Roman"/>
                <w:color w:val="000000"/>
                <w:sz w:val="24"/>
                <w:szCs w:val="24"/>
              </w:rPr>
              <w:t>234</w:t>
            </w:r>
          </w:p>
        </w:tc>
        <w:tc>
          <w:tcPr>
            <w:tcW w:w="1451" w:type="dxa"/>
            <w:tcBorders>
              <w:top w:val="nil"/>
              <w:left w:val="nil"/>
              <w:bottom w:val="single" w:sz="8" w:space="0" w:color="auto"/>
              <w:right w:val="single" w:sz="8" w:space="0" w:color="auto"/>
            </w:tcBorders>
            <w:shd w:val="clear" w:color="auto" w:fill="auto"/>
            <w:noWrap/>
            <w:vAlign w:val="center"/>
            <w:hideMark/>
          </w:tcPr>
          <w:p w14:paraId="3AF0EF03" w14:textId="5CE0B301"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1.8</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843" w:type="dxa"/>
            <w:tcBorders>
              <w:top w:val="nil"/>
              <w:left w:val="nil"/>
              <w:bottom w:val="single" w:sz="8" w:space="0" w:color="auto"/>
              <w:right w:val="single" w:sz="8" w:space="0" w:color="auto"/>
            </w:tcBorders>
            <w:shd w:val="clear" w:color="auto" w:fill="auto"/>
            <w:noWrap/>
            <w:vAlign w:val="center"/>
            <w:hideMark/>
          </w:tcPr>
          <w:p w14:paraId="480E1E81" w14:textId="37748395"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864 </w:t>
            </w:r>
            <w:r w:rsidR="003639EA" w:rsidRPr="00B60E6E">
              <w:rPr>
                <w:rFonts w:ascii="Times New Roman" w:hAnsi="Times New Roman" w:cs="Times New Roman"/>
                <w:color w:val="000000"/>
                <w:sz w:val="24"/>
                <w:szCs w:val="24"/>
              </w:rPr>
              <w:t xml:space="preserve">758 </w:t>
            </w:r>
          </w:p>
        </w:tc>
        <w:tc>
          <w:tcPr>
            <w:tcW w:w="1418" w:type="dxa"/>
            <w:tcBorders>
              <w:top w:val="nil"/>
              <w:left w:val="nil"/>
              <w:bottom w:val="single" w:sz="8" w:space="0" w:color="auto"/>
              <w:right w:val="single" w:sz="8" w:space="0" w:color="auto"/>
            </w:tcBorders>
            <w:shd w:val="clear" w:color="auto" w:fill="auto"/>
            <w:noWrap/>
            <w:vAlign w:val="center"/>
            <w:hideMark/>
          </w:tcPr>
          <w:p w14:paraId="60B52197" w14:textId="7458B182"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1.9</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1FD678D2" w14:textId="2963DC52"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31 </w:t>
            </w:r>
            <w:r w:rsidR="003639EA" w:rsidRPr="00B60E6E">
              <w:rPr>
                <w:rFonts w:ascii="Times New Roman" w:hAnsi="Times New Roman" w:cs="Times New Roman"/>
                <w:color w:val="000000"/>
                <w:sz w:val="24"/>
                <w:szCs w:val="24"/>
              </w:rPr>
              <w:t>387</w:t>
            </w:r>
          </w:p>
        </w:tc>
        <w:tc>
          <w:tcPr>
            <w:tcW w:w="1559" w:type="dxa"/>
            <w:tcBorders>
              <w:top w:val="nil"/>
              <w:left w:val="nil"/>
              <w:bottom w:val="single" w:sz="8" w:space="0" w:color="auto"/>
              <w:right w:val="single" w:sz="8" w:space="0" w:color="auto"/>
            </w:tcBorders>
            <w:shd w:val="clear" w:color="auto" w:fill="auto"/>
            <w:noWrap/>
            <w:vAlign w:val="center"/>
            <w:hideMark/>
          </w:tcPr>
          <w:p w14:paraId="01E5D766" w14:textId="7D6DB6A6"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1.3</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5F2E9630" w14:textId="77777777" w:rsidTr="004B672E">
        <w:trPr>
          <w:trHeight w:val="330"/>
          <w:jc w:val="center"/>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340F551F"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7</w:t>
            </w:r>
          </w:p>
        </w:tc>
        <w:tc>
          <w:tcPr>
            <w:tcW w:w="1260" w:type="dxa"/>
            <w:tcBorders>
              <w:top w:val="nil"/>
              <w:left w:val="nil"/>
              <w:bottom w:val="single" w:sz="8" w:space="0" w:color="auto"/>
              <w:right w:val="single" w:sz="8" w:space="0" w:color="auto"/>
            </w:tcBorders>
            <w:shd w:val="clear" w:color="auto" w:fill="auto"/>
            <w:noWrap/>
            <w:vAlign w:val="center"/>
            <w:hideMark/>
          </w:tcPr>
          <w:p w14:paraId="4B415A8E"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Taiwán</w:t>
            </w:r>
          </w:p>
        </w:tc>
        <w:tc>
          <w:tcPr>
            <w:tcW w:w="1778" w:type="dxa"/>
            <w:tcBorders>
              <w:top w:val="nil"/>
              <w:left w:val="nil"/>
              <w:bottom w:val="single" w:sz="8" w:space="0" w:color="auto"/>
              <w:right w:val="single" w:sz="8" w:space="0" w:color="auto"/>
            </w:tcBorders>
            <w:shd w:val="clear" w:color="auto" w:fill="auto"/>
            <w:noWrap/>
            <w:vAlign w:val="center"/>
            <w:hideMark/>
          </w:tcPr>
          <w:p w14:paraId="253BE0B0" w14:textId="43D03037"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123 </w:t>
            </w:r>
            <w:r w:rsidR="003639EA" w:rsidRPr="00B60E6E">
              <w:rPr>
                <w:rFonts w:ascii="Times New Roman" w:hAnsi="Times New Roman" w:cs="Times New Roman"/>
                <w:color w:val="000000"/>
                <w:sz w:val="24"/>
                <w:szCs w:val="24"/>
              </w:rPr>
              <w:t xml:space="preserve">681 </w:t>
            </w:r>
          </w:p>
        </w:tc>
        <w:tc>
          <w:tcPr>
            <w:tcW w:w="1418" w:type="dxa"/>
            <w:tcBorders>
              <w:top w:val="nil"/>
              <w:left w:val="nil"/>
              <w:bottom w:val="single" w:sz="8" w:space="0" w:color="auto"/>
              <w:right w:val="single" w:sz="8" w:space="0" w:color="auto"/>
            </w:tcBorders>
            <w:shd w:val="clear" w:color="auto" w:fill="auto"/>
            <w:noWrap/>
            <w:vAlign w:val="center"/>
            <w:hideMark/>
          </w:tcPr>
          <w:p w14:paraId="05279762" w14:textId="6B1B662E"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0.3</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5AE73D1A" w14:textId="46D4A92B"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3</w:t>
            </w:r>
            <w:r w:rsidR="003639EA" w:rsidRPr="00B60E6E">
              <w:rPr>
                <w:rFonts w:ascii="Times New Roman" w:hAnsi="Times New Roman" w:cs="Times New Roman"/>
                <w:color w:val="000000"/>
                <w:sz w:val="24"/>
                <w:szCs w:val="24"/>
              </w:rPr>
              <w:t>709</w:t>
            </w:r>
          </w:p>
        </w:tc>
        <w:tc>
          <w:tcPr>
            <w:tcW w:w="1451" w:type="dxa"/>
            <w:tcBorders>
              <w:top w:val="nil"/>
              <w:left w:val="nil"/>
              <w:bottom w:val="single" w:sz="8" w:space="0" w:color="auto"/>
              <w:right w:val="single" w:sz="8" w:space="0" w:color="auto"/>
            </w:tcBorders>
            <w:shd w:val="clear" w:color="auto" w:fill="auto"/>
            <w:noWrap/>
            <w:vAlign w:val="center"/>
            <w:hideMark/>
          </w:tcPr>
          <w:p w14:paraId="741FF89E" w14:textId="334012D1"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843" w:type="dxa"/>
            <w:tcBorders>
              <w:top w:val="nil"/>
              <w:left w:val="nil"/>
              <w:bottom w:val="single" w:sz="8" w:space="0" w:color="auto"/>
              <w:right w:val="single" w:sz="8" w:space="0" w:color="auto"/>
            </w:tcBorders>
            <w:shd w:val="clear" w:color="auto" w:fill="auto"/>
            <w:noWrap/>
            <w:vAlign w:val="center"/>
            <w:hideMark/>
          </w:tcPr>
          <w:p w14:paraId="0991AE01" w14:textId="755B7CCE"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73 </w:t>
            </w:r>
            <w:r w:rsidR="003639EA" w:rsidRPr="00B60E6E">
              <w:rPr>
                <w:rFonts w:ascii="Times New Roman" w:hAnsi="Times New Roman" w:cs="Times New Roman"/>
                <w:color w:val="000000"/>
                <w:sz w:val="24"/>
                <w:szCs w:val="24"/>
              </w:rPr>
              <w:t xml:space="preserve">281 </w:t>
            </w:r>
          </w:p>
        </w:tc>
        <w:tc>
          <w:tcPr>
            <w:tcW w:w="1418" w:type="dxa"/>
            <w:tcBorders>
              <w:top w:val="nil"/>
              <w:left w:val="nil"/>
              <w:bottom w:val="single" w:sz="8" w:space="0" w:color="auto"/>
              <w:right w:val="single" w:sz="8" w:space="0" w:color="auto"/>
            </w:tcBorders>
            <w:shd w:val="clear" w:color="auto" w:fill="auto"/>
            <w:noWrap/>
            <w:vAlign w:val="center"/>
            <w:hideMark/>
          </w:tcPr>
          <w:p w14:paraId="34CCFF5B" w14:textId="099EAE5C"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376D193B" w14:textId="05F58E5E"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1</w:t>
            </w:r>
            <w:r w:rsidR="003639EA" w:rsidRPr="00B60E6E">
              <w:rPr>
                <w:rFonts w:ascii="Times New Roman" w:hAnsi="Times New Roman" w:cs="Times New Roman"/>
                <w:color w:val="000000"/>
                <w:sz w:val="24"/>
                <w:szCs w:val="24"/>
              </w:rPr>
              <w:t>198</w:t>
            </w:r>
          </w:p>
        </w:tc>
        <w:tc>
          <w:tcPr>
            <w:tcW w:w="1559" w:type="dxa"/>
            <w:tcBorders>
              <w:top w:val="nil"/>
              <w:left w:val="nil"/>
              <w:bottom w:val="single" w:sz="8" w:space="0" w:color="auto"/>
              <w:right w:val="single" w:sz="8" w:space="0" w:color="auto"/>
            </w:tcBorders>
            <w:shd w:val="clear" w:color="auto" w:fill="auto"/>
            <w:noWrap/>
            <w:vAlign w:val="center"/>
            <w:hideMark/>
          </w:tcPr>
          <w:p w14:paraId="6F6DB7BC" w14:textId="7504F19E"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0.05</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4351157C" w14:textId="77777777" w:rsidTr="004B672E">
        <w:trPr>
          <w:trHeight w:val="330"/>
          <w:jc w:val="center"/>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1944A90C"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8</w:t>
            </w:r>
          </w:p>
        </w:tc>
        <w:tc>
          <w:tcPr>
            <w:tcW w:w="1260" w:type="dxa"/>
            <w:tcBorders>
              <w:top w:val="nil"/>
              <w:left w:val="nil"/>
              <w:bottom w:val="single" w:sz="8" w:space="0" w:color="auto"/>
              <w:right w:val="single" w:sz="8" w:space="0" w:color="auto"/>
            </w:tcBorders>
            <w:shd w:val="clear" w:color="auto" w:fill="auto"/>
            <w:noWrap/>
            <w:vAlign w:val="center"/>
            <w:hideMark/>
          </w:tcPr>
          <w:p w14:paraId="7A1603A1"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Ghana</w:t>
            </w:r>
          </w:p>
        </w:tc>
        <w:tc>
          <w:tcPr>
            <w:tcW w:w="1778" w:type="dxa"/>
            <w:tcBorders>
              <w:top w:val="nil"/>
              <w:left w:val="nil"/>
              <w:bottom w:val="single" w:sz="8" w:space="0" w:color="auto"/>
              <w:right w:val="single" w:sz="8" w:space="0" w:color="auto"/>
            </w:tcBorders>
            <w:shd w:val="clear" w:color="auto" w:fill="auto"/>
            <w:noWrap/>
            <w:vAlign w:val="center"/>
            <w:hideMark/>
          </w:tcPr>
          <w:p w14:paraId="39962243" w14:textId="24694420"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5 </w:t>
            </w:r>
            <w:r w:rsidR="003639EA" w:rsidRPr="00B60E6E">
              <w:rPr>
                <w:rFonts w:ascii="Times New Roman" w:hAnsi="Times New Roman" w:cs="Times New Roman"/>
                <w:color w:val="000000"/>
                <w:sz w:val="24"/>
                <w:szCs w:val="24"/>
              </w:rPr>
              <w:t xml:space="preserve">597 </w:t>
            </w:r>
          </w:p>
        </w:tc>
        <w:tc>
          <w:tcPr>
            <w:tcW w:w="1418" w:type="dxa"/>
            <w:tcBorders>
              <w:top w:val="nil"/>
              <w:left w:val="nil"/>
              <w:bottom w:val="single" w:sz="8" w:space="0" w:color="auto"/>
              <w:right w:val="single" w:sz="8" w:space="0" w:color="auto"/>
            </w:tcBorders>
            <w:shd w:val="clear" w:color="auto" w:fill="auto"/>
            <w:noWrap/>
            <w:vAlign w:val="center"/>
            <w:hideMark/>
          </w:tcPr>
          <w:p w14:paraId="4FAD3809" w14:textId="152BF218"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434B86FD"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532</w:t>
            </w:r>
          </w:p>
        </w:tc>
        <w:tc>
          <w:tcPr>
            <w:tcW w:w="1451" w:type="dxa"/>
            <w:tcBorders>
              <w:top w:val="nil"/>
              <w:left w:val="nil"/>
              <w:bottom w:val="single" w:sz="8" w:space="0" w:color="auto"/>
              <w:right w:val="single" w:sz="8" w:space="0" w:color="auto"/>
            </w:tcBorders>
            <w:shd w:val="clear" w:color="auto" w:fill="auto"/>
            <w:noWrap/>
            <w:vAlign w:val="center"/>
            <w:hideMark/>
          </w:tcPr>
          <w:p w14:paraId="438669F5" w14:textId="3C1EB384"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843" w:type="dxa"/>
            <w:tcBorders>
              <w:top w:val="nil"/>
              <w:left w:val="nil"/>
              <w:bottom w:val="single" w:sz="8" w:space="0" w:color="auto"/>
              <w:right w:val="single" w:sz="8" w:space="0" w:color="auto"/>
            </w:tcBorders>
            <w:shd w:val="clear" w:color="auto" w:fill="auto"/>
            <w:noWrap/>
            <w:vAlign w:val="center"/>
            <w:hideMark/>
          </w:tcPr>
          <w:p w14:paraId="169BB1E0" w14:textId="6EF0AD2B"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1 151 </w:t>
            </w:r>
            <w:r w:rsidR="003639EA" w:rsidRPr="00B60E6E">
              <w:rPr>
                <w:rFonts w:ascii="Times New Roman" w:hAnsi="Times New Roman" w:cs="Times New Roman"/>
                <w:color w:val="000000"/>
                <w:sz w:val="24"/>
                <w:szCs w:val="24"/>
              </w:rPr>
              <w:t xml:space="preserve">046 </w:t>
            </w:r>
          </w:p>
        </w:tc>
        <w:tc>
          <w:tcPr>
            <w:tcW w:w="1418" w:type="dxa"/>
            <w:tcBorders>
              <w:top w:val="nil"/>
              <w:left w:val="nil"/>
              <w:bottom w:val="single" w:sz="8" w:space="0" w:color="auto"/>
              <w:right w:val="single" w:sz="8" w:space="0" w:color="auto"/>
            </w:tcBorders>
            <w:shd w:val="clear" w:color="auto" w:fill="auto"/>
            <w:noWrap/>
            <w:vAlign w:val="center"/>
            <w:hideMark/>
          </w:tcPr>
          <w:p w14:paraId="6E0397FE" w14:textId="2793A2B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2.5</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1AEADF44" w14:textId="22AB26D4"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51 </w:t>
            </w:r>
            <w:r w:rsidR="003639EA" w:rsidRPr="00B60E6E">
              <w:rPr>
                <w:rFonts w:ascii="Times New Roman" w:hAnsi="Times New Roman" w:cs="Times New Roman"/>
                <w:color w:val="000000"/>
                <w:sz w:val="24"/>
                <w:szCs w:val="24"/>
              </w:rPr>
              <w:t>729</w:t>
            </w:r>
          </w:p>
        </w:tc>
        <w:tc>
          <w:tcPr>
            <w:tcW w:w="1559" w:type="dxa"/>
            <w:tcBorders>
              <w:top w:val="nil"/>
              <w:left w:val="nil"/>
              <w:bottom w:val="single" w:sz="8" w:space="0" w:color="auto"/>
              <w:right w:val="single" w:sz="8" w:space="0" w:color="auto"/>
            </w:tcBorders>
            <w:shd w:val="clear" w:color="auto" w:fill="auto"/>
            <w:noWrap/>
            <w:vAlign w:val="center"/>
            <w:hideMark/>
          </w:tcPr>
          <w:p w14:paraId="3F83EE13" w14:textId="59B6293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153F7DB2" w14:textId="77777777" w:rsidTr="004B672E">
        <w:trPr>
          <w:trHeight w:val="330"/>
          <w:jc w:val="center"/>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18B213EF"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9</w:t>
            </w:r>
          </w:p>
        </w:tc>
        <w:tc>
          <w:tcPr>
            <w:tcW w:w="1260" w:type="dxa"/>
            <w:tcBorders>
              <w:top w:val="nil"/>
              <w:left w:val="nil"/>
              <w:bottom w:val="single" w:sz="8" w:space="0" w:color="auto"/>
              <w:right w:val="single" w:sz="8" w:space="0" w:color="auto"/>
            </w:tcBorders>
            <w:shd w:val="clear" w:color="auto" w:fill="auto"/>
            <w:noWrap/>
            <w:vAlign w:val="center"/>
            <w:hideMark/>
          </w:tcPr>
          <w:p w14:paraId="02B38228"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Egipto</w:t>
            </w:r>
          </w:p>
        </w:tc>
        <w:tc>
          <w:tcPr>
            <w:tcW w:w="1778" w:type="dxa"/>
            <w:tcBorders>
              <w:top w:val="nil"/>
              <w:left w:val="nil"/>
              <w:bottom w:val="single" w:sz="8" w:space="0" w:color="auto"/>
              <w:right w:val="single" w:sz="8" w:space="0" w:color="auto"/>
            </w:tcBorders>
            <w:shd w:val="clear" w:color="auto" w:fill="auto"/>
            <w:noWrap/>
            <w:vAlign w:val="center"/>
            <w:hideMark/>
          </w:tcPr>
          <w:p w14:paraId="3B94F333" w14:textId="09C54834"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221 </w:t>
            </w:r>
            <w:r w:rsidR="003639EA" w:rsidRPr="00B60E6E">
              <w:rPr>
                <w:rFonts w:ascii="Times New Roman" w:hAnsi="Times New Roman" w:cs="Times New Roman"/>
                <w:color w:val="000000"/>
                <w:sz w:val="24"/>
                <w:szCs w:val="24"/>
              </w:rPr>
              <w:t xml:space="preserve">094 </w:t>
            </w:r>
          </w:p>
        </w:tc>
        <w:tc>
          <w:tcPr>
            <w:tcW w:w="1418" w:type="dxa"/>
            <w:tcBorders>
              <w:top w:val="nil"/>
              <w:left w:val="nil"/>
              <w:bottom w:val="single" w:sz="8" w:space="0" w:color="auto"/>
              <w:right w:val="single" w:sz="8" w:space="0" w:color="auto"/>
            </w:tcBorders>
            <w:shd w:val="clear" w:color="auto" w:fill="auto"/>
            <w:noWrap/>
            <w:vAlign w:val="center"/>
            <w:hideMark/>
          </w:tcPr>
          <w:p w14:paraId="5C42CDFC" w14:textId="51F32E1A"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0.6</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09E520F4" w14:textId="00BBCAAB"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6</w:t>
            </w:r>
            <w:r w:rsidR="003639EA" w:rsidRPr="00B60E6E">
              <w:rPr>
                <w:rFonts w:ascii="Times New Roman" w:hAnsi="Times New Roman" w:cs="Times New Roman"/>
                <w:color w:val="000000"/>
                <w:sz w:val="24"/>
                <w:szCs w:val="24"/>
              </w:rPr>
              <w:t>452</w:t>
            </w:r>
          </w:p>
        </w:tc>
        <w:tc>
          <w:tcPr>
            <w:tcW w:w="1451" w:type="dxa"/>
            <w:tcBorders>
              <w:top w:val="nil"/>
              <w:left w:val="nil"/>
              <w:bottom w:val="single" w:sz="8" w:space="0" w:color="auto"/>
              <w:right w:val="single" w:sz="8" w:space="0" w:color="auto"/>
            </w:tcBorders>
            <w:shd w:val="clear" w:color="auto" w:fill="auto"/>
            <w:noWrap/>
            <w:vAlign w:val="center"/>
            <w:hideMark/>
          </w:tcPr>
          <w:p w14:paraId="362DF367" w14:textId="00D9B5C2"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0.3</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843" w:type="dxa"/>
            <w:tcBorders>
              <w:top w:val="nil"/>
              <w:left w:val="nil"/>
              <w:bottom w:val="single" w:sz="8" w:space="0" w:color="auto"/>
              <w:right w:val="single" w:sz="8" w:space="0" w:color="auto"/>
            </w:tcBorders>
            <w:shd w:val="clear" w:color="auto" w:fill="auto"/>
            <w:noWrap/>
            <w:vAlign w:val="center"/>
            <w:hideMark/>
          </w:tcPr>
          <w:p w14:paraId="1BDF8A31" w14:textId="0447F1B9"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289 </w:t>
            </w:r>
            <w:r w:rsidR="003639EA" w:rsidRPr="00B60E6E">
              <w:rPr>
                <w:rFonts w:ascii="Times New Roman" w:hAnsi="Times New Roman" w:cs="Times New Roman"/>
                <w:color w:val="000000"/>
                <w:sz w:val="24"/>
                <w:szCs w:val="24"/>
              </w:rPr>
              <w:t xml:space="preserve">720 </w:t>
            </w:r>
          </w:p>
        </w:tc>
        <w:tc>
          <w:tcPr>
            <w:tcW w:w="1418" w:type="dxa"/>
            <w:tcBorders>
              <w:top w:val="nil"/>
              <w:left w:val="nil"/>
              <w:bottom w:val="single" w:sz="8" w:space="0" w:color="auto"/>
              <w:right w:val="single" w:sz="8" w:space="0" w:color="auto"/>
            </w:tcBorders>
            <w:shd w:val="clear" w:color="auto" w:fill="auto"/>
            <w:noWrap/>
            <w:vAlign w:val="center"/>
            <w:hideMark/>
          </w:tcPr>
          <w:p w14:paraId="69C5301F" w14:textId="65D60F29"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0.6</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4CD4098D" w14:textId="0F4F56C7"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8</w:t>
            </w:r>
            <w:r w:rsidR="003639EA" w:rsidRPr="00B60E6E">
              <w:rPr>
                <w:rFonts w:ascii="Times New Roman" w:hAnsi="Times New Roman" w:cs="Times New Roman"/>
                <w:color w:val="000000"/>
                <w:sz w:val="24"/>
                <w:szCs w:val="24"/>
              </w:rPr>
              <w:t>673</w:t>
            </w:r>
          </w:p>
        </w:tc>
        <w:tc>
          <w:tcPr>
            <w:tcW w:w="1559" w:type="dxa"/>
            <w:tcBorders>
              <w:top w:val="nil"/>
              <w:left w:val="nil"/>
              <w:bottom w:val="single" w:sz="8" w:space="0" w:color="auto"/>
              <w:right w:val="single" w:sz="8" w:space="0" w:color="auto"/>
            </w:tcBorders>
            <w:shd w:val="clear" w:color="auto" w:fill="auto"/>
            <w:noWrap/>
            <w:vAlign w:val="center"/>
            <w:hideMark/>
          </w:tcPr>
          <w:p w14:paraId="7D7F3C76" w14:textId="3C5815B2"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0.3</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4030E8EB" w14:textId="77777777" w:rsidTr="004B672E">
        <w:trPr>
          <w:trHeight w:val="330"/>
          <w:jc w:val="center"/>
        </w:trPr>
        <w:tc>
          <w:tcPr>
            <w:tcW w:w="647" w:type="dxa"/>
            <w:tcBorders>
              <w:top w:val="nil"/>
              <w:left w:val="single" w:sz="8" w:space="0" w:color="auto"/>
              <w:bottom w:val="single" w:sz="8" w:space="0" w:color="auto"/>
              <w:right w:val="single" w:sz="8" w:space="0" w:color="auto"/>
            </w:tcBorders>
            <w:shd w:val="clear" w:color="auto" w:fill="auto"/>
            <w:noWrap/>
            <w:vAlign w:val="center"/>
            <w:hideMark/>
          </w:tcPr>
          <w:p w14:paraId="3FC5CED6"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10</w:t>
            </w:r>
          </w:p>
        </w:tc>
        <w:tc>
          <w:tcPr>
            <w:tcW w:w="1260" w:type="dxa"/>
            <w:tcBorders>
              <w:top w:val="nil"/>
              <w:left w:val="nil"/>
              <w:bottom w:val="single" w:sz="8" w:space="0" w:color="auto"/>
              <w:right w:val="single" w:sz="8" w:space="0" w:color="auto"/>
            </w:tcBorders>
            <w:shd w:val="clear" w:color="auto" w:fill="auto"/>
            <w:noWrap/>
            <w:vAlign w:val="center"/>
            <w:hideMark/>
          </w:tcPr>
          <w:p w14:paraId="229CB1EC"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Bangladesh</w:t>
            </w:r>
          </w:p>
        </w:tc>
        <w:tc>
          <w:tcPr>
            <w:tcW w:w="1778" w:type="dxa"/>
            <w:tcBorders>
              <w:top w:val="nil"/>
              <w:left w:val="nil"/>
              <w:bottom w:val="single" w:sz="8" w:space="0" w:color="auto"/>
              <w:right w:val="single" w:sz="8" w:space="0" w:color="auto"/>
            </w:tcBorders>
            <w:shd w:val="clear" w:color="auto" w:fill="auto"/>
            <w:noWrap/>
            <w:vAlign w:val="center"/>
            <w:hideMark/>
          </w:tcPr>
          <w:p w14:paraId="70627DD4" w14:textId="1EF09161"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 xml:space="preserve"> $                </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 xml:space="preserve">     -   </w:t>
            </w:r>
          </w:p>
        </w:tc>
        <w:tc>
          <w:tcPr>
            <w:tcW w:w="1418" w:type="dxa"/>
            <w:tcBorders>
              <w:top w:val="nil"/>
              <w:left w:val="nil"/>
              <w:bottom w:val="single" w:sz="8" w:space="0" w:color="auto"/>
              <w:right w:val="single" w:sz="8" w:space="0" w:color="auto"/>
            </w:tcBorders>
            <w:shd w:val="clear" w:color="auto" w:fill="auto"/>
            <w:noWrap/>
            <w:vAlign w:val="center"/>
            <w:hideMark/>
          </w:tcPr>
          <w:p w14:paraId="0D8218B8" w14:textId="793C7BCD"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52FAF122"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w:t>
            </w:r>
          </w:p>
        </w:tc>
        <w:tc>
          <w:tcPr>
            <w:tcW w:w="1451" w:type="dxa"/>
            <w:tcBorders>
              <w:top w:val="nil"/>
              <w:left w:val="nil"/>
              <w:bottom w:val="single" w:sz="8" w:space="0" w:color="auto"/>
              <w:right w:val="single" w:sz="8" w:space="0" w:color="auto"/>
            </w:tcBorders>
            <w:shd w:val="clear" w:color="auto" w:fill="auto"/>
            <w:noWrap/>
            <w:vAlign w:val="center"/>
            <w:hideMark/>
          </w:tcPr>
          <w:p w14:paraId="0001783A" w14:textId="3B1E8F0C"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843" w:type="dxa"/>
            <w:tcBorders>
              <w:top w:val="nil"/>
              <w:left w:val="nil"/>
              <w:bottom w:val="single" w:sz="8" w:space="0" w:color="auto"/>
              <w:right w:val="single" w:sz="8" w:space="0" w:color="auto"/>
            </w:tcBorders>
            <w:shd w:val="clear" w:color="auto" w:fill="auto"/>
            <w:noWrap/>
            <w:vAlign w:val="center"/>
            <w:hideMark/>
          </w:tcPr>
          <w:p w14:paraId="536DF880" w14:textId="58C74DC5"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 xml:space="preserve"> $             25</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 xml:space="preserve">003 </w:t>
            </w:r>
          </w:p>
        </w:tc>
        <w:tc>
          <w:tcPr>
            <w:tcW w:w="1418" w:type="dxa"/>
            <w:tcBorders>
              <w:top w:val="nil"/>
              <w:left w:val="nil"/>
              <w:bottom w:val="single" w:sz="8" w:space="0" w:color="auto"/>
              <w:right w:val="single" w:sz="8" w:space="0" w:color="auto"/>
            </w:tcBorders>
            <w:shd w:val="clear" w:color="auto" w:fill="auto"/>
            <w:noWrap/>
            <w:vAlign w:val="center"/>
            <w:hideMark/>
          </w:tcPr>
          <w:p w14:paraId="3CE31F84" w14:textId="60107913"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703CEA8F"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768</w:t>
            </w:r>
          </w:p>
        </w:tc>
        <w:tc>
          <w:tcPr>
            <w:tcW w:w="1559" w:type="dxa"/>
            <w:tcBorders>
              <w:top w:val="nil"/>
              <w:left w:val="nil"/>
              <w:bottom w:val="single" w:sz="8" w:space="0" w:color="auto"/>
              <w:right w:val="single" w:sz="8" w:space="0" w:color="auto"/>
            </w:tcBorders>
            <w:shd w:val="clear" w:color="auto" w:fill="auto"/>
            <w:noWrap/>
            <w:vAlign w:val="center"/>
            <w:hideMark/>
          </w:tcPr>
          <w:p w14:paraId="6BFF6775" w14:textId="1A452B0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0.03</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bl>
    <w:p w14:paraId="2F644B20" w14:textId="20C4A50E" w:rsidR="003639EA" w:rsidRPr="00B60E6E" w:rsidRDefault="003639EA" w:rsidP="003639EA">
      <w:pPr>
        <w:spacing w:before="100" w:beforeAutospacing="1" w:after="100" w:afterAutospacing="1" w:line="360" w:lineRule="auto"/>
        <w:jc w:val="center"/>
        <w:rPr>
          <w:rFonts w:ascii="Times New Roman" w:hAnsi="Times New Roman" w:cs="Times New Roman"/>
          <w:b/>
          <w:bCs/>
          <w:smallCaps/>
          <w:color w:val="000000"/>
          <w:sz w:val="24"/>
          <w:szCs w:val="24"/>
          <w:lang w:eastAsia="es-MX"/>
        </w:rPr>
      </w:pPr>
      <w:r w:rsidRPr="00B60E6E">
        <w:rPr>
          <w:rFonts w:ascii="Times New Roman" w:hAnsi="Times New Roman" w:cs="Times New Roman"/>
          <w:sz w:val="24"/>
          <w:szCs w:val="24"/>
        </w:rPr>
        <w:t>Fuente: Elaboración p</w:t>
      </w:r>
      <w:r w:rsidR="006106A4">
        <w:rPr>
          <w:rFonts w:ascii="Times New Roman" w:hAnsi="Times New Roman" w:cs="Times New Roman"/>
          <w:sz w:val="24"/>
          <w:szCs w:val="24"/>
        </w:rPr>
        <w:t>ropia a partir de STATCAN (2017)</w:t>
      </w:r>
    </w:p>
    <w:p w14:paraId="33527A61" w14:textId="77777777" w:rsidR="006106A4" w:rsidRDefault="006106A4" w:rsidP="005508B0">
      <w:pPr>
        <w:pStyle w:val="Ttulo1"/>
        <w:rPr>
          <w:lang w:val="es-ES_tradnl"/>
        </w:rPr>
      </w:pPr>
    </w:p>
    <w:p w14:paraId="7E2DA1E4" w14:textId="77777777" w:rsidR="006106A4" w:rsidRDefault="006106A4" w:rsidP="005508B0">
      <w:pPr>
        <w:pStyle w:val="Ttulo1"/>
        <w:rPr>
          <w:lang w:val="es-ES_tradnl"/>
        </w:rPr>
      </w:pPr>
    </w:p>
    <w:p w14:paraId="24C7B46A" w14:textId="1BD6B43D" w:rsidR="003639EA" w:rsidRPr="006106A4" w:rsidRDefault="003639EA" w:rsidP="006106A4">
      <w:pPr>
        <w:pStyle w:val="Ttulo1"/>
        <w:jc w:val="center"/>
        <w:rPr>
          <w:bCs/>
          <w:lang w:val="es-ES_tradnl"/>
        </w:rPr>
      </w:pPr>
      <w:r w:rsidRPr="006106A4">
        <w:rPr>
          <w:sz w:val="24"/>
          <w:lang w:val="es-ES_tradnl"/>
        </w:rPr>
        <w:t>Anexo 3.</w:t>
      </w:r>
      <w:r w:rsidRPr="00B60E6E">
        <w:rPr>
          <w:b w:val="0"/>
          <w:bCs/>
          <w:sz w:val="24"/>
        </w:rPr>
        <w:t xml:space="preserve"> Los 10 países que importan más malanga en los Estados Unidos de América, por cantidad y valor económico</w:t>
      </w:r>
      <w:r w:rsidRPr="00B60E6E">
        <w:rPr>
          <w:rStyle w:val="Refdenotaalpie"/>
          <w:b w:val="0"/>
          <w:bCs/>
          <w:sz w:val="24"/>
        </w:rPr>
        <w:footnoteReference w:id="7"/>
      </w:r>
    </w:p>
    <w:tbl>
      <w:tblPr>
        <w:tblW w:w="14024" w:type="dxa"/>
        <w:jc w:val="center"/>
        <w:tblCellMar>
          <w:left w:w="70" w:type="dxa"/>
          <w:right w:w="70" w:type="dxa"/>
        </w:tblCellMar>
        <w:tblLook w:val="04A0" w:firstRow="1" w:lastRow="0" w:firstColumn="1" w:lastColumn="0" w:noHBand="0" w:noVBand="1"/>
      </w:tblPr>
      <w:tblGrid>
        <w:gridCol w:w="699"/>
        <w:gridCol w:w="1418"/>
        <w:gridCol w:w="1842"/>
        <w:gridCol w:w="1418"/>
        <w:gridCol w:w="1100"/>
        <w:gridCol w:w="1451"/>
        <w:gridCol w:w="2127"/>
        <w:gridCol w:w="1417"/>
        <w:gridCol w:w="1134"/>
        <w:gridCol w:w="1418"/>
      </w:tblGrid>
      <w:tr w:rsidR="003639EA" w:rsidRPr="00B60E6E" w14:paraId="557DCAAA" w14:textId="77777777" w:rsidTr="004B672E">
        <w:trPr>
          <w:trHeight w:val="195"/>
          <w:jc w:val="center"/>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11197" w14:textId="77777777" w:rsidR="003639EA" w:rsidRPr="00B60E6E" w:rsidRDefault="003639EA" w:rsidP="00C26398">
            <w:pPr>
              <w:spacing w:after="0" w:line="240" w:lineRule="auto"/>
              <w:jc w:val="center"/>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14:paraId="52EC817B" w14:textId="77777777" w:rsidR="003639EA" w:rsidRPr="00B60E6E" w:rsidRDefault="003639EA" w:rsidP="00C26398">
            <w:pPr>
              <w:spacing w:after="0" w:line="240" w:lineRule="auto"/>
              <w:jc w:val="center"/>
              <w:rPr>
                <w:rFonts w:ascii="Times New Roman" w:hAnsi="Times New Roman" w:cs="Times New Roman"/>
                <w:b/>
                <w:color w:val="000000"/>
                <w:sz w:val="24"/>
                <w:szCs w:val="24"/>
                <w:lang w:eastAsia="es-MX"/>
              </w:rPr>
            </w:pPr>
            <w:r w:rsidRPr="00B60E6E">
              <w:rPr>
                <w:rFonts w:ascii="Times New Roman" w:hAnsi="Times New Roman" w:cs="Times New Roman"/>
                <w:b/>
                <w:color w:val="000000"/>
                <w:sz w:val="24"/>
                <w:szCs w:val="24"/>
                <w:lang w:eastAsia="es-MX"/>
              </w:rPr>
              <w:t> </w:t>
            </w:r>
          </w:p>
        </w:tc>
        <w:tc>
          <w:tcPr>
            <w:tcW w:w="581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6302B4B" w14:textId="77777777" w:rsidR="003639EA" w:rsidRPr="00B60E6E" w:rsidRDefault="003639EA" w:rsidP="00C26398">
            <w:pPr>
              <w:spacing w:after="0" w:line="240" w:lineRule="auto"/>
              <w:jc w:val="center"/>
              <w:rPr>
                <w:rFonts w:ascii="Times New Roman" w:hAnsi="Times New Roman" w:cs="Times New Roman"/>
                <w:b/>
                <w:color w:val="000000"/>
                <w:sz w:val="24"/>
                <w:szCs w:val="24"/>
                <w:lang w:eastAsia="es-MX"/>
              </w:rPr>
            </w:pPr>
            <w:r w:rsidRPr="00B60E6E">
              <w:rPr>
                <w:rFonts w:ascii="Times New Roman" w:hAnsi="Times New Roman" w:cs="Times New Roman"/>
                <w:b/>
                <w:color w:val="000000"/>
                <w:sz w:val="24"/>
                <w:szCs w:val="24"/>
                <w:lang w:eastAsia="es-MX"/>
              </w:rPr>
              <w:t>2015</w:t>
            </w:r>
          </w:p>
        </w:tc>
        <w:tc>
          <w:tcPr>
            <w:tcW w:w="609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0F9AD66" w14:textId="77777777" w:rsidR="003639EA" w:rsidRPr="00B60E6E" w:rsidRDefault="003639EA" w:rsidP="00C26398">
            <w:pPr>
              <w:spacing w:after="0" w:line="240" w:lineRule="auto"/>
              <w:jc w:val="center"/>
              <w:rPr>
                <w:rFonts w:ascii="Times New Roman" w:hAnsi="Times New Roman" w:cs="Times New Roman"/>
                <w:b/>
                <w:color w:val="000000"/>
                <w:sz w:val="24"/>
                <w:szCs w:val="24"/>
                <w:lang w:eastAsia="es-MX"/>
              </w:rPr>
            </w:pPr>
            <w:r w:rsidRPr="00B60E6E">
              <w:rPr>
                <w:rFonts w:ascii="Times New Roman" w:hAnsi="Times New Roman" w:cs="Times New Roman"/>
                <w:b/>
                <w:color w:val="000000"/>
                <w:sz w:val="24"/>
                <w:szCs w:val="24"/>
                <w:lang w:eastAsia="es-MX"/>
              </w:rPr>
              <w:t>2016</w:t>
            </w:r>
          </w:p>
        </w:tc>
      </w:tr>
      <w:tr w:rsidR="003639EA" w:rsidRPr="00B60E6E" w14:paraId="1E53443F" w14:textId="77777777" w:rsidTr="004B672E">
        <w:trPr>
          <w:trHeight w:val="851"/>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14:paraId="55D4C6D4"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Rank</w:t>
            </w:r>
          </w:p>
        </w:tc>
        <w:tc>
          <w:tcPr>
            <w:tcW w:w="1418" w:type="dxa"/>
            <w:tcBorders>
              <w:top w:val="nil"/>
              <w:left w:val="nil"/>
              <w:bottom w:val="single" w:sz="8" w:space="0" w:color="auto"/>
              <w:right w:val="single" w:sz="8" w:space="0" w:color="auto"/>
            </w:tcBorders>
            <w:shd w:val="clear" w:color="auto" w:fill="auto"/>
            <w:noWrap/>
            <w:vAlign w:val="center"/>
            <w:hideMark/>
          </w:tcPr>
          <w:p w14:paraId="5EDCA282"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País</w:t>
            </w:r>
          </w:p>
        </w:tc>
        <w:tc>
          <w:tcPr>
            <w:tcW w:w="1842" w:type="dxa"/>
            <w:tcBorders>
              <w:top w:val="nil"/>
              <w:left w:val="nil"/>
              <w:bottom w:val="single" w:sz="8" w:space="0" w:color="auto"/>
              <w:right w:val="single" w:sz="8" w:space="0" w:color="auto"/>
            </w:tcBorders>
            <w:shd w:val="clear" w:color="auto" w:fill="auto"/>
            <w:vAlign w:val="center"/>
            <w:hideMark/>
          </w:tcPr>
          <w:p w14:paraId="515339DB" w14:textId="5BFC3CAE"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Valor (p</w:t>
            </w:r>
            <w:r w:rsidR="003639EA" w:rsidRPr="00B60E6E">
              <w:rPr>
                <w:rFonts w:ascii="Times New Roman" w:hAnsi="Times New Roman" w:cs="Times New Roman"/>
                <w:color w:val="000000"/>
                <w:sz w:val="24"/>
                <w:szCs w:val="24"/>
                <w:lang w:eastAsia="es-MX"/>
              </w:rPr>
              <w:t>esos mexicanos)</w:t>
            </w:r>
            <w:r w:rsidR="003639EA" w:rsidRPr="00B60E6E">
              <w:rPr>
                <w:rStyle w:val="Refdenotaalpie"/>
                <w:rFonts w:ascii="Times New Roman" w:hAnsi="Times New Roman" w:cs="Times New Roman"/>
                <w:color w:val="000000"/>
                <w:sz w:val="24"/>
                <w:szCs w:val="24"/>
                <w:lang w:eastAsia="es-MX"/>
              </w:rPr>
              <w:footnoteReference w:id="8"/>
            </w:r>
          </w:p>
        </w:tc>
        <w:tc>
          <w:tcPr>
            <w:tcW w:w="1418" w:type="dxa"/>
            <w:tcBorders>
              <w:top w:val="nil"/>
              <w:left w:val="nil"/>
              <w:bottom w:val="single" w:sz="8" w:space="0" w:color="auto"/>
              <w:right w:val="single" w:sz="8" w:space="0" w:color="auto"/>
            </w:tcBorders>
            <w:shd w:val="clear" w:color="auto" w:fill="auto"/>
            <w:vAlign w:val="center"/>
            <w:hideMark/>
          </w:tcPr>
          <w:p w14:paraId="00DF5E3B"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Participación % en valor</w:t>
            </w:r>
          </w:p>
        </w:tc>
        <w:tc>
          <w:tcPr>
            <w:tcW w:w="1100" w:type="dxa"/>
            <w:tcBorders>
              <w:top w:val="nil"/>
              <w:left w:val="nil"/>
              <w:bottom w:val="single" w:sz="8" w:space="0" w:color="auto"/>
              <w:right w:val="single" w:sz="8" w:space="0" w:color="auto"/>
            </w:tcBorders>
            <w:shd w:val="clear" w:color="auto" w:fill="auto"/>
            <w:vAlign w:val="center"/>
            <w:hideMark/>
          </w:tcPr>
          <w:p w14:paraId="142E9E7B" w14:textId="36F6B92F"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Cantidad (k</w:t>
            </w:r>
            <w:r w:rsidR="003639EA" w:rsidRPr="00B60E6E">
              <w:rPr>
                <w:rFonts w:ascii="Times New Roman" w:hAnsi="Times New Roman" w:cs="Times New Roman"/>
                <w:color w:val="000000"/>
                <w:sz w:val="24"/>
                <w:szCs w:val="24"/>
                <w:lang w:eastAsia="es-MX"/>
              </w:rPr>
              <w:t>g)</w:t>
            </w:r>
          </w:p>
        </w:tc>
        <w:tc>
          <w:tcPr>
            <w:tcW w:w="1451" w:type="dxa"/>
            <w:tcBorders>
              <w:top w:val="nil"/>
              <w:left w:val="nil"/>
              <w:bottom w:val="single" w:sz="8" w:space="0" w:color="auto"/>
              <w:right w:val="single" w:sz="8" w:space="0" w:color="auto"/>
            </w:tcBorders>
            <w:shd w:val="clear" w:color="auto" w:fill="auto"/>
            <w:vAlign w:val="center"/>
            <w:hideMark/>
          </w:tcPr>
          <w:p w14:paraId="5B828C21"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Participación % en cantidad</w:t>
            </w:r>
          </w:p>
        </w:tc>
        <w:tc>
          <w:tcPr>
            <w:tcW w:w="2127" w:type="dxa"/>
            <w:tcBorders>
              <w:top w:val="nil"/>
              <w:left w:val="nil"/>
              <w:bottom w:val="single" w:sz="8" w:space="0" w:color="auto"/>
              <w:right w:val="single" w:sz="8" w:space="0" w:color="auto"/>
            </w:tcBorders>
            <w:shd w:val="clear" w:color="auto" w:fill="auto"/>
            <w:vAlign w:val="center"/>
            <w:hideMark/>
          </w:tcPr>
          <w:p w14:paraId="3A46C337" w14:textId="01ACCCE8"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Valor (p</w:t>
            </w:r>
            <w:r w:rsidR="003639EA" w:rsidRPr="00B60E6E">
              <w:rPr>
                <w:rFonts w:ascii="Times New Roman" w:hAnsi="Times New Roman" w:cs="Times New Roman"/>
                <w:color w:val="000000"/>
                <w:sz w:val="24"/>
                <w:szCs w:val="24"/>
                <w:lang w:eastAsia="es-MX"/>
              </w:rPr>
              <w:t>esos mexicanos)</w:t>
            </w:r>
          </w:p>
        </w:tc>
        <w:tc>
          <w:tcPr>
            <w:tcW w:w="1417" w:type="dxa"/>
            <w:tcBorders>
              <w:top w:val="nil"/>
              <w:left w:val="nil"/>
              <w:bottom w:val="single" w:sz="8" w:space="0" w:color="auto"/>
              <w:right w:val="single" w:sz="8" w:space="0" w:color="auto"/>
            </w:tcBorders>
            <w:shd w:val="clear" w:color="auto" w:fill="auto"/>
            <w:vAlign w:val="center"/>
            <w:hideMark/>
          </w:tcPr>
          <w:p w14:paraId="47BBE275"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Participación % en valor</w:t>
            </w:r>
          </w:p>
        </w:tc>
        <w:tc>
          <w:tcPr>
            <w:tcW w:w="1134" w:type="dxa"/>
            <w:tcBorders>
              <w:top w:val="nil"/>
              <w:left w:val="nil"/>
              <w:bottom w:val="single" w:sz="8" w:space="0" w:color="auto"/>
              <w:right w:val="single" w:sz="8" w:space="0" w:color="auto"/>
            </w:tcBorders>
            <w:shd w:val="clear" w:color="auto" w:fill="auto"/>
            <w:vAlign w:val="center"/>
            <w:hideMark/>
          </w:tcPr>
          <w:p w14:paraId="0DEB754E" w14:textId="3248D6B7"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lang w:eastAsia="es-MX"/>
              </w:rPr>
              <w:t>Cantidad (k</w:t>
            </w:r>
            <w:r w:rsidR="003639EA" w:rsidRPr="00B60E6E">
              <w:rPr>
                <w:rFonts w:ascii="Times New Roman" w:hAnsi="Times New Roman" w:cs="Times New Roman"/>
                <w:color w:val="000000"/>
                <w:sz w:val="24"/>
                <w:szCs w:val="24"/>
                <w:lang w:eastAsia="es-MX"/>
              </w:rPr>
              <w:t>g)</w:t>
            </w:r>
          </w:p>
        </w:tc>
        <w:tc>
          <w:tcPr>
            <w:tcW w:w="1418" w:type="dxa"/>
            <w:tcBorders>
              <w:top w:val="nil"/>
              <w:left w:val="nil"/>
              <w:bottom w:val="single" w:sz="8" w:space="0" w:color="auto"/>
              <w:right w:val="single" w:sz="8" w:space="0" w:color="auto"/>
            </w:tcBorders>
            <w:shd w:val="clear" w:color="auto" w:fill="auto"/>
            <w:vAlign w:val="center"/>
            <w:hideMark/>
          </w:tcPr>
          <w:p w14:paraId="1CFFD9CD"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Participación % en cantidad</w:t>
            </w:r>
          </w:p>
        </w:tc>
      </w:tr>
      <w:tr w:rsidR="003639EA" w:rsidRPr="00B60E6E" w14:paraId="64ADEF3A" w14:textId="77777777" w:rsidTr="004B672E">
        <w:trPr>
          <w:trHeight w:val="288"/>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B6DF641"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 </w:t>
            </w:r>
          </w:p>
        </w:tc>
        <w:tc>
          <w:tcPr>
            <w:tcW w:w="1418" w:type="dxa"/>
            <w:tcBorders>
              <w:top w:val="nil"/>
              <w:left w:val="nil"/>
              <w:bottom w:val="single" w:sz="8" w:space="0" w:color="auto"/>
              <w:right w:val="single" w:sz="8" w:space="0" w:color="auto"/>
            </w:tcBorders>
            <w:shd w:val="clear" w:color="auto" w:fill="auto"/>
            <w:noWrap/>
            <w:vAlign w:val="center"/>
            <w:hideMark/>
          </w:tcPr>
          <w:p w14:paraId="448D25DB"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Total Mundial</w:t>
            </w:r>
          </w:p>
        </w:tc>
        <w:tc>
          <w:tcPr>
            <w:tcW w:w="1842" w:type="dxa"/>
            <w:tcBorders>
              <w:top w:val="nil"/>
              <w:left w:val="nil"/>
              <w:bottom w:val="single" w:sz="8" w:space="0" w:color="auto"/>
              <w:right w:val="single" w:sz="8" w:space="0" w:color="auto"/>
            </w:tcBorders>
            <w:shd w:val="clear" w:color="auto" w:fill="auto"/>
            <w:noWrap/>
            <w:vAlign w:val="center"/>
            <w:hideMark/>
          </w:tcPr>
          <w:p w14:paraId="75F22157" w14:textId="3E0A3D6E"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22 616 </w:t>
            </w:r>
            <w:r w:rsidR="003639EA" w:rsidRPr="00B60E6E">
              <w:rPr>
                <w:rFonts w:ascii="Times New Roman" w:hAnsi="Times New Roman" w:cs="Times New Roman"/>
                <w:color w:val="000000"/>
                <w:sz w:val="24"/>
                <w:szCs w:val="24"/>
              </w:rPr>
              <w:t xml:space="preserve">186 </w:t>
            </w:r>
          </w:p>
        </w:tc>
        <w:tc>
          <w:tcPr>
            <w:tcW w:w="1418" w:type="dxa"/>
            <w:tcBorders>
              <w:top w:val="nil"/>
              <w:left w:val="nil"/>
              <w:bottom w:val="single" w:sz="8" w:space="0" w:color="auto"/>
              <w:right w:val="single" w:sz="8" w:space="0" w:color="auto"/>
            </w:tcBorders>
            <w:shd w:val="clear" w:color="auto" w:fill="auto"/>
            <w:noWrap/>
            <w:vAlign w:val="center"/>
            <w:hideMark/>
          </w:tcPr>
          <w:p w14:paraId="64F5FE30" w14:textId="29E38B2A"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100.0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4C2573BE" w14:textId="36499B5D"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1 874 </w:t>
            </w:r>
            <w:r w:rsidR="003639EA" w:rsidRPr="00B60E6E">
              <w:rPr>
                <w:rFonts w:ascii="Times New Roman" w:hAnsi="Times New Roman" w:cs="Times New Roman"/>
                <w:color w:val="000000"/>
                <w:sz w:val="24"/>
                <w:szCs w:val="24"/>
              </w:rPr>
              <w:t>781</w:t>
            </w:r>
          </w:p>
        </w:tc>
        <w:tc>
          <w:tcPr>
            <w:tcW w:w="1451" w:type="dxa"/>
            <w:tcBorders>
              <w:top w:val="nil"/>
              <w:left w:val="nil"/>
              <w:bottom w:val="single" w:sz="8" w:space="0" w:color="auto"/>
              <w:right w:val="single" w:sz="8" w:space="0" w:color="auto"/>
            </w:tcBorders>
            <w:shd w:val="clear" w:color="auto" w:fill="auto"/>
            <w:noWrap/>
            <w:vAlign w:val="center"/>
            <w:hideMark/>
          </w:tcPr>
          <w:p w14:paraId="53D626F9" w14:textId="40DA1A0C"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100.0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59A20E53" w14:textId="2648BB12"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108 </w:t>
            </w:r>
            <w:r w:rsidR="003639EA" w:rsidRPr="00B60E6E">
              <w:rPr>
                <w:rFonts w:ascii="Times New Roman" w:hAnsi="Times New Roman" w:cs="Times New Roman"/>
                <w:color w:val="000000"/>
                <w:sz w:val="24"/>
                <w:szCs w:val="24"/>
              </w:rPr>
              <w:t>502</w:t>
            </w:r>
            <w:r>
              <w:rPr>
                <w:rFonts w:ascii="Times New Roman" w:hAnsi="Times New Roman" w:cs="Times New Roman"/>
                <w:color w:val="000000"/>
                <w:sz w:val="24"/>
                <w:szCs w:val="24"/>
              </w:rPr>
              <w:t xml:space="preserve"> </w:t>
            </w:r>
            <w:r w:rsidR="003639EA" w:rsidRPr="00B60E6E">
              <w:rPr>
                <w:rFonts w:ascii="Times New Roman" w:hAnsi="Times New Roman" w:cs="Times New Roman"/>
                <w:color w:val="000000"/>
                <w:sz w:val="24"/>
                <w:szCs w:val="24"/>
              </w:rPr>
              <w:t xml:space="preserve">290 </w:t>
            </w:r>
          </w:p>
        </w:tc>
        <w:tc>
          <w:tcPr>
            <w:tcW w:w="1417" w:type="dxa"/>
            <w:tcBorders>
              <w:top w:val="nil"/>
              <w:left w:val="nil"/>
              <w:bottom w:val="single" w:sz="8" w:space="0" w:color="auto"/>
              <w:right w:val="single" w:sz="8" w:space="0" w:color="auto"/>
            </w:tcBorders>
            <w:shd w:val="clear" w:color="auto" w:fill="auto"/>
            <w:noWrap/>
            <w:vAlign w:val="center"/>
            <w:hideMark/>
          </w:tcPr>
          <w:p w14:paraId="390C6743" w14:textId="4BB5A8BC"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100.0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2BE23867" w14:textId="36F6BE95"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5 969 </w:t>
            </w:r>
            <w:r w:rsidR="003639EA" w:rsidRPr="00B60E6E">
              <w:rPr>
                <w:rFonts w:ascii="Times New Roman" w:hAnsi="Times New Roman" w:cs="Times New Roman"/>
                <w:color w:val="000000"/>
                <w:sz w:val="24"/>
                <w:szCs w:val="24"/>
              </w:rPr>
              <w:t>668</w:t>
            </w:r>
          </w:p>
        </w:tc>
        <w:tc>
          <w:tcPr>
            <w:tcW w:w="1418" w:type="dxa"/>
            <w:tcBorders>
              <w:top w:val="nil"/>
              <w:left w:val="nil"/>
              <w:bottom w:val="single" w:sz="8" w:space="0" w:color="auto"/>
              <w:right w:val="single" w:sz="8" w:space="0" w:color="auto"/>
            </w:tcBorders>
            <w:shd w:val="clear" w:color="auto" w:fill="auto"/>
            <w:noWrap/>
            <w:vAlign w:val="center"/>
            <w:hideMark/>
          </w:tcPr>
          <w:p w14:paraId="209A90B3" w14:textId="20312E6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100.0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39ED2C1E" w14:textId="77777777" w:rsidTr="004B672E">
        <w:trPr>
          <w:trHeight w:val="13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FBF79DB" w14:textId="77777777" w:rsidR="003639EA" w:rsidRPr="00B60E6E" w:rsidRDefault="003639EA" w:rsidP="00C26398">
            <w:pPr>
              <w:spacing w:after="0" w:line="240" w:lineRule="auto"/>
              <w:ind w:firstLineChars="100" w:firstLine="240"/>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1</w:t>
            </w:r>
          </w:p>
        </w:tc>
        <w:tc>
          <w:tcPr>
            <w:tcW w:w="1418" w:type="dxa"/>
            <w:tcBorders>
              <w:top w:val="nil"/>
              <w:left w:val="nil"/>
              <w:bottom w:val="single" w:sz="8" w:space="0" w:color="auto"/>
              <w:right w:val="single" w:sz="8" w:space="0" w:color="auto"/>
            </w:tcBorders>
            <w:shd w:val="clear" w:color="auto" w:fill="auto"/>
            <w:noWrap/>
            <w:vAlign w:val="center"/>
            <w:hideMark/>
          </w:tcPr>
          <w:p w14:paraId="6FB2B513"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Honduras</w:t>
            </w:r>
          </w:p>
        </w:tc>
        <w:tc>
          <w:tcPr>
            <w:tcW w:w="1842" w:type="dxa"/>
            <w:tcBorders>
              <w:top w:val="nil"/>
              <w:left w:val="nil"/>
              <w:bottom w:val="single" w:sz="8" w:space="0" w:color="auto"/>
              <w:right w:val="single" w:sz="8" w:space="0" w:color="auto"/>
            </w:tcBorders>
            <w:shd w:val="clear" w:color="auto" w:fill="auto"/>
            <w:noWrap/>
            <w:vAlign w:val="center"/>
            <w:hideMark/>
          </w:tcPr>
          <w:p w14:paraId="35D9971C"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 xml:space="preserve"> $                     -   </w:t>
            </w:r>
          </w:p>
        </w:tc>
        <w:tc>
          <w:tcPr>
            <w:tcW w:w="1418" w:type="dxa"/>
            <w:tcBorders>
              <w:top w:val="nil"/>
              <w:left w:val="nil"/>
              <w:bottom w:val="single" w:sz="8" w:space="0" w:color="auto"/>
              <w:right w:val="single" w:sz="8" w:space="0" w:color="auto"/>
            </w:tcBorders>
            <w:shd w:val="clear" w:color="auto" w:fill="auto"/>
            <w:noWrap/>
            <w:vAlign w:val="center"/>
            <w:hideMark/>
          </w:tcPr>
          <w:p w14:paraId="7786D4BA" w14:textId="195E9ACF"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0A9BCF52"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w:t>
            </w:r>
          </w:p>
        </w:tc>
        <w:tc>
          <w:tcPr>
            <w:tcW w:w="1451" w:type="dxa"/>
            <w:tcBorders>
              <w:top w:val="nil"/>
              <w:left w:val="nil"/>
              <w:bottom w:val="single" w:sz="8" w:space="0" w:color="auto"/>
              <w:right w:val="single" w:sz="8" w:space="0" w:color="auto"/>
            </w:tcBorders>
            <w:shd w:val="clear" w:color="auto" w:fill="auto"/>
            <w:noWrap/>
            <w:vAlign w:val="center"/>
            <w:hideMark/>
          </w:tcPr>
          <w:p w14:paraId="166D380F" w14:textId="0A262158"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770C64EC" w14:textId="79368460"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52 846 </w:t>
            </w:r>
            <w:r w:rsidR="003639EA" w:rsidRPr="00B60E6E">
              <w:rPr>
                <w:rFonts w:ascii="Times New Roman" w:hAnsi="Times New Roman" w:cs="Times New Roman"/>
                <w:color w:val="000000"/>
                <w:sz w:val="24"/>
                <w:szCs w:val="24"/>
              </w:rPr>
              <w:t xml:space="preserve">330 </w:t>
            </w:r>
          </w:p>
        </w:tc>
        <w:tc>
          <w:tcPr>
            <w:tcW w:w="1417" w:type="dxa"/>
            <w:tcBorders>
              <w:top w:val="nil"/>
              <w:left w:val="nil"/>
              <w:bottom w:val="single" w:sz="8" w:space="0" w:color="auto"/>
              <w:right w:val="single" w:sz="8" w:space="0" w:color="auto"/>
            </w:tcBorders>
            <w:shd w:val="clear" w:color="auto" w:fill="auto"/>
            <w:noWrap/>
            <w:vAlign w:val="center"/>
            <w:hideMark/>
          </w:tcPr>
          <w:p w14:paraId="3188AAE5" w14:textId="190764E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48.7</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6310E217" w14:textId="055A7ABD"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2 289 </w:t>
            </w:r>
            <w:r w:rsidR="003639EA" w:rsidRPr="00B60E6E">
              <w:rPr>
                <w:rFonts w:ascii="Times New Roman" w:hAnsi="Times New Roman" w:cs="Times New Roman"/>
                <w:color w:val="000000"/>
                <w:sz w:val="24"/>
                <w:szCs w:val="24"/>
              </w:rPr>
              <w:t>530</w:t>
            </w:r>
          </w:p>
        </w:tc>
        <w:tc>
          <w:tcPr>
            <w:tcW w:w="1418" w:type="dxa"/>
            <w:tcBorders>
              <w:top w:val="nil"/>
              <w:left w:val="nil"/>
              <w:bottom w:val="single" w:sz="8" w:space="0" w:color="auto"/>
              <w:right w:val="single" w:sz="8" w:space="0" w:color="auto"/>
            </w:tcBorders>
            <w:shd w:val="clear" w:color="auto" w:fill="auto"/>
            <w:noWrap/>
            <w:vAlign w:val="center"/>
            <w:hideMark/>
          </w:tcPr>
          <w:p w14:paraId="19BE7076" w14:textId="34684BD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38.4</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5845ED6D" w14:textId="77777777" w:rsidTr="004B672E">
        <w:trPr>
          <w:trHeight w:val="226"/>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AC25F27" w14:textId="77777777" w:rsidR="003639EA" w:rsidRPr="00B60E6E" w:rsidRDefault="003639EA" w:rsidP="00C26398">
            <w:pPr>
              <w:spacing w:after="0" w:line="240" w:lineRule="auto"/>
              <w:ind w:firstLineChars="100" w:firstLine="240"/>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2</w:t>
            </w:r>
          </w:p>
        </w:tc>
        <w:tc>
          <w:tcPr>
            <w:tcW w:w="1418" w:type="dxa"/>
            <w:tcBorders>
              <w:top w:val="nil"/>
              <w:left w:val="nil"/>
              <w:bottom w:val="single" w:sz="8" w:space="0" w:color="auto"/>
              <w:right w:val="single" w:sz="8" w:space="0" w:color="auto"/>
            </w:tcBorders>
            <w:shd w:val="clear" w:color="auto" w:fill="auto"/>
            <w:noWrap/>
            <w:vAlign w:val="center"/>
            <w:hideMark/>
          </w:tcPr>
          <w:p w14:paraId="6DC9365A"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Nicaragua</w:t>
            </w:r>
          </w:p>
        </w:tc>
        <w:tc>
          <w:tcPr>
            <w:tcW w:w="1842" w:type="dxa"/>
            <w:tcBorders>
              <w:top w:val="nil"/>
              <w:left w:val="nil"/>
              <w:bottom w:val="single" w:sz="8" w:space="0" w:color="auto"/>
              <w:right w:val="single" w:sz="8" w:space="0" w:color="auto"/>
            </w:tcBorders>
            <w:shd w:val="clear" w:color="auto" w:fill="auto"/>
            <w:noWrap/>
            <w:vAlign w:val="center"/>
            <w:hideMark/>
          </w:tcPr>
          <w:p w14:paraId="5B371D12" w14:textId="2D901EF3"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9 757 </w:t>
            </w:r>
            <w:r w:rsidR="003639EA" w:rsidRPr="00B60E6E">
              <w:rPr>
                <w:rFonts w:ascii="Times New Roman" w:hAnsi="Times New Roman" w:cs="Times New Roman"/>
                <w:color w:val="000000"/>
                <w:sz w:val="24"/>
                <w:szCs w:val="24"/>
              </w:rPr>
              <w:t xml:space="preserve">347 </w:t>
            </w:r>
          </w:p>
        </w:tc>
        <w:tc>
          <w:tcPr>
            <w:tcW w:w="1418" w:type="dxa"/>
            <w:tcBorders>
              <w:top w:val="nil"/>
              <w:left w:val="nil"/>
              <w:bottom w:val="single" w:sz="8" w:space="0" w:color="auto"/>
              <w:right w:val="single" w:sz="8" w:space="0" w:color="auto"/>
            </w:tcBorders>
            <w:shd w:val="clear" w:color="auto" w:fill="auto"/>
            <w:noWrap/>
            <w:vAlign w:val="center"/>
            <w:hideMark/>
          </w:tcPr>
          <w:p w14:paraId="6C631779" w14:textId="5D65B4CA"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43.1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3088784A" w14:textId="6D6EA470"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822 </w:t>
            </w:r>
            <w:r w:rsidR="003639EA" w:rsidRPr="00B60E6E">
              <w:rPr>
                <w:rFonts w:ascii="Times New Roman" w:hAnsi="Times New Roman" w:cs="Times New Roman"/>
                <w:color w:val="000000"/>
                <w:sz w:val="24"/>
                <w:szCs w:val="24"/>
              </w:rPr>
              <w:t>863</w:t>
            </w:r>
          </w:p>
        </w:tc>
        <w:tc>
          <w:tcPr>
            <w:tcW w:w="1451" w:type="dxa"/>
            <w:tcBorders>
              <w:top w:val="nil"/>
              <w:left w:val="nil"/>
              <w:bottom w:val="single" w:sz="8" w:space="0" w:color="auto"/>
              <w:right w:val="single" w:sz="8" w:space="0" w:color="auto"/>
            </w:tcBorders>
            <w:shd w:val="clear" w:color="auto" w:fill="auto"/>
            <w:noWrap/>
            <w:vAlign w:val="center"/>
            <w:hideMark/>
          </w:tcPr>
          <w:p w14:paraId="7E7B881E" w14:textId="73D9DE6B"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43.9</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6421F3E9" w14:textId="0F35FB3F"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42 126 </w:t>
            </w:r>
            <w:r w:rsidR="003639EA" w:rsidRPr="00B60E6E">
              <w:rPr>
                <w:rFonts w:ascii="Times New Roman" w:hAnsi="Times New Roman" w:cs="Times New Roman"/>
                <w:color w:val="000000"/>
                <w:sz w:val="24"/>
                <w:szCs w:val="24"/>
              </w:rPr>
              <w:t xml:space="preserve">525 </w:t>
            </w:r>
          </w:p>
        </w:tc>
        <w:tc>
          <w:tcPr>
            <w:tcW w:w="1417" w:type="dxa"/>
            <w:tcBorders>
              <w:top w:val="nil"/>
              <w:left w:val="nil"/>
              <w:bottom w:val="single" w:sz="8" w:space="0" w:color="auto"/>
              <w:right w:val="single" w:sz="8" w:space="0" w:color="auto"/>
            </w:tcBorders>
            <w:shd w:val="clear" w:color="auto" w:fill="auto"/>
            <w:noWrap/>
            <w:vAlign w:val="center"/>
            <w:hideMark/>
          </w:tcPr>
          <w:p w14:paraId="05972C28" w14:textId="13171974"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38.8</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1385AD56" w14:textId="6682A301"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2 638 </w:t>
            </w:r>
            <w:r w:rsidR="003639EA" w:rsidRPr="00B60E6E">
              <w:rPr>
                <w:rFonts w:ascii="Times New Roman" w:hAnsi="Times New Roman" w:cs="Times New Roman"/>
                <w:color w:val="000000"/>
                <w:sz w:val="24"/>
                <w:szCs w:val="24"/>
              </w:rPr>
              <w:t>618</w:t>
            </w:r>
          </w:p>
        </w:tc>
        <w:tc>
          <w:tcPr>
            <w:tcW w:w="1418" w:type="dxa"/>
            <w:tcBorders>
              <w:top w:val="nil"/>
              <w:left w:val="nil"/>
              <w:bottom w:val="single" w:sz="8" w:space="0" w:color="auto"/>
              <w:right w:val="single" w:sz="8" w:space="0" w:color="auto"/>
            </w:tcBorders>
            <w:shd w:val="clear" w:color="auto" w:fill="auto"/>
            <w:noWrap/>
            <w:vAlign w:val="center"/>
            <w:hideMark/>
          </w:tcPr>
          <w:p w14:paraId="0A577591" w14:textId="3371EB9A"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44.2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0E99CAB2" w14:textId="77777777" w:rsidTr="004B672E">
        <w:trPr>
          <w:trHeight w:val="142"/>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DB25FD1" w14:textId="77777777" w:rsidR="003639EA" w:rsidRPr="00B60E6E" w:rsidRDefault="003639EA" w:rsidP="00C26398">
            <w:pPr>
              <w:spacing w:after="0" w:line="240" w:lineRule="auto"/>
              <w:ind w:firstLineChars="100" w:firstLine="240"/>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3</w:t>
            </w:r>
          </w:p>
        </w:tc>
        <w:tc>
          <w:tcPr>
            <w:tcW w:w="1418" w:type="dxa"/>
            <w:tcBorders>
              <w:top w:val="nil"/>
              <w:left w:val="nil"/>
              <w:bottom w:val="single" w:sz="8" w:space="0" w:color="auto"/>
              <w:right w:val="single" w:sz="8" w:space="0" w:color="auto"/>
            </w:tcBorders>
            <w:shd w:val="clear" w:color="auto" w:fill="auto"/>
            <w:noWrap/>
            <w:vAlign w:val="center"/>
            <w:hideMark/>
          </w:tcPr>
          <w:p w14:paraId="0F129A03"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Costa Rica</w:t>
            </w:r>
          </w:p>
        </w:tc>
        <w:tc>
          <w:tcPr>
            <w:tcW w:w="1842" w:type="dxa"/>
            <w:tcBorders>
              <w:top w:val="nil"/>
              <w:left w:val="nil"/>
              <w:bottom w:val="single" w:sz="8" w:space="0" w:color="auto"/>
              <w:right w:val="single" w:sz="8" w:space="0" w:color="auto"/>
            </w:tcBorders>
            <w:shd w:val="clear" w:color="auto" w:fill="auto"/>
            <w:noWrap/>
            <w:vAlign w:val="center"/>
            <w:hideMark/>
          </w:tcPr>
          <w:p w14:paraId="57AB2AB2" w14:textId="330781A9"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5 045 </w:t>
            </w:r>
            <w:r w:rsidR="003639EA" w:rsidRPr="00B60E6E">
              <w:rPr>
                <w:rFonts w:ascii="Times New Roman" w:hAnsi="Times New Roman" w:cs="Times New Roman"/>
                <w:color w:val="000000"/>
                <w:sz w:val="24"/>
                <w:szCs w:val="24"/>
              </w:rPr>
              <w:t xml:space="preserve">238 </w:t>
            </w:r>
          </w:p>
        </w:tc>
        <w:tc>
          <w:tcPr>
            <w:tcW w:w="1418" w:type="dxa"/>
            <w:tcBorders>
              <w:top w:val="nil"/>
              <w:left w:val="nil"/>
              <w:bottom w:val="single" w:sz="8" w:space="0" w:color="auto"/>
              <w:right w:val="single" w:sz="8" w:space="0" w:color="auto"/>
            </w:tcBorders>
            <w:shd w:val="clear" w:color="auto" w:fill="auto"/>
            <w:noWrap/>
            <w:vAlign w:val="center"/>
            <w:hideMark/>
          </w:tcPr>
          <w:p w14:paraId="5C91E50D" w14:textId="21D58F1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22.3</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640CFD43" w14:textId="175253C8"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246 </w:t>
            </w:r>
            <w:r w:rsidR="003639EA" w:rsidRPr="00B60E6E">
              <w:rPr>
                <w:rFonts w:ascii="Times New Roman" w:hAnsi="Times New Roman" w:cs="Times New Roman"/>
                <w:color w:val="000000"/>
                <w:sz w:val="24"/>
                <w:szCs w:val="24"/>
              </w:rPr>
              <w:t>652</w:t>
            </w:r>
          </w:p>
        </w:tc>
        <w:tc>
          <w:tcPr>
            <w:tcW w:w="1451" w:type="dxa"/>
            <w:tcBorders>
              <w:top w:val="nil"/>
              <w:left w:val="nil"/>
              <w:bottom w:val="single" w:sz="8" w:space="0" w:color="auto"/>
              <w:right w:val="single" w:sz="8" w:space="0" w:color="auto"/>
            </w:tcBorders>
            <w:shd w:val="clear" w:color="auto" w:fill="auto"/>
            <w:noWrap/>
            <w:vAlign w:val="center"/>
            <w:hideMark/>
          </w:tcPr>
          <w:p w14:paraId="615CCF80" w14:textId="0836AA95"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13.2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40914B60" w14:textId="59B59737"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4 739 </w:t>
            </w:r>
            <w:r w:rsidR="003639EA" w:rsidRPr="00B60E6E">
              <w:rPr>
                <w:rFonts w:ascii="Times New Roman" w:hAnsi="Times New Roman" w:cs="Times New Roman"/>
                <w:color w:val="000000"/>
                <w:sz w:val="24"/>
                <w:szCs w:val="24"/>
              </w:rPr>
              <w:t xml:space="preserve">317 </w:t>
            </w:r>
          </w:p>
        </w:tc>
        <w:tc>
          <w:tcPr>
            <w:tcW w:w="1417" w:type="dxa"/>
            <w:tcBorders>
              <w:top w:val="nil"/>
              <w:left w:val="nil"/>
              <w:bottom w:val="single" w:sz="8" w:space="0" w:color="auto"/>
              <w:right w:val="single" w:sz="8" w:space="0" w:color="auto"/>
            </w:tcBorders>
            <w:shd w:val="clear" w:color="auto" w:fill="auto"/>
            <w:noWrap/>
            <w:vAlign w:val="center"/>
            <w:hideMark/>
          </w:tcPr>
          <w:p w14:paraId="21056E9B" w14:textId="3C6C125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4.4</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6870E3C8" w14:textId="05294717"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305 </w:t>
            </w:r>
            <w:r w:rsidR="003639EA" w:rsidRPr="00B60E6E">
              <w:rPr>
                <w:rFonts w:ascii="Times New Roman" w:hAnsi="Times New Roman" w:cs="Times New Roman"/>
                <w:color w:val="000000"/>
                <w:sz w:val="24"/>
                <w:szCs w:val="24"/>
              </w:rPr>
              <w:t>775</w:t>
            </w:r>
          </w:p>
        </w:tc>
        <w:tc>
          <w:tcPr>
            <w:tcW w:w="1418" w:type="dxa"/>
            <w:tcBorders>
              <w:top w:val="nil"/>
              <w:left w:val="nil"/>
              <w:bottom w:val="single" w:sz="8" w:space="0" w:color="auto"/>
              <w:right w:val="single" w:sz="8" w:space="0" w:color="auto"/>
            </w:tcBorders>
            <w:shd w:val="clear" w:color="auto" w:fill="auto"/>
            <w:noWrap/>
            <w:vAlign w:val="center"/>
            <w:hideMark/>
          </w:tcPr>
          <w:p w14:paraId="4DDF67B1" w14:textId="1E2CB03E"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5.1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52ED33A6" w14:textId="77777777" w:rsidTr="004B672E">
        <w:trPr>
          <w:trHeight w:val="222"/>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D01B687" w14:textId="77777777" w:rsidR="003639EA" w:rsidRPr="00B60E6E" w:rsidRDefault="003639EA" w:rsidP="00C26398">
            <w:pPr>
              <w:spacing w:after="0" w:line="240" w:lineRule="auto"/>
              <w:ind w:firstLineChars="100" w:firstLine="240"/>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4</w:t>
            </w:r>
          </w:p>
        </w:tc>
        <w:tc>
          <w:tcPr>
            <w:tcW w:w="1418" w:type="dxa"/>
            <w:tcBorders>
              <w:top w:val="nil"/>
              <w:left w:val="nil"/>
              <w:bottom w:val="single" w:sz="8" w:space="0" w:color="auto"/>
              <w:right w:val="single" w:sz="8" w:space="0" w:color="auto"/>
            </w:tcBorders>
            <w:shd w:val="clear" w:color="auto" w:fill="auto"/>
            <w:noWrap/>
            <w:vAlign w:val="center"/>
            <w:hideMark/>
          </w:tcPr>
          <w:p w14:paraId="05C424CD"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China</w:t>
            </w:r>
          </w:p>
        </w:tc>
        <w:tc>
          <w:tcPr>
            <w:tcW w:w="1842" w:type="dxa"/>
            <w:tcBorders>
              <w:top w:val="nil"/>
              <w:left w:val="nil"/>
              <w:bottom w:val="single" w:sz="8" w:space="0" w:color="auto"/>
              <w:right w:val="single" w:sz="8" w:space="0" w:color="auto"/>
            </w:tcBorders>
            <w:shd w:val="clear" w:color="auto" w:fill="auto"/>
            <w:noWrap/>
            <w:vAlign w:val="center"/>
            <w:hideMark/>
          </w:tcPr>
          <w:p w14:paraId="50C47216" w14:textId="06FB58DE"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4 787 </w:t>
            </w:r>
            <w:r w:rsidR="003639EA" w:rsidRPr="00B60E6E">
              <w:rPr>
                <w:rFonts w:ascii="Times New Roman" w:hAnsi="Times New Roman" w:cs="Times New Roman"/>
                <w:color w:val="000000"/>
                <w:sz w:val="24"/>
                <w:szCs w:val="24"/>
              </w:rPr>
              <w:t xml:space="preserve">568 </w:t>
            </w:r>
          </w:p>
        </w:tc>
        <w:tc>
          <w:tcPr>
            <w:tcW w:w="1418" w:type="dxa"/>
            <w:tcBorders>
              <w:top w:val="nil"/>
              <w:left w:val="nil"/>
              <w:bottom w:val="single" w:sz="8" w:space="0" w:color="auto"/>
              <w:right w:val="single" w:sz="8" w:space="0" w:color="auto"/>
            </w:tcBorders>
            <w:shd w:val="clear" w:color="auto" w:fill="auto"/>
            <w:noWrap/>
            <w:vAlign w:val="center"/>
            <w:hideMark/>
          </w:tcPr>
          <w:p w14:paraId="1B5996E1" w14:textId="18DE1EF3"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21.2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56FDE3E5" w14:textId="708AB69F"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633 </w:t>
            </w:r>
            <w:r w:rsidR="003639EA" w:rsidRPr="00B60E6E">
              <w:rPr>
                <w:rFonts w:ascii="Times New Roman" w:hAnsi="Times New Roman" w:cs="Times New Roman"/>
                <w:color w:val="000000"/>
                <w:sz w:val="24"/>
                <w:szCs w:val="24"/>
              </w:rPr>
              <w:t>732</w:t>
            </w:r>
          </w:p>
        </w:tc>
        <w:tc>
          <w:tcPr>
            <w:tcW w:w="1451" w:type="dxa"/>
            <w:tcBorders>
              <w:top w:val="nil"/>
              <w:left w:val="nil"/>
              <w:bottom w:val="single" w:sz="8" w:space="0" w:color="auto"/>
              <w:right w:val="single" w:sz="8" w:space="0" w:color="auto"/>
            </w:tcBorders>
            <w:shd w:val="clear" w:color="auto" w:fill="auto"/>
            <w:noWrap/>
            <w:vAlign w:val="center"/>
            <w:hideMark/>
          </w:tcPr>
          <w:p w14:paraId="651C9DD5" w14:textId="343AC569"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33.8</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15DFE5D3" w14:textId="48733346"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2 699 </w:t>
            </w:r>
            <w:r w:rsidR="003639EA" w:rsidRPr="00B60E6E">
              <w:rPr>
                <w:rFonts w:ascii="Times New Roman" w:hAnsi="Times New Roman" w:cs="Times New Roman"/>
                <w:color w:val="000000"/>
                <w:sz w:val="24"/>
                <w:szCs w:val="24"/>
              </w:rPr>
              <w:t xml:space="preserve">270 </w:t>
            </w:r>
          </w:p>
        </w:tc>
        <w:tc>
          <w:tcPr>
            <w:tcW w:w="1417" w:type="dxa"/>
            <w:tcBorders>
              <w:top w:val="nil"/>
              <w:left w:val="nil"/>
              <w:bottom w:val="single" w:sz="8" w:space="0" w:color="auto"/>
              <w:right w:val="single" w:sz="8" w:space="0" w:color="auto"/>
            </w:tcBorders>
            <w:shd w:val="clear" w:color="auto" w:fill="auto"/>
            <w:noWrap/>
            <w:vAlign w:val="center"/>
            <w:hideMark/>
          </w:tcPr>
          <w:p w14:paraId="49808347" w14:textId="41C4F808"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2.5</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62391A66" w14:textId="75C8A644"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393 </w:t>
            </w:r>
            <w:r w:rsidR="003639EA" w:rsidRPr="00B60E6E">
              <w:rPr>
                <w:rFonts w:ascii="Times New Roman" w:hAnsi="Times New Roman" w:cs="Times New Roman"/>
                <w:color w:val="000000"/>
                <w:sz w:val="24"/>
                <w:szCs w:val="24"/>
              </w:rPr>
              <w:t>148</w:t>
            </w:r>
          </w:p>
        </w:tc>
        <w:tc>
          <w:tcPr>
            <w:tcW w:w="1418" w:type="dxa"/>
            <w:tcBorders>
              <w:top w:val="nil"/>
              <w:left w:val="nil"/>
              <w:bottom w:val="single" w:sz="8" w:space="0" w:color="auto"/>
              <w:right w:val="single" w:sz="8" w:space="0" w:color="auto"/>
            </w:tcBorders>
            <w:shd w:val="clear" w:color="auto" w:fill="auto"/>
            <w:noWrap/>
            <w:vAlign w:val="center"/>
            <w:hideMark/>
          </w:tcPr>
          <w:p w14:paraId="43B6B291" w14:textId="0ED1B58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6.6</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022F5C56" w14:textId="77777777" w:rsidTr="004B672E">
        <w:trPr>
          <w:trHeight w:val="33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0E35260" w14:textId="77777777" w:rsidR="003639EA" w:rsidRPr="00B60E6E" w:rsidRDefault="003639EA" w:rsidP="00C26398">
            <w:pPr>
              <w:spacing w:after="0" w:line="240" w:lineRule="auto"/>
              <w:ind w:firstLineChars="100" w:firstLine="240"/>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5</w:t>
            </w:r>
          </w:p>
        </w:tc>
        <w:tc>
          <w:tcPr>
            <w:tcW w:w="1418" w:type="dxa"/>
            <w:tcBorders>
              <w:top w:val="nil"/>
              <w:left w:val="nil"/>
              <w:bottom w:val="single" w:sz="8" w:space="0" w:color="auto"/>
              <w:right w:val="single" w:sz="8" w:space="0" w:color="auto"/>
            </w:tcBorders>
            <w:shd w:val="clear" w:color="auto" w:fill="auto"/>
            <w:noWrap/>
            <w:vAlign w:val="center"/>
            <w:hideMark/>
          </w:tcPr>
          <w:p w14:paraId="5BDC1C5E"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Otros: Islas del pacifico.</w:t>
            </w:r>
          </w:p>
        </w:tc>
        <w:tc>
          <w:tcPr>
            <w:tcW w:w="1842" w:type="dxa"/>
            <w:tcBorders>
              <w:top w:val="nil"/>
              <w:left w:val="nil"/>
              <w:bottom w:val="single" w:sz="8" w:space="0" w:color="auto"/>
              <w:right w:val="single" w:sz="8" w:space="0" w:color="auto"/>
            </w:tcBorders>
            <w:shd w:val="clear" w:color="auto" w:fill="auto"/>
            <w:noWrap/>
            <w:vAlign w:val="center"/>
            <w:hideMark/>
          </w:tcPr>
          <w:p w14:paraId="263926C7" w14:textId="38083636"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270 </w:t>
            </w:r>
            <w:r w:rsidR="003639EA" w:rsidRPr="00B60E6E">
              <w:rPr>
                <w:rFonts w:ascii="Times New Roman" w:hAnsi="Times New Roman" w:cs="Times New Roman"/>
                <w:color w:val="000000"/>
                <w:sz w:val="24"/>
                <w:szCs w:val="24"/>
              </w:rPr>
              <w:t xml:space="preserve">912 </w:t>
            </w:r>
          </w:p>
        </w:tc>
        <w:tc>
          <w:tcPr>
            <w:tcW w:w="1418" w:type="dxa"/>
            <w:tcBorders>
              <w:top w:val="nil"/>
              <w:left w:val="nil"/>
              <w:bottom w:val="single" w:sz="8" w:space="0" w:color="auto"/>
              <w:right w:val="single" w:sz="8" w:space="0" w:color="auto"/>
            </w:tcBorders>
            <w:shd w:val="clear" w:color="auto" w:fill="auto"/>
            <w:noWrap/>
            <w:vAlign w:val="center"/>
            <w:hideMark/>
          </w:tcPr>
          <w:p w14:paraId="799177F5" w14:textId="1C56045B"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5CB3DFC6" w14:textId="3BE1C682"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8</w:t>
            </w:r>
            <w:r w:rsidR="003639EA" w:rsidRPr="00B60E6E">
              <w:rPr>
                <w:rFonts w:ascii="Times New Roman" w:hAnsi="Times New Roman" w:cs="Times New Roman"/>
                <w:color w:val="000000"/>
                <w:sz w:val="24"/>
                <w:szCs w:val="24"/>
              </w:rPr>
              <w:t>908</w:t>
            </w:r>
          </w:p>
        </w:tc>
        <w:tc>
          <w:tcPr>
            <w:tcW w:w="1451" w:type="dxa"/>
            <w:tcBorders>
              <w:top w:val="nil"/>
              <w:left w:val="nil"/>
              <w:bottom w:val="single" w:sz="8" w:space="0" w:color="auto"/>
              <w:right w:val="single" w:sz="8" w:space="0" w:color="auto"/>
            </w:tcBorders>
            <w:shd w:val="clear" w:color="auto" w:fill="auto"/>
            <w:noWrap/>
            <w:vAlign w:val="center"/>
            <w:hideMark/>
          </w:tcPr>
          <w:p w14:paraId="7B9C8CD0" w14:textId="4DB41839"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0.5</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3FD2F841" w14:textId="48E9B095"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2 429 </w:t>
            </w:r>
            <w:r w:rsidR="003639EA" w:rsidRPr="00B60E6E">
              <w:rPr>
                <w:rFonts w:ascii="Times New Roman" w:hAnsi="Times New Roman" w:cs="Times New Roman"/>
                <w:color w:val="000000"/>
                <w:sz w:val="24"/>
                <w:szCs w:val="24"/>
              </w:rPr>
              <w:t xml:space="preserve">083 </w:t>
            </w:r>
          </w:p>
        </w:tc>
        <w:tc>
          <w:tcPr>
            <w:tcW w:w="1417" w:type="dxa"/>
            <w:tcBorders>
              <w:top w:val="nil"/>
              <w:left w:val="nil"/>
              <w:bottom w:val="single" w:sz="8" w:space="0" w:color="auto"/>
              <w:right w:val="single" w:sz="8" w:space="0" w:color="auto"/>
            </w:tcBorders>
            <w:shd w:val="clear" w:color="auto" w:fill="auto"/>
            <w:noWrap/>
            <w:vAlign w:val="center"/>
            <w:hideMark/>
          </w:tcPr>
          <w:p w14:paraId="1B8AB6A6" w14:textId="77BA5111"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338DBA66" w14:textId="5AF821C3"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79 </w:t>
            </w:r>
            <w:r w:rsidR="003639EA" w:rsidRPr="00B60E6E">
              <w:rPr>
                <w:rFonts w:ascii="Times New Roman" w:hAnsi="Times New Roman" w:cs="Times New Roman"/>
                <w:color w:val="000000"/>
                <w:sz w:val="24"/>
                <w:szCs w:val="24"/>
              </w:rPr>
              <w:t>942</w:t>
            </w:r>
          </w:p>
        </w:tc>
        <w:tc>
          <w:tcPr>
            <w:tcW w:w="1418" w:type="dxa"/>
            <w:tcBorders>
              <w:top w:val="nil"/>
              <w:left w:val="nil"/>
              <w:bottom w:val="single" w:sz="8" w:space="0" w:color="auto"/>
              <w:right w:val="single" w:sz="8" w:space="0" w:color="auto"/>
            </w:tcBorders>
            <w:shd w:val="clear" w:color="auto" w:fill="auto"/>
            <w:noWrap/>
            <w:vAlign w:val="center"/>
            <w:hideMark/>
          </w:tcPr>
          <w:p w14:paraId="5F34A874" w14:textId="0C896AC5"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1.3</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59AF8D78" w14:textId="77777777" w:rsidTr="004B672E">
        <w:trPr>
          <w:trHeight w:val="330"/>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DF5FBD2" w14:textId="77777777" w:rsidR="003639EA" w:rsidRPr="00B60E6E" w:rsidRDefault="003639EA" w:rsidP="00C26398">
            <w:pPr>
              <w:spacing w:after="0" w:line="240" w:lineRule="auto"/>
              <w:ind w:firstLineChars="200" w:firstLine="480"/>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 </w:t>
            </w:r>
          </w:p>
        </w:tc>
        <w:tc>
          <w:tcPr>
            <w:tcW w:w="1418" w:type="dxa"/>
            <w:tcBorders>
              <w:top w:val="nil"/>
              <w:left w:val="nil"/>
              <w:bottom w:val="single" w:sz="8" w:space="0" w:color="auto"/>
              <w:right w:val="single" w:sz="8" w:space="0" w:color="auto"/>
            </w:tcBorders>
            <w:shd w:val="clear" w:color="auto" w:fill="auto"/>
            <w:noWrap/>
            <w:vAlign w:val="center"/>
            <w:hideMark/>
          </w:tcPr>
          <w:p w14:paraId="10CAAA6B"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Fiyi (!)</w:t>
            </w:r>
          </w:p>
        </w:tc>
        <w:tc>
          <w:tcPr>
            <w:tcW w:w="1842" w:type="dxa"/>
            <w:tcBorders>
              <w:top w:val="nil"/>
              <w:left w:val="nil"/>
              <w:bottom w:val="single" w:sz="8" w:space="0" w:color="auto"/>
              <w:right w:val="single" w:sz="8" w:space="0" w:color="auto"/>
            </w:tcBorders>
            <w:shd w:val="clear" w:color="auto" w:fill="auto"/>
            <w:noWrap/>
            <w:vAlign w:val="center"/>
            <w:hideMark/>
          </w:tcPr>
          <w:p w14:paraId="49F8907B" w14:textId="788593EC"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270 </w:t>
            </w:r>
            <w:r w:rsidR="003639EA" w:rsidRPr="00B60E6E">
              <w:rPr>
                <w:rFonts w:ascii="Times New Roman" w:hAnsi="Times New Roman" w:cs="Times New Roman"/>
                <w:color w:val="000000"/>
                <w:sz w:val="24"/>
                <w:szCs w:val="24"/>
              </w:rPr>
              <w:t xml:space="preserve">912 </w:t>
            </w:r>
          </w:p>
        </w:tc>
        <w:tc>
          <w:tcPr>
            <w:tcW w:w="1418" w:type="dxa"/>
            <w:tcBorders>
              <w:top w:val="nil"/>
              <w:left w:val="nil"/>
              <w:bottom w:val="single" w:sz="8" w:space="0" w:color="auto"/>
              <w:right w:val="single" w:sz="8" w:space="0" w:color="auto"/>
            </w:tcBorders>
            <w:shd w:val="clear" w:color="auto" w:fill="auto"/>
            <w:noWrap/>
            <w:vAlign w:val="center"/>
            <w:hideMark/>
          </w:tcPr>
          <w:p w14:paraId="5FCB8EB5" w14:textId="2AF1D3C1"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1F2E8F4C" w14:textId="2FC758E1"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8</w:t>
            </w:r>
            <w:r w:rsidR="003639EA" w:rsidRPr="00B60E6E">
              <w:rPr>
                <w:rFonts w:ascii="Times New Roman" w:hAnsi="Times New Roman" w:cs="Times New Roman"/>
                <w:color w:val="000000"/>
                <w:sz w:val="24"/>
                <w:szCs w:val="24"/>
              </w:rPr>
              <w:t>908</w:t>
            </w:r>
          </w:p>
        </w:tc>
        <w:tc>
          <w:tcPr>
            <w:tcW w:w="1451" w:type="dxa"/>
            <w:tcBorders>
              <w:top w:val="nil"/>
              <w:left w:val="nil"/>
              <w:bottom w:val="single" w:sz="8" w:space="0" w:color="auto"/>
              <w:right w:val="single" w:sz="8" w:space="0" w:color="auto"/>
            </w:tcBorders>
            <w:shd w:val="clear" w:color="auto" w:fill="auto"/>
            <w:noWrap/>
            <w:vAlign w:val="center"/>
            <w:hideMark/>
          </w:tcPr>
          <w:p w14:paraId="583C0C68" w14:textId="11121CB3"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0.5</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12B4DBA8" w14:textId="3B9D7835"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2 429 </w:t>
            </w:r>
            <w:r w:rsidR="003639EA" w:rsidRPr="00B60E6E">
              <w:rPr>
                <w:rFonts w:ascii="Times New Roman" w:hAnsi="Times New Roman" w:cs="Times New Roman"/>
                <w:color w:val="000000"/>
                <w:sz w:val="24"/>
                <w:szCs w:val="24"/>
              </w:rPr>
              <w:t xml:space="preserve">083 </w:t>
            </w:r>
          </w:p>
        </w:tc>
        <w:tc>
          <w:tcPr>
            <w:tcW w:w="1417" w:type="dxa"/>
            <w:tcBorders>
              <w:top w:val="nil"/>
              <w:left w:val="nil"/>
              <w:bottom w:val="single" w:sz="8" w:space="0" w:color="auto"/>
              <w:right w:val="single" w:sz="8" w:space="0" w:color="auto"/>
            </w:tcBorders>
            <w:shd w:val="clear" w:color="auto" w:fill="auto"/>
            <w:noWrap/>
            <w:vAlign w:val="center"/>
            <w:hideMark/>
          </w:tcPr>
          <w:p w14:paraId="3F5B88C2" w14:textId="5DB4AF6A"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359A5451" w14:textId="52EA4920"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79 </w:t>
            </w:r>
            <w:r w:rsidR="003639EA" w:rsidRPr="00B60E6E">
              <w:rPr>
                <w:rFonts w:ascii="Times New Roman" w:hAnsi="Times New Roman" w:cs="Times New Roman"/>
                <w:color w:val="000000"/>
                <w:sz w:val="24"/>
                <w:szCs w:val="24"/>
              </w:rPr>
              <w:t>942</w:t>
            </w:r>
          </w:p>
        </w:tc>
        <w:tc>
          <w:tcPr>
            <w:tcW w:w="1418" w:type="dxa"/>
            <w:tcBorders>
              <w:top w:val="nil"/>
              <w:left w:val="nil"/>
              <w:bottom w:val="single" w:sz="8" w:space="0" w:color="auto"/>
              <w:right w:val="single" w:sz="8" w:space="0" w:color="auto"/>
            </w:tcBorders>
            <w:shd w:val="clear" w:color="auto" w:fill="auto"/>
            <w:noWrap/>
            <w:vAlign w:val="center"/>
            <w:hideMark/>
          </w:tcPr>
          <w:p w14:paraId="7CA17918" w14:textId="2B5C3C7E"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1.3</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349E0B90" w14:textId="77777777" w:rsidTr="004B672E">
        <w:trPr>
          <w:trHeight w:val="168"/>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ED32942" w14:textId="77777777" w:rsidR="003639EA" w:rsidRPr="00B60E6E" w:rsidRDefault="003639EA" w:rsidP="00C26398">
            <w:pPr>
              <w:spacing w:after="0" w:line="240" w:lineRule="auto"/>
              <w:ind w:firstLineChars="200" w:firstLine="480"/>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 </w:t>
            </w:r>
          </w:p>
        </w:tc>
        <w:tc>
          <w:tcPr>
            <w:tcW w:w="1418" w:type="dxa"/>
            <w:tcBorders>
              <w:top w:val="nil"/>
              <w:left w:val="nil"/>
              <w:bottom w:val="single" w:sz="8" w:space="0" w:color="auto"/>
              <w:right w:val="single" w:sz="8" w:space="0" w:color="auto"/>
            </w:tcBorders>
            <w:shd w:val="clear" w:color="auto" w:fill="auto"/>
            <w:noWrap/>
            <w:vAlign w:val="center"/>
            <w:hideMark/>
          </w:tcPr>
          <w:p w14:paraId="45E29BB3"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Tonga (!)</w:t>
            </w:r>
          </w:p>
        </w:tc>
        <w:tc>
          <w:tcPr>
            <w:tcW w:w="1842" w:type="dxa"/>
            <w:tcBorders>
              <w:top w:val="nil"/>
              <w:left w:val="nil"/>
              <w:bottom w:val="single" w:sz="8" w:space="0" w:color="auto"/>
              <w:right w:val="single" w:sz="8" w:space="0" w:color="auto"/>
            </w:tcBorders>
            <w:shd w:val="clear" w:color="auto" w:fill="auto"/>
            <w:noWrap/>
            <w:vAlign w:val="center"/>
            <w:hideMark/>
          </w:tcPr>
          <w:p w14:paraId="217BE9E3"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 xml:space="preserve"> $                     -   </w:t>
            </w:r>
          </w:p>
        </w:tc>
        <w:tc>
          <w:tcPr>
            <w:tcW w:w="1418" w:type="dxa"/>
            <w:tcBorders>
              <w:top w:val="nil"/>
              <w:left w:val="nil"/>
              <w:bottom w:val="single" w:sz="8" w:space="0" w:color="auto"/>
              <w:right w:val="single" w:sz="8" w:space="0" w:color="auto"/>
            </w:tcBorders>
            <w:shd w:val="clear" w:color="auto" w:fill="auto"/>
            <w:noWrap/>
            <w:vAlign w:val="center"/>
            <w:hideMark/>
          </w:tcPr>
          <w:p w14:paraId="29C8645C" w14:textId="1A554B89"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07BEEE6C"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w:t>
            </w:r>
          </w:p>
        </w:tc>
        <w:tc>
          <w:tcPr>
            <w:tcW w:w="1451" w:type="dxa"/>
            <w:tcBorders>
              <w:top w:val="nil"/>
              <w:left w:val="nil"/>
              <w:bottom w:val="single" w:sz="8" w:space="0" w:color="auto"/>
              <w:right w:val="single" w:sz="8" w:space="0" w:color="auto"/>
            </w:tcBorders>
            <w:shd w:val="clear" w:color="auto" w:fill="auto"/>
            <w:noWrap/>
            <w:vAlign w:val="center"/>
            <w:hideMark/>
          </w:tcPr>
          <w:p w14:paraId="42CD6646" w14:textId="7EE3B845"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5CD95861"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 xml:space="preserve"> $                        -   </w:t>
            </w:r>
          </w:p>
        </w:tc>
        <w:tc>
          <w:tcPr>
            <w:tcW w:w="1417" w:type="dxa"/>
            <w:tcBorders>
              <w:top w:val="nil"/>
              <w:left w:val="nil"/>
              <w:bottom w:val="single" w:sz="8" w:space="0" w:color="auto"/>
              <w:right w:val="single" w:sz="8" w:space="0" w:color="auto"/>
            </w:tcBorders>
            <w:shd w:val="clear" w:color="auto" w:fill="auto"/>
            <w:noWrap/>
            <w:vAlign w:val="center"/>
            <w:hideMark/>
          </w:tcPr>
          <w:p w14:paraId="19206FFC" w14:textId="2ED287E9"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0C74DBDC"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w:t>
            </w:r>
          </w:p>
        </w:tc>
        <w:tc>
          <w:tcPr>
            <w:tcW w:w="1418" w:type="dxa"/>
            <w:tcBorders>
              <w:top w:val="nil"/>
              <w:left w:val="nil"/>
              <w:bottom w:val="single" w:sz="8" w:space="0" w:color="auto"/>
              <w:right w:val="single" w:sz="8" w:space="0" w:color="auto"/>
            </w:tcBorders>
            <w:shd w:val="clear" w:color="auto" w:fill="auto"/>
            <w:noWrap/>
            <w:vAlign w:val="center"/>
            <w:hideMark/>
          </w:tcPr>
          <w:p w14:paraId="7A233B12" w14:textId="6966E496"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1C86EDB5" w14:textId="77777777" w:rsidTr="004B672E">
        <w:trPr>
          <w:trHeight w:val="141"/>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E2E6E0D" w14:textId="77777777" w:rsidR="003639EA" w:rsidRPr="00B60E6E" w:rsidRDefault="003639EA" w:rsidP="00C26398">
            <w:pPr>
              <w:spacing w:after="0" w:line="240" w:lineRule="auto"/>
              <w:ind w:firstLineChars="100" w:firstLine="241"/>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lang w:eastAsia="es-MX"/>
              </w:rPr>
              <w:t>6</w:t>
            </w:r>
          </w:p>
        </w:tc>
        <w:tc>
          <w:tcPr>
            <w:tcW w:w="1418" w:type="dxa"/>
            <w:tcBorders>
              <w:top w:val="nil"/>
              <w:left w:val="nil"/>
              <w:bottom w:val="single" w:sz="8" w:space="0" w:color="auto"/>
              <w:right w:val="single" w:sz="8" w:space="0" w:color="auto"/>
            </w:tcBorders>
            <w:shd w:val="clear" w:color="auto" w:fill="auto"/>
            <w:noWrap/>
            <w:vAlign w:val="center"/>
            <w:hideMark/>
          </w:tcPr>
          <w:p w14:paraId="4640C14A" w14:textId="77777777" w:rsidR="003639EA" w:rsidRPr="00B60E6E" w:rsidRDefault="003639EA" w:rsidP="00C26398">
            <w:pPr>
              <w:spacing w:after="0" w:line="240" w:lineRule="auto"/>
              <w:rPr>
                <w:rFonts w:ascii="Times New Roman" w:hAnsi="Times New Roman" w:cs="Times New Roman"/>
                <w:b/>
                <w:bCs/>
                <w:color w:val="000000"/>
                <w:sz w:val="24"/>
                <w:szCs w:val="24"/>
                <w:lang w:eastAsia="es-MX"/>
              </w:rPr>
            </w:pPr>
            <w:r w:rsidRPr="00B60E6E">
              <w:rPr>
                <w:rFonts w:ascii="Times New Roman" w:hAnsi="Times New Roman" w:cs="Times New Roman"/>
                <w:b/>
                <w:bCs/>
                <w:color w:val="000000"/>
                <w:sz w:val="24"/>
                <w:szCs w:val="24"/>
                <w:lang w:eastAsia="es-MX"/>
              </w:rPr>
              <w:t>México</w:t>
            </w:r>
          </w:p>
        </w:tc>
        <w:tc>
          <w:tcPr>
            <w:tcW w:w="1842" w:type="dxa"/>
            <w:tcBorders>
              <w:top w:val="nil"/>
              <w:left w:val="nil"/>
              <w:bottom w:val="single" w:sz="8" w:space="0" w:color="auto"/>
              <w:right w:val="single" w:sz="8" w:space="0" w:color="auto"/>
            </w:tcBorders>
            <w:shd w:val="clear" w:color="auto" w:fill="auto"/>
            <w:noWrap/>
            <w:vAlign w:val="center"/>
            <w:hideMark/>
          </w:tcPr>
          <w:p w14:paraId="3D44022F" w14:textId="3F87840C" w:rsidR="003639EA" w:rsidRPr="00B60E6E" w:rsidRDefault="006106A4" w:rsidP="00C26398">
            <w:pPr>
              <w:spacing w:after="0" w:line="240" w:lineRule="auto"/>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rPr>
              <w:t xml:space="preserve"> $        1 865 </w:t>
            </w:r>
            <w:r w:rsidR="003639EA" w:rsidRPr="00B60E6E">
              <w:rPr>
                <w:rFonts w:ascii="Times New Roman" w:hAnsi="Times New Roman" w:cs="Times New Roman"/>
                <w:b/>
                <w:bCs/>
                <w:color w:val="000000"/>
                <w:sz w:val="24"/>
                <w:szCs w:val="24"/>
              </w:rPr>
              <w:t xml:space="preserve">909 </w:t>
            </w:r>
          </w:p>
        </w:tc>
        <w:tc>
          <w:tcPr>
            <w:tcW w:w="1418" w:type="dxa"/>
            <w:tcBorders>
              <w:top w:val="nil"/>
              <w:left w:val="nil"/>
              <w:bottom w:val="single" w:sz="8" w:space="0" w:color="auto"/>
              <w:right w:val="single" w:sz="8" w:space="0" w:color="auto"/>
            </w:tcBorders>
            <w:shd w:val="clear" w:color="auto" w:fill="auto"/>
            <w:noWrap/>
            <w:vAlign w:val="center"/>
            <w:hideMark/>
          </w:tcPr>
          <w:p w14:paraId="751497CB" w14:textId="553F97FE" w:rsidR="003639EA" w:rsidRPr="00B60E6E" w:rsidRDefault="003639EA" w:rsidP="00C26398">
            <w:pPr>
              <w:spacing w:after="0" w:line="240" w:lineRule="auto"/>
              <w:jc w:val="right"/>
              <w:rPr>
                <w:rFonts w:ascii="Times New Roman" w:hAnsi="Times New Roman" w:cs="Times New Roman"/>
                <w:b/>
                <w:color w:val="000000"/>
                <w:sz w:val="24"/>
                <w:szCs w:val="24"/>
                <w:lang w:eastAsia="es-MX"/>
              </w:rPr>
            </w:pPr>
            <w:r w:rsidRPr="00B60E6E">
              <w:rPr>
                <w:rFonts w:ascii="Times New Roman" w:hAnsi="Times New Roman" w:cs="Times New Roman"/>
                <w:b/>
                <w:bCs/>
                <w:color w:val="000000"/>
                <w:sz w:val="24"/>
                <w:szCs w:val="24"/>
              </w:rPr>
              <w:t>8.3</w:t>
            </w:r>
            <w:r w:rsidR="006106A4">
              <w:rPr>
                <w:rFonts w:ascii="Times New Roman" w:hAnsi="Times New Roman" w:cs="Times New Roman"/>
                <w:b/>
                <w:bCs/>
                <w:color w:val="000000"/>
                <w:sz w:val="24"/>
                <w:szCs w:val="24"/>
              </w:rPr>
              <w:t xml:space="preserve"> </w:t>
            </w:r>
            <w:r w:rsidRPr="00B60E6E">
              <w:rPr>
                <w:rFonts w:ascii="Times New Roman" w:hAnsi="Times New Roman" w:cs="Times New Roman"/>
                <w:b/>
                <w:bCs/>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321034F7" w14:textId="017B9C03" w:rsidR="003639EA" w:rsidRPr="00B60E6E" w:rsidRDefault="006106A4" w:rsidP="00C26398">
            <w:pPr>
              <w:spacing w:after="0" w:line="240" w:lineRule="auto"/>
              <w:jc w:val="right"/>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rPr>
              <w:t xml:space="preserve">130 </w:t>
            </w:r>
            <w:r w:rsidR="003639EA" w:rsidRPr="00B60E6E">
              <w:rPr>
                <w:rFonts w:ascii="Times New Roman" w:hAnsi="Times New Roman" w:cs="Times New Roman"/>
                <w:b/>
                <w:bCs/>
                <w:color w:val="000000"/>
                <w:sz w:val="24"/>
                <w:szCs w:val="24"/>
              </w:rPr>
              <w:t>228</w:t>
            </w:r>
          </w:p>
        </w:tc>
        <w:tc>
          <w:tcPr>
            <w:tcW w:w="1451" w:type="dxa"/>
            <w:tcBorders>
              <w:top w:val="nil"/>
              <w:left w:val="nil"/>
              <w:bottom w:val="single" w:sz="8" w:space="0" w:color="auto"/>
              <w:right w:val="single" w:sz="8" w:space="0" w:color="auto"/>
            </w:tcBorders>
            <w:shd w:val="clear" w:color="auto" w:fill="auto"/>
            <w:noWrap/>
            <w:vAlign w:val="center"/>
            <w:hideMark/>
          </w:tcPr>
          <w:p w14:paraId="32CCC910" w14:textId="01212695" w:rsidR="003639EA" w:rsidRPr="00B60E6E" w:rsidRDefault="003639EA" w:rsidP="00C26398">
            <w:pPr>
              <w:spacing w:after="0" w:line="240" w:lineRule="auto"/>
              <w:jc w:val="right"/>
              <w:rPr>
                <w:rFonts w:ascii="Times New Roman" w:hAnsi="Times New Roman" w:cs="Times New Roman"/>
                <w:b/>
                <w:color w:val="000000"/>
                <w:sz w:val="24"/>
                <w:szCs w:val="24"/>
                <w:lang w:eastAsia="es-MX"/>
              </w:rPr>
            </w:pPr>
            <w:r w:rsidRPr="00B60E6E">
              <w:rPr>
                <w:rFonts w:ascii="Times New Roman" w:hAnsi="Times New Roman" w:cs="Times New Roman"/>
                <w:b/>
                <w:bCs/>
                <w:color w:val="000000"/>
                <w:sz w:val="24"/>
                <w:szCs w:val="24"/>
              </w:rPr>
              <w:t>6.9</w:t>
            </w:r>
            <w:r w:rsidR="006106A4">
              <w:rPr>
                <w:rFonts w:ascii="Times New Roman" w:hAnsi="Times New Roman" w:cs="Times New Roman"/>
                <w:b/>
                <w:bCs/>
                <w:color w:val="000000"/>
                <w:sz w:val="24"/>
                <w:szCs w:val="24"/>
              </w:rPr>
              <w:t xml:space="preserve"> </w:t>
            </w:r>
            <w:r w:rsidRPr="00B60E6E">
              <w:rPr>
                <w:rFonts w:ascii="Times New Roman" w:hAnsi="Times New Roman" w:cs="Times New Roman"/>
                <w:b/>
                <w:bCs/>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754A42C6" w14:textId="5504A7B6" w:rsidR="003639EA" w:rsidRPr="00B60E6E" w:rsidRDefault="006106A4" w:rsidP="00C26398">
            <w:pPr>
              <w:spacing w:after="0" w:line="240" w:lineRule="auto"/>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rPr>
              <w:t xml:space="preserve"> $            1 863 </w:t>
            </w:r>
            <w:r w:rsidR="003639EA" w:rsidRPr="00B60E6E">
              <w:rPr>
                <w:rFonts w:ascii="Times New Roman" w:hAnsi="Times New Roman" w:cs="Times New Roman"/>
                <w:b/>
                <w:bCs/>
                <w:color w:val="000000"/>
                <w:sz w:val="24"/>
                <w:szCs w:val="24"/>
              </w:rPr>
              <w:t xml:space="preserve">624 </w:t>
            </w:r>
          </w:p>
        </w:tc>
        <w:tc>
          <w:tcPr>
            <w:tcW w:w="1417" w:type="dxa"/>
            <w:tcBorders>
              <w:top w:val="nil"/>
              <w:left w:val="nil"/>
              <w:bottom w:val="single" w:sz="8" w:space="0" w:color="auto"/>
              <w:right w:val="single" w:sz="8" w:space="0" w:color="auto"/>
            </w:tcBorders>
            <w:shd w:val="clear" w:color="auto" w:fill="auto"/>
            <w:noWrap/>
            <w:vAlign w:val="center"/>
            <w:hideMark/>
          </w:tcPr>
          <w:p w14:paraId="3CF0AF93" w14:textId="72D9F680" w:rsidR="003639EA" w:rsidRPr="00B60E6E" w:rsidRDefault="003639EA" w:rsidP="00C26398">
            <w:pPr>
              <w:spacing w:after="0" w:line="240" w:lineRule="auto"/>
              <w:jc w:val="right"/>
              <w:rPr>
                <w:rFonts w:ascii="Times New Roman" w:hAnsi="Times New Roman" w:cs="Times New Roman"/>
                <w:b/>
                <w:color w:val="000000"/>
                <w:sz w:val="24"/>
                <w:szCs w:val="24"/>
                <w:lang w:eastAsia="es-MX"/>
              </w:rPr>
            </w:pPr>
            <w:r w:rsidRPr="00B60E6E">
              <w:rPr>
                <w:rFonts w:ascii="Times New Roman" w:hAnsi="Times New Roman" w:cs="Times New Roman"/>
                <w:b/>
                <w:bCs/>
                <w:color w:val="000000"/>
                <w:sz w:val="24"/>
                <w:szCs w:val="24"/>
              </w:rPr>
              <w:t>1.7</w:t>
            </w:r>
            <w:r w:rsidR="006106A4">
              <w:rPr>
                <w:rFonts w:ascii="Times New Roman" w:hAnsi="Times New Roman" w:cs="Times New Roman"/>
                <w:b/>
                <w:bCs/>
                <w:color w:val="000000"/>
                <w:sz w:val="24"/>
                <w:szCs w:val="24"/>
              </w:rPr>
              <w:t xml:space="preserve"> </w:t>
            </w:r>
            <w:r w:rsidRPr="00B60E6E">
              <w:rPr>
                <w:rFonts w:ascii="Times New Roman" w:hAnsi="Times New Roman" w:cs="Times New Roman"/>
                <w:b/>
                <w:bCs/>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788C67CD" w14:textId="76494D46" w:rsidR="003639EA" w:rsidRPr="00B60E6E" w:rsidRDefault="006106A4" w:rsidP="00C26398">
            <w:pPr>
              <w:spacing w:after="0" w:line="240" w:lineRule="auto"/>
              <w:jc w:val="right"/>
              <w:rPr>
                <w:rFonts w:ascii="Times New Roman" w:hAnsi="Times New Roman" w:cs="Times New Roman"/>
                <w:b/>
                <w:bCs/>
                <w:color w:val="000000"/>
                <w:sz w:val="24"/>
                <w:szCs w:val="24"/>
                <w:lang w:eastAsia="es-MX"/>
              </w:rPr>
            </w:pPr>
            <w:r>
              <w:rPr>
                <w:rFonts w:ascii="Times New Roman" w:hAnsi="Times New Roman" w:cs="Times New Roman"/>
                <w:b/>
                <w:bCs/>
                <w:color w:val="000000"/>
                <w:sz w:val="24"/>
                <w:szCs w:val="24"/>
              </w:rPr>
              <w:t xml:space="preserve">199 </w:t>
            </w:r>
            <w:r w:rsidR="003639EA" w:rsidRPr="00B60E6E">
              <w:rPr>
                <w:rFonts w:ascii="Times New Roman" w:hAnsi="Times New Roman" w:cs="Times New Roman"/>
                <w:b/>
                <w:bCs/>
                <w:color w:val="000000"/>
                <w:sz w:val="24"/>
                <w:szCs w:val="24"/>
              </w:rPr>
              <w:t>751</w:t>
            </w:r>
          </w:p>
        </w:tc>
        <w:tc>
          <w:tcPr>
            <w:tcW w:w="1418" w:type="dxa"/>
            <w:tcBorders>
              <w:top w:val="nil"/>
              <w:left w:val="nil"/>
              <w:bottom w:val="single" w:sz="8" w:space="0" w:color="auto"/>
              <w:right w:val="single" w:sz="8" w:space="0" w:color="auto"/>
            </w:tcBorders>
            <w:shd w:val="clear" w:color="auto" w:fill="auto"/>
            <w:noWrap/>
            <w:vAlign w:val="center"/>
            <w:hideMark/>
          </w:tcPr>
          <w:p w14:paraId="3D7715AA" w14:textId="023FECAA" w:rsidR="003639EA" w:rsidRPr="00B60E6E" w:rsidRDefault="003639EA" w:rsidP="00C26398">
            <w:pPr>
              <w:spacing w:after="0" w:line="240" w:lineRule="auto"/>
              <w:jc w:val="right"/>
              <w:rPr>
                <w:rFonts w:ascii="Times New Roman" w:hAnsi="Times New Roman" w:cs="Times New Roman"/>
                <w:b/>
                <w:color w:val="000000"/>
                <w:sz w:val="24"/>
                <w:szCs w:val="24"/>
                <w:lang w:eastAsia="es-MX"/>
              </w:rPr>
            </w:pPr>
            <w:r w:rsidRPr="00B60E6E">
              <w:rPr>
                <w:rFonts w:ascii="Times New Roman" w:hAnsi="Times New Roman" w:cs="Times New Roman"/>
                <w:b/>
                <w:bCs/>
                <w:color w:val="000000"/>
                <w:sz w:val="24"/>
                <w:szCs w:val="24"/>
              </w:rPr>
              <w:t>3.3</w:t>
            </w:r>
            <w:r w:rsidR="006106A4">
              <w:rPr>
                <w:rFonts w:ascii="Times New Roman" w:hAnsi="Times New Roman" w:cs="Times New Roman"/>
                <w:b/>
                <w:bCs/>
                <w:color w:val="000000"/>
                <w:sz w:val="24"/>
                <w:szCs w:val="24"/>
              </w:rPr>
              <w:t xml:space="preserve"> </w:t>
            </w:r>
            <w:r w:rsidRPr="00B60E6E">
              <w:rPr>
                <w:rFonts w:ascii="Times New Roman" w:hAnsi="Times New Roman" w:cs="Times New Roman"/>
                <w:b/>
                <w:bCs/>
                <w:color w:val="000000"/>
                <w:sz w:val="24"/>
                <w:szCs w:val="24"/>
              </w:rPr>
              <w:t>%</w:t>
            </w:r>
          </w:p>
        </w:tc>
      </w:tr>
      <w:tr w:rsidR="003639EA" w:rsidRPr="00B60E6E" w14:paraId="74F8A512" w14:textId="77777777" w:rsidTr="004B672E">
        <w:trPr>
          <w:trHeight w:val="415"/>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F59EF26" w14:textId="77777777" w:rsidR="003639EA" w:rsidRPr="00B60E6E" w:rsidRDefault="003639EA" w:rsidP="00C26398">
            <w:pPr>
              <w:spacing w:after="0" w:line="240" w:lineRule="auto"/>
              <w:ind w:firstLineChars="100" w:firstLine="240"/>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7</w:t>
            </w:r>
          </w:p>
        </w:tc>
        <w:tc>
          <w:tcPr>
            <w:tcW w:w="1418" w:type="dxa"/>
            <w:tcBorders>
              <w:top w:val="nil"/>
              <w:left w:val="nil"/>
              <w:bottom w:val="single" w:sz="8" w:space="0" w:color="auto"/>
              <w:right w:val="single" w:sz="8" w:space="0" w:color="auto"/>
            </w:tcBorders>
            <w:shd w:val="clear" w:color="auto" w:fill="auto"/>
            <w:noWrap/>
            <w:vAlign w:val="center"/>
            <w:hideMark/>
          </w:tcPr>
          <w:p w14:paraId="38388010"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República Dominicana</w:t>
            </w:r>
          </w:p>
        </w:tc>
        <w:tc>
          <w:tcPr>
            <w:tcW w:w="1842" w:type="dxa"/>
            <w:tcBorders>
              <w:top w:val="nil"/>
              <w:left w:val="nil"/>
              <w:bottom w:val="single" w:sz="8" w:space="0" w:color="auto"/>
              <w:right w:val="single" w:sz="8" w:space="0" w:color="auto"/>
            </w:tcBorders>
            <w:shd w:val="clear" w:color="auto" w:fill="auto"/>
            <w:noWrap/>
            <w:vAlign w:val="center"/>
            <w:hideMark/>
          </w:tcPr>
          <w:p w14:paraId="6A95B802" w14:textId="0C0A4867"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193 </w:t>
            </w:r>
            <w:r w:rsidR="003639EA" w:rsidRPr="00B60E6E">
              <w:rPr>
                <w:rFonts w:ascii="Times New Roman" w:hAnsi="Times New Roman" w:cs="Times New Roman"/>
                <w:color w:val="000000"/>
                <w:sz w:val="24"/>
                <w:szCs w:val="24"/>
              </w:rPr>
              <w:t xml:space="preserve">239 </w:t>
            </w:r>
          </w:p>
        </w:tc>
        <w:tc>
          <w:tcPr>
            <w:tcW w:w="1418" w:type="dxa"/>
            <w:tcBorders>
              <w:top w:val="nil"/>
              <w:left w:val="nil"/>
              <w:bottom w:val="single" w:sz="8" w:space="0" w:color="auto"/>
              <w:right w:val="single" w:sz="8" w:space="0" w:color="auto"/>
            </w:tcBorders>
            <w:shd w:val="clear" w:color="auto" w:fill="auto"/>
            <w:noWrap/>
            <w:vAlign w:val="center"/>
            <w:hideMark/>
          </w:tcPr>
          <w:p w14:paraId="0CC10889" w14:textId="03B6C138"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0.9</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64712125" w14:textId="2D7EAD6B"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9</w:t>
            </w:r>
            <w:r w:rsidR="003639EA" w:rsidRPr="00B60E6E">
              <w:rPr>
                <w:rFonts w:ascii="Times New Roman" w:hAnsi="Times New Roman" w:cs="Times New Roman"/>
                <w:color w:val="000000"/>
                <w:sz w:val="24"/>
                <w:szCs w:val="24"/>
              </w:rPr>
              <w:t>308</w:t>
            </w:r>
          </w:p>
        </w:tc>
        <w:tc>
          <w:tcPr>
            <w:tcW w:w="1451" w:type="dxa"/>
            <w:tcBorders>
              <w:top w:val="nil"/>
              <w:left w:val="nil"/>
              <w:bottom w:val="single" w:sz="8" w:space="0" w:color="auto"/>
              <w:right w:val="single" w:sz="8" w:space="0" w:color="auto"/>
            </w:tcBorders>
            <w:shd w:val="clear" w:color="auto" w:fill="auto"/>
            <w:noWrap/>
            <w:vAlign w:val="center"/>
            <w:hideMark/>
          </w:tcPr>
          <w:p w14:paraId="63117D2E" w14:textId="6FD1CAD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0.5</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30FC2767" w14:textId="26402430"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1 034 </w:t>
            </w:r>
            <w:r w:rsidR="003639EA" w:rsidRPr="00B60E6E">
              <w:rPr>
                <w:rFonts w:ascii="Times New Roman" w:hAnsi="Times New Roman" w:cs="Times New Roman"/>
                <w:color w:val="000000"/>
                <w:sz w:val="24"/>
                <w:szCs w:val="24"/>
              </w:rPr>
              <w:t xml:space="preserve">508 </w:t>
            </w:r>
          </w:p>
        </w:tc>
        <w:tc>
          <w:tcPr>
            <w:tcW w:w="1417" w:type="dxa"/>
            <w:tcBorders>
              <w:top w:val="nil"/>
              <w:left w:val="nil"/>
              <w:bottom w:val="single" w:sz="8" w:space="0" w:color="auto"/>
              <w:right w:val="single" w:sz="8" w:space="0" w:color="auto"/>
            </w:tcBorders>
            <w:shd w:val="clear" w:color="auto" w:fill="auto"/>
            <w:noWrap/>
            <w:vAlign w:val="center"/>
            <w:hideMark/>
          </w:tcPr>
          <w:p w14:paraId="54805E27" w14:textId="6B889C1D"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1.0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5BA8DFCC" w14:textId="7951E315"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38 </w:t>
            </w:r>
            <w:r w:rsidR="003639EA" w:rsidRPr="00B60E6E">
              <w:rPr>
                <w:rFonts w:ascii="Times New Roman" w:hAnsi="Times New Roman" w:cs="Times New Roman"/>
                <w:color w:val="000000"/>
                <w:sz w:val="24"/>
                <w:szCs w:val="24"/>
              </w:rPr>
              <w:t>705</w:t>
            </w:r>
          </w:p>
        </w:tc>
        <w:tc>
          <w:tcPr>
            <w:tcW w:w="1418" w:type="dxa"/>
            <w:tcBorders>
              <w:top w:val="nil"/>
              <w:left w:val="nil"/>
              <w:bottom w:val="single" w:sz="8" w:space="0" w:color="auto"/>
              <w:right w:val="single" w:sz="8" w:space="0" w:color="auto"/>
            </w:tcBorders>
            <w:shd w:val="clear" w:color="auto" w:fill="auto"/>
            <w:noWrap/>
            <w:vAlign w:val="center"/>
            <w:hideMark/>
          </w:tcPr>
          <w:p w14:paraId="789E88F2" w14:textId="706588D9"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0.6</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27CC36BD" w14:textId="77777777" w:rsidTr="004B672E">
        <w:trPr>
          <w:trHeight w:val="126"/>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1E198CE" w14:textId="77777777" w:rsidR="003639EA" w:rsidRPr="00B60E6E" w:rsidRDefault="003639EA" w:rsidP="00C26398">
            <w:pPr>
              <w:spacing w:after="0" w:line="240" w:lineRule="auto"/>
              <w:ind w:firstLineChars="100" w:firstLine="240"/>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8</w:t>
            </w:r>
          </w:p>
        </w:tc>
        <w:tc>
          <w:tcPr>
            <w:tcW w:w="1418" w:type="dxa"/>
            <w:tcBorders>
              <w:top w:val="nil"/>
              <w:left w:val="nil"/>
              <w:bottom w:val="single" w:sz="8" w:space="0" w:color="auto"/>
              <w:right w:val="single" w:sz="8" w:space="0" w:color="auto"/>
            </w:tcBorders>
            <w:shd w:val="clear" w:color="auto" w:fill="auto"/>
            <w:noWrap/>
            <w:vAlign w:val="center"/>
            <w:hideMark/>
          </w:tcPr>
          <w:p w14:paraId="46AFD4A7"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Jamaica</w:t>
            </w:r>
          </w:p>
        </w:tc>
        <w:tc>
          <w:tcPr>
            <w:tcW w:w="1842" w:type="dxa"/>
            <w:tcBorders>
              <w:top w:val="nil"/>
              <w:left w:val="nil"/>
              <w:bottom w:val="single" w:sz="8" w:space="0" w:color="auto"/>
              <w:right w:val="single" w:sz="8" w:space="0" w:color="auto"/>
            </w:tcBorders>
            <w:shd w:val="clear" w:color="auto" w:fill="auto"/>
            <w:noWrap/>
            <w:vAlign w:val="center"/>
            <w:hideMark/>
          </w:tcPr>
          <w:p w14:paraId="627DDEE3" w14:textId="3990654A"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491 </w:t>
            </w:r>
            <w:r w:rsidR="003639EA" w:rsidRPr="00B60E6E">
              <w:rPr>
                <w:rFonts w:ascii="Times New Roman" w:hAnsi="Times New Roman" w:cs="Times New Roman"/>
                <w:color w:val="000000"/>
                <w:sz w:val="24"/>
                <w:szCs w:val="24"/>
              </w:rPr>
              <w:t xml:space="preserve">306 </w:t>
            </w:r>
          </w:p>
        </w:tc>
        <w:tc>
          <w:tcPr>
            <w:tcW w:w="1418" w:type="dxa"/>
            <w:tcBorders>
              <w:top w:val="nil"/>
              <w:left w:val="nil"/>
              <w:bottom w:val="single" w:sz="8" w:space="0" w:color="auto"/>
              <w:right w:val="single" w:sz="8" w:space="0" w:color="auto"/>
            </w:tcBorders>
            <w:shd w:val="clear" w:color="auto" w:fill="auto"/>
            <w:noWrap/>
            <w:vAlign w:val="center"/>
            <w:hideMark/>
          </w:tcPr>
          <w:p w14:paraId="11DCA19B" w14:textId="151F41EF"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2.2</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58306371" w14:textId="1183862E"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11 </w:t>
            </w:r>
            <w:r w:rsidR="003639EA" w:rsidRPr="00B60E6E">
              <w:rPr>
                <w:rFonts w:ascii="Times New Roman" w:hAnsi="Times New Roman" w:cs="Times New Roman"/>
                <w:color w:val="000000"/>
                <w:sz w:val="24"/>
                <w:szCs w:val="24"/>
              </w:rPr>
              <w:t>635</w:t>
            </w:r>
          </w:p>
        </w:tc>
        <w:tc>
          <w:tcPr>
            <w:tcW w:w="1451" w:type="dxa"/>
            <w:tcBorders>
              <w:top w:val="nil"/>
              <w:left w:val="nil"/>
              <w:bottom w:val="single" w:sz="8" w:space="0" w:color="auto"/>
              <w:right w:val="single" w:sz="8" w:space="0" w:color="auto"/>
            </w:tcBorders>
            <w:shd w:val="clear" w:color="auto" w:fill="auto"/>
            <w:noWrap/>
            <w:vAlign w:val="center"/>
            <w:hideMark/>
          </w:tcPr>
          <w:p w14:paraId="5363BF5D" w14:textId="5E5E7F9A"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0.6</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34B14068" w14:textId="348A4BBD"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326 </w:t>
            </w:r>
            <w:r w:rsidR="003639EA" w:rsidRPr="00B60E6E">
              <w:rPr>
                <w:rFonts w:ascii="Times New Roman" w:hAnsi="Times New Roman" w:cs="Times New Roman"/>
                <w:color w:val="000000"/>
                <w:sz w:val="24"/>
                <w:szCs w:val="24"/>
              </w:rPr>
              <w:t xml:space="preserve">473 </w:t>
            </w:r>
          </w:p>
        </w:tc>
        <w:tc>
          <w:tcPr>
            <w:tcW w:w="1417" w:type="dxa"/>
            <w:tcBorders>
              <w:top w:val="nil"/>
              <w:left w:val="nil"/>
              <w:bottom w:val="single" w:sz="8" w:space="0" w:color="auto"/>
              <w:right w:val="single" w:sz="8" w:space="0" w:color="auto"/>
            </w:tcBorders>
            <w:shd w:val="clear" w:color="auto" w:fill="auto"/>
            <w:noWrap/>
            <w:vAlign w:val="center"/>
            <w:hideMark/>
          </w:tcPr>
          <w:p w14:paraId="0F00A5A8" w14:textId="0249FD5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0.3</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26DFE9A3" w14:textId="6525EEAF"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7</w:t>
            </w:r>
            <w:r w:rsidR="003639EA" w:rsidRPr="00B60E6E">
              <w:rPr>
                <w:rFonts w:ascii="Times New Roman" w:hAnsi="Times New Roman" w:cs="Times New Roman"/>
                <w:color w:val="000000"/>
                <w:sz w:val="24"/>
                <w:szCs w:val="24"/>
              </w:rPr>
              <w:t>312</w:t>
            </w:r>
          </w:p>
        </w:tc>
        <w:tc>
          <w:tcPr>
            <w:tcW w:w="1418" w:type="dxa"/>
            <w:tcBorders>
              <w:top w:val="nil"/>
              <w:left w:val="nil"/>
              <w:bottom w:val="single" w:sz="8" w:space="0" w:color="auto"/>
              <w:right w:val="single" w:sz="8" w:space="0" w:color="auto"/>
            </w:tcBorders>
            <w:shd w:val="clear" w:color="auto" w:fill="auto"/>
            <w:noWrap/>
            <w:vAlign w:val="center"/>
            <w:hideMark/>
          </w:tcPr>
          <w:p w14:paraId="7712D041" w14:textId="50A1F5F5"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72DE08D8" w14:textId="77777777" w:rsidTr="004B672E">
        <w:trPr>
          <w:trHeight w:val="116"/>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05CC481" w14:textId="77777777" w:rsidR="003639EA" w:rsidRPr="00B60E6E" w:rsidRDefault="003639EA" w:rsidP="00C26398">
            <w:pPr>
              <w:spacing w:after="0" w:line="240" w:lineRule="auto"/>
              <w:ind w:firstLineChars="100" w:firstLine="240"/>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9</w:t>
            </w:r>
          </w:p>
        </w:tc>
        <w:tc>
          <w:tcPr>
            <w:tcW w:w="1418" w:type="dxa"/>
            <w:tcBorders>
              <w:top w:val="nil"/>
              <w:left w:val="nil"/>
              <w:bottom w:val="single" w:sz="8" w:space="0" w:color="auto"/>
              <w:right w:val="single" w:sz="8" w:space="0" w:color="auto"/>
            </w:tcBorders>
            <w:shd w:val="clear" w:color="auto" w:fill="auto"/>
            <w:noWrap/>
            <w:vAlign w:val="center"/>
            <w:hideMark/>
          </w:tcPr>
          <w:p w14:paraId="61EB6C84"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Ecuador</w:t>
            </w:r>
          </w:p>
        </w:tc>
        <w:tc>
          <w:tcPr>
            <w:tcW w:w="1842" w:type="dxa"/>
            <w:tcBorders>
              <w:top w:val="nil"/>
              <w:left w:val="nil"/>
              <w:bottom w:val="single" w:sz="8" w:space="0" w:color="auto"/>
              <w:right w:val="single" w:sz="8" w:space="0" w:color="auto"/>
            </w:tcBorders>
            <w:shd w:val="clear" w:color="auto" w:fill="auto"/>
            <w:noWrap/>
            <w:vAlign w:val="center"/>
            <w:hideMark/>
          </w:tcPr>
          <w:p w14:paraId="1FAEF420"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 xml:space="preserve"> $                     -   </w:t>
            </w:r>
          </w:p>
        </w:tc>
        <w:tc>
          <w:tcPr>
            <w:tcW w:w="1418" w:type="dxa"/>
            <w:tcBorders>
              <w:top w:val="nil"/>
              <w:left w:val="nil"/>
              <w:bottom w:val="single" w:sz="8" w:space="0" w:color="auto"/>
              <w:right w:val="single" w:sz="8" w:space="0" w:color="auto"/>
            </w:tcBorders>
            <w:shd w:val="clear" w:color="auto" w:fill="auto"/>
            <w:noWrap/>
            <w:vAlign w:val="center"/>
            <w:hideMark/>
          </w:tcPr>
          <w:p w14:paraId="15D81FE2" w14:textId="6B313754"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1F4BD3AE" w14:textId="7777777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w:t>
            </w:r>
          </w:p>
        </w:tc>
        <w:tc>
          <w:tcPr>
            <w:tcW w:w="1451" w:type="dxa"/>
            <w:tcBorders>
              <w:top w:val="nil"/>
              <w:left w:val="nil"/>
              <w:bottom w:val="single" w:sz="8" w:space="0" w:color="auto"/>
              <w:right w:val="single" w:sz="8" w:space="0" w:color="auto"/>
            </w:tcBorders>
            <w:shd w:val="clear" w:color="auto" w:fill="auto"/>
            <w:noWrap/>
            <w:vAlign w:val="center"/>
            <w:hideMark/>
          </w:tcPr>
          <w:p w14:paraId="3B0484FD" w14:textId="6A522DDB"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0.0</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376EC264" w14:textId="4908D2A1"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281 </w:t>
            </w:r>
            <w:r w:rsidR="003639EA" w:rsidRPr="00B60E6E">
              <w:rPr>
                <w:rFonts w:ascii="Times New Roman" w:hAnsi="Times New Roman" w:cs="Times New Roman"/>
                <w:color w:val="000000"/>
                <w:sz w:val="24"/>
                <w:szCs w:val="24"/>
              </w:rPr>
              <w:t xml:space="preserve">469 </w:t>
            </w:r>
          </w:p>
        </w:tc>
        <w:tc>
          <w:tcPr>
            <w:tcW w:w="1417" w:type="dxa"/>
            <w:tcBorders>
              <w:top w:val="nil"/>
              <w:left w:val="nil"/>
              <w:bottom w:val="single" w:sz="8" w:space="0" w:color="auto"/>
              <w:right w:val="single" w:sz="8" w:space="0" w:color="auto"/>
            </w:tcBorders>
            <w:shd w:val="clear" w:color="auto" w:fill="auto"/>
            <w:noWrap/>
            <w:vAlign w:val="center"/>
            <w:hideMark/>
          </w:tcPr>
          <w:p w14:paraId="2F24400F" w14:textId="28D80524"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0.3</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1CBA4F1A" w14:textId="440B88C1"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6</w:t>
            </w:r>
            <w:r w:rsidR="003639EA" w:rsidRPr="00B60E6E">
              <w:rPr>
                <w:rFonts w:ascii="Times New Roman" w:hAnsi="Times New Roman" w:cs="Times New Roman"/>
                <w:color w:val="000000"/>
                <w:sz w:val="24"/>
                <w:szCs w:val="24"/>
              </w:rPr>
              <w:t>858</w:t>
            </w:r>
          </w:p>
        </w:tc>
        <w:tc>
          <w:tcPr>
            <w:tcW w:w="1418" w:type="dxa"/>
            <w:tcBorders>
              <w:top w:val="nil"/>
              <w:left w:val="nil"/>
              <w:bottom w:val="single" w:sz="8" w:space="0" w:color="auto"/>
              <w:right w:val="single" w:sz="8" w:space="0" w:color="auto"/>
            </w:tcBorders>
            <w:shd w:val="clear" w:color="auto" w:fill="auto"/>
            <w:noWrap/>
            <w:vAlign w:val="center"/>
            <w:hideMark/>
          </w:tcPr>
          <w:p w14:paraId="32794F25" w14:textId="6E8A7471"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r w:rsidR="003639EA" w:rsidRPr="00B60E6E" w14:paraId="0BA23E67" w14:textId="77777777" w:rsidTr="004B672E">
        <w:trPr>
          <w:trHeight w:val="79"/>
          <w:jc w:val="center"/>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B062E78" w14:textId="77777777" w:rsidR="003639EA" w:rsidRPr="00B60E6E" w:rsidRDefault="003639EA" w:rsidP="00C26398">
            <w:pPr>
              <w:spacing w:after="0" w:line="240" w:lineRule="auto"/>
              <w:ind w:firstLineChars="100" w:firstLine="240"/>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10</w:t>
            </w:r>
          </w:p>
        </w:tc>
        <w:tc>
          <w:tcPr>
            <w:tcW w:w="1418" w:type="dxa"/>
            <w:tcBorders>
              <w:top w:val="nil"/>
              <w:left w:val="nil"/>
              <w:bottom w:val="single" w:sz="8" w:space="0" w:color="auto"/>
              <w:right w:val="single" w:sz="8" w:space="0" w:color="auto"/>
            </w:tcBorders>
            <w:shd w:val="clear" w:color="auto" w:fill="auto"/>
            <w:noWrap/>
            <w:vAlign w:val="center"/>
            <w:hideMark/>
          </w:tcPr>
          <w:p w14:paraId="47318FEE" w14:textId="77777777" w:rsidR="003639EA" w:rsidRPr="00B60E6E" w:rsidRDefault="003639EA" w:rsidP="00C26398">
            <w:pPr>
              <w:spacing w:after="0" w:line="240" w:lineRule="auto"/>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lang w:eastAsia="es-MX"/>
              </w:rPr>
              <w:t>Egipto</w:t>
            </w:r>
          </w:p>
        </w:tc>
        <w:tc>
          <w:tcPr>
            <w:tcW w:w="1842" w:type="dxa"/>
            <w:tcBorders>
              <w:top w:val="nil"/>
              <w:left w:val="nil"/>
              <w:bottom w:val="single" w:sz="8" w:space="0" w:color="auto"/>
              <w:right w:val="single" w:sz="8" w:space="0" w:color="auto"/>
            </w:tcBorders>
            <w:shd w:val="clear" w:color="auto" w:fill="auto"/>
            <w:noWrap/>
            <w:vAlign w:val="center"/>
            <w:hideMark/>
          </w:tcPr>
          <w:p w14:paraId="536B6B3C" w14:textId="2074A2FC"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118 </w:t>
            </w:r>
            <w:r w:rsidR="003639EA" w:rsidRPr="00B60E6E">
              <w:rPr>
                <w:rFonts w:ascii="Times New Roman" w:hAnsi="Times New Roman" w:cs="Times New Roman"/>
                <w:color w:val="000000"/>
                <w:sz w:val="24"/>
                <w:szCs w:val="24"/>
              </w:rPr>
              <w:t xml:space="preserve">487 </w:t>
            </w:r>
          </w:p>
        </w:tc>
        <w:tc>
          <w:tcPr>
            <w:tcW w:w="1418" w:type="dxa"/>
            <w:tcBorders>
              <w:top w:val="nil"/>
              <w:left w:val="nil"/>
              <w:bottom w:val="single" w:sz="8" w:space="0" w:color="auto"/>
              <w:right w:val="single" w:sz="8" w:space="0" w:color="auto"/>
            </w:tcBorders>
            <w:shd w:val="clear" w:color="auto" w:fill="auto"/>
            <w:noWrap/>
            <w:vAlign w:val="center"/>
            <w:hideMark/>
          </w:tcPr>
          <w:p w14:paraId="5AFDCB77" w14:textId="5A24729F"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0.5</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00" w:type="dxa"/>
            <w:tcBorders>
              <w:top w:val="nil"/>
              <w:left w:val="nil"/>
              <w:bottom w:val="single" w:sz="8" w:space="0" w:color="auto"/>
              <w:right w:val="single" w:sz="8" w:space="0" w:color="auto"/>
            </w:tcBorders>
            <w:shd w:val="clear" w:color="auto" w:fill="auto"/>
            <w:noWrap/>
            <w:vAlign w:val="center"/>
            <w:hideMark/>
          </w:tcPr>
          <w:p w14:paraId="557378EF" w14:textId="284225B8"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8</w:t>
            </w:r>
            <w:r w:rsidR="003639EA" w:rsidRPr="00B60E6E">
              <w:rPr>
                <w:rFonts w:ascii="Times New Roman" w:hAnsi="Times New Roman" w:cs="Times New Roman"/>
                <w:color w:val="000000"/>
                <w:sz w:val="24"/>
                <w:szCs w:val="24"/>
              </w:rPr>
              <w:t>710</w:t>
            </w:r>
          </w:p>
        </w:tc>
        <w:tc>
          <w:tcPr>
            <w:tcW w:w="1451" w:type="dxa"/>
            <w:tcBorders>
              <w:top w:val="nil"/>
              <w:left w:val="nil"/>
              <w:bottom w:val="single" w:sz="8" w:space="0" w:color="auto"/>
              <w:right w:val="single" w:sz="8" w:space="0" w:color="auto"/>
            </w:tcBorders>
            <w:shd w:val="clear" w:color="auto" w:fill="auto"/>
            <w:noWrap/>
            <w:vAlign w:val="center"/>
            <w:hideMark/>
          </w:tcPr>
          <w:p w14:paraId="49F34775" w14:textId="6DB60E83"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0.5</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2127" w:type="dxa"/>
            <w:tcBorders>
              <w:top w:val="nil"/>
              <w:left w:val="nil"/>
              <w:bottom w:val="single" w:sz="8" w:space="0" w:color="auto"/>
              <w:right w:val="single" w:sz="8" w:space="0" w:color="auto"/>
            </w:tcBorders>
            <w:shd w:val="clear" w:color="auto" w:fill="auto"/>
            <w:noWrap/>
            <w:vAlign w:val="center"/>
            <w:hideMark/>
          </w:tcPr>
          <w:p w14:paraId="15093D28" w14:textId="537E2CE9" w:rsidR="003639EA" w:rsidRPr="00B60E6E" w:rsidRDefault="006106A4" w:rsidP="00C26398">
            <w:pPr>
              <w:spacing w:after="0" w:line="240" w:lineRule="auto"/>
              <w:rPr>
                <w:rFonts w:ascii="Times New Roman" w:hAnsi="Times New Roman" w:cs="Times New Roman"/>
                <w:color w:val="000000"/>
                <w:sz w:val="24"/>
                <w:szCs w:val="24"/>
                <w:lang w:eastAsia="es-MX"/>
              </w:rPr>
            </w:pPr>
            <w:r>
              <w:rPr>
                <w:rFonts w:ascii="Times New Roman" w:hAnsi="Times New Roman" w:cs="Times New Roman"/>
                <w:color w:val="000000"/>
                <w:sz w:val="24"/>
                <w:szCs w:val="24"/>
              </w:rPr>
              <w:t xml:space="preserve"> $                 68 </w:t>
            </w:r>
            <w:r w:rsidR="003639EA" w:rsidRPr="00B60E6E">
              <w:rPr>
                <w:rFonts w:ascii="Times New Roman" w:hAnsi="Times New Roman" w:cs="Times New Roman"/>
                <w:color w:val="000000"/>
                <w:sz w:val="24"/>
                <w:szCs w:val="24"/>
              </w:rPr>
              <w:t xml:space="preserve">023 </w:t>
            </w:r>
          </w:p>
        </w:tc>
        <w:tc>
          <w:tcPr>
            <w:tcW w:w="1417" w:type="dxa"/>
            <w:tcBorders>
              <w:top w:val="nil"/>
              <w:left w:val="nil"/>
              <w:bottom w:val="single" w:sz="8" w:space="0" w:color="auto"/>
              <w:right w:val="single" w:sz="8" w:space="0" w:color="auto"/>
            </w:tcBorders>
            <w:shd w:val="clear" w:color="auto" w:fill="auto"/>
            <w:noWrap/>
            <w:vAlign w:val="center"/>
            <w:hideMark/>
          </w:tcPr>
          <w:p w14:paraId="1E7BDF5B" w14:textId="05B917F0"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113465E7" w14:textId="1711644C" w:rsidR="003639EA" w:rsidRPr="00B60E6E" w:rsidRDefault="006106A4" w:rsidP="00C26398">
            <w:pPr>
              <w:spacing w:after="0" w:line="240" w:lineRule="auto"/>
              <w:jc w:val="right"/>
              <w:rPr>
                <w:rFonts w:ascii="Times New Roman" w:hAnsi="Times New Roman" w:cs="Times New Roman"/>
                <w:color w:val="000000"/>
                <w:sz w:val="24"/>
                <w:szCs w:val="24"/>
                <w:lang w:eastAsia="es-MX"/>
              </w:rPr>
            </w:pPr>
            <w:r>
              <w:rPr>
                <w:rFonts w:ascii="Times New Roman" w:hAnsi="Times New Roman" w:cs="Times New Roman"/>
                <w:color w:val="000000"/>
                <w:sz w:val="24"/>
                <w:szCs w:val="24"/>
              </w:rPr>
              <w:t>5</w:t>
            </w:r>
            <w:r w:rsidR="003639EA" w:rsidRPr="00B60E6E">
              <w:rPr>
                <w:rFonts w:ascii="Times New Roman" w:hAnsi="Times New Roman" w:cs="Times New Roman"/>
                <w:color w:val="000000"/>
                <w:sz w:val="24"/>
                <w:szCs w:val="24"/>
              </w:rPr>
              <w:t>000</w:t>
            </w:r>
          </w:p>
        </w:tc>
        <w:tc>
          <w:tcPr>
            <w:tcW w:w="1418" w:type="dxa"/>
            <w:tcBorders>
              <w:top w:val="nil"/>
              <w:left w:val="nil"/>
              <w:bottom w:val="single" w:sz="8" w:space="0" w:color="auto"/>
              <w:right w:val="single" w:sz="8" w:space="0" w:color="auto"/>
            </w:tcBorders>
            <w:shd w:val="clear" w:color="auto" w:fill="auto"/>
            <w:noWrap/>
            <w:vAlign w:val="center"/>
            <w:hideMark/>
          </w:tcPr>
          <w:p w14:paraId="2235F91B" w14:textId="3CB45E17" w:rsidR="003639EA" w:rsidRPr="00B60E6E" w:rsidRDefault="003639EA" w:rsidP="00C26398">
            <w:pPr>
              <w:spacing w:after="0" w:line="240" w:lineRule="auto"/>
              <w:jc w:val="right"/>
              <w:rPr>
                <w:rFonts w:ascii="Times New Roman" w:hAnsi="Times New Roman" w:cs="Times New Roman"/>
                <w:color w:val="000000"/>
                <w:sz w:val="24"/>
                <w:szCs w:val="24"/>
                <w:lang w:eastAsia="es-MX"/>
              </w:rPr>
            </w:pPr>
            <w:r w:rsidRPr="00B60E6E">
              <w:rPr>
                <w:rFonts w:ascii="Times New Roman" w:hAnsi="Times New Roman" w:cs="Times New Roman"/>
                <w:color w:val="000000"/>
                <w:sz w:val="24"/>
                <w:szCs w:val="24"/>
              </w:rPr>
              <w:t>0.1</w:t>
            </w:r>
            <w:r w:rsidR="006106A4">
              <w:rPr>
                <w:rFonts w:ascii="Times New Roman" w:hAnsi="Times New Roman" w:cs="Times New Roman"/>
                <w:color w:val="000000"/>
                <w:sz w:val="24"/>
                <w:szCs w:val="24"/>
              </w:rPr>
              <w:t xml:space="preserve"> </w:t>
            </w:r>
            <w:r w:rsidRPr="00B60E6E">
              <w:rPr>
                <w:rFonts w:ascii="Times New Roman" w:hAnsi="Times New Roman" w:cs="Times New Roman"/>
                <w:color w:val="000000"/>
                <w:sz w:val="24"/>
                <w:szCs w:val="24"/>
              </w:rPr>
              <w:t>%</w:t>
            </w:r>
          </w:p>
        </w:tc>
      </w:tr>
    </w:tbl>
    <w:p w14:paraId="1F8CF4AC" w14:textId="40C0D379" w:rsidR="00A96DFB" w:rsidRDefault="003639EA" w:rsidP="007A3100">
      <w:pPr>
        <w:jc w:val="center"/>
        <w:rPr>
          <w:rFonts w:ascii="Times New Roman" w:hAnsi="Times New Roman" w:cs="Times New Roman"/>
          <w:sz w:val="24"/>
          <w:szCs w:val="24"/>
        </w:rPr>
      </w:pPr>
      <w:r w:rsidRPr="00B60E6E">
        <w:rPr>
          <w:rFonts w:ascii="Times New Roman" w:hAnsi="Times New Roman" w:cs="Times New Roman"/>
          <w:sz w:val="24"/>
          <w:szCs w:val="24"/>
        </w:rPr>
        <w:t>Fuente: Elaboració</w:t>
      </w:r>
      <w:r w:rsidR="006106A4">
        <w:rPr>
          <w:rFonts w:ascii="Times New Roman" w:hAnsi="Times New Roman" w:cs="Times New Roman"/>
          <w:sz w:val="24"/>
          <w:szCs w:val="24"/>
        </w:rPr>
        <w:t>n propia a partir de USDA (2017)</w:t>
      </w:r>
    </w:p>
    <w:p w14:paraId="407D8ECA" w14:textId="2BDBC050" w:rsidR="00F37E56" w:rsidRDefault="00F37E56" w:rsidP="007A3100">
      <w:pPr>
        <w:jc w:val="center"/>
        <w:rPr>
          <w:rFonts w:ascii="Arial" w:hAnsi="Arial" w:cs="Arial"/>
          <w:color w:val="FF0000"/>
        </w:rPr>
      </w:pPr>
    </w:p>
    <w:p w14:paraId="286D8A3E" w14:textId="0D5D2373" w:rsidR="00F37E56" w:rsidRDefault="00F37E56" w:rsidP="007A3100">
      <w:pPr>
        <w:jc w:val="center"/>
        <w:rPr>
          <w:rFonts w:ascii="Arial" w:hAnsi="Arial" w:cs="Arial"/>
          <w:color w:val="FF0000"/>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37E56" w:rsidRPr="00F945FD" w14:paraId="670AC4B3" w14:textId="77777777" w:rsidTr="00F37E56">
        <w:trPr>
          <w:jc w:val="center"/>
        </w:trPr>
        <w:tc>
          <w:tcPr>
            <w:tcW w:w="3045" w:type="dxa"/>
            <w:shd w:val="clear" w:color="auto" w:fill="auto"/>
            <w:tcMar>
              <w:top w:w="100" w:type="dxa"/>
              <w:left w:w="100" w:type="dxa"/>
              <w:bottom w:w="100" w:type="dxa"/>
              <w:right w:w="100" w:type="dxa"/>
            </w:tcMar>
          </w:tcPr>
          <w:p w14:paraId="5183C750" w14:textId="77777777" w:rsidR="00F37E56" w:rsidRPr="0048642A" w:rsidRDefault="00F37E56" w:rsidP="00F37E56">
            <w:pPr>
              <w:pStyle w:val="Ttulo3"/>
              <w:widowControl w:val="0"/>
              <w:spacing w:before="0" w:after="0" w:afterAutospacing="0"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47822679" w14:textId="77777777" w:rsidR="00F37E56" w:rsidRPr="0048642A" w:rsidRDefault="00F37E56" w:rsidP="00F37E56">
            <w:pPr>
              <w:pStyle w:val="Ttulo3"/>
              <w:widowControl w:val="0"/>
              <w:spacing w:before="0" w:after="0" w:afterAutospacing="0" w:line="240" w:lineRule="auto"/>
              <w:rPr>
                <w:sz w:val="20"/>
                <w:szCs w:val="20"/>
              </w:rPr>
            </w:pPr>
            <w:bookmarkStart w:id="3" w:name="_btsjgdfgjwkr" w:colFirst="0" w:colLast="0"/>
            <w:bookmarkEnd w:id="3"/>
            <w:r>
              <w:rPr>
                <w:sz w:val="20"/>
                <w:szCs w:val="20"/>
              </w:rPr>
              <w:t>Autor(es)</w:t>
            </w:r>
          </w:p>
        </w:tc>
      </w:tr>
      <w:tr w:rsidR="00F37E56" w:rsidRPr="005018F4" w14:paraId="49E93ECC" w14:textId="77777777" w:rsidTr="00F37E56">
        <w:trPr>
          <w:jc w:val="center"/>
        </w:trPr>
        <w:tc>
          <w:tcPr>
            <w:tcW w:w="3045" w:type="dxa"/>
            <w:shd w:val="clear" w:color="auto" w:fill="auto"/>
            <w:tcMar>
              <w:top w:w="100" w:type="dxa"/>
              <w:left w:w="100" w:type="dxa"/>
              <w:bottom w:w="100" w:type="dxa"/>
              <w:right w:w="100" w:type="dxa"/>
            </w:tcMar>
          </w:tcPr>
          <w:p w14:paraId="2328F194" w14:textId="77777777" w:rsidR="00F37E56" w:rsidRPr="0048642A" w:rsidRDefault="00F37E56" w:rsidP="00F37E56">
            <w:pPr>
              <w:widowControl w:val="0"/>
              <w:spacing w:after="0"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4C8797A" w14:textId="77777777" w:rsidR="00F37E56" w:rsidRPr="0048642A" w:rsidRDefault="00F37E56" w:rsidP="00F37E56">
            <w:pPr>
              <w:widowControl w:val="0"/>
              <w:spacing w:after="0" w:line="240" w:lineRule="auto"/>
              <w:rPr>
                <w:sz w:val="18"/>
                <w:szCs w:val="18"/>
              </w:rPr>
            </w:pPr>
            <w:r w:rsidRPr="00094FC5">
              <w:rPr>
                <w:b/>
                <w:sz w:val="18"/>
                <w:szCs w:val="18"/>
              </w:rPr>
              <w:t>Yonatan López Santos</w:t>
            </w:r>
          </w:p>
        </w:tc>
      </w:tr>
      <w:tr w:rsidR="00F37E56" w:rsidRPr="005018F4" w14:paraId="354F72AA" w14:textId="77777777" w:rsidTr="00F37E56">
        <w:trPr>
          <w:jc w:val="center"/>
        </w:trPr>
        <w:tc>
          <w:tcPr>
            <w:tcW w:w="3045" w:type="dxa"/>
            <w:shd w:val="clear" w:color="auto" w:fill="auto"/>
            <w:tcMar>
              <w:top w:w="100" w:type="dxa"/>
              <w:left w:w="100" w:type="dxa"/>
              <w:bottom w:w="100" w:type="dxa"/>
              <w:right w:w="100" w:type="dxa"/>
            </w:tcMar>
          </w:tcPr>
          <w:p w14:paraId="141AED28" w14:textId="77777777" w:rsidR="00F37E56" w:rsidRPr="0048642A" w:rsidRDefault="00F37E56" w:rsidP="00F37E56">
            <w:pPr>
              <w:widowControl w:val="0"/>
              <w:spacing w:after="0"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6808D139" w14:textId="77777777" w:rsidR="00F37E56" w:rsidRPr="0048642A" w:rsidRDefault="00F37E56" w:rsidP="00F37E56">
            <w:pPr>
              <w:widowControl w:val="0"/>
              <w:spacing w:after="0" w:line="240" w:lineRule="auto"/>
              <w:rPr>
                <w:sz w:val="18"/>
                <w:szCs w:val="18"/>
              </w:rPr>
            </w:pPr>
            <w:r w:rsidRPr="00094FC5">
              <w:rPr>
                <w:b/>
                <w:sz w:val="18"/>
                <w:szCs w:val="18"/>
              </w:rPr>
              <w:t>Yonatan López Santos</w:t>
            </w:r>
          </w:p>
        </w:tc>
      </w:tr>
      <w:tr w:rsidR="00F37E56" w:rsidRPr="005018F4" w14:paraId="5095ACF5" w14:textId="77777777" w:rsidTr="00F37E56">
        <w:trPr>
          <w:jc w:val="center"/>
        </w:trPr>
        <w:tc>
          <w:tcPr>
            <w:tcW w:w="3045" w:type="dxa"/>
            <w:shd w:val="clear" w:color="auto" w:fill="auto"/>
            <w:tcMar>
              <w:top w:w="100" w:type="dxa"/>
              <w:left w:w="100" w:type="dxa"/>
              <w:bottom w:w="100" w:type="dxa"/>
              <w:right w:w="100" w:type="dxa"/>
            </w:tcMar>
          </w:tcPr>
          <w:p w14:paraId="43EEC05F" w14:textId="77777777" w:rsidR="00F37E56" w:rsidRPr="0048642A" w:rsidRDefault="00F37E56" w:rsidP="00F37E56">
            <w:pPr>
              <w:widowControl w:val="0"/>
              <w:spacing w:after="0"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3956C378" w14:textId="77777777" w:rsidR="00F37E56" w:rsidRPr="0048642A" w:rsidRDefault="00F37E56" w:rsidP="00F37E56">
            <w:pPr>
              <w:widowControl w:val="0"/>
              <w:spacing w:after="0" w:line="240" w:lineRule="auto"/>
              <w:rPr>
                <w:sz w:val="18"/>
                <w:szCs w:val="18"/>
              </w:rPr>
            </w:pPr>
            <w:r>
              <w:rPr>
                <w:b/>
                <w:sz w:val="18"/>
                <w:szCs w:val="18"/>
              </w:rPr>
              <w:t>NO APLICA</w:t>
            </w:r>
          </w:p>
        </w:tc>
      </w:tr>
      <w:tr w:rsidR="00F37E56" w:rsidRPr="00DA2939" w14:paraId="42638330" w14:textId="77777777" w:rsidTr="00F37E56">
        <w:trPr>
          <w:jc w:val="center"/>
        </w:trPr>
        <w:tc>
          <w:tcPr>
            <w:tcW w:w="3045" w:type="dxa"/>
            <w:shd w:val="clear" w:color="auto" w:fill="auto"/>
            <w:tcMar>
              <w:top w:w="100" w:type="dxa"/>
              <w:left w:w="100" w:type="dxa"/>
              <w:bottom w:w="100" w:type="dxa"/>
              <w:right w:w="100" w:type="dxa"/>
            </w:tcMar>
          </w:tcPr>
          <w:p w14:paraId="19190F18" w14:textId="77777777" w:rsidR="00F37E56" w:rsidRPr="0048642A" w:rsidRDefault="00F37E56" w:rsidP="00F37E56">
            <w:pPr>
              <w:widowControl w:val="0"/>
              <w:spacing w:after="0"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164C842" w14:textId="77777777" w:rsidR="00F37E56" w:rsidRPr="0048642A" w:rsidRDefault="00F37E56" w:rsidP="00F37E56">
            <w:pPr>
              <w:widowControl w:val="0"/>
              <w:spacing w:after="0" w:line="240" w:lineRule="auto"/>
              <w:rPr>
                <w:sz w:val="18"/>
                <w:szCs w:val="18"/>
              </w:rPr>
            </w:pPr>
            <w:r w:rsidRPr="00094FC5">
              <w:rPr>
                <w:b/>
                <w:sz w:val="18"/>
                <w:szCs w:val="18"/>
              </w:rPr>
              <w:t>Yonatan López Santos</w:t>
            </w:r>
            <w:r>
              <w:rPr>
                <w:b/>
                <w:sz w:val="18"/>
                <w:szCs w:val="18"/>
              </w:rPr>
              <w:t xml:space="preserve"> / </w:t>
            </w:r>
            <w:r w:rsidRPr="00094FC5">
              <w:rPr>
                <w:b/>
                <w:sz w:val="18"/>
                <w:szCs w:val="18"/>
              </w:rPr>
              <w:t>Ezequiel Arvizu Barrón</w:t>
            </w:r>
            <w:r>
              <w:rPr>
                <w:b/>
                <w:sz w:val="18"/>
                <w:szCs w:val="18"/>
              </w:rPr>
              <w:t xml:space="preserve"> / </w:t>
            </w:r>
            <w:r w:rsidRPr="005018F4">
              <w:rPr>
                <w:b/>
                <w:sz w:val="18"/>
                <w:szCs w:val="18"/>
              </w:rPr>
              <w:t xml:space="preserve">Yesica </w:t>
            </w:r>
            <w:proofErr w:type="spellStart"/>
            <w:r w:rsidRPr="005018F4">
              <w:rPr>
                <w:b/>
                <w:sz w:val="18"/>
                <w:szCs w:val="18"/>
              </w:rPr>
              <w:t>Mayett</w:t>
            </w:r>
            <w:proofErr w:type="spellEnd"/>
            <w:r w:rsidRPr="005018F4">
              <w:rPr>
                <w:b/>
                <w:sz w:val="18"/>
                <w:szCs w:val="18"/>
              </w:rPr>
              <w:t xml:space="preserve"> Moreno</w:t>
            </w:r>
          </w:p>
        </w:tc>
      </w:tr>
      <w:tr w:rsidR="00F37E56" w:rsidRPr="005018F4" w14:paraId="7C0DBA34" w14:textId="77777777" w:rsidTr="00F37E56">
        <w:trPr>
          <w:jc w:val="center"/>
        </w:trPr>
        <w:tc>
          <w:tcPr>
            <w:tcW w:w="3045" w:type="dxa"/>
            <w:shd w:val="clear" w:color="auto" w:fill="auto"/>
            <w:tcMar>
              <w:top w:w="100" w:type="dxa"/>
              <w:left w:w="100" w:type="dxa"/>
              <w:bottom w:w="100" w:type="dxa"/>
              <w:right w:w="100" w:type="dxa"/>
            </w:tcMar>
          </w:tcPr>
          <w:p w14:paraId="7EACA1F9" w14:textId="77777777" w:rsidR="00F37E56" w:rsidRPr="0048642A" w:rsidRDefault="00F37E56" w:rsidP="00F37E56">
            <w:pPr>
              <w:widowControl w:val="0"/>
              <w:spacing w:after="0"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3FCECFFC" w14:textId="77777777" w:rsidR="00F37E56" w:rsidRPr="0048642A" w:rsidRDefault="00F37E56" w:rsidP="00F37E56">
            <w:pPr>
              <w:widowControl w:val="0"/>
              <w:spacing w:after="0" w:line="240" w:lineRule="auto"/>
              <w:rPr>
                <w:sz w:val="18"/>
                <w:szCs w:val="18"/>
              </w:rPr>
            </w:pPr>
            <w:r w:rsidRPr="00094FC5">
              <w:rPr>
                <w:b/>
                <w:sz w:val="18"/>
                <w:szCs w:val="18"/>
              </w:rPr>
              <w:t>Yonatan López Santos</w:t>
            </w:r>
          </w:p>
        </w:tc>
      </w:tr>
      <w:tr w:rsidR="00F37E56" w:rsidRPr="00DA2939" w14:paraId="22A1A942" w14:textId="77777777" w:rsidTr="00F37E56">
        <w:trPr>
          <w:jc w:val="center"/>
        </w:trPr>
        <w:tc>
          <w:tcPr>
            <w:tcW w:w="3045" w:type="dxa"/>
            <w:shd w:val="clear" w:color="auto" w:fill="auto"/>
            <w:tcMar>
              <w:top w:w="100" w:type="dxa"/>
              <w:left w:w="100" w:type="dxa"/>
              <w:bottom w:w="100" w:type="dxa"/>
              <w:right w:w="100" w:type="dxa"/>
            </w:tcMar>
          </w:tcPr>
          <w:p w14:paraId="35AD5DEB" w14:textId="77777777" w:rsidR="00F37E56" w:rsidRPr="0048642A" w:rsidRDefault="00F37E56" w:rsidP="00F37E56">
            <w:pPr>
              <w:widowControl w:val="0"/>
              <w:spacing w:after="0"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56F8D21E" w14:textId="77777777" w:rsidR="00F37E56" w:rsidRPr="0048642A" w:rsidRDefault="00F37E56" w:rsidP="00F37E56">
            <w:pPr>
              <w:widowControl w:val="0"/>
              <w:spacing w:after="0" w:line="240" w:lineRule="auto"/>
              <w:rPr>
                <w:sz w:val="18"/>
                <w:szCs w:val="18"/>
              </w:rPr>
            </w:pPr>
            <w:r w:rsidRPr="00094FC5">
              <w:rPr>
                <w:b/>
                <w:sz w:val="18"/>
                <w:szCs w:val="18"/>
              </w:rPr>
              <w:t>Yonatan López Santos</w:t>
            </w:r>
            <w:r>
              <w:rPr>
                <w:b/>
                <w:sz w:val="18"/>
                <w:szCs w:val="18"/>
              </w:rPr>
              <w:t xml:space="preserve"> / </w:t>
            </w:r>
            <w:r w:rsidRPr="00094FC5">
              <w:rPr>
                <w:b/>
                <w:sz w:val="18"/>
                <w:szCs w:val="18"/>
              </w:rPr>
              <w:t>Ezequiel Arvizu Barrón</w:t>
            </w:r>
            <w:r>
              <w:rPr>
                <w:b/>
                <w:sz w:val="18"/>
                <w:szCs w:val="18"/>
              </w:rPr>
              <w:t xml:space="preserve"> / </w:t>
            </w:r>
            <w:r w:rsidRPr="005018F4">
              <w:rPr>
                <w:b/>
                <w:sz w:val="18"/>
                <w:szCs w:val="18"/>
              </w:rPr>
              <w:t>Alberto Asiain Hoyos</w:t>
            </w:r>
          </w:p>
        </w:tc>
      </w:tr>
      <w:tr w:rsidR="00F37E56" w:rsidRPr="00DA2939" w14:paraId="672F52EE" w14:textId="77777777" w:rsidTr="00F37E56">
        <w:trPr>
          <w:jc w:val="center"/>
        </w:trPr>
        <w:tc>
          <w:tcPr>
            <w:tcW w:w="3045" w:type="dxa"/>
            <w:shd w:val="clear" w:color="auto" w:fill="auto"/>
            <w:tcMar>
              <w:top w:w="100" w:type="dxa"/>
              <w:left w:w="100" w:type="dxa"/>
              <w:bottom w:w="100" w:type="dxa"/>
              <w:right w:w="100" w:type="dxa"/>
            </w:tcMar>
          </w:tcPr>
          <w:p w14:paraId="2EE71315" w14:textId="77777777" w:rsidR="00F37E56" w:rsidRPr="0048642A" w:rsidRDefault="00F37E56" w:rsidP="00F37E56">
            <w:pPr>
              <w:widowControl w:val="0"/>
              <w:spacing w:after="0"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71D3D8C1" w14:textId="77777777" w:rsidR="00F37E56" w:rsidRPr="0048642A" w:rsidRDefault="00F37E56" w:rsidP="00F37E56">
            <w:pPr>
              <w:widowControl w:val="0"/>
              <w:spacing w:after="0" w:line="240" w:lineRule="auto"/>
              <w:rPr>
                <w:sz w:val="18"/>
                <w:szCs w:val="18"/>
              </w:rPr>
            </w:pPr>
            <w:r w:rsidRPr="00094FC5">
              <w:rPr>
                <w:b/>
                <w:sz w:val="18"/>
                <w:szCs w:val="18"/>
              </w:rPr>
              <w:t>Ezequiel Arvizu Barrón</w:t>
            </w:r>
            <w:r>
              <w:rPr>
                <w:b/>
                <w:sz w:val="18"/>
                <w:szCs w:val="18"/>
              </w:rPr>
              <w:t xml:space="preserve"> / </w:t>
            </w:r>
            <w:r w:rsidRPr="005018F4">
              <w:rPr>
                <w:b/>
                <w:sz w:val="18"/>
                <w:szCs w:val="18"/>
              </w:rPr>
              <w:t>Alberto Asiain Hoyos</w:t>
            </w:r>
          </w:p>
        </w:tc>
      </w:tr>
      <w:tr w:rsidR="00F37E56" w:rsidRPr="005018F4" w14:paraId="4C5A3408" w14:textId="77777777" w:rsidTr="00F37E56">
        <w:trPr>
          <w:jc w:val="center"/>
        </w:trPr>
        <w:tc>
          <w:tcPr>
            <w:tcW w:w="3045" w:type="dxa"/>
            <w:shd w:val="clear" w:color="auto" w:fill="auto"/>
            <w:tcMar>
              <w:top w:w="100" w:type="dxa"/>
              <w:left w:w="100" w:type="dxa"/>
              <w:bottom w:w="100" w:type="dxa"/>
              <w:right w:w="100" w:type="dxa"/>
            </w:tcMar>
          </w:tcPr>
          <w:p w14:paraId="1D8D672E" w14:textId="77777777" w:rsidR="00F37E56" w:rsidRPr="0048642A" w:rsidRDefault="00F37E56" w:rsidP="00F37E56">
            <w:pPr>
              <w:widowControl w:val="0"/>
              <w:spacing w:after="0"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4BC06B5" w14:textId="77777777" w:rsidR="00F37E56" w:rsidRPr="0048642A" w:rsidRDefault="00F37E56" w:rsidP="00F37E56">
            <w:pPr>
              <w:widowControl w:val="0"/>
              <w:spacing w:after="0" w:line="240" w:lineRule="auto"/>
              <w:rPr>
                <w:sz w:val="18"/>
                <w:szCs w:val="18"/>
              </w:rPr>
            </w:pPr>
            <w:r w:rsidRPr="00094FC5">
              <w:rPr>
                <w:b/>
                <w:sz w:val="18"/>
                <w:szCs w:val="18"/>
              </w:rPr>
              <w:t>Yonatan López Santos</w:t>
            </w:r>
          </w:p>
        </w:tc>
      </w:tr>
      <w:tr w:rsidR="00F37E56" w:rsidRPr="005018F4" w14:paraId="28A2C33B" w14:textId="77777777" w:rsidTr="00F37E56">
        <w:trPr>
          <w:jc w:val="center"/>
        </w:trPr>
        <w:tc>
          <w:tcPr>
            <w:tcW w:w="3045" w:type="dxa"/>
            <w:shd w:val="clear" w:color="auto" w:fill="auto"/>
            <w:tcMar>
              <w:top w:w="100" w:type="dxa"/>
              <w:left w:w="100" w:type="dxa"/>
              <w:bottom w:w="100" w:type="dxa"/>
              <w:right w:w="100" w:type="dxa"/>
            </w:tcMar>
          </w:tcPr>
          <w:p w14:paraId="3B8AEE6C" w14:textId="77777777" w:rsidR="00F37E56" w:rsidRPr="0048642A" w:rsidRDefault="00F37E56" w:rsidP="00F37E56">
            <w:pPr>
              <w:widowControl w:val="0"/>
              <w:spacing w:after="0"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5BE98511" w14:textId="77777777" w:rsidR="00F37E56" w:rsidRPr="0048642A" w:rsidRDefault="00F37E56" w:rsidP="00F37E56">
            <w:pPr>
              <w:widowControl w:val="0"/>
              <w:spacing w:after="0" w:line="240" w:lineRule="auto"/>
              <w:rPr>
                <w:sz w:val="18"/>
                <w:szCs w:val="18"/>
              </w:rPr>
            </w:pPr>
            <w:r w:rsidRPr="00094FC5">
              <w:rPr>
                <w:b/>
                <w:sz w:val="18"/>
                <w:szCs w:val="18"/>
              </w:rPr>
              <w:t>Yonatan López Santos</w:t>
            </w:r>
          </w:p>
        </w:tc>
      </w:tr>
      <w:tr w:rsidR="00F37E56" w:rsidRPr="00F945FD" w14:paraId="6238FFBA" w14:textId="77777777" w:rsidTr="00F37E56">
        <w:trPr>
          <w:jc w:val="center"/>
        </w:trPr>
        <w:tc>
          <w:tcPr>
            <w:tcW w:w="3045" w:type="dxa"/>
            <w:shd w:val="clear" w:color="auto" w:fill="auto"/>
            <w:tcMar>
              <w:top w:w="100" w:type="dxa"/>
              <w:left w:w="100" w:type="dxa"/>
              <w:bottom w:w="100" w:type="dxa"/>
              <w:right w:w="100" w:type="dxa"/>
            </w:tcMar>
          </w:tcPr>
          <w:p w14:paraId="0728710C" w14:textId="77777777" w:rsidR="00F37E56" w:rsidRPr="0048642A" w:rsidRDefault="00F37E56" w:rsidP="00F37E56">
            <w:pPr>
              <w:widowControl w:val="0"/>
              <w:spacing w:after="0"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35859F32" w14:textId="77777777" w:rsidR="00F37E56" w:rsidRPr="0048642A" w:rsidRDefault="00F37E56" w:rsidP="00F37E56">
            <w:pPr>
              <w:widowControl w:val="0"/>
              <w:spacing w:after="0" w:line="240" w:lineRule="auto"/>
              <w:rPr>
                <w:sz w:val="18"/>
                <w:szCs w:val="18"/>
              </w:rPr>
            </w:pPr>
            <w:r w:rsidRPr="00094FC5">
              <w:rPr>
                <w:b/>
                <w:sz w:val="18"/>
                <w:szCs w:val="18"/>
              </w:rPr>
              <w:t>Yonatan López Santos</w:t>
            </w:r>
            <w:r>
              <w:rPr>
                <w:b/>
                <w:sz w:val="18"/>
                <w:szCs w:val="18"/>
              </w:rPr>
              <w:t xml:space="preserve"> / </w:t>
            </w:r>
            <w:r w:rsidRPr="005018F4">
              <w:rPr>
                <w:b/>
                <w:sz w:val="18"/>
                <w:szCs w:val="18"/>
              </w:rPr>
              <w:t xml:space="preserve">Yesica </w:t>
            </w:r>
            <w:proofErr w:type="spellStart"/>
            <w:r w:rsidRPr="005018F4">
              <w:rPr>
                <w:b/>
                <w:sz w:val="18"/>
                <w:szCs w:val="18"/>
              </w:rPr>
              <w:t>Mayett</w:t>
            </w:r>
            <w:proofErr w:type="spellEnd"/>
            <w:r w:rsidRPr="005018F4">
              <w:rPr>
                <w:b/>
                <w:sz w:val="18"/>
                <w:szCs w:val="18"/>
              </w:rPr>
              <w:t xml:space="preserve"> Moreno</w:t>
            </w:r>
            <w:r>
              <w:rPr>
                <w:b/>
                <w:sz w:val="18"/>
                <w:szCs w:val="18"/>
              </w:rPr>
              <w:t xml:space="preserve"> /</w:t>
            </w:r>
            <w:r w:rsidRPr="00094FC5">
              <w:rPr>
                <w:b/>
                <w:sz w:val="18"/>
                <w:szCs w:val="18"/>
              </w:rPr>
              <w:t xml:space="preserve"> Ezequiel Arvizu Barrón</w:t>
            </w:r>
            <w:r>
              <w:rPr>
                <w:b/>
                <w:sz w:val="18"/>
                <w:szCs w:val="18"/>
              </w:rPr>
              <w:t>/</w:t>
            </w:r>
            <w:r w:rsidRPr="005018F4">
              <w:rPr>
                <w:b/>
                <w:sz w:val="18"/>
                <w:szCs w:val="18"/>
              </w:rPr>
              <w:t xml:space="preserve"> Alberto Asiain Hoyos</w:t>
            </w:r>
            <w:r>
              <w:rPr>
                <w:b/>
                <w:sz w:val="18"/>
                <w:szCs w:val="18"/>
              </w:rPr>
              <w:t xml:space="preserve"> / </w:t>
            </w:r>
            <w:r w:rsidRPr="005018F4">
              <w:rPr>
                <w:b/>
                <w:sz w:val="18"/>
                <w:szCs w:val="18"/>
              </w:rPr>
              <w:t>José Luis Martínez Flores</w:t>
            </w:r>
          </w:p>
        </w:tc>
      </w:tr>
      <w:tr w:rsidR="00F37E56" w:rsidRPr="00F945FD" w14:paraId="7BB480CF" w14:textId="77777777" w:rsidTr="00F37E56">
        <w:trPr>
          <w:jc w:val="center"/>
        </w:trPr>
        <w:tc>
          <w:tcPr>
            <w:tcW w:w="3045" w:type="dxa"/>
            <w:shd w:val="clear" w:color="auto" w:fill="auto"/>
            <w:tcMar>
              <w:top w:w="100" w:type="dxa"/>
              <w:left w:w="100" w:type="dxa"/>
              <w:bottom w:w="100" w:type="dxa"/>
              <w:right w:w="100" w:type="dxa"/>
            </w:tcMar>
          </w:tcPr>
          <w:p w14:paraId="3FB7761C" w14:textId="77777777" w:rsidR="00F37E56" w:rsidRPr="0048642A" w:rsidRDefault="00F37E56" w:rsidP="00F37E56">
            <w:pPr>
              <w:widowControl w:val="0"/>
              <w:spacing w:after="0"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7C3AED74" w14:textId="77777777" w:rsidR="00F37E56" w:rsidRPr="0048642A" w:rsidRDefault="00F37E56" w:rsidP="00F37E56">
            <w:pPr>
              <w:widowControl w:val="0"/>
              <w:spacing w:after="0" w:line="240" w:lineRule="auto"/>
              <w:rPr>
                <w:sz w:val="18"/>
                <w:szCs w:val="18"/>
              </w:rPr>
            </w:pPr>
            <w:r w:rsidRPr="00094FC5">
              <w:rPr>
                <w:b/>
                <w:sz w:val="18"/>
                <w:szCs w:val="18"/>
              </w:rPr>
              <w:t>Yonatan López Santos</w:t>
            </w:r>
            <w:r>
              <w:rPr>
                <w:b/>
                <w:sz w:val="18"/>
                <w:szCs w:val="18"/>
              </w:rPr>
              <w:t xml:space="preserve"> / </w:t>
            </w:r>
            <w:r w:rsidRPr="005018F4">
              <w:rPr>
                <w:b/>
                <w:sz w:val="18"/>
                <w:szCs w:val="18"/>
              </w:rPr>
              <w:t xml:space="preserve">Yesica </w:t>
            </w:r>
            <w:proofErr w:type="spellStart"/>
            <w:r w:rsidRPr="005018F4">
              <w:rPr>
                <w:b/>
                <w:sz w:val="18"/>
                <w:szCs w:val="18"/>
              </w:rPr>
              <w:t>Mayett</w:t>
            </w:r>
            <w:proofErr w:type="spellEnd"/>
            <w:r w:rsidRPr="005018F4">
              <w:rPr>
                <w:b/>
                <w:sz w:val="18"/>
                <w:szCs w:val="18"/>
              </w:rPr>
              <w:t xml:space="preserve"> Moreno</w:t>
            </w:r>
            <w:r>
              <w:rPr>
                <w:b/>
                <w:sz w:val="18"/>
                <w:szCs w:val="18"/>
              </w:rPr>
              <w:t xml:space="preserve"> / </w:t>
            </w:r>
            <w:r w:rsidRPr="005018F4">
              <w:rPr>
                <w:b/>
                <w:sz w:val="18"/>
                <w:szCs w:val="18"/>
              </w:rPr>
              <w:t>José Luis Martínez Flores</w:t>
            </w:r>
          </w:p>
        </w:tc>
      </w:tr>
      <w:tr w:rsidR="00F37E56" w:rsidRPr="00DA2939" w14:paraId="7B5E22FD" w14:textId="77777777" w:rsidTr="00F37E56">
        <w:trPr>
          <w:jc w:val="center"/>
        </w:trPr>
        <w:tc>
          <w:tcPr>
            <w:tcW w:w="3045" w:type="dxa"/>
            <w:shd w:val="clear" w:color="auto" w:fill="auto"/>
            <w:tcMar>
              <w:top w:w="100" w:type="dxa"/>
              <w:left w:w="100" w:type="dxa"/>
              <w:bottom w:w="100" w:type="dxa"/>
              <w:right w:w="100" w:type="dxa"/>
            </w:tcMar>
          </w:tcPr>
          <w:p w14:paraId="56BE8733" w14:textId="77777777" w:rsidR="00F37E56" w:rsidRPr="0048642A" w:rsidRDefault="00F37E56" w:rsidP="00F37E56">
            <w:pPr>
              <w:widowControl w:val="0"/>
              <w:spacing w:after="0"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66558F0F" w14:textId="77777777" w:rsidR="00F37E56" w:rsidRPr="0048642A" w:rsidRDefault="00F37E56" w:rsidP="00F37E56">
            <w:pPr>
              <w:widowControl w:val="0"/>
              <w:spacing w:after="0" w:line="240" w:lineRule="auto"/>
              <w:rPr>
                <w:sz w:val="18"/>
                <w:szCs w:val="18"/>
              </w:rPr>
            </w:pPr>
            <w:r w:rsidRPr="00094FC5">
              <w:rPr>
                <w:b/>
                <w:sz w:val="18"/>
                <w:szCs w:val="18"/>
              </w:rPr>
              <w:t>Ezequiel Arvizu Barrón</w:t>
            </w:r>
            <w:r>
              <w:rPr>
                <w:b/>
                <w:sz w:val="18"/>
                <w:szCs w:val="18"/>
              </w:rPr>
              <w:t xml:space="preserve"> / </w:t>
            </w:r>
            <w:r w:rsidRPr="005018F4">
              <w:rPr>
                <w:b/>
                <w:sz w:val="18"/>
                <w:szCs w:val="18"/>
              </w:rPr>
              <w:t>Alberto Asiain Hoyos</w:t>
            </w:r>
          </w:p>
        </w:tc>
      </w:tr>
      <w:tr w:rsidR="00F37E56" w:rsidRPr="00DA2939" w14:paraId="38F1165B" w14:textId="77777777" w:rsidTr="00F37E56">
        <w:trPr>
          <w:jc w:val="center"/>
        </w:trPr>
        <w:tc>
          <w:tcPr>
            <w:tcW w:w="3045" w:type="dxa"/>
            <w:shd w:val="clear" w:color="auto" w:fill="auto"/>
            <w:tcMar>
              <w:top w:w="100" w:type="dxa"/>
              <w:left w:w="100" w:type="dxa"/>
              <w:bottom w:w="100" w:type="dxa"/>
              <w:right w:w="100" w:type="dxa"/>
            </w:tcMar>
          </w:tcPr>
          <w:p w14:paraId="65713D5E" w14:textId="77777777" w:rsidR="00F37E56" w:rsidRPr="0048642A" w:rsidRDefault="00F37E56" w:rsidP="00F37E56">
            <w:pPr>
              <w:widowControl w:val="0"/>
              <w:spacing w:after="0"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444C29EC" w14:textId="77777777" w:rsidR="00F37E56" w:rsidRPr="0048642A" w:rsidRDefault="00F37E56" w:rsidP="00F37E56">
            <w:pPr>
              <w:widowControl w:val="0"/>
              <w:spacing w:after="0" w:line="240" w:lineRule="auto"/>
              <w:rPr>
                <w:sz w:val="18"/>
                <w:szCs w:val="18"/>
              </w:rPr>
            </w:pPr>
            <w:r w:rsidRPr="00094FC5">
              <w:rPr>
                <w:b/>
                <w:sz w:val="18"/>
                <w:szCs w:val="18"/>
              </w:rPr>
              <w:t>Ezequiel Arvizu Barrón</w:t>
            </w:r>
            <w:r>
              <w:rPr>
                <w:b/>
                <w:sz w:val="18"/>
                <w:szCs w:val="18"/>
              </w:rPr>
              <w:t xml:space="preserve"> / </w:t>
            </w:r>
            <w:r w:rsidRPr="005018F4">
              <w:rPr>
                <w:b/>
                <w:sz w:val="18"/>
                <w:szCs w:val="18"/>
              </w:rPr>
              <w:t>Alberto Asiain Hoyos</w:t>
            </w:r>
          </w:p>
        </w:tc>
      </w:tr>
      <w:tr w:rsidR="00F37E56" w:rsidRPr="005018F4" w14:paraId="30A0A1A5" w14:textId="77777777" w:rsidTr="00F37E56">
        <w:trPr>
          <w:jc w:val="center"/>
        </w:trPr>
        <w:tc>
          <w:tcPr>
            <w:tcW w:w="3045" w:type="dxa"/>
            <w:shd w:val="clear" w:color="auto" w:fill="auto"/>
            <w:tcMar>
              <w:top w:w="100" w:type="dxa"/>
              <w:left w:w="100" w:type="dxa"/>
              <w:bottom w:w="100" w:type="dxa"/>
              <w:right w:w="100" w:type="dxa"/>
            </w:tcMar>
          </w:tcPr>
          <w:p w14:paraId="13F36FD0" w14:textId="77777777" w:rsidR="00F37E56" w:rsidRPr="0048642A" w:rsidRDefault="00F37E56" w:rsidP="00F37E56">
            <w:pPr>
              <w:widowControl w:val="0"/>
              <w:spacing w:after="0"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7D152E5D" w14:textId="77777777" w:rsidR="00F37E56" w:rsidRPr="0048642A" w:rsidRDefault="00F37E56" w:rsidP="00F37E56">
            <w:pPr>
              <w:widowControl w:val="0"/>
              <w:spacing w:after="0" w:line="240" w:lineRule="auto"/>
              <w:rPr>
                <w:sz w:val="18"/>
                <w:szCs w:val="18"/>
              </w:rPr>
            </w:pPr>
            <w:r w:rsidRPr="005018F4">
              <w:rPr>
                <w:b/>
                <w:sz w:val="18"/>
                <w:szCs w:val="18"/>
              </w:rPr>
              <w:t>Alberto Asiain Hoyos</w:t>
            </w:r>
          </w:p>
        </w:tc>
      </w:tr>
    </w:tbl>
    <w:p w14:paraId="4925ABB9" w14:textId="77777777" w:rsidR="00F37E56" w:rsidRPr="00A96DFB" w:rsidRDefault="00F37E56" w:rsidP="007A3100">
      <w:pPr>
        <w:jc w:val="center"/>
        <w:rPr>
          <w:rFonts w:ascii="Arial" w:hAnsi="Arial" w:cs="Arial"/>
          <w:color w:val="FF0000"/>
        </w:rPr>
      </w:pPr>
    </w:p>
    <w:sectPr w:rsidR="00F37E56" w:rsidRPr="00A96DFB" w:rsidSect="003639EA">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77705" w14:textId="77777777" w:rsidR="00720421" w:rsidRDefault="00720421" w:rsidP="00711BB9">
      <w:pPr>
        <w:spacing w:after="0" w:line="240" w:lineRule="auto"/>
      </w:pPr>
      <w:r>
        <w:separator/>
      </w:r>
    </w:p>
  </w:endnote>
  <w:endnote w:type="continuationSeparator" w:id="0">
    <w:p w14:paraId="100242DA" w14:textId="77777777" w:rsidR="00720421" w:rsidRDefault="00720421" w:rsidP="0071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8EB2" w14:textId="48911D19" w:rsidR="00E86EB8" w:rsidRDefault="00E86EB8" w:rsidP="004F0732">
    <w:pPr>
      <w:pStyle w:val="Piedepgina"/>
      <w:jc w:val="center"/>
    </w:pPr>
    <w:r w:rsidRPr="003F0A20">
      <w:rPr>
        <w:rFonts w:ascii="Calibri" w:hAnsi="Calibri" w:cs="Calibri"/>
        <w:b/>
      </w:rPr>
      <w:t>Vol. 8, Núm. 16                     Enero – Junio 2018                       DOI:</w:t>
    </w:r>
    <w:r w:rsidR="003453BF">
      <w:rPr>
        <w:rFonts w:ascii="Calibri" w:hAnsi="Calibri" w:cs="Calibri"/>
        <w:b/>
      </w:rPr>
      <w:t xml:space="preserve"> </w:t>
    </w:r>
    <w:hyperlink r:id="rId1" w:history="1">
      <w:r w:rsidR="003453BF" w:rsidRPr="003453BF">
        <w:rPr>
          <w:rFonts w:ascii="Calibri" w:hAnsi="Calibri" w:cs="Calibri"/>
          <w:b/>
        </w:rPr>
        <w:t>10.23913/ride.v8i16.366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525E1" w14:textId="77777777" w:rsidR="00720421" w:rsidRDefault="00720421" w:rsidP="00711BB9">
      <w:pPr>
        <w:spacing w:after="0" w:line="240" w:lineRule="auto"/>
      </w:pPr>
      <w:r>
        <w:separator/>
      </w:r>
    </w:p>
  </w:footnote>
  <w:footnote w:type="continuationSeparator" w:id="0">
    <w:p w14:paraId="532158FE" w14:textId="77777777" w:rsidR="00720421" w:rsidRDefault="00720421" w:rsidP="00711BB9">
      <w:pPr>
        <w:spacing w:after="0" w:line="240" w:lineRule="auto"/>
      </w:pPr>
      <w:r>
        <w:continuationSeparator/>
      </w:r>
    </w:p>
  </w:footnote>
  <w:footnote w:id="1">
    <w:p w14:paraId="0A797146" w14:textId="5C69AC3A" w:rsidR="00E86EB8" w:rsidRPr="00520086" w:rsidRDefault="00E86EB8" w:rsidP="00520086">
      <w:pPr>
        <w:pStyle w:val="Textonotapie"/>
        <w:jc w:val="both"/>
        <w:rPr>
          <w:lang w:val="es-ES"/>
        </w:rPr>
      </w:pPr>
      <w:r w:rsidRPr="00520086">
        <w:rPr>
          <w:rStyle w:val="Refdenotaalpie"/>
        </w:rPr>
        <w:footnoteRef/>
      </w:r>
      <w:r w:rsidRPr="00520086">
        <w:t xml:space="preserve"> </w:t>
      </w:r>
      <w:r w:rsidRPr="00520086">
        <w:rPr>
          <w:rFonts w:ascii="Times New Roman" w:hAnsi="Times New Roman" w:cs="Times New Roman"/>
          <w:bCs/>
          <w:color w:val="000000"/>
        </w:rPr>
        <w:t>Cabe señalar que Honduras no había exportado malanga a EE. UU. en los años 2012, 2013, 2014 y 2015 (USDA, 2017).</w:t>
      </w:r>
    </w:p>
  </w:footnote>
  <w:footnote w:id="2">
    <w:p w14:paraId="4F62566E" w14:textId="757F3AB8" w:rsidR="00E86EB8" w:rsidRPr="00000907" w:rsidRDefault="00E86EB8" w:rsidP="003639EA">
      <w:pPr>
        <w:pStyle w:val="Textonotapie"/>
        <w:rPr>
          <w:rFonts w:ascii="Times New Roman" w:hAnsi="Times New Roman"/>
        </w:rPr>
      </w:pPr>
      <w:r w:rsidRPr="009444D1">
        <w:rPr>
          <w:rStyle w:val="Refdenotaalpie"/>
          <w:rFonts w:ascii="Times New Roman" w:hAnsi="Times New Roman"/>
        </w:rPr>
        <w:footnoteRef/>
      </w:r>
      <w:r w:rsidRPr="00000907">
        <w:rPr>
          <w:rFonts w:ascii="Times New Roman" w:hAnsi="Times New Roman"/>
        </w:rPr>
        <w:t xml:space="preserve"> Volumen de producción: Volumen de producción de la superficie cosechada cuya unidad de medida son las toneladas (1 tonelada</w:t>
      </w:r>
      <w:r>
        <w:rPr>
          <w:rFonts w:ascii="Times New Roman" w:hAnsi="Times New Roman"/>
        </w:rPr>
        <w:t xml:space="preserve"> </w:t>
      </w:r>
      <w:r w:rsidRPr="00000907">
        <w:rPr>
          <w:rFonts w:ascii="Times New Roman" w:hAnsi="Times New Roman"/>
        </w:rPr>
        <w:t xml:space="preserve">= 1000 </w:t>
      </w:r>
      <w:r>
        <w:rPr>
          <w:rFonts w:ascii="Times New Roman" w:hAnsi="Times New Roman"/>
        </w:rPr>
        <w:t>kg</w:t>
      </w:r>
      <w:r w:rsidRPr="00000907">
        <w:rPr>
          <w:rFonts w:ascii="Times New Roman" w:hAnsi="Times New Roman"/>
        </w:rPr>
        <w:t>) (SIAP, 2017).</w:t>
      </w:r>
    </w:p>
  </w:footnote>
  <w:footnote w:id="3">
    <w:p w14:paraId="0A9A9467" w14:textId="77777777" w:rsidR="00E86EB8" w:rsidRPr="00000907" w:rsidRDefault="00E86EB8" w:rsidP="003639EA">
      <w:pPr>
        <w:pStyle w:val="Textonotapie"/>
        <w:rPr>
          <w:rFonts w:ascii="Times New Roman" w:hAnsi="Times New Roman"/>
        </w:rPr>
      </w:pPr>
      <w:r w:rsidRPr="009444D1">
        <w:rPr>
          <w:rStyle w:val="Refdenotaalpie"/>
          <w:rFonts w:ascii="Times New Roman" w:hAnsi="Times New Roman"/>
        </w:rPr>
        <w:footnoteRef/>
      </w:r>
      <w:r w:rsidRPr="00000907">
        <w:rPr>
          <w:rFonts w:ascii="Times New Roman" w:hAnsi="Times New Roman"/>
        </w:rPr>
        <w:t xml:space="preserve"> Precio: Precio medio rural, la unidad de medida son pesos mexicanos por tonelada (SIAP, 2017).</w:t>
      </w:r>
    </w:p>
  </w:footnote>
  <w:footnote w:id="4">
    <w:p w14:paraId="673BF01C" w14:textId="77777777" w:rsidR="00E86EB8" w:rsidRPr="00000907" w:rsidRDefault="00E86EB8" w:rsidP="003639EA">
      <w:pPr>
        <w:pStyle w:val="Textonotapie"/>
        <w:rPr>
          <w:rFonts w:ascii="Times New Roman" w:hAnsi="Times New Roman"/>
        </w:rPr>
      </w:pPr>
      <w:r w:rsidRPr="009444D1">
        <w:rPr>
          <w:rStyle w:val="Refdenotaalpie"/>
          <w:rFonts w:ascii="Times New Roman" w:hAnsi="Times New Roman"/>
        </w:rPr>
        <w:footnoteRef/>
      </w:r>
      <w:r w:rsidRPr="00000907">
        <w:rPr>
          <w:rFonts w:ascii="Times New Roman" w:hAnsi="Times New Roman"/>
        </w:rPr>
        <w:t xml:space="preserve"> Valor: Valor expresado en pesos corrientes nacionales (SIAP, 2017).</w:t>
      </w:r>
    </w:p>
  </w:footnote>
  <w:footnote w:id="5">
    <w:p w14:paraId="017740F6" w14:textId="7C6E6CD7" w:rsidR="00E86EB8" w:rsidRPr="00000907" w:rsidRDefault="00E86EB8" w:rsidP="003639EA">
      <w:pPr>
        <w:pStyle w:val="Textonotapie"/>
        <w:jc w:val="both"/>
        <w:rPr>
          <w:rFonts w:ascii="Times New Roman" w:hAnsi="Times New Roman"/>
        </w:rPr>
      </w:pPr>
      <w:r w:rsidRPr="009444D1">
        <w:rPr>
          <w:rStyle w:val="Refdenotaalpie"/>
          <w:rFonts w:ascii="Times New Roman" w:hAnsi="Times New Roman"/>
        </w:rPr>
        <w:footnoteRef/>
      </w:r>
      <w:r>
        <w:rPr>
          <w:rFonts w:ascii="Times New Roman" w:hAnsi="Times New Roman"/>
        </w:rPr>
        <w:t xml:space="preserve"> Nota: De acuerdo con</w:t>
      </w:r>
      <w:r w:rsidRPr="00000907">
        <w:rPr>
          <w:rFonts w:ascii="Times New Roman" w:hAnsi="Times New Roman"/>
        </w:rPr>
        <w:t xml:space="preserve"> los registros encontrados en Canadá, el tipo de malanga imp</w:t>
      </w:r>
      <w:r>
        <w:rPr>
          <w:rFonts w:ascii="Times New Roman" w:hAnsi="Times New Roman"/>
        </w:rPr>
        <w:t xml:space="preserve">ortada está clasificada con el </w:t>
      </w:r>
      <w:proofErr w:type="spellStart"/>
      <w:r>
        <w:rPr>
          <w:rFonts w:ascii="Times New Roman" w:hAnsi="Times New Roman"/>
        </w:rPr>
        <w:t>n.°</w:t>
      </w:r>
      <w:proofErr w:type="spellEnd"/>
      <w:r>
        <w:rPr>
          <w:rFonts w:ascii="Times New Roman" w:hAnsi="Times New Roman"/>
        </w:rPr>
        <w:t xml:space="preserve"> 71440 (t</w:t>
      </w:r>
      <w:r w:rsidRPr="00000907">
        <w:rPr>
          <w:rFonts w:ascii="Times New Roman" w:hAnsi="Times New Roman"/>
        </w:rPr>
        <w:t>aro frescos /refrigerados / congelados / secos, in</w:t>
      </w:r>
      <w:r>
        <w:rPr>
          <w:rFonts w:ascii="Times New Roman" w:hAnsi="Times New Roman"/>
        </w:rPr>
        <w:t xml:space="preserve">cluso cortados en rodajas o en </w:t>
      </w:r>
      <w:r w:rsidRPr="006106A4">
        <w:rPr>
          <w:rFonts w:ascii="Times New Roman" w:hAnsi="Times New Roman"/>
          <w:i/>
        </w:rPr>
        <w:t>pellets</w:t>
      </w:r>
      <w:r w:rsidRPr="00000907">
        <w:rPr>
          <w:rFonts w:ascii="Times New Roman" w:hAnsi="Times New Roman"/>
        </w:rPr>
        <w:t>) (STATCAN, 2017).</w:t>
      </w:r>
    </w:p>
  </w:footnote>
  <w:footnote w:id="6">
    <w:p w14:paraId="5703C83A" w14:textId="4230A0C9" w:rsidR="00E86EB8" w:rsidRPr="00000907" w:rsidRDefault="00E86EB8" w:rsidP="003639EA">
      <w:pPr>
        <w:pStyle w:val="Textonotapie"/>
        <w:rPr>
          <w:rFonts w:ascii="Times New Roman" w:hAnsi="Times New Roman"/>
        </w:rPr>
      </w:pPr>
      <w:r w:rsidRPr="009444D1">
        <w:rPr>
          <w:rStyle w:val="Refdenotaalpie"/>
          <w:rFonts w:ascii="Times New Roman" w:hAnsi="Times New Roman"/>
        </w:rPr>
        <w:footnoteRef/>
      </w:r>
      <w:r w:rsidRPr="00000907">
        <w:rPr>
          <w:rFonts w:ascii="Times New Roman" w:hAnsi="Times New Roman"/>
        </w:rPr>
        <w:t xml:space="preserve"> Tipo de cambio: $1 dólar canadiense equivale a $14.0627 pesos mexicanos del día 08 de julio de 2017 (Banxico, 2017).</w:t>
      </w:r>
    </w:p>
  </w:footnote>
  <w:footnote w:id="7">
    <w:p w14:paraId="47252F04" w14:textId="3C890393" w:rsidR="00E86EB8" w:rsidRPr="00000907" w:rsidRDefault="00E86EB8" w:rsidP="003639EA">
      <w:pPr>
        <w:pStyle w:val="Textonotapie"/>
        <w:jc w:val="both"/>
        <w:rPr>
          <w:rFonts w:ascii="Times New Roman" w:hAnsi="Times New Roman"/>
        </w:rPr>
      </w:pPr>
      <w:r w:rsidRPr="00E52F1A">
        <w:rPr>
          <w:rStyle w:val="Refdenotaalpie"/>
          <w:rFonts w:ascii="Times New Roman" w:hAnsi="Times New Roman"/>
        </w:rPr>
        <w:footnoteRef/>
      </w:r>
      <w:r w:rsidRPr="00000907">
        <w:rPr>
          <w:rFonts w:ascii="Times New Roman" w:hAnsi="Times New Roman"/>
        </w:rPr>
        <w:t xml:space="preserve"> Nota: Se hace referencia al tipo de m</w:t>
      </w:r>
      <w:r>
        <w:rPr>
          <w:rFonts w:ascii="Times New Roman" w:hAnsi="Times New Roman"/>
        </w:rPr>
        <w:t xml:space="preserve">alanga importada con el </w:t>
      </w:r>
      <w:proofErr w:type="spellStart"/>
      <w:r>
        <w:rPr>
          <w:rFonts w:ascii="Times New Roman" w:hAnsi="Times New Roman"/>
        </w:rPr>
        <w:t>n.</w:t>
      </w:r>
      <w:r w:rsidRPr="00000907">
        <w:rPr>
          <w:rFonts w:ascii="Times New Roman" w:hAnsi="Times New Roman"/>
        </w:rPr>
        <w:t>°</w:t>
      </w:r>
      <w:proofErr w:type="spellEnd"/>
      <w:r w:rsidRPr="00000907">
        <w:rPr>
          <w:rFonts w:ascii="Times New Roman" w:hAnsi="Times New Roman"/>
        </w:rPr>
        <w:t xml:space="preserve"> 7144010 en los </w:t>
      </w:r>
      <w:r>
        <w:rPr>
          <w:rFonts w:ascii="Times New Roman" w:hAnsi="Times New Roman"/>
        </w:rPr>
        <w:t>EE. UU.</w:t>
      </w:r>
      <w:r w:rsidRPr="00000907">
        <w:rPr>
          <w:rFonts w:ascii="Times New Roman" w:hAnsi="Times New Roman"/>
        </w:rPr>
        <w:t xml:space="preserve"> con l</w:t>
      </w:r>
      <w:r>
        <w:rPr>
          <w:rFonts w:ascii="Times New Roman" w:hAnsi="Times New Roman"/>
        </w:rPr>
        <w:t>as siguientes características: t</w:t>
      </w:r>
      <w:r w:rsidRPr="00000907">
        <w:rPr>
          <w:rFonts w:ascii="Times New Roman" w:hAnsi="Times New Roman"/>
        </w:rPr>
        <w:t xml:space="preserve">aro fresco o refrigerado, incluso cortado en rodajas o en forma de </w:t>
      </w:r>
      <w:r w:rsidRPr="006106A4">
        <w:rPr>
          <w:rFonts w:ascii="Times New Roman" w:hAnsi="Times New Roman"/>
          <w:i/>
        </w:rPr>
        <w:t>pellets</w:t>
      </w:r>
      <w:r w:rsidRPr="00000907">
        <w:rPr>
          <w:rFonts w:ascii="Times New Roman" w:hAnsi="Times New Roman"/>
        </w:rPr>
        <w:t>.</w:t>
      </w:r>
    </w:p>
  </w:footnote>
  <w:footnote w:id="8">
    <w:p w14:paraId="78897881" w14:textId="0D434A1C" w:rsidR="00E86EB8" w:rsidRPr="00000907" w:rsidRDefault="00E86EB8" w:rsidP="003639EA">
      <w:pPr>
        <w:pStyle w:val="Textonotapie"/>
        <w:rPr>
          <w:rFonts w:ascii="Times New Roman" w:hAnsi="Times New Roman"/>
        </w:rPr>
      </w:pPr>
      <w:r w:rsidRPr="00E52F1A">
        <w:rPr>
          <w:rStyle w:val="Refdenotaalpie"/>
          <w:rFonts w:ascii="Times New Roman" w:hAnsi="Times New Roman"/>
        </w:rPr>
        <w:footnoteRef/>
      </w:r>
      <w:r w:rsidRPr="00000907">
        <w:rPr>
          <w:rFonts w:ascii="Times New Roman" w:hAnsi="Times New Roman"/>
        </w:rPr>
        <w:t xml:space="preserve"> Tipo de cambio: $1 dólar americano equivale a $18.1394 pesos mexicanos del día 08 de julio de 2017 (Banxico,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C001" w14:textId="46DE27E9" w:rsidR="00E86EB8" w:rsidRDefault="00E86EB8" w:rsidP="004F0732">
    <w:pPr>
      <w:pStyle w:val="Encabezado"/>
      <w:jc w:val="center"/>
    </w:pPr>
    <w:r w:rsidRPr="00CC35D7">
      <w:rPr>
        <w:noProof/>
        <w:lang w:eastAsia="es-MX"/>
      </w:rPr>
      <w:drawing>
        <wp:inline distT="0" distB="0" distL="0" distR="0" wp14:anchorId="53AE024A" wp14:editId="559AB942">
          <wp:extent cx="5400675" cy="628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2882"/>
    <w:multiLevelType w:val="hybridMultilevel"/>
    <w:tmpl w:val="C6D43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3096C"/>
    <w:multiLevelType w:val="hybridMultilevel"/>
    <w:tmpl w:val="E312E70A"/>
    <w:lvl w:ilvl="0" w:tplc="030670D8">
      <w:start w:val="1"/>
      <w:numFmt w:val="decimal"/>
      <w:lvlText w:val="%1."/>
      <w:lvlJc w:val="left"/>
      <w:pPr>
        <w:ind w:left="720" w:hanging="360"/>
      </w:pPr>
      <w:rPr>
        <w:rFonts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B05F97"/>
    <w:multiLevelType w:val="hybridMultilevel"/>
    <w:tmpl w:val="1C7293C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E5463C"/>
    <w:multiLevelType w:val="hybridMultilevel"/>
    <w:tmpl w:val="1C7293C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230E87"/>
    <w:multiLevelType w:val="hybridMultilevel"/>
    <w:tmpl w:val="EFAADC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E451E2"/>
    <w:multiLevelType w:val="hybridMultilevel"/>
    <w:tmpl w:val="4558AD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C64B88"/>
    <w:multiLevelType w:val="hybridMultilevel"/>
    <w:tmpl w:val="066002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5C574F"/>
    <w:multiLevelType w:val="hybridMultilevel"/>
    <w:tmpl w:val="8B8607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F114B2"/>
    <w:multiLevelType w:val="hybridMultilevel"/>
    <w:tmpl w:val="1C7293C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3C2669"/>
    <w:multiLevelType w:val="hybridMultilevel"/>
    <w:tmpl w:val="4076493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706694"/>
    <w:multiLevelType w:val="multilevel"/>
    <w:tmpl w:val="0658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5B11AE"/>
    <w:multiLevelType w:val="hybridMultilevel"/>
    <w:tmpl w:val="F726F08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3E1023E3"/>
    <w:multiLevelType w:val="hybridMultilevel"/>
    <w:tmpl w:val="AC32A0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F21B1"/>
    <w:multiLevelType w:val="hybridMultilevel"/>
    <w:tmpl w:val="56F467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167B17"/>
    <w:multiLevelType w:val="multilevel"/>
    <w:tmpl w:val="0658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A3B5867"/>
    <w:multiLevelType w:val="hybridMultilevel"/>
    <w:tmpl w:val="8730A35C"/>
    <w:lvl w:ilvl="0" w:tplc="9A5C51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C63237"/>
    <w:multiLevelType w:val="hybridMultilevel"/>
    <w:tmpl w:val="406E12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A527DB"/>
    <w:multiLevelType w:val="hybridMultilevel"/>
    <w:tmpl w:val="1C7293C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6218E2"/>
    <w:multiLevelType w:val="hybridMultilevel"/>
    <w:tmpl w:val="1C7293C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D66707"/>
    <w:multiLevelType w:val="hybridMultilevel"/>
    <w:tmpl w:val="E312E70A"/>
    <w:lvl w:ilvl="0" w:tplc="030670D8">
      <w:start w:val="1"/>
      <w:numFmt w:val="decimal"/>
      <w:lvlText w:val="%1."/>
      <w:lvlJc w:val="left"/>
      <w:pPr>
        <w:ind w:left="720" w:hanging="360"/>
      </w:pPr>
      <w:rPr>
        <w:rFonts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1522B7"/>
    <w:multiLevelType w:val="hybridMultilevel"/>
    <w:tmpl w:val="1CA073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8245C09"/>
    <w:multiLevelType w:val="hybridMultilevel"/>
    <w:tmpl w:val="FB0CAE4C"/>
    <w:lvl w:ilvl="0" w:tplc="C00C09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4C5E08"/>
    <w:multiLevelType w:val="hybridMultilevel"/>
    <w:tmpl w:val="60FAEABA"/>
    <w:lvl w:ilvl="0" w:tplc="22F0BA8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8"/>
  </w:num>
  <w:num w:numId="4">
    <w:abstractNumId w:val="6"/>
  </w:num>
  <w:num w:numId="5">
    <w:abstractNumId w:val="2"/>
  </w:num>
  <w:num w:numId="6">
    <w:abstractNumId w:val="23"/>
  </w:num>
  <w:num w:numId="7">
    <w:abstractNumId w:val="13"/>
  </w:num>
  <w:num w:numId="8">
    <w:abstractNumId w:val="22"/>
  </w:num>
  <w:num w:numId="9">
    <w:abstractNumId w:val="1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0">
    <w:abstractNumId w:val="17"/>
  </w:num>
  <w:num w:numId="11">
    <w:abstractNumId w:val="12"/>
  </w:num>
  <w:num w:numId="12">
    <w:abstractNumId w:val="9"/>
  </w:num>
  <w:num w:numId="13">
    <w:abstractNumId w:val="1"/>
  </w:num>
  <w:num w:numId="14">
    <w:abstractNumId w:val="14"/>
  </w:num>
  <w:num w:numId="15">
    <w:abstractNumId w:val="18"/>
  </w:num>
  <w:num w:numId="16">
    <w:abstractNumId w:val="3"/>
  </w:num>
  <w:num w:numId="17">
    <w:abstractNumId w:val="15"/>
  </w:num>
  <w:num w:numId="18">
    <w:abstractNumId w:val="20"/>
  </w:num>
  <w:num w:numId="19">
    <w:abstractNumId w:val="7"/>
  </w:num>
  <w:num w:numId="20">
    <w:abstractNumId w:val="11"/>
  </w:num>
  <w:num w:numId="21">
    <w:abstractNumId w:val="0"/>
  </w:num>
  <w:num w:numId="22">
    <w:abstractNumId w:val="16"/>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9"/>
    <w:rsid w:val="00000758"/>
    <w:rsid w:val="00001EA0"/>
    <w:rsid w:val="00002A90"/>
    <w:rsid w:val="00004C89"/>
    <w:rsid w:val="00004ED3"/>
    <w:rsid w:val="0000581A"/>
    <w:rsid w:val="00005E84"/>
    <w:rsid w:val="000063C4"/>
    <w:rsid w:val="000073C7"/>
    <w:rsid w:val="000073FB"/>
    <w:rsid w:val="00010681"/>
    <w:rsid w:val="00012FAF"/>
    <w:rsid w:val="00013432"/>
    <w:rsid w:val="00013978"/>
    <w:rsid w:val="00013C02"/>
    <w:rsid w:val="00016C0D"/>
    <w:rsid w:val="00017E79"/>
    <w:rsid w:val="000209CE"/>
    <w:rsid w:val="00023084"/>
    <w:rsid w:val="00024B5F"/>
    <w:rsid w:val="000258BF"/>
    <w:rsid w:val="00025D4E"/>
    <w:rsid w:val="00026E5C"/>
    <w:rsid w:val="0002722B"/>
    <w:rsid w:val="00027740"/>
    <w:rsid w:val="0002784F"/>
    <w:rsid w:val="000306B9"/>
    <w:rsid w:val="00030C8D"/>
    <w:rsid w:val="00030FC9"/>
    <w:rsid w:val="00033495"/>
    <w:rsid w:val="0003351C"/>
    <w:rsid w:val="00033F3F"/>
    <w:rsid w:val="000341A5"/>
    <w:rsid w:val="00034364"/>
    <w:rsid w:val="000346A1"/>
    <w:rsid w:val="00034D85"/>
    <w:rsid w:val="00035995"/>
    <w:rsid w:val="00040C2E"/>
    <w:rsid w:val="000410FD"/>
    <w:rsid w:val="0004134C"/>
    <w:rsid w:val="00042910"/>
    <w:rsid w:val="0004437C"/>
    <w:rsid w:val="0004551F"/>
    <w:rsid w:val="000459CA"/>
    <w:rsid w:val="00045BE9"/>
    <w:rsid w:val="00045BF0"/>
    <w:rsid w:val="00045C2A"/>
    <w:rsid w:val="0004748D"/>
    <w:rsid w:val="00047631"/>
    <w:rsid w:val="00050787"/>
    <w:rsid w:val="0005308A"/>
    <w:rsid w:val="00053491"/>
    <w:rsid w:val="00053E86"/>
    <w:rsid w:val="00055139"/>
    <w:rsid w:val="00055CA4"/>
    <w:rsid w:val="000571FE"/>
    <w:rsid w:val="00060801"/>
    <w:rsid w:val="000613D0"/>
    <w:rsid w:val="00062C85"/>
    <w:rsid w:val="00063476"/>
    <w:rsid w:val="000651F2"/>
    <w:rsid w:val="000657ED"/>
    <w:rsid w:val="00066087"/>
    <w:rsid w:val="00066FF1"/>
    <w:rsid w:val="00071353"/>
    <w:rsid w:val="00072D20"/>
    <w:rsid w:val="00074535"/>
    <w:rsid w:val="0007500C"/>
    <w:rsid w:val="0007521D"/>
    <w:rsid w:val="00076C1C"/>
    <w:rsid w:val="000771E0"/>
    <w:rsid w:val="00081E6C"/>
    <w:rsid w:val="000828D7"/>
    <w:rsid w:val="00083A92"/>
    <w:rsid w:val="00086A5D"/>
    <w:rsid w:val="00091C80"/>
    <w:rsid w:val="00092BE4"/>
    <w:rsid w:val="00093525"/>
    <w:rsid w:val="00094301"/>
    <w:rsid w:val="00096FD6"/>
    <w:rsid w:val="00097C96"/>
    <w:rsid w:val="000A076A"/>
    <w:rsid w:val="000A1381"/>
    <w:rsid w:val="000A1CA7"/>
    <w:rsid w:val="000A42FE"/>
    <w:rsid w:val="000A72D6"/>
    <w:rsid w:val="000B228D"/>
    <w:rsid w:val="000B2873"/>
    <w:rsid w:val="000B3FC5"/>
    <w:rsid w:val="000B5795"/>
    <w:rsid w:val="000B585D"/>
    <w:rsid w:val="000B7059"/>
    <w:rsid w:val="000B779C"/>
    <w:rsid w:val="000C0A19"/>
    <w:rsid w:val="000C312F"/>
    <w:rsid w:val="000C50EB"/>
    <w:rsid w:val="000C5362"/>
    <w:rsid w:val="000C7BCC"/>
    <w:rsid w:val="000D07ED"/>
    <w:rsid w:val="000D2B46"/>
    <w:rsid w:val="000D491D"/>
    <w:rsid w:val="000D4C7E"/>
    <w:rsid w:val="000D4D9D"/>
    <w:rsid w:val="000D4FA1"/>
    <w:rsid w:val="000D6A58"/>
    <w:rsid w:val="000D6CE0"/>
    <w:rsid w:val="000D741C"/>
    <w:rsid w:val="000E0C84"/>
    <w:rsid w:val="000E156E"/>
    <w:rsid w:val="000E1A09"/>
    <w:rsid w:val="000E1D4F"/>
    <w:rsid w:val="000E34FA"/>
    <w:rsid w:val="000E6AF8"/>
    <w:rsid w:val="000F06DF"/>
    <w:rsid w:val="000F0AF4"/>
    <w:rsid w:val="000F0CAC"/>
    <w:rsid w:val="000F2641"/>
    <w:rsid w:val="000F2DE7"/>
    <w:rsid w:val="000F2E5D"/>
    <w:rsid w:val="000F3C4B"/>
    <w:rsid w:val="000F4735"/>
    <w:rsid w:val="000F7CF1"/>
    <w:rsid w:val="001003CF"/>
    <w:rsid w:val="001028A4"/>
    <w:rsid w:val="00102CD3"/>
    <w:rsid w:val="0010464B"/>
    <w:rsid w:val="00104B27"/>
    <w:rsid w:val="00107192"/>
    <w:rsid w:val="0010785A"/>
    <w:rsid w:val="00107E2E"/>
    <w:rsid w:val="00110081"/>
    <w:rsid w:val="0011150A"/>
    <w:rsid w:val="00112812"/>
    <w:rsid w:val="00112843"/>
    <w:rsid w:val="00113BAD"/>
    <w:rsid w:val="00114889"/>
    <w:rsid w:val="0011544F"/>
    <w:rsid w:val="00115569"/>
    <w:rsid w:val="00116220"/>
    <w:rsid w:val="00116400"/>
    <w:rsid w:val="001172BC"/>
    <w:rsid w:val="0012202E"/>
    <w:rsid w:val="0012384A"/>
    <w:rsid w:val="00123D4E"/>
    <w:rsid w:val="00124441"/>
    <w:rsid w:val="001245EE"/>
    <w:rsid w:val="00124B5F"/>
    <w:rsid w:val="00124BAF"/>
    <w:rsid w:val="00124BDD"/>
    <w:rsid w:val="0012536E"/>
    <w:rsid w:val="00126721"/>
    <w:rsid w:val="00130DB3"/>
    <w:rsid w:val="00133278"/>
    <w:rsid w:val="00133695"/>
    <w:rsid w:val="00133C67"/>
    <w:rsid w:val="0013582F"/>
    <w:rsid w:val="00135BA6"/>
    <w:rsid w:val="00137936"/>
    <w:rsid w:val="00140693"/>
    <w:rsid w:val="00140D61"/>
    <w:rsid w:val="00142A1B"/>
    <w:rsid w:val="00144B94"/>
    <w:rsid w:val="00146067"/>
    <w:rsid w:val="001467CD"/>
    <w:rsid w:val="0014689D"/>
    <w:rsid w:val="00146BE7"/>
    <w:rsid w:val="00147545"/>
    <w:rsid w:val="00150004"/>
    <w:rsid w:val="00152DC6"/>
    <w:rsid w:val="00154BC9"/>
    <w:rsid w:val="00154C1B"/>
    <w:rsid w:val="001551CF"/>
    <w:rsid w:val="001553D4"/>
    <w:rsid w:val="00155A3A"/>
    <w:rsid w:val="00157112"/>
    <w:rsid w:val="00160951"/>
    <w:rsid w:val="001619F2"/>
    <w:rsid w:val="00161E99"/>
    <w:rsid w:val="00161FB6"/>
    <w:rsid w:val="00162B10"/>
    <w:rsid w:val="00162DE2"/>
    <w:rsid w:val="00162F81"/>
    <w:rsid w:val="00163668"/>
    <w:rsid w:val="00166700"/>
    <w:rsid w:val="00167474"/>
    <w:rsid w:val="00167940"/>
    <w:rsid w:val="00170324"/>
    <w:rsid w:val="0017067C"/>
    <w:rsid w:val="00171B0C"/>
    <w:rsid w:val="00171B47"/>
    <w:rsid w:val="00172444"/>
    <w:rsid w:val="00172927"/>
    <w:rsid w:val="00172C62"/>
    <w:rsid w:val="00172C7C"/>
    <w:rsid w:val="001737EF"/>
    <w:rsid w:val="001754AE"/>
    <w:rsid w:val="001754D1"/>
    <w:rsid w:val="0017616F"/>
    <w:rsid w:val="00176631"/>
    <w:rsid w:val="00181DDE"/>
    <w:rsid w:val="00183596"/>
    <w:rsid w:val="001843F7"/>
    <w:rsid w:val="001848F9"/>
    <w:rsid w:val="00185F56"/>
    <w:rsid w:val="0018620C"/>
    <w:rsid w:val="001865D0"/>
    <w:rsid w:val="001868B9"/>
    <w:rsid w:val="00186FAA"/>
    <w:rsid w:val="00190169"/>
    <w:rsid w:val="0019075B"/>
    <w:rsid w:val="00192E54"/>
    <w:rsid w:val="001930B8"/>
    <w:rsid w:val="0019318D"/>
    <w:rsid w:val="0019375C"/>
    <w:rsid w:val="001944D8"/>
    <w:rsid w:val="00194914"/>
    <w:rsid w:val="001A0B1D"/>
    <w:rsid w:val="001A157C"/>
    <w:rsid w:val="001A424F"/>
    <w:rsid w:val="001A48A7"/>
    <w:rsid w:val="001B1B51"/>
    <w:rsid w:val="001B2B6F"/>
    <w:rsid w:val="001B4411"/>
    <w:rsid w:val="001B5241"/>
    <w:rsid w:val="001B528D"/>
    <w:rsid w:val="001B5CCA"/>
    <w:rsid w:val="001B6469"/>
    <w:rsid w:val="001B7EC0"/>
    <w:rsid w:val="001C09ED"/>
    <w:rsid w:val="001C1E13"/>
    <w:rsid w:val="001C1FA4"/>
    <w:rsid w:val="001C3621"/>
    <w:rsid w:val="001C3E4F"/>
    <w:rsid w:val="001C6529"/>
    <w:rsid w:val="001C6822"/>
    <w:rsid w:val="001C7525"/>
    <w:rsid w:val="001D0310"/>
    <w:rsid w:val="001D0399"/>
    <w:rsid w:val="001D1F3D"/>
    <w:rsid w:val="001D286A"/>
    <w:rsid w:val="001D32F0"/>
    <w:rsid w:val="001D34A0"/>
    <w:rsid w:val="001D3766"/>
    <w:rsid w:val="001D3C80"/>
    <w:rsid w:val="001D3D99"/>
    <w:rsid w:val="001D471C"/>
    <w:rsid w:val="001D48A6"/>
    <w:rsid w:val="001D53BC"/>
    <w:rsid w:val="001D56D5"/>
    <w:rsid w:val="001D65FD"/>
    <w:rsid w:val="001E0E53"/>
    <w:rsid w:val="001E200B"/>
    <w:rsid w:val="001E3DC6"/>
    <w:rsid w:val="001E40DE"/>
    <w:rsid w:val="001E4628"/>
    <w:rsid w:val="001E4931"/>
    <w:rsid w:val="001E49AA"/>
    <w:rsid w:val="001E51CA"/>
    <w:rsid w:val="001E5E65"/>
    <w:rsid w:val="001E7137"/>
    <w:rsid w:val="001E731F"/>
    <w:rsid w:val="001E7D28"/>
    <w:rsid w:val="001F19C9"/>
    <w:rsid w:val="001F1ED5"/>
    <w:rsid w:val="001F39DA"/>
    <w:rsid w:val="001F7C1B"/>
    <w:rsid w:val="00200DEC"/>
    <w:rsid w:val="002015EC"/>
    <w:rsid w:val="00201738"/>
    <w:rsid w:val="00201F4E"/>
    <w:rsid w:val="0020372E"/>
    <w:rsid w:val="002043B6"/>
    <w:rsid w:val="00204FEF"/>
    <w:rsid w:val="00205EF1"/>
    <w:rsid w:val="00205FDA"/>
    <w:rsid w:val="00206241"/>
    <w:rsid w:val="00207429"/>
    <w:rsid w:val="00210339"/>
    <w:rsid w:val="002110BC"/>
    <w:rsid w:val="002138E9"/>
    <w:rsid w:val="0021404F"/>
    <w:rsid w:val="00214413"/>
    <w:rsid w:val="0021455B"/>
    <w:rsid w:val="00215129"/>
    <w:rsid w:val="002158C5"/>
    <w:rsid w:val="00215FDC"/>
    <w:rsid w:val="002169B9"/>
    <w:rsid w:val="0022066D"/>
    <w:rsid w:val="0022072D"/>
    <w:rsid w:val="00220CC7"/>
    <w:rsid w:val="00221F38"/>
    <w:rsid w:val="002230AC"/>
    <w:rsid w:val="00225048"/>
    <w:rsid w:val="0022755B"/>
    <w:rsid w:val="0023362F"/>
    <w:rsid w:val="00237819"/>
    <w:rsid w:val="00240304"/>
    <w:rsid w:val="002407D0"/>
    <w:rsid w:val="00241A22"/>
    <w:rsid w:val="00241A35"/>
    <w:rsid w:val="002461FD"/>
    <w:rsid w:val="00246658"/>
    <w:rsid w:val="00246DE2"/>
    <w:rsid w:val="00247243"/>
    <w:rsid w:val="00250441"/>
    <w:rsid w:val="00251559"/>
    <w:rsid w:val="002529BD"/>
    <w:rsid w:val="00252B65"/>
    <w:rsid w:val="00253360"/>
    <w:rsid w:val="002538FA"/>
    <w:rsid w:val="00253C8D"/>
    <w:rsid w:val="00254C4F"/>
    <w:rsid w:val="00254C78"/>
    <w:rsid w:val="00255028"/>
    <w:rsid w:val="00257114"/>
    <w:rsid w:val="00257E75"/>
    <w:rsid w:val="002614DD"/>
    <w:rsid w:val="0026158F"/>
    <w:rsid w:val="00261F96"/>
    <w:rsid w:val="0026374B"/>
    <w:rsid w:val="002646EA"/>
    <w:rsid w:val="00265740"/>
    <w:rsid w:val="00267C9C"/>
    <w:rsid w:val="0027188D"/>
    <w:rsid w:val="002743BE"/>
    <w:rsid w:val="00274716"/>
    <w:rsid w:val="00274B53"/>
    <w:rsid w:val="0027613D"/>
    <w:rsid w:val="00276D89"/>
    <w:rsid w:val="00277F2C"/>
    <w:rsid w:val="00280A6B"/>
    <w:rsid w:val="002811C2"/>
    <w:rsid w:val="002811D3"/>
    <w:rsid w:val="00281881"/>
    <w:rsid w:val="002823E9"/>
    <w:rsid w:val="00283CF1"/>
    <w:rsid w:val="00284996"/>
    <w:rsid w:val="00284D3A"/>
    <w:rsid w:val="00284E32"/>
    <w:rsid w:val="002855DD"/>
    <w:rsid w:val="002859EB"/>
    <w:rsid w:val="00286F48"/>
    <w:rsid w:val="00287537"/>
    <w:rsid w:val="0028794C"/>
    <w:rsid w:val="00291818"/>
    <w:rsid w:val="0029225E"/>
    <w:rsid w:val="00293D37"/>
    <w:rsid w:val="002978B6"/>
    <w:rsid w:val="00297A92"/>
    <w:rsid w:val="002A0772"/>
    <w:rsid w:val="002A11D7"/>
    <w:rsid w:val="002A2017"/>
    <w:rsid w:val="002A251F"/>
    <w:rsid w:val="002A28ED"/>
    <w:rsid w:val="002A5B24"/>
    <w:rsid w:val="002A5DBB"/>
    <w:rsid w:val="002A5E3F"/>
    <w:rsid w:val="002A6CFA"/>
    <w:rsid w:val="002B0276"/>
    <w:rsid w:val="002B0BE9"/>
    <w:rsid w:val="002B17E9"/>
    <w:rsid w:val="002B2C88"/>
    <w:rsid w:val="002B3A57"/>
    <w:rsid w:val="002B4155"/>
    <w:rsid w:val="002B45FC"/>
    <w:rsid w:val="002B541A"/>
    <w:rsid w:val="002B78DA"/>
    <w:rsid w:val="002C03A8"/>
    <w:rsid w:val="002C11C6"/>
    <w:rsid w:val="002C255F"/>
    <w:rsid w:val="002C2D12"/>
    <w:rsid w:val="002C2E80"/>
    <w:rsid w:val="002C3A25"/>
    <w:rsid w:val="002C456B"/>
    <w:rsid w:val="002C493F"/>
    <w:rsid w:val="002C5272"/>
    <w:rsid w:val="002C5B4D"/>
    <w:rsid w:val="002C5CFB"/>
    <w:rsid w:val="002C704C"/>
    <w:rsid w:val="002D05A1"/>
    <w:rsid w:val="002D0827"/>
    <w:rsid w:val="002D273C"/>
    <w:rsid w:val="002D2A8D"/>
    <w:rsid w:val="002D446E"/>
    <w:rsid w:val="002D45EB"/>
    <w:rsid w:val="002D52D1"/>
    <w:rsid w:val="002D6FAD"/>
    <w:rsid w:val="002D7574"/>
    <w:rsid w:val="002D7938"/>
    <w:rsid w:val="002E0DBC"/>
    <w:rsid w:val="002E196C"/>
    <w:rsid w:val="002E34C5"/>
    <w:rsid w:val="002E4E16"/>
    <w:rsid w:val="002E7FF5"/>
    <w:rsid w:val="002F13B9"/>
    <w:rsid w:val="002F3A50"/>
    <w:rsid w:val="002F4460"/>
    <w:rsid w:val="002F79DF"/>
    <w:rsid w:val="0030026B"/>
    <w:rsid w:val="00300BC6"/>
    <w:rsid w:val="00301652"/>
    <w:rsid w:val="003020D3"/>
    <w:rsid w:val="00304193"/>
    <w:rsid w:val="00305182"/>
    <w:rsid w:val="00306025"/>
    <w:rsid w:val="0031286C"/>
    <w:rsid w:val="00313343"/>
    <w:rsid w:val="003138E2"/>
    <w:rsid w:val="00313EF8"/>
    <w:rsid w:val="00314997"/>
    <w:rsid w:val="00315EC1"/>
    <w:rsid w:val="00316650"/>
    <w:rsid w:val="00317EC4"/>
    <w:rsid w:val="00320389"/>
    <w:rsid w:val="003206AC"/>
    <w:rsid w:val="00321CE6"/>
    <w:rsid w:val="00322466"/>
    <w:rsid w:val="00322CB8"/>
    <w:rsid w:val="00323610"/>
    <w:rsid w:val="00323746"/>
    <w:rsid w:val="00324FF4"/>
    <w:rsid w:val="003252C8"/>
    <w:rsid w:val="00325C28"/>
    <w:rsid w:val="00332523"/>
    <w:rsid w:val="00332E6C"/>
    <w:rsid w:val="00333642"/>
    <w:rsid w:val="0033475A"/>
    <w:rsid w:val="003350BF"/>
    <w:rsid w:val="003368A4"/>
    <w:rsid w:val="00336945"/>
    <w:rsid w:val="00341359"/>
    <w:rsid w:val="00341664"/>
    <w:rsid w:val="00341CE7"/>
    <w:rsid w:val="00341E0E"/>
    <w:rsid w:val="00342920"/>
    <w:rsid w:val="003436B6"/>
    <w:rsid w:val="003453BF"/>
    <w:rsid w:val="0034676E"/>
    <w:rsid w:val="00346D24"/>
    <w:rsid w:val="003525F2"/>
    <w:rsid w:val="00352D3D"/>
    <w:rsid w:val="003539CD"/>
    <w:rsid w:val="003545FF"/>
    <w:rsid w:val="00354885"/>
    <w:rsid w:val="003549AB"/>
    <w:rsid w:val="00354A47"/>
    <w:rsid w:val="003602EB"/>
    <w:rsid w:val="0036266C"/>
    <w:rsid w:val="003639EA"/>
    <w:rsid w:val="00363CA8"/>
    <w:rsid w:val="003649B7"/>
    <w:rsid w:val="00364D18"/>
    <w:rsid w:val="003679E7"/>
    <w:rsid w:val="00367AE1"/>
    <w:rsid w:val="003701DC"/>
    <w:rsid w:val="00372069"/>
    <w:rsid w:val="00372BC4"/>
    <w:rsid w:val="00372CD8"/>
    <w:rsid w:val="00373A94"/>
    <w:rsid w:val="00376059"/>
    <w:rsid w:val="003774E7"/>
    <w:rsid w:val="00377F31"/>
    <w:rsid w:val="0038072D"/>
    <w:rsid w:val="003831C6"/>
    <w:rsid w:val="00383E36"/>
    <w:rsid w:val="0038499B"/>
    <w:rsid w:val="00385443"/>
    <w:rsid w:val="00386490"/>
    <w:rsid w:val="00387A33"/>
    <w:rsid w:val="00391714"/>
    <w:rsid w:val="00393F0C"/>
    <w:rsid w:val="00397087"/>
    <w:rsid w:val="003A185E"/>
    <w:rsid w:val="003A1E7F"/>
    <w:rsid w:val="003A3F50"/>
    <w:rsid w:val="003A5E27"/>
    <w:rsid w:val="003A6F01"/>
    <w:rsid w:val="003A79DF"/>
    <w:rsid w:val="003B4819"/>
    <w:rsid w:val="003B598D"/>
    <w:rsid w:val="003B7201"/>
    <w:rsid w:val="003B7A13"/>
    <w:rsid w:val="003B7D68"/>
    <w:rsid w:val="003B7F31"/>
    <w:rsid w:val="003C10CA"/>
    <w:rsid w:val="003C241D"/>
    <w:rsid w:val="003C4189"/>
    <w:rsid w:val="003C6C45"/>
    <w:rsid w:val="003D0124"/>
    <w:rsid w:val="003D07BB"/>
    <w:rsid w:val="003D07D1"/>
    <w:rsid w:val="003D15F8"/>
    <w:rsid w:val="003D41C8"/>
    <w:rsid w:val="003D7417"/>
    <w:rsid w:val="003D7864"/>
    <w:rsid w:val="003D7FA5"/>
    <w:rsid w:val="003E0E2F"/>
    <w:rsid w:val="003E2378"/>
    <w:rsid w:val="003E2D55"/>
    <w:rsid w:val="003E37EC"/>
    <w:rsid w:val="003E3B21"/>
    <w:rsid w:val="003E48DA"/>
    <w:rsid w:val="003E491F"/>
    <w:rsid w:val="003E5502"/>
    <w:rsid w:val="003E5E55"/>
    <w:rsid w:val="003E6675"/>
    <w:rsid w:val="003E6839"/>
    <w:rsid w:val="003E6AB3"/>
    <w:rsid w:val="003E765E"/>
    <w:rsid w:val="003E7A09"/>
    <w:rsid w:val="003E7A5D"/>
    <w:rsid w:val="003F0015"/>
    <w:rsid w:val="003F0A30"/>
    <w:rsid w:val="003F0F96"/>
    <w:rsid w:val="003F2C5E"/>
    <w:rsid w:val="003F5ABB"/>
    <w:rsid w:val="003F68D1"/>
    <w:rsid w:val="003F761E"/>
    <w:rsid w:val="004008CC"/>
    <w:rsid w:val="00400F6A"/>
    <w:rsid w:val="00402688"/>
    <w:rsid w:val="00402A9F"/>
    <w:rsid w:val="00402D26"/>
    <w:rsid w:val="00402F11"/>
    <w:rsid w:val="0040331F"/>
    <w:rsid w:val="00407212"/>
    <w:rsid w:val="0040770C"/>
    <w:rsid w:val="00407E0B"/>
    <w:rsid w:val="0041016F"/>
    <w:rsid w:val="00410B16"/>
    <w:rsid w:val="00411F9C"/>
    <w:rsid w:val="004121A0"/>
    <w:rsid w:val="004125D2"/>
    <w:rsid w:val="0041314C"/>
    <w:rsid w:val="00414219"/>
    <w:rsid w:val="00417482"/>
    <w:rsid w:val="00420095"/>
    <w:rsid w:val="00420318"/>
    <w:rsid w:val="00420696"/>
    <w:rsid w:val="0042180C"/>
    <w:rsid w:val="0042543B"/>
    <w:rsid w:val="00426A0B"/>
    <w:rsid w:val="00427848"/>
    <w:rsid w:val="00430609"/>
    <w:rsid w:val="00430A0C"/>
    <w:rsid w:val="0043187F"/>
    <w:rsid w:val="00431EB3"/>
    <w:rsid w:val="00433A77"/>
    <w:rsid w:val="004350CC"/>
    <w:rsid w:val="00435218"/>
    <w:rsid w:val="00437F22"/>
    <w:rsid w:val="0044199A"/>
    <w:rsid w:val="00441C1D"/>
    <w:rsid w:val="00442197"/>
    <w:rsid w:val="004426B9"/>
    <w:rsid w:val="00442F4C"/>
    <w:rsid w:val="00444943"/>
    <w:rsid w:val="00447239"/>
    <w:rsid w:val="00450219"/>
    <w:rsid w:val="004511B2"/>
    <w:rsid w:val="00451F76"/>
    <w:rsid w:val="004528AA"/>
    <w:rsid w:val="00452EFF"/>
    <w:rsid w:val="00454271"/>
    <w:rsid w:val="004544B2"/>
    <w:rsid w:val="004549A5"/>
    <w:rsid w:val="00455763"/>
    <w:rsid w:val="00455AF7"/>
    <w:rsid w:val="00455B47"/>
    <w:rsid w:val="0045684C"/>
    <w:rsid w:val="00456C2D"/>
    <w:rsid w:val="00457558"/>
    <w:rsid w:val="004600BD"/>
    <w:rsid w:val="00460210"/>
    <w:rsid w:val="00461C57"/>
    <w:rsid w:val="004623BC"/>
    <w:rsid w:val="004625B8"/>
    <w:rsid w:val="00462997"/>
    <w:rsid w:val="00462F99"/>
    <w:rsid w:val="00463940"/>
    <w:rsid w:val="0046742B"/>
    <w:rsid w:val="00470707"/>
    <w:rsid w:val="00471BF3"/>
    <w:rsid w:val="0047402D"/>
    <w:rsid w:val="0048028C"/>
    <w:rsid w:val="00481088"/>
    <w:rsid w:val="00483C05"/>
    <w:rsid w:val="004866C4"/>
    <w:rsid w:val="00486C95"/>
    <w:rsid w:val="00487F85"/>
    <w:rsid w:val="004905B8"/>
    <w:rsid w:val="00494B11"/>
    <w:rsid w:val="00495987"/>
    <w:rsid w:val="00497B6A"/>
    <w:rsid w:val="00497CCB"/>
    <w:rsid w:val="004A1A1D"/>
    <w:rsid w:val="004A38C2"/>
    <w:rsid w:val="004A38C7"/>
    <w:rsid w:val="004A4069"/>
    <w:rsid w:val="004A4EBB"/>
    <w:rsid w:val="004A52FB"/>
    <w:rsid w:val="004A5ADF"/>
    <w:rsid w:val="004A6515"/>
    <w:rsid w:val="004A6C24"/>
    <w:rsid w:val="004A6DF0"/>
    <w:rsid w:val="004A7F9C"/>
    <w:rsid w:val="004B010E"/>
    <w:rsid w:val="004B03C8"/>
    <w:rsid w:val="004B2447"/>
    <w:rsid w:val="004B3943"/>
    <w:rsid w:val="004B4D46"/>
    <w:rsid w:val="004B58F6"/>
    <w:rsid w:val="004B672E"/>
    <w:rsid w:val="004B7AFC"/>
    <w:rsid w:val="004C05F8"/>
    <w:rsid w:val="004C1251"/>
    <w:rsid w:val="004C322E"/>
    <w:rsid w:val="004C3653"/>
    <w:rsid w:val="004C3A9F"/>
    <w:rsid w:val="004C4A15"/>
    <w:rsid w:val="004C4B11"/>
    <w:rsid w:val="004C65AF"/>
    <w:rsid w:val="004C7DDE"/>
    <w:rsid w:val="004D0434"/>
    <w:rsid w:val="004D0B43"/>
    <w:rsid w:val="004D1912"/>
    <w:rsid w:val="004D2253"/>
    <w:rsid w:val="004D59EB"/>
    <w:rsid w:val="004D6915"/>
    <w:rsid w:val="004D78DD"/>
    <w:rsid w:val="004E01B1"/>
    <w:rsid w:val="004E03E1"/>
    <w:rsid w:val="004E1752"/>
    <w:rsid w:val="004E2275"/>
    <w:rsid w:val="004E3991"/>
    <w:rsid w:val="004E43B7"/>
    <w:rsid w:val="004E55F1"/>
    <w:rsid w:val="004E7066"/>
    <w:rsid w:val="004F0183"/>
    <w:rsid w:val="004F0732"/>
    <w:rsid w:val="004F0AB6"/>
    <w:rsid w:val="004F1187"/>
    <w:rsid w:val="004F536F"/>
    <w:rsid w:val="004F5479"/>
    <w:rsid w:val="004F73E4"/>
    <w:rsid w:val="00500634"/>
    <w:rsid w:val="00500B1B"/>
    <w:rsid w:val="0050275B"/>
    <w:rsid w:val="0050276E"/>
    <w:rsid w:val="00504234"/>
    <w:rsid w:val="00504D47"/>
    <w:rsid w:val="00506E7E"/>
    <w:rsid w:val="005075ED"/>
    <w:rsid w:val="005103FD"/>
    <w:rsid w:val="00511DD0"/>
    <w:rsid w:val="005124F1"/>
    <w:rsid w:val="00512786"/>
    <w:rsid w:val="0051285E"/>
    <w:rsid w:val="005129D6"/>
    <w:rsid w:val="005152BF"/>
    <w:rsid w:val="00516435"/>
    <w:rsid w:val="00517D2E"/>
    <w:rsid w:val="00520086"/>
    <w:rsid w:val="0052109F"/>
    <w:rsid w:val="0052115A"/>
    <w:rsid w:val="00521EBE"/>
    <w:rsid w:val="00523F2F"/>
    <w:rsid w:val="00524108"/>
    <w:rsid w:val="005244F4"/>
    <w:rsid w:val="00524F0E"/>
    <w:rsid w:val="00525B32"/>
    <w:rsid w:val="00526225"/>
    <w:rsid w:val="00527A67"/>
    <w:rsid w:val="005304CE"/>
    <w:rsid w:val="005306DE"/>
    <w:rsid w:val="00531DBB"/>
    <w:rsid w:val="0053268C"/>
    <w:rsid w:val="00533F38"/>
    <w:rsid w:val="00534268"/>
    <w:rsid w:val="00534666"/>
    <w:rsid w:val="00534E16"/>
    <w:rsid w:val="00542B31"/>
    <w:rsid w:val="00542DFF"/>
    <w:rsid w:val="00543ADB"/>
    <w:rsid w:val="0054448B"/>
    <w:rsid w:val="00550270"/>
    <w:rsid w:val="005508B0"/>
    <w:rsid w:val="00551655"/>
    <w:rsid w:val="00552C2A"/>
    <w:rsid w:val="0055323F"/>
    <w:rsid w:val="0055572E"/>
    <w:rsid w:val="00555B2A"/>
    <w:rsid w:val="00555DAC"/>
    <w:rsid w:val="00555DB2"/>
    <w:rsid w:val="00555ED7"/>
    <w:rsid w:val="00556150"/>
    <w:rsid w:val="00556196"/>
    <w:rsid w:val="00557216"/>
    <w:rsid w:val="00557378"/>
    <w:rsid w:val="00560C09"/>
    <w:rsid w:val="00561888"/>
    <w:rsid w:val="00562313"/>
    <w:rsid w:val="00563DBA"/>
    <w:rsid w:val="0056516D"/>
    <w:rsid w:val="005656F9"/>
    <w:rsid w:val="00567314"/>
    <w:rsid w:val="0056775C"/>
    <w:rsid w:val="00567C3D"/>
    <w:rsid w:val="0057197F"/>
    <w:rsid w:val="00571B73"/>
    <w:rsid w:val="00571E43"/>
    <w:rsid w:val="005729E0"/>
    <w:rsid w:val="005750CB"/>
    <w:rsid w:val="00582E4B"/>
    <w:rsid w:val="00583BA6"/>
    <w:rsid w:val="00586BB4"/>
    <w:rsid w:val="00586FB8"/>
    <w:rsid w:val="00591030"/>
    <w:rsid w:val="00591268"/>
    <w:rsid w:val="005917B0"/>
    <w:rsid w:val="00592819"/>
    <w:rsid w:val="00593A4D"/>
    <w:rsid w:val="0059524B"/>
    <w:rsid w:val="00595E68"/>
    <w:rsid w:val="00596461"/>
    <w:rsid w:val="005971A2"/>
    <w:rsid w:val="0059774E"/>
    <w:rsid w:val="005A0782"/>
    <w:rsid w:val="005A325A"/>
    <w:rsid w:val="005A4751"/>
    <w:rsid w:val="005A4C23"/>
    <w:rsid w:val="005A678E"/>
    <w:rsid w:val="005A6873"/>
    <w:rsid w:val="005A7732"/>
    <w:rsid w:val="005A7E12"/>
    <w:rsid w:val="005B3050"/>
    <w:rsid w:val="005B3425"/>
    <w:rsid w:val="005B3D7C"/>
    <w:rsid w:val="005B4579"/>
    <w:rsid w:val="005B52D1"/>
    <w:rsid w:val="005B53B1"/>
    <w:rsid w:val="005B6231"/>
    <w:rsid w:val="005B6452"/>
    <w:rsid w:val="005C1790"/>
    <w:rsid w:val="005C28BB"/>
    <w:rsid w:val="005C2FC9"/>
    <w:rsid w:val="005C472E"/>
    <w:rsid w:val="005C4E14"/>
    <w:rsid w:val="005C5370"/>
    <w:rsid w:val="005C564A"/>
    <w:rsid w:val="005C5A9B"/>
    <w:rsid w:val="005C64E4"/>
    <w:rsid w:val="005C6FC6"/>
    <w:rsid w:val="005C7CB5"/>
    <w:rsid w:val="005D0DAF"/>
    <w:rsid w:val="005D2827"/>
    <w:rsid w:val="005D2EE4"/>
    <w:rsid w:val="005D3B51"/>
    <w:rsid w:val="005D4589"/>
    <w:rsid w:val="005D4DFA"/>
    <w:rsid w:val="005D5F1E"/>
    <w:rsid w:val="005D609E"/>
    <w:rsid w:val="005E04EF"/>
    <w:rsid w:val="005E0B64"/>
    <w:rsid w:val="005E2DB5"/>
    <w:rsid w:val="005E3CBF"/>
    <w:rsid w:val="005F0AE2"/>
    <w:rsid w:val="005F36BF"/>
    <w:rsid w:val="005F3B0B"/>
    <w:rsid w:val="005F5482"/>
    <w:rsid w:val="005F691C"/>
    <w:rsid w:val="005F7BA5"/>
    <w:rsid w:val="006019BA"/>
    <w:rsid w:val="00602C1C"/>
    <w:rsid w:val="00605C8A"/>
    <w:rsid w:val="006101A6"/>
    <w:rsid w:val="006106A4"/>
    <w:rsid w:val="00611742"/>
    <w:rsid w:val="00612AB6"/>
    <w:rsid w:val="00612C3E"/>
    <w:rsid w:val="00613D5E"/>
    <w:rsid w:val="00613DD6"/>
    <w:rsid w:val="0061434C"/>
    <w:rsid w:val="006143C0"/>
    <w:rsid w:val="00615B9C"/>
    <w:rsid w:val="00616A5A"/>
    <w:rsid w:val="0061707A"/>
    <w:rsid w:val="00617BF5"/>
    <w:rsid w:val="00620465"/>
    <w:rsid w:val="00620689"/>
    <w:rsid w:val="00620967"/>
    <w:rsid w:val="00620A56"/>
    <w:rsid w:val="00623307"/>
    <w:rsid w:val="00624256"/>
    <w:rsid w:val="006249FD"/>
    <w:rsid w:val="00626162"/>
    <w:rsid w:val="006266BF"/>
    <w:rsid w:val="00626AD4"/>
    <w:rsid w:val="00626FB6"/>
    <w:rsid w:val="00627573"/>
    <w:rsid w:val="00627BDB"/>
    <w:rsid w:val="006327C1"/>
    <w:rsid w:val="00632C8A"/>
    <w:rsid w:val="00633738"/>
    <w:rsid w:val="00634276"/>
    <w:rsid w:val="00634694"/>
    <w:rsid w:val="00634D6C"/>
    <w:rsid w:val="00634FCE"/>
    <w:rsid w:val="00636094"/>
    <w:rsid w:val="006368C2"/>
    <w:rsid w:val="00636FF7"/>
    <w:rsid w:val="0064154B"/>
    <w:rsid w:val="00642054"/>
    <w:rsid w:val="0064259A"/>
    <w:rsid w:val="0064332D"/>
    <w:rsid w:val="006440E0"/>
    <w:rsid w:val="0064440F"/>
    <w:rsid w:val="00645FCF"/>
    <w:rsid w:val="00651A56"/>
    <w:rsid w:val="00652922"/>
    <w:rsid w:val="00653256"/>
    <w:rsid w:val="00655A73"/>
    <w:rsid w:val="00655B59"/>
    <w:rsid w:val="00657775"/>
    <w:rsid w:val="00657B15"/>
    <w:rsid w:val="00660A32"/>
    <w:rsid w:val="00660E6B"/>
    <w:rsid w:val="00661B21"/>
    <w:rsid w:val="00662597"/>
    <w:rsid w:val="0066264D"/>
    <w:rsid w:val="0066454B"/>
    <w:rsid w:val="006648A4"/>
    <w:rsid w:val="00666A9E"/>
    <w:rsid w:val="00666ABE"/>
    <w:rsid w:val="006741BB"/>
    <w:rsid w:val="006742AB"/>
    <w:rsid w:val="00674EFD"/>
    <w:rsid w:val="00675ABE"/>
    <w:rsid w:val="00676B2E"/>
    <w:rsid w:val="00677674"/>
    <w:rsid w:val="00681D5D"/>
    <w:rsid w:val="0068223A"/>
    <w:rsid w:val="00682A30"/>
    <w:rsid w:val="00682FA4"/>
    <w:rsid w:val="00683018"/>
    <w:rsid w:val="0068430E"/>
    <w:rsid w:val="00685268"/>
    <w:rsid w:val="00686067"/>
    <w:rsid w:val="00690571"/>
    <w:rsid w:val="0069129D"/>
    <w:rsid w:val="006A02D9"/>
    <w:rsid w:val="006A0E3A"/>
    <w:rsid w:val="006A2202"/>
    <w:rsid w:val="006A2432"/>
    <w:rsid w:val="006A2580"/>
    <w:rsid w:val="006A2A07"/>
    <w:rsid w:val="006A45A6"/>
    <w:rsid w:val="006A48A9"/>
    <w:rsid w:val="006A786E"/>
    <w:rsid w:val="006B0D0A"/>
    <w:rsid w:val="006B0D90"/>
    <w:rsid w:val="006B1D43"/>
    <w:rsid w:val="006B1E17"/>
    <w:rsid w:val="006B1EEA"/>
    <w:rsid w:val="006B2EAF"/>
    <w:rsid w:val="006B2FE8"/>
    <w:rsid w:val="006B3442"/>
    <w:rsid w:val="006B349E"/>
    <w:rsid w:val="006B3D56"/>
    <w:rsid w:val="006B419D"/>
    <w:rsid w:val="006B4E13"/>
    <w:rsid w:val="006B518D"/>
    <w:rsid w:val="006B53D2"/>
    <w:rsid w:val="006B5B92"/>
    <w:rsid w:val="006C09FD"/>
    <w:rsid w:val="006C0DC6"/>
    <w:rsid w:val="006C0F7D"/>
    <w:rsid w:val="006C2757"/>
    <w:rsid w:val="006C2A38"/>
    <w:rsid w:val="006C35EF"/>
    <w:rsid w:val="006C5537"/>
    <w:rsid w:val="006C6045"/>
    <w:rsid w:val="006C7E1C"/>
    <w:rsid w:val="006D13A8"/>
    <w:rsid w:val="006D2B28"/>
    <w:rsid w:val="006D58A1"/>
    <w:rsid w:val="006D58DC"/>
    <w:rsid w:val="006D656B"/>
    <w:rsid w:val="006D7A99"/>
    <w:rsid w:val="006E23C5"/>
    <w:rsid w:val="006E4CF4"/>
    <w:rsid w:val="006E54B7"/>
    <w:rsid w:val="006E55C5"/>
    <w:rsid w:val="006E6261"/>
    <w:rsid w:val="006E6BBF"/>
    <w:rsid w:val="006F0125"/>
    <w:rsid w:val="006F0F7B"/>
    <w:rsid w:val="006F13DD"/>
    <w:rsid w:val="006F2C22"/>
    <w:rsid w:val="006F3C3A"/>
    <w:rsid w:val="006F3CA3"/>
    <w:rsid w:val="006F410C"/>
    <w:rsid w:val="006F602B"/>
    <w:rsid w:val="006F6B66"/>
    <w:rsid w:val="006F7E11"/>
    <w:rsid w:val="0070035F"/>
    <w:rsid w:val="0070123B"/>
    <w:rsid w:val="007012B4"/>
    <w:rsid w:val="00702347"/>
    <w:rsid w:val="00702405"/>
    <w:rsid w:val="00703CC9"/>
    <w:rsid w:val="007048C6"/>
    <w:rsid w:val="00704E9A"/>
    <w:rsid w:val="00704FF0"/>
    <w:rsid w:val="0070560D"/>
    <w:rsid w:val="00705F4B"/>
    <w:rsid w:val="007076EB"/>
    <w:rsid w:val="007112B8"/>
    <w:rsid w:val="007113C1"/>
    <w:rsid w:val="00711BB9"/>
    <w:rsid w:val="007129B6"/>
    <w:rsid w:val="00712ED3"/>
    <w:rsid w:val="0071311E"/>
    <w:rsid w:val="00714696"/>
    <w:rsid w:val="00715079"/>
    <w:rsid w:val="00716E21"/>
    <w:rsid w:val="00716E40"/>
    <w:rsid w:val="00717956"/>
    <w:rsid w:val="00717E8A"/>
    <w:rsid w:val="00720421"/>
    <w:rsid w:val="007223EB"/>
    <w:rsid w:val="0072252C"/>
    <w:rsid w:val="00723C45"/>
    <w:rsid w:val="00724D39"/>
    <w:rsid w:val="007257B6"/>
    <w:rsid w:val="00726C2A"/>
    <w:rsid w:val="0072705E"/>
    <w:rsid w:val="00730107"/>
    <w:rsid w:val="00730453"/>
    <w:rsid w:val="007305E4"/>
    <w:rsid w:val="00731E6A"/>
    <w:rsid w:val="00734DBA"/>
    <w:rsid w:val="007352C5"/>
    <w:rsid w:val="007359C3"/>
    <w:rsid w:val="00736973"/>
    <w:rsid w:val="00737C5A"/>
    <w:rsid w:val="00737EF4"/>
    <w:rsid w:val="00740019"/>
    <w:rsid w:val="0074053E"/>
    <w:rsid w:val="00741C3C"/>
    <w:rsid w:val="00742FB1"/>
    <w:rsid w:val="0074415A"/>
    <w:rsid w:val="0074424A"/>
    <w:rsid w:val="00744E7B"/>
    <w:rsid w:val="00745472"/>
    <w:rsid w:val="00745C78"/>
    <w:rsid w:val="00745F69"/>
    <w:rsid w:val="00745F75"/>
    <w:rsid w:val="00746722"/>
    <w:rsid w:val="00746AC4"/>
    <w:rsid w:val="00746F00"/>
    <w:rsid w:val="007475A5"/>
    <w:rsid w:val="00747F9F"/>
    <w:rsid w:val="00754095"/>
    <w:rsid w:val="00754B3D"/>
    <w:rsid w:val="00755308"/>
    <w:rsid w:val="00755BFB"/>
    <w:rsid w:val="00757BB9"/>
    <w:rsid w:val="007608D0"/>
    <w:rsid w:val="00761F29"/>
    <w:rsid w:val="00764B13"/>
    <w:rsid w:val="00767AB6"/>
    <w:rsid w:val="00770909"/>
    <w:rsid w:val="00770DE8"/>
    <w:rsid w:val="00771126"/>
    <w:rsid w:val="007734BD"/>
    <w:rsid w:val="00773A6A"/>
    <w:rsid w:val="00773C33"/>
    <w:rsid w:val="00774509"/>
    <w:rsid w:val="007771A5"/>
    <w:rsid w:val="007772CC"/>
    <w:rsid w:val="007773E1"/>
    <w:rsid w:val="00777C53"/>
    <w:rsid w:val="007813FC"/>
    <w:rsid w:val="00781A47"/>
    <w:rsid w:val="00781F49"/>
    <w:rsid w:val="00787847"/>
    <w:rsid w:val="0079026B"/>
    <w:rsid w:val="00791839"/>
    <w:rsid w:val="00792D61"/>
    <w:rsid w:val="00795175"/>
    <w:rsid w:val="00795918"/>
    <w:rsid w:val="00796318"/>
    <w:rsid w:val="00797420"/>
    <w:rsid w:val="007A05A6"/>
    <w:rsid w:val="007A0848"/>
    <w:rsid w:val="007A0DCC"/>
    <w:rsid w:val="007A13E6"/>
    <w:rsid w:val="007A2880"/>
    <w:rsid w:val="007A2B85"/>
    <w:rsid w:val="007A2DA8"/>
    <w:rsid w:val="007A3100"/>
    <w:rsid w:val="007A5B48"/>
    <w:rsid w:val="007A66F3"/>
    <w:rsid w:val="007A7217"/>
    <w:rsid w:val="007A792E"/>
    <w:rsid w:val="007B06E3"/>
    <w:rsid w:val="007B2B2D"/>
    <w:rsid w:val="007B4E11"/>
    <w:rsid w:val="007B7236"/>
    <w:rsid w:val="007C181E"/>
    <w:rsid w:val="007C2A81"/>
    <w:rsid w:val="007C3205"/>
    <w:rsid w:val="007C3C5C"/>
    <w:rsid w:val="007C3F44"/>
    <w:rsid w:val="007C6734"/>
    <w:rsid w:val="007C6E52"/>
    <w:rsid w:val="007C7D8D"/>
    <w:rsid w:val="007D3946"/>
    <w:rsid w:val="007D43F6"/>
    <w:rsid w:val="007D4786"/>
    <w:rsid w:val="007D48A1"/>
    <w:rsid w:val="007D5667"/>
    <w:rsid w:val="007D5C44"/>
    <w:rsid w:val="007D5FFA"/>
    <w:rsid w:val="007D62F5"/>
    <w:rsid w:val="007D6385"/>
    <w:rsid w:val="007E0BFE"/>
    <w:rsid w:val="007E111A"/>
    <w:rsid w:val="007E162D"/>
    <w:rsid w:val="007E2C7E"/>
    <w:rsid w:val="007E2F70"/>
    <w:rsid w:val="007E57F7"/>
    <w:rsid w:val="007E5987"/>
    <w:rsid w:val="007E5A3D"/>
    <w:rsid w:val="007E6D38"/>
    <w:rsid w:val="007E72B0"/>
    <w:rsid w:val="007F0F9A"/>
    <w:rsid w:val="007F106F"/>
    <w:rsid w:val="007F2976"/>
    <w:rsid w:val="007F3050"/>
    <w:rsid w:val="007F3AE7"/>
    <w:rsid w:val="007F4BF0"/>
    <w:rsid w:val="007F5074"/>
    <w:rsid w:val="007F5742"/>
    <w:rsid w:val="007F76DE"/>
    <w:rsid w:val="00800AB8"/>
    <w:rsid w:val="00800D9B"/>
    <w:rsid w:val="0080123C"/>
    <w:rsid w:val="0080128B"/>
    <w:rsid w:val="00805D0A"/>
    <w:rsid w:val="00805D52"/>
    <w:rsid w:val="00806390"/>
    <w:rsid w:val="00807668"/>
    <w:rsid w:val="00810277"/>
    <w:rsid w:val="008112BF"/>
    <w:rsid w:val="00811912"/>
    <w:rsid w:val="008134AC"/>
    <w:rsid w:val="008136BA"/>
    <w:rsid w:val="008149B2"/>
    <w:rsid w:val="00815B29"/>
    <w:rsid w:val="00816F00"/>
    <w:rsid w:val="008177B0"/>
    <w:rsid w:val="00820CDE"/>
    <w:rsid w:val="00821EB0"/>
    <w:rsid w:val="00822AF5"/>
    <w:rsid w:val="00823BF6"/>
    <w:rsid w:val="00825FC4"/>
    <w:rsid w:val="00827818"/>
    <w:rsid w:val="00827BEA"/>
    <w:rsid w:val="00830BDA"/>
    <w:rsid w:val="00833C64"/>
    <w:rsid w:val="00834ABA"/>
    <w:rsid w:val="00834B1F"/>
    <w:rsid w:val="00837546"/>
    <w:rsid w:val="008413D5"/>
    <w:rsid w:val="00841F23"/>
    <w:rsid w:val="00841F89"/>
    <w:rsid w:val="00844212"/>
    <w:rsid w:val="00847708"/>
    <w:rsid w:val="0085145B"/>
    <w:rsid w:val="00851D4F"/>
    <w:rsid w:val="008540F6"/>
    <w:rsid w:val="00854C3D"/>
    <w:rsid w:val="00855216"/>
    <w:rsid w:val="00856901"/>
    <w:rsid w:val="00857DEB"/>
    <w:rsid w:val="0086039D"/>
    <w:rsid w:val="00860C2C"/>
    <w:rsid w:val="008616D1"/>
    <w:rsid w:val="008617E0"/>
    <w:rsid w:val="00861BD6"/>
    <w:rsid w:val="00861E19"/>
    <w:rsid w:val="00862680"/>
    <w:rsid w:val="00862F9F"/>
    <w:rsid w:val="00863803"/>
    <w:rsid w:val="00863CDA"/>
    <w:rsid w:val="00863F26"/>
    <w:rsid w:val="00866812"/>
    <w:rsid w:val="00866925"/>
    <w:rsid w:val="00870420"/>
    <w:rsid w:val="008709C4"/>
    <w:rsid w:val="00872003"/>
    <w:rsid w:val="008726B8"/>
    <w:rsid w:val="00872D15"/>
    <w:rsid w:val="0087342A"/>
    <w:rsid w:val="00874803"/>
    <w:rsid w:val="00880747"/>
    <w:rsid w:val="00886BE7"/>
    <w:rsid w:val="00887474"/>
    <w:rsid w:val="008922A4"/>
    <w:rsid w:val="008940D7"/>
    <w:rsid w:val="008950F1"/>
    <w:rsid w:val="008955B3"/>
    <w:rsid w:val="008A0C6C"/>
    <w:rsid w:val="008A66B8"/>
    <w:rsid w:val="008A6E02"/>
    <w:rsid w:val="008A7A6F"/>
    <w:rsid w:val="008B1526"/>
    <w:rsid w:val="008B1A50"/>
    <w:rsid w:val="008B3B64"/>
    <w:rsid w:val="008B3E7D"/>
    <w:rsid w:val="008B4569"/>
    <w:rsid w:val="008B4BAB"/>
    <w:rsid w:val="008B50AE"/>
    <w:rsid w:val="008B550C"/>
    <w:rsid w:val="008B5B90"/>
    <w:rsid w:val="008B692C"/>
    <w:rsid w:val="008C11A5"/>
    <w:rsid w:val="008C16B1"/>
    <w:rsid w:val="008C666D"/>
    <w:rsid w:val="008D0920"/>
    <w:rsid w:val="008D1DE4"/>
    <w:rsid w:val="008D1EC3"/>
    <w:rsid w:val="008D21A8"/>
    <w:rsid w:val="008D39A9"/>
    <w:rsid w:val="008D3DBA"/>
    <w:rsid w:val="008D5037"/>
    <w:rsid w:val="008D52E8"/>
    <w:rsid w:val="008D6F32"/>
    <w:rsid w:val="008D7174"/>
    <w:rsid w:val="008D76A1"/>
    <w:rsid w:val="008D7D87"/>
    <w:rsid w:val="008E0146"/>
    <w:rsid w:val="008E0199"/>
    <w:rsid w:val="008E0B39"/>
    <w:rsid w:val="008E1BA0"/>
    <w:rsid w:val="008E435F"/>
    <w:rsid w:val="008E5091"/>
    <w:rsid w:val="008E56F1"/>
    <w:rsid w:val="008E68B3"/>
    <w:rsid w:val="008E6EDC"/>
    <w:rsid w:val="008E7526"/>
    <w:rsid w:val="008E7736"/>
    <w:rsid w:val="008E78B4"/>
    <w:rsid w:val="008F00B0"/>
    <w:rsid w:val="008F0409"/>
    <w:rsid w:val="008F09F5"/>
    <w:rsid w:val="008F1D5B"/>
    <w:rsid w:val="008F20CE"/>
    <w:rsid w:val="008F22FA"/>
    <w:rsid w:val="008F35B5"/>
    <w:rsid w:val="008F3627"/>
    <w:rsid w:val="008F405D"/>
    <w:rsid w:val="008F513F"/>
    <w:rsid w:val="008F5A23"/>
    <w:rsid w:val="008F5ED2"/>
    <w:rsid w:val="008F730D"/>
    <w:rsid w:val="008F766D"/>
    <w:rsid w:val="00900297"/>
    <w:rsid w:val="00900662"/>
    <w:rsid w:val="00900F19"/>
    <w:rsid w:val="0090165F"/>
    <w:rsid w:val="00904A14"/>
    <w:rsid w:val="009056A5"/>
    <w:rsid w:val="00906127"/>
    <w:rsid w:val="009066A7"/>
    <w:rsid w:val="009105AA"/>
    <w:rsid w:val="00911551"/>
    <w:rsid w:val="0091202E"/>
    <w:rsid w:val="00912CC9"/>
    <w:rsid w:val="00913592"/>
    <w:rsid w:val="00913C0C"/>
    <w:rsid w:val="00913DDA"/>
    <w:rsid w:val="00913FDB"/>
    <w:rsid w:val="00914A3E"/>
    <w:rsid w:val="00916634"/>
    <w:rsid w:val="00920A38"/>
    <w:rsid w:val="00923146"/>
    <w:rsid w:val="00925590"/>
    <w:rsid w:val="0092596C"/>
    <w:rsid w:val="00926954"/>
    <w:rsid w:val="00926DE8"/>
    <w:rsid w:val="009306B9"/>
    <w:rsid w:val="0093123E"/>
    <w:rsid w:val="00931C80"/>
    <w:rsid w:val="00933416"/>
    <w:rsid w:val="00934A1A"/>
    <w:rsid w:val="009356EA"/>
    <w:rsid w:val="009364A5"/>
    <w:rsid w:val="00936C83"/>
    <w:rsid w:val="0094031D"/>
    <w:rsid w:val="00940798"/>
    <w:rsid w:val="00942017"/>
    <w:rsid w:val="00942AFC"/>
    <w:rsid w:val="009436AA"/>
    <w:rsid w:val="00943D06"/>
    <w:rsid w:val="0094462D"/>
    <w:rsid w:val="00944964"/>
    <w:rsid w:val="009452C4"/>
    <w:rsid w:val="00945A60"/>
    <w:rsid w:val="00945EB0"/>
    <w:rsid w:val="00946DE0"/>
    <w:rsid w:val="0095182A"/>
    <w:rsid w:val="009539D7"/>
    <w:rsid w:val="00953F4B"/>
    <w:rsid w:val="00954B76"/>
    <w:rsid w:val="00956DBA"/>
    <w:rsid w:val="00957D81"/>
    <w:rsid w:val="00957E6E"/>
    <w:rsid w:val="00960254"/>
    <w:rsid w:val="00960AB1"/>
    <w:rsid w:val="00961887"/>
    <w:rsid w:val="009627FD"/>
    <w:rsid w:val="00962DC6"/>
    <w:rsid w:val="00963194"/>
    <w:rsid w:val="00963EBE"/>
    <w:rsid w:val="0096424E"/>
    <w:rsid w:val="00965BC6"/>
    <w:rsid w:val="00970FDA"/>
    <w:rsid w:val="009727CE"/>
    <w:rsid w:val="00973593"/>
    <w:rsid w:val="00973B50"/>
    <w:rsid w:val="00976BDE"/>
    <w:rsid w:val="00976C9A"/>
    <w:rsid w:val="00976F42"/>
    <w:rsid w:val="0098094C"/>
    <w:rsid w:val="009835E6"/>
    <w:rsid w:val="00983C86"/>
    <w:rsid w:val="009853C5"/>
    <w:rsid w:val="00985688"/>
    <w:rsid w:val="0098710C"/>
    <w:rsid w:val="00987407"/>
    <w:rsid w:val="0099087E"/>
    <w:rsid w:val="00993DE4"/>
    <w:rsid w:val="00994449"/>
    <w:rsid w:val="009948D0"/>
    <w:rsid w:val="00995BEB"/>
    <w:rsid w:val="009967CE"/>
    <w:rsid w:val="00996E95"/>
    <w:rsid w:val="009A1907"/>
    <w:rsid w:val="009A20B7"/>
    <w:rsid w:val="009A246E"/>
    <w:rsid w:val="009A39A2"/>
    <w:rsid w:val="009A42BB"/>
    <w:rsid w:val="009A517B"/>
    <w:rsid w:val="009A5278"/>
    <w:rsid w:val="009A616C"/>
    <w:rsid w:val="009A729D"/>
    <w:rsid w:val="009A72FB"/>
    <w:rsid w:val="009A7BCB"/>
    <w:rsid w:val="009B3AA6"/>
    <w:rsid w:val="009B4130"/>
    <w:rsid w:val="009B7995"/>
    <w:rsid w:val="009C07AE"/>
    <w:rsid w:val="009C0B61"/>
    <w:rsid w:val="009C367B"/>
    <w:rsid w:val="009C5080"/>
    <w:rsid w:val="009C517C"/>
    <w:rsid w:val="009C6394"/>
    <w:rsid w:val="009C6CE1"/>
    <w:rsid w:val="009C70E1"/>
    <w:rsid w:val="009D14C0"/>
    <w:rsid w:val="009D4101"/>
    <w:rsid w:val="009D51D1"/>
    <w:rsid w:val="009D5E57"/>
    <w:rsid w:val="009D7585"/>
    <w:rsid w:val="009E14A2"/>
    <w:rsid w:val="009E1680"/>
    <w:rsid w:val="009E188A"/>
    <w:rsid w:val="009E1C1C"/>
    <w:rsid w:val="009E6D97"/>
    <w:rsid w:val="009F18C8"/>
    <w:rsid w:val="009F1E7D"/>
    <w:rsid w:val="009F3A53"/>
    <w:rsid w:val="009F587C"/>
    <w:rsid w:val="00A0012A"/>
    <w:rsid w:val="00A03C42"/>
    <w:rsid w:val="00A03F9D"/>
    <w:rsid w:val="00A07DFE"/>
    <w:rsid w:val="00A1050D"/>
    <w:rsid w:val="00A117AD"/>
    <w:rsid w:val="00A13051"/>
    <w:rsid w:val="00A13DFB"/>
    <w:rsid w:val="00A13E03"/>
    <w:rsid w:val="00A14423"/>
    <w:rsid w:val="00A148B9"/>
    <w:rsid w:val="00A14FEB"/>
    <w:rsid w:val="00A162AB"/>
    <w:rsid w:val="00A17DAC"/>
    <w:rsid w:val="00A21780"/>
    <w:rsid w:val="00A21847"/>
    <w:rsid w:val="00A228F5"/>
    <w:rsid w:val="00A230D5"/>
    <w:rsid w:val="00A23B99"/>
    <w:rsid w:val="00A23CDE"/>
    <w:rsid w:val="00A23D39"/>
    <w:rsid w:val="00A24854"/>
    <w:rsid w:val="00A31287"/>
    <w:rsid w:val="00A31EC5"/>
    <w:rsid w:val="00A32304"/>
    <w:rsid w:val="00A326D9"/>
    <w:rsid w:val="00A34382"/>
    <w:rsid w:val="00A356F8"/>
    <w:rsid w:val="00A37414"/>
    <w:rsid w:val="00A4102F"/>
    <w:rsid w:val="00A4179D"/>
    <w:rsid w:val="00A41996"/>
    <w:rsid w:val="00A41CBB"/>
    <w:rsid w:val="00A44791"/>
    <w:rsid w:val="00A460AA"/>
    <w:rsid w:val="00A46221"/>
    <w:rsid w:val="00A465E4"/>
    <w:rsid w:val="00A46C8B"/>
    <w:rsid w:val="00A46EE0"/>
    <w:rsid w:val="00A478A3"/>
    <w:rsid w:val="00A47A7E"/>
    <w:rsid w:val="00A50FA0"/>
    <w:rsid w:val="00A50FB5"/>
    <w:rsid w:val="00A510D5"/>
    <w:rsid w:val="00A51CCE"/>
    <w:rsid w:val="00A52959"/>
    <w:rsid w:val="00A52FAB"/>
    <w:rsid w:val="00A55A1F"/>
    <w:rsid w:val="00A5614B"/>
    <w:rsid w:val="00A5623B"/>
    <w:rsid w:val="00A57F57"/>
    <w:rsid w:val="00A62D25"/>
    <w:rsid w:val="00A6518F"/>
    <w:rsid w:val="00A653E9"/>
    <w:rsid w:val="00A67E0F"/>
    <w:rsid w:val="00A67E39"/>
    <w:rsid w:val="00A7084B"/>
    <w:rsid w:val="00A7158D"/>
    <w:rsid w:val="00A7227E"/>
    <w:rsid w:val="00A724AF"/>
    <w:rsid w:val="00A727F5"/>
    <w:rsid w:val="00A730EB"/>
    <w:rsid w:val="00A74B42"/>
    <w:rsid w:val="00A7582F"/>
    <w:rsid w:val="00A76F2E"/>
    <w:rsid w:val="00A7769A"/>
    <w:rsid w:val="00A779CA"/>
    <w:rsid w:val="00A80632"/>
    <w:rsid w:val="00A81C10"/>
    <w:rsid w:val="00A82137"/>
    <w:rsid w:val="00A8246D"/>
    <w:rsid w:val="00A82ABA"/>
    <w:rsid w:val="00A82DE7"/>
    <w:rsid w:val="00A83886"/>
    <w:rsid w:val="00A84BD2"/>
    <w:rsid w:val="00A84ECD"/>
    <w:rsid w:val="00A859BF"/>
    <w:rsid w:val="00A86A2E"/>
    <w:rsid w:val="00A877EC"/>
    <w:rsid w:val="00A90067"/>
    <w:rsid w:val="00A9422C"/>
    <w:rsid w:val="00A9478B"/>
    <w:rsid w:val="00A94F42"/>
    <w:rsid w:val="00A94FBA"/>
    <w:rsid w:val="00A9524A"/>
    <w:rsid w:val="00A96317"/>
    <w:rsid w:val="00A96D63"/>
    <w:rsid w:val="00A96DFB"/>
    <w:rsid w:val="00AA09BB"/>
    <w:rsid w:val="00AA1B1E"/>
    <w:rsid w:val="00AA41A2"/>
    <w:rsid w:val="00AA6214"/>
    <w:rsid w:val="00AA7882"/>
    <w:rsid w:val="00AA7908"/>
    <w:rsid w:val="00AB017D"/>
    <w:rsid w:val="00AB0B1D"/>
    <w:rsid w:val="00AB17BE"/>
    <w:rsid w:val="00AB2FCD"/>
    <w:rsid w:val="00AB3054"/>
    <w:rsid w:val="00AB3C3E"/>
    <w:rsid w:val="00AB49BB"/>
    <w:rsid w:val="00AB4B24"/>
    <w:rsid w:val="00AB4CEA"/>
    <w:rsid w:val="00AB4E2C"/>
    <w:rsid w:val="00AB4E8E"/>
    <w:rsid w:val="00AB59EE"/>
    <w:rsid w:val="00AB7A1E"/>
    <w:rsid w:val="00AB7D96"/>
    <w:rsid w:val="00AC31D9"/>
    <w:rsid w:val="00AC35A5"/>
    <w:rsid w:val="00AC5A74"/>
    <w:rsid w:val="00AC62B5"/>
    <w:rsid w:val="00AD30D1"/>
    <w:rsid w:val="00AD4182"/>
    <w:rsid w:val="00AD651F"/>
    <w:rsid w:val="00AD68C3"/>
    <w:rsid w:val="00AD74DA"/>
    <w:rsid w:val="00AD7EA3"/>
    <w:rsid w:val="00AE07D1"/>
    <w:rsid w:val="00AE15E2"/>
    <w:rsid w:val="00AE21C6"/>
    <w:rsid w:val="00AE22FD"/>
    <w:rsid w:val="00AE356A"/>
    <w:rsid w:val="00AE3C40"/>
    <w:rsid w:val="00AE46BB"/>
    <w:rsid w:val="00AE4839"/>
    <w:rsid w:val="00AE4B99"/>
    <w:rsid w:val="00AE4D8A"/>
    <w:rsid w:val="00AE583C"/>
    <w:rsid w:val="00AE667D"/>
    <w:rsid w:val="00AE7570"/>
    <w:rsid w:val="00AF0339"/>
    <w:rsid w:val="00AF0445"/>
    <w:rsid w:val="00AF1046"/>
    <w:rsid w:val="00AF19DE"/>
    <w:rsid w:val="00AF2BF9"/>
    <w:rsid w:val="00AF32D2"/>
    <w:rsid w:val="00AF4C3C"/>
    <w:rsid w:val="00AF4FFF"/>
    <w:rsid w:val="00AF557C"/>
    <w:rsid w:val="00AF7739"/>
    <w:rsid w:val="00B0104D"/>
    <w:rsid w:val="00B0105E"/>
    <w:rsid w:val="00B0304A"/>
    <w:rsid w:val="00B04138"/>
    <w:rsid w:val="00B048BC"/>
    <w:rsid w:val="00B06A2E"/>
    <w:rsid w:val="00B06D0E"/>
    <w:rsid w:val="00B104AC"/>
    <w:rsid w:val="00B10E69"/>
    <w:rsid w:val="00B1200B"/>
    <w:rsid w:val="00B15C00"/>
    <w:rsid w:val="00B16542"/>
    <w:rsid w:val="00B17CF5"/>
    <w:rsid w:val="00B208AA"/>
    <w:rsid w:val="00B22620"/>
    <w:rsid w:val="00B231C9"/>
    <w:rsid w:val="00B23D54"/>
    <w:rsid w:val="00B26504"/>
    <w:rsid w:val="00B265D9"/>
    <w:rsid w:val="00B279E4"/>
    <w:rsid w:val="00B27F76"/>
    <w:rsid w:val="00B30689"/>
    <w:rsid w:val="00B31294"/>
    <w:rsid w:val="00B3130B"/>
    <w:rsid w:val="00B32AC6"/>
    <w:rsid w:val="00B3351F"/>
    <w:rsid w:val="00B34233"/>
    <w:rsid w:val="00B34457"/>
    <w:rsid w:val="00B37523"/>
    <w:rsid w:val="00B412F0"/>
    <w:rsid w:val="00B420A9"/>
    <w:rsid w:val="00B44124"/>
    <w:rsid w:val="00B44AB1"/>
    <w:rsid w:val="00B458AD"/>
    <w:rsid w:val="00B46237"/>
    <w:rsid w:val="00B50A02"/>
    <w:rsid w:val="00B5149B"/>
    <w:rsid w:val="00B52149"/>
    <w:rsid w:val="00B53017"/>
    <w:rsid w:val="00B54BF8"/>
    <w:rsid w:val="00B560D7"/>
    <w:rsid w:val="00B56C17"/>
    <w:rsid w:val="00B57103"/>
    <w:rsid w:val="00B573FB"/>
    <w:rsid w:val="00B57B39"/>
    <w:rsid w:val="00B6092A"/>
    <w:rsid w:val="00B60E6E"/>
    <w:rsid w:val="00B61997"/>
    <w:rsid w:val="00B62077"/>
    <w:rsid w:val="00B62BF9"/>
    <w:rsid w:val="00B62D32"/>
    <w:rsid w:val="00B63A13"/>
    <w:rsid w:val="00B64262"/>
    <w:rsid w:val="00B64D25"/>
    <w:rsid w:val="00B6544F"/>
    <w:rsid w:val="00B66EB8"/>
    <w:rsid w:val="00B6709A"/>
    <w:rsid w:val="00B71069"/>
    <w:rsid w:val="00B71223"/>
    <w:rsid w:val="00B71784"/>
    <w:rsid w:val="00B72354"/>
    <w:rsid w:val="00B728FB"/>
    <w:rsid w:val="00B72C8B"/>
    <w:rsid w:val="00B7363C"/>
    <w:rsid w:val="00B77089"/>
    <w:rsid w:val="00B80011"/>
    <w:rsid w:val="00B80CCE"/>
    <w:rsid w:val="00B81D18"/>
    <w:rsid w:val="00B820E1"/>
    <w:rsid w:val="00B83E7B"/>
    <w:rsid w:val="00B84923"/>
    <w:rsid w:val="00B86982"/>
    <w:rsid w:val="00B86A1B"/>
    <w:rsid w:val="00B876DC"/>
    <w:rsid w:val="00B87D48"/>
    <w:rsid w:val="00B90187"/>
    <w:rsid w:val="00B91633"/>
    <w:rsid w:val="00B91FFE"/>
    <w:rsid w:val="00B928C9"/>
    <w:rsid w:val="00B95FED"/>
    <w:rsid w:val="00B97811"/>
    <w:rsid w:val="00BA072A"/>
    <w:rsid w:val="00BA1E72"/>
    <w:rsid w:val="00BA410E"/>
    <w:rsid w:val="00BA41BD"/>
    <w:rsid w:val="00BA5667"/>
    <w:rsid w:val="00BA5CB3"/>
    <w:rsid w:val="00BA6577"/>
    <w:rsid w:val="00BA76A2"/>
    <w:rsid w:val="00BA7C40"/>
    <w:rsid w:val="00BB051F"/>
    <w:rsid w:val="00BB0817"/>
    <w:rsid w:val="00BB0FC8"/>
    <w:rsid w:val="00BB21C2"/>
    <w:rsid w:val="00BB30BC"/>
    <w:rsid w:val="00BB3B78"/>
    <w:rsid w:val="00BB4639"/>
    <w:rsid w:val="00BB5F5B"/>
    <w:rsid w:val="00BB6748"/>
    <w:rsid w:val="00BB69CE"/>
    <w:rsid w:val="00BC09E7"/>
    <w:rsid w:val="00BC14F4"/>
    <w:rsid w:val="00BC2579"/>
    <w:rsid w:val="00BC2AB4"/>
    <w:rsid w:val="00BC5230"/>
    <w:rsid w:val="00BC5394"/>
    <w:rsid w:val="00BC6594"/>
    <w:rsid w:val="00BD05B5"/>
    <w:rsid w:val="00BD0AD9"/>
    <w:rsid w:val="00BD355E"/>
    <w:rsid w:val="00BD37CC"/>
    <w:rsid w:val="00BD3890"/>
    <w:rsid w:val="00BD38CF"/>
    <w:rsid w:val="00BD3D58"/>
    <w:rsid w:val="00BD3D6F"/>
    <w:rsid w:val="00BD5690"/>
    <w:rsid w:val="00BD58C3"/>
    <w:rsid w:val="00BD58E6"/>
    <w:rsid w:val="00BD5908"/>
    <w:rsid w:val="00BD5BCF"/>
    <w:rsid w:val="00BD6194"/>
    <w:rsid w:val="00BD62E5"/>
    <w:rsid w:val="00BD654C"/>
    <w:rsid w:val="00BE0D40"/>
    <w:rsid w:val="00BE14EE"/>
    <w:rsid w:val="00BE44F3"/>
    <w:rsid w:val="00BE4C63"/>
    <w:rsid w:val="00BE5C3D"/>
    <w:rsid w:val="00BE68F3"/>
    <w:rsid w:val="00BE6D68"/>
    <w:rsid w:val="00BE6F7D"/>
    <w:rsid w:val="00BE7359"/>
    <w:rsid w:val="00BF01A0"/>
    <w:rsid w:val="00BF49A0"/>
    <w:rsid w:val="00BF4E2C"/>
    <w:rsid w:val="00BF5AEB"/>
    <w:rsid w:val="00BF5B45"/>
    <w:rsid w:val="00BF7B48"/>
    <w:rsid w:val="00C007E6"/>
    <w:rsid w:val="00C010FF"/>
    <w:rsid w:val="00C02590"/>
    <w:rsid w:val="00C02962"/>
    <w:rsid w:val="00C03A5A"/>
    <w:rsid w:val="00C03CC2"/>
    <w:rsid w:val="00C04BA4"/>
    <w:rsid w:val="00C05183"/>
    <w:rsid w:val="00C05FBB"/>
    <w:rsid w:val="00C0615F"/>
    <w:rsid w:val="00C1130C"/>
    <w:rsid w:val="00C117CA"/>
    <w:rsid w:val="00C12567"/>
    <w:rsid w:val="00C12810"/>
    <w:rsid w:val="00C136F7"/>
    <w:rsid w:val="00C15453"/>
    <w:rsid w:val="00C1566F"/>
    <w:rsid w:val="00C15BBD"/>
    <w:rsid w:val="00C169FA"/>
    <w:rsid w:val="00C16F62"/>
    <w:rsid w:val="00C21FAA"/>
    <w:rsid w:val="00C24B45"/>
    <w:rsid w:val="00C25F17"/>
    <w:rsid w:val="00C26398"/>
    <w:rsid w:val="00C26CD3"/>
    <w:rsid w:val="00C307A2"/>
    <w:rsid w:val="00C342A6"/>
    <w:rsid w:val="00C35FEC"/>
    <w:rsid w:val="00C367FA"/>
    <w:rsid w:val="00C40122"/>
    <w:rsid w:val="00C41A1F"/>
    <w:rsid w:val="00C41BCE"/>
    <w:rsid w:val="00C42014"/>
    <w:rsid w:val="00C4414A"/>
    <w:rsid w:val="00C45317"/>
    <w:rsid w:val="00C46D0E"/>
    <w:rsid w:val="00C47CCB"/>
    <w:rsid w:val="00C505C0"/>
    <w:rsid w:val="00C50C1C"/>
    <w:rsid w:val="00C510D2"/>
    <w:rsid w:val="00C5185E"/>
    <w:rsid w:val="00C51A6D"/>
    <w:rsid w:val="00C558F8"/>
    <w:rsid w:val="00C5611A"/>
    <w:rsid w:val="00C5764A"/>
    <w:rsid w:val="00C57C49"/>
    <w:rsid w:val="00C6088B"/>
    <w:rsid w:val="00C611BF"/>
    <w:rsid w:val="00C63534"/>
    <w:rsid w:val="00C63CBF"/>
    <w:rsid w:val="00C66047"/>
    <w:rsid w:val="00C661C6"/>
    <w:rsid w:val="00C66D95"/>
    <w:rsid w:val="00C67868"/>
    <w:rsid w:val="00C705B3"/>
    <w:rsid w:val="00C70B1B"/>
    <w:rsid w:val="00C71AA7"/>
    <w:rsid w:val="00C71EC9"/>
    <w:rsid w:val="00C72690"/>
    <w:rsid w:val="00C737C5"/>
    <w:rsid w:val="00C7430D"/>
    <w:rsid w:val="00C77991"/>
    <w:rsid w:val="00C8076F"/>
    <w:rsid w:val="00C8115C"/>
    <w:rsid w:val="00C8158E"/>
    <w:rsid w:val="00C81B08"/>
    <w:rsid w:val="00C82FDE"/>
    <w:rsid w:val="00C84713"/>
    <w:rsid w:val="00C84E2F"/>
    <w:rsid w:val="00C84E30"/>
    <w:rsid w:val="00C8634F"/>
    <w:rsid w:val="00C87300"/>
    <w:rsid w:val="00C879B2"/>
    <w:rsid w:val="00C9227B"/>
    <w:rsid w:val="00C93112"/>
    <w:rsid w:val="00C93ECB"/>
    <w:rsid w:val="00C9493E"/>
    <w:rsid w:val="00C955AB"/>
    <w:rsid w:val="00C96AAD"/>
    <w:rsid w:val="00CA07E4"/>
    <w:rsid w:val="00CA35C3"/>
    <w:rsid w:val="00CA37EA"/>
    <w:rsid w:val="00CA4E65"/>
    <w:rsid w:val="00CA6096"/>
    <w:rsid w:val="00CA7DA7"/>
    <w:rsid w:val="00CB1089"/>
    <w:rsid w:val="00CB16BE"/>
    <w:rsid w:val="00CB1D8E"/>
    <w:rsid w:val="00CB2B9B"/>
    <w:rsid w:val="00CB471B"/>
    <w:rsid w:val="00CB63D9"/>
    <w:rsid w:val="00CB78EB"/>
    <w:rsid w:val="00CC0293"/>
    <w:rsid w:val="00CC3945"/>
    <w:rsid w:val="00CC48B2"/>
    <w:rsid w:val="00CC4E41"/>
    <w:rsid w:val="00CC79A2"/>
    <w:rsid w:val="00CD0C0F"/>
    <w:rsid w:val="00CD13B4"/>
    <w:rsid w:val="00CD1FE1"/>
    <w:rsid w:val="00CD233F"/>
    <w:rsid w:val="00CD44C7"/>
    <w:rsid w:val="00CD4965"/>
    <w:rsid w:val="00CD588F"/>
    <w:rsid w:val="00CD5A0E"/>
    <w:rsid w:val="00CD5F1B"/>
    <w:rsid w:val="00CD6035"/>
    <w:rsid w:val="00CD603E"/>
    <w:rsid w:val="00CD6216"/>
    <w:rsid w:val="00CD782F"/>
    <w:rsid w:val="00CD7882"/>
    <w:rsid w:val="00CE049D"/>
    <w:rsid w:val="00CE04F2"/>
    <w:rsid w:val="00CE061C"/>
    <w:rsid w:val="00CE0A91"/>
    <w:rsid w:val="00CE0F16"/>
    <w:rsid w:val="00CE22E8"/>
    <w:rsid w:val="00CE29AB"/>
    <w:rsid w:val="00CE38C7"/>
    <w:rsid w:val="00CE3AB1"/>
    <w:rsid w:val="00CE3B8C"/>
    <w:rsid w:val="00CE4542"/>
    <w:rsid w:val="00CE7E7F"/>
    <w:rsid w:val="00CF0768"/>
    <w:rsid w:val="00CF17C3"/>
    <w:rsid w:val="00CF4588"/>
    <w:rsid w:val="00CF4FE3"/>
    <w:rsid w:val="00CF620F"/>
    <w:rsid w:val="00CF7A4A"/>
    <w:rsid w:val="00D02E24"/>
    <w:rsid w:val="00D033B9"/>
    <w:rsid w:val="00D03826"/>
    <w:rsid w:val="00D04206"/>
    <w:rsid w:val="00D04819"/>
    <w:rsid w:val="00D0523A"/>
    <w:rsid w:val="00D06CB2"/>
    <w:rsid w:val="00D108BF"/>
    <w:rsid w:val="00D1134F"/>
    <w:rsid w:val="00D125B8"/>
    <w:rsid w:val="00D13EBA"/>
    <w:rsid w:val="00D1439F"/>
    <w:rsid w:val="00D145C4"/>
    <w:rsid w:val="00D14771"/>
    <w:rsid w:val="00D14C59"/>
    <w:rsid w:val="00D15DBA"/>
    <w:rsid w:val="00D172CE"/>
    <w:rsid w:val="00D202F5"/>
    <w:rsid w:val="00D2081E"/>
    <w:rsid w:val="00D21C08"/>
    <w:rsid w:val="00D22CBD"/>
    <w:rsid w:val="00D22ED1"/>
    <w:rsid w:val="00D23D70"/>
    <w:rsid w:val="00D25A46"/>
    <w:rsid w:val="00D25B5A"/>
    <w:rsid w:val="00D26A7B"/>
    <w:rsid w:val="00D27510"/>
    <w:rsid w:val="00D2766C"/>
    <w:rsid w:val="00D314A8"/>
    <w:rsid w:val="00D321FE"/>
    <w:rsid w:val="00D33C1D"/>
    <w:rsid w:val="00D34900"/>
    <w:rsid w:val="00D36616"/>
    <w:rsid w:val="00D36BFE"/>
    <w:rsid w:val="00D36EEC"/>
    <w:rsid w:val="00D407B8"/>
    <w:rsid w:val="00D414CE"/>
    <w:rsid w:val="00D418A4"/>
    <w:rsid w:val="00D41DFF"/>
    <w:rsid w:val="00D42056"/>
    <w:rsid w:val="00D4229D"/>
    <w:rsid w:val="00D42780"/>
    <w:rsid w:val="00D44B09"/>
    <w:rsid w:val="00D46882"/>
    <w:rsid w:val="00D46BC2"/>
    <w:rsid w:val="00D50499"/>
    <w:rsid w:val="00D50790"/>
    <w:rsid w:val="00D50F3E"/>
    <w:rsid w:val="00D514A8"/>
    <w:rsid w:val="00D526E3"/>
    <w:rsid w:val="00D527D8"/>
    <w:rsid w:val="00D54212"/>
    <w:rsid w:val="00D54417"/>
    <w:rsid w:val="00D54E58"/>
    <w:rsid w:val="00D557D9"/>
    <w:rsid w:val="00D5704A"/>
    <w:rsid w:val="00D57C27"/>
    <w:rsid w:val="00D57CD9"/>
    <w:rsid w:val="00D603CA"/>
    <w:rsid w:val="00D6328C"/>
    <w:rsid w:val="00D6338D"/>
    <w:rsid w:val="00D633B8"/>
    <w:rsid w:val="00D63426"/>
    <w:rsid w:val="00D6363F"/>
    <w:rsid w:val="00D6588A"/>
    <w:rsid w:val="00D65CAF"/>
    <w:rsid w:val="00D6638D"/>
    <w:rsid w:val="00D66BFC"/>
    <w:rsid w:val="00D66ECE"/>
    <w:rsid w:val="00D673DC"/>
    <w:rsid w:val="00D6761A"/>
    <w:rsid w:val="00D708C1"/>
    <w:rsid w:val="00D733B6"/>
    <w:rsid w:val="00D7580C"/>
    <w:rsid w:val="00D768E0"/>
    <w:rsid w:val="00D769EE"/>
    <w:rsid w:val="00D77241"/>
    <w:rsid w:val="00D811EE"/>
    <w:rsid w:val="00D81543"/>
    <w:rsid w:val="00D81DBC"/>
    <w:rsid w:val="00D82C39"/>
    <w:rsid w:val="00D83340"/>
    <w:rsid w:val="00D85804"/>
    <w:rsid w:val="00D859D5"/>
    <w:rsid w:val="00D86E8A"/>
    <w:rsid w:val="00D92923"/>
    <w:rsid w:val="00D93A9E"/>
    <w:rsid w:val="00D941B7"/>
    <w:rsid w:val="00D953D7"/>
    <w:rsid w:val="00D96BF6"/>
    <w:rsid w:val="00D96F1C"/>
    <w:rsid w:val="00D97676"/>
    <w:rsid w:val="00D97DC7"/>
    <w:rsid w:val="00DA0A1C"/>
    <w:rsid w:val="00DA1723"/>
    <w:rsid w:val="00DA25C7"/>
    <w:rsid w:val="00DA374A"/>
    <w:rsid w:val="00DA42C5"/>
    <w:rsid w:val="00DB0623"/>
    <w:rsid w:val="00DB0A7F"/>
    <w:rsid w:val="00DB2ED0"/>
    <w:rsid w:val="00DB40A8"/>
    <w:rsid w:val="00DB5110"/>
    <w:rsid w:val="00DB5FC0"/>
    <w:rsid w:val="00DB61B2"/>
    <w:rsid w:val="00DB67CA"/>
    <w:rsid w:val="00DC1333"/>
    <w:rsid w:val="00DC2115"/>
    <w:rsid w:val="00DC56F6"/>
    <w:rsid w:val="00DC61B7"/>
    <w:rsid w:val="00DD02C7"/>
    <w:rsid w:val="00DD0D8B"/>
    <w:rsid w:val="00DD366D"/>
    <w:rsid w:val="00DD51CF"/>
    <w:rsid w:val="00DD6E7B"/>
    <w:rsid w:val="00DE01A8"/>
    <w:rsid w:val="00DE0DF2"/>
    <w:rsid w:val="00DE0EA2"/>
    <w:rsid w:val="00DE1932"/>
    <w:rsid w:val="00DE34C1"/>
    <w:rsid w:val="00DE4709"/>
    <w:rsid w:val="00DE49EC"/>
    <w:rsid w:val="00DE5C93"/>
    <w:rsid w:val="00DE6206"/>
    <w:rsid w:val="00DE6BA4"/>
    <w:rsid w:val="00DE7455"/>
    <w:rsid w:val="00DE7651"/>
    <w:rsid w:val="00DF0412"/>
    <w:rsid w:val="00DF3267"/>
    <w:rsid w:val="00DF464C"/>
    <w:rsid w:val="00DF58E8"/>
    <w:rsid w:val="00DF5ACA"/>
    <w:rsid w:val="00DF5C65"/>
    <w:rsid w:val="00DF7276"/>
    <w:rsid w:val="00E00427"/>
    <w:rsid w:val="00E005A1"/>
    <w:rsid w:val="00E00DA1"/>
    <w:rsid w:val="00E01932"/>
    <w:rsid w:val="00E024C6"/>
    <w:rsid w:val="00E03765"/>
    <w:rsid w:val="00E05B90"/>
    <w:rsid w:val="00E064C8"/>
    <w:rsid w:val="00E065F4"/>
    <w:rsid w:val="00E07795"/>
    <w:rsid w:val="00E11408"/>
    <w:rsid w:val="00E12FBC"/>
    <w:rsid w:val="00E131AC"/>
    <w:rsid w:val="00E15122"/>
    <w:rsid w:val="00E15B0A"/>
    <w:rsid w:val="00E15D51"/>
    <w:rsid w:val="00E175D0"/>
    <w:rsid w:val="00E17A90"/>
    <w:rsid w:val="00E204E6"/>
    <w:rsid w:val="00E21132"/>
    <w:rsid w:val="00E218DF"/>
    <w:rsid w:val="00E225C4"/>
    <w:rsid w:val="00E2290A"/>
    <w:rsid w:val="00E236A1"/>
    <w:rsid w:val="00E24BA7"/>
    <w:rsid w:val="00E24F7B"/>
    <w:rsid w:val="00E27569"/>
    <w:rsid w:val="00E277EB"/>
    <w:rsid w:val="00E301FE"/>
    <w:rsid w:val="00E31C2E"/>
    <w:rsid w:val="00E329C7"/>
    <w:rsid w:val="00E34C2B"/>
    <w:rsid w:val="00E3642D"/>
    <w:rsid w:val="00E4332E"/>
    <w:rsid w:val="00E439AB"/>
    <w:rsid w:val="00E4498F"/>
    <w:rsid w:val="00E46594"/>
    <w:rsid w:val="00E503E3"/>
    <w:rsid w:val="00E51407"/>
    <w:rsid w:val="00E51DBE"/>
    <w:rsid w:val="00E51DE0"/>
    <w:rsid w:val="00E52BC1"/>
    <w:rsid w:val="00E544D7"/>
    <w:rsid w:val="00E55365"/>
    <w:rsid w:val="00E55ECA"/>
    <w:rsid w:val="00E577BE"/>
    <w:rsid w:val="00E60C60"/>
    <w:rsid w:val="00E615A6"/>
    <w:rsid w:val="00E62EF2"/>
    <w:rsid w:val="00E62F1A"/>
    <w:rsid w:val="00E62F2F"/>
    <w:rsid w:val="00E63A3B"/>
    <w:rsid w:val="00E6738D"/>
    <w:rsid w:val="00E67422"/>
    <w:rsid w:val="00E675A7"/>
    <w:rsid w:val="00E72444"/>
    <w:rsid w:val="00E72D38"/>
    <w:rsid w:val="00E75BD4"/>
    <w:rsid w:val="00E769B7"/>
    <w:rsid w:val="00E77193"/>
    <w:rsid w:val="00E80F61"/>
    <w:rsid w:val="00E833CF"/>
    <w:rsid w:val="00E83D60"/>
    <w:rsid w:val="00E844F3"/>
    <w:rsid w:val="00E85044"/>
    <w:rsid w:val="00E8611E"/>
    <w:rsid w:val="00E86EB8"/>
    <w:rsid w:val="00E879CE"/>
    <w:rsid w:val="00E90126"/>
    <w:rsid w:val="00E92422"/>
    <w:rsid w:val="00E92EEC"/>
    <w:rsid w:val="00E932B3"/>
    <w:rsid w:val="00E944E0"/>
    <w:rsid w:val="00E95346"/>
    <w:rsid w:val="00E95B0F"/>
    <w:rsid w:val="00E95B70"/>
    <w:rsid w:val="00E9608D"/>
    <w:rsid w:val="00E96565"/>
    <w:rsid w:val="00E96976"/>
    <w:rsid w:val="00E977F8"/>
    <w:rsid w:val="00EA2958"/>
    <w:rsid w:val="00EA2B8F"/>
    <w:rsid w:val="00EA3099"/>
    <w:rsid w:val="00EA4185"/>
    <w:rsid w:val="00EA53D5"/>
    <w:rsid w:val="00EA62E2"/>
    <w:rsid w:val="00EB0A84"/>
    <w:rsid w:val="00EB1B17"/>
    <w:rsid w:val="00EB2111"/>
    <w:rsid w:val="00EB2E53"/>
    <w:rsid w:val="00EB315F"/>
    <w:rsid w:val="00EB3406"/>
    <w:rsid w:val="00EB3600"/>
    <w:rsid w:val="00EB3755"/>
    <w:rsid w:val="00EB401F"/>
    <w:rsid w:val="00EB6DD9"/>
    <w:rsid w:val="00EC2D47"/>
    <w:rsid w:val="00EC3058"/>
    <w:rsid w:val="00EC6B2B"/>
    <w:rsid w:val="00EC7D16"/>
    <w:rsid w:val="00ED01E8"/>
    <w:rsid w:val="00ED3447"/>
    <w:rsid w:val="00ED360F"/>
    <w:rsid w:val="00ED3CED"/>
    <w:rsid w:val="00ED47AD"/>
    <w:rsid w:val="00ED5F6B"/>
    <w:rsid w:val="00ED6090"/>
    <w:rsid w:val="00EE27A3"/>
    <w:rsid w:val="00EE3994"/>
    <w:rsid w:val="00EE486C"/>
    <w:rsid w:val="00EE5B78"/>
    <w:rsid w:val="00EE5F39"/>
    <w:rsid w:val="00EE629E"/>
    <w:rsid w:val="00EF1309"/>
    <w:rsid w:val="00EF1CE9"/>
    <w:rsid w:val="00EF1FCB"/>
    <w:rsid w:val="00EF2451"/>
    <w:rsid w:val="00EF273E"/>
    <w:rsid w:val="00EF2F40"/>
    <w:rsid w:val="00EF44FD"/>
    <w:rsid w:val="00EF50C3"/>
    <w:rsid w:val="00EF5D60"/>
    <w:rsid w:val="00EF6A1B"/>
    <w:rsid w:val="00EF729C"/>
    <w:rsid w:val="00F003BD"/>
    <w:rsid w:val="00F00489"/>
    <w:rsid w:val="00F006D6"/>
    <w:rsid w:val="00F007B7"/>
    <w:rsid w:val="00F0207E"/>
    <w:rsid w:val="00F10F8D"/>
    <w:rsid w:val="00F1349A"/>
    <w:rsid w:val="00F1402B"/>
    <w:rsid w:val="00F14842"/>
    <w:rsid w:val="00F15B42"/>
    <w:rsid w:val="00F16FD5"/>
    <w:rsid w:val="00F177E6"/>
    <w:rsid w:val="00F24F19"/>
    <w:rsid w:val="00F250AC"/>
    <w:rsid w:val="00F251A5"/>
    <w:rsid w:val="00F25D26"/>
    <w:rsid w:val="00F260AD"/>
    <w:rsid w:val="00F26BDD"/>
    <w:rsid w:val="00F26E12"/>
    <w:rsid w:val="00F305AA"/>
    <w:rsid w:val="00F30E55"/>
    <w:rsid w:val="00F32748"/>
    <w:rsid w:val="00F32B18"/>
    <w:rsid w:val="00F32B54"/>
    <w:rsid w:val="00F347B6"/>
    <w:rsid w:val="00F34A25"/>
    <w:rsid w:val="00F35FFC"/>
    <w:rsid w:val="00F373BE"/>
    <w:rsid w:val="00F37ACD"/>
    <w:rsid w:val="00F37E34"/>
    <w:rsid w:val="00F37E56"/>
    <w:rsid w:val="00F416BE"/>
    <w:rsid w:val="00F4252E"/>
    <w:rsid w:val="00F4275C"/>
    <w:rsid w:val="00F4341F"/>
    <w:rsid w:val="00F43736"/>
    <w:rsid w:val="00F44350"/>
    <w:rsid w:val="00F45615"/>
    <w:rsid w:val="00F456C5"/>
    <w:rsid w:val="00F5015F"/>
    <w:rsid w:val="00F512CF"/>
    <w:rsid w:val="00F51372"/>
    <w:rsid w:val="00F51561"/>
    <w:rsid w:val="00F53815"/>
    <w:rsid w:val="00F5575A"/>
    <w:rsid w:val="00F56120"/>
    <w:rsid w:val="00F565AD"/>
    <w:rsid w:val="00F572BE"/>
    <w:rsid w:val="00F57A58"/>
    <w:rsid w:val="00F60126"/>
    <w:rsid w:val="00F60416"/>
    <w:rsid w:val="00F60C1F"/>
    <w:rsid w:val="00F632AC"/>
    <w:rsid w:val="00F7183E"/>
    <w:rsid w:val="00F722C5"/>
    <w:rsid w:val="00F727A9"/>
    <w:rsid w:val="00F7304C"/>
    <w:rsid w:val="00F73C36"/>
    <w:rsid w:val="00F747F6"/>
    <w:rsid w:val="00F74947"/>
    <w:rsid w:val="00F75392"/>
    <w:rsid w:val="00F75E67"/>
    <w:rsid w:val="00F760A8"/>
    <w:rsid w:val="00F77D13"/>
    <w:rsid w:val="00F819B9"/>
    <w:rsid w:val="00F81C5E"/>
    <w:rsid w:val="00F82568"/>
    <w:rsid w:val="00F83131"/>
    <w:rsid w:val="00F8377B"/>
    <w:rsid w:val="00F83C6B"/>
    <w:rsid w:val="00F83E80"/>
    <w:rsid w:val="00F874F8"/>
    <w:rsid w:val="00F903D9"/>
    <w:rsid w:val="00F90CFF"/>
    <w:rsid w:val="00F90E65"/>
    <w:rsid w:val="00F91813"/>
    <w:rsid w:val="00F93B65"/>
    <w:rsid w:val="00F93C36"/>
    <w:rsid w:val="00F95DA9"/>
    <w:rsid w:val="00F966DB"/>
    <w:rsid w:val="00F96D88"/>
    <w:rsid w:val="00FA1928"/>
    <w:rsid w:val="00FA1A30"/>
    <w:rsid w:val="00FA358F"/>
    <w:rsid w:val="00FA405B"/>
    <w:rsid w:val="00FA5207"/>
    <w:rsid w:val="00FB02A0"/>
    <w:rsid w:val="00FB0EA3"/>
    <w:rsid w:val="00FB33E0"/>
    <w:rsid w:val="00FB39FB"/>
    <w:rsid w:val="00FB4B05"/>
    <w:rsid w:val="00FB60A5"/>
    <w:rsid w:val="00FB6DBD"/>
    <w:rsid w:val="00FB72D7"/>
    <w:rsid w:val="00FC182F"/>
    <w:rsid w:val="00FC1F3F"/>
    <w:rsid w:val="00FC2371"/>
    <w:rsid w:val="00FC4F9E"/>
    <w:rsid w:val="00FC66D3"/>
    <w:rsid w:val="00FC7672"/>
    <w:rsid w:val="00FC7E12"/>
    <w:rsid w:val="00FD121A"/>
    <w:rsid w:val="00FD1C62"/>
    <w:rsid w:val="00FD287E"/>
    <w:rsid w:val="00FD4997"/>
    <w:rsid w:val="00FD5BB4"/>
    <w:rsid w:val="00FD7200"/>
    <w:rsid w:val="00FD7215"/>
    <w:rsid w:val="00FE00A5"/>
    <w:rsid w:val="00FE0AF9"/>
    <w:rsid w:val="00FE16E9"/>
    <w:rsid w:val="00FE1BA9"/>
    <w:rsid w:val="00FE2A23"/>
    <w:rsid w:val="00FE2B89"/>
    <w:rsid w:val="00FE2F8C"/>
    <w:rsid w:val="00FE3163"/>
    <w:rsid w:val="00FE320A"/>
    <w:rsid w:val="00FE3A58"/>
    <w:rsid w:val="00FE3C69"/>
    <w:rsid w:val="00FE3F5D"/>
    <w:rsid w:val="00FE3FD5"/>
    <w:rsid w:val="00FE420D"/>
    <w:rsid w:val="00FE6439"/>
    <w:rsid w:val="00FE7986"/>
    <w:rsid w:val="00FE7B44"/>
    <w:rsid w:val="00FE7DA6"/>
    <w:rsid w:val="00FE7FE7"/>
    <w:rsid w:val="00FF0021"/>
    <w:rsid w:val="00FF024B"/>
    <w:rsid w:val="00FF33DF"/>
    <w:rsid w:val="00FF3550"/>
    <w:rsid w:val="00FF5D44"/>
    <w:rsid w:val="00FF6E33"/>
    <w:rsid w:val="00FF77D0"/>
    <w:rsid w:val="00FF7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15D81"/>
  <w15:docId w15:val="{AA1339DF-7C21-4FF7-8BCE-03712AE3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5508B0"/>
    <w:pPr>
      <w:spacing w:before="160" w:after="80" w:line="240" w:lineRule="auto"/>
      <w:textAlignment w:val="baseline"/>
      <w:outlineLvl w:val="0"/>
    </w:pPr>
    <w:rPr>
      <w:rFonts w:ascii="Times New Roman" w:hAnsi="Times New Roman" w:cs="Times New Roman"/>
      <w:b/>
      <w:sz w:val="32"/>
      <w:szCs w:val="24"/>
    </w:rPr>
  </w:style>
  <w:style w:type="paragraph" w:styleId="Ttulo2">
    <w:name w:val="heading 2"/>
    <w:basedOn w:val="Normal"/>
    <w:next w:val="Normal"/>
    <w:link w:val="Ttulo2Car"/>
    <w:uiPriority w:val="9"/>
    <w:unhideWhenUsed/>
    <w:qFormat/>
    <w:rsid w:val="005508B0"/>
    <w:pPr>
      <w:shd w:val="clear" w:color="auto" w:fill="FFFFFF"/>
      <w:spacing w:before="100" w:beforeAutospacing="1" w:after="100" w:afterAutospacing="1" w:line="360" w:lineRule="auto"/>
      <w:jc w:val="both"/>
      <w:outlineLvl w:val="1"/>
    </w:pPr>
    <w:rPr>
      <w:rFonts w:ascii="Times New Roman" w:hAnsi="Times New Roman" w:cs="Times New Roman"/>
      <w:b/>
      <w:sz w:val="28"/>
      <w:szCs w:val="24"/>
    </w:rPr>
  </w:style>
  <w:style w:type="paragraph" w:styleId="Ttulo3">
    <w:name w:val="heading 3"/>
    <w:basedOn w:val="Normal"/>
    <w:next w:val="Normal"/>
    <w:link w:val="Ttulo3Car"/>
    <w:uiPriority w:val="9"/>
    <w:unhideWhenUsed/>
    <w:qFormat/>
    <w:rsid w:val="0093123E"/>
    <w:pPr>
      <w:autoSpaceDE w:val="0"/>
      <w:autoSpaceDN w:val="0"/>
      <w:adjustRightInd w:val="0"/>
      <w:spacing w:before="100" w:beforeAutospacing="1" w:after="100" w:afterAutospacing="1" w:line="360" w:lineRule="auto"/>
      <w:jc w:val="both"/>
      <w:outlineLvl w:val="2"/>
    </w:pPr>
    <w:rPr>
      <w:rFonts w:ascii="Times New Roman" w:hAnsi="Times New Roman" w:cs="Times New Roman"/>
      <w:b/>
      <w:bCs/>
      <w:i/>
      <w:color w:val="00000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1B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1BB9"/>
  </w:style>
  <w:style w:type="paragraph" w:styleId="Piedepgina">
    <w:name w:val="footer"/>
    <w:basedOn w:val="Normal"/>
    <w:link w:val="PiedepginaCar"/>
    <w:uiPriority w:val="99"/>
    <w:unhideWhenUsed/>
    <w:rsid w:val="00711B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1BB9"/>
  </w:style>
  <w:style w:type="paragraph" w:customStyle="1" w:styleId="Default">
    <w:name w:val="Default"/>
    <w:rsid w:val="00711BB9"/>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semiHidden/>
    <w:unhideWhenUsed/>
    <w:rsid w:val="00711B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1BB9"/>
    <w:rPr>
      <w:sz w:val="20"/>
      <w:szCs w:val="20"/>
    </w:rPr>
  </w:style>
  <w:style w:type="character" w:styleId="Refdenotaalpie">
    <w:name w:val="footnote reference"/>
    <w:basedOn w:val="Fuentedeprrafopredeter"/>
    <w:uiPriority w:val="99"/>
    <w:semiHidden/>
    <w:unhideWhenUsed/>
    <w:rsid w:val="00711BB9"/>
    <w:rPr>
      <w:vertAlign w:val="superscript"/>
    </w:rPr>
  </w:style>
  <w:style w:type="paragraph" w:styleId="Prrafodelista">
    <w:name w:val="List Paragraph"/>
    <w:basedOn w:val="Normal"/>
    <w:uiPriority w:val="34"/>
    <w:qFormat/>
    <w:rsid w:val="00711BB9"/>
    <w:pPr>
      <w:ind w:left="720"/>
      <w:contextualSpacing/>
    </w:pPr>
  </w:style>
  <w:style w:type="paragraph" w:styleId="Textodeglobo">
    <w:name w:val="Balloon Text"/>
    <w:basedOn w:val="Normal"/>
    <w:link w:val="TextodegloboCar"/>
    <w:uiPriority w:val="99"/>
    <w:semiHidden/>
    <w:unhideWhenUsed/>
    <w:rsid w:val="00711B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BB9"/>
    <w:rPr>
      <w:rFonts w:ascii="Tahoma" w:hAnsi="Tahoma" w:cs="Tahoma"/>
      <w:sz w:val="16"/>
      <w:szCs w:val="16"/>
    </w:rPr>
  </w:style>
  <w:style w:type="paragraph" w:styleId="Textocomentario">
    <w:name w:val="annotation text"/>
    <w:basedOn w:val="Normal"/>
    <w:link w:val="TextocomentarioCar"/>
    <w:uiPriority w:val="99"/>
    <w:unhideWhenUsed/>
    <w:rsid w:val="00711BB9"/>
    <w:pPr>
      <w:spacing w:line="240" w:lineRule="auto"/>
    </w:pPr>
    <w:rPr>
      <w:sz w:val="20"/>
      <w:szCs w:val="20"/>
    </w:rPr>
  </w:style>
  <w:style w:type="character" w:customStyle="1" w:styleId="TextocomentarioCar">
    <w:name w:val="Texto comentario Car"/>
    <w:basedOn w:val="Fuentedeprrafopredeter"/>
    <w:link w:val="Textocomentario"/>
    <w:uiPriority w:val="99"/>
    <w:rsid w:val="00711BB9"/>
    <w:rPr>
      <w:sz w:val="20"/>
      <w:szCs w:val="20"/>
    </w:rPr>
  </w:style>
  <w:style w:type="character" w:styleId="Refdecomentario">
    <w:name w:val="annotation reference"/>
    <w:basedOn w:val="Fuentedeprrafopredeter"/>
    <w:uiPriority w:val="99"/>
    <w:unhideWhenUsed/>
    <w:rsid w:val="00711BB9"/>
    <w:rPr>
      <w:sz w:val="16"/>
      <w:szCs w:val="16"/>
    </w:rPr>
  </w:style>
  <w:style w:type="paragraph" w:styleId="NormalWeb">
    <w:name w:val="Normal (Web)"/>
    <w:basedOn w:val="Normal"/>
    <w:uiPriority w:val="99"/>
    <w:unhideWhenUsed/>
    <w:rsid w:val="007E57F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7E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08B0"/>
    <w:rPr>
      <w:rFonts w:ascii="Times New Roman" w:hAnsi="Times New Roman" w:cs="Times New Roman"/>
      <w:b/>
      <w:sz w:val="32"/>
      <w:szCs w:val="24"/>
    </w:rPr>
  </w:style>
  <w:style w:type="character" w:customStyle="1" w:styleId="apple-converted-space">
    <w:name w:val="apple-converted-space"/>
    <w:basedOn w:val="Fuentedeprrafopredeter"/>
    <w:rsid w:val="0022755B"/>
  </w:style>
  <w:style w:type="character" w:styleId="Hipervnculo">
    <w:name w:val="Hyperlink"/>
    <w:basedOn w:val="Fuentedeprrafopredeter"/>
    <w:uiPriority w:val="99"/>
    <w:unhideWhenUsed/>
    <w:rsid w:val="0022755B"/>
    <w:rPr>
      <w:color w:val="0000FF" w:themeColor="hyperlink"/>
      <w:u w:val="single"/>
    </w:rPr>
  </w:style>
  <w:style w:type="character" w:customStyle="1" w:styleId="hithilite">
    <w:name w:val="hithilite"/>
    <w:basedOn w:val="Fuentedeprrafopredeter"/>
    <w:rsid w:val="0022755B"/>
  </w:style>
  <w:style w:type="character" w:customStyle="1" w:styleId="a-size-large">
    <w:name w:val="a-size-large"/>
    <w:basedOn w:val="Fuentedeprrafopredeter"/>
    <w:rsid w:val="0022755B"/>
  </w:style>
  <w:style w:type="paragraph" w:styleId="Asuntodelcomentario">
    <w:name w:val="annotation subject"/>
    <w:basedOn w:val="Textocomentario"/>
    <w:next w:val="Textocomentario"/>
    <w:link w:val="AsuntodelcomentarioCar"/>
    <w:uiPriority w:val="99"/>
    <w:semiHidden/>
    <w:unhideWhenUsed/>
    <w:rsid w:val="006440E0"/>
    <w:rPr>
      <w:b/>
      <w:bCs/>
    </w:rPr>
  </w:style>
  <w:style w:type="character" w:customStyle="1" w:styleId="AsuntodelcomentarioCar">
    <w:name w:val="Asunto del comentario Car"/>
    <w:basedOn w:val="TextocomentarioCar"/>
    <w:link w:val="Asuntodelcomentario"/>
    <w:uiPriority w:val="99"/>
    <w:semiHidden/>
    <w:rsid w:val="006440E0"/>
    <w:rPr>
      <w:b/>
      <w:bCs/>
      <w:sz w:val="20"/>
      <w:szCs w:val="20"/>
    </w:rPr>
  </w:style>
  <w:style w:type="character" w:customStyle="1" w:styleId="Ttulo2Car">
    <w:name w:val="Título 2 Car"/>
    <w:basedOn w:val="Fuentedeprrafopredeter"/>
    <w:link w:val="Ttulo2"/>
    <w:uiPriority w:val="9"/>
    <w:rsid w:val="005508B0"/>
    <w:rPr>
      <w:rFonts w:ascii="Times New Roman" w:hAnsi="Times New Roman" w:cs="Times New Roman"/>
      <w:b/>
      <w:sz w:val="28"/>
      <w:szCs w:val="24"/>
      <w:shd w:val="clear" w:color="auto" w:fill="FFFFFF"/>
    </w:rPr>
  </w:style>
  <w:style w:type="paragraph" w:styleId="Lista">
    <w:name w:val="List"/>
    <w:basedOn w:val="Normal"/>
    <w:uiPriority w:val="99"/>
    <w:unhideWhenUsed/>
    <w:rsid w:val="00CA6096"/>
    <w:pPr>
      <w:ind w:left="283" w:hanging="283"/>
      <w:contextualSpacing/>
    </w:pPr>
  </w:style>
  <w:style w:type="paragraph" w:styleId="Lista2">
    <w:name w:val="List 2"/>
    <w:basedOn w:val="Normal"/>
    <w:uiPriority w:val="99"/>
    <w:unhideWhenUsed/>
    <w:rsid w:val="00CA6096"/>
    <w:pPr>
      <w:ind w:left="566" w:hanging="283"/>
      <w:contextualSpacing/>
    </w:pPr>
  </w:style>
  <w:style w:type="paragraph" w:styleId="Lista3">
    <w:name w:val="List 3"/>
    <w:basedOn w:val="Normal"/>
    <w:uiPriority w:val="99"/>
    <w:unhideWhenUsed/>
    <w:rsid w:val="00CA6096"/>
    <w:pPr>
      <w:ind w:left="849" w:hanging="283"/>
      <w:contextualSpacing/>
    </w:pPr>
  </w:style>
  <w:style w:type="paragraph" w:styleId="Saludo">
    <w:name w:val="Salutation"/>
    <w:basedOn w:val="Normal"/>
    <w:next w:val="Normal"/>
    <w:link w:val="SaludoCar"/>
    <w:uiPriority w:val="99"/>
    <w:unhideWhenUsed/>
    <w:rsid w:val="00CA6096"/>
  </w:style>
  <w:style w:type="character" w:customStyle="1" w:styleId="SaludoCar">
    <w:name w:val="Saludo Car"/>
    <w:basedOn w:val="Fuentedeprrafopredeter"/>
    <w:link w:val="Saludo"/>
    <w:uiPriority w:val="99"/>
    <w:rsid w:val="00CA6096"/>
  </w:style>
  <w:style w:type="paragraph" w:styleId="Continuarlista">
    <w:name w:val="List Continue"/>
    <w:basedOn w:val="Normal"/>
    <w:uiPriority w:val="99"/>
    <w:unhideWhenUsed/>
    <w:rsid w:val="00CA6096"/>
    <w:pPr>
      <w:spacing w:after="120"/>
      <w:ind w:left="283"/>
      <w:contextualSpacing/>
    </w:pPr>
  </w:style>
  <w:style w:type="paragraph" w:styleId="Continuarlista2">
    <w:name w:val="List Continue 2"/>
    <w:basedOn w:val="Normal"/>
    <w:uiPriority w:val="99"/>
    <w:unhideWhenUsed/>
    <w:rsid w:val="00CA6096"/>
    <w:pPr>
      <w:spacing w:after="120"/>
      <w:ind w:left="566"/>
      <w:contextualSpacing/>
    </w:pPr>
  </w:style>
  <w:style w:type="paragraph" w:styleId="Continuarlista3">
    <w:name w:val="List Continue 3"/>
    <w:basedOn w:val="Normal"/>
    <w:uiPriority w:val="99"/>
    <w:unhideWhenUsed/>
    <w:rsid w:val="00CA6096"/>
    <w:pPr>
      <w:spacing w:after="120"/>
      <w:ind w:left="849"/>
      <w:contextualSpacing/>
    </w:pPr>
  </w:style>
  <w:style w:type="paragraph" w:styleId="Descripcin">
    <w:name w:val="caption"/>
    <w:basedOn w:val="Normal"/>
    <w:next w:val="Normal"/>
    <w:uiPriority w:val="35"/>
    <w:unhideWhenUsed/>
    <w:qFormat/>
    <w:rsid w:val="00CA6096"/>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CA6096"/>
    <w:pPr>
      <w:spacing w:after="120"/>
    </w:pPr>
  </w:style>
  <w:style w:type="character" w:customStyle="1" w:styleId="TextoindependienteCar">
    <w:name w:val="Texto independiente Car"/>
    <w:basedOn w:val="Fuentedeprrafopredeter"/>
    <w:link w:val="Textoindependiente"/>
    <w:uiPriority w:val="99"/>
    <w:rsid w:val="00CA6096"/>
  </w:style>
  <w:style w:type="paragraph" w:styleId="Textoindependienteprimerasangra">
    <w:name w:val="Body Text First Indent"/>
    <w:basedOn w:val="Textoindependiente"/>
    <w:link w:val="TextoindependienteprimerasangraCar"/>
    <w:uiPriority w:val="99"/>
    <w:unhideWhenUsed/>
    <w:rsid w:val="00CA609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CA6096"/>
  </w:style>
  <w:style w:type="paragraph" w:customStyle="1" w:styleId="references">
    <w:name w:val="references"/>
    <w:rsid w:val="005C1790"/>
    <w:pPr>
      <w:numPr>
        <w:numId w:val="17"/>
      </w:numPr>
      <w:spacing w:after="50" w:line="180" w:lineRule="exact"/>
      <w:jc w:val="both"/>
    </w:pPr>
    <w:rPr>
      <w:rFonts w:ascii="Times New Roman" w:eastAsia="MS Mincho" w:hAnsi="Times New Roman" w:cs="Times New Roman"/>
      <w:noProof/>
      <w:sz w:val="16"/>
      <w:szCs w:val="16"/>
      <w:lang w:val="en-US"/>
    </w:rPr>
  </w:style>
  <w:style w:type="character" w:customStyle="1" w:styleId="Ttulo3Car">
    <w:name w:val="Título 3 Car"/>
    <w:basedOn w:val="Fuentedeprrafopredeter"/>
    <w:link w:val="Ttulo3"/>
    <w:uiPriority w:val="9"/>
    <w:rsid w:val="0093123E"/>
    <w:rPr>
      <w:rFonts w:ascii="Times New Roman" w:hAnsi="Times New Roman" w:cs="Times New Roman"/>
      <w:b/>
      <w:bCs/>
      <w:i/>
      <w:color w:val="000000"/>
      <w:sz w:val="26"/>
      <w:szCs w:val="26"/>
    </w:rPr>
  </w:style>
  <w:style w:type="paragraph" w:styleId="Revisin">
    <w:name w:val="Revision"/>
    <w:hidden/>
    <w:uiPriority w:val="99"/>
    <w:semiHidden/>
    <w:rsid w:val="00EC2D47"/>
    <w:pPr>
      <w:spacing w:after="0" w:line="240" w:lineRule="auto"/>
    </w:pPr>
  </w:style>
  <w:style w:type="character" w:styleId="Nmerodepgina">
    <w:name w:val="page number"/>
    <w:basedOn w:val="Fuentedeprrafopredeter"/>
    <w:rsid w:val="00BF7B48"/>
  </w:style>
  <w:style w:type="table" w:customStyle="1" w:styleId="Tablaconcuadrcula2">
    <w:name w:val="Tabla con cuadrícula2"/>
    <w:basedOn w:val="Tablanormal"/>
    <w:next w:val="Tablaconcuadrcula"/>
    <w:uiPriority w:val="39"/>
    <w:rsid w:val="00AF32D2"/>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592819"/>
    <w:rPr>
      <w:i/>
      <w:iCs/>
    </w:rPr>
  </w:style>
  <w:style w:type="character" w:customStyle="1" w:styleId="Mencinsinresolver1">
    <w:name w:val="Mención sin resolver1"/>
    <w:basedOn w:val="Fuentedeprrafopredeter"/>
    <w:uiPriority w:val="99"/>
    <w:semiHidden/>
    <w:unhideWhenUsed/>
    <w:rsid w:val="00FE420D"/>
    <w:rPr>
      <w:color w:val="808080"/>
      <w:shd w:val="clear" w:color="auto" w:fill="E6E6E6"/>
    </w:rPr>
  </w:style>
  <w:style w:type="character" w:customStyle="1" w:styleId="m7367917586840525053gmail-il">
    <w:name w:val="m_7367917586840525053gmail-il"/>
    <w:basedOn w:val="Fuentedeprrafopredeter"/>
    <w:rsid w:val="00D0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3477">
      <w:bodyDiv w:val="1"/>
      <w:marLeft w:val="0"/>
      <w:marRight w:val="0"/>
      <w:marTop w:val="0"/>
      <w:marBottom w:val="0"/>
      <w:divBdr>
        <w:top w:val="none" w:sz="0" w:space="0" w:color="auto"/>
        <w:left w:val="none" w:sz="0" w:space="0" w:color="auto"/>
        <w:bottom w:val="none" w:sz="0" w:space="0" w:color="auto"/>
        <w:right w:val="none" w:sz="0" w:space="0" w:color="auto"/>
      </w:divBdr>
    </w:div>
    <w:div w:id="245044281">
      <w:bodyDiv w:val="1"/>
      <w:marLeft w:val="0"/>
      <w:marRight w:val="0"/>
      <w:marTop w:val="0"/>
      <w:marBottom w:val="0"/>
      <w:divBdr>
        <w:top w:val="none" w:sz="0" w:space="0" w:color="auto"/>
        <w:left w:val="none" w:sz="0" w:space="0" w:color="auto"/>
        <w:bottom w:val="none" w:sz="0" w:space="0" w:color="auto"/>
        <w:right w:val="none" w:sz="0" w:space="0" w:color="auto"/>
      </w:divBdr>
    </w:div>
    <w:div w:id="269507355">
      <w:bodyDiv w:val="1"/>
      <w:marLeft w:val="0"/>
      <w:marRight w:val="0"/>
      <w:marTop w:val="0"/>
      <w:marBottom w:val="0"/>
      <w:divBdr>
        <w:top w:val="none" w:sz="0" w:space="0" w:color="auto"/>
        <w:left w:val="none" w:sz="0" w:space="0" w:color="auto"/>
        <w:bottom w:val="none" w:sz="0" w:space="0" w:color="auto"/>
        <w:right w:val="none" w:sz="0" w:space="0" w:color="auto"/>
      </w:divBdr>
      <w:divsChild>
        <w:div w:id="1712799542">
          <w:marLeft w:val="0"/>
          <w:marRight w:val="0"/>
          <w:marTop w:val="60"/>
          <w:marBottom w:val="60"/>
          <w:divBdr>
            <w:top w:val="none" w:sz="0" w:space="0" w:color="auto"/>
            <w:left w:val="none" w:sz="0" w:space="0" w:color="auto"/>
            <w:bottom w:val="none" w:sz="0" w:space="0" w:color="auto"/>
            <w:right w:val="none" w:sz="0" w:space="0" w:color="auto"/>
          </w:divBdr>
        </w:div>
      </w:divsChild>
    </w:div>
    <w:div w:id="304699004">
      <w:bodyDiv w:val="1"/>
      <w:marLeft w:val="0"/>
      <w:marRight w:val="0"/>
      <w:marTop w:val="0"/>
      <w:marBottom w:val="0"/>
      <w:divBdr>
        <w:top w:val="none" w:sz="0" w:space="0" w:color="auto"/>
        <w:left w:val="none" w:sz="0" w:space="0" w:color="auto"/>
        <w:bottom w:val="none" w:sz="0" w:space="0" w:color="auto"/>
        <w:right w:val="none" w:sz="0" w:space="0" w:color="auto"/>
      </w:divBdr>
    </w:div>
    <w:div w:id="343022544">
      <w:bodyDiv w:val="1"/>
      <w:marLeft w:val="0"/>
      <w:marRight w:val="0"/>
      <w:marTop w:val="0"/>
      <w:marBottom w:val="0"/>
      <w:divBdr>
        <w:top w:val="none" w:sz="0" w:space="0" w:color="auto"/>
        <w:left w:val="none" w:sz="0" w:space="0" w:color="auto"/>
        <w:bottom w:val="none" w:sz="0" w:space="0" w:color="auto"/>
        <w:right w:val="none" w:sz="0" w:space="0" w:color="auto"/>
      </w:divBdr>
    </w:div>
    <w:div w:id="643896116">
      <w:bodyDiv w:val="1"/>
      <w:marLeft w:val="0"/>
      <w:marRight w:val="0"/>
      <w:marTop w:val="0"/>
      <w:marBottom w:val="0"/>
      <w:divBdr>
        <w:top w:val="none" w:sz="0" w:space="0" w:color="auto"/>
        <w:left w:val="none" w:sz="0" w:space="0" w:color="auto"/>
        <w:bottom w:val="none" w:sz="0" w:space="0" w:color="auto"/>
        <w:right w:val="none" w:sz="0" w:space="0" w:color="auto"/>
      </w:divBdr>
    </w:div>
    <w:div w:id="709260506">
      <w:bodyDiv w:val="1"/>
      <w:marLeft w:val="0"/>
      <w:marRight w:val="0"/>
      <w:marTop w:val="0"/>
      <w:marBottom w:val="0"/>
      <w:divBdr>
        <w:top w:val="none" w:sz="0" w:space="0" w:color="auto"/>
        <w:left w:val="none" w:sz="0" w:space="0" w:color="auto"/>
        <w:bottom w:val="none" w:sz="0" w:space="0" w:color="auto"/>
        <w:right w:val="none" w:sz="0" w:space="0" w:color="auto"/>
      </w:divBdr>
    </w:div>
    <w:div w:id="805968532">
      <w:bodyDiv w:val="1"/>
      <w:marLeft w:val="0"/>
      <w:marRight w:val="0"/>
      <w:marTop w:val="0"/>
      <w:marBottom w:val="0"/>
      <w:divBdr>
        <w:top w:val="none" w:sz="0" w:space="0" w:color="auto"/>
        <w:left w:val="none" w:sz="0" w:space="0" w:color="auto"/>
        <w:bottom w:val="none" w:sz="0" w:space="0" w:color="auto"/>
        <w:right w:val="none" w:sz="0" w:space="0" w:color="auto"/>
      </w:divBdr>
    </w:div>
    <w:div w:id="961182110">
      <w:bodyDiv w:val="1"/>
      <w:marLeft w:val="0"/>
      <w:marRight w:val="0"/>
      <w:marTop w:val="0"/>
      <w:marBottom w:val="0"/>
      <w:divBdr>
        <w:top w:val="none" w:sz="0" w:space="0" w:color="auto"/>
        <w:left w:val="none" w:sz="0" w:space="0" w:color="auto"/>
        <w:bottom w:val="none" w:sz="0" w:space="0" w:color="auto"/>
        <w:right w:val="none" w:sz="0" w:space="0" w:color="auto"/>
      </w:divBdr>
    </w:div>
    <w:div w:id="1071393698">
      <w:bodyDiv w:val="1"/>
      <w:marLeft w:val="0"/>
      <w:marRight w:val="0"/>
      <w:marTop w:val="0"/>
      <w:marBottom w:val="0"/>
      <w:divBdr>
        <w:top w:val="none" w:sz="0" w:space="0" w:color="auto"/>
        <w:left w:val="none" w:sz="0" w:space="0" w:color="auto"/>
        <w:bottom w:val="none" w:sz="0" w:space="0" w:color="auto"/>
        <w:right w:val="none" w:sz="0" w:space="0" w:color="auto"/>
      </w:divBdr>
    </w:div>
    <w:div w:id="1178236156">
      <w:bodyDiv w:val="1"/>
      <w:marLeft w:val="0"/>
      <w:marRight w:val="0"/>
      <w:marTop w:val="0"/>
      <w:marBottom w:val="0"/>
      <w:divBdr>
        <w:top w:val="none" w:sz="0" w:space="0" w:color="auto"/>
        <w:left w:val="none" w:sz="0" w:space="0" w:color="auto"/>
        <w:bottom w:val="none" w:sz="0" w:space="0" w:color="auto"/>
        <w:right w:val="none" w:sz="0" w:space="0" w:color="auto"/>
      </w:divBdr>
    </w:div>
    <w:div w:id="1210845451">
      <w:bodyDiv w:val="1"/>
      <w:marLeft w:val="0"/>
      <w:marRight w:val="0"/>
      <w:marTop w:val="0"/>
      <w:marBottom w:val="0"/>
      <w:divBdr>
        <w:top w:val="none" w:sz="0" w:space="0" w:color="auto"/>
        <w:left w:val="none" w:sz="0" w:space="0" w:color="auto"/>
        <w:bottom w:val="none" w:sz="0" w:space="0" w:color="auto"/>
        <w:right w:val="none" w:sz="0" w:space="0" w:color="auto"/>
      </w:divBdr>
    </w:div>
    <w:div w:id="1278216343">
      <w:bodyDiv w:val="1"/>
      <w:marLeft w:val="0"/>
      <w:marRight w:val="0"/>
      <w:marTop w:val="0"/>
      <w:marBottom w:val="0"/>
      <w:divBdr>
        <w:top w:val="none" w:sz="0" w:space="0" w:color="auto"/>
        <w:left w:val="none" w:sz="0" w:space="0" w:color="auto"/>
        <w:bottom w:val="none" w:sz="0" w:space="0" w:color="auto"/>
        <w:right w:val="none" w:sz="0" w:space="0" w:color="auto"/>
      </w:divBdr>
      <w:divsChild>
        <w:div w:id="750196801">
          <w:marLeft w:val="0"/>
          <w:marRight w:val="0"/>
          <w:marTop w:val="0"/>
          <w:marBottom w:val="0"/>
          <w:divBdr>
            <w:top w:val="none" w:sz="0" w:space="0" w:color="auto"/>
            <w:left w:val="none" w:sz="0" w:space="0" w:color="auto"/>
            <w:bottom w:val="none" w:sz="0" w:space="0" w:color="auto"/>
            <w:right w:val="none" w:sz="0" w:space="0" w:color="auto"/>
          </w:divBdr>
        </w:div>
        <w:div w:id="47582060">
          <w:marLeft w:val="0"/>
          <w:marRight w:val="0"/>
          <w:marTop w:val="0"/>
          <w:marBottom w:val="0"/>
          <w:divBdr>
            <w:top w:val="none" w:sz="0" w:space="0" w:color="auto"/>
            <w:left w:val="none" w:sz="0" w:space="0" w:color="auto"/>
            <w:bottom w:val="none" w:sz="0" w:space="0" w:color="auto"/>
            <w:right w:val="none" w:sz="0" w:space="0" w:color="auto"/>
          </w:divBdr>
        </w:div>
        <w:div w:id="739331871">
          <w:marLeft w:val="0"/>
          <w:marRight w:val="0"/>
          <w:marTop w:val="0"/>
          <w:marBottom w:val="0"/>
          <w:divBdr>
            <w:top w:val="none" w:sz="0" w:space="0" w:color="auto"/>
            <w:left w:val="none" w:sz="0" w:space="0" w:color="auto"/>
            <w:bottom w:val="none" w:sz="0" w:space="0" w:color="auto"/>
            <w:right w:val="none" w:sz="0" w:space="0" w:color="auto"/>
          </w:divBdr>
        </w:div>
        <w:div w:id="2045785374">
          <w:marLeft w:val="0"/>
          <w:marRight w:val="0"/>
          <w:marTop w:val="0"/>
          <w:marBottom w:val="0"/>
          <w:divBdr>
            <w:top w:val="none" w:sz="0" w:space="0" w:color="auto"/>
            <w:left w:val="none" w:sz="0" w:space="0" w:color="auto"/>
            <w:bottom w:val="none" w:sz="0" w:space="0" w:color="auto"/>
            <w:right w:val="none" w:sz="0" w:space="0" w:color="auto"/>
          </w:divBdr>
        </w:div>
        <w:div w:id="1573005384">
          <w:marLeft w:val="0"/>
          <w:marRight w:val="0"/>
          <w:marTop w:val="0"/>
          <w:marBottom w:val="0"/>
          <w:divBdr>
            <w:top w:val="none" w:sz="0" w:space="0" w:color="auto"/>
            <w:left w:val="none" w:sz="0" w:space="0" w:color="auto"/>
            <w:bottom w:val="none" w:sz="0" w:space="0" w:color="auto"/>
            <w:right w:val="none" w:sz="0" w:space="0" w:color="auto"/>
          </w:divBdr>
        </w:div>
        <w:div w:id="1757357658">
          <w:marLeft w:val="0"/>
          <w:marRight w:val="0"/>
          <w:marTop w:val="0"/>
          <w:marBottom w:val="0"/>
          <w:divBdr>
            <w:top w:val="none" w:sz="0" w:space="0" w:color="auto"/>
            <w:left w:val="none" w:sz="0" w:space="0" w:color="auto"/>
            <w:bottom w:val="none" w:sz="0" w:space="0" w:color="auto"/>
            <w:right w:val="none" w:sz="0" w:space="0" w:color="auto"/>
          </w:divBdr>
        </w:div>
      </w:divsChild>
    </w:div>
    <w:div w:id="1519277176">
      <w:bodyDiv w:val="1"/>
      <w:marLeft w:val="0"/>
      <w:marRight w:val="0"/>
      <w:marTop w:val="0"/>
      <w:marBottom w:val="0"/>
      <w:divBdr>
        <w:top w:val="none" w:sz="0" w:space="0" w:color="auto"/>
        <w:left w:val="none" w:sz="0" w:space="0" w:color="auto"/>
        <w:bottom w:val="none" w:sz="0" w:space="0" w:color="auto"/>
        <w:right w:val="none" w:sz="0" w:space="0" w:color="auto"/>
      </w:divBdr>
    </w:div>
    <w:div w:id="1880818314">
      <w:bodyDiv w:val="1"/>
      <w:marLeft w:val="0"/>
      <w:marRight w:val="0"/>
      <w:marTop w:val="0"/>
      <w:marBottom w:val="0"/>
      <w:divBdr>
        <w:top w:val="none" w:sz="0" w:space="0" w:color="auto"/>
        <w:left w:val="none" w:sz="0" w:space="0" w:color="auto"/>
        <w:bottom w:val="none" w:sz="0" w:space="0" w:color="auto"/>
        <w:right w:val="none" w:sz="0" w:space="0" w:color="auto"/>
      </w:divBdr>
    </w:div>
    <w:div w:id="1915705112">
      <w:bodyDiv w:val="1"/>
      <w:marLeft w:val="0"/>
      <w:marRight w:val="0"/>
      <w:marTop w:val="0"/>
      <w:marBottom w:val="0"/>
      <w:divBdr>
        <w:top w:val="none" w:sz="0" w:space="0" w:color="auto"/>
        <w:left w:val="none" w:sz="0" w:space="0" w:color="auto"/>
        <w:bottom w:val="none" w:sz="0" w:space="0" w:color="auto"/>
        <w:right w:val="none" w:sz="0" w:space="0" w:color="auto"/>
      </w:divBdr>
    </w:div>
    <w:div w:id="1951431056">
      <w:bodyDiv w:val="1"/>
      <w:marLeft w:val="0"/>
      <w:marRight w:val="0"/>
      <w:marTop w:val="0"/>
      <w:marBottom w:val="0"/>
      <w:divBdr>
        <w:top w:val="none" w:sz="0" w:space="0" w:color="auto"/>
        <w:left w:val="none" w:sz="0" w:space="0" w:color="auto"/>
        <w:bottom w:val="none" w:sz="0" w:space="0" w:color="auto"/>
        <w:right w:val="none" w:sz="0" w:space="0" w:color="auto"/>
      </w:divBdr>
    </w:div>
    <w:div w:id="1974284887">
      <w:bodyDiv w:val="1"/>
      <w:marLeft w:val="0"/>
      <w:marRight w:val="0"/>
      <w:marTop w:val="0"/>
      <w:marBottom w:val="0"/>
      <w:divBdr>
        <w:top w:val="none" w:sz="0" w:space="0" w:color="auto"/>
        <w:left w:val="none" w:sz="0" w:space="0" w:color="auto"/>
        <w:bottom w:val="none" w:sz="0" w:space="0" w:color="auto"/>
        <w:right w:val="none" w:sz="0" w:space="0" w:color="auto"/>
      </w:divBdr>
    </w:div>
    <w:div w:id="20337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yperlink" Target="http://www.banxico.org.mx/portal-mercado-cambiario/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agarpa.gob.mx/ganaderia/Documents/2015/MANUALES%20Y%20PLANES/Programa_Sectorial_SAGARPA_2013-2018%20(1).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www.redalyc.org/pdf/646/6460200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apps.fas.usda.gov/gats/ExpressQuery1.aspx"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www.ers.usda.gov/data-products/chart-gallery/gallery/chart-detail/?chartId=58394"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3.inegi.org.mx/sistemas/temas/default.aspx?s=est&amp;c=25433&amp;t=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yperlink" Target="http://infosiap.siap.gob.mx/gobmx/datosAbiertos.php"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Base%20de%20Datos%20ProAgro-Datos%20Abiertos-SIAP\Import%20Canada%202012-2017.%20Anexo%20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Base%20de%20Datos%20ProAgro-Datos%20Abiertos-SIAP\Import%20Canada%202012-2017.%20Anexo%202.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F:\Base%20de%20Datos%20ProAgro-Datos%20Abiertos-SIAP\Imports%20USA%202012-2016.%20Anexo%203.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Base%20de%20Datos%20ProAgro-Datos%20Abiertos-SIAP\Imports%20USA%202012-2016.%20Anexo%203.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Base%20de%20Datos%20ProAgro-Datos%20Abiertos-SIAP\Import%20Canada%202014-2017.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Base%20de%20Datos%20ProAgro-Datos%20Abiertos-SIAP\Import%20Canada%202012-2017.%20Anexo%202.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Base%20de%20Datos%20ProAgro-Datos%20Abiertos-SIAP\Imports%20USA%20Consumption%20Taro.xls"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F:\Base%20de%20Datos%20ProAgro-Datos%20Abiertos-SIAP\Imports%20USA%202012-2016.%20Anexo%203.xls"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4.6231408573928255E-3"/>
                  <c:y val="0.1863017643627879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rendlineLbl>
          </c:trendline>
          <c:xVal>
            <c:numRef>
              <c:f>'Anexo 2 % 2010-2016'!$G$24:$G$28</c:f>
              <c:numCache>
                <c:formatCode>0</c:formatCode>
                <c:ptCount val="5"/>
                <c:pt idx="0">
                  <c:v>2012</c:v>
                </c:pt>
                <c:pt idx="1">
                  <c:v>2013</c:v>
                </c:pt>
                <c:pt idx="2">
                  <c:v>2014</c:v>
                </c:pt>
                <c:pt idx="3">
                  <c:v>2015</c:v>
                </c:pt>
                <c:pt idx="4">
                  <c:v>2016</c:v>
                </c:pt>
              </c:numCache>
            </c:numRef>
          </c:xVal>
          <c:yVal>
            <c:numRef>
              <c:f>'Anexo 2 % 2010-2016'!$H$24:$H$28</c:f>
              <c:numCache>
                <c:formatCode>#,##0</c:formatCode>
                <c:ptCount val="5"/>
                <c:pt idx="0">
                  <c:v>2040985</c:v>
                </c:pt>
                <c:pt idx="1">
                  <c:v>2987880</c:v>
                </c:pt>
                <c:pt idx="2">
                  <c:v>2361395</c:v>
                </c:pt>
                <c:pt idx="3">
                  <c:v>2107306</c:v>
                </c:pt>
                <c:pt idx="4">
                  <c:v>2493520</c:v>
                </c:pt>
              </c:numCache>
            </c:numRef>
          </c:yVal>
          <c:smooth val="0"/>
          <c:extLst>
            <c:ext xmlns:c16="http://schemas.microsoft.com/office/drawing/2014/chart" uri="{C3380CC4-5D6E-409C-BE32-E72D297353CC}">
              <c16:uniqueId val="{00000002-7607-4642-8CF0-6A4FFFA9142E}"/>
            </c:ext>
          </c:extLst>
        </c:ser>
        <c:dLbls>
          <c:dLblPos val="t"/>
          <c:showLegendKey val="0"/>
          <c:showVal val="1"/>
          <c:showCatName val="0"/>
          <c:showSerName val="0"/>
          <c:showPercent val="0"/>
          <c:showBubbleSize val="0"/>
        </c:dLbls>
        <c:axId val="68581248"/>
        <c:axId val="68595712"/>
      </c:scatterChart>
      <c:valAx>
        <c:axId val="68581248"/>
        <c:scaling>
          <c:orientation val="minMax"/>
          <c:min val="201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8595712"/>
        <c:crosses val="autoZero"/>
        <c:crossBetween val="midCat"/>
        <c:minorUnit val="1"/>
      </c:valAx>
      <c:valAx>
        <c:axId val="68595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Cantidad (Kilogramos, 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85812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9.715988626421708E-2"/>
                  <c:y val="4.86457421988918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1A-4DCD-A468-A384AB4455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8.6257217847769033E-2"/>
                  <c:y val="0.2681018518518518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rendlineLbl>
          </c:trendline>
          <c:xVal>
            <c:numRef>
              <c:f>'Anexo 2 % 2010-2016'!$I$24:$I$28</c:f>
              <c:numCache>
                <c:formatCode>0</c:formatCode>
                <c:ptCount val="5"/>
                <c:pt idx="0">
                  <c:v>2012</c:v>
                </c:pt>
                <c:pt idx="1">
                  <c:v>2013</c:v>
                </c:pt>
                <c:pt idx="2">
                  <c:v>2014</c:v>
                </c:pt>
                <c:pt idx="3">
                  <c:v>2015</c:v>
                </c:pt>
                <c:pt idx="4">
                  <c:v>2016</c:v>
                </c:pt>
              </c:numCache>
            </c:numRef>
          </c:xVal>
          <c:yVal>
            <c:numRef>
              <c:f>'Anexo 2 % 2010-2016'!$J$24:$J$28</c:f>
              <c:numCache>
                <c:formatCode>_-"$"* #,##0_-;\-"$"* #,##0_-;_-"$"* "-"??_-;_-@_-</c:formatCode>
                <c:ptCount val="5"/>
                <c:pt idx="0">
                  <c:v>36986940.091499999</c:v>
                </c:pt>
                <c:pt idx="1">
                  <c:v>45701018.7108</c:v>
                </c:pt>
                <c:pt idx="2">
                  <c:v>39000353.101300001</c:v>
                </c:pt>
                <c:pt idx="3">
                  <c:v>39822908.549699999</c:v>
                </c:pt>
                <c:pt idx="4">
                  <c:v>45980050.804200001</c:v>
                </c:pt>
              </c:numCache>
            </c:numRef>
          </c:yVal>
          <c:smooth val="0"/>
          <c:extLst>
            <c:ext xmlns:c16="http://schemas.microsoft.com/office/drawing/2014/chart" uri="{C3380CC4-5D6E-409C-BE32-E72D297353CC}">
              <c16:uniqueId val="{00000003-621A-4DCD-A468-A384AB44551B}"/>
            </c:ext>
          </c:extLst>
        </c:ser>
        <c:dLbls>
          <c:dLblPos val="t"/>
          <c:showLegendKey val="0"/>
          <c:showVal val="1"/>
          <c:showCatName val="0"/>
          <c:showSerName val="0"/>
          <c:showPercent val="0"/>
          <c:showBubbleSize val="0"/>
        </c:dLbls>
        <c:axId val="74787072"/>
        <c:axId val="74822016"/>
      </c:scatterChart>
      <c:valAx>
        <c:axId val="74787072"/>
        <c:scaling>
          <c:orientation val="minMax"/>
          <c:max val="2017"/>
          <c:min val="201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4822016"/>
        <c:crosses val="autoZero"/>
        <c:crossBetween val="midCat"/>
        <c:minorUnit val="1"/>
      </c:valAx>
      <c:valAx>
        <c:axId val="74822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Pesos mexicanos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_-&quot;$&quot;* #,##0_-;\-&quot;$&quot;* #,##0_-;_-&quot;$&quot;*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47870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8.6238188976377958E-2"/>
                  <c:y val="-3.762795275590551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rendlineLbl>
          </c:trendline>
          <c:xVal>
            <c:numRef>
              <c:f>'Anexo 3; 2012-2016 % '!$X$34:$X$38</c:f>
              <c:numCache>
                <c:formatCode>General</c:formatCode>
                <c:ptCount val="5"/>
                <c:pt idx="0">
                  <c:v>2012</c:v>
                </c:pt>
                <c:pt idx="1">
                  <c:v>2013</c:v>
                </c:pt>
                <c:pt idx="2">
                  <c:v>2014</c:v>
                </c:pt>
                <c:pt idx="3">
                  <c:v>2015</c:v>
                </c:pt>
                <c:pt idx="4">
                  <c:v>2016</c:v>
                </c:pt>
              </c:numCache>
            </c:numRef>
          </c:xVal>
          <c:yVal>
            <c:numRef>
              <c:f>'Anexo 3; 2012-2016 % '!$Y$34:$Y$38</c:f>
              <c:numCache>
                <c:formatCode>#,##0</c:formatCode>
                <c:ptCount val="5"/>
                <c:pt idx="0">
                  <c:v>2121495</c:v>
                </c:pt>
                <c:pt idx="1">
                  <c:v>1212317</c:v>
                </c:pt>
                <c:pt idx="2">
                  <c:v>1535805</c:v>
                </c:pt>
                <c:pt idx="3">
                  <c:v>1874781</c:v>
                </c:pt>
                <c:pt idx="4">
                  <c:v>5969668</c:v>
                </c:pt>
              </c:numCache>
            </c:numRef>
          </c:yVal>
          <c:smooth val="0"/>
          <c:extLst>
            <c:ext xmlns:c16="http://schemas.microsoft.com/office/drawing/2014/chart" uri="{C3380CC4-5D6E-409C-BE32-E72D297353CC}">
              <c16:uniqueId val="{00000002-D2DA-41BC-9AA9-ED04BFA2F239}"/>
            </c:ext>
          </c:extLst>
        </c:ser>
        <c:dLbls>
          <c:showLegendKey val="0"/>
          <c:showVal val="0"/>
          <c:showCatName val="0"/>
          <c:showSerName val="0"/>
          <c:showPercent val="0"/>
          <c:showBubbleSize val="0"/>
        </c:dLbls>
        <c:axId val="74864896"/>
        <c:axId val="74871168"/>
      </c:scatterChart>
      <c:valAx>
        <c:axId val="74864896"/>
        <c:scaling>
          <c:orientation val="minMax"/>
          <c:min val="201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s-MX"/>
          </a:p>
        </c:txPr>
        <c:crossAx val="74871168"/>
        <c:crosses val="autoZero"/>
        <c:crossBetween val="midCat"/>
        <c:minorUnit val="1"/>
      </c:valAx>
      <c:valAx>
        <c:axId val="74871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Cantidad (Kilogramos,</a:t>
                </a:r>
                <a:r>
                  <a:rPr lang="es-MX" baseline="0"/>
                  <a:t> Kg)</a:t>
                </a:r>
                <a:endParaRPr lang="es-MX"/>
              </a:p>
            </c:rich>
          </c:tx>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4864896"/>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1104877515310586"/>
                  <c:y val="-8.09838874307378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4B-461E-91F4-EA7BD9557649}"/>
                </c:ext>
              </c:extLst>
            </c:dLbl>
            <c:dLbl>
              <c:idx val="1"/>
              <c:layout>
                <c:manualLayout>
                  <c:x val="-9.4382108486439201E-2"/>
                  <c:y val="-5.32061096529600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4B-461E-91F4-EA7BD9557649}"/>
                </c:ext>
              </c:extLst>
            </c:dLbl>
            <c:dLbl>
              <c:idx val="2"/>
              <c:layout>
                <c:manualLayout>
                  <c:x val="-0.10549321959755041"/>
                  <c:y val="3.93864829396323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4B-461E-91F4-EA7BD95576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10196500437445319"/>
                  <c:y val="-0.1089300816564596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rendlineLbl>
          </c:trendline>
          <c:xVal>
            <c:numRef>
              <c:f>'Anexo 3; 2012-2016 % '!$Z$34:$Z$38</c:f>
              <c:numCache>
                <c:formatCode>General</c:formatCode>
                <c:ptCount val="5"/>
                <c:pt idx="0">
                  <c:v>2012</c:v>
                </c:pt>
                <c:pt idx="1">
                  <c:v>2013</c:v>
                </c:pt>
                <c:pt idx="2">
                  <c:v>2014</c:v>
                </c:pt>
                <c:pt idx="3">
                  <c:v>2015</c:v>
                </c:pt>
                <c:pt idx="4">
                  <c:v>2016</c:v>
                </c:pt>
              </c:numCache>
            </c:numRef>
          </c:xVal>
          <c:yVal>
            <c:numRef>
              <c:f>'Anexo 3; 2012-2016 % '!$AA$34:$AA$38</c:f>
              <c:numCache>
                <c:formatCode>_-"$"* #,##0_-;\-"$"* #,##0_-;_-"$"* "-"??_-;_-@_-</c:formatCode>
                <c:ptCount val="5"/>
                <c:pt idx="0">
                  <c:v>21684636.893599998</c:v>
                </c:pt>
                <c:pt idx="1">
                  <c:v>15659145.419799998</c:v>
                </c:pt>
                <c:pt idx="2">
                  <c:v>14865655.506199999</c:v>
                </c:pt>
                <c:pt idx="3">
                  <c:v>22616185.780599996</c:v>
                </c:pt>
                <c:pt idx="4">
                  <c:v>108502290.39139999</c:v>
                </c:pt>
              </c:numCache>
            </c:numRef>
          </c:yVal>
          <c:smooth val="0"/>
          <c:extLst>
            <c:ext xmlns:c16="http://schemas.microsoft.com/office/drawing/2014/chart" uri="{C3380CC4-5D6E-409C-BE32-E72D297353CC}">
              <c16:uniqueId val="{00000005-614B-461E-91F4-EA7BD9557649}"/>
            </c:ext>
          </c:extLst>
        </c:ser>
        <c:dLbls>
          <c:showLegendKey val="0"/>
          <c:showVal val="0"/>
          <c:showCatName val="0"/>
          <c:showSerName val="0"/>
          <c:showPercent val="0"/>
          <c:showBubbleSize val="0"/>
        </c:dLbls>
        <c:axId val="74902912"/>
        <c:axId val="74925568"/>
      </c:scatterChart>
      <c:valAx>
        <c:axId val="74902912"/>
        <c:scaling>
          <c:orientation val="minMax"/>
          <c:min val="201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s-MX"/>
          </a:p>
        </c:txPr>
        <c:crossAx val="74925568"/>
        <c:crosses val="autoZero"/>
        <c:crossBetween val="midCat"/>
        <c:minorUnit val="1"/>
      </c:valAx>
      <c:valAx>
        <c:axId val="74925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Pesos mexicanos</a:t>
                </a:r>
              </a:p>
            </c:rich>
          </c:tx>
          <c:overlay val="0"/>
          <c:spPr>
            <a:noFill/>
            <a:ln>
              <a:noFill/>
            </a:ln>
            <a:effectLst/>
          </c:spPr>
        </c:title>
        <c:numFmt formatCode="_-&quot;$&quot;* #,##0_-;\-&quot;$&quot;* #,##0_-;_-&quot;$&quot;*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4902912"/>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8.442824050125973E-2"/>
                  <c:y val="0.2230296733741615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rendlineLbl>
          </c:trendline>
          <c:xVal>
            <c:numRef>
              <c:f>'Anexo 2 % 2010-2016'!$B$24:$B$28</c:f>
              <c:numCache>
                <c:formatCode>0</c:formatCode>
                <c:ptCount val="5"/>
                <c:pt idx="0">
                  <c:v>2012</c:v>
                </c:pt>
                <c:pt idx="1">
                  <c:v>2013</c:v>
                </c:pt>
                <c:pt idx="2">
                  <c:v>2014</c:v>
                </c:pt>
                <c:pt idx="3">
                  <c:v>2015</c:v>
                </c:pt>
                <c:pt idx="4">
                  <c:v>2016</c:v>
                </c:pt>
              </c:numCache>
            </c:numRef>
          </c:xVal>
          <c:yVal>
            <c:numRef>
              <c:f>'Anexo 2 % 2010-2016'!$C$24:$C$28</c:f>
              <c:numCache>
                <c:formatCode>#,##0</c:formatCode>
                <c:ptCount val="5"/>
                <c:pt idx="0">
                  <c:v>555226</c:v>
                </c:pt>
                <c:pt idx="1">
                  <c:v>1684093</c:v>
                </c:pt>
                <c:pt idx="2">
                  <c:v>1453485</c:v>
                </c:pt>
                <c:pt idx="3">
                  <c:v>936304</c:v>
                </c:pt>
                <c:pt idx="4">
                  <c:v>1112398</c:v>
                </c:pt>
              </c:numCache>
            </c:numRef>
          </c:yVal>
          <c:smooth val="0"/>
          <c:extLst>
            <c:ext xmlns:c16="http://schemas.microsoft.com/office/drawing/2014/chart" uri="{C3380CC4-5D6E-409C-BE32-E72D297353CC}">
              <c16:uniqueId val="{00000001-F4CE-4749-80DC-DFE5F1F7B2C8}"/>
            </c:ext>
          </c:extLst>
        </c:ser>
        <c:dLbls>
          <c:dLblPos val="t"/>
          <c:showLegendKey val="0"/>
          <c:showVal val="1"/>
          <c:showCatName val="0"/>
          <c:showSerName val="0"/>
          <c:showPercent val="0"/>
          <c:showBubbleSize val="0"/>
        </c:dLbls>
        <c:axId val="74988160"/>
        <c:axId val="74998528"/>
      </c:scatterChart>
      <c:valAx>
        <c:axId val="74988160"/>
        <c:scaling>
          <c:orientation val="minMax"/>
          <c:max val="2017"/>
          <c:min val="201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4998528"/>
        <c:crosses val="autoZero"/>
        <c:crossBetween val="midCat"/>
        <c:minorUnit val="1"/>
      </c:valAx>
      <c:valAx>
        <c:axId val="74998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Cantidad (Kilogramos,</a:t>
                </a:r>
                <a:r>
                  <a:rPr lang="es-MX" baseline="0"/>
                  <a:t> Kg)</a:t>
                </a: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49881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12315988626421698"/>
                  <c:y val="0.2145508894721493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rendlineLbl>
          </c:trendline>
          <c:xVal>
            <c:numRef>
              <c:f>'Anexo 2 % 2010-2016'!$D$24:$D$28</c:f>
              <c:numCache>
                <c:formatCode>0</c:formatCode>
                <c:ptCount val="5"/>
                <c:pt idx="0">
                  <c:v>2012</c:v>
                </c:pt>
                <c:pt idx="1">
                  <c:v>2013</c:v>
                </c:pt>
                <c:pt idx="2">
                  <c:v>2014</c:v>
                </c:pt>
                <c:pt idx="3">
                  <c:v>2015</c:v>
                </c:pt>
                <c:pt idx="4">
                  <c:v>2016</c:v>
                </c:pt>
              </c:numCache>
            </c:numRef>
          </c:xVal>
          <c:yVal>
            <c:numRef>
              <c:f>'Anexo 2 % 2010-2016'!$E$24:$E$28</c:f>
              <c:numCache>
                <c:formatCode>_-"$"* #,##0_-;\-"$"* #,##0_-;_-"$"* "-"??_-;_-@_-</c:formatCode>
                <c:ptCount val="5"/>
                <c:pt idx="0">
                  <c:v>11783544.1483</c:v>
                </c:pt>
                <c:pt idx="1">
                  <c:v>21904736.529599998</c:v>
                </c:pt>
                <c:pt idx="2">
                  <c:v>16326949.389699999</c:v>
                </c:pt>
                <c:pt idx="3">
                  <c:v>13451549.1207</c:v>
                </c:pt>
                <c:pt idx="4">
                  <c:v>15060167.310999999</c:v>
                </c:pt>
              </c:numCache>
            </c:numRef>
          </c:yVal>
          <c:smooth val="0"/>
          <c:extLst>
            <c:ext xmlns:c16="http://schemas.microsoft.com/office/drawing/2014/chart" uri="{C3380CC4-5D6E-409C-BE32-E72D297353CC}">
              <c16:uniqueId val="{00000001-6C98-4C80-AFF0-9E566D6BE730}"/>
            </c:ext>
          </c:extLst>
        </c:ser>
        <c:dLbls>
          <c:dLblPos val="t"/>
          <c:showLegendKey val="0"/>
          <c:showVal val="1"/>
          <c:showCatName val="0"/>
          <c:showSerName val="0"/>
          <c:showPercent val="0"/>
          <c:showBubbleSize val="0"/>
        </c:dLbls>
        <c:axId val="75020544"/>
        <c:axId val="75178368"/>
      </c:scatterChart>
      <c:valAx>
        <c:axId val="75020544"/>
        <c:scaling>
          <c:orientation val="minMax"/>
          <c:min val="201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5178368"/>
        <c:crosses val="autoZero"/>
        <c:crossBetween val="midCat"/>
      </c:valAx>
      <c:valAx>
        <c:axId val="75178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Pesos mexicanos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_-&quot;$&quot;* #,##0_-;\-&quot;$&quot;* #,##0_-;_-&quot;$&quot;*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50205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8.6134514435695544E-2"/>
                  <c:y val="-0.3782374599008457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trendlineLbl>
          </c:trendline>
          <c:xVal>
            <c:numRef>
              <c:f>'Anexo 3; 2012-2016 % '!$O$34:$O$38</c:f>
              <c:numCache>
                <c:formatCode>General</c:formatCode>
                <c:ptCount val="5"/>
                <c:pt idx="0">
                  <c:v>2012</c:v>
                </c:pt>
                <c:pt idx="1">
                  <c:v>2013</c:v>
                </c:pt>
                <c:pt idx="2">
                  <c:v>2014</c:v>
                </c:pt>
                <c:pt idx="3">
                  <c:v>2015</c:v>
                </c:pt>
                <c:pt idx="4">
                  <c:v>2016</c:v>
                </c:pt>
              </c:numCache>
            </c:numRef>
          </c:xVal>
          <c:yVal>
            <c:numRef>
              <c:f>'Anexo 3; 2012-2016 % '!$P$34:$P$38</c:f>
              <c:numCache>
                <c:formatCode>#,##0</c:formatCode>
                <c:ptCount val="5"/>
                <c:pt idx="0">
                  <c:v>410436</c:v>
                </c:pt>
                <c:pt idx="1">
                  <c:v>235236</c:v>
                </c:pt>
                <c:pt idx="2">
                  <c:v>143099</c:v>
                </c:pt>
                <c:pt idx="3">
                  <c:v>130228</c:v>
                </c:pt>
                <c:pt idx="4">
                  <c:v>199751</c:v>
                </c:pt>
              </c:numCache>
            </c:numRef>
          </c:yVal>
          <c:smooth val="0"/>
          <c:extLst>
            <c:ext xmlns:c16="http://schemas.microsoft.com/office/drawing/2014/chart" uri="{C3380CC4-5D6E-409C-BE32-E72D297353CC}">
              <c16:uniqueId val="{00000002-2288-4024-AB3E-35F5EAE825C1}"/>
            </c:ext>
          </c:extLst>
        </c:ser>
        <c:dLbls>
          <c:dLblPos val="t"/>
          <c:showLegendKey val="0"/>
          <c:showVal val="1"/>
          <c:showCatName val="0"/>
          <c:showSerName val="0"/>
          <c:showPercent val="0"/>
          <c:showBubbleSize val="0"/>
        </c:dLbls>
        <c:axId val="75221248"/>
        <c:axId val="75235712"/>
      </c:scatterChart>
      <c:valAx>
        <c:axId val="75221248"/>
        <c:scaling>
          <c:orientation val="minMax"/>
          <c:max val="2017"/>
          <c:min val="201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5235712"/>
        <c:crosses val="autoZero"/>
        <c:crossBetween val="midCat"/>
        <c:majorUnit val="1"/>
        <c:minorUnit val="1"/>
      </c:valAx>
      <c:valAx>
        <c:axId val="75235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Cantidad</a:t>
                </a:r>
                <a:r>
                  <a:rPr lang="es-MX" baseline="0"/>
                  <a:t> (Kilogramos, Kg)</a:t>
                </a: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52212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4.4875328083989502E-2"/>
                  <c:y val="5.3275371828521434E-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es-MX"/>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F25-408D-A4B0-EEED89F15942}"/>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ap="rnd">
                <a:solidFill>
                  <a:schemeClr val="accent1"/>
                </a:solidFill>
                <a:prstDash val="sysDot"/>
              </a:ln>
              <a:effectLst/>
            </c:spPr>
            <c:trendlineType val="linear"/>
            <c:dispRSqr val="1"/>
            <c:dispEq val="1"/>
            <c:trendlineLbl>
              <c:layout>
                <c:manualLayout>
                  <c:x val="0.12581277340332458"/>
                  <c:y val="-0.41493839311752695"/>
                </c:manualLayout>
              </c:layout>
              <c:numFmt formatCode="General" sourceLinked="0"/>
              <c:spPr>
                <a:noFill/>
                <a:ln w="25400">
                  <a:noFill/>
                </a:ln>
              </c:spPr>
              <c:txPr>
                <a:bodyPr/>
                <a:lstStyle/>
                <a:p>
                  <a:pPr>
                    <a:defRPr sz="900" b="0" i="0" u="none" strike="noStrike" baseline="0">
                      <a:solidFill>
                        <a:srgbClr val="333333"/>
                      </a:solidFill>
                      <a:latin typeface="Calibri"/>
                      <a:ea typeface="Calibri"/>
                      <a:cs typeface="Calibri"/>
                    </a:defRPr>
                  </a:pPr>
                  <a:endParaRPr lang="es-MX"/>
                </a:p>
              </c:txPr>
            </c:trendlineLbl>
          </c:trendline>
          <c:xVal>
            <c:numRef>
              <c:f>'Anexo 3; 2012-2016 % '!$O$34:$O$38</c:f>
              <c:numCache>
                <c:formatCode>General</c:formatCode>
                <c:ptCount val="5"/>
                <c:pt idx="0">
                  <c:v>2012</c:v>
                </c:pt>
                <c:pt idx="1">
                  <c:v>2013</c:v>
                </c:pt>
                <c:pt idx="2">
                  <c:v>2014</c:v>
                </c:pt>
                <c:pt idx="3">
                  <c:v>2015</c:v>
                </c:pt>
                <c:pt idx="4">
                  <c:v>2016</c:v>
                </c:pt>
              </c:numCache>
            </c:numRef>
          </c:xVal>
          <c:yVal>
            <c:numRef>
              <c:f>'Anexo 3; 2012-2016 % '!$Q$34:$Q$38</c:f>
              <c:numCache>
                <c:formatCode>_-"$"* #,##0_-;\-"$"* #,##0_-;_-"$"* "-"??_-;_-@_-</c:formatCode>
                <c:ptCount val="5"/>
                <c:pt idx="0">
                  <c:v>7236405.2601999994</c:v>
                </c:pt>
                <c:pt idx="1">
                  <c:v>5719352.8199999994</c:v>
                </c:pt>
                <c:pt idx="2">
                  <c:v>800781.95239999995</c:v>
                </c:pt>
                <c:pt idx="3">
                  <c:v>1865909.3809999998</c:v>
                </c:pt>
                <c:pt idx="4">
                  <c:v>1863623.8165999998</c:v>
                </c:pt>
              </c:numCache>
            </c:numRef>
          </c:yVal>
          <c:smooth val="0"/>
          <c:extLst>
            <c:ext xmlns:c16="http://schemas.microsoft.com/office/drawing/2014/chart" uri="{C3380CC4-5D6E-409C-BE32-E72D297353CC}">
              <c16:uniqueId val="{00000002-3F25-408D-A4B0-EEED89F15942}"/>
            </c:ext>
          </c:extLst>
        </c:ser>
        <c:dLbls>
          <c:showLegendKey val="0"/>
          <c:showVal val="0"/>
          <c:showCatName val="0"/>
          <c:showSerName val="0"/>
          <c:showPercent val="0"/>
          <c:showBubbleSize val="0"/>
        </c:dLbls>
        <c:axId val="75274496"/>
        <c:axId val="75280768"/>
      </c:scatterChart>
      <c:valAx>
        <c:axId val="75274496"/>
        <c:scaling>
          <c:orientation val="minMax"/>
          <c:max val="2017"/>
          <c:min val="2011"/>
        </c:scaling>
        <c:delete val="0"/>
        <c:axPos val="b"/>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es-MX"/>
                  <a:t>Años</a:t>
                </a:r>
              </a:p>
            </c:rich>
          </c:tx>
          <c:overlay val="0"/>
          <c:spPr>
            <a:noFill/>
            <a:ln w="25400">
              <a:noFill/>
            </a:ln>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s-MX"/>
          </a:p>
        </c:txPr>
        <c:crossAx val="75280768"/>
        <c:crosses val="autoZero"/>
        <c:crossBetween val="midCat"/>
        <c:majorUnit val="1"/>
        <c:minorUnit val="1"/>
      </c:valAx>
      <c:valAx>
        <c:axId val="75280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es-MX"/>
                  <a:t>Pesos mexicanos</a:t>
                </a:r>
              </a:p>
            </c:rich>
          </c:tx>
          <c:overlay val="0"/>
          <c:spPr>
            <a:noFill/>
            <a:ln w="25400">
              <a:noFill/>
            </a:ln>
          </c:spPr>
        </c:title>
        <c:numFmt formatCode="_-&quot;$&quot;* #,##0_-;\-&quot;$&quot;* #,##0_-;_-&quot;$&quot;* &quot;-&quot;??_-;_-@_-"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s-MX"/>
          </a:p>
        </c:txPr>
        <c:crossAx val="75274496"/>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MX"/>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A46C-5FF0-4D26-8EB9-4FDD25F5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8588</Words>
  <Characters>47237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Yonatan Lopez</dc:creator>
  <cp:lastModifiedBy>Naira Niktè Santillan</cp:lastModifiedBy>
  <cp:revision>4</cp:revision>
  <dcterms:created xsi:type="dcterms:W3CDTF">2018-05-17T03:16:00Z</dcterms:created>
  <dcterms:modified xsi:type="dcterms:W3CDTF">2018-05-17T16:11:00Z</dcterms:modified>
</cp:coreProperties>
</file>