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98E53" w14:textId="14A92F1A" w:rsidR="00681E99" w:rsidRDefault="005D63B3">
      <w:pPr>
        <w:spacing w:before="240" w:after="240" w:line="276" w:lineRule="auto"/>
        <w:jc w:val="right"/>
        <w:rPr>
          <w:b/>
          <w:i/>
          <w:color w:val="000000"/>
        </w:rPr>
      </w:pPr>
      <w:r w:rsidRPr="005D63B3">
        <w:rPr>
          <w:b/>
          <w:i/>
          <w:color w:val="000000"/>
        </w:rPr>
        <w:t>https://doi.org/10.23913/ride.v15i30.2252</w:t>
      </w:r>
    </w:p>
    <w:p w14:paraId="1A208E46" w14:textId="2E9A3A41" w:rsidR="00094801" w:rsidRDefault="00000000">
      <w:pPr>
        <w:spacing w:before="240" w:after="240" w:line="276" w:lineRule="auto"/>
        <w:jc w:val="right"/>
        <w:rPr>
          <w:b/>
          <w:sz w:val="28"/>
          <w:szCs w:val="28"/>
        </w:rPr>
      </w:pPr>
      <w:r>
        <w:rPr>
          <w:b/>
          <w:i/>
          <w:color w:val="000000"/>
        </w:rPr>
        <w:t>Artículo</w:t>
      </w:r>
      <w:r w:rsidR="00FA600B">
        <w:rPr>
          <w:b/>
          <w:i/>
          <w:color w:val="000000"/>
        </w:rPr>
        <w:t>s</w:t>
      </w:r>
      <w:r>
        <w:rPr>
          <w:b/>
          <w:i/>
          <w:color w:val="000000"/>
        </w:rPr>
        <w:t xml:space="preserve"> científico</w:t>
      </w:r>
      <w:r w:rsidR="00FA600B">
        <w:rPr>
          <w:b/>
          <w:i/>
          <w:color w:val="000000"/>
        </w:rPr>
        <w:t>s</w:t>
      </w:r>
    </w:p>
    <w:p w14:paraId="6DFEC0D5" w14:textId="77777777" w:rsidR="00094801" w:rsidRDefault="00000000">
      <w:pPr>
        <w:spacing w:line="276" w:lineRule="auto"/>
        <w:jc w:val="right"/>
        <w:rPr>
          <w:rFonts w:ascii="Calibri" w:eastAsia="Calibri" w:hAnsi="Calibri" w:cs="Calibri"/>
          <w:b/>
          <w:color w:val="000000"/>
          <w:sz w:val="32"/>
          <w:szCs w:val="32"/>
        </w:rPr>
      </w:pPr>
      <w:r>
        <w:rPr>
          <w:rFonts w:ascii="Calibri" w:eastAsia="Calibri" w:hAnsi="Calibri" w:cs="Calibri"/>
          <w:b/>
          <w:color w:val="000000"/>
          <w:sz w:val="32"/>
          <w:szCs w:val="32"/>
        </w:rPr>
        <w:t xml:space="preserve">Análisis de las </w:t>
      </w:r>
      <w:r>
        <w:rPr>
          <w:rFonts w:ascii="Calibri" w:eastAsia="Calibri" w:hAnsi="Calibri" w:cs="Calibri"/>
          <w:b/>
          <w:sz w:val="32"/>
          <w:szCs w:val="32"/>
        </w:rPr>
        <w:t>prácticas</w:t>
      </w:r>
      <w:r>
        <w:rPr>
          <w:rFonts w:ascii="Calibri" w:eastAsia="Calibri" w:hAnsi="Calibri" w:cs="Calibri"/>
          <w:b/>
          <w:color w:val="000000"/>
          <w:sz w:val="32"/>
          <w:szCs w:val="32"/>
        </w:rPr>
        <w:t xml:space="preserve"> de la </w:t>
      </w:r>
      <w:r>
        <w:rPr>
          <w:rFonts w:ascii="Calibri" w:eastAsia="Calibri" w:hAnsi="Calibri" w:cs="Calibri"/>
          <w:b/>
          <w:sz w:val="32"/>
          <w:szCs w:val="32"/>
        </w:rPr>
        <w:t>responsabilidad</w:t>
      </w:r>
      <w:r>
        <w:rPr>
          <w:rFonts w:ascii="Calibri" w:eastAsia="Calibri" w:hAnsi="Calibri" w:cs="Calibri"/>
          <w:b/>
          <w:color w:val="000000"/>
          <w:sz w:val="32"/>
          <w:szCs w:val="32"/>
        </w:rPr>
        <w:t xml:space="preserve"> social empresarial de las micro y pequeñas empresas de Puerto Vallarta, Jalisco</w:t>
      </w:r>
    </w:p>
    <w:p w14:paraId="6138AE6D" w14:textId="77777777" w:rsidR="00094801" w:rsidRPr="0073485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Calibri"/>
          <w:b/>
          <w:i/>
          <w:color w:val="000000"/>
          <w:sz w:val="28"/>
          <w:szCs w:val="28"/>
          <w:lang w:val="en-US"/>
        </w:rPr>
      </w:pPr>
      <w:r w:rsidRPr="00734857">
        <w:rPr>
          <w:rFonts w:ascii="Calibri" w:eastAsia="Calibri" w:hAnsi="Calibri" w:cs="Calibri"/>
          <w:b/>
          <w:i/>
          <w:color w:val="000000"/>
          <w:sz w:val="28"/>
          <w:szCs w:val="28"/>
          <w:lang w:val="en-US"/>
        </w:rPr>
        <w:br/>
        <w:t>Analysis of corporate social responsibility practices of micro and small businesses in Puerto Vallarta, Jalisco</w:t>
      </w:r>
    </w:p>
    <w:p w14:paraId="56887FF6" w14:textId="77777777" w:rsidR="00094801" w:rsidRPr="0073485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Calibri"/>
          <w:b/>
          <w:i/>
          <w:color w:val="000000"/>
          <w:sz w:val="28"/>
          <w:szCs w:val="28"/>
          <w:lang w:val="en-US"/>
        </w:rPr>
      </w:pPr>
      <w:r w:rsidRPr="00734857">
        <w:rPr>
          <w:rFonts w:ascii="Calibri" w:eastAsia="Calibri" w:hAnsi="Calibri" w:cs="Calibri"/>
          <w:b/>
          <w:i/>
          <w:color w:val="000000"/>
          <w:sz w:val="28"/>
          <w:szCs w:val="28"/>
          <w:lang w:val="en-US"/>
        </w:rPr>
        <w:t xml:space="preserve"> </w:t>
      </w:r>
    </w:p>
    <w:p w14:paraId="4DA1DD94" w14:textId="77777777" w:rsidR="00094801"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Calibri"/>
          <w:b/>
          <w:i/>
          <w:color w:val="000000"/>
          <w:sz w:val="28"/>
          <w:szCs w:val="28"/>
        </w:rPr>
      </w:pPr>
      <w:r w:rsidRPr="00734857">
        <w:rPr>
          <w:rFonts w:ascii="Calibri" w:eastAsia="Calibri" w:hAnsi="Calibri" w:cs="Calibri"/>
          <w:b/>
          <w:i/>
          <w:color w:val="000000"/>
          <w:sz w:val="28"/>
          <w:szCs w:val="28"/>
          <w:lang w:val="en-US"/>
        </w:rPr>
        <w:t xml:space="preserve"> </w:t>
      </w:r>
      <w:r>
        <w:rPr>
          <w:rFonts w:ascii="Calibri" w:eastAsia="Calibri" w:hAnsi="Calibri" w:cs="Calibri"/>
          <w:b/>
          <w:i/>
          <w:color w:val="000000"/>
          <w:sz w:val="28"/>
          <w:szCs w:val="28"/>
        </w:rPr>
        <w:t xml:space="preserve">Análise das práticas de responsabilidade social corporativa de micro e pequenas empresas em Puerto Vallarta, Jalisco </w:t>
      </w:r>
    </w:p>
    <w:p w14:paraId="55BE4F1B" w14:textId="77777777" w:rsidR="00094801" w:rsidRDefault="00094801">
      <w:pPr>
        <w:spacing w:line="360" w:lineRule="auto"/>
        <w:jc w:val="right"/>
        <w:rPr>
          <w:rFonts w:ascii="Calibri" w:eastAsia="Calibri" w:hAnsi="Calibri" w:cs="Calibri"/>
          <w:b/>
          <w:color w:val="000000"/>
        </w:rPr>
      </w:pPr>
    </w:p>
    <w:p w14:paraId="00ED9E92" w14:textId="77777777" w:rsidR="00094801" w:rsidRDefault="00000000">
      <w:pPr>
        <w:spacing w:line="276" w:lineRule="auto"/>
        <w:jc w:val="right"/>
        <w:rPr>
          <w:rFonts w:ascii="Calibri" w:eastAsia="Calibri" w:hAnsi="Calibri" w:cs="Calibri"/>
          <w:b/>
        </w:rPr>
      </w:pPr>
      <w:r>
        <w:rPr>
          <w:rFonts w:ascii="Calibri" w:eastAsia="Calibri" w:hAnsi="Calibri" w:cs="Calibri"/>
          <w:b/>
        </w:rPr>
        <w:t>Manuel Ernesto Becerra Bizarrón</w:t>
      </w:r>
    </w:p>
    <w:p w14:paraId="36E8FFC3" w14:textId="77777777" w:rsidR="00094801" w:rsidRDefault="00000000">
      <w:pPr>
        <w:spacing w:line="276" w:lineRule="auto"/>
        <w:jc w:val="right"/>
        <w:rPr>
          <w:color w:val="0563C1"/>
          <w:u w:val="single"/>
        </w:rPr>
      </w:pPr>
      <w:r>
        <w:t xml:space="preserve"> Universidad de Guadalajara, Centro Universitario de la Costa, México </w:t>
      </w:r>
      <w:r>
        <w:rPr>
          <w:rFonts w:ascii="Calibri" w:eastAsia="Calibri" w:hAnsi="Calibri" w:cs="Calibri"/>
          <w:color w:val="FF0000"/>
        </w:rPr>
        <w:t>manuel.becerra@academicos.udg.mx</w:t>
      </w:r>
    </w:p>
    <w:p w14:paraId="23A8A293" w14:textId="77777777" w:rsidR="00094801" w:rsidRDefault="00000000">
      <w:pPr>
        <w:spacing w:line="276" w:lineRule="auto"/>
        <w:jc w:val="right"/>
      </w:pPr>
      <w:r>
        <w:t>https://orcid.org/0000-0002-1673-1479</w:t>
      </w:r>
    </w:p>
    <w:p w14:paraId="77E2C177" w14:textId="77777777" w:rsidR="00681E99" w:rsidRPr="00681E99" w:rsidRDefault="00681E99" w:rsidP="00681E99">
      <w:pPr>
        <w:spacing w:line="360" w:lineRule="auto"/>
        <w:rPr>
          <w:b/>
        </w:rPr>
      </w:pPr>
    </w:p>
    <w:p w14:paraId="7FD2FA95" w14:textId="50AF8088" w:rsidR="00094801" w:rsidRPr="00681E99" w:rsidRDefault="00000000" w:rsidP="00681E99">
      <w:pPr>
        <w:spacing w:line="360" w:lineRule="auto"/>
        <w:rPr>
          <w:rFonts w:asciiTheme="minorHAnsi" w:hAnsiTheme="minorHAnsi" w:cstheme="minorHAnsi"/>
          <w:b/>
          <w:bCs/>
          <w:sz w:val="28"/>
          <w:szCs w:val="28"/>
        </w:rPr>
      </w:pPr>
      <w:r w:rsidRPr="00681E99">
        <w:rPr>
          <w:rFonts w:asciiTheme="minorHAnsi" w:hAnsiTheme="minorHAnsi" w:cstheme="minorHAnsi"/>
          <w:b/>
          <w:bCs/>
          <w:sz w:val="28"/>
          <w:szCs w:val="28"/>
        </w:rPr>
        <w:t>Resumen</w:t>
      </w:r>
    </w:p>
    <w:p w14:paraId="5BE41D90" w14:textId="0A51F844" w:rsidR="00AE1CF2" w:rsidRPr="00AE1CF2" w:rsidRDefault="00AE1CF2" w:rsidP="00681E99">
      <w:pPr>
        <w:spacing w:line="360" w:lineRule="auto"/>
        <w:jc w:val="both"/>
      </w:pPr>
      <w:r w:rsidRPr="00AE1CF2">
        <w:t>Este estudio examina la adopción de prácticas de Responsabilidad Social Empresarial (RSE) en micro y pequeñas empresas (MI</w:t>
      </w:r>
      <w:r w:rsidR="00734857">
        <w:t>y</w:t>
      </w:r>
      <w:r w:rsidRPr="00AE1CF2">
        <w:t>PES) de Puerto Vallarta, Jalisco. El objetivo principal fue analizar la implementación de RSE en tres áreas: social, económica y medioambiental. Utilizando un enfoque correlacional y no experimental, se recolectaron datos</w:t>
      </w:r>
      <w:r w:rsidR="007F3CB0">
        <w:t xml:space="preserve"> </w:t>
      </w:r>
      <w:r w:rsidR="007F3CB0" w:rsidRPr="007070CF">
        <w:t>mediante encuestas a 432 administradores, dueños y gerentes de empresas</w:t>
      </w:r>
      <w:r w:rsidRPr="00AE1CF2">
        <w:t xml:space="preserve">. </w:t>
      </w:r>
      <w:r w:rsidR="0080403E">
        <w:t>Los datos se analizaron con la utilización del</w:t>
      </w:r>
      <w:r w:rsidRPr="00AE1CF2">
        <w:t xml:space="preserve">  software SPSS y el programa AMOS para llevar a cabo análisis factoriales tanto exploratorios como confirmatorios.</w:t>
      </w:r>
      <w:r>
        <w:t xml:space="preserve"> </w:t>
      </w:r>
      <w:r w:rsidRPr="00AE1CF2">
        <w:t xml:space="preserve">Los resultados indicaron que el 60% de la varianza total fue explicada por tres factores claves, demostrando que las </w:t>
      </w:r>
      <w:r w:rsidR="00734857" w:rsidRPr="00AE1CF2">
        <w:t>MI</w:t>
      </w:r>
      <w:r w:rsidR="00734857">
        <w:t>y</w:t>
      </w:r>
      <w:r w:rsidR="00734857" w:rsidRPr="00AE1CF2">
        <w:t>PES</w:t>
      </w:r>
      <w:r w:rsidRPr="00AE1CF2">
        <w:t xml:space="preserve"> que aplican prácticas de RSE mejoran sus relaciones tanto con los empleados como con la comunidad. Además, la implementación de RSE también incrementa su sostenibilidad y competitividad e</w:t>
      </w:r>
      <w:r w:rsidR="0080403E">
        <w:t>n el sector</w:t>
      </w:r>
      <w:r w:rsidRPr="00AE1CF2">
        <w:t>. El análisis de fiabilidad mostró altos niveles de consistencia interna, con valores de 0.933, 0.910 y 0.853 para las dimensiones social, económica y medioambiental, respectivamente.</w:t>
      </w:r>
      <w:r>
        <w:t xml:space="preserve"> </w:t>
      </w:r>
      <w:r w:rsidRPr="00AE1CF2">
        <w:t xml:space="preserve">El estudio confirma que </w:t>
      </w:r>
      <w:r w:rsidR="0080403E">
        <w:t xml:space="preserve">la incorporación de RSE en las políticas y planes estratégicos de </w:t>
      </w:r>
      <w:r w:rsidRPr="00AE1CF2">
        <w:t xml:space="preserve">las </w:t>
      </w:r>
      <w:r w:rsidR="00734857" w:rsidRPr="00AE1CF2">
        <w:t>MI</w:t>
      </w:r>
      <w:r w:rsidR="00734857">
        <w:t>y</w:t>
      </w:r>
      <w:r w:rsidR="00734857" w:rsidRPr="00AE1CF2">
        <w:t>PES</w:t>
      </w:r>
      <w:r w:rsidRPr="00AE1CF2">
        <w:t xml:space="preserve"> no solo es un compromiso ético, sino una estrategia que refuerza el rendimiento empresarial. </w:t>
      </w:r>
    </w:p>
    <w:p w14:paraId="594F0BD5" w14:textId="0022D9F6" w:rsidR="00094801" w:rsidRDefault="00000000">
      <w:pPr>
        <w:spacing w:line="360" w:lineRule="auto"/>
      </w:pPr>
      <w:r w:rsidRPr="00681E99">
        <w:rPr>
          <w:rFonts w:asciiTheme="minorHAnsi" w:hAnsiTheme="minorHAnsi" w:cstheme="minorHAnsi"/>
          <w:b/>
          <w:bCs/>
          <w:sz w:val="28"/>
          <w:szCs w:val="28"/>
        </w:rPr>
        <w:t>Palabras clave:</w:t>
      </w:r>
      <w:r>
        <w:rPr>
          <w:b/>
          <w:sz w:val="32"/>
          <w:szCs w:val="32"/>
        </w:rPr>
        <w:t xml:space="preserve"> </w:t>
      </w:r>
      <w:r w:rsidR="0080403E">
        <w:t>Social</w:t>
      </w:r>
      <w:r w:rsidR="008D113E" w:rsidRPr="00827639">
        <w:t>,</w:t>
      </w:r>
      <w:r w:rsidR="0080403E" w:rsidRPr="00827639">
        <w:t xml:space="preserve"> </w:t>
      </w:r>
      <w:r w:rsidR="007F3CB0">
        <w:t>m</w:t>
      </w:r>
      <w:r w:rsidR="0080403E" w:rsidRPr="00827639">
        <w:t xml:space="preserve">edioambiental, </w:t>
      </w:r>
      <w:r w:rsidR="007F3CB0">
        <w:t>e</w:t>
      </w:r>
      <w:r w:rsidR="0080403E" w:rsidRPr="00827639">
        <w:t>conómica,</w:t>
      </w:r>
      <w:r w:rsidR="008D113E" w:rsidRPr="00827639">
        <w:t xml:space="preserve"> </w:t>
      </w:r>
      <w:r w:rsidR="007F3CB0">
        <w:t>e</w:t>
      </w:r>
      <w:r w:rsidR="008D113E" w:rsidRPr="00142A7A">
        <w:t>mpresas.</w:t>
      </w:r>
    </w:p>
    <w:p w14:paraId="27296265" w14:textId="028C5F1F" w:rsidR="00CD0490" w:rsidRPr="00681E99" w:rsidRDefault="00CD0490" w:rsidP="00681E99">
      <w:pPr>
        <w:spacing w:line="360" w:lineRule="auto"/>
        <w:rPr>
          <w:rFonts w:asciiTheme="minorHAnsi" w:hAnsiTheme="minorHAnsi" w:cstheme="minorHAnsi"/>
          <w:b/>
          <w:bCs/>
          <w:sz w:val="28"/>
          <w:szCs w:val="28"/>
        </w:rPr>
      </w:pPr>
      <w:r w:rsidRPr="00681E99">
        <w:rPr>
          <w:rFonts w:asciiTheme="minorHAnsi" w:hAnsiTheme="minorHAnsi" w:cstheme="minorHAnsi"/>
          <w:b/>
          <w:bCs/>
          <w:sz w:val="28"/>
          <w:szCs w:val="28"/>
        </w:rPr>
        <w:lastRenderedPageBreak/>
        <w:t>Abstract</w:t>
      </w:r>
    </w:p>
    <w:p w14:paraId="773B0A55" w14:textId="0447BB22" w:rsidR="00CD0490" w:rsidRPr="00CD0490" w:rsidRDefault="00CD0490" w:rsidP="00681E99">
      <w:pPr>
        <w:spacing w:line="360" w:lineRule="auto"/>
        <w:jc w:val="both"/>
      </w:pPr>
      <w:r w:rsidRPr="00CD0490">
        <w:t>This study examines the adoption of Corporate Social Responsibility (CSR) practices in micro and small enterprises (M</w:t>
      </w:r>
      <w:r>
        <w:t>y</w:t>
      </w:r>
      <w:r w:rsidRPr="00CD0490">
        <w:t xml:space="preserve">PES) in Puerto Vallarta, Jalisco. The main objective was to analyze the implementation of CSR in three areas: social, economic, and environmental. Using a correlational and non-experimental approach, data were collected through surveys </w:t>
      </w:r>
      <w:r w:rsidR="007F3CB0" w:rsidRPr="007070CF">
        <w:t>with 432 administrators, owners, and managers</w:t>
      </w:r>
      <w:r w:rsidRPr="00CD0490">
        <w:t>. The data were analyzed using SPSS software and the AMOS program to perform both exploratory and confirmatory factor analyses. The results indicated that 60% of the total variance was explained by three key factors, demonstrating that M</w:t>
      </w:r>
      <w:r>
        <w:t>y</w:t>
      </w:r>
      <w:r w:rsidRPr="00CD0490">
        <w:t>PES implementing CSR practices improve their relationships with both employees and the community. Furthermore, the implementation of CSR also enhances their sustainability and competitiveness in the sector. The reliability analysis showed high levels of internal consistency, with values of 0.933, 0.910, and 0.853 for the social, economic, and environmental dimensions, respectively. The study confirms that the incorporation of CSR into the strategic policies and plans of M</w:t>
      </w:r>
      <w:r>
        <w:t>y</w:t>
      </w:r>
      <w:r w:rsidRPr="00CD0490">
        <w:t>PES is not only an ethical commitment but also a strategy that strengthens business performance.</w:t>
      </w:r>
    </w:p>
    <w:p w14:paraId="2F086347" w14:textId="70F12773" w:rsidR="00CD0490" w:rsidRPr="00CD0490" w:rsidRDefault="00CD0490" w:rsidP="00681E99">
      <w:pPr>
        <w:spacing w:line="360" w:lineRule="auto"/>
      </w:pPr>
      <w:r w:rsidRPr="00CD0490">
        <w:rPr>
          <w:rFonts w:ascii="Calibri" w:eastAsia="Calibri" w:hAnsi="Calibri" w:cs="Calibri"/>
          <w:b/>
          <w:sz w:val="28"/>
          <w:szCs w:val="28"/>
        </w:rPr>
        <w:t>Keywords:</w:t>
      </w:r>
      <w:r w:rsidRPr="00CD0490">
        <w:t xml:space="preserve"> Social, </w:t>
      </w:r>
      <w:r w:rsidR="007F3CB0">
        <w:t>e</w:t>
      </w:r>
      <w:r w:rsidRPr="00CD0490">
        <w:t xml:space="preserve">nvironmental, </w:t>
      </w:r>
      <w:r w:rsidR="007F3CB0">
        <w:t>e</w:t>
      </w:r>
      <w:r w:rsidRPr="00CD0490">
        <w:t xml:space="preserve">conomic, </w:t>
      </w:r>
      <w:r w:rsidR="007F3CB0">
        <w:t>e</w:t>
      </w:r>
      <w:r w:rsidRPr="00CD0490">
        <w:t>nterprises.</w:t>
      </w:r>
    </w:p>
    <w:p w14:paraId="4885C125" w14:textId="77777777" w:rsidR="00094801" w:rsidRPr="00681E99" w:rsidRDefault="00094801">
      <w:pPr>
        <w:spacing w:line="360" w:lineRule="auto"/>
        <w:rPr>
          <w:b/>
        </w:rPr>
      </w:pPr>
    </w:p>
    <w:p w14:paraId="106E263C" w14:textId="6F678D67" w:rsidR="0011734C" w:rsidRPr="00681E99" w:rsidRDefault="00000000" w:rsidP="00681E99">
      <w:pPr>
        <w:spacing w:line="360" w:lineRule="auto"/>
        <w:rPr>
          <w:rFonts w:ascii="Calibri" w:eastAsia="Calibri" w:hAnsi="Calibri" w:cs="Calibri"/>
          <w:b/>
          <w:sz w:val="28"/>
          <w:szCs w:val="28"/>
        </w:rPr>
      </w:pPr>
      <w:r w:rsidRPr="00681E99">
        <w:rPr>
          <w:rFonts w:ascii="Calibri" w:eastAsia="Calibri" w:hAnsi="Calibri" w:cs="Calibri"/>
          <w:b/>
          <w:sz w:val="28"/>
          <w:szCs w:val="28"/>
        </w:rPr>
        <w:t>Resumo</w:t>
      </w:r>
    </w:p>
    <w:p w14:paraId="3886D069" w14:textId="47025FD0" w:rsidR="00CD0490" w:rsidRPr="00CD0490" w:rsidRDefault="00CD0490" w:rsidP="00681E99">
      <w:pPr>
        <w:spacing w:line="360" w:lineRule="auto"/>
        <w:jc w:val="both"/>
      </w:pPr>
      <w:r w:rsidRPr="00CD0490">
        <w:t>Este estudo examina a adoção de práticas de Responsabilidade Social Empresarial (RSE) em micro e pequenas empresas (M</w:t>
      </w:r>
      <w:r>
        <w:t>y</w:t>
      </w:r>
      <w:r w:rsidRPr="00CD0490">
        <w:t xml:space="preserve">PES) de Puerto Vallarta, Jalisco. O principal objetivo foi analisar a implementação da RSE em três áreas: social, econômica e ambiental. Utilizando uma abordagem correlacional e não experimental, os </w:t>
      </w:r>
      <w:r w:rsidR="007F3CB0" w:rsidRPr="007070CF">
        <w:t>dados foram coletados por meio de questionários com 432 administradores, proprietários e gerentes</w:t>
      </w:r>
      <w:r w:rsidRPr="00CD0490">
        <w:t>. Os dados foram analisados com a utilização do software SPSS e do programa AMOS para realizar análises fatoriais tanto exploratórias quanto confirmatórias. Os resultados indicaram que 60% da variância total foi explicada por três fatores principais, demonstrando que as M</w:t>
      </w:r>
      <w:r>
        <w:t>y</w:t>
      </w:r>
      <w:r w:rsidRPr="00CD0490">
        <w:t>PES que aplicam práticas de RSE melhoram suas relações tanto com os funcionários quanto com a comunidade. Além disso, a implementação da RSE também aumenta sua sustentabilidade e competitividade no setor. A análise de confiabilidade mostrou altos níveis de consistência interna, com valores de 0,933, 0,910 e 0,853 para as dimensões social, econômica e ambiental, respectivamente. O estudo confirma que a incorporação da RSE nas políticas e nos planos estratégicos das M</w:t>
      </w:r>
      <w:r>
        <w:t>y</w:t>
      </w:r>
      <w:r w:rsidRPr="00CD0490">
        <w:t>PES não é apenas um compromisso ético, mas também uma estratégia que reforça o desempenho empresarial."</w:t>
      </w:r>
    </w:p>
    <w:p w14:paraId="3B83A0B7" w14:textId="135BDC3B" w:rsidR="0011734C" w:rsidRDefault="00CD0490" w:rsidP="00681E99">
      <w:pPr>
        <w:spacing w:line="360" w:lineRule="auto"/>
      </w:pPr>
      <w:r w:rsidRPr="00CD0490">
        <w:rPr>
          <w:rFonts w:ascii="Calibri" w:eastAsia="Calibri" w:hAnsi="Calibri" w:cs="Calibri"/>
          <w:b/>
          <w:sz w:val="28"/>
          <w:szCs w:val="28"/>
        </w:rPr>
        <w:lastRenderedPageBreak/>
        <w:t>Palavras-chave:</w:t>
      </w:r>
      <w:r w:rsidRPr="00CD0490">
        <w:t xml:space="preserve"> Social, </w:t>
      </w:r>
      <w:r w:rsidR="007F3CB0">
        <w:t>a</w:t>
      </w:r>
      <w:r w:rsidRPr="00CD0490">
        <w:t xml:space="preserve">mbiental, </w:t>
      </w:r>
      <w:r w:rsidR="007F3CB0">
        <w:t>e</w:t>
      </w:r>
      <w:r w:rsidRPr="00CD0490">
        <w:t xml:space="preserve">conômica, </w:t>
      </w:r>
      <w:r w:rsidR="007F3CB0">
        <w:t>e</w:t>
      </w:r>
      <w:r w:rsidRPr="00CD0490">
        <w:t>mpresas.</w:t>
      </w:r>
    </w:p>
    <w:p w14:paraId="7874589E" w14:textId="4ED57E06" w:rsidR="00681E99" w:rsidRPr="004334EF" w:rsidRDefault="00681E99" w:rsidP="00681E99">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2278ACDF" w14:textId="77777777" w:rsidR="00681E99" w:rsidRDefault="00000000" w:rsidP="00681E99">
      <w:pPr>
        <w:spacing w:line="360" w:lineRule="auto"/>
        <w:rPr>
          <w:noProof/>
        </w:rPr>
      </w:pPr>
      <w:r>
        <w:rPr>
          <w:noProof/>
        </w:rPr>
        <w:pict w14:anchorId="4E06DDB5">
          <v:rect id="_x0000_i1025" alt="" style="width:441.9pt;height:.05pt;mso-width-percent:0;mso-height-percent:0;mso-width-percent:0;mso-height-percent:0" o:hralign="center" o:hrstd="t" o:hr="t" fillcolor="#a0a0a0" stroked="f"/>
        </w:pict>
      </w:r>
    </w:p>
    <w:p w14:paraId="5D698412" w14:textId="3E933A9B" w:rsidR="00094801" w:rsidRPr="00142A7A" w:rsidRDefault="00000000" w:rsidP="009C55DC">
      <w:pPr>
        <w:spacing w:line="360" w:lineRule="auto"/>
        <w:jc w:val="center"/>
        <w:rPr>
          <w:b/>
          <w:bCs/>
          <w:sz w:val="32"/>
          <w:szCs w:val="32"/>
        </w:rPr>
      </w:pPr>
      <w:r w:rsidRPr="00142A7A">
        <w:rPr>
          <w:b/>
          <w:bCs/>
          <w:sz w:val="32"/>
          <w:szCs w:val="32"/>
        </w:rPr>
        <w:t>Introduc</w:t>
      </w:r>
      <w:r w:rsidR="008D113E" w:rsidRPr="00142A7A">
        <w:rPr>
          <w:b/>
          <w:bCs/>
          <w:sz w:val="32"/>
          <w:szCs w:val="32"/>
        </w:rPr>
        <w:t>ció</w:t>
      </w:r>
      <w:r w:rsidRPr="00142A7A">
        <w:rPr>
          <w:b/>
          <w:bCs/>
          <w:sz w:val="32"/>
          <w:szCs w:val="32"/>
        </w:rPr>
        <w:t>n</w:t>
      </w:r>
    </w:p>
    <w:p w14:paraId="33FC9416" w14:textId="0C6AD8A4" w:rsidR="00094801" w:rsidRDefault="00000000" w:rsidP="00681E99">
      <w:pPr>
        <w:spacing w:line="360" w:lineRule="auto"/>
        <w:ind w:firstLine="709"/>
        <w:jc w:val="both"/>
      </w:pPr>
      <w:r>
        <w:t>En tiempos recientes, la Responsabilidad Social Empresarial (RSE) ha ganado notable relevancia en el entorno empresarial, especialmente entre las micro y pequeñas empresas (</w:t>
      </w:r>
      <w:r w:rsidR="00734857" w:rsidRPr="00AE1CF2">
        <w:t>M</w:t>
      </w:r>
      <w:r w:rsidR="00734857">
        <w:t>y</w:t>
      </w:r>
      <w:r w:rsidR="00734857" w:rsidRPr="00AE1CF2">
        <w:t>PES</w:t>
      </w:r>
      <w:r>
        <w:t xml:space="preserve">). </w:t>
      </w:r>
      <w:r w:rsidR="0080403E">
        <w:t>Aunque existen</w:t>
      </w:r>
      <w:r>
        <w:t xml:space="preserve"> limitaciones en recursos, estas organizaciones han empezado a ver la RSE no solo como un deber ético, sino también como una estrategia esencial para asegurar su sostenibilidad y competitividad en un mercado cada vez más desafiante (Fonseca et al., </w:t>
      </w:r>
      <w:r w:rsidRPr="009C55DC">
        <w:t xml:space="preserve">2020; </w:t>
      </w:r>
      <w:r w:rsidR="00A77F16" w:rsidRPr="009C55DC">
        <w:rPr>
          <w:lang w:val="en-US"/>
        </w:rPr>
        <w:t>Chin-Hung</w:t>
      </w:r>
      <w:r w:rsidRPr="009C55DC">
        <w:t>, 2022</w:t>
      </w:r>
      <w:r>
        <w:t xml:space="preserve">; Holguín Ávila et al., 2023; Mapiye Dube &amp; Chang, 2020). </w:t>
      </w:r>
      <w:r w:rsidR="0080403E">
        <w:t xml:space="preserve">La implementación de acciones vinculadas a la </w:t>
      </w:r>
      <w:r>
        <w:t xml:space="preserve">RSE permite a las </w:t>
      </w:r>
      <w:r w:rsidR="00734857" w:rsidRPr="00AE1CF2">
        <w:t>M</w:t>
      </w:r>
      <w:r w:rsidR="00734857">
        <w:t>y</w:t>
      </w:r>
      <w:r w:rsidR="00734857" w:rsidRPr="00AE1CF2">
        <w:t>PES</w:t>
      </w:r>
      <w:r>
        <w:t xml:space="preserve"> contribuir significativamente al</w:t>
      </w:r>
      <w:r w:rsidR="00AA66B4">
        <w:t xml:space="preserve"> crecimiento social y económico en las áreas donde operan sus comunidades</w:t>
      </w:r>
      <w:r>
        <w:t>, ampliando su enfoque más allá de los meros objetivos financieros</w:t>
      </w:r>
      <w:r w:rsidR="007F3CB0">
        <w:t>.</w:t>
      </w:r>
      <w:r>
        <w:t xml:space="preserve"> </w:t>
      </w:r>
      <w:r w:rsidR="007F3CB0">
        <w:t>L</w:t>
      </w:r>
      <w:r>
        <w:t>o que ha generado un creciente interés por integrar estas prácticas en sus modelos de negocio (Magrizos et al., 2021; Herrero &amp; Gómez-Mejía, 2024).</w:t>
      </w:r>
    </w:p>
    <w:p w14:paraId="7BC9D8E5" w14:textId="57EC84AB" w:rsidR="00094801" w:rsidRDefault="00000000" w:rsidP="00681E99">
      <w:pPr>
        <w:spacing w:line="360" w:lineRule="auto"/>
        <w:ind w:firstLine="709"/>
        <w:jc w:val="both"/>
      </w:pPr>
      <w:r>
        <w:t xml:space="preserve">El aumento del interés en la RSE entre las </w:t>
      </w:r>
      <w:r w:rsidR="00734857" w:rsidRPr="00AE1CF2">
        <w:t>M</w:t>
      </w:r>
      <w:r w:rsidR="00734857">
        <w:t>y</w:t>
      </w:r>
      <w:r w:rsidR="00734857" w:rsidRPr="00AE1CF2">
        <w:t>PES</w:t>
      </w:r>
      <w:r>
        <w:t xml:space="preserve"> se debe, en parte, a </w:t>
      </w:r>
      <w:r w:rsidR="00827639">
        <w:t>la obligación de atender las exigencias sociales</w:t>
      </w:r>
      <w:r>
        <w:t xml:space="preserve"> y regulatorias, así como al deseo de reforzar su competitividad a largo plazo (Rubio-Andrés et al., 2023; Rashiti &amp; Skenderi, 2023). Sin embargo, la implementación efectiva de la RSE en estas empresas no está exenta de </w:t>
      </w:r>
      <w:r w:rsidR="00827639">
        <w:t>retos, como la carencia de recursos y la</w:t>
      </w:r>
      <w:r>
        <w:t xml:space="preserve"> comprensión limitada del valor estratégico de estas prácticas (Holguín Ávila et al., 2023). En el caso de Ecuador, por ejemplo, las </w:t>
      </w:r>
      <w:r w:rsidR="00734857" w:rsidRPr="00AE1CF2">
        <w:t>M</w:t>
      </w:r>
      <w:r w:rsidR="00734857">
        <w:t>y</w:t>
      </w:r>
      <w:r w:rsidR="00734857" w:rsidRPr="00AE1CF2">
        <w:t>PES</w:t>
      </w:r>
      <w:r>
        <w:t xml:space="preserve"> han comenzado a adoptar prácticas de RSE, aunque en su mayoría centradas en actividades filantrópicas y caritativas, debido a la percepción de altos costos y a una comprensión limitada de la RSE como una estrategia integral (Holguín Ávila et al., 2023).</w:t>
      </w:r>
    </w:p>
    <w:p w14:paraId="0992BF48" w14:textId="369163B3" w:rsidR="00094801" w:rsidRDefault="00000000" w:rsidP="00681E99">
      <w:pPr>
        <w:spacing w:line="360" w:lineRule="auto"/>
        <w:ind w:firstLine="709"/>
        <w:jc w:val="both"/>
      </w:pPr>
      <w:r>
        <w:t xml:space="preserve">Pese a que cada vez más se reconocen los beneficios de la RSE, muchas </w:t>
      </w:r>
      <w:r w:rsidR="00734857" w:rsidRPr="00AE1CF2">
        <w:t>M</w:t>
      </w:r>
      <w:r w:rsidR="00734857">
        <w:t>y</w:t>
      </w:r>
      <w:r w:rsidR="00734857" w:rsidRPr="00AE1CF2">
        <w:t>PES</w:t>
      </w:r>
      <w:r>
        <w:t xml:space="preserve"> enfrentan barreras considerables que dificultan su adopción y aplicación efectiva (Fonseca et al., 2020; Quiddi &amp; Habba, 2023). Entre estas barreras se encuentran la escasez de recursos financieros y la falta de políticas claras que apoyen y promuevan prácticas sostenibles. En Marruecos, por ejemplo, las </w:t>
      </w:r>
      <w:r w:rsidR="00734857" w:rsidRPr="00AE1CF2">
        <w:t>M</w:t>
      </w:r>
      <w:r w:rsidR="00734857">
        <w:t>y</w:t>
      </w:r>
      <w:r w:rsidR="00734857" w:rsidRPr="00AE1CF2">
        <w:t>PES</w:t>
      </w:r>
      <w:r>
        <w:t xml:space="preserve"> familiares suelen implementar prácticas de RSE de manera informal, influenciadas más por valores familiares que por una estrategia empresarial estructurada, lo que limita su impacto en la sostenibilidad y competitividad de estas empresas (Quiddi &amp; Habba, 2023).</w:t>
      </w:r>
    </w:p>
    <w:p w14:paraId="5DC0EAD2" w14:textId="624BC6F8" w:rsidR="00094801" w:rsidRDefault="00000000" w:rsidP="00681E99">
      <w:pPr>
        <w:spacing w:line="360" w:lineRule="auto"/>
        <w:ind w:firstLine="709"/>
        <w:jc w:val="both"/>
      </w:pPr>
      <w:r>
        <w:lastRenderedPageBreak/>
        <w:t xml:space="preserve">Este estudio es crucial porque se enfoca en examinar las mejores prácticas de RSE en </w:t>
      </w:r>
      <w:r w:rsidR="00734857" w:rsidRPr="00AE1CF2">
        <w:t>M</w:t>
      </w:r>
      <w:r w:rsidR="00734857">
        <w:t>y</w:t>
      </w:r>
      <w:r w:rsidR="00734857" w:rsidRPr="00AE1CF2">
        <w:t>PES</w:t>
      </w:r>
      <w:r>
        <w:t>, prestando especial atención a las dimensiones sociales, ambientales y económicas (Rashiti &amp; Skenderi, 2023; Tiep Le &amp; Nguyen, 202</w:t>
      </w:r>
      <w:r w:rsidR="009C55DC">
        <w:t>1</w:t>
      </w:r>
      <w:r>
        <w:t>). La investigación no solo enriquecerá el conocimiento académico, sino que también ofrecerá orientaciones prácticas para mejorar la sostenibilidad y competitividad de las MIPYMES, particularmente en mercados emergentes. Además, la RSE ha demostrado ser una estrategia eficaz para enfrentar crisis económicas y asegurar la sostenibilidad a largo plazo, como se ha observado en Grecia durante la crisis de la Eurozona (Magrizos et al., 2021).</w:t>
      </w:r>
    </w:p>
    <w:p w14:paraId="4CFD66EF" w14:textId="4FFE64EF" w:rsidR="00094801" w:rsidRPr="00416029" w:rsidRDefault="00000000" w:rsidP="00681E99">
      <w:pPr>
        <w:spacing w:line="360" w:lineRule="auto"/>
        <w:ind w:firstLine="709"/>
        <w:jc w:val="both"/>
      </w:pPr>
      <w:r>
        <w:t xml:space="preserve">El marco teórico de este estudio </w:t>
      </w:r>
      <w:r w:rsidR="00827639">
        <w:t xml:space="preserve">se basa en la teoría de los grupos de interés y en la teoría del </w:t>
      </w:r>
      <w:r>
        <w:t>capital social (</w:t>
      </w:r>
      <w:r w:rsidR="00F20FF0">
        <w:t>Cheffi</w:t>
      </w:r>
      <w:r>
        <w:t xml:space="preserve"> et al., 202</w:t>
      </w:r>
      <w:r w:rsidR="00F20FF0">
        <w:t>1</w:t>
      </w:r>
      <w:r>
        <w:t xml:space="preserve">; Herrero &amp; Gómez-Mejía, 2024). Estas teorías postulan </w:t>
      </w:r>
      <w:r w:rsidR="00AA66B4">
        <w:t>que las organizaciones tienen la obligación de tomar en cuenta los intereses de todos los involucrados</w:t>
      </w:r>
      <w:r>
        <w:t xml:space="preserve"> y que las relaciones construidas a través de la RSE pueden ser decisivas para mejorar la sostenibilidad y competitividad a largo plazo (</w:t>
      </w:r>
      <w:r w:rsidR="009C55DC">
        <w:rPr>
          <w:lang w:val="en-US"/>
        </w:rPr>
        <w:t>Noorlailie</w:t>
      </w:r>
      <w:r>
        <w:t xml:space="preserve"> et al., 202</w:t>
      </w:r>
      <w:r w:rsidR="009C55DC">
        <w:t>1</w:t>
      </w:r>
      <w:r>
        <w:t>). Además, las dimensiones clave de la RSE</w:t>
      </w:r>
      <w:r w:rsidR="00AA66B4">
        <w:t xml:space="preserve"> (</w:t>
      </w:r>
      <w:r>
        <w:t>social, ambiental y económica</w:t>
      </w:r>
      <w:r w:rsidR="00AA66B4">
        <w:t xml:space="preserve">) </w:t>
      </w:r>
      <w:r>
        <w:t xml:space="preserve">son fundamentales </w:t>
      </w:r>
      <w:r w:rsidR="00AA66B4">
        <w:t xml:space="preserve">con el fin de medir el impacto y eficiencia de las acciones </w:t>
      </w:r>
      <w:r>
        <w:t xml:space="preserve">de RSE en diversos contextos </w:t>
      </w:r>
      <w:r w:rsidRPr="00416029">
        <w:t>empresariales (Fonseca et al., 2020; Khurana et al., 2023).</w:t>
      </w:r>
    </w:p>
    <w:p w14:paraId="7D3FDEC9" w14:textId="4AC52CE1" w:rsidR="00DE31D8" w:rsidRDefault="007040D6" w:rsidP="00681E99">
      <w:pPr>
        <w:spacing w:line="360" w:lineRule="auto"/>
        <w:ind w:firstLine="709"/>
        <w:jc w:val="both"/>
      </w:pPr>
      <w:r w:rsidRPr="00416029">
        <w:t>En ese sentido</w:t>
      </w:r>
      <w:r w:rsidR="007F3CB0" w:rsidRPr="00416029">
        <w:t>,</w:t>
      </w:r>
      <w:r w:rsidRPr="00416029">
        <w:t xml:space="preserve"> </w:t>
      </w:r>
      <w:r w:rsidR="00F2403F" w:rsidRPr="00416029">
        <w:t>la teoría de la agencia y la teoría de los recursos coinciden en que las empresas que implementan prácticas de RSE y fortalecen sus estructuras de gobernanza obtienen una ventaja competitiva, que se refleja en su desempeño financiero. Las empresas en economías emergentes, como las estudiadas por Correa-García y Vásquez-Arango (2020) y Wilches Segovia et al. (2020), pueden utilizar esta integración teórica para posicionarse mejor en el mercado y enfrentar de manera más efectiva los desafíos ambientales y sociales que hoy en día son esenciales para su sostenibilidad a largo plazo.</w:t>
      </w:r>
      <w:r w:rsidR="00F2403F">
        <w:t xml:space="preserve"> </w:t>
      </w:r>
    </w:p>
    <w:p w14:paraId="3062C733" w14:textId="7A05BE14" w:rsidR="00094801" w:rsidRDefault="00000000" w:rsidP="00681E99">
      <w:pPr>
        <w:spacing w:line="360" w:lineRule="auto"/>
        <w:ind w:firstLine="709"/>
        <w:jc w:val="both"/>
      </w:pPr>
      <w:r>
        <w:t xml:space="preserve">Este artículo examinará tres dimensiones esenciales de la RSE: (1) las prácticas sociales, que incluyen la responsabilidad hacia los empleados y la comunidad (Mapiye Dube &amp; Chang, 2020; </w:t>
      </w:r>
      <w:r w:rsidR="00A77F16" w:rsidRPr="009C55DC">
        <w:rPr>
          <w:lang w:val="en-US"/>
        </w:rPr>
        <w:t>Chin-Hung</w:t>
      </w:r>
      <w:r w:rsidRPr="009C55DC">
        <w:t>, 2022); (2</w:t>
      </w:r>
      <w:r>
        <w:t xml:space="preserve">) las prácticas ambientales, enfocadas en la promoción de la sostenibilidad ecológica (Fonseca et al., 2020; Khurana et al., 2023); y (3) las prácticas económicas, que analizan cómo la RSE puede influir en el rendimiento financiero y la competitividad de las empresas (Rashiti &amp; Skenderi, 2023). El análisis de estas dimensiones se realizará en el contexto de las </w:t>
      </w:r>
      <w:r w:rsidR="00734857" w:rsidRPr="00AE1CF2">
        <w:t>M</w:t>
      </w:r>
      <w:r w:rsidR="00734857">
        <w:t>y</w:t>
      </w:r>
      <w:r w:rsidR="00734857" w:rsidRPr="00AE1CF2">
        <w:t>PES</w:t>
      </w:r>
      <w:r>
        <w:t xml:space="preserve"> </w:t>
      </w:r>
      <w:r w:rsidR="00734857">
        <w:t>de Puerto Vallarta, Jalisco,  México</w:t>
      </w:r>
      <w:r>
        <w:t xml:space="preserve">, </w:t>
      </w:r>
      <w:r w:rsidR="00734857">
        <w:t xml:space="preserve">proporcionando un marco de referencia para la implementación efectiva de la RSE en entornos </w:t>
      </w:r>
      <w:r>
        <w:t>como Ecuador, Marruecos, India e Inglaterra</w:t>
      </w:r>
      <w:r w:rsidR="00734857">
        <w:t xml:space="preserve"> </w:t>
      </w:r>
      <w:r>
        <w:t>(Holguín Ávila et al., 2023; Quiddi &amp; Habba, 2023; Khurana et al., 2023).</w:t>
      </w:r>
    </w:p>
    <w:p w14:paraId="5880CA57" w14:textId="2A708AB7" w:rsidR="00094801" w:rsidRDefault="00000000" w:rsidP="00681E99">
      <w:pPr>
        <w:spacing w:line="360" w:lineRule="auto"/>
        <w:ind w:firstLine="709"/>
        <w:jc w:val="both"/>
      </w:pPr>
      <w:r>
        <w:lastRenderedPageBreak/>
        <w:t xml:space="preserve">El objetivo principal de este artículo es ofrecer un análisis de las mejores prácticas de RSE en </w:t>
      </w:r>
      <w:r w:rsidR="00734857" w:rsidRPr="00AE1CF2">
        <w:t>M</w:t>
      </w:r>
      <w:r w:rsidR="00734857">
        <w:t>y</w:t>
      </w:r>
      <w:r w:rsidR="00734857" w:rsidRPr="00AE1CF2">
        <w:t>PES</w:t>
      </w:r>
      <w:r>
        <w:t xml:space="preserve"> de Puerto Vallarta, Jalisco. Este análisis no solo llenará </w:t>
      </w:r>
      <w:r w:rsidR="00AA66B4">
        <w:t xml:space="preserve">una falta de estudios en la literatura existente respecto a la implementación de la </w:t>
      </w:r>
      <w:r>
        <w:t xml:space="preserve">RSE en </w:t>
      </w:r>
      <w:r w:rsidR="00734857" w:rsidRPr="00AE1CF2">
        <w:t>M</w:t>
      </w:r>
      <w:r w:rsidR="00734857">
        <w:t>y</w:t>
      </w:r>
      <w:r w:rsidR="00734857" w:rsidRPr="00AE1CF2">
        <w:t>PES</w:t>
      </w:r>
      <w:r>
        <w:t>, sino que también proporcionará una guía práctica para empresarios y directivos que deseen integrar la RSE de manera efectiva y sostenible en sus modelos de negocio (</w:t>
      </w:r>
      <w:r w:rsidR="009C55DC">
        <w:rPr>
          <w:lang w:val="en-US"/>
        </w:rPr>
        <w:t>Noorlailie</w:t>
      </w:r>
      <w:r>
        <w:t>, 202</w:t>
      </w:r>
      <w:r w:rsidR="009C55DC">
        <w:t>1</w:t>
      </w:r>
      <w:r>
        <w:t>; Rosecká et al., 2023).</w:t>
      </w:r>
    </w:p>
    <w:p w14:paraId="508B0CE7" w14:textId="77777777" w:rsidR="00681E99" w:rsidRDefault="00681E99" w:rsidP="00681E99">
      <w:pPr>
        <w:spacing w:line="360" w:lineRule="auto"/>
        <w:ind w:firstLine="709"/>
        <w:jc w:val="both"/>
      </w:pPr>
    </w:p>
    <w:p w14:paraId="395CAD13" w14:textId="76146047" w:rsidR="00094801" w:rsidRPr="009C55DC" w:rsidRDefault="00000000" w:rsidP="00681E99">
      <w:pPr>
        <w:spacing w:line="360" w:lineRule="auto"/>
        <w:jc w:val="center"/>
      </w:pPr>
      <w:r w:rsidRPr="00142A7A">
        <w:rPr>
          <w:b/>
          <w:bCs/>
          <w:sz w:val="32"/>
          <w:szCs w:val="32"/>
        </w:rPr>
        <w:t>M</w:t>
      </w:r>
      <w:r w:rsidR="00734857" w:rsidRPr="00142A7A">
        <w:rPr>
          <w:b/>
          <w:bCs/>
          <w:sz w:val="32"/>
          <w:szCs w:val="32"/>
        </w:rPr>
        <w:t>ateriales y Métodos</w:t>
      </w:r>
    </w:p>
    <w:p w14:paraId="3368763D" w14:textId="0A623118" w:rsidR="00A7245A" w:rsidRPr="00A7245A" w:rsidRDefault="00A7245A" w:rsidP="00681E99">
      <w:pPr>
        <w:spacing w:line="360" w:lineRule="auto"/>
        <w:ind w:firstLine="709"/>
        <w:jc w:val="both"/>
      </w:pPr>
      <w:r w:rsidRPr="00A7245A">
        <w:t xml:space="preserve">El presente estudio se caracteriza por su enfoque correlacional y su diseño no experimental, lo que implica que las variables se analizaron sin ser manipuladas, respetando sus condiciones naturales. Se adoptó un enfoque cuantitativo </w:t>
      </w:r>
      <w:r w:rsidR="00AA66B4">
        <w:t>para obtener los datos, a través del uso de</w:t>
      </w:r>
      <w:r w:rsidRPr="00A7245A">
        <w:t xml:space="preserve"> encuestas dirigidas a administradores, propietarios y gerentes de </w:t>
      </w:r>
      <w:r w:rsidR="00AA66B4">
        <w:t>MyPEs</w:t>
      </w:r>
      <w:r w:rsidR="00734857">
        <w:t xml:space="preserve"> de Puerto Vallarta, Jalisco</w:t>
      </w:r>
      <w:r w:rsidRPr="00A7245A">
        <w:t xml:space="preserve">. La muestra incluyó a 432 empresarios, cuya percepción fue </w:t>
      </w:r>
      <w:r w:rsidR="00734857">
        <w:t>indispensable</w:t>
      </w:r>
      <w:r w:rsidRPr="00A7245A">
        <w:t xml:space="preserve"> para obtener los datos </w:t>
      </w:r>
      <w:r w:rsidR="00734857">
        <w:t>requeridos</w:t>
      </w:r>
      <w:r w:rsidRPr="00A7245A">
        <w:t>.</w:t>
      </w:r>
    </w:p>
    <w:p w14:paraId="498CCED0" w14:textId="16035D4C" w:rsidR="00A7245A" w:rsidRDefault="00A7245A" w:rsidP="00681E99">
      <w:pPr>
        <w:spacing w:line="360" w:lineRule="auto"/>
        <w:ind w:firstLine="709"/>
        <w:jc w:val="both"/>
      </w:pPr>
      <w:r w:rsidRPr="00A7245A">
        <w:t>Para el análisis de estos datos, se empleó el software SPSS (</w:t>
      </w:r>
      <w:r w:rsidRPr="009A7276">
        <w:rPr>
          <w:i/>
          <w:iCs/>
        </w:rPr>
        <w:t>Statistical Package for Social Sciences</w:t>
      </w:r>
      <w:r w:rsidRPr="00A7245A">
        <w:t>) en su versión 2</w:t>
      </w:r>
      <w:r>
        <w:t>7</w:t>
      </w:r>
      <w:r w:rsidRPr="00A7245A">
        <w:t xml:space="preserve">, lo que permitió realizar una serie de análisis, como correlaciones y análisis divergente. También se evaluó la confiabilidad de los datos y </w:t>
      </w:r>
      <w:r w:rsidR="00AA66B4">
        <w:t>se llevó a cabo un análisis factorial de tipo exploratorio. Asimismo, se empleó el software Analysis of Moment Structures (AMOS)</w:t>
      </w:r>
      <w:r w:rsidR="00734857" w:rsidRPr="00A7245A">
        <w:t xml:space="preserve"> </w:t>
      </w:r>
      <w:r w:rsidR="00734857">
        <w:t xml:space="preserve">versión 25 </w:t>
      </w:r>
      <w:r w:rsidRPr="00A7245A">
        <w:t xml:space="preserve">para llevar a cabo un análisis confirmatorio, con el fin de garantizar que el modelo propuesto fuese adecuado. </w:t>
      </w:r>
      <w:r w:rsidR="009A7276" w:rsidRPr="009A7276">
        <w:t>El cuestionario aplicado se estructuró en tres dimensiones: económica, medioambiental y social. Contiene 40 ítems en total y se utilizó una escala de Likert</w:t>
      </w:r>
      <w:r w:rsidRPr="00A7245A">
        <w:t xml:space="preserve"> que variaba entre 1 (totalmente en desacuerdo) y 5 (totalmente de acuerdo)</w:t>
      </w:r>
      <w:r w:rsidR="003C4A33">
        <w:t xml:space="preserve"> como se muestra en la tabla 1</w:t>
      </w:r>
      <w:r w:rsidRPr="00A7245A">
        <w:t>.</w:t>
      </w:r>
    </w:p>
    <w:p w14:paraId="2B3912EC" w14:textId="77777777" w:rsidR="00681E99" w:rsidRPr="00A7245A" w:rsidRDefault="00681E99" w:rsidP="00681E99">
      <w:pPr>
        <w:spacing w:line="360" w:lineRule="auto"/>
        <w:jc w:val="both"/>
      </w:pPr>
    </w:p>
    <w:p w14:paraId="74D92EC8" w14:textId="7EB4C83B" w:rsidR="003C4A33" w:rsidRPr="00142A7A" w:rsidRDefault="00C62DF7" w:rsidP="00681E99">
      <w:pPr>
        <w:spacing w:line="360" w:lineRule="auto"/>
        <w:jc w:val="center"/>
        <w:rPr>
          <w:b/>
        </w:rPr>
      </w:pPr>
      <w:r>
        <w:rPr>
          <w:b/>
        </w:rPr>
        <w:t>Tabla 1</w:t>
      </w:r>
      <w:r w:rsidR="00405B9A">
        <w:rPr>
          <w:b/>
        </w:rPr>
        <w:t xml:space="preserve">. </w:t>
      </w:r>
      <w:r w:rsidRPr="00C62DF7">
        <w:rPr>
          <w:bCs/>
          <w:i/>
          <w:iCs/>
        </w:rPr>
        <w:t>Dimensiones de la Responsabilidad Social Empresarial</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4678"/>
      </w:tblGrid>
      <w:tr w:rsidR="003C4A33" w:rsidRPr="00681E99" w14:paraId="04BF1BCA" w14:textId="77777777" w:rsidTr="00405B9A">
        <w:trPr>
          <w:trHeight w:val="320"/>
        </w:trPr>
        <w:tc>
          <w:tcPr>
            <w:tcW w:w="3964" w:type="dxa"/>
            <w:shd w:val="clear" w:color="auto" w:fill="auto"/>
            <w:noWrap/>
            <w:vAlign w:val="bottom"/>
            <w:hideMark/>
          </w:tcPr>
          <w:p w14:paraId="07E1C6A0" w14:textId="77777777" w:rsidR="003C4A33" w:rsidRPr="00681E99" w:rsidRDefault="003C4A33" w:rsidP="00405B9A">
            <w:pPr>
              <w:rPr>
                <w:color w:val="000000"/>
              </w:rPr>
            </w:pPr>
            <w:r w:rsidRPr="00681E99">
              <w:rPr>
                <w:color w:val="000000"/>
              </w:rPr>
              <w:t>Dimensión de la RSE</w:t>
            </w:r>
          </w:p>
        </w:tc>
        <w:tc>
          <w:tcPr>
            <w:tcW w:w="4678" w:type="dxa"/>
            <w:shd w:val="clear" w:color="auto" w:fill="auto"/>
            <w:noWrap/>
            <w:vAlign w:val="bottom"/>
            <w:hideMark/>
          </w:tcPr>
          <w:p w14:paraId="7B8DA9FC" w14:textId="77777777" w:rsidR="003C4A33" w:rsidRPr="00681E99" w:rsidRDefault="003C4A33" w:rsidP="00405B9A">
            <w:pPr>
              <w:rPr>
                <w:color w:val="000000"/>
              </w:rPr>
            </w:pPr>
            <w:r w:rsidRPr="00681E99">
              <w:rPr>
                <w:color w:val="000000"/>
              </w:rPr>
              <w:t>Número de preguntas</w:t>
            </w:r>
          </w:p>
        </w:tc>
      </w:tr>
      <w:tr w:rsidR="003C4A33" w:rsidRPr="00681E99" w14:paraId="7DF9A80D" w14:textId="77777777" w:rsidTr="00405B9A">
        <w:trPr>
          <w:trHeight w:val="320"/>
        </w:trPr>
        <w:tc>
          <w:tcPr>
            <w:tcW w:w="3964" w:type="dxa"/>
            <w:shd w:val="clear" w:color="auto" w:fill="auto"/>
            <w:noWrap/>
            <w:vAlign w:val="bottom"/>
            <w:hideMark/>
          </w:tcPr>
          <w:p w14:paraId="3299D5F2" w14:textId="77777777" w:rsidR="003C4A33" w:rsidRPr="00681E99" w:rsidRDefault="003C4A33" w:rsidP="00405B9A">
            <w:pPr>
              <w:rPr>
                <w:color w:val="000000"/>
              </w:rPr>
            </w:pPr>
            <w:r w:rsidRPr="00681E99">
              <w:rPr>
                <w:color w:val="000000"/>
              </w:rPr>
              <w:t>Social</w:t>
            </w:r>
          </w:p>
        </w:tc>
        <w:tc>
          <w:tcPr>
            <w:tcW w:w="4678" w:type="dxa"/>
            <w:shd w:val="clear" w:color="auto" w:fill="auto"/>
            <w:noWrap/>
            <w:vAlign w:val="bottom"/>
            <w:hideMark/>
          </w:tcPr>
          <w:p w14:paraId="52B17C48" w14:textId="015447BF" w:rsidR="003C4A33" w:rsidRPr="00681E99" w:rsidRDefault="003C4A33" w:rsidP="00405B9A">
            <w:pPr>
              <w:rPr>
                <w:color w:val="000000"/>
              </w:rPr>
            </w:pPr>
            <w:r w:rsidRPr="00681E99">
              <w:rPr>
                <w:color w:val="000000"/>
              </w:rPr>
              <w:t>1 - 15</w:t>
            </w:r>
          </w:p>
        </w:tc>
      </w:tr>
      <w:tr w:rsidR="003C4A33" w:rsidRPr="00681E99" w14:paraId="0320AE2B" w14:textId="77777777" w:rsidTr="00405B9A">
        <w:trPr>
          <w:trHeight w:val="320"/>
        </w:trPr>
        <w:tc>
          <w:tcPr>
            <w:tcW w:w="3964" w:type="dxa"/>
            <w:shd w:val="clear" w:color="auto" w:fill="auto"/>
            <w:noWrap/>
            <w:vAlign w:val="bottom"/>
            <w:hideMark/>
          </w:tcPr>
          <w:p w14:paraId="6DB0E904" w14:textId="77777777" w:rsidR="003C4A33" w:rsidRPr="00681E99" w:rsidRDefault="003C4A33" w:rsidP="00405B9A">
            <w:pPr>
              <w:rPr>
                <w:color w:val="000000"/>
              </w:rPr>
            </w:pPr>
            <w:r w:rsidRPr="00681E99">
              <w:rPr>
                <w:color w:val="000000"/>
              </w:rPr>
              <w:t>Económica</w:t>
            </w:r>
          </w:p>
        </w:tc>
        <w:tc>
          <w:tcPr>
            <w:tcW w:w="4678" w:type="dxa"/>
            <w:shd w:val="clear" w:color="auto" w:fill="auto"/>
            <w:noWrap/>
            <w:vAlign w:val="bottom"/>
            <w:hideMark/>
          </w:tcPr>
          <w:p w14:paraId="36E826AE" w14:textId="56F96435" w:rsidR="003C4A33" w:rsidRPr="00681E99" w:rsidRDefault="003C4A33" w:rsidP="00405B9A">
            <w:pPr>
              <w:rPr>
                <w:color w:val="000000"/>
              </w:rPr>
            </w:pPr>
            <w:r w:rsidRPr="00681E99">
              <w:rPr>
                <w:color w:val="000000"/>
              </w:rPr>
              <w:t>16 - 26</w:t>
            </w:r>
          </w:p>
        </w:tc>
      </w:tr>
      <w:tr w:rsidR="003C4A33" w:rsidRPr="00681E99" w14:paraId="08643EFC" w14:textId="77777777" w:rsidTr="00405B9A">
        <w:trPr>
          <w:trHeight w:val="320"/>
        </w:trPr>
        <w:tc>
          <w:tcPr>
            <w:tcW w:w="3964" w:type="dxa"/>
            <w:shd w:val="clear" w:color="auto" w:fill="auto"/>
            <w:noWrap/>
            <w:vAlign w:val="bottom"/>
            <w:hideMark/>
          </w:tcPr>
          <w:p w14:paraId="17C649A4" w14:textId="77777777" w:rsidR="003C4A33" w:rsidRPr="00681E99" w:rsidRDefault="003C4A33" w:rsidP="00405B9A">
            <w:pPr>
              <w:rPr>
                <w:color w:val="000000"/>
              </w:rPr>
            </w:pPr>
            <w:r w:rsidRPr="00681E99">
              <w:rPr>
                <w:color w:val="000000"/>
              </w:rPr>
              <w:t>Medioambiental</w:t>
            </w:r>
          </w:p>
        </w:tc>
        <w:tc>
          <w:tcPr>
            <w:tcW w:w="4678" w:type="dxa"/>
            <w:shd w:val="clear" w:color="auto" w:fill="auto"/>
            <w:noWrap/>
            <w:vAlign w:val="bottom"/>
            <w:hideMark/>
          </w:tcPr>
          <w:p w14:paraId="2D03DDE4" w14:textId="10087364" w:rsidR="003C4A33" w:rsidRPr="00681E99" w:rsidRDefault="003C4A33" w:rsidP="00405B9A">
            <w:pPr>
              <w:rPr>
                <w:color w:val="000000"/>
              </w:rPr>
            </w:pPr>
            <w:r w:rsidRPr="00681E99">
              <w:rPr>
                <w:color w:val="000000"/>
              </w:rPr>
              <w:t>27 - 40</w:t>
            </w:r>
          </w:p>
        </w:tc>
      </w:tr>
    </w:tbl>
    <w:p w14:paraId="058A572E" w14:textId="7C91C162" w:rsidR="003C4A33" w:rsidRPr="00405B9A" w:rsidRDefault="00405B9A" w:rsidP="00681E99">
      <w:pPr>
        <w:spacing w:line="360" w:lineRule="auto"/>
        <w:jc w:val="center"/>
        <w:rPr>
          <w:bCs/>
        </w:rPr>
      </w:pPr>
      <w:r w:rsidRPr="00405B9A">
        <w:rPr>
          <w:bCs/>
        </w:rPr>
        <w:t>Fuente: Elaboración propia</w:t>
      </w:r>
    </w:p>
    <w:p w14:paraId="3A9C4B27" w14:textId="634B3FC4" w:rsidR="00A7245A" w:rsidRDefault="00A7245A" w:rsidP="00681E99">
      <w:pPr>
        <w:spacing w:line="360" w:lineRule="auto"/>
        <w:ind w:firstLine="709"/>
        <w:jc w:val="both"/>
        <w:rPr>
          <w:b/>
          <w:highlight w:val="yellow"/>
        </w:rPr>
      </w:pPr>
      <w:r>
        <w:t xml:space="preserve">El estudio se centró en evaluar tanto la validez convergente como la divergente. La validez convergente alude a la relación </w:t>
      </w:r>
      <w:r w:rsidR="00D43399">
        <w:t>favorable en las evaluaciones revisadas, lo cual sugiere que ambas midan la misma dimensión</w:t>
      </w:r>
      <w:r>
        <w:t xml:space="preserve">. En contraste, </w:t>
      </w:r>
      <w:r w:rsidR="00D43399">
        <w:t>Hogan (2004) afirm</w:t>
      </w:r>
      <w:r w:rsidR="009A7276">
        <w:t>ó</w:t>
      </w:r>
      <w:r w:rsidR="00D43399">
        <w:t xml:space="preserve"> que </w:t>
      </w:r>
      <w:r>
        <w:t xml:space="preserve">la validez divergente se refiere a la ausencia de correlación significativa entre las pruebas, lo </w:t>
      </w:r>
      <w:r>
        <w:lastRenderedPageBreak/>
        <w:t xml:space="preserve">que sugiere que miden procesos distintos. </w:t>
      </w:r>
      <w:r w:rsidR="00D43399">
        <w:t xml:space="preserve">Con el fin de garantizar la validez de la escala empleada, se hizo énfasis en la validez convergente, que muestra el nivel en el que dos indicadores </w:t>
      </w:r>
      <w:r>
        <w:t xml:space="preserve">de un concepto dado están correlacionados y logran representar con precisión dicho concepto. </w:t>
      </w:r>
      <w:r w:rsidR="00D43399">
        <w:t xml:space="preserve">A lo largo de este procedimiento, se descartaron 20 ítems que presentaban coeficientes de correlación reducidos, lo que dio lugar a un análisis </w:t>
      </w:r>
      <w:r>
        <w:t xml:space="preserve">final </w:t>
      </w:r>
      <w:r w:rsidR="009A7276">
        <w:t>más depurado</w:t>
      </w:r>
      <w:r>
        <w:t xml:space="preserve">, como se detalla en la </w:t>
      </w:r>
      <w:r w:rsidR="006F2DBD">
        <w:t>figura 1</w:t>
      </w:r>
      <w:r>
        <w:t>.</w:t>
      </w:r>
    </w:p>
    <w:p w14:paraId="6C5D73D8" w14:textId="77777777" w:rsidR="003C4A33" w:rsidRDefault="003C4A33">
      <w:pPr>
        <w:spacing w:line="360" w:lineRule="auto"/>
        <w:jc w:val="both"/>
        <w:rPr>
          <w:b/>
          <w:highlight w:val="yellow"/>
        </w:rPr>
      </w:pPr>
    </w:p>
    <w:p w14:paraId="10A7F5F3" w14:textId="7D8207C5" w:rsidR="00094801" w:rsidRPr="00681E99" w:rsidRDefault="006F2DBD" w:rsidP="00405B9A">
      <w:pPr>
        <w:spacing w:line="360" w:lineRule="auto"/>
        <w:jc w:val="center"/>
        <w:rPr>
          <w:b/>
        </w:rPr>
      </w:pPr>
      <w:r>
        <w:rPr>
          <w:b/>
        </w:rPr>
        <w:t>Figura 1</w:t>
      </w:r>
      <w:r w:rsidR="00405B9A">
        <w:rPr>
          <w:b/>
        </w:rPr>
        <w:t xml:space="preserve">. </w:t>
      </w:r>
      <w:r w:rsidR="00C62DF7" w:rsidRPr="00681E99">
        <w:rPr>
          <w:bCs/>
        </w:rPr>
        <w:t>Correlación de los items</w:t>
      </w:r>
      <w:r w:rsidR="009A7276" w:rsidRPr="00681E99">
        <w:rPr>
          <w:bCs/>
        </w:rPr>
        <w:t xml:space="preserve"> según análisis del SPSS versión 27</w:t>
      </w:r>
    </w:p>
    <w:p w14:paraId="2CE4DC0F" w14:textId="3C44EBE3" w:rsidR="00405B9A" w:rsidRDefault="00C62DF7" w:rsidP="00405B9A">
      <w:pPr>
        <w:spacing w:line="360" w:lineRule="auto"/>
        <w:jc w:val="center"/>
        <w:rPr>
          <w:bCs/>
        </w:rPr>
      </w:pPr>
      <w:r w:rsidRPr="00C62DF7">
        <w:rPr>
          <w:b/>
          <w:noProof/>
        </w:rPr>
        <w:drawing>
          <wp:inline distT="0" distB="0" distL="0" distR="0" wp14:anchorId="218FDBCC" wp14:editId="26EFE61F">
            <wp:extent cx="5612130" cy="3156585"/>
            <wp:effectExtent l="0" t="0" r="127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156585"/>
                    </a:xfrm>
                    <a:prstGeom prst="rect">
                      <a:avLst/>
                    </a:prstGeom>
                  </pic:spPr>
                </pic:pic>
              </a:graphicData>
            </a:graphic>
          </wp:inline>
        </w:drawing>
      </w:r>
      <w:r w:rsidR="00405B9A" w:rsidRPr="00405B9A">
        <w:rPr>
          <w:bCs/>
        </w:rPr>
        <w:t>Fuente: Elaboración propia</w:t>
      </w:r>
      <w:r w:rsidR="00405B9A">
        <w:rPr>
          <w:bCs/>
        </w:rPr>
        <w:t xml:space="preserve"> con base en los resultados arrojados por el SPSS versi</w:t>
      </w:r>
      <w:r w:rsidR="00252403">
        <w:rPr>
          <w:bCs/>
        </w:rPr>
        <w:t>ó</w:t>
      </w:r>
      <w:r w:rsidR="00405B9A">
        <w:rPr>
          <w:bCs/>
        </w:rPr>
        <w:t>n 27.</w:t>
      </w:r>
    </w:p>
    <w:p w14:paraId="308716EF" w14:textId="5C3B6B09" w:rsidR="00A7245A" w:rsidRPr="00A7245A" w:rsidRDefault="00A7245A" w:rsidP="00681E99">
      <w:pPr>
        <w:spacing w:line="360" w:lineRule="auto"/>
        <w:ind w:firstLine="709"/>
      </w:pPr>
      <w:r w:rsidRPr="00A7245A">
        <w:t xml:space="preserve">Para evaluar la confiabilidad, definida como la consistencia entre las mediciones de una variable, se empleó el coeficiente de Cronbach, tanto en su versión total como por ítem, con el fin de medir dicha consistencia. Se estableció como aceptable un valor superior a 0.70 en ambos casos. El coeficiente alfa general arrojó un valor de 0.933 para el constructo social, 0.910 para el constructo económico, y 0.853 para el constructo medioambiental, lo cual es considerado satisfactorio (ver Tabla </w:t>
      </w:r>
      <w:r w:rsidR="006F2DBD">
        <w:t>2</w:t>
      </w:r>
      <w:r w:rsidRPr="00A7245A">
        <w:t>).</w:t>
      </w:r>
    </w:p>
    <w:p w14:paraId="51A437EE" w14:textId="77777777" w:rsidR="00405B9A" w:rsidRDefault="00405B9A">
      <w:pPr>
        <w:spacing w:line="360" w:lineRule="auto"/>
        <w:jc w:val="both"/>
        <w:rPr>
          <w:b/>
        </w:rPr>
      </w:pPr>
    </w:p>
    <w:p w14:paraId="42877862" w14:textId="77777777" w:rsidR="005D63B3" w:rsidRDefault="005D63B3">
      <w:pPr>
        <w:spacing w:line="360" w:lineRule="auto"/>
        <w:jc w:val="both"/>
        <w:rPr>
          <w:b/>
        </w:rPr>
      </w:pPr>
    </w:p>
    <w:p w14:paraId="53415406" w14:textId="77777777" w:rsidR="005D63B3" w:rsidRDefault="005D63B3">
      <w:pPr>
        <w:spacing w:line="360" w:lineRule="auto"/>
        <w:jc w:val="both"/>
        <w:rPr>
          <w:b/>
        </w:rPr>
      </w:pPr>
    </w:p>
    <w:p w14:paraId="3E76AA04" w14:textId="77777777" w:rsidR="005D63B3" w:rsidRDefault="005D63B3">
      <w:pPr>
        <w:spacing w:line="360" w:lineRule="auto"/>
        <w:jc w:val="both"/>
        <w:rPr>
          <w:b/>
        </w:rPr>
      </w:pPr>
    </w:p>
    <w:p w14:paraId="69478099" w14:textId="77777777" w:rsidR="005D63B3" w:rsidRDefault="005D63B3">
      <w:pPr>
        <w:spacing w:line="360" w:lineRule="auto"/>
        <w:jc w:val="both"/>
        <w:rPr>
          <w:b/>
        </w:rPr>
      </w:pPr>
    </w:p>
    <w:p w14:paraId="3E2673E9" w14:textId="77777777" w:rsidR="005D63B3" w:rsidRDefault="005D63B3">
      <w:pPr>
        <w:spacing w:line="360" w:lineRule="auto"/>
        <w:jc w:val="both"/>
        <w:rPr>
          <w:b/>
        </w:rPr>
      </w:pPr>
    </w:p>
    <w:p w14:paraId="78D4EB6A" w14:textId="48871177" w:rsidR="003C4A33" w:rsidRPr="00405B9A" w:rsidRDefault="003C4A33" w:rsidP="00405B9A">
      <w:pPr>
        <w:spacing w:line="360" w:lineRule="auto"/>
        <w:jc w:val="center"/>
        <w:rPr>
          <w:b/>
        </w:rPr>
      </w:pPr>
      <w:r>
        <w:rPr>
          <w:b/>
        </w:rPr>
        <w:lastRenderedPageBreak/>
        <w:t xml:space="preserve">Tabla </w:t>
      </w:r>
      <w:r w:rsidR="006F2DBD">
        <w:rPr>
          <w:b/>
        </w:rPr>
        <w:t>2</w:t>
      </w:r>
      <w:r w:rsidR="00405B9A">
        <w:rPr>
          <w:b/>
        </w:rPr>
        <w:t xml:space="preserve">.  </w:t>
      </w:r>
      <w:r w:rsidRPr="00681E99">
        <w:rPr>
          <w:bCs/>
        </w:rPr>
        <w:t>Análisis de fiabilidad</w:t>
      </w:r>
      <w:r w:rsidR="009A7276" w:rsidRPr="00681E99">
        <w:rPr>
          <w:bCs/>
        </w:rPr>
        <w:t xml:space="preserve"> por dimensión (alfa de Cronbach)</w:t>
      </w:r>
    </w:p>
    <w:tbl>
      <w:tblPr>
        <w:tblStyle w:val="a"/>
        <w:tblpPr w:leftFromText="141" w:rightFromText="141" w:vertAnchor="text" w:horzAnchor="margin" w:tblpY="185"/>
        <w:tblW w:w="86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00"/>
        <w:gridCol w:w="1944"/>
        <w:gridCol w:w="3298"/>
      </w:tblGrid>
      <w:tr w:rsidR="003C4A33" w14:paraId="63892D4D" w14:textId="77777777" w:rsidTr="00405B9A">
        <w:trPr>
          <w:trHeight w:val="300"/>
        </w:trPr>
        <w:tc>
          <w:tcPr>
            <w:tcW w:w="8642" w:type="dxa"/>
            <w:gridSpan w:val="3"/>
            <w:shd w:val="clear" w:color="auto" w:fill="auto"/>
            <w:vAlign w:val="bottom"/>
          </w:tcPr>
          <w:p w14:paraId="6D1F4439" w14:textId="77777777" w:rsidR="003C4A33" w:rsidRDefault="003C4A33" w:rsidP="003C4A33">
            <w:pPr>
              <w:widowControl w:val="0"/>
              <w:jc w:val="center"/>
              <w:rPr>
                <w:color w:val="000000"/>
              </w:rPr>
            </w:pPr>
            <w:r>
              <w:rPr>
                <w:color w:val="000000"/>
              </w:rPr>
              <w:t>Estadísticas de fiabilidad</w:t>
            </w:r>
          </w:p>
        </w:tc>
      </w:tr>
      <w:tr w:rsidR="003C4A33" w14:paraId="2FAAB635" w14:textId="77777777" w:rsidTr="00405B9A">
        <w:trPr>
          <w:trHeight w:val="300"/>
        </w:trPr>
        <w:tc>
          <w:tcPr>
            <w:tcW w:w="3400" w:type="dxa"/>
            <w:shd w:val="clear" w:color="auto" w:fill="auto"/>
            <w:vAlign w:val="bottom"/>
          </w:tcPr>
          <w:p w14:paraId="209BC0B6" w14:textId="77777777" w:rsidR="003C4A33" w:rsidRDefault="003C4A33" w:rsidP="003C4A33">
            <w:pPr>
              <w:widowControl w:val="0"/>
              <w:rPr>
                <w:color w:val="000000"/>
              </w:rPr>
            </w:pPr>
            <w:r>
              <w:rPr>
                <w:color w:val="000000"/>
              </w:rPr>
              <w:t> </w:t>
            </w:r>
          </w:p>
        </w:tc>
        <w:tc>
          <w:tcPr>
            <w:tcW w:w="1944" w:type="dxa"/>
            <w:shd w:val="clear" w:color="auto" w:fill="auto"/>
            <w:vAlign w:val="bottom"/>
          </w:tcPr>
          <w:p w14:paraId="123CC283" w14:textId="77777777" w:rsidR="003C4A33" w:rsidRDefault="003C4A33" w:rsidP="00E027D0">
            <w:pPr>
              <w:widowControl w:val="0"/>
              <w:jc w:val="center"/>
              <w:rPr>
                <w:color w:val="000000"/>
              </w:rPr>
            </w:pPr>
            <w:r>
              <w:rPr>
                <w:color w:val="000000"/>
              </w:rPr>
              <w:t>Alfa de Cronbach</w:t>
            </w:r>
          </w:p>
        </w:tc>
        <w:tc>
          <w:tcPr>
            <w:tcW w:w="3298" w:type="dxa"/>
            <w:shd w:val="clear" w:color="auto" w:fill="auto"/>
            <w:vAlign w:val="bottom"/>
          </w:tcPr>
          <w:p w14:paraId="3FFEDE80" w14:textId="77777777" w:rsidR="003C4A33" w:rsidRDefault="003C4A33" w:rsidP="00E027D0">
            <w:pPr>
              <w:widowControl w:val="0"/>
              <w:jc w:val="center"/>
              <w:rPr>
                <w:color w:val="000000"/>
              </w:rPr>
            </w:pPr>
            <w:r>
              <w:rPr>
                <w:color w:val="000000"/>
              </w:rPr>
              <w:t>N de Ítems</w:t>
            </w:r>
          </w:p>
        </w:tc>
      </w:tr>
      <w:tr w:rsidR="003C4A33" w14:paraId="0D29FA79" w14:textId="77777777" w:rsidTr="00405B9A">
        <w:trPr>
          <w:trHeight w:val="300"/>
        </w:trPr>
        <w:tc>
          <w:tcPr>
            <w:tcW w:w="3400" w:type="dxa"/>
            <w:shd w:val="clear" w:color="auto" w:fill="auto"/>
            <w:vAlign w:val="bottom"/>
          </w:tcPr>
          <w:p w14:paraId="431CE3B3" w14:textId="77777777" w:rsidR="003C4A33" w:rsidRDefault="003C4A33" w:rsidP="003C4A33">
            <w:pPr>
              <w:widowControl w:val="0"/>
              <w:rPr>
                <w:color w:val="000000"/>
              </w:rPr>
            </w:pPr>
            <w:r>
              <w:rPr>
                <w:color w:val="000000"/>
              </w:rPr>
              <w:t>Social</w:t>
            </w:r>
          </w:p>
        </w:tc>
        <w:tc>
          <w:tcPr>
            <w:tcW w:w="1944" w:type="dxa"/>
            <w:shd w:val="clear" w:color="auto" w:fill="auto"/>
            <w:vAlign w:val="bottom"/>
          </w:tcPr>
          <w:p w14:paraId="465818B4" w14:textId="77777777" w:rsidR="003C4A33" w:rsidRDefault="003C4A33" w:rsidP="003C4A33">
            <w:pPr>
              <w:widowControl w:val="0"/>
              <w:jc w:val="center"/>
              <w:rPr>
                <w:color w:val="000000"/>
              </w:rPr>
            </w:pPr>
            <w:r>
              <w:rPr>
                <w:color w:val="000000"/>
              </w:rPr>
              <w:t>0.933</w:t>
            </w:r>
          </w:p>
        </w:tc>
        <w:tc>
          <w:tcPr>
            <w:tcW w:w="3298" w:type="dxa"/>
            <w:shd w:val="clear" w:color="auto" w:fill="auto"/>
            <w:vAlign w:val="bottom"/>
          </w:tcPr>
          <w:p w14:paraId="3CB88097" w14:textId="77777777" w:rsidR="003C4A33" w:rsidRDefault="003C4A33" w:rsidP="003C4A33">
            <w:pPr>
              <w:widowControl w:val="0"/>
              <w:jc w:val="center"/>
              <w:rPr>
                <w:color w:val="000000"/>
              </w:rPr>
            </w:pPr>
            <w:r>
              <w:rPr>
                <w:color w:val="000000"/>
              </w:rPr>
              <w:t>4</w:t>
            </w:r>
          </w:p>
        </w:tc>
      </w:tr>
      <w:tr w:rsidR="003C4A33" w14:paraId="0ED511EA" w14:textId="77777777" w:rsidTr="00405B9A">
        <w:trPr>
          <w:trHeight w:val="300"/>
        </w:trPr>
        <w:tc>
          <w:tcPr>
            <w:tcW w:w="3400" w:type="dxa"/>
            <w:shd w:val="clear" w:color="auto" w:fill="auto"/>
            <w:vAlign w:val="bottom"/>
          </w:tcPr>
          <w:p w14:paraId="1E7AB0BA" w14:textId="77777777" w:rsidR="003C4A33" w:rsidRDefault="003C4A33" w:rsidP="003C4A33">
            <w:pPr>
              <w:widowControl w:val="0"/>
              <w:rPr>
                <w:color w:val="000000"/>
              </w:rPr>
            </w:pPr>
            <w:r>
              <w:rPr>
                <w:color w:val="000000"/>
              </w:rPr>
              <w:t>Económica</w:t>
            </w:r>
          </w:p>
        </w:tc>
        <w:tc>
          <w:tcPr>
            <w:tcW w:w="1944" w:type="dxa"/>
            <w:shd w:val="clear" w:color="auto" w:fill="auto"/>
            <w:vAlign w:val="bottom"/>
          </w:tcPr>
          <w:p w14:paraId="63DA8EF5" w14:textId="77777777" w:rsidR="003C4A33" w:rsidRDefault="003C4A33" w:rsidP="003C4A33">
            <w:pPr>
              <w:widowControl w:val="0"/>
              <w:jc w:val="center"/>
              <w:rPr>
                <w:color w:val="000000"/>
              </w:rPr>
            </w:pPr>
            <w:r>
              <w:rPr>
                <w:color w:val="000000"/>
              </w:rPr>
              <w:t>0.910</w:t>
            </w:r>
          </w:p>
        </w:tc>
        <w:tc>
          <w:tcPr>
            <w:tcW w:w="3298" w:type="dxa"/>
            <w:shd w:val="clear" w:color="auto" w:fill="auto"/>
            <w:vAlign w:val="bottom"/>
          </w:tcPr>
          <w:p w14:paraId="52AB4078" w14:textId="77777777" w:rsidR="003C4A33" w:rsidRDefault="003C4A33" w:rsidP="003C4A33">
            <w:pPr>
              <w:widowControl w:val="0"/>
              <w:jc w:val="center"/>
              <w:rPr>
                <w:color w:val="000000"/>
              </w:rPr>
            </w:pPr>
            <w:r>
              <w:rPr>
                <w:color w:val="000000"/>
              </w:rPr>
              <w:t>8</w:t>
            </w:r>
          </w:p>
        </w:tc>
      </w:tr>
      <w:tr w:rsidR="003C4A33" w14:paraId="0DC2ECFB" w14:textId="77777777" w:rsidTr="00405B9A">
        <w:trPr>
          <w:trHeight w:val="300"/>
        </w:trPr>
        <w:tc>
          <w:tcPr>
            <w:tcW w:w="3400" w:type="dxa"/>
            <w:shd w:val="clear" w:color="auto" w:fill="auto"/>
            <w:vAlign w:val="bottom"/>
          </w:tcPr>
          <w:p w14:paraId="1F1CFB14" w14:textId="77777777" w:rsidR="003C4A33" w:rsidRDefault="003C4A33" w:rsidP="003C4A33">
            <w:pPr>
              <w:widowControl w:val="0"/>
              <w:rPr>
                <w:color w:val="000000"/>
              </w:rPr>
            </w:pPr>
            <w:r>
              <w:rPr>
                <w:color w:val="000000"/>
              </w:rPr>
              <w:t>Medioambiental</w:t>
            </w:r>
          </w:p>
        </w:tc>
        <w:tc>
          <w:tcPr>
            <w:tcW w:w="1944" w:type="dxa"/>
            <w:shd w:val="clear" w:color="auto" w:fill="auto"/>
            <w:vAlign w:val="bottom"/>
          </w:tcPr>
          <w:p w14:paraId="35D8E32A" w14:textId="77777777" w:rsidR="003C4A33" w:rsidRDefault="003C4A33" w:rsidP="003C4A33">
            <w:pPr>
              <w:widowControl w:val="0"/>
              <w:jc w:val="center"/>
              <w:rPr>
                <w:color w:val="000000"/>
              </w:rPr>
            </w:pPr>
            <w:r>
              <w:rPr>
                <w:color w:val="000000"/>
              </w:rPr>
              <w:t>0.853</w:t>
            </w:r>
          </w:p>
        </w:tc>
        <w:tc>
          <w:tcPr>
            <w:tcW w:w="3298" w:type="dxa"/>
            <w:shd w:val="clear" w:color="auto" w:fill="auto"/>
            <w:vAlign w:val="bottom"/>
          </w:tcPr>
          <w:p w14:paraId="5C8FA53D" w14:textId="77777777" w:rsidR="003C4A33" w:rsidRDefault="003C4A33" w:rsidP="003C4A33">
            <w:pPr>
              <w:widowControl w:val="0"/>
              <w:jc w:val="center"/>
              <w:rPr>
                <w:color w:val="000000"/>
              </w:rPr>
            </w:pPr>
            <w:r>
              <w:rPr>
                <w:color w:val="000000"/>
              </w:rPr>
              <w:t>8</w:t>
            </w:r>
          </w:p>
        </w:tc>
      </w:tr>
    </w:tbl>
    <w:p w14:paraId="4FE47498" w14:textId="41E9AF3B" w:rsidR="00405B9A" w:rsidRPr="00405B9A" w:rsidRDefault="00405B9A" w:rsidP="00681E99">
      <w:pPr>
        <w:spacing w:line="360" w:lineRule="auto"/>
        <w:jc w:val="center"/>
        <w:rPr>
          <w:b/>
        </w:rPr>
      </w:pPr>
      <w:r w:rsidRPr="00405B9A">
        <w:rPr>
          <w:bCs/>
        </w:rPr>
        <w:t>Fuente: Elaboración propia</w:t>
      </w:r>
      <w:r>
        <w:rPr>
          <w:bCs/>
        </w:rPr>
        <w:t xml:space="preserve"> con base en los resultados arrojados por el SPSS versi</w:t>
      </w:r>
      <w:r w:rsidR="00252403">
        <w:rPr>
          <w:bCs/>
        </w:rPr>
        <w:t>ó</w:t>
      </w:r>
      <w:r>
        <w:rPr>
          <w:bCs/>
        </w:rPr>
        <w:t>n 27.</w:t>
      </w:r>
    </w:p>
    <w:p w14:paraId="2D0DA080" w14:textId="77777777" w:rsidR="003D0640" w:rsidRPr="00681E99" w:rsidRDefault="003D0640" w:rsidP="00405B9A">
      <w:pPr>
        <w:spacing w:line="360" w:lineRule="auto"/>
        <w:jc w:val="center"/>
        <w:rPr>
          <w:b/>
          <w:bCs/>
        </w:rPr>
      </w:pPr>
    </w:p>
    <w:p w14:paraId="6FFF677B" w14:textId="628F4316" w:rsidR="00094801" w:rsidRPr="00142A7A" w:rsidRDefault="00000000" w:rsidP="00405B9A">
      <w:pPr>
        <w:spacing w:line="360" w:lineRule="auto"/>
        <w:jc w:val="center"/>
        <w:rPr>
          <w:b/>
          <w:bCs/>
          <w:sz w:val="32"/>
          <w:szCs w:val="32"/>
        </w:rPr>
      </w:pPr>
      <w:r w:rsidRPr="00142A7A">
        <w:rPr>
          <w:b/>
          <w:bCs/>
          <w:sz w:val="32"/>
          <w:szCs w:val="32"/>
        </w:rPr>
        <w:t>Result</w:t>
      </w:r>
      <w:r w:rsidR="00A7245A" w:rsidRPr="00142A7A">
        <w:rPr>
          <w:b/>
          <w:bCs/>
          <w:sz w:val="32"/>
          <w:szCs w:val="32"/>
        </w:rPr>
        <w:t>ados</w:t>
      </w:r>
    </w:p>
    <w:p w14:paraId="3431C14F" w14:textId="12CE5C53" w:rsidR="00A7245A" w:rsidRPr="00A7245A" w:rsidRDefault="00A7245A" w:rsidP="00681E99">
      <w:pPr>
        <w:spacing w:line="360" w:lineRule="auto"/>
        <w:ind w:firstLine="709"/>
        <w:jc w:val="both"/>
      </w:pPr>
      <w:r w:rsidRPr="00A7245A">
        <w:t>Se llevó a cabo un análisis factorial exploratorio con el objetivo de simplificar la información contenida en las variables originales, reduciéndolas a un conjunto más pequeño de dimensiones teóricas, sin perder gran cantidad de información. Esto permitió obtener una estructura factorial más clara</w:t>
      </w:r>
      <w:r w:rsidR="00252403">
        <w:t>,</w:t>
      </w:r>
      <w:r w:rsidRPr="00A7245A">
        <w:t xml:space="preserve"> y fácil de interpretar (Hair et al., 2010).</w:t>
      </w:r>
    </w:p>
    <w:p w14:paraId="73D1D5A1" w14:textId="71A48711" w:rsidR="00A7245A" w:rsidRPr="00A7245A" w:rsidRDefault="00D43399" w:rsidP="00681E99">
      <w:pPr>
        <w:spacing w:line="360" w:lineRule="auto"/>
        <w:ind w:firstLine="709"/>
        <w:jc w:val="both"/>
      </w:pPr>
      <w:r>
        <w:t xml:space="preserve">Se empleó la </w:t>
      </w:r>
      <w:r w:rsidR="00252403">
        <w:t>M</w:t>
      </w:r>
      <w:r>
        <w:t xml:space="preserve">edida de </w:t>
      </w:r>
      <w:r w:rsidR="00252403">
        <w:t>A</w:t>
      </w:r>
      <w:r>
        <w:t xml:space="preserve">decuación </w:t>
      </w:r>
      <w:r w:rsidR="00252403">
        <w:t>M</w:t>
      </w:r>
      <w:r>
        <w:t>uestral (MAS) para analizar el grado de correlación entre las variables y determinar la conveniencia de realizar un análisis factorial</w:t>
      </w:r>
      <w:r w:rsidR="00A7245A" w:rsidRPr="00A7245A">
        <w:t xml:space="preserve">. Siguiendo las directrices establecidas, valores de .80 son considerados altos, .70 regulares y .60 bajos. </w:t>
      </w:r>
      <w:r w:rsidR="00C753C5">
        <w:t>Además, se consideró la prueba de esfericidad</w:t>
      </w:r>
      <w:r w:rsidR="00A7245A" w:rsidRPr="00A7245A">
        <w:t>, el cual es significativo cuando las correlaciones son adecuadas y tienen un valor p &lt; .005 (Hair et al., 2010). En este estudio, se obtuvo una MAS de .948, lo que indica una alta adecuación muestral y significancia a un nivel de .000</w:t>
      </w:r>
      <w:r w:rsidR="00EA1AE7">
        <w:t xml:space="preserve"> (</w:t>
      </w:r>
      <w:r w:rsidR="00252403">
        <w:t>v</w:t>
      </w:r>
      <w:r w:rsidR="00EA1AE7">
        <w:t xml:space="preserve">er tabla </w:t>
      </w:r>
      <w:r w:rsidR="006F2DBD">
        <w:t>3</w:t>
      </w:r>
      <w:r w:rsidR="00EA1AE7">
        <w:t>)</w:t>
      </w:r>
      <w:r w:rsidR="00A7245A" w:rsidRPr="00A7245A">
        <w:t>.</w:t>
      </w:r>
    </w:p>
    <w:p w14:paraId="46CFA4EF" w14:textId="6646F0E9" w:rsidR="00AE1CF2" w:rsidRDefault="00C753C5" w:rsidP="00681E99">
      <w:pPr>
        <w:spacing w:line="360" w:lineRule="auto"/>
        <w:ind w:firstLine="709"/>
        <w:jc w:val="both"/>
      </w:pPr>
      <w:r>
        <w:t>Asimismo se realizó un análisis de componentes principales, el cua</w:t>
      </w:r>
      <w:r w:rsidR="00252403">
        <w:t>l</w:t>
      </w:r>
      <w:r>
        <w:t xml:space="preserve"> </w:t>
      </w:r>
      <w:r w:rsidR="00A7245A">
        <w:t xml:space="preserve">reveló que más del 60% de la varianza fue explicada, lo cual es un criterio comúnmente considerado adecuado en el ámbito de las ciencias sociales (Hair et al., 2010). En particular, los resultados indicaron que el 60.31% de la variabilidad total está representada por tres factores principales, cada uno de los cuales tiene un autovalor superior a 1, </w:t>
      </w:r>
      <w:r>
        <w:t xml:space="preserve">tal y como se muestra en la Tabla </w:t>
      </w:r>
      <w:r w:rsidR="006F2DBD">
        <w:t>4</w:t>
      </w:r>
      <w:r>
        <w:t>.</w:t>
      </w:r>
    </w:p>
    <w:p w14:paraId="1FDD9815" w14:textId="77777777" w:rsidR="00681E99" w:rsidRDefault="00681E99" w:rsidP="00681E99">
      <w:pPr>
        <w:spacing w:line="360" w:lineRule="auto"/>
        <w:ind w:firstLine="709"/>
        <w:jc w:val="both"/>
      </w:pPr>
    </w:p>
    <w:p w14:paraId="26F751FF" w14:textId="2C6B2B87" w:rsidR="00A7245A" w:rsidRPr="00405B9A" w:rsidRDefault="00A7245A" w:rsidP="00405B9A">
      <w:pPr>
        <w:spacing w:line="360" w:lineRule="auto"/>
        <w:jc w:val="center"/>
        <w:rPr>
          <w:b/>
        </w:rPr>
      </w:pPr>
      <w:r>
        <w:rPr>
          <w:b/>
        </w:rPr>
        <w:t xml:space="preserve">Tabla </w:t>
      </w:r>
      <w:r w:rsidR="006F2DBD">
        <w:rPr>
          <w:b/>
        </w:rPr>
        <w:t>3</w:t>
      </w:r>
      <w:r>
        <w:rPr>
          <w:b/>
        </w:rPr>
        <w:t xml:space="preserve">. </w:t>
      </w:r>
      <w:r w:rsidR="00405B9A">
        <w:rPr>
          <w:b/>
        </w:rPr>
        <w:t xml:space="preserve"> </w:t>
      </w:r>
      <w:r w:rsidR="00252403" w:rsidRPr="00681E99">
        <w:t>Medidas de adecuación muestral y prueba de esfericidad de Bartlett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2835"/>
        <w:gridCol w:w="2263"/>
      </w:tblGrid>
      <w:tr w:rsidR="00A7245A" w:rsidRPr="00130E12" w14:paraId="2927A824" w14:textId="77777777" w:rsidTr="00405B9A">
        <w:trPr>
          <w:cantSplit/>
        </w:trPr>
        <w:tc>
          <w:tcPr>
            <w:tcW w:w="6379" w:type="dxa"/>
            <w:gridSpan w:val="2"/>
            <w:shd w:val="clear" w:color="auto" w:fill="auto"/>
          </w:tcPr>
          <w:p w14:paraId="32FD194F" w14:textId="77777777" w:rsidR="00A7245A" w:rsidRPr="00EA1AE7" w:rsidRDefault="00A7245A" w:rsidP="00660FA4">
            <w:pPr>
              <w:autoSpaceDE w:val="0"/>
              <w:autoSpaceDN w:val="0"/>
              <w:adjustRightInd w:val="0"/>
              <w:spacing w:line="320" w:lineRule="atLeast"/>
              <w:ind w:left="60" w:right="60"/>
            </w:pPr>
            <w:r w:rsidRPr="00EA1AE7">
              <w:t>Medida Kaiser-Meyer-Olkin de adecuación de muestreo</w:t>
            </w:r>
          </w:p>
        </w:tc>
        <w:tc>
          <w:tcPr>
            <w:tcW w:w="2263" w:type="dxa"/>
            <w:shd w:val="clear" w:color="auto" w:fill="auto"/>
          </w:tcPr>
          <w:p w14:paraId="32C0CA8F" w14:textId="77777777" w:rsidR="00A7245A" w:rsidRPr="00EA1AE7" w:rsidRDefault="00A7245A" w:rsidP="00EA1AE7">
            <w:pPr>
              <w:autoSpaceDE w:val="0"/>
              <w:autoSpaceDN w:val="0"/>
              <w:adjustRightInd w:val="0"/>
              <w:spacing w:line="320" w:lineRule="atLeast"/>
              <w:ind w:left="60" w:right="60"/>
              <w:jc w:val="center"/>
            </w:pPr>
            <w:r w:rsidRPr="00EA1AE7">
              <w:t>.948</w:t>
            </w:r>
          </w:p>
        </w:tc>
      </w:tr>
      <w:tr w:rsidR="00A7245A" w:rsidRPr="00130E12" w14:paraId="2B76905E" w14:textId="77777777" w:rsidTr="00405B9A">
        <w:trPr>
          <w:cantSplit/>
        </w:trPr>
        <w:tc>
          <w:tcPr>
            <w:tcW w:w="3544" w:type="dxa"/>
            <w:vMerge w:val="restart"/>
            <w:shd w:val="clear" w:color="auto" w:fill="auto"/>
          </w:tcPr>
          <w:p w14:paraId="716A3EE6" w14:textId="77777777" w:rsidR="00A7245A" w:rsidRPr="00EA1AE7" w:rsidRDefault="00A7245A" w:rsidP="00660FA4">
            <w:pPr>
              <w:autoSpaceDE w:val="0"/>
              <w:autoSpaceDN w:val="0"/>
              <w:adjustRightInd w:val="0"/>
              <w:spacing w:line="320" w:lineRule="atLeast"/>
              <w:ind w:left="60" w:right="60"/>
            </w:pPr>
            <w:r w:rsidRPr="00EA1AE7">
              <w:t>Prueba de esfericidad de Bartlett</w:t>
            </w:r>
          </w:p>
        </w:tc>
        <w:tc>
          <w:tcPr>
            <w:tcW w:w="2835" w:type="dxa"/>
            <w:shd w:val="clear" w:color="auto" w:fill="auto"/>
          </w:tcPr>
          <w:p w14:paraId="13FBE4E2" w14:textId="77777777" w:rsidR="00A7245A" w:rsidRPr="00EA1AE7" w:rsidRDefault="00A7245A" w:rsidP="00660FA4">
            <w:pPr>
              <w:autoSpaceDE w:val="0"/>
              <w:autoSpaceDN w:val="0"/>
              <w:adjustRightInd w:val="0"/>
              <w:spacing w:line="320" w:lineRule="atLeast"/>
              <w:ind w:left="60" w:right="60"/>
            </w:pPr>
            <w:r w:rsidRPr="00EA1AE7">
              <w:t>Aprox. Chi-cuadrado</w:t>
            </w:r>
          </w:p>
        </w:tc>
        <w:tc>
          <w:tcPr>
            <w:tcW w:w="2263" w:type="dxa"/>
            <w:shd w:val="clear" w:color="auto" w:fill="auto"/>
          </w:tcPr>
          <w:p w14:paraId="41887829" w14:textId="77777777" w:rsidR="00A7245A" w:rsidRPr="00EA1AE7" w:rsidRDefault="00A7245A" w:rsidP="00EA1AE7">
            <w:pPr>
              <w:autoSpaceDE w:val="0"/>
              <w:autoSpaceDN w:val="0"/>
              <w:adjustRightInd w:val="0"/>
              <w:spacing w:line="320" w:lineRule="atLeast"/>
              <w:ind w:left="60" w:right="60"/>
              <w:jc w:val="center"/>
            </w:pPr>
            <w:r w:rsidRPr="00EA1AE7">
              <w:t>4935.564</w:t>
            </w:r>
          </w:p>
        </w:tc>
      </w:tr>
      <w:tr w:rsidR="00A7245A" w:rsidRPr="00130E12" w14:paraId="74E37FD1" w14:textId="77777777" w:rsidTr="00405B9A">
        <w:trPr>
          <w:cantSplit/>
        </w:trPr>
        <w:tc>
          <w:tcPr>
            <w:tcW w:w="3544" w:type="dxa"/>
            <w:vMerge/>
            <w:shd w:val="clear" w:color="auto" w:fill="auto"/>
          </w:tcPr>
          <w:p w14:paraId="7E8D26F5" w14:textId="77777777" w:rsidR="00A7245A" w:rsidRPr="00EA1AE7" w:rsidRDefault="00A7245A" w:rsidP="00660FA4">
            <w:pPr>
              <w:autoSpaceDE w:val="0"/>
              <w:autoSpaceDN w:val="0"/>
              <w:adjustRightInd w:val="0"/>
            </w:pPr>
          </w:p>
        </w:tc>
        <w:tc>
          <w:tcPr>
            <w:tcW w:w="2835" w:type="dxa"/>
            <w:shd w:val="clear" w:color="auto" w:fill="auto"/>
          </w:tcPr>
          <w:p w14:paraId="081C89C8" w14:textId="77777777" w:rsidR="00A7245A" w:rsidRPr="00EA1AE7" w:rsidRDefault="00A7245A" w:rsidP="00660FA4">
            <w:pPr>
              <w:autoSpaceDE w:val="0"/>
              <w:autoSpaceDN w:val="0"/>
              <w:adjustRightInd w:val="0"/>
              <w:spacing w:line="320" w:lineRule="atLeast"/>
              <w:ind w:left="60" w:right="60"/>
            </w:pPr>
            <w:r w:rsidRPr="00EA1AE7">
              <w:t>gl</w:t>
            </w:r>
          </w:p>
        </w:tc>
        <w:tc>
          <w:tcPr>
            <w:tcW w:w="2263" w:type="dxa"/>
            <w:shd w:val="clear" w:color="auto" w:fill="auto"/>
          </w:tcPr>
          <w:p w14:paraId="49DE6C09" w14:textId="77777777" w:rsidR="00A7245A" w:rsidRPr="00EA1AE7" w:rsidRDefault="00A7245A" w:rsidP="00EA1AE7">
            <w:pPr>
              <w:autoSpaceDE w:val="0"/>
              <w:autoSpaceDN w:val="0"/>
              <w:adjustRightInd w:val="0"/>
              <w:spacing w:line="320" w:lineRule="atLeast"/>
              <w:ind w:left="60" w:right="60"/>
              <w:jc w:val="center"/>
            </w:pPr>
            <w:r w:rsidRPr="00EA1AE7">
              <w:t>190</w:t>
            </w:r>
          </w:p>
        </w:tc>
      </w:tr>
      <w:tr w:rsidR="00A7245A" w:rsidRPr="00130E12" w14:paraId="55984DBC" w14:textId="77777777" w:rsidTr="00405B9A">
        <w:trPr>
          <w:cantSplit/>
        </w:trPr>
        <w:tc>
          <w:tcPr>
            <w:tcW w:w="3544" w:type="dxa"/>
            <w:vMerge/>
            <w:shd w:val="clear" w:color="auto" w:fill="auto"/>
          </w:tcPr>
          <w:p w14:paraId="56AB5A01" w14:textId="77777777" w:rsidR="00A7245A" w:rsidRPr="00EA1AE7" w:rsidRDefault="00A7245A" w:rsidP="00660FA4">
            <w:pPr>
              <w:autoSpaceDE w:val="0"/>
              <w:autoSpaceDN w:val="0"/>
              <w:adjustRightInd w:val="0"/>
            </w:pPr>
          </w:p>
        </w:tc>
        <w:tc>
          <w:tcPr>
            <w:tcW w:w="2835" w:type="dxa"/>
            <w:shd w:val="clear" w:color="auto" w:fill="auto"/>
          </w:tcPr>
          <w:p w14:paraId="06A8B38E" w14:textId="77777777" w:rsidR="00A7245A" w:rsidRPr="00EA1AE7" w:rsidRDefault="00A7245A" w:rsidP="00660FA4">
            <w:pPr>
              <w:autoSpaceDE w:val="0"/>
              <w:autoSpaceDN w:val="0"/>
              <w:adjustRightInd w:val="0"/>
              <w:spacing w:line="320" w:lineRule="atLeast"/>
              <w:ind w:left="60" w:right="60"/>
            </w:pPr>
            <w:r w:rsidRPr="00EA1AE7">
              <w:t>Sig.</w:t>
            </w:r>
          </w:p>
        </w:tc>
        <w:tc>
          <w:tcPr>
            <w:tcW w:w="2263" w:type="dxa"/>
            <w:shd w:val="clear" w:color="auto" w:fill="auto"/>
          </w:tcPr>
          <w:p w14:paraId="10FD043D" w14:textId="77777777" w:rsidR="00A7245A" w:rsidRPr="00EA1AE7" w:rsidRDefault="00A7245A" w:rsidP="00EA1AE7">
            <w:pPr>
              <w:autoSpaceDE w:val="0"/>
              <w:autoSpaceDN w:val="0"/>
              <w:adjustRightInd w:val="0"/>
              <w:spacing w:line="320" w:lineRule="atLeast"/>
              <w:ind w:left="60" w:right="60"/>
              <w:jc w:val="center"/>
            </w:pPr>
            <w:r w:rsidRPr="00EA1AE7">
              <w:t>&lt;.001</w:t>
            </w:r>
          </w:p>
        </w:tc>
      </w:tr>
    </w:tbl>
    <w:p w14:paraId="54EFD376" w14:textId="02434C15" w:rsidR="00C62DF7" w:rsidRDefault="00405B9A" w:rsidP="00405B9A">
      <w:pPr>
        <w:spacing w:line="360" w:lineRule="auto"/>
        <w:jc w:val="center"/>
        <w:rPr>
          <w:bCs/>
        </w:rPr>
      </w:pPr>
      <w:r w:rsidRPr="00405B9A">
        <w:rPr>
          <w:bCs/>
        </w:rPr>
        <w:t>Fuente: Elaboración propia</w:t>
      </w:r>
      <w:r>
        <w:rPr>
          <w:bCs/>
        </w:rPr>
        <w:t xml:space="preserve"> con base en los resultados arrojados por el SPSS versi</w:t>
      </w:r>
      <w:r w:rsidR="00252403">
        <w:rPr>
          <w:bCs/>
        </w:rPr>
        <w:t>ó</w:t>
      </w:r>
      <w:r>
        <w:rPr>
          <w:bCs/>
        </w:rPr>
        <w:t>n 27.</w:t>
      </w:r>
    </w:p>
    <w:p w14:paraId="28EB21E6" w14:textId="77777777" w:rsidR="00405B9A" w:rsidRDefault="00405B9A" w:rsidP="00405B9A">
      <w:pPr>
        <w:spacing w:line="360" w:lineRule="auto"/>
        <w:jc w:val="center"/>
        <w:rPr>
          <w:color w:val="000000"/>
        </w:rPr>
      </w:pPr>
    </w:p>
    <w:p w14:paraId="0BA68862" w14:textId="77777777" w:rsidR="005D63B3" w:rsidRDefault="005D63B3" w:rsidP="00405B9A">
      <w:pPr>
        <w:spacing w:line="360" w:lineRule="auto"/>
        <w:jc w:val="center"/>
        <w:rPr>
          <w:color w:val="000000"/>
        </w:rPr>
      </w:pPr>
    </w:p>
    <w:p w14:paraId="29DF004A" w14:textId="26A4D58B" w:rsidR="00C62DF7" w:rsidRPr="00405B9A" w:rsidRDefault="00C62DF7" w:rsidP="00405B9A">
      <w:pPr>
        <w:shd w:val="clear" w:color="auto" w:fill="FFFFFF"/>
        <w:spacing w:line="360" w:lineRule="auto"/>
        <w:jc w:val="center"/>
        <w:rPr>
          <w:b/>
          <w:bCs/>
          <w:color w:val="000000"/>
        </w:rPr>
      </w:pPr>
      <w:r w:rsidRPr="00EA1AE7">
        <w:rPr>
          <w:b/>
          <w:bCs/>
          <w:color w:val="000000"/>
        </w:rPr>
        <w:lastRenderedPageBreak/>
        <w:t xml:space="preserve">Tabla </w:t>
      </w:r>
      <w:r w:rsidR="006F2DBD">
        <w:rPr>
          <w:b/>
          <w:bCs/>
          <w:color w:val="000000"/>
        </w:rPr>
        <w:t>4</w:t>
      </w:r>
      <w:r w:rsidR="00405B9A">
        <w:rPr>
          <w:b/>
          <w:bCs/>
          <w:color w:val="000000"/>
        </w:rPr>
        <w:t xml:space="preserve">. </w:t>
      </w:r>
      <w:r w:rsidRPr="00681E99">
        <w:rPr>
          <w:color w:val="000000"/>
        </w:rPr>
        <w:t>Varianza total explicada</w:t>
      </w:r>
    </w:p>
    <w:tbl>
      <w:tblPr>
        <w:tblpPr w:leftFromText="141" w:rightFromText="141" w:vertAnchor="text" w:horzAnchor="margin" w:tblpY="157"/>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67"/>
        <w:gridCol w:w="1237"/>
        <w:gridCol w:w="2474"/>
        <w:gridCol w:w="2475"/>
      </w:tblGrid>
      <w:tr w:rsidR="00252403" w:rsidRPr="00130E12" w14:paraId="7CC1E67E" w14:textId="77777777" w:rsidTr="004C1575">
        <w:trPr>
          <w:cantSplit/>
          <w:trHeight w:val="321"/>
        </w:trPr>
        <w:tc>
          <w:tcPr>
            <w:tcW w:w="2467" w:type="dxa"/>
            <w:shd w:val="clear" w:color="auto" w:fill="auto"/>
            <w:vAlign w:val="bottom"/>
          </w:tcPr>
          <w:p w14:paraId="6B1ADF7C" w14:textId="77777777" w:rsidR="00252403" w:rsidRPr="00EA1AE7" w:rsidRDefault="00252403" w:rsidP="00C62DF7">
            <w:pPr>
              <w:autoSpaceDE w:val="0"/>
              <w:autoSpaceDN w:val="0"/>
              <w:adjustRightInd w:val="0"/>
              <w:jc w:val="center"/>
              <w:rPr>
                <w:sz w:val="22"/>
                <w:szCs w:val="22"/>
              </w:rPr>
            </w:pPr>
            <w:r w:rsidRPr="00EA1AE7">
              <w:rPr>
                <w:sz w:val="22"/>
                <w:szCs w:val="22"/>
              </w:rPr>
              <w:t>Componente</w:t>
            </w:r>
          </w:p>
        </w:tc>
        <w:tc>
          <w:tcPr>
            <w:tcW w:w="1237" w:type="dxa"/>
            <w:shd w:val="clear" w:color="auto" w:fill="auto"/>
            <w:vAlign w:val="bottom"/>
          </w:tcPr>
          <w:p w14:paraId="00FC98A1"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Total</w:t>
            </w:r>
          </w:p>
        </w:tc>
        <w:tc>
          <w:tcPr>
            <w:tcW w:w="2474" w:type="dxa"/>
            <w:shd w:val="clear" w:color="auto" w:fill="auto"/>
            <w:vAlign w:val="bottom"/>
          </w:tcPr>
          <w:p w14:paraId="75780046"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 de varianza</w:t>
            </w:r>
          </w:p>
        </w:tc>
        <w:tc>
          <w:tcPr>
            <w:tcW w:w="2475" w:type="dxa"/>
            <w:shd w:val="clear" w:color="auto" w:fill="auto"/>
            <w:vAlign w:val="bottom"/>
          </w:tcPr>
          <w:p w14:paraId="17AF6895"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 acumulado</w:t>
            </w:r>
          </w:p>
        </w:tc>
      </w:tr>
      <w:tr w:rsidR="00252403" w:rsidRPr="00130E12" w14:paraId="5481E564" w14:textId="77777777" w:rsidTr="004C1575">
        <w:trPr>
          <w:cantSplit/>
          <w:trHeight w:val="321"/>
        </w:trPr>
        <w:tc>
          <w:tcPr>
            <w:tcW w:w="2467" w:type="dxa"/>
            <w:shd w:val="clear" w:color="auto" w:fill="auto"/>
          </w:tcPr>
          <w:p w14:paraId="35B45A19"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1</w:t>
            </w:r>
          </w:p>
        </w:tc>
        <w:tc>
          <w:tcPr>
            <w:tcW w:w="1237" w:type="dxa"/>
            <w:shd w:val="clear" w:color="auto" w:fill="auto"/>
          </w:tcPr>
          <w:p w14:paraId="62F14154"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9.225</w:t>
            </w:r>
          </w:p>
        </w:tc>
        <w:tc>
          <w:tcPr>
            <w:tcW w:w="2474" w:type="dxa"/>
            <w:shd w:val="clear" w:color="auto" w:fill="auto"/>
          </w:tcPr>
          <w:p w14:paraId="5C6421F5"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46.125</w:t>
            </w:r>
          </w:p>
        </w:tc>
        <w:tc>
          <w:tcPr>
            <w:tcW w:w="2475" w:type="dxa"/>
            <w:shd w:val="clear" w:color="auto" w:fill="auto"/>
          </w:tcPr>
          <w:p w14:paraId="0877AA2B"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46.125</w:t>
            </w:r>
          </w:p>
        </w:tc>
      </w:tr>
      <w:tr w:rsidR="00252403" w:rsidRPr="00130E12" w14:paraId="24854F19" w14:textId="77777777" w:rsidTr="004C1575">
        <w:trPr>
          <w:cantSplit/>
          <w:trHeight w:val="310"/>
        </w:trPr>
        <w:tc>
          <w:tcPr>
            <w:tcW w:w="2467" w:type="dxa"/>
            <w:shd w:val="clear" w:color="auto" w:fill="auto"/>
          </w:tcPr>
          <w:p w14:paraId="164A1A80"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2</w:t>
            </w:r>
          </w:p>
        </w:tc>
        <w:tc>
          <w:tcPr>
            <w:tcW w:w="1237" w:type="dxa"/>
            <w:shd w:val="clear" w:color="auto" w:fill="auto"/>
          </w:tcPr>
          <w:p w14:paraId="33E76CEE"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1.488</w:t>
            </w:r>
          </w:p>
        </w:tc>
        <w:tc>
          <w:tcPr>
            <w:tcW w:w="2474" w:type="dxa"/>
            <w:shd w:val="clear" w:color="auto" w:fill="auto"/>
          </w:tcPr>
          <w:p w14:paraId="504AA46D"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7.442</w:t>
            </w:r>
          </w:p>
        </w:tc>
        <w:tc>
          <w:tcPr>
            <w:tcW w:w="2475" w:type="dxa"/>
            <w:shd w:val="clear" w:color="auto" w:fill="auto"/>
          </w:tcPr>
          <w:p w14:paraId="5A92CBC1"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53.567</w:t>
            </w:r>
          </w:p>
        </w:tc>
      </w:tr>
      <w:tr w:rsidR="00252403" w:rsidRPr="00130E12" w14:paraId="2C3F3B5F" w14:textId="77777777" w:rsidTr="004C1575">
        <w:trPr>
          <w:cantSplit/>
          <w:trHeight w:val="321"/>
        </w:trPr>
        <w:tc>
          <w:tcPr>
            <w:tcW w:w="2467" w:type="dxa"/>
            <w:shd w:val="clear" w:color="auto" w:fill="auto"/>
          </w:tcPr>
          <w:p w14:paraId="2938264F"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3</w:t>
            </w:r>
          </w:p>
        </w:tc>
        <w:tc>
          <w:tcPr>
            <w:tcW w:w="1237" w:type="dxa"/>
            <w:shd w:val="clear" w:color="auto" w:fill="auto"/>
          </w:tcPr>
          <w:p w14:paraId="6A226F53"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1.149</w:t>
            </w:r>
          </w:p>
        </w:tc>
        <w:tc>
          <w:tcPr>
            <w:tcW w:w="2474" w:type="dxa"/>
            <w:shd w:val="clear" w:color="auto" w:fill="auto"/>
          </w:tcPr>
          <w:p w14:paraId="4615C00F"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5.747</w:t>
            </w:r>
          </w:p>
        </w:tc>
        <w:tc>
          <w:tcPr>
            <w:tcW w:w="2475" w:type="dxa"/>
            <w:shd w:val="clear" w:color="auto" w:fill="auto"/>
          </w:tcPr>
          <w:p w14:paraId="4B75D16C" w14:textId="77777777" w:rsidR="00252403" w:rsidRPr="00EA1AE7" w:rsidRDefault="00252403" w:rsidP="00C62DF7">
            <w:pPr>
              <w:autoSpaceDE w:val="0"/>
              <w:autoSpaceDN w:val="0"/>
              <w:adjustRightInd w:val="0"/>
              <w:spacing w:line="320" w:lineRule="atLeast"/>
              <w:ind w:left="60" w:right="60"/>
              <w:jc w:val="center"/>
              <w:rPr>
                <w:sz w:val="22"/>
                <w:szCs w:val="22"/>
              </w:rPr>
            </w:pPr>
            <w:r w:rsidRPr="00EA1AE7">
              <w:rPr>
                <w:sz w:val="22"/>
                <w:szCs w:val="22"/>
              </w:rPr>
              <w:t>60.314</w:t>
            </w:r>
          </w:p>
        </w:tc>
      </w:tr>
    </w:tbl>
    <w:p w14:paraId="10D57DA3" w14:textId="618863C4" w:rsidR="00C62DF7" w:rsidRDefault="00405B9A" w:rsidP="00405B9A">
      <w:pPr>
        <w:spacing w:line="360" w:lineRule="auto"/>
        <w:jc w:val="center"/>
        <w:rPr>
          <w:color w:val="000000"/>
        </w:rPr>
      </w:pPr>
      <w:r w:rsidRPr="00405B9A">
        <w:rPr>
          <w:bCs/>
        </w:rPr>
        <w:t>Fuente: Elaboración propia</w:t>
      </w:r>
      <w:r>
        <w:rPr>
          <w:bCs/>
        </w:rPr>
        <w:t xml:space="preserve"> con base en los resultados arrojados por el SPSS versi</w:t>
      </w:r>
      <w:r w:rsidR="00252403">
        <w:rPr>
          <w:bCs/>
        </w:rPr>
        <w:t>ó</w:t>
      </w:r>
      <w:r>
        <w:rPr>
          <w:bCs/>
        </w:rPr>
        <w:t>n 27.</w:t>
      </w:r>
    </w:p>
    <w:p w14:paraId="01034DD8" w14:textId="4FB06801" w:rsidR="00EA1AE7" w:rsidRDefault="00A7245A" w:rsidP="00681E99">
      <w:pPr>
        <w:shd w:val="clear" w:color="auto" w:fill="FFFFFF"/>
        <w:spacing w:line="360" w:lineRule="auto"/>
        <w:ind w:firstLine="709"/>
        <w:jc w:val="both"/>
      </w:pPr>
      <w:r>
        <w:t xml:space="preserve">La rotación factorial realizada mediante el método varimax permite visualizar claramente cómo los ítems se agrupan de manera significativa en un solo factor, sin que ningún ítem tenga cargas significativas en más de uno de estos factores (ver Tabla </w:t>
      </w:r>
      <w:r w:rsidR="006F2DBD">
        <w:t>5</w:t>
      </w:r>
      <w:r>
        <w:t>).</w:t>
      </w:r>
    </w:p>
    <w:p w14:paraId="374BBD20" w14:textId="77777777" w:rsidR="00681E99" w:rsidRDefault="00681E99" w:rsidP="00681E99">
      <w:pPr>
        <w:shd w:val="clear" w:color="auto" w:fill="FFFFFF"/>
        <w:spacing w:line="360" w:lineRule="auto"/>
        <w:ind w:firstLine="709"/>
        <w:jc w:val="both"/>
      </w:pPr>
    </w:p>
    <w:p w14:paraId="1CFD95F7" w14:textId="418D7648" w:rsidR="00C62DF7" w:rsidRPr="00405B9A" w:rsidRDefault="00C62DF7" w:rsidP="00405B9A">
      <w:pPr>
        <w:shd w:val="clear" w:color="auto" w:fill="FFFFFF"/>
        <w:spacing w:line="360" w:lineRule="auto"/>
        <w:jc w:val="center"/>
        <w:rPr>
          <w:b/>
          <w:bCs/>
          <w:color w:val="000000"/>
        </w:rPr>
      </w:pPr>
      <w:r w:rsidRPr="00EA1AE7">
        <w:rPr>
          <w:b/>
          <w:bCs/>
          <w:color w:val="000000"/>
        </w:rPr>
        <w:t xml:space="preserve">Tabla </w:t>
      </w:r>
      <w:r w:rsidR="006F2DBD">
        <w:rPr>
          <w:b/>
          <w:bCs/>
          <w:color w:val="000000"/>
        </w:rPr>
        <w:t>5</w:t>
      </w:r>
      <w:r w:rsidR="00405B9A">
        <w:rPr>
          <w:b/>
          <w:bCs/>
          <w:color w:val="000000"/>
        </w:rPr>
        <w:t xml:space="preserve">.  </w:t>
      </w:r>
      <w:r w:rsidRPr="00681E99">
        <w:rPr>
          <w:color w:val="000000"/>
        </w:rPr>
        <w:t>Matriz de componentes rotados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4"/>
        <w:gridCol w:w="1976"/>
        <w:gridCol w:w="2835"/>
        <w:gridCol w:w="3119"/>
      </w:tblGrid>
      <w:tr w:rsidR="00C62DF7" w:rsidRPr="00681E99" w14:paraId="21C11CDA" w14:textId="77777777" w:rsidTr="00681E99">
        <w:trPr>
          <w:cantSplit/>
        </w:trPr>
        <w:tc>
          <w:tcPr>
            <w:tcW w:w="854" w:type="dxa"/>
            <w:vMerge w:val="restart"/>
            <w:shd w:val="clear" w:color="auto" w:fill="auto"/>
            <w:vAlign w:val="bottom"/>
          </w:tcPr>
          <w:p w14:paraId="476EDE20" w14:textId="77777777" w:rsidR="00C62DF7" w:rsidRPr="00681E99" w:rsidRDefault="00C62DF7" w:rsidP="00C62DF7">
            <w:pPr>
              <w:autoSpaceDE w:val="0"/>
              <w:autoSpaceDN w:val="0"/>
              <w:adjustRightInd w:val="0"/>
              <w:jc w:val="center"/>
              <w:rPr>
                <w:color w:val="000000"/>
              </w:rPr>
            </w:pPr>
          </w:p>
        </w:tc>
        <w:tc>
          <w:tcPr>
            <w:tcW w:w="7930" w:type="dxa"/>
            <w:gridSpan w:val="3"/>
            <w:shd w:val="clear" w:color="auto" w:fill="auto"/>
            <w:vAlign w:val="bottom"/>
          </w:tcPr>
          <w:p w14:paraId="034C50B7"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Componente</w:t>
            </w:r>
          </w:p>
        </w:tc>
      </w:tr>
      <w:tr w:rsidR="00C62DF7" w:rsidRPr="00681E99" w14:paraId="209ACFEE" w14:textId="77777777" w:rsidTr="00681E99">
        <w:trPr>
          <w:cantSplit/>
        </w:trPr>
        <w:tc>
          <w:tcPr>
            <w:tcW w:w="854" w:type="dxa"/>
            <w:vMerge/>
            <w:shd w:val="clear" w:color="auto" w:fill="auto"/>
            <w:vAlign w:val="bottom"/>
          </w:tcPr>
          <w:p w14:paraId="087C9CA9" w14:textId="77777777" w:rsidR="00C62DF7" w:rsidRPr="00681E99" w:rsidRDefault="00C62DF7" w:rsidP="00C62DF7">
            <w:pPr>
              <w:autoSpaceDE w:val="0"/>
              <w:autoSpaceDN w:val="0"/>
              <w:adjustRightInd w:val="0"/>
              <w:jc w:val="center"/>
              <w:rPr>
                <w:color w:val="000000"/>
              </w:rPr>
            </w:pPr>
          </w:p>
        </w:tc>
        <w:tc>
          <w:tcPr>
            <w:tcW w:w="1976" w:type="dxa"/>
            <w:shd w:val="clear" w:color="auto" w:fill="auto"/>
            <w:vAlign w:val="bottom"/>
          </w:tcPr>
          <w:p w14:paraId="2F92B21F"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Económico</w:t>
            </w:r>
          </w:p>
        </w:tc>
        <w:tc>
          <w:tcPr>
            <w:tcW w:w="2835" w:type="dxa"/>
            <w:shd w:val="clear" w:color="auto" w:fill="auto"/>
            <w:vAlign w:val="bottom"/>
          </w:tcPr>
          <w:p w14:paraId="29C827FA"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Medioambiental</w:t>
            </w:r>
          </w:p>
        </w:tc>
        <w:tc>
          <w:tcPr>
            <w:tcW w:w="3119" w:type="dxa"/>
            <w:shd w:val="clear" w:color="auto" w:fill="auto"/>
            <w:vAlign w:val="bottom"/>
          </w:tcPr>
          <w:p w14:paraId="7EB27E0E"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Social</w:t>
            </w:r>
          </w:p>
        </w:tc>
      </w:tr>
      <w:tr w:rsidR="00C62DF7" w:rsidRPr="00681E99" w14:paraId="46EE0A37" w14:textId="77777777" w:rsidTr="00681E99">
        <w:trPr>
          <w:cantSplit/>
        </w:trPr>
        <w:tc>
          <w:tcPr>
            <w:tcW w:w="854" w:type="dxa"/>
            <w:shd w:val="clear" w:color="auto" w:fill="auto"/>
          </w:tcPr>
          <w:p w14:paraId="6E27A637"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P8</w:t>
            </w:r>
          </w:p>
        </w:tc>
        <w:tc>
          <w:tcPr>
            <w:tcW w:w="1976" w:type="dxa"/>
            <w:shd w:val="clear" w:color="auto" w:fill="auto"/>
          </w:tcPr>
          <w:p w14:paraId="02207423" w14:textId="77777777" w:rsidR="00C62DF7" w:rsidRPr="00681E99" w:rsidRDefault="00C62DF7" w:rsidP="00C62DF7">
            <w:pPr>
              <w:autoSpaceDE w:val="0"/>
              <w:autoSpaceDN w:val="0"/>
              <w:adjustRightInd w:val="0"/>
              <w:jc w:val="center"/>
              <w:rPr>
                <w:color w:val="000000"/>
              </w:rPr>
            </w:pPr>
          </w:p>
        </w:tc>
        <w:tc>
          <w:tcPr>
            <w:tcW w:w="2835" w:type="dxa"/>
            <w:shd w:val="clear" w:color="auto" w:fill="auto"/>
          </w:tcPr>
          <w:p w14:paraId="32140269"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44AD499E"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.818</w:t>
            </w:r>
          </w:p>
        </w:tc>
      </w:tr>
      <w:tr w:rsidR="00C62DF7" w:rsidRPr="00681E99" w14:paraId="0469E6E1" w14:textId="77777777" w:rsidTr="00681E99">
        <w:trPr>
          <w:cantSplit/>
        </w:trPr>
        <w:tc>
          <w:tcPr>
            <w:tcW w:w="854" w:type="dxa"/>
            <w:shd w:val="clear" w:color="auto" w:fill="auto"/>
          </w:tcPr>
          <w:p w14:paraId="350AB553"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P9</w:t>
            </w:r>
          </w:p>
        </w:tc>
        <w:tc>
          <w:tcPr>
            <w:tcW w:w="1976" w:type="dxa"/>
            <w:shd w:val="clear" w:color="auto" w:fill="auto"/>
          </w:tcPr>
          <w:p w14:paraId="76DB06B8" w14:textId="77777777" w:rsidR="00C62DF7" w:rsidRPr="00681E99" w:rsidRDefault="00C62DF7" w:rsidP="00C62DF7">
            <w:pPr>
              <w:autoSpaceDE w:val="0"/>
              <w:autoSpaceDN w:val="0"/>
              <w:adjustRightInd w:val="0"/>
              <w:jc w:val="center"/>
              <w:rPr>
                <w:color w:val="000000"/>
              </w:rPr>
            </w:pPr>
          </w:p>
        </w:tc>
        <w:tc>
          <w:tcPr>
            <w:tcW w:w="2835" w:type="dxa"/>
            <w:shd w:val="clear" w:color="auto" w:fill="auto"/>
          </w:tcPr>
          <w:p w14:paraId="4B9DAB51"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7AC2209B"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.678</w:t>
            </w:r>
          </w:p>
        </w:tc>
      </w:tr>
      <w:tr w:rsidR="00C62DF7" w:rsidRPr="00681E99" w14:paraId="7E5367C6" w14:textId="77777777" w:rsidTr="00681E99">
        <w:trPr>
          <w:cantSplit/>
        </w:trPr>
        <w:tc>
          <w:tcPr>
            <w:tcW w:w="854" w:type="dxa"/>
            <w:shd w:val="clear" w:color="auto" w:fill="auto"/>
          </w:tcPr>
          <w:p w14:paraId="6DCAEFEC"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P10</w:t>
            </w:r>
          </w:p>
        </w:tc>
        <w:tc>
          <w:tcPr>
            <w:tcW w:w="1976" w:type="dxa"/>
            <w:shd w:val="clear" w:color="auto" w:fill="auto"/>
          </w:tcPr>
          <w:p w14:paraId="1D6314B1" w14:textId="77777777" w:rsidR="00C62DF7" w:rsidRPr="00681E99" w:rsidRDefault="00C62DF7" w:rsidP="00C62DF7">
            <w:pPr>
              <w:autoSpaceDE w:val="0"/>
              <w:autoSpaceDN w:val="0"/>
              <w:adjustRightInd w:val="0"/>
              <w:jc w:val="center"/>
              <w:rPr>
                <w:color w:val="000000"/>
              </w:rPr>
            </w:pPr>
          </w:p>
        </w:tc>
        <w:tc>
          <w:tcPr>
            <w:tcW w:w="2835" w:type="dxa"/>
            <w:shd w:val="clear" w:color="auto" w:fill="auto"/>
          </w:tcPr>
          <w:p w14:paraId="7D1D89C3"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713AF845"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.719</w:t>
            </w:r>
          </w:p>
        </w:tc>
      </w:tr>
      <w:tr w:rsidR="00C62DF7" w:rsidRPr="00681E99" w14:paraId="7E31A8CF" w14:textId="77777777" w:rsidTr="00681E99">
        <w:trPr>
          <w:cantSplit/>
        </w:trPr>
        <w:tc>
          <w:tcPr>
            <w:tcW w:w="854" w:type="dxa"/>
            <w:shd w:val="clear" w:color="auto" w:fill="auto"/>
          </w:tcPr>
          <w:p w14:paraId="60C108BE"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P14</w:t>
            </w:r>
          </w:p>
        </w:tc>
        <w:tc>
          <w:tcPr>
            <w:tcW w:w="1976" w:type="dxa"/>
            <w:shd w:val="clear" w:color="auto" w:fill="auto"/>
          </w:tcPr>
          <w:p w14:paraId="68795DED" w14:textId="77777777" w:rsidR="00C62DF7" w:rsidRPr="00681E99" w:rsidRDefault="00C62DF7" w:rsidP="00C62DF7">
            <w:pPr>
              <w:autoSpaceDE w:val="0"/>
              <w:autoSpaceDN w:val="0"/>
              <w:adjustRightInd w:val="0"/>
              <w:jc w:val="center"/>
              <w:rPr>
                <w:color w:val="000000"/>
              </w:rPr>
            </w:pPr>
          </w:p>
        </w:tc>
        <w:tc>
          <w:tcPr>
            <w:tcW w:w="2835" w:type="dxa"/>
            <w:shd w:val="clear" w:color="auto" w:fill="auto"/>
          </w:tcPr>
          <w:p w14:paraId="13154570"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3215823A" w14:textId="77777777" w:rsidR="00C62DF7" w:rsidRPr="00681E99" w:rsidRDefault="00C62DF7" w:rsidP="00C62DF7">
            <w:pPr>
              <w:autoSpaceDE w:val="0"/>
              <w:autoSpaceDN w:val="0"/>
              <w:adjustRightInd w:val="0"/>
              <w:jc w:val="center"/>
              <w:rPr>
                <w:color w:val="000000"/>
              </w:rPr>
            </w:pPr>
            <w:r w:rsidRPr="00681E99">
              <w:rPr>
                <w:color w:val="000000"/>
              </w:rPr>
              <w:t>.445</w:t>
            </w:r>
          </w:p>
        </w:tc>
      </w:tr>
      <w:tr w:rsidR="00C62DF7" w:rsidRPr="00681E99" w14:paraId="32E8AB00" w14:textId="77777777" w:rsidTr="00681E99">
        <w:trPr>
          <w:cantSplit/>
        </w:trPr>
        <w:tc>
          <w:tcPr>
            <w:tcW w:w="854" w:type="dxa"/>
            <w:shd w:val="clear" w:color="auto" w:fill="auto"/>
          </w:tcPr>
          <w:p w14:paraId="522600D0"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P16</w:t>
            </w:r>
          </w:p>
        </w:tc>
        <w:tc>
          <w:tcPr>
            <w:tcW w:w="1976" w:type="dxa"/>
            <w:shd w:val="clear" w:color="auto" w:fill="auto"/>
          </w:tcPr>
          <w:p w14:paraId="16FA0FE5"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.839</w:t>
            </w:r>
          </w:p>
        </w:tc>
        <w:tc>
          <w:tcPr>
            <w:tcW w:w="2835" w:type="dxa"/>
            <w:shd w:val="clear" w:color="auto" w:fill="auto"/>
          </w:tcPr>
          <w:p w14:paraId="12407FFD"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4F7ABE70" w14:textId="77777777" w:rsidR="00C62DF7" w:rsidRPr="00681E99" w:rsidRDefault="00C62DF7" w:rsidP="00C62DF7">
            <w:pPr>
              <w:autoSpaceDE w:val="0"/>
              <w:autoSpaceDN w:val="0"/>
              <w:adjustRightInd w:val="0"/>
              <w:jc w:val="center"/>
              <w:rPr>
                <w:color w:val="000000"/>
              </w:rPr>
            </w:pPr>
          </w:p>
        </w:tc>
      </w:tr>
      <w:tr w:rsidR="00C62DF7" w:rsidRPr="00681E99" w14:paraId="0273BDE7" w14:textId="77777777" w:rsidTr="00681E99">
        <w:trPr>
          <w:cantSplit/>
        </w:trPr>
        <w:tc>
          <w:tcPr>
            <w:tcW w:w="854" w:type="dxa"/>
            <w:shd w:val="clear" w:color="auto" w:fill="auto"/>
          </w:tcPr>
          <w:p w14:paraId="22F4F073"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P17</w:t>
            </w:r>
          </w:p>
        </w:tc>
        <w:tc>
          <w:tcPr>
            <w:tcW w:w="1976" w:type="dxa"/>
            <w:shd w:val="clear" w:color="auto" w:fill="auto"/>
          </w:tcPr>
          <w:p w14:paraId="29B93043"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.721</w:t>
            </w:r>
          </w:p>
        </w:tc>
        <w:tc>
          <w:tcPr>
            <w:tcW w:w="2835" w:type="dxa"/>
            <w:shd w:val="clear" w:color="auto" w:fill="auto"/>
          </w:tcPr>
          <w:p w14:paraId="407D54EE"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232FF917" w14:textId="77777777" w:rsidR="00C62DF7" w:rsidRPr="00681E99" w:rsidRDefault="00C62DF7" w:rsidP="00C62DF7">
            <w:pPr>
              <w:autoSpaceDE w:val="0"/>
              <w:autoSpaceDN w:val="0"/>
              <w:adjustRightInd w:val="0"/>
              <w:jc w:val="center"/>
              <w:rPr>
                <w:color w:val="000000"/>
              </w:rPr>
            </w:pPr>
          </w:p>
        </w:tc>
      </w:tr>
      <w:tr w:rsidR="00C62DF7" w:rsidRPr="00681E99" w14:paraId="734004D7" w14:textId="77777777" w:rsidTr="00681E99">
        <w:trPr>
          <w:cantSplit/>
        </w:trPr>
        <w:tc>
          <w:tcPr>
            <w:tcW w:w="854" w:type="dxa"/>
            <w:shd w:val="clear" w:color="auto" w:fill="auto"/>
          </w:tcPr>
          <w:p w14:paraId="2D48F287"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P18</w:t>
            </w:r>
          </w:p>
        </w:tc>
        <w:tc>
          <w:tcPr>
            <w:tcW w:w="1976" w:type="dxa"/>
            <w:shd w:val="clear" w:color="auto" w:fill="auto"/>
          </w:tcPr>
          <w:p w14:paraId="628CF3F1"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.697</w:t>
            </w:r>
          </w:p>
        </w:tc>
        <w:tc>
          <w:tcPr>
            <w:tcW w:w="2835" w:type="dxa"/>
            <w:shd w:val="clear" w:color="auto" w:fill="auto"/>
          </w:tcPr>
          <w:p w14:paraId="54775FA8"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029D9A95" w14:textId="77777777" w:rsidR="00C62DF7" w:rsidRPr="00681E99" w:rsidRDefault="00C62DF7" w:rsidP="00C62DF7">
            <w:pPr>
              <w:autoSpaceDE w:val="0"/>
              <w:autoSpaceDN w:val="0"/>
              <w:adjustRightInd w:val="0"/>
              <w:jc w:val="center"/>
              <w:rPr>
                <w:color w:val="000000"/>
              </w:rPr>
            </w:pPr>
          </w:p>
        </w:tc>
      </w:tr>
      <w:tr w:rsidR="00C62DF7" w:rsidRPr="00681E99" w14:paraId="5F42D9AE" w14:textId="77777777" w:rsidTr="00681E99">
        <w:trPr>
          <w:cantSplit/>
        </w:trPr>
        <w:tc>
          <w:tcPr>
            <w:tcW w:w="854" w:type="dxa"/>
            <w:shd w:val="clear" w:color="auto" w:fill="auto"/>
          </w:tcPr>
          <w:p w14:paraId="7A06AD95"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P19</w:t>
            </w:r>
          </w:p>
        </w:tc>
        <w:tc>
          <w:tcPr>
            <w:tcW w:w="1976" w:type="dxa"/>
            <w:shd w:val="clear" w:color="auto" w:fill="auto"/>
          </w:tcPr>
          <w:p w14:paraId="6D3E193F"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.572</w:t>
            </w:r>
          </w:p>
        </w:tc>
        <w:tc>
          <w:tcPr>
            <w:tcW w:w="2835" w:type="dxa"/>
            <w:shd w:val="clear" w:color="auto" w:fill="auto"/>
          </w:tcPr>
          <w:p w14:paraId="025B8A4A"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0CD4EADD" w14:textId="77777777" w:rsidR="00C62DF7" w:rsidRPr="00681E99" w:rsidRDefault="00C62DF7" w:rsidP="00C62DF7">
            <w:pPr>
              <w:autoSpaceDE w:val="0"/>
              <w:autoSpaceDN w:val="0"/>
              <w:adjustRightInd w:val="0"/>
              <w:jc w:val="center"/>
              <w:rPr>
                <w:color w:val="000000"/>
              </w:rPr>
            </w:pPr>
          </w:p>
        </w:tc>
      </w:tr>
      <w:tr w:rsidR="00C62DF7" w:rsidRPr="00681E99" w14:paraId="0BA7676E" w14:textId="77777777" w:rsidTr="00681E99">
        <w:trPr>
          <w:cantSplit/>
        </w:trPr>
        <w:tc>
          <w:tcPr>
            <w:tcW w:w="854" w:type="dxa"/>
            <w:shd w:val="clear" w:color="auto" w:fill="auto"/>
          </w:tcPr>
          <w:p w14:paraId="22A5DE4A"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P20</w:t>
            </w:r>
          </w:p>
        </w:tc>
        <w:tc>
          <w:tcPr>
            <w:tcW w:w="1976" w:type="dxa"/>
            <w:shd w:val="clear" w:color="auto" w:fill="auto"/>
          </w:tcPr>
          <w:p w14:paraId="504D91A0"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.786</w:t>
            </w:r>
          </w:p>
        </w:tc>
        <w:tc>
          <w:tcPr>
            <w:tcW w:w="2835" w:type="dxa"/>
            <w:shd w:val="clear" w:color="auto" w:fill="auto"/>
          </w:tcPr>
          <w:p w14:paraId="4AD891AC"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7159588F" w14:textId="77777777" w:rsidR="00C62DF7" w:rsidRPr="00681E99" w:rsidRDefault="00C62DF7" w:rsidP="00C62DF7">
            <w:pPr>
              <w:autoSpaceDE w:val="0"/>
              <w:autoSpaceDN w:val="0"/>
              <w:adjustRightInd w:val="0"/>
              <w:jc w:val="center"/>
              <w:rPr>
                <w:color w:val="000000"/>
              </w:rPr>
            </w:pPr>
          </w:p>
        </w:tc>
      </w:tr>
      <w:tr w:rsidR="00C62DF7" w:rsidRPr="00681E99" w14:paraId="3AA69C85" w14:textId="77777777" w:rsidTr="00681E99">
        <w:trPr>
          <w:cantSplit/>
        </w:trPr>
        <w:tc>
          <w:tcPr>
            <w:tcW w:w="854" w:type="dxa"/>
            <w:shd w:val="clear" w:color="auto" w:fill="auto"/>
          </w:tcPr>
          <w:p w14:paraId="303795A4"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P21</w:t>
            </w:r>
          </w:p>
        </w:tc>
        <w:tc>
          <w:tcPr>
            <w:tcW w:w="1976" w:type="dxa"/>
            <w:shd w:val="clear" w:color="auto" w:fill="auto"/>
          </w:tcPr>
          <w:p w14:paraId="5F7494A2"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.826</w:t>
            </w:r>
          </w:p>
        </w:tc>
        <w:tc>
          <w:tcPr>
            <w:tcW w:w="2835" w:type="dxa"/>
            <w:shd w:val="clear" w:color="auto" w:fill="auto"/>
          </w:tcPr>
          <w:p w14:paraId="167705D0"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6F26B2CF" w14:textId="77777777" w:rsidR="00C62DF7" w:rsidRPr="00681E99" w:rsidRDefault="00C62DF7" w:rsidP="00C62DF7">
            <w:pPr>
              <w:autoSpaceDE w:val="0"/>
              <w:autoSpaceDN w:val="0"/>
              <w:adjustRightInd w:val="0"/>
              <w:jc w:val="center"/>
              <w:rPr>
                <w:color w:val="000000"/>
              </w:rPr>
            </w:pPr>
          </w:p>
        </w:tc>
      </w:tr>
      <w:tr w:rsidR="00C62DF7" w:rsidRPr="00681E99" w14:paraId="3374F64F" w14:textId="77777777" w:rsidTr="00681E99">
        <w:trPr>
          <w:cantSplit/>
        </w:trPr>
        <w:tc>
          <w:tcPr>
            <w:tcW w:w="854" w:type="dxa"/>
            <w:shd w:val="clear" w:color="auto" w:fill="auto"/>
          </w:tcPr>
          <w:p w14:paraId="24CF74C2"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P22</w:t>
            </w:r>
          </w:p>
        </w:tc>
        <w:tc>
          <w:tcPr>
            <w:tcW w:w="1976" w:type="dxa"/>
            <w:shd w:val="clear" w:color="auto" w:fill="auto"/>
          </w:tcPr>
          <w:p w14:paraId="45BEF32B"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.745</w:t>
            </w:r>
          </w:p>
        </w:tc>
        <w:tc>
          <w:tcPr>
            <w:tcW w:w="2835" w:type="dxa"/>
            <w:shd w:val="clear" w:color="auto" w:fill="auto"/>
          </w:tcPr>
          <w:p w14:paraId="49839768"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58544201" w14:textId="77777777" w:rsidR="00C62DF7" w:rsidRPr="00681E99" w:rsidRDefault="00C62DF7" w:rsidP="00C62DF7">
            <w:pPr>
              <w:autoSpaceDE w:val="0"/>
              <w:autoSpaceDN w:val="0"/>
              <w:adjustRightInd w:val="0"/>
              <w:jc w:val="center"/>
              <w:rPr>
                <w:color w:val="000000"/>
              </w:rPr>
            </w:pPr>
          </w:p>
        </w:tc>
      </w:tr>
      <w:tr w:rsidR="00C62DF7" w:rsidRPr="00681E99" w14:paraId="76F83002" w14:textId="77777777" w:rsidTr="00681E99">
        <w:trPr>
          <w:cantSplit/>
        </w:trPr>
        <w:tc>
          <w:tcPr>
            <w:tcW w:w="854" w:type="dxa"/>
            <w:shd w:val="clear" w:color="auto" w:fill="auto"/>
          </w:tcPr>
          <w:p w14:paraId="2919F54A"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P23</w:t>
            </w:r>
          </w:p>
        </w:tc>
        <w:tc>
          <w:tcPr>
            <w:tcW w:w="1976" w:type="dxa"/>
            <w:shd w:val="clear" w:color="auto" w:fill="auto"/>
          </w:tcPr>
          <w:p w14:paraId="63E3E163"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.665</w:t>
            </w:r>
          </w:p>
        </w:tc>
        <w:tc>
          <w:tcPr>
            <w:tcW w:w="2835" w:type="dxa"/>
            <w:shd w:val="clear" w:color="auto" w:fill="auto"/>
          </w:tcPr>
          <w:p w14:paraId="384A7413"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1B53BFF7" w14:textId="77777777" w:rsidR="00C62DF7" w:rsidRPr="00681E99" w:rsidRDefault="00C62DF7" w:rsidP="00C62DF7">
            <w:pPr>
              <w:autoSpaceDE w:val="0"/>
              <w:autoSpaceDN w:val="0"/>
              <w:adjustRightInd w:val="0"/>
              <w:jc w:val="center"/>
              <w:rPr>
                <w:color w:val="000000"/>
              </w:rPr>
            </w:pPr>
          </w:p>
        </w:tc>
      </w:tr>
      <w:tr w:rsidR="00C62DF7" w:rsidRPr="00681E99" w14:paraId="48DB820C" w14:textId="77777777" w:rsidTr="00681E99">
        <w:trPr>
          <w:cantSplit/>
        </w:trPr>
        <w:tc>
          <w:tcPr>
            <w:tcW w:w="854" w:type="dxa"/>
            <w:shd w:val="clear" w:color="auto" w:fill="auto"/>
          </w:tcPr>
          <w:p w14:paraId="2A56AF4B"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P27</w:t>
            </w:r>
          </w:p>
        </w:tc>
        <w:tc>
          <w:tcPr>
            <w:tcW w:w="1976" w:type="dxa"/>
            <w:shd w:val="clear" w:color="auto" w:fill="auto"/>
          </w:tcPr>
          <w:p w14:paraId="5A8F9FBE" w14:textId="77777777" w:rsidR="00C62DF7" w:rsidRPr="00681E99" w:rsidRDefault="00C62DF7" w:rsidP="00C62DF7">
            <w:pPr>
              <w:autoSpaceDE w:val="0"/>
              <w:autoSpaceDN w:val="0"/>
              <w:adjustRightInd w:val="0"/>
              <w:jc w:val="center"/>
              <w:rPr>
                <w:color w:val="000000"/>
              </w:rPr>
            </w:pPr>
          </w:p>
        </w:tc>
        <w:tc>
          <w:tcPr>
            <w:tcW w:w="2835" w:type="dxa"/>
            <w:shd w:val="clear" w:color="auto" w:fill="auto"/>
          </w:tcPr>
          <w:p w14:paraId="52F03183"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.547</w:t>
            </w:r>
          </w:p>
        </w:tc>
        <w:tc>
          <w:tcPr>
            <w:tcW w:w="3119" w:type="dxa"/>
            <w:shd w:val="clear" w:color="auto" w:fill="auto"/>
          </w:tcPr>
          <w:p w14:paraId="63A8413C" w14:textId="77777777" w:rsidR="00C62DF7" w:rsidRPr="00681E99" w:rsidRDefault="00C62DF7" w:rsidP="00C62DF7">
            <w:pPr>
              <w:autoSpaceDE w:val="0"/>
              <w:autoSpaceDN w:val="0"/>
              <w:adjustRightInd w:val="0"/>
              <w:jc w:val="center"/>
              <w:rPr>
                <w:color w:val="000000"/>
              </w:rPr>
            </w:pPr>
          </w:p>
        </w:tc>
      </w:tr>
      <w:tr w:rsidR="00C62DF7" w:rsidRPr="00681E99" w14:paraId="43796C29" w14:textId="77777777" w:rsidTr="00681E99">
        <w:trPr>
          <w:cantSplit/>
        </w:trPr>
        <w:tc>
          <w:tcPr>
            <w:tcW w:w="854" w:type="dxa"/>
            <w:shd w:val="clear" w:color="auto" w:fill="auto"/>
          </w:tcPr>
          <w:p w14:paraId="2818EBBD"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P28</w:t>
            </w:r>
          </w:p>
        </w:tc>
        <w:tc>
          <w:tcPr>
            <w:tcW w:w="1976" w:type="dxa"/>
            <w:shd w:val="clear" w:color="auto" w:fill="auto"/>
          </w:tcPr>
          <w:p w14:paraId="5F188248" w14:textId="77777777" w:rsidR="00C62DF7" w:rsidRPr="00681E99" w:rsidRDefault="00C62DF7" w:rsidP="00C62DF7">
            <w:pPr>
              <w:autoSpaceDE w:val="0"/>
              <w:autoSpaceDN w:val="0"/>
              <w:adjustRightInd w:val="0"/>
              <w:jc w:val="center"/>
              <w:rPr>
                <w:color w:val="000000"/>
              </w:rPr>
            </w:pPr>
          </w:p>
        </w:tc>
        <w:tc>
          <w:tcPr>
            <w:tcW w:w="2835" w:type="dxa"/>
            <w:shd w:val="clear" w:color="auto" w:fill="auto"/>
          </w:tcPr>
          <w:p w14:paraId="4A4AEF14"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.693</w:t>
            </w:r>
          </w:p>
        </w:tc>
        <w:tc>
          <w:tcPr>
            <w:tcW w:w="3119" w:type="dxa"/>
            <w:shd w:val="clear" w:color="auto" w:fill="auto"/>
          </w:tcPr>
          <w:p w14:paraId="37C2B3D3" w14:textId="77777777" w:rsidR="00C62DF7" w:rsidRPr="00681E99" w:rsidRDefault="00C62DF7" w:rsidP="00C62DF7">
            <w:pPr>
              <w:autoSpaceDE w:val="0"/>
              <w:autoSpaceDN w:val="0"/>
              <w:adjustRightInd w:val="0"/>
              <w:jc w:val="center"/>
              <w:rPr>
                <w:color w:val="000000"/>
              </w:rPr>
            </w:pPr>
          </w:p>
        </w:tc>
      </w:tr>
      <w:tr w:rsidR="00C62DF7" w:rsidRPr="00681E99" w14:paraId="3D11D689" w14:textId="77777777" w:rsidTr="00681E99">
        <w:trPr>
          <w:cantSplit/>
        </w:trPr>
        <w:tc>
          <w:tcPr>
            <w:tcW w:w="854" w:type="dxa"/>
            <w:shd w:val="clear" w:color="auto" w:fill="auto"/>
          </w:tcPr>
          <w:p w14:paraId="243737D0" w14:textId="77777777" w:rsidR="00C62DF7" w:rsidRPr="00681E99" w:rsidRDefault="00C62DF7" w:rsidP="00C62DF7">
            <w:pPr>
              <w:autoSpaceDE w:val="0"/>
              <w:autoSpaceDN w:val="0"/>
              <w:adjustRightInd w:val="0"/>
              <w:spacing w:line="320" w:lineRule="atLeast"/>
              <w:ind w:left="60" w:right="60"/>
              <w:rPr>
                <w:color w:val="000000"/>
              </w:rPr>
            </w:pPr>
            <w:r w:rsidRPr="00681E99">
              <w:rPr>
                <w:color w:val="000000"/>
              </w:rPr>
              <w:t xml:space="preserve">  P29</w:t>
            </w:r>
          </w:p>
        </w:tc>
        <w:tc>
          <w:tcPr>
            <w:tcW w:w="1976" w:type="dxa"/>
            <w:shd w:val="clear" w:color="auto" w:fill="auto"/>
          </w:tcPr>
          <w:p w14:paraId="7564F502" w14:textId="77777777" w:rsidR="00C62DF7" w:rsidRPr="00681E99" w:rsidRDefault="00C62DF7" w:rsidP="00C62DF7">
            <w:pPr>
              <w:autoSpaceDE w:val="0"/>
              <w:autoSpaceDN w:val="0"/>
              <w:adjustRightInd w:val="0"/>
              <w:jc w:val="center"/>
              <w:rPr>
                <w:color w:val="000000"/>
              </w:rPr>
            </w:pPr>
          </w:p>
        </w:tc>
        <w:tc>
          <w:tcPr>
            <w:tcW w:w="2835" w:type="dxa"/>
            <w:shd w:val="clear" w:color="auto" w:fill="auto"/>
          </w:tcPr>
          <w:p w14:paraId="3D1854BF"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.624</w:t>
            </w:r>
          </w:p>
        </w:tc>
        <w:tc>
          <w:tcPr>
            <w:tcW w:w="3119" w:type="dxa"/>
            <w:shd w:val="clear" w:color="auto" w:fill="auto"/>
          </w:tcPr>
          <w:p w14:paraId="69780983" w14:textId="77777777" w:rsidR="00C62DF7" w:rsidRPr="00681E99" w:rsidRDefault="00C62DF7" w:rsidP="00C62DF7">
            <w:pPr>
              <w:autoSpaceDE w:val="0"/>
              <w:autoSpaceDN w:val="0"/>
              <w:adjustRightInd w:val="0"/>
              <w:jc w:val="center"/>
              <w:rPr>
                <w:color w:val="000000"/>
              </w:rPr>
            </w:pPr>
          </w:p>
        </w:tc>
      </w:tr>
      <w:tr w:rsidR="00C62DF7" w:rsidRPr="00681E99" w14:paraId="16B6FC65" w14:textId="77777777" w:rsidTr="00681E99">
        <w:trPr>
          <w:cantSplit/>
        </w:trPr>
        <w:tc>
          <w:tcPr>
            <w:tcW w:w="854" w:type="dxa"/>
            <w:shd w:val="clear" w:color="auto" w:fill="auto"/>
          </w:tcPr>
          <w:p w14:paraId="7060077B"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P30</w:t>
            </w:r>
          </w:p>
        </w:tc>
        <w:tc>
          <w:tcPr>
            <w:tcW w:w="1976" w:type="dxa"/>
            <w:shd w:val="clear" w:color="auto" w:fill="auto"/>
          </w:tcPr>
          <w:p w14:paraId="2F0BDEFD" w14:textId="77777777" w:rsidR="00C62DF7" w:rsidRPr="00681E99" w:rsidRDefault="00C62DF7" w:rsidP="00C62DF7">
            <w:pPr>
              <w:autoSpaceDE w:val="0"/>
              <w:autoSpaceDN w:val="0"/>
              <w:adjustRightInd w:val="0"/>
              <w:jc w:val="center"/>
              <w:rPr>
                <w:color w:val="000000"/>
              </w:rPr>
            </w:pPr>
          </w:p>
        </w:tc>
        <w:tc>
          <w:tcPr>
            <w:tcW w:w="2835" w:type="dxa"/>
            <w:shd w:val="clear" w:color="auto" w:fill="auto"/>
          </w:tcPr>
          <w:p w14:paraId="75765990"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.704</w:t>
            </w:r>
          </w:p>
        </w:tc>
        <w:tc>
          <w:tcPr>
            <w:tcW w:w="3119" w:type="dxa"/>
            <w:shd w:val="clear" w:color="auto" w:fill="auto"/>
          </w:tcPr>
          <w:p w14:paraId="5856D85B" w14:textId="77777777" w:rsidR="00C62DF7" w:rsidRPr="00681E99" w:rsidRDefault="00C62DF7" w:rsidP="00C62DF7">
            <w:pPr>
              <w:autoSpaceDE w:val="0"/>
              <w:autoSpaceDN w:val="0"/>
              <w:adjustRightInd w:val="0"/>
              <w:jc w:val="center"/>
              <w:rPr>
                <w:color w:val="000000"/>
              </w:rPr>
            </w:pPr>
          </w:p>
        </w:tc>
      </w:tr>
      <w:tr w:rsidR="00C62DF7" w:rsidRPr="00681E99" w14:paraId="62DBB894" w14:textId="77777777" w:rsidTr="00681E99">
        <w:trPr>
          <w:cantSplit/>
        </w:trPr>
        <w:tc>
          <w:tcPr>
            <w:tcW w:w="854" w:type="dxa"/>
            <w:shd w:val="clear" w:color="auto" w:fill="auto"/>
          </w:tcPr>
          <w:p w14:paraId="04FD604C"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P31</w:t>
            </w:r>
          </w:p>
        </w:tc>
        <w:tc>
          <w:tcPr>
            <w:tcW w:w="1976" w:type="dxa"/>
            <w:shd w:val="clear" w:color="auto" w:fill="auto"/>
          </w:tcPr>
          <w:p w14:paraId="07640088" w14:textId="77777777" w:rsidR="00C62DF7" w:rsidRPr="00681E99" w:rsidRDefault="00C62DF7" w:rsidP="00C62DF7">
            <w:pPr>
              <w:autoSpaceDE w:val="0"/>
              <w:autoSpaceDN w:val="0"/>
              <w:adjustRightInd w:val="0"/>
              <w:jc w:val="center"/>
              <w:rPr>
                <w:color w:val="000000"/>
              </w:rPr>
            </w:pPr>
          </w:p>
        </w:tc>
        <w:tc>
          <w:tcPr>
            <w:tcW w:w="2835" w:type="dxa"/>
            <w:shd w:val="clear" w:color="auto" w:fill="auto"/>
          </w:tcPr>
          <w:p w14:paraId="2275085F"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.790</w:t>
            </w:r>
          </w:p>
        </w:tc>
        <w:tc>
          <w:tcPr>
            <w:tcW w:w="3119" w:type="dxa"/>
            <w:shd w:val="clear" w:color="auto" w:fill="auto"/>
          </w:tcPr>
          <w:p w14:paraId="7ECEE95E" w14:textId="77777777" w:rsidR="00C62DF7" w:rsidRPr="00681E99" w:rsidRDefault="00C62DF7" w:rsidP="00C62DF7">
            <w:pPr>
              <w:autoSpaceDE w:val="0"/>
              <w:autoSpaceDN w:val="0"/>
              <w:adjustRightInd w:val="0"/>
              <w:jc w:val="center"/>
              <w:rPr>
                <w:color w:val="000000"/>
              </w:rPr>
            </w:pPr>
          </w:p>
        </w:tc>
      </w:tr>
      <w:tr w:rsidR="00C62DF7" w:rsidRPr="00681E99" w14:paraId="08048287" w14:textId="77777777" w:rsidTr="00681E99">
        <w:trPr>
          <w:cantSplit/>
        </w:trPr>
        <w:tc>
          <w:tcPr>
            <w:tcW w:w="854" w:type="dxa"/>
            <w:shd w:val="clear" w:color="auto" w:fill="auto"/>
          </w:tcPr>
          <w:p w14:paraId="2244E24E"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P33</w:t>
            </w:r>
          </w:p>
        </w:tc>
        <w:tc>
          <w:tcPr>
            <w:tcW w:w="1976" w:type="dxa"/>
            <w:shd w:val="clear" w:color="auto" w:fill="auto"/>
          </w:tcPr>
          <w:p w14:paraId="47AA8A53"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.581</w:t>
            </w:r>
          </w:p>
        </w:tc>
        <w:tc>
          <w:tcPr>
            <w:tcW w:w="2835" w:type="dxa"/>
            <w:shd w:val="clear" w:color="auto" w:fill="auto"/>
          </w:tcPr>
          <w:p w14:paraId="748970A2"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57B2F8ED" w14:textId="77777777" w:rsidR="00C62DF7" w:rsidRPr="00681E99" w:rsidRDefault="00C62DF7" w:rsidP="00C62DF7">
            <w:pPr>
              <w:autoSpaceDE w:val="0"/>
              <w:autoSpaceDN w:val="0"/>
              <w:adjustRightInd w:val="0"/>
              <w:jc w:val="center"/>
              <w:rPr>
                <w:color w:val="000000"/>
              </w:rPr>
            </w:pPr>
          </w:p>
        </w:tc>
      </w:tr>
      <w:tr w:rsidR="00C62DF7" w:rsidRPr="00681E99" w14:paraId="2C554C7A" w14:textId="77777777" w:rsidTr="00681E99">
        <w:trPr>
          <w:cantSplit/>
        </w:trPr>
        <w:tc>
          <w:tcPr>
            <w:tcW w:w="854" w:type="dxa"/>
            <w:shd w:val="clear" w:color="auto" w:fill="auto"/>
          </w:tcPr>
          <w:p w14:paraId="30103422"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P34</w:t>
            </w:r>
          </w:p>
        </w:tc>
        <w:tc>
          <w:tcPr>
            <w:tcW w:w="1976" w:type="dxa"/>
            <w:shd w:val="clear" w:color="auto" w:fill="auto"/>
          </w:tcPr>
          <w:p w14:paraId="78ACD3F1"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.731</w:t>
            </w:r>
          </w:p>
        </w:tc>
        <w:tc>
          <w:tcPr>
            <w:tcW w:w="2835" w:type="dxa"/>
            <w:shd w:val="clear" w:color="auto" w:fill="auto"/>
          </w:tcPr>
          <w:p w14:paraId="194BAB5B" w14:textId="77777777" w:rsidR="00C62DF7" w:rsidRPr="00681E99" w:rsidRDefault="00C62DF7" w:rsidP="00C62DF7">
            <w:pPr>
              <w:autoSpaceDE w:val="0"/>
              <w:autoSpaceDN w:val="0"/>
              <w:adjustRightInd w:val="0"/>
              <w:jc w:val="center"/>
              <w:rPr>
                <w:color w:val="000000"/>
              </w:rPr>
            </w:pPr>
          </w:p>
        </w:tc>
        <w:tc>
          <w:tcPr>
            <w:tcW w:w="3119" w:type="dxa"/>
            <w:shd w:val="clear" w:color="auto" w:fill="auto"/>
          </w:tcPr>
          <w:p w14:paraId="06F97DA1" w14:textId="77777777" w:rsidR="00C62DF7" w:rsidRPr="00681E99" w:rsidRDefault="00C62DF7" w:rsidP="00C62DF7">
            <w:pPr>
              <w:autoSpaceDE w:val="0"/>
              <w:autoSpaceDN w:val="0"/>
              <w:adjustRightInd w:val="0"/>
              <w:jc w:val="center"/>
              <w:rPr>
                <w:color w:val="000000"/>
              </w:rPr>
            </w:pPr>
          </w:p>
        </w:tc>
      </w:tr>
      <w:tr w:rsidR="00C62DF7" w:rsidRPr="00681E99" w14:paraId="329CE34F" w14:textId="77777777" w:rsidTr="00681E99">
        <w:trPr>
          <w:cantSplit/>
        </w:trPr>
        <w:tc>
          <w:tcPr>
            <w:tcW w:w="854" w:type="dxa"/>
            <w:shd w:val="clear" w:color="auto" w:fill="auto"/>
          </w:tcPr>
          <w:p w14:paraId="5F63A6A1"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P37</w:t>
            </w:r>
          </w:p>
        </w:tc>
        <w:tc>
          <w:tcPr>
            <w:tcW w:w="1976" w:type="dxa"/>
            <w:shd w:val="clear" w:color="auto" w:fill="auto"/>
          </w:tcPr>
          <w:p w14:paraId="0CFC652E" w14:textId="77777777" w:rsidR="00C62DF7" w:rsidRPr="00681E99" w:rsidRDefault="00C62DF7" w:rsidP="00C62DF7">
            <w:pPr>
              <w:autoSpaceDE w:val="0"/>
              <w:autoSpaceDN w:val="0"/>
              <w:adjustRightInd w:val="0"/>
              <w:jc w:val="center"/>
              <w:rPr>
                <w:color w:val="000000"/>
              </w:rPr>
            </w:pPr>
          </w:p>
        </w:tc>
        <w:tc>
          <w:tcPr>
            <w:tcW w:w="2835" w:type="dxa"/>
            <w:shd w:val="clear" w:color="auto" w:fill="auto"/>
          </w:tcPr>
          <w:p w14:paraId="49C23E66" w14:textId="77777777" w:rsidR="00C62DF7" w:rsidRPr="00681E99" w:rsidRDefault="00C62DF7" w:rsidP="00C62DF7">
            <w:pPr>
              <w:autoSpaceDE w:val="0"/>
              <w:autoSpaceDN w:val="0"/>
              <w:adjustRightInd w:val="0"/>
              <w:spacing w:line="320" w:lineRule="atLeast"/>
              <w:ind w:left="60" w:right="60"/>
              <w:jc w:val="center"/>
              <w:rPr>
                <w:color w:val="000000"/>
              </w:rPr>
            </w:pPr>
            <w:r w:rsidRPr="00681E99">
              <w:rPr>
                <w:color w:val="000000"/>
              </w:rPr>
              <w:t>.452</w:t>
            </w:r>
          </w:p>
        </w:tc>
        <w:tc>
          <w:tcPr>
            <w:tcW w:w="3119" w:type="dxa"/>
            <w:shd w:val="clear" w:color="auto" w:fill="auto"/>
          </w:tcPr>
          <w:p w14:paraId="3BE09ABC" w14:textId="77777777" w:rsidR="00C62DF7" w:rsidRPr="00681E99" w:rsidRDefault="00C62DF7" w:rsidP="00C62DF7">
            <w:pPr>
              <w:autoSpaceDE w:val="0"/>
              <w:autoSpaceDN w:val="0"/>
              <w:adjustRightInd w:val="0"/>
              <w:jc w:val="center"/>
              <w:rPr>
                <w:color w:val="000000"/>
              </w:rPr>
            </w:pPr>
          </w:p>
        </w:tc>
      </w:tr>
    </w:tbl>
    <w:p w14:paraId="355AE007" w14:textId="05628459" w:rsidR="00405B9A" w:rsidRPr="00405B9A" w:rsidRDefault="00405B9A" w:rsidP="00405B9A">
      <w:pPr>
        <w:spacing w:line="360" w:lineRule="auto"/>
        <w:jc w:val="center"/>
        <w:rPr>
          <w:b/>
        </w:rPr>
      </w:pPr>
      <w:r w:rsidRPr="00405B9A">
        <w:rPr>
          <w:bCs/>
        </w:rPr>
        <w:t>Fuente: Elaboración propia</w:t>
      </w:r>
      <w:r>
        <w:rPr>
          <w:bCs/>
        </w:rPr>
        <w:t xml:space="preserve"> con base en los resultados arrojados por el SPSS versi</w:t>
      </w:r>
      <w:r w:rsidR="00252403">
        <w:rPr>
          <w:bCs/>
        </w:rPr>
        <w:t>ó</w:t>
      </w:r>
      <w:r>
        <w:rPr>
          <w:bCs/>
        </w:rPr>
        <w:t>n 27.</w:t>
      </w:r>
    </w:p>
    <w:p w14:paraId="458717B1" w14:textId="6578D8D6" w:rsidR="00C62DF7" w:rsidRDefault="00A7245A" w:rsidP="00681E99">
      <w:pPr>
        <w:spacing w:line="360" w:lineRule="auto"/>
        <w:ind w:firstLine="709"/>
        <w:jc w:val="both"/>
      </w:pPr>
      <w:r>
        <w:t xml:space="preserve">En la Tabla </w:t>
      </w:r>
      <w:r w:rsidR="006F2DBD">
        <w:t>5</w:t>
      </w:r>
      <w:r>
        <w:t xml:space="preserve"> se muestra que los 20 ítems finales se distribuyeron en tres grupos o factores. De estos, 10 ítems pertenecen al factor económico, 6 ítems al factor medioambiental y 4 ítems al factor social. Es importante mencionar que, a pesar de aplicar el análisis factorial exploratorio (AFE), los constructos teóricos originales se mantuvieron sin cambios, lo que </w:t>
      </w:r>
      <w:r>
        <w:lastRenderedPageBreak/>
        <w:t>significa que se conservaron las tres dimensiones propuestas inicialmente: económica, medioambiental y social. Como resultado final, se conservaron 20 ítems de los 40 que se tenían originalmente, como se detalla en la Tabla 1.</w:t>
      </w:r>
    </w:p>
    <w:p w14:paraId="07AB93E1" w14:textId="2E39AD9E" w:rsidR="00681E99" w:rsidRDefault="00A7245A" w:rsidP="00681E99">
      <w:pPr>
        <w:spacing w:line="360" w:lineRule="auto"/>
        <w:ind w:firstLine="709"/>
        <w:jc w:val="both"/>
      </w:pPr>
      <w:r w:rsidRPr="00A7245A">
        <w:t xml:space="preserve">El análisis factorial confirmatorio (AFC) se utiliza para subsanar cualquier carencia identificada en el análisis factorial exploratorio, permitiendo la validación de las correlaciones y el ajuste del modelo planteado. Este método emplea diversos indicadores para evaluar la idoneidad del modelo, determinando así una solución confirmatoria de los factores propuestos, algo que no se puede obtener con métodos como </w:t>
      </w:r>
      <w:r w:rsidR="00827639">
        <w:t>el análisis de factores tradicionales o el análisis principal de componentes</w:t>
      </w:r>
      <w:r w:rsidRPr="00A7245A">
        <w:t xml:space="preserve">. La presentación gráfica del AFC se realiza a través de un diagrama de trayectoria (path diagram), donde los ítems son representados por rectángulos y </w:t>
      </w:r>
      <w:r w:rsidR="00C753C5">
        <w:t>los factores comunes se representan mediante elipses. Las flechas con una sola dirección señalan las relaciones entre los ítems y dichos factores</w:t>
      </w:r>
      <w:r w:rsidRPr="00A7245A">
        <w:t>, mientras que las flechas bidireccionales señalan las correlaciones existentes entre los distintos factores</w:t>
      </w:r>
      <w:r w:rsidR="00C753C5">
        <w:t xml:space="preserve"> que pueden ser</w:t>
      </w:r>
      <w:r w:rsidRPr="00A7245A">
        <w:t xml:space="preserve"> comunes (Joreskog, 1996). </w:t>
      </w:r>
      <w:r w:rsidR="00C753C5">
        <w:t xml:space="preserve">Los resultados del primer Análisis Factorial Confirmatorio (AFC) aplicado a las dimensiones de la responsabilidad social empresarial se representan en la Figura </w:t>
      </w:r>
      <w:r w:rsidR="006F2DBD">
        <w:t>2</w:t>
      </w:r>
      <w:r w:rsidR="00C753C5">
        <w:t>.</w:t>
      </w:r>
    </w:p>
    <w:p w14:paraId="2676718F" w14:textId="77777777" w:rsidR="00681E99" w:rsidRPr="00A7245A" w:rsidRDefault="00681E99" w:rsidP="00681E99">
      <w:pPr>
        <w:spacing w:line="360" w:lineRule="auto"/>
        <w:ind w:firstLine="709"/>
        <w:jc w:val="both"/>
      </w:pPr>
    </w:p>
    <w:p w14:paraId="6A8918F0" w14:textId="0AE27B3C" w:rsidR="005448C7" w:rsidRPr="00405B9A" w:rsidRDefault="00C62DF7" w:rsidP="00405B9A">
      <w:pPr>
        <w:jc w:val="center"/>
        <w:rPr>
          <w:b/>
          <w:bCs/>
        </w:rPr>
      </w:pPr>
      <w:r w:rsidRPr="005448C7">
        <w:rPr>
          <w:b/>
          <w:bCs/>
        </w:rPr>
        <w:t xml:space="preserve">Figura </w:t>
      </w:r>
      <w:r w:rsidR="006F2DBD">
        <w:rPr>
          <w:b/>
          <w:bCs/>
        </w:rPr>
        <w:t>2</w:t>
      </w:r>
      <w:r w:rsidR="00405B9A">
        <w:rPr>
          <w:b/>
          <w:bCs/>
        </w:rPr>
        <w:t xml:space="preserve">. </w:t>
      </w:r>
      <w:r w:rsidR="005448C7" w:rsidRPr="005448C7">
        <w:rPr>
          <w:i/>
          <w:iCs/>
        </w:rPr>
        <w:t>Item</w:t>
      </w:r>
      <w:r w:rsidR="005448C7">
        <w:rPr>
          <w:i/>
          <w:iCs/>
        </w:rPr>
        <w:t>s</w:t>
      </w:r>
      <w:r w:rsidR="005448C7" w:rsidRPr="005448C7">
        <w:rPr>
          <w:i/>
          <w:iCs/>
        </w:rPr>
        <w:t xml:space="preserve"> del análisis factorial exploratorio</w:t>
      </w:r>
    </w:p>
    <w:p w14:paraId="4069CEA4" w14:textId="1C01A201" w:rsidR="00C62DF7" w:rsidRDefault="005D63B3">
      <w:pPr>
        <w:shd w:val="clear" w:color="auto" w:fill="FFFFFF"/>
        <w:spacing w:line="360" w:lineRule="auto"/>
        <w:jc w:val="center"/>
        <w:rPr>
          <w:b/>
        </w:rPr>
      </w:pPr>
      <w:r w:rsidRPr="00FA3479">
        <w:rPr>
          <w:noProof/>
        </w:rPr>
        <w:drawing>
          <wp:anchor distT="0" distB="0" distL="114300" distR="114300" simplePos="0" relativeHeight="251658240" behindDoc="0" locked="0" layoutInCell="1" allowOverlap="1" wp14:anchorId="5C5BF1E6" wp14:editId="4524B3A9">
            <wp:simplePos x="0" y="0"/>
            <wp:positionH relativeFrom="column">
              <wp:posOffset>1059815</wp:posOffset>
            </wp:positionH>
            <wp:positionV relativeFrom="paragraph">
              <wp:posOffset>67945</wp:posOffset>
            </wp:positionV>
            <wp:extent cx="3581400" cy="3636645"/>
            <wp:effectExtent l="0" t="0" r="0" b="1905"/>
            <wp:wrapNone/>
            <wp:docPr id="15880164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16428" name=""/>
                    <pic:cNvPicPr/>
                  </pic:nvPicPr>
                  <pic:blipFill rotWithShape="1">
                    <a:blip r:embed="rId9">
                      <a:extLst>
                        <a:ext uri="{28A0092B-C50C-407E-A947-70E740481C1C}">
                          <a14:useLocalDpi xmlns:a14="http://schemas.microsoft.com/office/drawing/2010/main" val="0"/>
                        </a:ext>
                      </a:extLst>
                    </a:blip>
                    <a:srcRect l="17611" r="16792" b="1480"/>
                    <a:stretch/>
                  </pic:blipFill>
                  <pic:spPr bwMode="auto">
                    <a:xfrm>
                      <a:off x="0" y="0"/>
                      <a:ext cx="3581400" cy="3636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29399A" w14:textId="4BBD6AF3" w:rsidR="00C62DF7" w:rsidRDefault="00C62DF7">
      <w:pPr>
        <w:shd w:val="clear" w:color="auto" w:fill="FFFFFF"/>
        <w:spacing w:line="360" w:lineRule="auto"/>
        <w:jc w:val="center"/>
        <w:rPr>
          <w:b/>
        </w:rPr>
      </w:pPr>
    </w:p>
    <w:p w14:paraId="6693A27C" w14:textId="3F618A40" w:rsidR="00AE1CF2" w:rsidRDefault="00AE1CF2">
      <w:pPr>
        <w:shd w:val="clear" w:color="auto" w:fill="FFFFFF"/>
        <w:spacing w:line="360" w:lineRule="auto"/>
        <w:jc w:val="center"/>
        <w:rPr>
          <w:b/>
        </w:rPr>
      </w:pPr>
    </w:p>
    <w:p w14:paraId="48CD4B35" w14:textId="06168510" w:rsidR="00AE1CF2" w:rsidRDefault="00AE1CF2">
      <w:pPr>
        <w:shd w:val="clear" w:color="auto" w:fill="FFFFFF"/>
        <w:spacing w:line="360" w:lineRule="auto"/>
        <w:jc w:val="center"/>
        <w:rPr>
          <w:b/>
        </w:rPr>
      </w:pPr>
    </w:p>
    <w:p w14:paraId="06CB1A22" w14:textId="6108CCB5" w:rsidR="00AE1CF2" w:rsidRDefault="00AE1CF2">
      <w:pPr>
        <w:shd w:val="clear" w:color="auto" w:fill="FFFFFF"/>
        <w:spacing w:line="360" w:lineRule="auto"/>
        <w:jc w:val="center"/>
        <w:rPr>
          <w:b/>
        </w:rPr>
      </w:pPr>
    </w:p>
    <w:p w14:paraId="38B630B7" w14:textId="635C2685" w:rsidR="00AE1CF2" w:rsidRDefault="00AE1CF2">
      <w:pPr>
        <w:shd w:val="clear" w:color="auto" w:fill="FFFFFF"/>
        <w:spacing w:line="360" w:lineRule="auto"/>
        <w:jc w:val="center"/>
        <w:rPr>
          <w:b/>
        </w:rPr>
      </w:pPr>
    </w:p>
    <w:p w14:paraId="4077B652" w14:textId="77777777" w:rsidR="00AE1CF2" w:rsidRDefault="00AE1CF2">
      <w:pPr>
        <w:shd w:val="clear" w:color="auto" w:fill="FFFFFF"/>
        <w:spacing w:line="360" w:lineRule="auto"/>
        <w:jc w:val="center"/>
        <w:rPr>
          <w:b/>
        </w:rPr>
      </w:pPr>
    </w:p>
    <w:p w14:paraId="4B9A3976" w14:textId="2E7CDF2E" w:rsidR="00AE1CF2" w:rsidRDefault="00AE1CF2">
      <w:pPr>
        <w:shd w:val="clear" w:color="auto" w:fill="FFFFFF"/>
        <w:spacing w:line="360" w:lineRule="auto"/>
        <w:jc w:val="center"/>
        <w:rPr>
          <w:b/>
        </w:rPr>
      </w:pPr>
    </w:p>
    <w:p w14:paraId="769B3D41" w14:textId="77777777" w:rsidR="00AE1CF2" w:rsidRDefault="00AE1CF2">
      <w:pPr>
        <w:shd w:val="clear" w:color="auto" w:fill="FFFFFF"/>
        <w:spacing w:line="360" w:lineRule="auto"/>
        <w:jc w:val="center"/>
        <w:rPr>
          <w:b/>
        </w:rPr>
      </w:pPr>
    </w:p>
    <w:p w14:paraId="3C89DB34" w14:textId="4F99185A" w:rsidR="00AE1CF2" w:rsidRDefault="00AE1CF2">
      <w:pPr>
        <w:shd w:val="clear" w:color="auto" w:fill="FFFFFF"/>
        <w:spacing w:line="360" w:lineRule="auto"/>
        <w:jc w:val="center"/>
        <w:rPr>
          <w:b/>
        </w:rPr>
      </w:pPr>
    </w:p>
    <w:p w14:paraId="0FAB25A5" w14:textId="223105A6" w:rsidR="00AE1CF2" w:rsidRDefault="00AE1CF2">
      <w:pPr>
        <w:shd w:val="clear" w:color="auto" w:fill="FFFFFF"/>
        <w:spacing w:line="360" w:lineRule="auto"/>
        <w:jc w:val="center"/>
        <w:rPr>
          <w:b/>
        </w:rPr>
      </w:pPr>
    </w:p>
    <w:p w14:paraId="33CFF6EB" w14:textId="5306E2FB" w:rsidR="00AE1CF2" w:rsidRDefault="00AE1CF2">
      <w:pPr>
        <w:shd w:val="clear" w:color="auto" w:fill="FFFFFF"/>
        <w:spacing w:line="360" w:lineRule="auto"/>
        <w:jc w:val="center"/>
        <w:rPr>
          <w:b/>
        </w:rPr>
      </w:pPr>
    </w:p>
    <w:p w14:paraId="4C407641" w14:textId="2D9084DA" w:rsidR="00AE1CF2" w:rsidRDefault="00AE1CF2">
      <w:pPr>
        <w:shd w:val="clear" w:color="auto" w:fill="FFFFFF"/>
        <w:spacing w:line="360" w:lineRule="auto"/>
        <w:jc w:val="center"/>
        <w:rPr>
          <w:b/>
        </w:rPr>
      </w:pPr>
    </w:p>
    <w:p w14:paraId="60057021" w14:textId="1F0278F9" w:rsidR="00AE1CF2" w:rsidRDefault="00AE1CF2">
      <w:pPr>
        <w:shd w:val="clear" w:color="auto" w:fill="FFFFFF"/>
        <w:spacing w:line="360" w:lineRule="auto"/>
        <w:jc w:val="center"/>
        <w:rPr>
          <w:b/>
        </w:rPr>
      </w:pPr>
    </w:p>
    <w:p w14:paraId="4BFA3A61" w14:textId="73212E21" w:rsidR="00405B9A" w:rsidRPr="00405B9A" w:rsidRDefault="00405B9A" w:rsidP="00681E99">
      <w:pPr>
        <w:spacing w:line="360" w:lineRule="auto"/>
        <w:jc w:val="center"/>
        <w:rPr>
          <w:b/>
        </w:rPr>
      </w:pPr>
      <w:r w:rsidRPr="00405B9A">
        <w:rPr>
          <w:bCs/>
        </w:rPr>
        <w:t xml:space="preserve">Fuente: </w:t>
      </w:r>
      <w:r w:rsidR="00827639" w:rsidRPr="00405B9A">
        <w:rPr>
          <w:bCs/>
        </w:rPr>
        <w:t>Elaboración propia</w:t>
      </w:r>
      <w:r w:rsidR="00827639">
        <w:rPr>
          <w:bCs/>
        </w:rPr>
        <w:t xml:space="preserve"> </w:t>
      </w:r>
      <w:r w:rsidR="00827639">
        <w:t>basada en los resultados obtenidos de</w:t>
      </w:r>
      <w:r w:rsidR="00827639">
        <w:rPr>
          <w:bCs/>
        </w:rPr>
        <w:t xml:space="preserve"> AMOS versión 25.</w:t>
      </w:r>
    </w:p>
    <w:p w14:paraId="4781B67E" w14:textId="31E68ED6" w:rsidR="00C91D41" w:rsidRDefault="00A7245A" w:rsidP="00681E99">
      <w:pPr>
        <w:spacing w:line="360" w:lineRule="auto"/>
        <w:ind w:firstLine="709"/>
        <w:jc w:val="both"/>
      </w:pPr>
      <w:r w:rsidRPr="00A7245A">
        <w:lastRenderedPageBreak/>
        <w:t xml:space="preserve">Para determinar el modelo final, se emplearon criterios estadísticos que se detallan en la Tabla </w:t>
      </w:r>
      <w:r w:rsidR="006F2DBD">
        <w:t>6</w:t>
      </w:r>
      <w:r w:rsidRPr="00A7245A">
        <w:t xml:space="preserve">. En la primera corrida de ajuste, </w:t>
      </w:r>
      <w:r w:rsidR="005448C7">
        <w:t xml:space="preserve">dos de </w:t>
      </w:r>
      <w:r w:rsidRPr="00A7245A">
        <w:t xml:space="preserve">los criterios mostraron valores bajos y no alcanzaron el nivel requerido para ser aceptados. Por este motivo, se realizaron cuatro corridas adicionales de ajuste, afinando las medidas de bondad hasta obtener mejores resultados. </w:t>
      </w:r>
    </w:p>
    <w:p w14:paraId="26CBD5BE" w14:textId="77777777" w:rsidR="00681E99" w:rsidRDefault="00681E99" w:rsidP="00681E99">
      <w:pPr>
        <w:spacing w:line="360" w:lineRule="auto"/>
        <w:ind w:firstLine="709"/>
        <w:jc w:val="both"/>
      </w:pPr>
    </w:p>
    <w:p w14:paraId="52E85EA2" w14:textId="78AB6B68" w:rsidR="00C62DF7" w:rsidRPr="00405B9A" w:rsidRDefault="00C62DF7" w:rsidP="00405B9A">
      <w:pPr>
        <w:shd w:val="clear" w:color="auto" w:fill="FFFFFF"/>
        <w:spacing w:line="360" w:lineRule="auto"/>
        <w:jc w:val="center"/>
        <w:rPr>
          <w:b/>
        </w:rPr>
      </w:pPr>
      <w:r>
        <w:rPr>
          <w:b/>
        </w:rPr>
        <w:t xml:space="preserve">Tabla </w:t>
      </w:r>
      <w:r w:rsidR="006F2DBD">
        <w:rPr>
          <w:b/>
        </w:rPr>
        <w:t>6</w:t>
      </w:r>
      <w:r w:rsidR="00405B9A">
        <w:rPr>
          <w:b/>
        </w:rPr>
        <w:t>.</w:t>
      </w:r>
      <w:r w:rsidR="004C1575" w:rsidRPr="00C446EC">
        <w:rPr>
          <w:i/>
          <w:iCs/>
        </w:rPr>
        <w:t xml:space="preserve"> </w:t>
      </w:r>
      <w:r w:rsidR="004C1575" w:rsidRPr="00681E99">
        <w:t>Índices de ajuste en diferentes corridas del modelo confirmatorio</w:t>
      </w:r>
    </w:p>
    <w:tbl>
      <w:tblPr>
        <w:tblStyle w:val="Tablaconcuadrcula"/>
        <w:tblW w:w="0" w:type="auto"/>
        <w:tblLook w:val="04A0" w:firstRow="1" w:lastRow="0" w:firstColumn="1" w:lastColumn="0" w:noHBand="0" w:noVBand="1"/>
      </w:tblPr>
      <w:tblGrid>
        <w:gridCol w:w="1334"/>
        <w:gridCol w:w="1496"/>
        <w:gridCol w:w="1134"/>
        <w:gridCol w:w="1276"/>
        <w:gridCol w:w="2268"/>
        <w:gridCol w:w="1320"/>
      </w:tblGrid>
      <w:tr w:rsidR="00C91D41" w:rsidRPr="00681E99" w14:paraId="30B80FD4" w14:textId="77777777" w:rsidTr="00405B9A">
        <w:trPr>
          <w:trHeight w:val="666"/>
        </w:trPr>
        <w:tc>
          <w:tcPr>
            <w:tcW w:w="1334" w:type="dxa"/>
            <w:vMerge w:val="restart"/>
            <w:vAlign w:val="center"/>
          </w:tcPr>
          <w:p w14:paraId="37834CE9" w14:textId="77777777" w:rsidR="00C91D41" w:rsidRPr="00681E99" w:rsidRDefault="00C91D41" w:rsidP="00C62DF7">
            <w:pPr>
              <w:spacing w:line="360" w:lineRule="auto"/>
              <w:jc w:val="center"/>
              <w:rPr>
                <w:bCs/>
              </w:rPr>
            </w:pPr>
            <w:r w:rsidRPr="00681E99">
              <w:rPr>
                <w:bCs/>
              </w:rPr>
              <w:t>Análisis de ajuste</w:t>
            </w:r>
          </w:p>
        </w:tc>
        <w:tc>
          <w:tcPr>
            <w:tcW w:w="3906" w:type="dxa"/>
            <w:gridSpan w:val="3"/>
            <w:vAlign w:val="center"/>
          </w:tcPr>
          <w:p w14:paraId="432A5B3D" w14:textId="02845C40" w:rsidR="00C91D41" w:rsidRPr="00681E99" w:rsidRDefault="00C91D41" w:rsidP="00C62DF7">
            <w:pPr>
              <w:spacing w:line="360" w:lineRule="auto"/>
              <w:jc w:val="center"/>
              <w:rPr>
                <w:bCs/>
              </w:rPr>
            </w:pPr>
            <w:r w:rsidRPr="00681E99">
              <w:rPr>
                <w:bCs/>
              </w:rPr>
              <w:t xml:space="preserve">Indice de </w:t>
            </w:r>
            <w:r w:rsidR="00252403" w:rsidRPr="00681E99">
              <w:rPr>
                <w:bCs/>
              </w:rPr>
              <w:t>b</w:t>
            </w:r>
            <w:r w:rsidRPr="00681E99">
              <w:rPr>
                <w:bCs/>
              </w:rPr>
              <w:t>ondad de ajuste</w:t>
            </w:r>
          </w:p>
        </w:tc>
        <w:tc>
          <w:tcPr>
            <w:tcW w:w="2268" w:type="dxa"/>
            <w:vAlign w:val="center"/>
          </w:tcPr>
          <w:p w14:paraId="4AFB0FC5" w14:textId="77777777" w:rsidR="00C91D41" w:rsidRPr="00681E99" w:rsidRDefault="00C91D41" w:rsidP="00C62DF7">
            <w:pPr>
              <w:spacing w:line="360" w:lineRule="auto"/>
              <w:jc w:val="center"/>
              <w:rPr>
                <w:bCs/>
              </w:rPr>
            </w:pPr>
            <w:r w:rsidRPr="00681E99">
              <w:rPr>
                <w:bCs/>
              </w:rPr>
              <w:t>Error de aproximación cuadratico medio</w:t>
            </w:r>
          </w:p>
        </w:tc>
        <w:tc>
          <w:tcPr>
            <w:tcW w:w="1320" w:type="dxa"/>
            <w:vMerge w:val="restart"/>
            <w:vAlign w:val="center"/>
          </w:tcPr>
          <w:p w14:paraId="1C98E5E4" w14:textId="77777777" w:rsidR="00C91D41" w:rsidRPr="00681E99" w:rsidRDefault="00C91D41" w:rsidP="00C62DF7">
            <w:pPr>
              <w:spacing w:line="360" w:lineRule="auto"/>
              <w:jc w:val="center"/>
              <w:rPr>
                <w:bCs/>
              </w:rPr>
            </w:pPr>
            <w:r w:rsidRPr="00681E99">
              <w:rPr>
                <w:bCs/>
              </w:rPr>
              <w:t>Ajuste</w:t>
            </w:r>
          </w:p>
        </w:tc>
      </w:tr>
      <w:tr w:rsidR="00C91D41" w:rsidRPr="00681E99" w14:paraId="49C2F55C" w14:textId="77777777" w:rsidTr="00405B9A">
        <w:trPr>
          <w:trHeight w:val="392"/>
        </w:trPr>
        <w:tc>
          <w:tcPr>
            <w:tcW w:w="1334" w:type="dxa"/>
            <w:vMerge/>
          </w:tcPr>
          <w:p w14:paraId="2044141B" w14:textId="77777777" w:rsidR="00C91D41" w:rsidRPr="00681E99" w:rsidRDefault="00C91D41">
            <w:pPr>
              <w:spacing w:line="360" w:lineRule="auto"/>
              <w:jc w:val="center"/>
              <w:rPr>
                <w:bCs/>
              </w:rPr>
            </w:pPr>
          </w:p>
        </w:tc>
        <w:tc>
          <w:tcPr>
            <w:tcW w:w="1496" w:type="dxa"/>
            <w:vAlign w:val="center"/>
          </w:tcPr>
          <w:p w14:paraId="6EC40C59" w14:textId="6C00E547" w:rsidR="00C91D41" w:rsidRPr="00681E99" w:rsidRDefault="00C91D41" w:rsidP="00C91D41">
            <w:pPr>
              <w:spacing w:line="360" w:lineRule="auto"/>
              <w:jc w:val="center"/>
              <w:rPr>
                <w:bCs/>
              </w:rPr>
            </w:pPr>
            <w:r w:rsidRPr="00681E99">
              <w:rPr>
                <w:bCs/>
              </w:rPr>
              <w:t>CMIN/DF &lt;=2</w:t>
            </w:r>
          </w:p>
        </w:tc>
        <w:tc>
          <w:tcPr>
            <w:tcW w:w="1134" w:type="dxa"/>
            <w:vAlign w:val="center"/>
          </w:tcPr>
          <w:p w14:paraId="721AA98A" w14:textId="3C02FA36" w:rsidR="00C91D41" w:rsidRPr="00681E99" w:rsidRDefault="00C91D41" w:rsidP="00C91D41">
            <w:pPr>
              <w:spacing w:line="360" w:lineRule="auto"/>
              <w:jc w:val="center"/>
              <w:rPr>
                <w:bCs/>
              </w:rPr>
            </w:pPr>
            <w:r w:rsidRPr="00681E99">
              <w:rPr>
                <w:bCs/>
              </w:rPr>
              <w:t>GFI &gt;=.90</w:t>
            </w:r>
          </w:p>
        </w:tc>
        <w:tc>
          <w:tcPr>
            <w:tcW w:w="1276" w:type="dxa"/>
            <w:vAlign w:val="center"/>
          </w:tcPr>
          <w:p w14:paraId="03E7130A" w14:textId="559ED0F5" w:rsidR="00C91D41" w:rsidRPr="00681E99" w:rsidRDefault="00C91D41" w:rsidP="00C91D41">
            <w:pPr>
              <w:spacing w:line="360" w:lineRule="auto"/>
              <w:jc w:val="center"/>
              <w:rPr>
                <w:bCs/>
              </w:rPr>
            </w:pPr>
            <w:r w:rsidRPr="00681E99">
              <w:rPr>
                <w:bCs/>
              </w:rPr>
              <w:t>AGFI  &gt;=90</w:t>
            </w:r>
          </w:p>
        </w:tc>
        <w:tc>
          <w:tcPr>
            <w:tcW w:w="2268" w:type="dxa"/>
            <w:vAlign w:val="center"/>
          </w:tcPr>
          <w:p w14:paraId="52D21C81" w14:textId="15B4B598" w:rsidR="00C91D41" w:rsidRPr="00681E99" w:rsidRDefault="00C91D41" w:rsidP="00C91D41">
            <w:pPr>
              <w:spacing w:line="360" w:lineRule="auto"/>
              <w:jc w:val="center"/>
              <w:rPr>
                <w:bCs/>
              </w:rPr>
            </w:pPr>
            <w:r w:rsidRPr="00681E99">
              <w:rPr>
                <w:bCs/>
              </w:rPr>
              <w:t>RMSEA &lt;=.05</w:t>
            </w:r>
          </w:p>
        </w:tc>
        <w:tc>
          <w:tcPr>
            <w:tcW w:w="1320" w:type="dxa"/>
            <w:vMerge/>
          </w:tcPr>
          <w:p w14:paraId="619C71B4" w14:textId="77777777" w:rsidR="00C91D41" w:rsidRPr="00681E99" w:rsidRDefault="00C91D41" w:rsidP="00C62DF7">
            <w:pPr>
              <w:spacing w:line="360" w:lineRule="auto"/>
              <w:jc w:val="center"/>
              <w:rPr>
                <w:bCs/>
              </w:rPr>
            </w:pPr>
          </w:p>
        </w:tc>
      </w:tr>
      <w:tr w:rsidR="00C62DF7" w:rsidRPr="00681E99" w14:paraId="0F4556C5" w14:textId="77777777" w:rsidTr="00405B9A">
        <w:tc>
          <w:tcPr>
            <w:tcW w:w="1334" w:type="dxa"/>
          </w:tcPr>
          <w:p w14:paraId="2EA3B485" w14:textId="77777777" w:rsidR="00C62DF7" w:rsidRPr="00681E99" w:rsidRDefault="00C62DF7">
            <w:pPr>
              <w:spacing w:line="360" w:lineRule="auto"/>
              <w:jc w:val="center"/>
              <w:rPr>
                <w:bCs/>
              </w:rPr>
            </w:pPr>
            <w:r w:rsidRPr="00681E99">
              <w:rPr>
                <w:bCs/>
              </w:rPr>
              <w:t>Análisis 1</w:t>
            </w:r>
          </w:p>
        </w:tc>
        <w:tc>
          <w:tcPr>
            <w:tcW w:w="1496" w:type="dxa"/>
          </w:tcPr>
          <w:p w14:paraId="5951178D" w14:textId="77777777" w:rsidR="00C62DF7" w:rsidRPr="00681E99" w:rsidRDefault="00C62DF7">
            <w:pPr>
              <w:spacing w:line="360" w:lineRule="auto"/>
              <w:jc w:val="center"/>
              <w:rPr>
                <w:bCs/>
              </w:rPr>
            </w:pPr>
            <w:r w:rsidRPr="00681E99">
              <w:rPr>
                <w:bCs/>
              </w:rPr>
              <w:t>2.57</w:t>
            </w:r>
          </w:p>
        </w:tc>
        <w:tc>
          <w:tcPr>
            <w:tcW w:w="1134" w:type="dxa"/>
          </w:tcPr>
          <w:p w14:paraId="17014FC5" w14:textId="77777777" w:rsidR="00C62DF7" w:rsidRPr="00681E99" w:rsidRDefault="00C62DF7">
            <w:pPr>
              <w:spacing w:line="360" w:lineRule="auto"/>
              <w:jc w:val="center"/>
              <w:rPr>
                <w:bCs/>
              </w:rPr>
            </w:pPr>
            <w:r w:rsidRPr="00681E99">
              <w:rPr>
                <w:bCs/>
              </w:rPr>
              <w:t>.90</w:t>
            </w:r>
          </w:p>
        </w:tc>
        <w:tc>
          <w:tcPr>
            <w:tcW w:w="1276" w:type="dxa"/>
          </w:tcPr>
          <w:p w14:paraId="285E0059" w14:textId="77777777" w:rsidR="00C62DF7" w:rsidRPr="00681E99" w:rsidRDefault="00C62DF7">
            <w:pPr>
              <w:spacing w:line="360" w:lineRule="auto"/>
              <w:jc w:val="center"/>
              <w:rPr>
                <w:bCs/>
              </w:rPr>
            </w:pPr>
            <w:r w:rsidRPr="00681E99">
              <w:rPr>
                <w:bCs/>
              </w:rPr>
              <w:t>.875</w:t>
            </w:r>
          </w:p>
        </w:tc>
        <w:tc>
          <w:tcPr>
            <w:tcW w:w="2268" w:type="dxa"/>
          </w:tcPr>
          <w:p w14:paraId="3940309F" w14:textId="77777777" w:rsidR="00C62DF7" w:rsidRPr="00681E99" w:rsidRDefault="00C62DF7">
            <w:pPr>
              <w:spacing w:line="360" w:lineRule="auto"/>
              <w:jc w:val="center"/>
              <w:rPr>
                <w:bCs/>
              </w:rPr>
            </w:pPr>
            <w:r w:rsidRPr="00681E99">
              <w:rPr>
                <w:bCs/>
              </w:rPr>
              <w:t>.06</w:t>
            </w:r>
          </w:p>
        </w:tc>
        <w:tc>
          <w:tcPr>
            <w:tcW w:w="1320" w:type="dxa"/>
            <w:vAlign w:val="center"/>
          </w:tcPr>
          <w:p w14:paraId="6E9618E1" w14:textId="3C81EB57" w:rsidR="00C62DF7" w:rsidRPr="00681E99" w:rsidRDefault="00C62DF7" w:rsidP="00C62DF7">
            <w:pPr>
              <w:spacing w:line="360" w:lineRule="auto"/>
              <w:jc w:val="center"/>
              <w:rPr>
                <w:bCs/>
              </w:rPr>
            </w:pPr>
            <w:r w:rsidRPr="00681E99">
              <w:rPr>
                <w:bCs/>
              </w:rPr>
              <w:t>No</w:t>
            </w:r>
            <w:r w:rsidR="00C91D41" w:rsidRPr="00681E99">
              <w:rPr>
                <w:bCs/>
              </w:rPr>
              <w:t xml:space="preserve"> cumple</w:t>
            </w:r>
          </w:p>
        </w:tc>
      </w:tr>
      <w:tr w:rsidR="00C62DF7" w:rsidRPr="00681E99" w14:paraId="1D7133E8" w14:textId="77777777" w:rsidTr="00405B9A">
        <w:tc>
          <w:tcPr>
            <w:tcW w:w="1334" w:type="dxa"/>
          </w:tcPr>
          <w:p w14:paraId="721E6DC0" w14:textId="77777777" w:rsidR="00C62DF7" w:rsidRPr="00681E99" w:rsidRDefault="00C62DF7" w:rsidP="00C62DF7">
            <w:pPr>
              <w:spacing w:line="360" w:lineRule="auto"/>
              <w:jc w:val="center"/>
              <w:rPr>
                <w:bCs/>
              </w:rPr>
            </w:pPr>
            <w:r w:rsidRPr="00681E99">
              <w:rPr>
                <w:bCs/>
              </w:rPr>
              <w:t>Análisis 2</w:t>
            </w:r>
          </w:p>
        </w:tc>
        <w:tc>
          <w:tcPr>
            <w:tcW w:w="1496" w:type="dxa"/>
          </w:tcPr>
          <w:p w14:paraId="146542B5" w14:textId="77777777" w:rsidR="00C62DF7" w:rsidRPr="00681E99" w:rsidRDefault="00C62DF7" w:rsidP="00C62DF7">
            <w:pPr>
              <w:spacing w:line="360" w:lineRule="auto"/>
              <w:jc w:val="center"/>
              <w:rPr>
                <w:bCs/>
              </w:rPr>
            </w:pPr>
            <w:r w:rsidRPr="00681E99">
              <w:rPr>
                <w:bCs/>
              </w:rPr>
              <w:t>2.5</w:t>
            </w:r>
          </w:p>
        </w:tc>
        <w:tc>
          <w:tcPr>
            <w:tcW w:w="1134" w:type="dxa"/>
          </w:tcPr>
          <w:p w14:paraId="0BBCD939" w14:textId="77777777" w:rsidR="00C62DF7" w:rsidRPr="00681E99" w:rsidRDefault="00C62DF7" w:rsidP="00C62DF7">
            <w:pPr>
              <w:spacing w:line="360" w:lineRule="auto"/>
              <w:jc w:val="center"/>
              <w:rPr>
                <w:bCs/>
              </w:rPr>
            </w:pPr>
            <w:r w:rsidRPr="00681E99">
              <w:rPr>
                <w:bCs/>
              </w:rPr>
              <w:t>.90</w:t>
            </w:r>
          </w:p>
        </w:tc>
        <w:tc>
          <w:tcPr>
            <w:tcW w:w="1276" w:type="dxa"/>
          </w:tcPr>
          <w:p w14:paraId="66E60D69" w14:textId="77777777" w:rsidR="00C62DF7" w:rsidRPr="00681E99" w:rsidRDefault="00C62DF7" w:rsidP="00C62DF7">
            <w:pPr>
              <w:spacing w:line="360" w:lineRule="auto"/>
              <w:jc w:val="center"/>
              <w:rPr>
                <w:bCs/>
              </w:rPr>
            </w:pPr>
            <w:r w:rsidRPr="00681E99">
              <w:rPr>
                <w:bCs/>
              </w:rPr>
              <w:t>.88</w:t>
            </w:r>
          </w:p>
        </w:tc>
        <w:tc>
          <w:tcPr>
            <w:tcW w:w="2268" w:type="dxa"/>
          </w:tcPr>
          <w:p w14:paraId="229D6DB5" w14:textId="77777777" w:rsidR="00C62DF7" w:rsidRPr="00681E99" w:rsidRDefault="00C62DF7" w:rsidP="00C62DF7">
            <w:pPr>
              <w:spacing w:line="360" w:lineRule="auto"/>
              <w:jc w:val="center"/>
              <w:rPr>
                <w:bCs/>
              </w:rPr>
            </w:pPr>
            <w:r w:rsidRPr="00681E99">
              <w:rPr>
                <w:bCs/>
              </w:rPr>
              <w:t>.05</w:t>
            </w:r>
          </w:p>
        </w:tc>
        <w:tc>
          <w:tcPr>
            <w:tcW w:w="1320" w:type="dxa"/>
            <w:vAlign w:val="center"/>
          </w:tcPr>
          <w:p w14:paraId="0C867633" w14:textId="77BF7797" w:rsidR="00C62DF7" w:rsidRPr="00681E99" w:rsidRDefault="00C62DF7" w:rsidP="00C62DF7">
            <w:pPr>
              <w:jc w:val="center"/>
              <w:rPr>
                <w:bCs/>
              </w:rPr>
            </w:pPr>
            <w:r w:rsidRPr="00681E99">
              <w:rPr>
                <w:bCs/>
              </w:rPr>
              <w:t xml:space="preserve">No </w:t>
            </w:r>
            <w:r w:rsidR="00C91D41" w:rsidRPr="00681E99">
              <w:rPr>
                <w:bCs/>
              </w:rPr>
              <w:t>cumple</w:t>
            </w:r>
          </w:p>
        </w:tc>
      </w:tr>
      <w:tr w:rsidR="00C62DF7" w:rsidRPr="00681E99" w14:paraId="27AD00A5" w14:textId="77777777" w:rsidTr="00405B9A">
        <w:tc>
          <w:tcPr>
            <w:tcW w:w="1334" w:type="dxa"/>
          </w:tcPr>
          <w:p w14:paraId="1AE119A9" w14:textId="77777777" w:rsidR="00C62DF7" w:rsidRPr="00681E99" w:rsidRDefault="00C62DF7" w:rsidP="00C62DF7">
            <w:pPr>
              <w:spacing w:line="360" w:lineRule="auto"/>
              <w:jc w:val="center"/>
              <w:rPr>
                <w:bCs/>
              </w:rPr>
            </w:pPr>
            <w:r w:rsidRPr="00681E99">
              <w:rPr>
                <w:bCs/>
              </w:rPr>
              <w:t>Análisis 3</w:t>
            </w:r>
          </w:p>
        </w:tc>
        <w:tc>
          <w:tcPr>
            <w:tcW w:w="1496" w:type="dxa"/>
          </w:tcPr>
          <w:p w14:paraId="48A21BB8" w14:textId="77777777" w:rsidR="00C62DF7" w:rsidRPr="00681E99" w:rsidRDefault="00C62DF7" w:rsidP="00C62DF7">
            <w:pPr>
              <w:spacing w:line="360" w:lineRule="auto"/>
              <w:jc w:val="center"/>
              <w:rPr>
                <w:bCs/>
              </w:rPr>
            </w:pPr>
            <w:r w:rsidRPr="00681E99">
              <w:rPr>
                <w:bCs/>
              </w:rPr>
              <w:t>2.48</w:t>
            </w:r>
          </w:p>
        </w:tc>
        <w:tc>
          <w:tcPr>
            <w:tcW w:w="1134" w:type="dxa"/>
          </w:tcPr>
          <w:p w14:paraId="0E0E4BF2" w14:textId="77777777" w:rsidR="00C62DF7" w:rsidRPr="00681E99" w:rsidRDefault="00C62DF7" w:rsidP="00C62DF7">
            <w:pPr>
              <w:spacing w:line="360" w:lineRule="auto"/>
              <w:jc w:val="center"/>
              <w:rPr>
                <w:bCs/>
              </w:rPr>
            </w:pPr>
            <w:r w:rsidRPr="00681E99">
              <w:rPr>
                <w:bCs/>
              </w:rPr>
              <w:t>.91</w:t>
            </w:r>
          </w:p>
        </w:tc>
        <w:tc>
          <w:tcPr>
            <w:tcW w:w="1276" w:type="dxa"/>
          </w:tcPr>
          <w:p w14:paraId="55843E2E" w14:textId="77777777" w:rsidR="00C62DF7" w:rsidRPr="00681E99" w:rsidRDefault="00C62DF7" w:rsidP="00C62DF7">
            <w:pPr>
              <w:spacing w:line="360" w:lineRule="auto"/>
              <w:jc w:val="center"/>
              <w:rPr>
                <w:bCs/>
              </w:rPr>
            </w:pPr>
            <w:r w:rsidRPr="00681E99">
              <w:rPr>
                <w:bCs/>
              </w:rPr>
              <w:t>.89</w:t>
            </w:r>
          </w:p>
        </w:tc>
        <w:tc>
          <w:tcPr>
            <w:tcW w:w="2268" w:type="dxa"/>
          </w:tcPr>
          <w:p w14:paraId="4D525E8D" w14:textId="77777777" w:rsidR="00C62DF7" w:rsidRPr="00681E99" w:rsidRDefault="00C62DF7" w:rsidP="00C62DF7">
            <w:pPr>
              <w:spacing w:line="360" w:lineRule="auto"/>
              <w:jc w:val="center"/>
              <w:rPr>
                <w:bCs/>
              </w:rPr>
            </w:pPr>
            <w:r w:rsidRPr="00681E99">
              <w:rPr>
                <w:bCs/>
              </w:rPr>
              <w:t>.05</w:t>
            </w:r>
          </w:p>
        </w:tc>
        <w:tc>
          <w:tcPr>
            <w:tcW w:w="1320" w:type="dxa"/>
            <w:vAlign w:val="center"/>
          </w:tcPr>
          <w:p w14:paraId="6C021A04" w14:textId="24EB4ED5" w:rsidR="00C62DF7" w:rsidRPr="00681E99" w:rsidRDefault="00C62DF7" w:rsidP="00C62DF7">
            <w:pPr>
              <w:jc w:val="center"/>
              <w:rPr>
                <w:bCs/>
              </w:rPr>
            </w:pPr>
            <w:r w:rsidRPr="00681E99">
              <w:rPr>
                <w:bCs/>
              </w:rPr>
              <w:t xml:space="preserve">No </w:t>
            </w:r>
            <w:r w:rsidR="00C91D41" w:rsidRPr="00681E99">
              <w:rPr>
                <w:bCs/>
              </w:rPr>
              <w:t>cumple</w:t>
            </w:r>
          </w:p>
        </w:tc>
      </w:tr>
      <w:tr w:rsidR="00C62DF7" w:rsidRPr="00681E99" w14:paraId="23BAAE7E" w14:textId="77777777" w:rsidTr="00405B9A">
        <w:tc>
          <w:tcPr>
            <w:tcW w:w="1334" w:type="dxa"/>
          </w:tcPr>
          <w:p w14:paraId="32FE70B7" w14:textId="77777777" w:rsidR="00C62DF7" w:rsidRPr="00681E99" w:rsidRDefault="00C62DF7" w:rsidP="00C62DF7">
            <w:pPr>
              <w:spacing w:line="360" w:lineRule="auto"/>
              <w:jc w:val="center"/>
              <w:rPr>
                <w:bCs/>
              </w:rPr>
            </w:pPr>
            <w:r w:rsidRPr="00681E99">
              <w:rPr>
                <w:bCs/>
              </w:rPr>
              <w:t>Análisis 4</w:t>
            </w:r>
          </w:p>
        </w:tc>
        <w:tc>
          <w:tcPr>
            <w:tcW w:w="1496" w:type="dxa"/>
          </w:tcPr>
          <w:p w14:paraId="6636EDDA" w14:textId="77777777" w:rsidR="00C62DF7" w:rsidRPr="00681E99" w:rsidRDefault="00C62DF7" w:rsidP="00C62DF7">
            <w:pPr>
              <w:spacing w:line="360" w:lineRule="auto"/>
              <w:jc w:val="center"/>
              <w:rPr>
                <w:bCs/>
              </w:rPr>
            </w:pPr>
            <w:r w:rsidRPr="00681E99">
              <w:rPr>
                <w:bCs/>
              </w:rPr>
              <w:t>2.49</w:t>
            </w:r>
          </w:p>
        </w:tc>
        <w:tc>
          <w:tcPr>
            <w:tcW w:w="1134" w:type="dxa"/>
          </w:tcPr>
          <w:p w14:paraId="644FA813" w14:textId="77777777" w:rsidR="00C62DF7" w:rsidRPr="00681E99" w:rsidRDefault="00C62DF7" w:rsidP="00C62DF7">
            <w:pPr>
              <w:spacing w:line="360" w:lineRule="auto"/>
              <w:jc w:val="center"/>
              <w:rPr>
                <w:bCs/>
              </w:rPr>
            </w:pPr>
            <w:r w:rsidRPr="00681E99">
              <w:rPr>
                <w:bCs/>
              </w:rPr>
              <w:t>.91</w:t>
            </w:r>
          </w:p>
        </w:tc>
        <w:tc>
          <w:tcPr>
            <w:tcW w:w="1276" w:type="dxa"/>
          </w:tcPr>
          <w:p w14:paraId="5EEFBF9C" w14:textId="77777777" w:rsidR="00C62DF7" w:rsidRPr="00681E99" w:rsidRDefault="00C62DF7" w:rsidP="00C62DF7">
            <w:pPr>
              <w:spacing w:line="360" w:lineRule="auto"/>
              <w:jc w:val="center"/>
              <w:rPr>
                <w:bCs/>
              </w:rPr>
            </w:pPr>
            <w:r w:rsidRPr="00681E99">
              <w:rPr>
                <w:bCs/>
              </w:rPr>
              <w:t>.9</w:t>
            </w:r>
          </w:p>
        </w:tc>
        <w:tc>
          <w:tcPr>
            <w:tcW w:w="2268" w:type="dxa"/>
          </w:tcPr>
          <w:p w14:paraId="2E96B44A" w14:textId="77777777" w:rsidR="00C62DF7" w:rsidRPr="00681E99" w:rsidRDefault="00C62DF7" w:rsidP="00C62DF7">
            <w:pPr>
              <w:spacing w:line="360" w:lineRule="auto"/>
              <w:jc w:val="center"/>
              <w:rPr>
                <w:bCs/>
              </w:rPr>
            </w:pPr>
            <w:r w:rsidRPr="00681E99">
              <w:rPr>
                <w:bCs/>
              </w:rPr>
              <w:t>.05</w:t>
            </w:r>
          </w:p>
        </w:tc>
        <w:tc>
          <w:tcPr>
            <w:tcW w:w="1320" w:type="dxa"/>
            <w:vAlign w:val="center"/>
          </w:tcPr>
          <w:p w14:paraId="668F54F2" w14:textId="77777777" w:rsidR="00C62DF7" w:rsidRPr="00681E99" w:rsidRDefault="00C62DF7" w:rsidP="00C62DF7">
            <w:pPr>
              <w:spacing w:line="360" w:lineRule="auto"/>
              <w:jc w:val="center"/>
              <w:rPr>
                <w:bCs/>
              </w:rPr>
            </w:pPr>
            <w:r w:rsidRPr="00681E99">
              <w:rPr>
                <w:bCs/>
              </w:rPr>
              <w:t>Ajustado</w:t>
            </w:r>
          </w:p>
        </w:tc>
      </w:tr>
    </w:tbl>
    <w:p w14:paraId="79BC82ED" w14:textId="0F91B933" w:rsidR="00827639" w:rsidRPr="00405B9A" w:rsidRDefault="00405B9A" w:rsidP="00827639">
      <w:pPr>
        <w:spacing w:line="360" w:lineRule="auto"/>
        <w:jc w:val="center"/>
        <w:rPr>
          <w:b/>
        </w:rPr>
      </w:pPr>
      <w:r w:rsidRPr="00405B9A">
        <w:rPr>
          <w:bCs/>
        </w:rPr>
        <w:t xml:space="preserve">Fuente: </w:t>
      </w:r>
      <w:r w:rsidR="00827639" w:rsidRPr="00405B9A">
        <w:rPr>
          <w:bCs/>
        </w:rPr>
        <w:t>Elaboración propia</w:t>
      </w:r>
      <w:r w:rsidR="00827639">
        <w:rPr>
          <w:bCs/>
        </w:rPr>
        <w:t xml:space="preserve"> </w:t>
      </w:r>
      <w:r w:rsidR="00827639">
        <w:t>basada en los resultados obtenidos de</w:t>
      </w:r>
      <w:r w:rsidR="00827639">
        <w:rPr>
          <w:bCs/>
        </w:rPr>
        <w:t xml:space="preserve"> AMOS versión 25.</w:t>
      </w:r>
    </w:p>
    <w:p w14:paraId="137B61D1" w14:textId="52AACBEA" w:rsidR="00C91D41" w:rsidRPr="00C91D41" w:rsidRDefault="00A7245A" w:rsidP="00681E99">
      <w:pPr>
        <w:shd w:val="clear" w:color="auto" w:fill="FFFFFF"/>
        <w:spacing w:line="360" w:lineRule="auto"/>
        <w:ind w:firstLine="709"/>
        <w:jc w:val="both"/>
      </w:pPr>
      <w:r>
        <w:t xml:space="preserve">Se procedió a revisar las covarianzas de los residuos estandarizados, </w:t>
      </w:r>
      <w:r w:rsidR="00EE5094">
        <w:t>estableciendo como condición que todos los ítems presentaran valores inferiores a</w:t>
      </w:r>
      <w:r>
        <w:t xml:space="preserve"> 2.58. En caso de no cumplir con este criterio, el ítem era descartado del modelo. Para mejorar el ajuste del modelo, se llevaron a cabo tres rondas de ajuste, eliminando en cada una de ellas el ítem que presentaba el coeficiente más alto en el análisis. L</w:t>
      </w:r>
      <w:r w:rsidR="00EE5094">
        <w:t>a</w:t>
      </w:r>
      <w:r>
        <w:t xml:space="preserve">s </w:t>
      </w:r>
      <w:r w:rsidR="00EE5094">
        <w:t>preguntas</w:t>
      </w:r>
      <w:r>
        <w:t xml:space="preserve"> que fueron excluidos correspondieron a los números 14, 8 y 33, con coeficientes de 5.83, 3.68 y 3.068, respectivamente. Como resultado final, quedaron </w:t>
      </w:r>
      <w:r w:rsidRPr="008D113E">
        <w:t>17 ítems que mostraron coeficientes dentro de los límites aceptables, todos menores a 2.58</w:t>
      </w:r>
      <w:r w:rsidR="00C91D41" w:rsidRPr="008D113E">
        <w:t xml:space="preserve"> </w:t>
      </w:r>
      <w:r w:rsidR="00D903B1" w:rsidRPr="008D113E">
        <w:t xml:space="preserve"> en ell análisis 4 (ver tabla </w:t>
      </w:r>
      <w:r w:rsidR="006F2DBD">
        <w:t>7</w:t>
      </w:r>
      <w:r w:rsidR="00D903B1" w:rsidRPr="008D113E">
        <w:t>)</w:t>
      </w:r>
      <w:r w:rsidRPr="008D113E">
        <w:t>. Adicionalmente, los índices de bon</w:t>
      </w:r>
      <w:r>
        <w:t>dad de ajuste confirmaron que el modelo cumplía con los criterios de generalización, conforme a los umbrales sugeridos por Hair et al. (2010).</w:t>
      </w:r>
    </w:p>
    <w:p w14:paraId="4642FAEA" w14:textId="77777777" w:rsidR="00D903B1" w:rsidRDefault="00D903B1" w:rsidP="00AE1CF2">
      <w:pPr>
        <w:shd w:val="clear" w:color="auto" w:fill="FFFFFF"/>
        <w:spacing w:line="360" w:lineRule="auto"/>
        <w:rPr>
          <w:b/>
        </w:rPr>
      </w:pPr>
    </w:p>
    <w:p w14:paraId="668E552C" w14:textId="77777777" w:rsidR="005D63B3" w:rsidRDefault="005D63B3" w:rsidP="00AE1CF2">
      <w:pPr>
        <w:shd w:val="clear" w:color="auto" w:fill="FFFFFF"/>
        <w:spacing w:line="360" w:lineRule="auto"/>
        <w:rPr>
          <w:b/>
        </w:rPr>
      </w:pPr>
    </w:p>
    <w:p w14:paraId="5D330FE7" w14:textId="77777777" w:rsidR="005D63B3" w:rsidRDefault="005D63B3" w:rsidP="00AE1CF2">
      <w:pPr>
        <w:shd w:val="clear" w:color="auto" w:fill="FFFFFF"/>
        <w:spacing w:line="360" w:lineRule="auto"/>
        <w:rPr>
          <w:b/>
        </w:rPr>
      </w:pPr>
    </w:p>
    <w:p w14:paraId="1B9733F9" w14:textId="77777777" w:rsidR="005D63B3" w:rsidRDefault="005D63B3" w:rsidP="00AE1CF2">
      <w:pPr>
        <w:shd w:val="clear" w:color="auto" w:fill="FFFFFF"/>
        <w:spacing w:line="360" w:lineRule="auto"/>
        <w:rPr>
          <w:b/>
        </w:rPr>
      </w:pPr>
    </w:p>
    <w:p w14:paraId="41F1F010" w14:textId="77777777" w:rsidR="005D63B3" w:rsidRDefault="005D63B3" w:rsidP="00AE1CF2">
      <w:pPr>
        <w:shd w:val="clear" w:color="auto" w:fill="FFFFFF"/>
        <w:spacing w:line="360" w:lineRule="auto"/>
        <w:rPr>
          <w:b/>
        </w:rPr>
      </w:pPr>
    </w:p>
    <w:p w14:paraId="5A562339" w14:textId="77777777" w:rsidR="005D63B3" w:rsidRDefault="005D63B3" w:rsidP="00AE1CF2">
      <w:pPr>
        <w:shd w:val="clear" w:color="auto" w:fill="FFFFFF"/>
        <w:spacing w:line="360" w:lineRule="auto"/>
        <w:rPr>
          <w:b/>
        </w:rPr>
      </w:pPr>
    </w:p>
    <w:p w14:paraId="65F16ED7" w14:textId="10F5B138" w:rsidR="00C62DF7" w:rsidRPr="00405B9A" w:rsidRDefault="00C62DF7" w:rsidP="00681E99">
      <w:pPr>
        <w:shd w:val="clear" w:color="auto" w:fill="FFFFFF"/>
        <w:spacing w:line="360" w:lineRule="auto"/>
        <w:jc w:val="center"/>
        <w:rPr>
          <w:b/>
        </w:rPr>
      </w:pPr>
      <w:r w:rsidRPr="00C91D41">
        <w:rPr>
          <w:b/>
        </w:rPr>
        <w:lastRenderedPageBreak/>
        <w:t xml:space="preserve">Tabla </w:t>
      </w:r>
      <w:r w:rsidR="006F2DBD">
        <w:rPr>
          <w:b/>
        </w:rPr>
        <w:t>7</w:t>
      </w:r>
      <w:r w:rsidR="00405B9A">
        <w:rPr>
          <w:b/>
        </w:rPr>
        <w:t xml:space="preserve">. </w:t>
      </w:r>
      <w:r w:rsidR="004C1575" w:rsidRPr="00681E99">
        <w:rPr>
          <w:bCs/>
        </w:rPr>
        <w:t>C</w:t>
      </w:r>
      <w:r w:rsidRPr="00681E99">
        <w:rPr>
          <w:bCs/>
        </w:rPr>
        <w:t>ovarianza de residuos estandarizados</w:t>
      </w:r>
      <w:r w:rsidR="004C1575" w:rsidRPr="00681E99">
        <w:t xml:space="preserve"> en las rondas de ajuste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6"/>
        <w:gridCol w:w="2224"/>
        <w:gridCol w:w="1843"/>
        <w:gridCol w:w="2268"/>
        <w:gridCol w:w="1843"/>
      </w:tblGrid>
      <w:tr w:rsidR="00C62DF7" w:rsidRPr="008A108D" w14:paraId="7D4AB0BC" w14:textId="77777777" w:rsidTr="00405B9A">
        <w:trPr>
          <w:trHeight w:val="320"/>
        </w:trPr>
        <w:tc>
          <w:tcPr>
            <w:tcW w:w="606" w:type="dxa"/>
            <w:shd w:val="clear" w:color="auto" w:fill="auto"/>
            <w:noWrap/>
            <w:vAlign w:val="bottom"/>
            <w:hideMark/>
          </w:tcPr>
          <w:p w14:paraId="7A3608FE" w14:textId="77777777" w:rsidR="00C62DF7" w:rsidRPr="008A108D" w:rsidRDefault="00C62DF7" w:rsidP="00660FA4">
            <w:pPr>
              <w:jc w:val="center"/>
              <w:rPr>
                <w:rFonts w:ascii="Aptos Narrow" w:hAnsi="Aptos Narrow"/>
                <w:color w:val="000000"/>
                <w:lang w:eastAsia="es-MX"/>
              </w:rPr>
            </w:pPr>
          </w:p>
        </w:tc>
        <w:tc>
          <w:tcPr>
            <w:tcW w:w="2224" w:type="dxa"/>
            <w:shd w:val="clear" w:color="auto" w:fill="auto"/>
            <w:noWrap/>
            <w:vAlign w:val="bottom"/>
            <w:hideMark/>
          </w:tcPr>
          <w:p w14:paraId="0603DEC7" w14:textId="77777777" w:rsidR="00C62DF7" w:rsidRPr="008A108D" w:rsidRDefault="00C62DF7" w:rsidP="00C62DF7">
            <w:pPr>
              <w:jc w:val="center"/>
              <w:rPr>
                <w:color w:val="000000"/>
                <w:lang w:eastAsia="es-MX"/>
              </w:rPr>
            </w:pPr>
            <w:r w:rsidRPr="008A108D">
              <w:rPr>
                <w:color w:val="000000"/>
                <w:lang w:eastAsia="es-MX"/>
              </w:rPr>
              <w:t>Análisis 1</w:t>
            </w:r>
          </w:p>
        </w:tc>
        <w:tc>
          <w:tcPr>
            <w:tcW w:w="1843" w:type="dxa"/>
            <w:shd w:val="clear" w:color="auto" w:fill="auto"/>
            <w:noWrap/>
            <w:vAlign w:val="bottom"/>
            <w:hideMark/>
          </w:tcPr>
          <w:p w14:paraId="5D863E59" w14:textId="77777777" w:rsidR="00C62DF7" w:rsidRPr="008A108D" w:rsidRDefault="00C62DF7" w:rsidP="00C62DF7">
            <w:pPr>
              <w:jc w:val="center"/>
              <w:rPr>
                <w:color w:val="000000"/>
                <w:lang w:eastAsia="es-MX"/>
              </w:rPr>
            </w:pPr>
            <w:r w:rsidRPr="008A108D">
              <w:rPr>
                <w:color w:val="000000"/>
                <w:lang w:eastAsia="es-MX"/>
              </w:rPr>
              <w:t>Análisis2</w:t>
            </w:r>
          </w:p>
        </w:tc>
        <w:tc>
          <w:tcPr>
            <w:tcW w:w="2268" w:type="dxa"/>
            <w:shd w:val="clear" w:color="auto" w:fill="auto"/>
            <w:noWrap/>
            <w:vAlign w:val="bottom"/>
            <w:hideMark/>
          </w:tcPr>
          <w:p w14:paraId="0212D62B" w14:textId="77777777" w:rsidR="00C62DF7" w:rsidRPr="008A108D" w:rsidRDefault="00C62DF7" w:rsidP="00C62DF7">
            <w:pPr>
              <w:jc w:val="center"/>
              <w:rPr>
                <w:color w:val="000000"/>
                <w:lang w:eastAsia="es-MX"/>
              </w:rPr>
            </w:pPr>
            <w:r w:rsidRPr="008A108D">
              <w:rPr>
                <w:color w:val="000000"/>
                <w:lang w:eastAsia="es-MX"/>
              </w:rPr>
              <w:t>Análisis 3</w:t>
            </w:r>
          </w:p>
        </w:tc>
        <w:tc>
          <w:tcPr>
            <w:tcW w:w="1843" w:type="dxa"/>
            <w:shd w:val="clear" w:color="auto" w:fill="auto"/>
            <w:noWrap/>
            <w:vAlign w:val="bottom"/>
            <w:hideMark/>
          </w:tcPr>
          <w:p w14:paraId="27AEF070" w14:textId="77777777" w:rsidR="00C62DF7" w:rsidRPr="008A108D" w:rsidRDefault="00C62DF7" w:rsidP="00C62DF7">
            <w:pPr>
              <w:jc w:val="center"/>
              <w:rPr>
                <w:color w:val="000000"/>
                <w:lang w:eastAsia="es-MX"/>
              </w:rPr>
            </w:pPr>
            <w:r w:rsidRPr="008A108D">
              <w:rPr>
                <w:color w:val="000000"/>
                <w:lang w:eastAsia="es-MX"/>
              </w:rPr>
              <w:t>Análisis 4</w:t>
            </w:r>
          </w:p>
        </w:tc>
      </w:tr>
      <w:tr w:rsidR="00C62DF7" w:rsidRPr="008A108D" w14:paraId="31A7ACC9" w14:textId="77777777" w:rsidTr="00405B9A">
        <w:trPr>
          <w:trHeight w:val="320"/>
        </w:trPr>
        <w:tc>
          <w:tcPr>
            <w:tcW w:w="606" w:type="dxa"/>
            <w:shd w:val="clear" w:color="auto" w:fill="auto"/>
            <w:noWrap/>
            <w:vAlign w:val="bottom"/>
            <w:hideMark/>
          </w:tcPr>
          <w:p w14:paraId="356B080B"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P27</w:t>
            </w:r>
          </w:p>
        </w:tc>
        <w:tc>
          <w:tcPr>
            <w:tcW w:w="2224" w:type="dxa"/>
            <w:shd w:val="clear" w:color="auto" w:fill="auto"/>
            <w:noWrap/>
            <w:vAlign w:val="bottom"/>
            <w:hideMark/>
          </w:tcPr>
          <w:p w14:paraId="66206FA0" w14:textId="77777777" w:rsidR="00C62DF7" w:rsidRPr="00D903B1" w:rsidRDefault="00C62DF7" w:rsidP="00660FA4">
            <w:pPr>
              <w:jc w:val="center"/>
              <w:rPr>
                <w:color w:val="000000"/>
                <w:sz w:val="22"/>
                <w:szCs w:val="22"/>
                <w:lang w:eastAsia="es-MX"/>
              </w:rPr>
            </w:pPr>
            <w:r w:rsidRPr="00D903B1">
              <w:rPr>
                <w:color w:val="000000"/>
                <w:sz w:val="22"/>
                <w:szCs w:val="22"/>
                <w:lang w:eastAsia="es-MX"/>
              </w:rPr>
              <w:t>3.439</w:t>
            </w:r>
          </w:p>
        </w:tc>
        <w:tc>
          <w:tcPr>
            <w:tcW w:w="1843" w:type="dxa"/>
            <w:shd w:val="clear" w:color="auto" w:fill="auto"/>
            <w:noWrap/>
            <w:vAlign w:val="bottom"/>
            <w:hideMark/>
          </w:tcPr>
          <w:p w14:paraId="056740F8"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2.334</w:t>
            </w:r>
          </w:p>
        </w:tc>
        <w:tc>
          <w:tcPr>
            <w:tcW w:w="2268" w:type="dxa"/>
            <w:shd w:val="clear" w:color="auto" w:fill="auto"/>
            <w:noWrap/>
            <w:vAlign w:val="bottom"/>
            <w:hideMark/>
          </w:tcPr>
          <w:p w14:paraId="65341686"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2.272</w:t>
            </w:r>
          </w:p>
        </w:tc>
        <w:tc>
          <w:tcPr>
            <w:tcW w:w="1843" w:type="dxa"/>
            <w:shd w:val="clear" w:color="auto" w:fill="auto"/>
            <w:noWrap/>
            <w:vAlign w:val="bottom"/>
            <w:hideMark/>
          </w:tcPr>
          <w:p w14:paraId="1A5107DF"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2.341</w:t>
            </w:r>
          </w:p>
        </w:tc>
      </w:tr>
      <w:tr w:rsidR="00C62DF7" w:rsidRPr="008A108D" w14:paraId="106A2C40" w14:textId="77777777" w:rsidTr="00405B9A">
        <w:trPr>
          <w:trHeight w:val="320"/>
        </w:trPr>
        <w:tc>
          <w:tcPr>
            <w:tcW w:w="606" w:type="dxa"/>
            <w:shd w:val="clear" w:color="auto" w:fill="auto"/>
            <w:noWrap/>
            <w:vAlign w:val="bottom"/>
            <w:hideMark/>
          </w:tcPr>
          <w:p w14:paraId="089C6C65"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P28</w:t>
            </w:r>
          </w:p>
        </w:tc>
        <w:tc>
          <w:tcPr>
            <w:tcW w:w="2224" w:type="dxa"/>
            <w:shd w:val="clear" w:color="auto" w:fill="auto"/>
            <w:noWrap/>
            <w:vAlign w:val="bottom"/>
            <w:hideMark/>
          </w:tcPr>
          <w:p w14:paraId="73F71C34"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2.834</w:t>
            </w:r>
          </w:p>
        </w:tc>
        <w:tc>
          <w:tcPr>
            <w:tcW w:w="1843" w:type="dxa"/>
            <w:shd w:val="clear" w:color="auto" w:fill="auto"/>
            <w:noWrap/>
            <w:vAlign w:val="bottom"/>
            <w:hideMark/>
          </w:tcPr>
          <w:p w14:paraId="6A01FBF6"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1.989</w:t>
            </w:r>
          </w:p>
        </w:tc>
        <w:tc>
          <w:tcPr>
            <w:tcW w:w="2268" w:type="dxa"/>
            <w:shd w:val="clear" w:color="auto" w:fill="auto"/>
            <w:noWrap/>
            <w:vAlign w:val="bottom"/>
            <w:hideMark/>
          </w:tcPr>
          <w:p w14:paraId="692BFCFB"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1.836</w:t>
            </w:r>
          </w:p>
        </w:tc>
        <w:tc>
          <w:tcPr>
            <w:tcW w:w="1843" w:type="dxa"/>
            <w:shd w:val="clear" w:color="auto" w:fill="auto"/>
            <w:noWrap/>
            <w:vAlign w:val="bottom"/>
            <w:hideMark/>
          </w:tcPr>
          <w:p w14:paraId="5795299C"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0.84</w:t>
            </w:r>
          </w:p>
        </w:tc>
      </w:tr>
      <w:tr w:rsidR="00C62DF7" w:rsidRPr="008A108D" w14:paraId="7EA1264B" w14:textId="77777777" w:rsidTr="00405B9A">
        <w:trPr>
          <w:trHeight w:val="320"/>
        </w:trPr>
        <w:tc>
          <w:tcPr>
            <w:tcW w:w="606" w:type="dxa"/>
            <w:shd w:val="clear" w:color="auto" w:fill="auto"/>
            <w:noWrap/>
            <w:vAlign w:val="bottom"/>
            <w:hideMark/>
          </w:tcPr>
          <w:p w14:paraId="54306046"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P29</w:t>
            </w:r>
          </w:p>
        </w:tc>
        <w:tc>
          <w:tcPr>
            <w:tcW w:w="2224" w:type="dxa"/>
            <w:shd w:val="clear" w:color="auto" w:fill="auto"/>
            <w:noWrap/>
            <w:vAlign w:val="bottom"/>
            <w:hideMark/>
          </w:tcPr>
          <w:p w14:paraId="5EEA5324"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2.758</w:t>
            </w:r>
          </w:p>
        </w:tc>
        <w:tc>
          <w:tcPr>
            <w:tcW w:w="1843" w:type="dxa"/>
            <w:shd w:val="clear" w:color="auto" w:fill="auto"/>
            <w:noWrap/>
            <w:vAlign w:val="bottom"/>
            <w:hideMark/>
          </w:tcPr>
          <w:p w14:paraId="5E8473A1"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2.035</w:t>
            </w:r>
          </w:p>
        </w:tc>
        <w:tc>
          <w:tcPr>
            <w:tcW w:w="2268" w:type="dxa"/>
            <w:shd w:val="clear" w:color="auto" w:fill="auto"/>
            <w:noWrap/>
            <w:vAlign w:val="bottom"/>
            <w:hideMark/>
          </w:tcPr>
          <w:p w14:paraId="1A54C261"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1.782</w:t>
            </w:r>
          </w:p>
        </w:tc>
        <w:tc>
          <w:tcPr>
            <w:tcW w:w="1843" w:type="dxa"/>
            <w:shd w:val="clear" w:color="auto" w:fill="auto"/>
            <w:noWrap/>
            <w:vAlign w:val="bottom"/>
            <w:hideMark/>
          </w:tcPr>
          <w:p w14:paraId="40B1C361"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1.429</w:t>
            </w:r>
          </w:p>
        </w:tc>
      </w:tr>
      <w:tr w:rsidR="00C62DF7" w:rsidRPr="008A108D" w14:paraId="45017A29" w14:textId="77777777" w:rsidTr="00405B9A">
        <w:trPr>
          <w:trHeight w:val="320"/>
        </w:trPr>
        <w:tc>
          <w:tcPr>
            <w:tcW w:w="606" w:type="dxa"/>
            <w:shd w:val="clear" w:color="auto" w:fill="auto"/>
            <w:noWrap/>
            <w:vAlign w:val="bottom"/>
            <w:hideMark/>
          </w:tcPr>
          <w:p w14:paraId="07470515"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P30</w:t>
            </w:r>
          </w:p>
        </w:tc>
        <w:tc>
          <w:tcPr>
            <w:tcW w:w="2224" w:type="dxa"/>
            <w:shd w:val="clear" w:color="auto" w:fill="auto"/>
            <w:noWrap/>
            <w:vAlign w:val="bottom"/>
            <w:hideMark/>
          </w:tcPr>
          <w:p w14:paraId="4A9AB797" w14:textId="77777777" w:rsidR="00C62DF7" w:rsidRPr="00D903B1" w:rsidRDefault="00C62DF7" w:rsidP="00660FA4">
            <w:pPr>
              <w:jc w:val="center"/>
              <w:rPr>
                <w:color w:val="000000"/>
                <w:sz w:val="22"/>
                <w:szCs w:val="22"/>
                <w:lang w:eastAsia="es-MX"/>
              </w:rPr>
            </w:pPr>
            <w:r w:rsidRPr="00D903B1">
              <w:rPr>
                <w:color w:val="000000"/>
                <w:sz w:val="22"/>
                <w:szCs w:val="22"/>
                <w:lang w:eastAsia="es-MX"/>
              </w:rPr>
              <w:t>3.41</w:t>
            </w:r>
          </w:p>
        </w:tc>
        <w:tc>
          <w:tcPr>
            <w:tcW w:w="1843" w:type="dxa"/>
            <w:shd w:val="clear" w:color="auto" w:fill="auto"/>
            <w:noWrap/>
            <w:vAlign w:val="bottom"/>
            <w:hideMark/>
          </w:tcPr>
          <w:p w14:paraId="2C820834"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2.024</w:t>
            </w:r>
          </w:p>
        </w:tc>
        <w:tc>
          <w:tcPr>
            <w:tcW w:w="2268" w:type="dxa"/>
            <w:shd w:val="clear" w:color="auto" w:fill="auto"/>
            <w:noWrap/>
            <w:vAlign w:val="bottom"/>
            <w:hideMark/>
          </w:tcPr>
          <w:p w14:paraId="13817F65"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1.797</w:t>
            </w:r>
          </w:p>
        </w:tc>
        <w:tc>
          <w:tcPr>
            <w:tcW w:w="1843" w:type="dxa"/>
            <w:shd w:val="clear" w:color="auto" w:fill="auto"/>
            <w:noWrap/>
            <w:vAlign w:val="bottom"/>
            <w:hideMark/>
          </w:tcPr>
          <w:p w14:paraId="6A010AA0"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1.351</w:t>
            </w:r>
          </w:p>
        </w:tc>
      </w:tr>
      <w:tr w:rsidR="00C62DF7" w:rsidRPr="008A108D" w14:paraId="22AD4605" w14:textId="77777777" w:rsidTr="00405B9A">
        <w:trPr>
          <w:trHeight w:val="320"/>
        </w:trPr>
        <w:tc>
          <w:tcPr>
            <w:tcW w:w="606" w:type="dxa"/>
            <w:shd w:val="clear" w:color="auto" w:fill="auto"/>
            <w:noWrap/>
            <w:vAlign w:val="bottom"/>
            <w:hideMark/>
          </w:tcPr>
          <w:p w14:paraId="64B84F28"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P31</w:t>
            </w:r>
          </w:p>
        </w:tc>
        <w:tc>
          <w:tcPr>
            <w:tcW w:w="2224" w:type="dxa"/>
            <w:shd w:val="clear" w:color="auto" w:fill="auto"/>
            <w:noWrap/>
            <w:vAlign w:val="bottom"/>
            <w:hideMark/>
          </w:tcPr>
          <w:p w14:paraId="0DC1B0B0" w14:textId="77777777" w:rsidR="00C62DF7" w:rsidRPr="00D903B1" w:rsidRDefault="00C62DF7" w:rsidP="00660FA4">
            <w:pPr>
              <w:jc w:val="center"/>
              <w:rPr>
                <w:color w:val="000000"/>
                <w:sz w:val="22"/>
                <w:szCs w:val="22"/>
                <w:lang w:eastAsia="es-MX"/>
              </w:rPr>
            </w:pPr>
            <w:r w:rsidRPr="00D903B1">
              <w:rPr>
                <w:color w:val="000000"/>
                <w:sz w:val="22"/>
                <w:szCs w:val="22"/>
                <w:lang w:eastAsia="es-MX"/>
              </w:rPr>
              <w:t>3.228</w:t>
            </w:r>
          </w:p>
        </w:tc>
        <w:tc>
          <w:tcPr>
            <w:tcW w:w="1843" w:type="dxa"/>
            <w:shd w:val="clear" w:color="auto" w:fill="auto"/>
            <w:noWrap/>
            <w:vAlign w:val="bottom"/>
            <w:hideMark/>
          </w:tcPr>
          <w:p w14:paraId="5AA40CC7"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2.707</w:t>
            </w:r>
          </w:p>
        </w:tc>
        <w:tc>
          <w:tcPr>
            <w:tcW w:w="2268" w:type="dxa"/>
            <w:shd w:val="clear" w:color="auto" w:fill="auto"/>
            <w:noWrap/>
            <w:vAlign w:val="bottom"/>
            <w:hideMark/>
          </w:tcPr>
          <w:p w14:paraId="628B1B03"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1.884</w:t>
            </w:r>
          </w:p>
        </w:tc>
        <w:tc>
          <w:tcPr>
            <w:tcW w:w="1843" w:type="dxa"/>
            <w:shd w:val="clear" w:color="auto" w:fill="auto"/>
            <w:noWrap/>
            <w:vAlign w:val="bottom"/>
            <w:hideMark/>
          </w:tcPr>
          <w:p w14:paraId="0D983170"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1.496</w:t>
            </w:r>
          </w:p>
        </w:tc>
      </w:tr>
      <w:tr w:rsidR="00C62DF7" w:rsidRPr="008A108D" w14:paraId="26E81711" w14:textId="77777777" w:rsidTr="00405B9A">
        <w:trPr>
          <w:trHeight w:val="320"/>
        </w:trPr>
        <w:tc>
          <w:tcPr>
            <w:tcW w:w="606" w:type="dxa"/>
            <w:shd w:val="clear" w:color="auto" w:fill="auto"/>
            <w:noWrap/>
            <w:vAlign w:val="bottom"/>
            <w:hideMark/>
          </w:tcPr>
          <w:p w14:paraId="6C63E75C"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P37</w:t>
            </w:r>
          </w:p>
        </w:tc>
        <w:tc>
          <w:tcPr>
            <w:tcW w:w="2224" w:type="dxa"/>
            <w:shd w:val="clear" w:color="auto" w:fill="auto"/>
            <w:noWrap/>
            <w:vAlign w:val="bottom"/>
            <w:hideMark/>
          </w:tcPr>
          <w:p w14:paraId="4FAFA171" w14:textId="77777777" w:rsidR="00C62DF7" w:rsidRPr="00D903B1" w:rsidRDefault="00C62DF7" w:rsidP="00660FA4">
            <w:pPr>
              <w:jc w:val="center"/>
              <w:rPr>
                <w:color w:val="000000"/>
                <w:sz w:val="22"/>
                <w:szCs w:val="22"/>
                <w:lang w:eastAsia="es-MX"/>
              </w:rPr>
            </w:pPr>
            <w:r w:rsidRPr="00D903B1">
              <w:rPr>
                <w:color w:val="000000"/>
                <w:sz w:val="22"/>
                <w:szCs w:val="22"/>
                <w:lang w:eastAsia="es-MX"/>
              </w:rPr>
              <w:t>3.597</w:t>
            </w:r>
          </w:p>
        </w:tc>
        <w:tc>
          <w:tcPr>
            <w:tcW w:w="1843" w:type="dxa"/>
            <w:shd w:val="clear" w:color="auto" w:fill="auto"/>
            <w:noWrap/>
            <w:vAlign w:val="bottom"/>
            <w:hideMark/>
          </w:tcPr>
          <w:p w14:paraId="1FD150FB"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2.279</w:t>
            </w:r>
          </w:p>
        </w:tc>
        <w:tc>
          <w:tcPr>
            <w:tcW w:w="2268" w:type="dxa"/>
            <w:shd w:val="clear" w:color="auto" w:fill="auto"/>
            <w:noWrap/>
            <w:vAlign w:val="bottom"/>
            <w:hideMark/>
          </w:tcPr>
          <w:p w14:paraId="3C1C7A5C"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2.169</w:t>
            </w:r>
          </w:p>
        </w:tc>
        <w:tc>
          <w:tcPr>
            <w:tcW w:w="1843" w:type="dxa"/>
            <w:shd w:val="clear" w:color="auto" w:fill="auto"/>
            <w:noWrap/>
            <w:vAlign w:val="bottom"/>
            <w:hideMark/>
          </w:tcPr>
          <w:p w14:paraId="2B8EF8B6"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2.153</w:t>
            </w:r>
          </w:p>
        </w:tc>
      </w:tr>
      <w:tr w:rsidR="00C62DF7" w:rsidRPr="008A108D" w14:paraId="63AB0B5D" w14:textId="77777777" w:rsidTr="00405B9A">
        <w:trPr>
          <w:trHeight w:val="320"/>
        </w:trPr>
        <w:tc>
          <w:tcPr>
            <w:tcW w:w="606" w:type="dxa"/>
            <w:shd w:val="clear" w:color="auto" w:fill="auto"/>
            <w:noWrap/>
            <w:vAlign w:val="bottom"/>
            <w:hideMark/>
          </w:tcPr>
          <w:p w14:paraId="30C99C73"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P16</w:t>
            </w:r>
          </w:p>
        </w:tc>
        <w:tc>
          <w:tcPr>
            <w:tcW w:w="2224" w:type="dxa"/>
            <w:shd w:val="clear" w:color="auto" w:fill="auto"/>
            <w:noWrap/>
            <w:vAlign w:val="bottom"/>
            <w:hideMark/>
          </w:tcPr>
          <w:p w14:paraId="4183C73C"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0.802</w:t>
            </w:r>
          </w:p>
        </w:tc>
        <w:tc>
          <w:tcPr>
            <w:tcW w:w="1843" w:type="dxa"/>
            <w:shd w:val="clear" w:color="auto" w:fill="auto"/>
            <w:noWrap/>
            <w:vAlign w:val="bottom"/>
            <w:hideMark/>
          </w:tcPr>
          <w:p w14:paraId="777F325E"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0.522</w:t>
            </w:r>
          </w:p>
        </w:tc>
        <w:tc>
          <w:tcPr>
            <w:tcW w:w="2268" w:type="dxa"/>
            <w:shd w:val="clear" w:color="auto" w:fill="auto"/>
            <w:noWrap/>
            <w:vAlign w:val="bottom"/>
            <w:hideMark/>
          </w:tcPr>
          <w:p w14:paraId="65BC3DBA"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0.447</w:t>
            </w:r>
          </w:p>
        </w:tc>
        <w:tc>
          <w:tcPr>
            <w:tcW w:w="1843" w:type="dxa"/>
            <w:shd w:val="clear" w:color="auto" w:fill="auto"/>
            <w:noWrap/>
            <w:vAlign w:val="bottom"/>
            <w:hideMark/>
          </w:tcPr>
          <w:p w14:paraId="0198F2E6"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0.443</w:t>
            </w:r>
          </w:p>
        </w:tc>
      </w:tr>
      <w:tr w:rsidR="00C62DF7" w:rsidRPr="008A108D" w14:paraId="2675596E" w14:textId="77777777" w:rsidTr="00405B9A">
        <w:trPr>
          <w:trHeight w:val="320"/>
        </w:trPr>
        <w:tc>
          <w:tcPr>
            <w:tcW w:w="606" w:type="dxa"/>
            <w:shd w:val="clear" w:color="auto" w:fill="auto"/>
            <w:noWrap/>
            <w:vAlign w:val="bottom"/>
            <w:hideMark/>
          </w:tcPr>
          <w:p w14:paraId="33DFD643"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P17</w:t>
            </w:r>
          </w:p>
        </w:tc>
        <w:tc>
          <w:tcPr>
            <w:tcW w:w="2224" w:type="dxa"/>
            <w:shd w:val="clear" w:color="auto" w:fill="auto"/>
            <w:noWrap/>
            <w:vAlign w:val="bottom"/>
            <w:hideMark/>
          </w:tcPr>
          <w:p w14:paraId="2D2BA7BA" w14:textId="77777777" w:rsidR="00C62DF7" w:rsidRPr="00D903B1" w:rsidRDefault="00C62DF7" w:rsidP="00660FA4">
            <w:pPr>
              <w:jc w:val="center"/>
              <w:rPr>
                <w:color w:val="000000"/>
                <w:sz w:val="22"/>
                <w:szCs w:val="22"/>
                <w:lang w:eastAsia="es-MX"/>
              </w:rPr>
            </w:pPr>
            <w:r w:rsidRPr="00D903B1">
              <w:rPr>
                <w:color w:val="000000"/>
                <w:sz w:val="22"/>
                <w:szCs w:val="22"/>
                <w:lang w:eastAsia="es-MX"/>
              </w:rPr>
              <w:t>4.102</w:t>
            </w:r>
          </w:p>
        </w:tc>
        <w:tc>
          <w:tcPr>
            <w:tcW w:w="1843" w:type="dxa"/>
            <w:shd w:val="clear" w:color="auto" w:fill="auto"/>
            <w:noWrap/>
            <w:vAlign w:val="bottom"/>
            <w:hideMark/>
          </w:tcPr>
          <w:p w14:paraId="7ECE46CF"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2.176</w:t>
            </w:r>
          </w:p>
        </w:tc>
        <w:tc>
          <w:tcPr>
            <w:tcW w:w="2268" w:type="dxa"/>
            <w:shd w:val="clear" w:color="auto" w:fill="auto"/>
            <w:noWrap/>
            <w:vAlign w:val="bottom"/>
            <w:hideMark/>
          </w:tcPr>
          <w:p w14:paraId="4A7F74E6"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2.151</w:t>
            </w:r>
          </w:p>
        </w:tc>
        <w:tc>
          <w:tcPr>
            <w:tcW w:w="1843" w:type="dxa"/>
            <w:shd w:val="clear" w:color="auto" w:fill="auto"/>
            <w:noWrap/>
            <w:vAlign w:val="bottom"/>
            <w:hideMark/>
          </w:tcPr>
          <w:p w14:paraId="16B48595"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2.463</w:t>
            </w:r>
          </w:p>
        </w:tc>
      </w:tr>
      <w:tr w:rsidR="00C62DF7" w:rsidRPr="008A108D" w14:paraId="1BB1E129" w14:textId="77777777" w:rsidTr="00405B9A">
        <w:trPr>
          <w:trHeight w:val="320"/>
        </w:trPr>
        <w:tc>
          <w:tcPr>
            <w:tcW w:w="606" w:type="dxa"/>
            <w:shd w:val="clear" w:color="auto" w:fill="auto"/>
            <w:noWrap/>
            <w:vAlign w:val="bottom"/>
            <w:hideMark/>
          </w:tcPr>
          <w:p w14:paraId="7EF4A28E"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P18</w:t>
            </w:r>
          </w:p>
        </w:tc>
        <w:tc>
          <w:tcPr>
            <w:tcW w:w="2224" w:type="dxa"/>
            <w:shd w:val="clear" w:color="auto" w:fill="auto"/>
            <w:noWrap/>
            <w:vAlign w:val="bottom"/>
            <w:hideMark/>
          </w:tcPr>
          <w:p w14:paraId="0A0D1A60"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2.29</w:t>
            </w:r>
          </w:p>
        </w:tc>
        <w:tc>
          <w:tcPr>
            <w:tcW w:w="1843" w:type="dxa"/>
            <w:shd w:val="clear" w:color="auto" w:fill="auto"/>
            <w:noWrap/>
            <w:vAlign w:val="bottom"/>
            <w:hideMark/>
          </w:tcPr>
          <w:p w14:paraId="33B980DC"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0.98</w:t>
            </w:r>
          </w:p>
        </w:tc>
        <w:tc>
          <w:tcPr>
            <w:tcW w:w="2268" w:type="dxa"/>
            <w:shd w:val="clear" w:color="auto" w:fill="auto"/>
            <w:noWrap/>
            <w:vAlign w:val="bottom"/>
            <w:hideMark/>
          </w:tcPr>
          <w:p w14:paraId="6E91434C"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0.863</w:t>
            </w:r>
          </w:p>
        </w:tc>
        <w:tc>
          <w:tcPr>
            <w:tcW w:w="1843" w:type="dxa"/>
            <w:shd w:val="clear" w:color="auto" w:fill="auto"/>
            <w:noWrap/>
            <w:vAlign w:val="bottom"/>
            <w:hideMark/>
          </w:tcPr>
          <w:p w14:paraId="55CFB078"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0.919</w:t>
            </w:r>
          </w:p>
        </w:tc>
      </w:tr>
      <w:tr w:rsidR="00C62DF7" w:rsidRPr="008A108D" w14:paraId="3B45191B" w14:textId="77777777" w:rsidTr="00405B9A">
        <w:trPr>
          <w:trHeight w:val="320"/>
        </w:trPr>
        <w:tc>
          <w:tcPr>
            <w:tcW w:w="606" w:type="dxa"/>
            <w:shd w:val="clear" w:color="auto" w:fill="auto"/>
            <w:noWrap/>
            <w:vAlign w:val="bottom"/>
            <w:hideMark/>
          </w:tcPr>
          <w:p w14:paraId="12179526"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P19</w:t>
            </w:r>
          </w:p>
        </w:tc>
        <w:tc>
          <w:tcPr>
            <w:tcW w:w="2224" w:type="dxa"/>
            <w:shd w:val="clear" w:color="auto" w:fill="auto"/>
            <w:noWrap/>
            <w:vAlign w:val="bottom"/>
            <w:hideMark/>
          </w:tcPr>
          <w:p w14:paraId="2DC18F93" w14:textId="77777777" w:rsidR="00C62DF7" w:rsidRPr="00D903B1" w:rsidRDefault="00C62DF7" w:rsidP="00660FA4">
            <w:pPr>
              <w:jc w:val="center"/>
              <w:rPr>
                <w:color w:val="000000"/>
                <w:sz w:val="22"/>
                <w:szCs w:val="22"/>
                <w:lang w:eastAsia="es-MX"/>
              </w:rPr>
            </w:pPr>
            <w:r w:rsidRPr="00D903B1">
              <w:rPr>
                <w:color w:val="000000"/>
                <w:sz w:val="22"/>
                <w:szCs w:val="22"/>
                <w:lang w:eastAsia="es-MX"/>
              </w:rPr>
              <w:t>4.332</w:t>
            </w:r>
          </w:p>
        </w:tc>
        <w:tc>
          <w:tcPr>
            <w:tcW w:w="1843" w:type="dxa"/>
            <w:shd w:val="clear" w:color="auto" w:fill="auto"/>
            <w:noWrap/>
            <w:vAlign w:val="bottom"/>
            <w:hideMark/>
          </w:tcPr>
          <w:p w14:paraId="75ADB9CA" w14:textId="77777777" w:rsidR="00C62DF7" w:rsidRPr="00D903B1" w:rsidRDefault="00C62DF7" w:rsidP="00660FA4">
            <w:pPr>
              <w:jc w:val="center"/>
              <w:rPr>
                <w:color w:val="000000"/>
                <w:sz w:val="22"/>
                <w:szCs w:val="22"/>
                <w:lang w:eastAsia="es-MX"/>
              </w:rPr>
            </w:pPr>
            <w:r w:rsidRPr="00D903B1">
              <w:rPr>
                <w:color w:val="000000"/>
                <w:sz w:val="22"/>
                <w:szCs w:val="22"/>
                <w:lang w:eastAsia="es-MX"/>
              </w:rPr>
              <w:t>3.245</w:t>
            </w:r>
          </w:p>
        </w:tc>
        <w:tc>
          <w:tcPr>
            <w:tcW w:w="2268" w:type="dxa"/>
            <w:shd w:val="clear" w:color="auto" w:fill="auto"/>
            <w:noWrap/>
            <w:vAlign w:val="bottom"/>
            <w:hideMark/>
          </w:tcPr>
          <w:p w14:paraId="24BD6DD9"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2.15</w:t>
            </w:r>
          </w:p>
        </w:tc>
        <w:tc>
          <w:tcPr>
            <w:tcW w:w="1843" w:type="dxa"/>
            <w:shd w:val="clear" w:color="auto" w:fill="auto"/>
            <w:noWrap/>
            <w:vAlign w:val="bottom"/>
            <w:hideMark/>
          </w:tcPr>
          <w:p w14:paraId="122BF43A"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1.491</w:t>
            </w:r>
          </w:p>
        </w:tc>
      </w:tr>
      <w:tr w:rsidR="00C62DF7" w:rsidRPr="008A108D" w14:paraId="4E288020" w14:textId="77777777" w:rsidTr="00405B9A">
        <w:trPr>
          <w:trHeight w:val="320"/>
        </w:trPr>
        <w:tc>
          <w:tcPr>
            <w:tcW w:w="606" w:type="dxa"/>
            <w:shd w:val="clear" w:color="auto" w:fill="auto"/>
            <w:noWrap/>
            <w:vAlign w:val="bottom"/>
            <w:hideMark/>
          </w:tcPr>
          <w:p w14:paraId="64E0F7F3"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P20</w:t>
            </w:r>
          </w:p>
        </w:tc>
        <w:tc>
          <w:tcPr>
            <w:tcW w:w="2224" w:type="dxa"/>
            <w:shd w:val="clear" w:color="auto" w:fill="auto"/>
            <w:noWrap/>
            <w:vAlign w:val="bottom"/>
            <w:hideMark/>
          </w:tcPr>
          <w:p w14:paraId="259508A2"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1.879</w:t>
            </w:r>
          </w:p>
        </w:tc>
        <w:tc>
          <w:tcPr>
            <w:tcW w:w="1843" w:type="dxa"/>
            <w:shd w:val="clear" w:color="auto" w:fill="auto"/>
            <w:noWrap/>
            <w:vAlign w:val="bottom"/>
            <w:hideMark/>
          </w:tcPr>
          <w:p w14:paraId="61790325"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1.037</w:t>
            </w:r>
          </w:p>
        </w:tc>
        <w:tc>
          <w:tcPr>
            <w:tcW w:w="2268" w:type="dxa"/>
            <w:shd w:val="clear" w:color="auto" w:fill="auto"/>
            <w:noWrap/>
            <w:vAlign w:val="bottom"/>
            <w:hideMark/>
          </w:tcPr>
          <w:p w14:paraId="7A7A898A"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1.035</w:t>
            </w:r>
          </w:p>
        </w:tc>
        <w:tc>
          <w:tcPr>
            <w:tcW w:w="1843" w:type="dxa"/>
            <w:shd w:val="clear" w:color="auto" w:fill="auto"/>
            <w:noWrap/>
            <w:vAlign w:val="bottom"/>
            <w:hideMark/>
          </w:tcPr>
          <w:p w14:paraId="49FB70F0"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0.908</w:t>
            </w:r>
          </w:p>
        </w:tc>
      </w:tr>
      <w:tr w:rsidR="00C62DF7" w:rsidRPr="008A108D" w14:paraId="4CB84C82" w14:textId="77777777" w:rsidTr="00405B9A">
        <w:trPr>
          <w:trHeight w:val="320"/>
        </w:trPr>
        <w:tc>
          <w:tcPr>
            <w:tcW w:w="606" w:type="dxa"/>
            <w:shd w:val="clear" w:color="auto" w:fill="auto"/>
            <w:noWrap/>
            <w:vAlign w:val="bottom"/>
            <w:hideMark/>
          </w:tcPr>
          <w:p w14:paraId="02C83CC5"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P21</w:t>
            </w:r>
          </w:p>
        </w:tc>
        <w:tc>
          <w:tcPr>
            <w:tcW w:w="2224" w:type="dxa"/>
            <w:shd w:val="clear" w:color="auto" w:fill="auto"/>
            <w:noWrap/>
            <w:vAlign w:val="bottom"/>
            <w:hideMark/>
          </w:tcPr>
          <w:p w14:paraId="56D00FAE"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1.712</w:t>
            </w:r>
          </w:p>
        </w:tc>
        <w:tc>
          <w:tcPr>
            <w:tcW w:w="1843" w:type="dxa"/>
            <w:shd w:val="clear" w:color="auto" w:fill="auto"/>
            <w:noWrap/>
            <w:vAlign w:val="bottom"/>
            <w:hideMark/>
          </w:tcPr>
          <w:p w14:paraId="06F6764F"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1.011</w:t>
            </w:r>
          </w:p>
        </w:tc>
        <w:tc>
          <w:tcPr>
            <w:tcW w:w="2268" w:type="dxa"/>
            <w:shd w:val="clear" w:color="auto" w:fill="auto"/>
            <w:noWrap/>
            <w:vAlign w:val="bottom"/>
            <w:hideMark/>
          </w:tcPr>
          <w:p w14:paraId="382574FD"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1.123</w:t>
            </w:r>
          </w:p>
        </w:tc>
        <w:tc>
          <w:tcPr>
            <w:tcW w:w="1843" w:type="dxa"/>
            <w:shd w:val="clear" w:color="auto" w:fill="auto"/>
            <w:noWrap/>
            <w:vAlign w:val="bottom"/>
            <w:hideMark/>
          </w:tcPr>
          <w:p w14:paraId="1005E1E8"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1.323</w:t>
            </w:r>
          </w:p>
        </w:tc>
      </w:tr>
      <w:tr w:rsidR="00C62DF7" w:rsidRPr="008A108D" w14:paraId="3E29C027" w14:textId="77777777" w:rsidTr="00405B9A">
        <w:trPr>
          <w:trHeight w:val="320"/>
        </w:trPr>
        <w:tc>
          <w:tcPr>
            <w:tcW w:w="606" w:type="dxa"/>
            <w:shd w:val="clear" w:color="auto" w:fill="auto"/>
            <w:noWrap/>
            <w:vAlign w:val="bottom"/>
            <w:hideMark/>
          </w:tcPr>
          <w:p w14:paraId="555BFF27"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P22</w:t>
            </w:r>
          </w:p>
        </w:tc>
        <w:tc>
          <w:tcPr>
            <w:tcW w:w="2224" w:type="dxa"/>
            <w:shd w:val="clear" w:color="auto" w:fill="auto"/>
            <w:noWrap/>
            <w:vAlign w:val="bottom"/>
            <w:hideMark/>
          </w:tcPr>
          <w:p w14:paraId="45585289"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1.117</w:t>
            </w:r>
          </w:p>
        </w:tc>
        <w:tc>
          <w:tcPr>
            <w:tcW w:w="1843" w:type="dxa"/>
            <w:shd w:val="clear" w:color="auto" w:fill="auto"/>
            <w:noWrap/>
            <w:vAlign w:val="bottom"/>
            <w:hideMark/>
          </w:tcPr>
          <w:p w14:paraId="686323AA"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0.391</w:t>
            </w:r>
          </w:p>
        </w:tc>
        <w:tc>
          <w:tcPr>
            <w:tcW w:w="2268" w:type="dxa"/>
            <w:shd w:val="clear" w:color="auto" w:fill="auto"/>
            <w:noWrap/>
            <w:vAlign w:val="bottom"/>
            <w:hideMark/>
          </w:tcPr>
          <w:p w14:paraId="3E5C1F0D"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0.411</w:t>
            </w:r>
          </w:p>
        </w:tc>
        <w:tc>
          <w:tcPr>
            <w:tcW w:w="1843" w:type="dxa"/>
            <w:shd w:val="clear" w:color="auto" w:fill="auto"/>
            <w:noWrap/>
            <w:vAlign w:val="bottom"/>
            <w:hideMark/>
          </w:tcPr>
          <w:p w14:paraId="6F201DF2"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0.414</w:t>
            </w:r>
          </w:p>
        </w:tc>
      </w:tr>
      <w:tr w:rsidR="00C62DF7" w:rsidRPr="008A108D" w14:paraId="10ED1B45" w14:textId="77777777" w:rsidTr="00405B9A">
        <w:trPr>
          <w:trHeight w:val="320"/>
        </w:trPr>
        <w:tc>
          <w:tcPr>
            <w:tcW w:w="606" w:type="dxa"/>
            <w:shd w:val="clear" w:color="auto" w:fill="auto"/>
            <w:noWrap/>
            <w:vAlign w:val="bottom"/>
            <w:hideMark/>
          </w:tcPr>
          <w:p w14:paraId="62BD8017"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P23</w:t>
            </w:r>
          </w:p>
        </w:tc>
        <w:tc>
          <w:tcPr>
            <w:tcW w:w="2224" w:type="dxa"/>
            <w:shd w:val="clear" w:color="auto" w:fill="auto"/>
            <w:noWrap/>
            <w:vAlign w:val="bottom"/>
            <w:hideMark/>
          </w:tcPr>
          <w:p w14:paraId="1AE7F016"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2.022</w:t>
            </w:r>
          </w:p>
        </w:tc>
        <w:tc>
          <w:tcPr>
            <w:tcW w:w="1843" w:type="dxa"/>
            <w:shd w:val="clear" w:color="auto" w:fill="auto"/>
            <w:noWrap/>
            <w:vAlign w:val="bottom"/>
            <w:hideMark/>
          </w:tcPr>
          <w:p w14:paraId="4EF24DE3"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1.573</w:t>
            </w:r>
          </w:p>
        </w:tc>
        <w:tc>
          <w:tcPr>
            <w:tcW w:w="2268" w:type="dxa"/>
            <w:shd w:val="clear" w:color="auto" w:fill="auto"/>
            <w:noWrap/>
            <w:vAlign w:val="bottom"/>
            <w:hideMark/>
          </w:tcPr>
          <w:p w14:paraId="40A2EBC2"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1.573</w:t>
            </w:r>
          </w:p>
        </w:tc>
        <w:tc>
          <w:tcPr>
            <w:tcW w:w="1843" w:type="dxa"/>
            <w:shd w:val="clear" w:color="auto" w:fill="auto"/>
            <w:noWrap/>
            <w:vAlign w:val="bottom"/>
            <w:hideMark/>
          </w:tcPr>
          <w:p w14:paraId="453B59B4"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1.863</w:t>
            </w:r>
          </w:p>
        </w:tc>
      </w:tr>
      <w:tr w:rsidR="00C62DF7" w:rsidRPr="008A108D" w14:paraId="414D0B49" w14:textId="77777777" w:rsidTr="00405B9A">
        <w:trPr>
          <w:trHeight w:val="320"/>
        </w:trPr>
        <w:tc>
          <w:tcPr>
            <w:tcW w:w="606" w:type="dxa"/>
            <w:shd w:val="clear" w:color="auto" w:fill="auto"/>
            <w:noWrap/>
            <w:vAlign w:val="bottom"/>
            <w:hideMark/>
          </w:tcPr>
          <w:p w14:paraId="733BE77A"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P33</w:t>
            </w:r>
          </w:p>
        </w:tc>
        <w:tc>
          <w:tcPr>
            <w:tcW w:w="2224" w:type="dxa"/>
            <w:shd w:val="clear" w:color="auto" w:fill="auto"/>
            <w:noWrap/>
            <w:vAlign w:val="bottom"/>
            <w:hideMark/>
          </w:tcPr>
          <w:p w14:paraId="5C2C231D" w14:textId="77777777" w:rsidR="00C62DF7" w:rsidRPr="00D903B1" w:rsidRDefault="00C62DF7" w:rsidP="00660FA4">
            <w:pPr>
              <w:jc w:val="center"/>
              <w:rPr>
                <w:color w:val="000000"/>
                <w:sz w:val="22"/>
                <w:szCs w:val="22"/>
                <w:lang w:eastAsia="es-MX"/>
              </w:rPr>
            </w:pPr>
            <w:r w:rsidRPr="00D903B1">
              <w:rPr>
                <w:color w:val="000000"/>
                <w:sz w:val="22"/>
                <w:szCs w:val="22"/>
                <w:lang w:eastAsia="es-MX"/>
              </w:rPr>
              <w:t>5.658</w:t>
            </w:r>
          </w:p>
        </w:tc>
        <w:tc>
          <w:tcPr>
            <w:tcW w:w="1843" w:type="dxa"/>
            <w:shd w:val="clear" w:color="auto" w:fill="auto"/>
            <w:noWrap/>
            <w:vAlign w:val="bottom"/>
            <w:hideMark/>
          </w:tcPr>
          <w:p w14:paraId="244BE9AD" w14:textId="77777777" w:rsidR="00C62DF7" w:rsidRPr="00D903B1" w:rsidRDefault="00C62DF7" w:rsidP="00660FA4">
            <w:pPr>
              <w:jc w:val="center"/>
              <w:rPr>
                <w:color w:val="000000"/>
                <w:sz w:val="22"/>
                <w:szCs w:val="22"/>
                <w:lang w:eastAsia="es-MX"/>
              </w:rPr>
            </w:pPr>
            <w:r w:rsidRPr="00D903B1">
              <w:rPr>
                <w:color w:val="000000"/>
                <w:sz w:val="22"/>
                <w:szCs w:val="22"/>
                <w:lang w:eastAsia="es-MX"/>
              </w:rPr>
              <w:t>3.351</w:t>
            </w:r>
          </w:p>
        </w:tc>
        <w:tc>
          <w:tcPr>
            <w:tcW w:w="2268" w:type="dxa"/>
            <w:shd w:val="clear" w:color="000000" w:fill="FFFF00"/>
            <w:noWrap/>
            <w:vAlign w:val="bottom"/>
            <w:hideMark/>
          </w:tcPr>
          <w:p w14:paraId="0F505908" w14:textId="77777777" w:rsidR="00C62DF7" w:rsidRPr="009C55DC" w:rsidRDefault="00C62DF7" w:rsidP="00660FA4">
            <w:pPr>
              <w:jc w:val="center"/>
              <w:rPr>
                <w:b/>
                <w:bCs/>
                <w:color w:val="000000"/>
                <w:sz w:val="22"/>
                <w:szCs w:val="22"/>
                <w:highlight w:val="lightGray"/>
                <w:lang w:eastAsia="es-MX"/>
              </w:rPr>
            </w:pPr>
            <w:r w:rsidRPr="009C55DC">
              <w:rPr>
                <w:b/>
                <w:bCs/>
                <w:color w:val="000000"/>
                <w:sz w:val="22"/>
                <w:szCs w:val="22"/>
                <w:highlight w:val="lightGray"/>
                <w:lang w:eastAsia="es-MX"/>
              </w:rPr>
              <w:t>3.068</w:t>
            </w:r>
          </w:p>
        </w:tc>
        <w:tc>
          <w:tcPr>
            <w:tcW w:w="1843" w:type="dxa"/>
            <w:shd w:val="clear" w:color="auto" w:fill="auto"/>
            <w:noWrap/>
            <w:vAlign w:val="bottom"/>
            <w:hideMark/>
          </w:tcPr>
          <w:p w14:paraId="187450D0" w14:textId="21A61B88" w:rsidR="00C62DF7" w:rsidRPr="00D903B1" w:rsidRDefault="00405B9A" w:rsidP="00660FA4">
            <w:pPr>
              <w:jc w:val="center"/>
              <w:rPr>
                <w:color w:val="000000"/>
                <w:sz w:val="22"/>
                <w:szCs w:val="22"/>
                <w:lang w:eastAsia="es-MX"/>
              </w:rPr>
            </w:pPr>
            <w:r w:rsidRPr="009C55DC">
              <w:rPr>
                <w:color w:val="000000"/>
                <w:sz w:val="22"/>
                <w:szCs w:val="22"/>
                <w:highlight w:val="lightGray"/>
                <w:lang w:eastAsia="es-MX"/>
              </w:rPr>
              <w:t>----------</w:t>
            </w:r>
          </w:p>
        </w:tc>
      </w:tr>
      <w:tr w:rsidR="00C62DF7" w:rsidRPr="008A108D" w14:paraId="784F7A86" w14:textId="77777777" w:rsidTr="00405B9A">
        <w:trPr>
          <w:trHeight w:val="320"/>
        </w:trPr>
        <w:tc>
          <w:tcPr>
            <w:tcW w:w="606" w:type="dxa"/>
            <w:shd w:val="clear" w:color="auto" w:fill="auto"/>
            <w:noWrap/>
            <w:vAlign w:val="bottom"/>
            <w:hideMark/>
          </w:tcPr>
          <w:p w14:paraId="43B6D38D"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P34</w:t>
            </w:r>
          </w:p>
        </w:tc>
        <w:tc>
          <w:tcPr>
            <w:tcW w:w="2224" w:type="dxa"/>
            <w:shd w:val="clear" w:color="auto" w:fill="auto"/>
            <w:noWrap/>
            <w:vAlign w:val="bottom"/>
            <w:hideMark/>
          </w:tcPr>
          <w:p w14:paraId="57DE8E81"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1.819</w:t>
            </w:r>
          </w:p>
        </w:tc>
        <w:tc>
          <w:tcPr>
            <w:tcW w:w="1843" w:type="dxa"/>
            <w:shd w:val="clear" w:color="auto" w:fill="auto"/>
            <w:noWrap/>
            <w:vAlign w:val="bottom"/>
            <w:hideMark/>
          </w:tcPr>
          <w:p w14:paraId="100DD33E"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0.944</w:t>
            </w:r>
          </w:p>
        </w:tc>
        <w:tc>
          <w:tcPr>
            <w:tcW w:w="2268" w:type="dxa"/>
            <w:shd w:val="clear" w:color="auto" w:fill="auto"/>
            <w:noWrap/>
            <w:vAlign w:val="bottom"/>
            <w:hideMark/>
          </w:tcPr>
          <w:p w14:paraId="7D6DA5F8"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0.943</w:t>
            </w:r>
          </w:p>
        </w:tc>
        <w:tc>
          <w:tcPr>
            <w:tcW w:w="1843" w:type="dxa"/>
            <w:shd w:val="clear" w:color="auto" w:fill="auto"/>
            <w:noWrap/>
            <w:vAlign w:val="bottom"/>
            <w:hideMark/>
          </w:tcPr>
          <w:p w14:paraId="728520FD" w14:textId="77777777" w:rsidR="00C62DF7" w:rsidRPr="00D903B1" w:rsidRDefault="00C62DF7" w:rsidP="00660FA4">
            <w:pPr>
              <w:jc w:val="center"/>
              <w:rPr>
                <w:color w:val="000000"/>
                <w:sz w:val="22"/>
                <w:szCs w:val="22"/>
                <w:lang w:eastAsia="es-MX"/>
              </w:rPr>
            </w:pPr>
            <w:r w:rsidRPr="00D903B1">
              <w:rPr>
                <w:color w:val="000000"/>
                <w:sz w:val="22"/>
                <w:szCs w:val="22"/>
                <w:lang w:eastAsia="es-MX"/>
              </w:rPr>
              <w:t>0.992</w:t>
            </w:r>
          </w:p>
        </w:tc>
      </w:tr>
      <w:tr w:rsidR="00C62DF7" w:rsidRPr="008A108D" w14:paraId="370B0F3A" w14:textId="77777777" w:rsidTr="00405B9A">
        <w:trPr>
          <w:trHeight w:val="320"/>
        </w:trPr>
        <w:tc>
          <w:tcPr>
            <w:tcW w:w="606" w:type="dxa"/>
            <w:shd w:val="clear" w:color="auto" w:fill="auto"/>
            <w:noWrap/>
            <w:vAlign w:val="bottom"/>
            <w:hideMark/>
          </w:tcPr>
          <w:p w14:paraId="1C1C672F"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P8</w:t>
            </w:r>
          </w:p>
        </w:tc>
        <w:tc>
          <w:tcPr>
            <w:tcW w:w="2224" w:type="dxa"/>
            <w:shd w:val="clear" w:color="auto" w:fill="auto"/>
            <w:noWrap/>
            <w:vAlign w:val="bottom"/>
            <w:hideMark/>
          </w:tcPr>
          <w:p w14:paraId="08AF3D56" w14:textId="77777777" w:rsidR="00C62DF7" w:rsidRPr="00D903B1" w:rsidRDefault="00C62DF7" w:rsidP="00660FA4">
            <w:pPr>
              <w:jc w:val="center"/>
              <w:rPr>
                <w:color w:val="000000"/>
                <w:sz w:val="22"/>
                <w:szCs w:val="22"/>
                <w:lang w:eastAsia="es-MX"/>
              </w:rPr>
            </w:pPr>
            <w:r w:rsidRPr="00D903B1">
              <w:rPr>
                <w:color w:val="000000"/>
                <w:sz w:val="22"/>
                <w:szCs w:val="22"/>
                <w:lang w:eastAsia="es-MX"/>
              </w:rPr>
              <w:t>4.359</w:t>
            </w:r>
          </w:p>
        </w:tc>
        <w:tc>
          <w:tcPr>
            <w:tcW w:w="1843" w:type="dxa"/>
            <w:shd w:val="clear" w:color="000000" w:fill="FFFF00"/>
            <w:noWrap/>
            <w:vAlign w:val="bottom"/>
            <w:hideMark/>
          </w:tcPr>
          <w:p w14:paraId="45D0B5C1" w14:textId="77777777" w:rsidR="00C62DF7" w:rsidRPr="00D903B1" w:rsidRDefault="00C62DF7" w:rsidP="00660FA4">
            <w:pPr>
              <w:jc w:val="center"/>
              <w:rPr>
                <w:b/>
                <w:bCs/>
                <w:color w:val="000000"/>
                <w:sz w:val="22"/>
                <w:szCs w:val="22"/>
                <w:lang w:eastAsia="es-MX"/>
              </w:rPr>
            </w:pPr>
            <w:r w:rsidRPr="009C55DC">
              <w:rPr>
                <w:b/>
                <w:bCs/>
                <w:color w:val="000000"/>
                <w:sz w:val="22"/>
                <w:szCs w:val="22"/>
                <w:highlight w:val="lightGray"/>
                <w:lang w:eastAsia="es-MX"/>
              </w:rPr>
              <w:t>3.68</w:t>
            </w:r>
          </w:p>
        </w:tc>
        <w:tc>
          <w:tcPr>
            <w:tcW w:w="2268" w:type="dxa"/>
            <w:shd w:val="clear" w:color="auto" w:fill="auto"/>
            <w:noWrap/>
            <w:vAlign w:val="bottom"/>
            <w:hideMark/>
          </w:tcPr>
          <w:p w14:paraId="72D978B7" w14:textId="176FCB9B" w:rsidR="00C62DF7" w:rsidRPr="00D903B1" w:rsidRDefault="00405B9A" w:rsidP="00660FA4">
            <w:pPr>
              <w:jc w:val="center"/>
              <w:rPr>
                <w:color w:val="000000"/>
                <w:sz w:val="22"/>
                <w:szCs w:val="22"/>
                <w:lang w:eastAsia="es-MX"/>
              </w:rPr>
            </w:pPr>
            <w:r w:rsidRPr="009C55DC">
              <w:rPr>
                <w:color w:val="000000"/>
                <w:sz w:val="22"/>
                <w:szCs w:val="22"/>
                <w:highlight w:val="lightGray"/>
                <w:lang w:eastAsia="es-MX"/>
              </w:rPr>
              <w:t>------------</w:t>
            </w:r>
          </w:p>
        </w:tc>
        <w:tc>
          <w:tcPr>
            <w:tcW w:w="1843" w:type="dxa"/>
            <w:shd w:val="clear" w:color="auto" w:fill="auto"/>
            <w:noWrap/>
            <w:vAlign w:val="bottom"/>
            <w:hideMark/>
          </w:tcPr>
          <w:p w14:paraId="1BF8E8E3" w14:textId="3D3CABC7" w:rsidR="00C62DF7" w:rsidRPr="00D903B1" w:rsidRDefault="00405B9A" w:rsidP="00660FA4">
            <w:pPr>
              <w:jc w:val="center"/>
              <w:rPr>
                <w:sz w:val="22"/>
                <w:szCs w:val="22"/>
                <w:lang w:eastAsia="es-MX"/>
              </w:rPr>
            </w:pPr>
            <w:r w:rsidRPr="009C55DC">
              <w:rPr>
                <w:sz w:val="22"/>
                <w:szCs w:val="22"/>
                <w:highlight w:val="lightGray"/>
                <w:lang w:eastAsia="es-MX"/>
              </w:rPr>
              <w:t>------------</w:t>
            </w:r>
          </w:p>
        </w:tc>
      </w:tr>
      <w:tr w:rsidR="00C62DF7" w:rsidRPr="008A108D" w14:paraId="1497F64B" w14:textId="77777777" w:rsidTr="00405B9A">
        <w:trPr>
          <w:trHeight w:val="320"/>
        </w:trPr>
        <w:tc>
          <w:tcPr>
            <w:tcW w:w="606" w:type="dxa"/>
            <w:shd w:val="clear" w:color="auto" w:fill="auto"/>
            <w:noWrap/>
            <w:vAlign w:val="bottom"/>
            <w:hideMark/>
          </w:tcPr>
          <w:p w14:paraId="3E53F7D7"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P9</w:t>
            </w:r>
          </w:p>
        </w:tc>
        <w:tc>
          <w:tcPr>
            <w:tcW w:w="2224" w:type="dxa"/>
            <w:shd w:val="clear" w:color="auto" w:fill="auto"/>
            <w:noWrap/>
            <w:vAlign w:val="bottom"/>
            <w:hideMark/>
          </w:tcPr>
          <w:p w14:paraId="3657CFCB"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1.764</w:t>
            </w:r>
          </w:p>
        </w:tc>
        <w:tc>
          <w:tcPr>
            <w:tcW w:w="1843" w:type="dxa"/>
            <w:shd w:val="clear" w:color="auto" w:fill="auto"/>
            <w:noWrap/>
            <w:vAlign w:val="bottom"/>
            <w:hideMark/>
          </w:tcPr>
          <w:p w14:paraId="61CB6CAB"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1.527</w:t>
            </w:r>
          </w:p>
        </w:tc>
        <w:tc>
          <w:tcPr>
            <w:tcW w:w="2268" w:type="dxa"/>
            <w:shd w:val="clear" w:color="auto" w:fill="auto"/>
            <w:noWrap/>
            <w:vAlign w:val="bottom"/>
            <w:hideMark/>
          </w:tcPr>
          <w:p w14:paraId="5414D8BA"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1.465</w:t>
            </w:r>
          </w:p>
        </w:tc>
        <w:tc>
          <w:tcPr>
            <w:tcW w:w="1843" w:type="dxa"/>
            <w:shd w:val="clear" w:color="auto" w:fill="auto"/>
            <w:noWrap/>
            <w:vAlign w:val="bottom"/>
            <w:hideMark/>
          </w:tcPr>
          <w:p w14:paraId="3ECB3408" w14:textId="77777777" w:rsidR="00C62DF7" w:rsidRPr="00D903B1" w:rsidRDefault="00C62DF7" w:rsidP="00660FA4">
            <w:pPr>
              <w:jc w:val="center"/>
              <w:rPr>
                <w:color w:val="000000"/>
                <w:sz w:val="22"/>
                <w:szCs w:val="22"/>
                <w:lang w:eastAsia="es-MX"/>
              </w:rPr>
            </w:pPr>
            <w:r w:rsidRPr="00D903B1">
              <w:rPr>
                <w:color w:val="000000"/>
                <w:sz w:val="22"/>
                <w:szCs w:val="22"/>
                <w:lang w:eastAsia="es-MX"/>
              </w:rPr>
              <w:t>1.354</w:t>
            </w:r>
          </w:p>
        </w:tc>
      </w:tr>
      <w:tr w:rsidR="00C62DF7" w:rsidRPr="008A108D" w14:paraId="7D7F4653" w14:textId="77777777" w:rsidTr="00405B9A">
        <w:trPr>
          <w:trHeight w:val="320"/>
        </w:trPr>
        <w:tc>
          <w:tcPr>
            <w:tcW w:w="606" w:type="dxa"/>
            <w:shd w:val="clear" w:color="auto" w:fill="auto"/>
            <w:noWrap/>
            <w:vAlign w:val="bottom"/>
            <w:hideMark/>
          </w:tcPr>
          <w:p w14:paraId="24D0577E"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P10</w:t>
            </w:r>
          </w:p>
        </w:tc>
        <w:tc>
          <w:tcPr>
            <w:tcW w:w="2224" w:type="dxa"/>
            <w:shd w:val="clear" w:color="auto" w:fill="auto"/>
            <w:noWrap/>
            <w:vAlign w:val="bottom"/>
            <w:hideMark/>
          </w:tcPr>
          <w:p w14:paraId="67B931BF"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2.665</w:t>
            </w:r>
          </w:p>
        </w:tc>
        <w:tc>
          <w:tcPr>
            <w:tcW w:w="1843" w:type="dxa"/>
            <w:shd w:val="clear" w:color="auto" w:fill="auto"/>
            <w:noWrap/>
            <w:vAlign w:val="bottom"/>
            <w:hideMark/>
          </w:tcPr>
          <w:p w14:paraId="46B65656"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2.069</w:t>
            </w:r>
          </w:p>
        </w:tc>
        <w:tc>
          <w:tcPr>
            <w:tcW w:w="2268" w:type="dxa"/>
            <w:shd w:val="clear" w:color="auto" w:fill="auto"/>
            <w:noWrap/>
            <w:vAlign w:val="bottom"/>
            <w:hideMark/>
          </w:tcPr>
          <w:p w14:paraId="5C1AF4F0"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2.069</w:t>
            </w:r>
          </w:p>
        </w:tc>
        <w:tc>
          <w:tcPr>
            <w:tcW w:w="1843" w:type="dxa"/>
            <w:shd w:val="clear" w:color="auto" w:fill="auto"/>
            <w:noWrap/>
            <w:vAlign w:val="bottom"/>
            <w:hideMark/>
          </w:tcPr>
          <w:p w14:paraId="113370E9" w14:textId="77777777" w:rsidR="00C62DF7" w:rsidRPr="00D903B1" w:rsidRDefault="00C62DF7" w:rsidP="00660FA4">
            <w:pPr>
              <w:jc w:val="center"/>
              <w:rPr>
                <w:color w:val="000000"/>
                <w:sz w:val="22"/>
                <w:szCs w:val="22"/>
                <w:lang w:eastAsia="es-MX"/>
              </w:rPr>
            </w:pPr>
            <w:r w:rsidRPr="00D903B1">
              <w:rPr>
                <w:color w:val="000000"/>
                <w:sz w:val="22"/>
                <w:szCs w:val="22"/>
                <w:lang w:eastAsia="es-MX"/>
              </w:rPr>
              <w:t>2.019</w:t>
            </w:r>
          </w:p>
        </w:tc>
      </w:tr>
      <w:tr w:rsidR="00C62DF7" w:rsidRPr="008A108D" w14:paraId="10364BBB" w14:textId="77777777" w:rsidTr="00405B9A">
        <w:trPr>
          <w:trHeight w:val="320"/>
        </w:trPr>
        <w:tc>
          <w:tcPr>
            <w:tcW w:w="606" w:type="dxa"/>
            <w:shd w:val="clear" w:color="auto" w:fill="auto"/>
            <w:noWrap/>
            <w:vAlign w:val="bottom"/>
            <w:hideMark/>
          </w:tcPr>
          <w:p w14:paraId="16B9DA63" w14:textId="77777777" w:rsidR="00C62DF7" w:rsidRPr="00D903B1" w:rsidRDefault="00C62DF7" w:rsidP="00660FA4">
            <w:pPr>
              <w:jc w:val="center"/>
              <w:rPr>
                <w:color w:val="000000"/>
                <w:sz w:val="22"/>
                <w:szCs w:val="22"/>
                <w:lang w:eastAsia="es-MX"/>
              </w:rPr>
            </w:pPr>
            <w:r w:rsidRPr="00D903B1">
              <w:rPr>
                <w:color w:val="000000"/>
                <w:sz w:val="22"/>
                <w:szCs w:val="22"/>
                <w:lang w:eastAsia="es-MX"/>
              </w:rPr>
              <w:t>P14</w:t>
            </w:r>
          </w:p>
        </w:tc>
        <w:tc>
          <w:tcPr>
            <w:tcW w:w="2224" w:type="dxa"/>
            <w:shd w:val="clear" w:color="000000" w:fill="FFFF00"/>
            <w:noWrap/>
            <w:vAlign w:val="bottom"/>
            <w:hideMark/>
          </w:tcPr>
          <w:p w14:paraId="72FBC1BB" w14:textId="77777777" w:rsidR="00C62DF7" w:rsidRPr="00D903B1" w:rsidRDefault="00C62DF7" w:rsidP="00660FA4">
            <w:pPr>
              <w:jc w:val="center"/>
              <w:rPr>
                <w:b/>
                <w:bCs/>
                <w:color w:val="000000"/>
                <w:sz w:val="22"/>
                <w:szCs w:val="22"/>
                <w:lang w:eastAsia="es-MX"/>
              </w:rPr>
            </w:pPr>
            <w:r w:rsidRPr="009C55DC">
              <w:rPr>
                <w:b/>
                <w:bCs/>
                <w:color w:val="000000"/>
                <w:sz w:val="22"/>
                <w:szCs w:val="22"/>
                <w:highlight w:val="lightGray"/>
                <w:lang w:eastAsia="es-MX"/>
              </w:rPr>
              <w:t>5.839</w:t>
            </w:r>
          </w:p>
        </w:tc>
        <w:tc>
          <w:tcPr>
            <w:tcW w:w="1843" w:type="dxa"/>
            <w:shd w:val="clear" w:color="auto" w:fill="auto"/>
            <w:noWrap/>
            <w:vAlign w:val="bottom"/>
            <w:hideMark/>
          </w:tcPr>
          <w:p w14:paraId="3F4424DC" w14:textId="1F4F0A76" w:rsidR="00C62DF7" w:rsidRPr="009C55DC" w:rsidRDefault="009C55DC" w:rsidP="00660FA4">
            <w:pPr>
              <w:jc w:val="center"/>
              <w:rPr>
                <w:color w:val="000000"/>
                <w:sz w:val="22"/>
                <w:szCs w:val="22"/>
                <w:highlight w:val="lightGray"/>
                <w:lang w:eastAsia="es-MX"/>
              </w:rPr>
            </w:pPr>
            <w:r>
              <w:rPr>
                <w:color w:val="000000"/>
                <w:sz w:val="22"/>
                <w:szCs w:val="22"/>
                <w:highlight w:val="lightGray"/>
                <w:lang w:eastAsia="es-MX"/>
              </w:rPr>
              <w:t>-------------</w:t>
            </w:r>
          </w:p>
        </w:tc>
        <w:tc>
          <w:tcPr>
            <w:tcW w:w="2268" w:type="dxa"/>
            <w:shd w:val="clear" w:color="auto" w:fill="auto"/>
            <w:noWrap/>
            <w:vAlign w:val="bottom"/>
            <w:hideMark/>
          </w:tcPr>
          <w:p w14:paraId="3446E490" w14:textId="6E0AAC7C" w:rsidR="00C62DF7" w:rsidRPr="009C55DC" w:rsidRDefault="009C55DC" w:rsidP="00660FA4">
            <w:pPr>
              <w:jc w:val="center"/>
              <w:rPr>
                <w:sz w:val="22"/>
                <w:szCs w:val="22"/>
                <w:lang w:eastAsia="es-MX"/>
              </w:rPr>
            </w:pPr>
            <w:r w:rsidRPr="009C55DC">
              <w:rPr>
                <w:sz w:val="22"/>
                <w:szCs w:val="22"/>
                <w:highlight w:val="lightGray"/>
                <w:lang w:eastAsia="es-MX"/>
              </w:rPr>
              <w:t>---------------</w:t>
            </w:r>
          </w:p>
        </w:tc>
        <w:tc>
          <w:tcPr>
            <w:tcW w:w="1843" w:type="dxa"/>
            <w:shd w:val="clear" w:color="auto" w:fill="auto"/>
            <w:noWrap/>
            <w:vAlign w:val="bottom"/>
            <w:hideMark/>
          </w:tcPr>
          <w:p w14:paraId="1EBB3D95" w14:textId="2274B557" w:rsidR="00C62DF7" w:rsidRPr="009C55DC" w:rsidRDefault="009C55DC" w:rsidP="00660FA4">
            <w:pPr>
              <w:jc w:val="center"/>
              <w:rPr>
                <w:sz w:val="22"/>
                <w:szCs w:val="22"/>
                <w:lang w:eastAsia="es-MX"/>
              </w:rPr>
            </w:pPr>
            <w:r w:rsidRPr="009C55DC">
              <w:rPr>
                <w:sz w:val="22"/>
                <w:szCs w:val="22"/>
                <w:highlight w:val="lightGray"/>
                <w:lang w:eastAsia="es-MX"/>
              </w:rPr>
              <w:t>---------------</w:t>
            </w:r>
          </w:p>
        </w:tc>
      </w:tr>
    </w:tbl>
    <w:p w14:paraId="73F28EE6" w14:textId="647A81C3" w:rsidR="00827639" w:rsidRPr="00405B9A" w:rsidRDefault="00405B9A" w:rsidP="00827639">
      <w:pPr>
        <w:spacing w:line="360" w:lineRule="auto"/>
        <w:jc w:val="center"/>
        <w:rPr>
          <w:b/>
        </w:rPr>
      </w:pPr>
      <w:r w:rsidRPr="00405B9A">
        <w:rPr>
          <w:bCs/>
        </w:rPr>
        <w:t xml:space="preserve">Fuente: </w:t>
      </w:r>
      <w:r w:rsidR="00827639" w:rsidRPr="00405B9A">
        <w:rPr>
          <w:bCs/>
        </w:rPr>
        <w:t>Elaboración propia</w:t>
      </w:r>
      <w:r w:rsidR="00827639">
        <w:rPr>
          <w:bCs/>
        </w:rPr>
        <w:t xml:space="preserve"> </w:t>
      </w:r>
      <w:r w:rsidR="00827639">
        <w:t>basada en los resultados obtenidos de</w:t>
      </w:r>
      <w:r w:rsidR="00827639">
        <w:rPr>
          <w:bCs/>
        </w:rPr>
        <w:t xml:space="preserve"> AMOS versión 25.</w:t>
      </w:r>
    </w:p>
    <w:p w14:paraId="59F1BD3F" w14:textId="51943D60" w:rsidR="00252403" w:rsidRDefault="00252403" w:rsidP="00681E99">
      <w:pPr>
        <w:spacing w:line="360" w:lineRule="auto"/>
        <w:ind w:firstLine="709"/>
        <w:jc w:val="both"/>
      </w:pPr>
      <w:r>
        <w:t>En l</w:t>
      </w:r>
      <w:r w:rsidR="00A7245A" w:rsidRPr="00A7245A">
        <w:t xml:space="preserve">a Figura </w:t>
      </w:r>
      <w:r w:rsidR="006F2DBD">
        <w:t>3</w:t>
      </w:r>
      <w:r w:rsidR="00A7245A" w:rsidRPr="00A7245A">
        <w:t xml:space="preserve"> </w:t>
      </w:r>
      <w:r w:rsidRPr="00252403">
        <w:t>se presentan las relaciones de carga entre cada ítem y su factor asignado, presentando cargas por arriba de 0.5, lo que muestra la correlación de cada pregunta con su respectiva dimensión, así como una correlación fuerte positiva entre cada factor</w:t>
      </w:r>
      <w:r w:rsidR="00A7245A" w:rsidRPr="00A7245A">
        <w:t xml:space="preserve">. </w:t>
      </w:r>
    </w:p>
    <w:p w14:paraId="1709C20A" w14:textId="560B6703" w:rsidR="00EE5094" w:rsidRDefault="00A7245A" w:rsidP="00681E99">
      <w:pPr>
        <w:spacing w:line="360" w:lineRule="auto"/>
        <w:ind w:firstLine="709"/>
        <w:jc w:val="both"/>
      </w:pPr>
      <w:r w:rsidRPr="00A7245A">
        <w:t xml:space="preserve">Por su parte, </w:t>
      </w:r>
      <w:r w:rsidR="00EE5094">
        <w:t xml:space="preserve">las covarianzas de los residuos estandarizados indica que los coeficientes correspondientes a todos los ítems están por debajo del límite de 2.58, </w:t>
      </w:r>
      <w:r w:rsidR="00827639">
        <w:t xml:space="preserve">como se puede observar en la Tabla </w:t>
      </w:r>
      <w:r w:rsidR="006F2DBD">
        <w:t>7</w:t>
      </w:r>
      <w:r w:rsidR="00EE5094">
        <w:t>.</w:t>
      </w:r>
    </w:p>
    <w:p w14:paraId="016CB512" w14:textId="426B345A" w:rsidR="003D0640" w:rsidRDefault="003D0640" w:rsidP="00EE5094">
      <w:pPr>
        <w:spacing w:before="100" w:beforeAutospacing="1" w:after="100" w:afterAutospacing="1" w:line="360" w:lineRule="auto"/>
        <w:jc w:val="both"/>
      </w:pPr>
    </w:p>
    <w:p w14:paraId="25C43F1C" w14:textId="74B5CF03" w:rsidR="003D0640" w:rsidRDefault="003D0640" w:rsidP="00EE5094">
      <w:pPr>
        <w:spacing w:before="100" w:beforeAutospacing="1" w:after="100" w:afterAutospacing="1" w:line="360" w:lineRule="auto"/>
        <w:jc w:val="both"/>
      </w:pPr>
    </w:p>
    <w:p w14:paraId="7DD3AEFB" w14:textId="3CECCDFE" w:rsidR="003D0640" w:rsidRDefault="003D0640" w:rsidP="00EE5094">
      <w:pPr>
        <w:spacing w:before="100" w:beforeAutospacing="1" w:after="100" w:afterAutospacing="1" w:line="360" w:lineRule="auto"/>
        <w:jc w:val="both"/>
      </w:pPr>
    </w:p>
    <w:p w14:paraId="63A75805" w14:textId="25E8B459" w:rsidR="003D0640" w:rsidRDefault="003D0640" w:rsidP="00EE5094">
      <w:pPr>
        <w:spacing w:before="100" w:beforeAutospacing="1" w:after="100" w:afterAutospacing="1" w:line="360" w:lineRule="auto"/>
        <w:jc w:val="both"/>
      </w:pPr>
    </w:p>
    <w:p w14:paraId="6B5B8FD3" w14:textId="32A97529" w:rsidR="003D0640" w:rsidRDefault="003D0640" w:rsidP="00EE5094">
      <w:pPr>
        <w:spacing w:before="100" w:beforeAutospacing="1" w:after="100" w:afterAutospacing="1" w:line="360" w:lineRule="auto"/>
        <w:jc w:val="both"/>
      </w:pPr>
    </w:p>
    <w:p w14:paraId="59D23DAB" w14:textId="03FF8583" w:rsidR="00D903B1" w:rsidRPr="00405B9A" w:rsidRDefault="00D903B1" w:rsidP="00681E99">
      <w:pPr>
        <w:spacing w:before="100" w:beforeAutospacing="1" w:after="100" w:afterAutospacing="1" w:line="360" w:lineRule="auto"/>
        <w:jc w:val="center"/>
        <w:rPr>
          <w:b/>
          <w:bCs/>
        </w:rPr>
      </w:pPr>
      <w:r w:rsidRPr="00D903B1">
        <w:rPr>
          <w:b/>
          <w:bCs/>
        </w:rPr>
        <w:lastRenderedPageBreak/>
        <w:t xml:space="preserve">Figura </w:t>
      </w:r>
      <w:r w:rsidR="006F2DBD">
        <w:rPr>
          <w:b/>
          <w:bCs/>
        </w:rPr>
        <w:t>3</w:t>
      </w:r>
      <w:r w:rsidRPr="00D903B1">
        <w:rPr>
          <w:b/>
          <w:bCs/>
        </w:rPr>
        <w:t>.</w:t>
      </w:r>
      <w:r w:rsidR="00405B9A">
        <w:rPr>
          <w:b/>
          <w:bCs/>
        </w:rPr>
        <w:t xml:space="preserve"> </w:t>
      </w:r>
      <w:r w:rsidRPr="00D903B1">
        <w:rPr>
          <w:i/>
          <w:iCs/>
        </w:rPr>
        <w:t>Análisis de cargas factoriales</w:t>
      </w:r>
    </w:p>
    <w:p w14:paraId="4C79E1FE" w14:textId="56094473" w:rsidR="00C62DF7" w:rsidRDefault="00C62DF7">
      <w:pPr>
        <w:shd w:val="clear" w:color="auto" w:fill="FFFFFF"/>
        <w:spacing w:line="360" w:lineRule="auto"/>
        <w:jc w:val="center"/>
        <w:rPr>
          <w:b/>
        </w:rPr>
      </w:pPr>
    </w:p>
    <w:p w14:paraId="7ADFB007" w14:textId="3C93E245" w:rsidR="00C62DF7" w:rsidRDefault="003D0640">
      <w:pPr>
        <w:shd w:val="clear" w:color="auto" w:fill="FFFFFF"/>
        <w:spacing w:line="360" w:lineRule="auto"/>
        <w:jc w:val="center"/>
        <w:rPr>
          <w:b/>
        </w:rPr>
      </w:pPr>
      <w:r w:rsidRPr="007A50FB">
        <w:rPr>
          <w:noProof/>
        </w:rPr>
        <w:drawing>
          <wp:anchor distT="0" distB="0" distL="114300" distR="114300" simplePos="0" relativeHeight="251659264" behindDoc="0" locked="0" layoutInCell="1" allowOverlap="1" wp14:anchorId="3A54E1FA" wp14:editId="7973AC29">
            <wp:simplePos x="0" y="0"/>
            <wp:positionH relativeFrom="column">
              <wp:posOffset>974322</wp:posOffset>
            </wp:positionH>
            <wp:positionV relativeFrom="paragraph">
              <wp:posOffset>-427625</wp:posOffset>
            </wp:positionV>
            <wp:extent cx="3221990" cy="5123815"/>
            <wp:effectExtent l="0" t="0" r="3810" b="0"/>
            <wp:wrapNone/>
            <wp:docPr id="16669051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05143" name=""/>
                    <pic:cNvPicPr/>
                  </pic:nvPicPr>
                  <pic:blipFill rotWithShape="1">
                    <a:blip r:embed="rId10">
                      <a:extLst>
                        <a:ext uri="{28A0092B-C50C-407E-A947-70E740481C1C}">
                          <a14:useLocalDpi xmlns:a14="http://schemas.microsoft.com/office/drawing/2010/main" val="0"/>
                        </a:ext>
                      </a:extLst>
                    </a:blip>
                    <a:srcRect l="14760" t="17760" r="25513" b="8865"/>
                    <a:stretch/>
                  </pic:blipFill>
                  <pic:spPr bwMode="auto">
                    <a:xfrm>
                      <a:off x="0" y="0"/>
                      <a:ext cx="3221990" cy="5123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70E5D1" w14:textId="77777777" w:rsidR="00C62DF7" w:rsidRDefault="00C62DF7">
      <w:pPr>
        <w:shd w:val="clear" w:color="auto" w:fill="FFFFFF"/>
        <w:spacing w:line="360" w:lineRule="auto"/>
        <w:jc w:val="center"/>
        <w:rPr>
          <w:b/>
        </w:rPr>
      </w:pPr>
    </w:p>
    <w:p w14:paraId="702D64B4" w14:textId="77777777" w:rsidR="00C62DF7" w:rsidRDefault="00C62DF7">
      <w:pPr>
        <w:shd w:val="clear" w:color="auto" w:fill="FFFFFF"/>
        <w:spacing w:line="360" w:lineRule="auto"/>
        <w:jc w:val="center"/>
        <w:rPr>
          <w:b/>
        </w:rPr>
      </w:pPr>
    </w:p>
    <w:p w14:paraId="187D4F3E" w14:textId="77777777" w:rsidR="00C62DF7" w:rsidRDefault="00C62DF7">
      <w:pPr>
        <w:shd w:val="clear" w:color="auto" w:fill="FFFFFF"/>
        <w:spacing w:line="360" w:lineRule="auto"/>
        <w:jc w:val="center"/>
        <w:rPr>
          <w:b/>
        </w:rPr>
      </w:pPr>
    </w:p>
    <w:p w14:paraId="1A55CF1F" w14:textId="77777777" w:rsidR="00C62DF7" w:rsidRDefault="00C62DF7">
      <w:pPr>
        <w:shd w:val="clear" w:color="auto" w:fill="FFFFFF"/>
        <w:spacing w:line="360" w:lineRule="auto"/>
        <w:jc w:val="center"/>
        <w:rPr>
          <w:b/>
        </w:rPr>
      </w:pPr>
    </w:p>
    <w:p w14:paraId="68F7AAAE" w14:textId="77777777" w:rsidR="00AE1CF2" w:rsidRDefault="00AE1CF2">
      <w:pPr>
        <w:shd w:val="clear" w:color="auto" w:fill="FFFFFF"/>
        <w:spacing w:line="360" w:lineRule="auto"/>
        <w:jc w:val="center"/>
        <w:rPr>
          <w:b/>
        </w:rPr>
      </w:pPr>
    </w:p>
    <w:p w14:paraId="005BCDED" w14:textId="77777777" w:rsidR="00AE1CF2" w:rsidRDefault="00AE1CF2">
      <w:pPr>
        <w:shd w:val="clear" w:color="auto" w:fill="FFFFFF"/>
        <w:spacing w:line="360" w:lineRule="auto"/>
        <w:jc w:val="center"/>
        <w:rPr>
          <w:b/>
        </w:rPr>
      </w:pPr>
    </w:p>
    <w:p w14:paraId="5CF7A21C" w14:textId="77777777" w:rsidR="00AE1CF2" w:rsidRDefault="00AE1CF2">
      <w:pPr>
        <w:shd w:val="clear" w:color="auto" w:fill="FFFFFF"/>
        <w:spacing w:line="360" w:lineRule="auto"/>
        <w:jc w:val="center"/>
        <w:rPr>
          <w:b/>
        </w:rPr>
      </w:pPr>
    </w:p>
    <w:p w14:paraId="2313020A" w14:textId="77777777" w:rsidR="00AE1CF2" w:rsidRDefault="00AE1CF2">
      <w:pPr>
        <w:shd w:val="clear" w:color="auto" w:fill="FFFFFF"/>
        <w:spacing w:line="360" w:lineRule="auto"/>
        <w:jc w:val="center"/>
        <w:rPr>
          <w:b/>
        </w:rPr>
      </w:pPr>
    </w:p>
    <w:p w14:paraId="2B41F0C8" w14:textId="77777777" w:rsidR="00AE1CF2" w:rsidRDefault="00AE1CF2">
      <w:pPr>
        <w:shd w:val="clear" w:color="auto" w:fill="FFFFFF"/>
        <w:spacing w:line="360" w:lineRule="auto"/>
        <w:jc w:val="center"/>
        <w:rPr>
          <w:b/>
        </w:rPr>
      </w:pPr>
    </w:p>
    <w:p w14:paraId="1BBEF682" w14:textId="77777777" w:rsidR="00AE1CF2" w:rsidRDefault="00AE1CF2">
      <w:pPr>
        <w:shd w:val="clear" w:color="auto" w:fill="FFFFFF"/>
        <w:spacing w:line="360" w:lineRule="auto"/>
        <w:jc w:val="center"/>
        <w:rPr>
          <w:b/>
        </w:rPr>
      </w:pPr>
    </w:p>
    <w:p w14:paraId="0803A881" w14:textId="77777777" w:rsidR="00AE1CF2" w:rsidRDefault="00AE1CF2">
      <w:pPr>
        <w:shd w:val="clear" w:color="auto" w:fill="FFFFFF"/>
        <w:spacing w:line="360" w:lineRule="auto"/>
        <w:jc w:val="center"/>
        <w:rPr>
          <w:b/>
        </w:rPr>
      </w:pPr>
    </w:p>
    <w:p w14:paraId="0F641716" w14:textId="77777777" w:rsidR="00AE1CF2" w:rsidRDefault="00AE1CF2">
      <w:pPr>
        <w:shd w:val="clear" w:color="auto" w:fill="FFFFFF"/>
        <w:spacing w:line="360" w:lineRule="auto"/>
        <w:jc w:val="center"/>
        <w:rPr>
          <w:b/>
        </w:rPr>
      </w:pPr>
    </w:p>
    <w:p w14:paraId="0DD65FA4" w14:textId="77777777" w:rsidR="00AE1CF2" w:rsidRDefault="00AE1CF2">
      <w:pPr>
        <w:shd w:val="clear" w:color="auto" w:fill="FFFFFF"/>
        <w:spacing w:line="360" w:lineRule="auto"/>
        <w:jc w:val="center"/>
        <w:rPr>
          <w:b/>
        </w:rPr>
      </w:pPr>
    </w:p>
    <w:p w14:paraId="741FD657" w14:textId="77777777" w:rsidR="00AE1CF2" w:rsidRDefault="00AE1CF2">
      <w:pPr>
        <w:shd w:val="clear" w:color="auto" w:fill="FFFFFF"/>
        <w:spacing w:line="360" w:lineRule="auto"/>
        <w:jc w:val="center"/>
        <w:rPr>
          <w:b/>
        </w:rPr>
      </w:pPr>
    </w:p>
    <w:p w14:paraId="6CEAB26C" w14:textId="77777777" w:rsidR="00C62DF7" w:rsidRDefault="00A7245A">
      <w:pPr>
        <w:shd w:val="clear" w:color="auto" w:fill="FFFFFF"/>
        <w:spacing w:line="360" w:lineRule="auto"/>
        <w:jc w:val="center"/>
        <w:rPr>
          <w:b/>
        </w:rPr>
      </w:pPr>
      <w:r>
        <w:rPr>
          <w:b/>
        </w:rPr>
        <w:t>Discusion</w:t>
      </w:r>
    </w:p>
    <w:p w14:paraId="6966F5D4" w14:textId="77777777" w:rsidR="00142A7A" w:rsidRDefault="00142A7A" w:rsidP="00142A7A">
      <w:pPr>
        <w:spacing w:before="100" w:beforeAutospacing="1" w:after="100" w:afterAutospacing="1" w:line="360" w:lineRule="auto"/>
        <w:jc w:val="both"/>
      </w:pPr>
    </w:p>
    <w:p w14:paraId="5C882757" w14:textId="4AD1046F" w:rsidR="00405B9A" w:rsidRPr="00405B9A" w:rsidRDefault="00405B9A" w:rsidP="00405B9A">
      <w:pPr>
        <w:spacing w:line="360" w:lineRule="auto"/>
        <w:jc w:val="center"/>
        <w:rPr>
          <w:b/>
        </w:rPr>
      </w:pPr>
      <w:r w:rsidRPr="00405B9A">
        <w:rPr>
          <w:bCs/>
        </w:rPr>
        <w:t>Fuente: Elaboración propia</w:t>
      </w:r>
      <w:r>
        <w:rPr>
          <w:bCs/>
        </w:rPr>
        <w:t xml:space="preserve"> </w:t>
      </w:r>
      <w:r w:rsidR="00827639">
        <w:t>basada en los resultados obtenidos de</w:t>
      </w:r>
      <w:r w:rsidR="00827639">
        <w:rPr>
          <w:bCs/>
        </w:rPr>
        <w:t xml:space="preserve"> </w:t>
      </w:r>
      <w:r>
        <w:rPr>
          <w:bCs/>
        </w:rPr>
        <w:t>AMOS versi</w:t>
      </w:r>
      <w:r w:rsidR="00827639">
        <w:rPr>
          <w:bCs/>
        </w:rPr>
        <w:t>ó</w:t>
      </w:r>
      <w:r>
        <w:rPr>
          <w:bCs/>
        </w:rPr>
        <w:t>n 25.</w:t>
      </w:r>
    </w:p>
    <w:p w14:paraId="5F73D0C9" w14:textId="77777777" w:rsidR="009C55DC" w:rsidRPr="00681E99" w:rsidRDefault="009C55DC" w:rsidP="009C55DC">
      <w:pPr>
        <w:spacing w:line="360" w:lineRule="auto"/>
        <w:jc w:val="center"/>
        <w:rPr>
          <w:b/>
          <w:bCs/>
        </w:rPr>
      </w:pPr>
    </w:p>
    <w:p w14:paraId="2D31BC55" w14:textId="791D9525" w:rsidR="00142A7A" w:rsidRDefault="009C55DC" w:rsidP="009C55DC">
      <w:pPr>
        <w:spacing w:line="360" w:lineRule="auto"/>
        <w:jc w:val="center"/>
      </w:pPr>
      <w:r>
        <w:rPr>
          <w:b/>
          <w:bCs/>
          <w:sz w:val="32"/>
          <w:szCs w:val="32"/>
        </w:rPr>
        <w:t>Discusión</w:t>
      </w:r>
    </w:p>
    <w:p w14:paraId="02CBC908" w14:textId="00E9E8F9" w:rsidR="00A7245A" w:rsidRPr="00A7245A" w:rsidRDefault="009C55DC" w:rsidP="00681E99">
      <w:pPr>
        <w:spacing w:line="360" w:lineRule="auto"/>
        <w:ind w:firstLine="709"/>
        <w:jc w:val="both"/>
      </w:pPr>
      <w:r w:rsidRPr="00A7245A">
        <w:t xml:space="preserve">Los resultados de este estudio muestran que las </w:t>
      </w:r>
      <w:r w:rsidRPr="00AE1CF2">
        <w:t>M</w:t>
      </w:r>
      <w:r>
        <w:t>y</w:t>
      </w:r>
      <w:r w:rsidRPr="00AE1CF2">
        <w:t>PES</w:t>
      </w:r>
      <w:r>
        <w:t xml:space="preserve"> </w:t>
      </w:r>
      <w:r w:rsidRPr="00A7245A">
        <w:t>en</w:t>
      </w:r>
      <w:r w:rsidR="00827639" w:rsidRPr="00A7245A">
        <w:t xml:space="preserve"> </w:t>
      </w:r>
      <w:r w:rsidR="00A7245A" w:rsidRPr="00A7245A">
        <w:t xml:space="preserve">Puerto Vallarta están logrando avances importantes en la adopción de prácticas de RSE, lo que subraya la relevancia de estas acciones no solo desde una perspectiva ética, sino también como un recurso estratégico para mejorar su competitividad. Las empresas que han integrado la RSE en su funcionamiento presentan un mayor compromiso hacia sus empleados y la comunidad, lo cual está en línea con investigaciones previas que sugieren que estas prácticas mejoran el rendimiento empresarial (Mapiye Dube &amp; Chang, 2020). Sin embargo, este estudio se diferencia al centrarse en una región turística y en empresas de menor tamaño, lo que destaca </w:t>
      </w:r>
      <w:r w:rsidR="00A7245A" w:rsidRPr="00A7245A">
        <w:lastRenderedPageBreak/>
        <w:t>cómo estas organizaciones, a pesar de sus limitaciones de recursos, han logrado adoptar iniciativas sostenibles que impactan de manera positiva su entorno.</w:t>
      </w:r>
    </w:p>
    <w:p w14:paraId="5EEBEBAE" w14:textId="3AF4670C" w:rsidR="00A7245A" w:rsidRPr="00A7245A" w:rsidRDefault="00A7245A" w:rsidP="00681E99">
      <w:pPr>
        <w:spacing w:line="360" w:lineRule="auto"/>
        <w:ind w:firstLine="709"/>
        <w:jc w:val="both"/>
      </w:pPr>
      <w:r w:rsidRPr="00A7245A">
        <w:t>En términos teóricos, los resultados refuerzan la teoría de los stakeholders</w:t>
      </w:r>
      <w:r w:rsidR="00CD0490">
        <w:t xml:space="preserve"> para</w:t>
      </w:r>
      <w:r w:rsidR="004C1575">
        <w:t xml:space="preserve"> </w:t>
      </w:r>
      <w:r w:rsidR="00CD0490" w:rsidRPr="00CD0490">
        <w:t>promover la cooperación entre las partes interesadas</w:t>
      </w:r>
      <w:r w:rsidR="00CD0490">
        <w:rPr>
          <w:rFonts w:ascii="Helvetica" w:hAnsi="Helvetica"/>
          <w:color w:val="202020"/>
          <w:sz w:val="20"/>
          <w:szCs w:val="20"/>
          <w:shd w:val="clear" w:color="auto" w:fill="FFFFFF"/>
        </w:rPr>
        <w:t> (Durrani, 2024)</w:t>
      </w:r>
      <w:r w:rsidRPr="00A7245A">
        <w:t xml:space="preserve">, </w:t>
      </w:r>
      <w:r w:rsidR="004C1575">
        <w:t>la cual demuestra</w:t>
      </w:r>
      <w:r w:rsidRPr="00A7245A">
        <w:t xml:space="preserve"> que las </w:t>
      </w:r>
      <w:r w:rsidR="008D113E" w:rsidRPr="00AE1CF2">
        <w:t>M</w:t>
      </w:r>
      <w:r w:rsidR="008D113E">
        <w:t>y</w:t>
      </w:r>
      <w:r w:rsidR="008D113E" w:rsidRPr="00AE1CF2">
        <w:t>PES</w:t>
      </w:r>
      <w:r w:rsidRPr="00A7245A">
        <w:t xml:space="preserve"> que implementan RSE son capaces de equilibrar los intereses de diversos grupos</w:t>
      </w:r>
      <w:r w:rsidR="00CD0490">
        <w:t xml:space="preserve"> (Bustamante, 2024)</w:t>
      </w:r>
      <w:r w:rsidRPr="00A7245A">
        <w:t>, lo que no solo fortalece sus relaciones externas, sino también el capital social de las empresas</w:t>
      </w:r>
      <w:r w:rsidR="009C55DC">
        <w:t xml:space="preserve"> (Hebo, 2024)</w:t>
      </w:r>
      <w:r w:rsidRPr="00A7245A">
        <w:t>, un aspecto esencial para su sostenibilidad a largo plazo (</w:t>
      </w:r>
      <w:r w:rsidR="00F20FF0">
        <w:t>Cheffi</w:t>
      </w:r>
      <w:r w:rsidRPr="00A7245A">
        <w:t xml:space="preserve"> et al., 202</w:t>
      </w:r>
      <w:r w:rsidR="00F20FF0">
        <w:t>1</w:t>
      </w:r>
      <w:r w:rsidRPr="00A7245A">
        <w:t>). En el plano práctico, este estudio ofrece valiosas recomendaciones tanto para empresarios como para responsables de políticas públicas, ya que sugiere que la RSE no solo puede mejorar la imagen y reputación de las empresas, sino también generar eficiencias operativas y reducir costos, como se ha visto en investigaciones anteriores (Fonseca et al., 2020</w:t>
      </w:r>
      <w:r w:rsidR="00CD0490">
        <w:t xml:space="preserve">; </w:t>
      </w:r>
      <w:r w:rsidR="009C55DC">
        <w:t>Nasir</w:t>
      </w:r>
      <w:r w:rsidR="00CD0490">
        <w:t>, 2022</w:t>
      </w:r>
      <w:r w:rsidRPr="00A7245A">
        <w:t>).</w:t>
      </w:r>
    </w:p>
    <w:p w14:paraId="1BBD5FC3" w14:textId="77777777" w:rsidR="00A7245A" w:rsidRDefault="00A7245A" w:rsidP="00681E99">
      <w:pPr>
        <w:spacing w:line="360" w:lineRule="auto"/>
        <w:ind w:firstLine="709"/>
        <w:jc w:val="both"/>
      </w:pPr>
      <w:r w:rsidRPr="00A7245A">
        <w:t xml:space="preserve">No obstante, </w:t>
      </w:r>
      <w:r>
        <w:t>por</w:t>
      </w:r>
      <w:r w:rsidRPr="00A7245A">
        <w:t xml:space="preserve"> tratarse de un análisis transversal, no es posible establecer una relación causal entre la implementación de la RSE y el desempeño empresarial a largo plazo. Además, la investigación se concentró únicamente en una región, lo que podría limitar la generalización de los resultados a otras áreas geográficas con diferentes condiciones económicas y sociales. Asimismo, cabe señalar que las percepciones de los empresarios sobre la RSE podrían no representar fielmente las prácticas reales en sus empresas, lo que introduce la posibilidad de sesgos en los resultados obtenidos.</w:t>
      </w:r>
    </w:p>
    <w:p w14:paraId="53162923" w14:textId="77777777" w:rsidR="00681E99" w:rsidRDefault="00681E99" w:rsidP="00681E99">
      <w:pPr>
        <w:spacing w:line="360" w:lineRule="auto"/>
        <w:jc w:val="both"/>
      </w:pPr>
    </w:p>
    <w:p w14:paraId="4B0F7562" w14:textId="77777777" w:rsidR="00A7245A" w:rsidRPr="00142A7A" w:rsidRDefault="00A7245A" w:rsidP="00142A7A">
      <w:pPr>
        <w:spacing w:line="360" w:lineRule="auto"/>
        <w:jc w:val="center"/>
        <w:rPr>
          <w:b/>
          <w:bCs/>
          <w:sz w:val="32"/>
          <w:szCs w:val="32"/>
        </w:rPr>
      </w:pPr>
      <w:r w:rsidRPr="00142A7A">
        <w:rPr>
          <w:b/>
          <w:bCs/>
          <w:sz w:val="32"/>
          <w:szCs w:val="32"/>
        </w:rPr>
        <w:t>Conclusión</w:t>
      </w:r>
    </w:p>
    <w:p w14:paraId="2B171DA0" w14:textId="67A97F14" w:rsidR="00A7245A" w:rsidRPr="00A7245A" w:rsidRDefault="00A7245A" w:rsidP="00681E99">
      <w:pPr>
        <w:spacing w:line="360" w:lineRule="auto"/>
        <w:ind w:firstLine="709"/>
        <w:jc w:val="both"/>
      </w:pPr>
      <w:r w:rsidRPr="00A7245A">
        <w:t xml:space="preserve">Este estudio pone de manifiesto que las </w:t>
      </w:r>
      <w:r w:rsidR="008D113E" w:rsidRPr="00AE1CF2">
        <w:t>M</w:t>
      </w:r>
      <w:r w:rsidR="008D113E">
        <w:t>y</w:t>
      </w:r>
      <w:r w:rsidR="008D113E" w:rsidRPr="00AE1CF2">
        <w:t>PES</w:t>
      </w:r>
      <w:r w:rsidR="008D113E">
        <w:t xml:space="preserve"> </w:t>
      </w:r>
      <w:r w:rsidRPr="00A7245A">
        <w:t xml:space="preserve">en Puerto Vallarta han comenzado a implementar prácticas RSE, lo cual está generando efectos positivos tanto en las comunidades como en el entorno ambiental y económico. A pesar de contar con recursos limitados, estas empresas han integrado la RSE dentro de sus estrategias empresariales, lo que les ha permitido no solo ser más sostenibles, sino también mejorar su competitividad. Estos resultados se alinean con los objetivos de la investigación, ya que confirman que la RSE, más allá de ser una responsabilidad ética, puede funcionar como una herramienta estratégica clave para las </w:t>
      </w:r>
      <w:r w:rsidR="008D113E" w:rsidRPr="00AE1CF2">
        <w:t>M</w:t>
      </w:r>
      <w:r w:rsidR="008D113E">
        <w:t>y</w:t>
      </w:r>
      <w:r w:rsidR="008D113E" w:rsidRPr="00AE1CF2">
        <w:t>PES</w:t>
      </w:r>
      <w:r w:rsidRPr="00A7245A">
        <w:t>.</w:t>
      </w:r>
    </w:p>
    <w:p w14:paraId="30D8419E" w14:textId="36637B29" w:rsidR="00A7245A" w:rsidRPr="00A7245A" w:rsidRDefault="00827639" w:rsidP="00681E99">
      <w:pPr>
        <w:spacing w:line="360" w:lineRule="auto"/>
        <w:ind w:firstLine="709"/>
        <w:jc w:val="both"/>
      </w:pPr>
      <w:r>
        <w:t>Uno de los aportes más destacados de este estudio reside en</w:t>
      </w:r>
      <w:r w:rsidRPr="00A7245A">
        <w:t xml:space="preserve"> </w:t>
      </w:r>
      <w:r w:rsidR="00A7245A" w:rsidRPr="00A7245A">
        <w:t xml:space="preserve">su enfoque centrado en una región turística. El estudio examina cómo estas pequeñas empresas, que normalmente enfrentan dificultades para adoptar la RSE, han logrado encontrar soluciones para superar tales barreras. Esto enriquece el cuerpo de conocimiento existente, al ofrecer una visión más </w:t>
      </w:r>
      <w:r w:rsidR="00A7245A" w:rsidRPr="00A7245A">
        <w:lastRenderedPageBreak/>
        <w:t>enfocada en la adopción de la RSE en contextos de recursos limitados. Además, desde una perspectiva teórica, se refuerza la relevancia de teorías como la de los stakeholders y el capital social, brindando nuevas perspectivas sobre cómo aplicar estas teorías en empresas de menor tamaño y en regiones emergentes.</w:t>
      </w:r>
    </w:p>
    <w:p w14:paraId="735A109A" w14:textId="0BD4961F" w:rsidR="00A7245A" w:rsidRPr="00A7245A" w:rsidRDefault="00A7245A" w:rsidP="00681E99">
      <w:pPr>
        <w:spacing w:line="360" w:lineRule="auto"/>
        <w:ind w:firstLine="709"/>
        <w:jc w:val="both"/>
      </w:pPr>
      <w:r w:rsidRPr="00A7245A">
        <w:t xml:space="preserve">Las implicaciones prácticas de los resultados son significativas, sobre todo para los empresarios y los responsables de políticas públicas. La adopción de prácticas de RSE no solo contribuye a mejorar la reputación de las empresas, sino que también las hace más competitivas al optimizar el uso de recursos y fortalecer las relaciones con la comunidad y otros grupos de interés. En términos sociales y económicos, la RSE tiene </w:t>
      </w:r>
      <w:r w:rsidR="00827639">
        <w:t>una influencia directa en la calidad de vida de las comunidades</w:t>
      </w:r>
      <w:r w:rsidRPr="00A7245A">
        <w:t xml:space="preserve"> locales, lo que a su vez promueve el desarrollo sostenible en Puerto Vallarta y en otras regiones con características similares.</w:t>
      </w:r>
    </w:p>
    <w:p w14:paraId="1909BDA2" w14:textId="09EA7D1E" w:rsidR="00DE31D8" w:rsidRDefault="00A7245A" w:rsidP="00681E99">
      <w:pPr>
        <w:spacing w:line="360" w:lineRule="auto"/>
        <w:ind w:firstLine="709"/>
        <w:jc w:val="both"/>
      </w:pPr>
      <w:r w:rsidRPr="00A7245A">
        <w:t xml:space="preserve">Sin embargo, el estudio también presenta algunas limitaciones. Dado que el diseño es de tipo transversal, no es posible establecer relaciones causales definitivas entre la adopción de la RSE y el rendimiento empresarial a largo plazo, lo cual restringe la posibilidad de generalizar estos resultados a otros sectores o regiones. Además, el estudio se centró exclusivamente en empresas de Puerto Vallarta, lo que puede influir en la aplicabilidad de los hallazgos en otros contextos. </w:t>
      </w:r>
      <w:r w:rsidR="00DE31D8" w:rsidRPr="00416029">
        <w:t>Para abordar las limitaciones actuales, es crucial que futuras investigaciones adopten un enfoque longitudinal, lo que permitirá observar de manera continua los efectos que la responsabilidad social empresarial (RSE) tiene en el rendimiento empresarial con el paso del tiempo. Asi</w:t>
      </w:r>
      <w:r w:rsidR="004C1575" w:rsidRPr="00416029">
        <w:t xml:space="preserve"> </w:t>
      </w:r>
      <w:r w:rsidR="00DE31D8" w:rsidRPr="00416029">
        <w:t>mismo, es necesario ampliar el alcance tanto a nivel geográfico como en distintos sectores industriales. De esta manera, se podrá obtener una visión más integral y generalizada sobre cómo la RSE impacta en diversos contextos empresariales, asegurando que los resultados sean más aplicables y relevantes.</w:t>
      </w:r>
    </w:p>
    <w:p w14:paraId="3A05C83C" w14:textId="77777777" w:rsidR="00681E99" w:rsidRDefault="00681E99" w:rsidP="00681E99">
      <w:pPr>
        <w:spacing w:line="360" w:lineRule="auto"/>
        <w:jc w:val="both"/>
        <w:rPr>
          <w:b/>
        </w:rPr>
      </w:pPr>
    </w:p>
    <w:p w14:paraId="52CEAA6A" w14:textId="1E8A4856" w:rsidR="00A7245A" w:rsidRPr="00681E99" w:rsidRDefault="00A7245A" w:rsidP="00681E99">
      <w:pPr>
        <w:spacing w:line="360" w:lineRule="auto"/>
        <w:jc w:val="center"/>
        <w:rPr>
          <w:sz w:val="28"/>
          <w:szCs w:val="28"/>
        </w:rPr>
      </w:pPr>
      <w:r w:rsidRPr="00681E99">
        <w:rPr>
          <w:b/>
          <w:sz w:val="28"/>
          <w:szCs w:val="28"/>
        </w:rPr>
        <w:t>Futuras l</w:t>
      </w:r>
      <w:r w:rsidR="004C1575" w:rsidRPr="00681E99">
        <w:rPr>
          <w:b/>
          <w:sz w:val="28"/>
          <w:szCs w:val="28"/>
        </w:rPr>
        <w:t>í</w:t>
      </w:r>
      <w:r w:rsidRPr="00681E99">
        <w:rPr>
          <w:b/>
          <w:sz w:val="28"/>
          <w:szCs w:val="28"/>
        </w:rPr>
        <w:t>neas de investigación</w:t>
      </w:r>
    </w:p>
    <w:p w14:paraId="5D6C83AA" w14:textId="1C5B4E40" w:rsidR="00A7245A" w:rsidRPr="00A7245A" w:rsidRDefault="00A7245A" w:rsidP="00681E99">
      <w:pPr>
        <w:spacing w:line="360" w:lineRule="auto"/>
        <w:ind w:firstLine="709"/>
        <w:jc w:val="both"/>
      </w:pPr>
      <w:r w:rsidRPr="00A7245A">
        <w:t xml:space="preserve">Es crucial continuar investigando la evolución de la implementación de la RSE en las </w:t>
      </w:r>
      <w:r w:rsidR="008D113E" w:rsidRPr="00AE1CF2">
        <w:t>M</w:t>
      </w:r>
      <w:r w:rsidR="008D113E">
        <w:t>y</w:t>
      </w:r>
      <w:r w:rsidR="008D113E" w:rsidRPr="00AE1CF2">
        <w:t>PES</w:t>
      </w:r>
      <w:r w:rsidRPr="00A7245A">
        <w:t xml:space="preserve"> mediante estudios longitudinales, que permitan observar los cambios a mediano y largo plazo. También sería de gran valor examinar cómo la colaboración entre empresas, gobiernos y organizaciones no gubernamentales (ONG) puede facilitar la adopción de prácticas responsables en sectores con menos recursos. Por último, resulta pertinente estudiar cómo las </w:t>
      </w:r>
      <w:r w:rsidR="008D113E" w:rsidRPr="00AE1CF2">
        <w:t>M</w:t>
      </w:r>
      <w:r w:rsidR="008D113E">
        <w:t>y</w:t>
      </w:r>
      <w:r w:rsidR="008D113E" w:rsidRPr="00AE1CF2">
        <w:t>PES</w:t>
      </w:r>
      <w:r w:rsidR="008D113E">
        <w:t xml:space="preserve"> </w:t>
      </w:r>
      <w:r w:rsidRPr="00A7245A">
        <w:t>de otras regiones, con características similares, logran incorporar estas prácticas de manera efectiva en sus propios contextos.</w:t>
      </w:r>
    </w:p>
    <w:p w14:paraId="00B3BB30" w14:textId="77777777" w:rsidR="00681E99" w:rsidRDefault="00681E99" w:rsidP="00681E99">
      <w:pPr>
        <w:spacing w:line="360" w:lineRule="auto"/>
        <w:rPr>
          <w:b/>
          <w:bCs/>
          <w:sz w:val="32"/>
          <w:szCs w:val="32"/>
        </w:rPr>
      </w:pPr>
    </w:p>
    <w:p w14:paraId="258679BD" w14:textId="4F68C0A8" w:rsidR="00A7245A" w:rsidRPr="00681E99" w:rsidRDefault="00A7245A" w:rsidP="00681E99">
      <w:pPr>
        <w:spacing w:line="360" w:lineRule="auto"/>
        <w:rPr>
          <w:rFonts w:asciiTheme="minorHAnsi" w:hAnsiTheme="minorHAnsi" w:cstheme="minorHAnsi"/>
          <w:b/>
          <w:bCs/>
          <w:sz w:val="28"/>
          <w:szCs w:val="28"/>
        </w:rPr>
      </w:pPr>
      <w:r w:rsidRPr="00681E99">
        <w:rPr>
          <w:rFonts w:asciiTheme="minorHAnsi" w:hAnsiTheme="minorHAnsi" w:cstheme="minorHAnsi"/>
          <w:b/>
          <w:bCs/>
          <w:sz w:val="28"/>
          <w:szCs w:val="28"/>
        </w:rPr>
        <w:lastRenderedPageBreak/>
        <w:t>Referenc</w:t>
      </w:r>
      <w:r w:rsidR="00142A7A" w:rsidRPr="00681E99">
        <w:rPr>
          <w:rFonts w:asciiTheme="minorHAnsi" w:hAnsiTheme="minorHAnsi" w:cstheme="minorHAnsi"/>
          <w:b/>
          <w:bCs/>
          <w:sz w:val="28"/>
          <w:szCs w:val="28"/>
        </w:rPr>
        <w:t>ias</w:t>
      </w:r>
    </w:p>
    <w:p w14:paraId="1570D7C2" w14:textId="01F887B3" w:rsidR="00A7245A" w:rsidRPr="00681E99" w:rsidRDefault="00A7245A" w:rsidP="00681E99">
      <w:pPr>
        <w:spacing w:line="360" w:lineRule="auto"/>
        <w:ind w:left="709" w:hanging="709"/>
        <w:jc w:val="both"/>
        <w:rPr>
          <w:color w:val="0000FF"/>
          <w:u w:val="single"/>
          <w:lang w:val="en-US"/>
        </w:rPr>
      </w:pPr>
      <w:r w:rsidRPr="009C55DC">
        <w:t xml:space="preserve">Bustamante-Ubilla, M. A., Tapia Bonifaz, A. G., Gavilanes Vega, M., &amp; Jácome Tamayo, S. (2024). </w:t>
      </w:r>
      <w:r w:rsidRPr="009C55DC">
        <w:rPr>
          <w:lang w:val="en-US"/>
        </w:rPr>
        <w:t xml:space="preserve">Model of dimensions and variables of corporate social responsibility updated through structural equations. </w:t>
      </w:r>
      <w:r w:rsidRPr="009C55DC">
        <w:rPr>
          <w:i/>
          <w:lang w:val="en-US"/>
        </w:rPr>
        <w:t>PLOS ONE.</w:t>
      </w:r>
      <w:r w:rsidRPr="009C55DC">
        <w:rPr>
          <w:lang w:val="en-US"/>
        </w:rPr>
        <w:t xml:space="preserve"> </w:t>
      </w:r>
      <w:hyperlink r:id="rId11">
        <w:r w:rsidRPr="009C55DC">
          <w:rPr>
            <w:color w:val="0000FF"/>
            <w:u w:val="single"/>
            <w:lang w:val="en-US"/>
          </w:rPr>
          <w:t>https://doi.org/10.1371/journal.pone.0296761</w:t>
        </w:r>
      </w:hyperlink>
    </w:p>
    <w:p w14:paraId="4C7F71F8" w14:textId="367A8909" w:rsidR="009C55DC" w:rsidRPr="00681E99" w:rsidRDefault="009C55DC" w:rsidP="00681E99">
      <w:pPr>
        <w:spacing w:line="360" w:lineRule="auto"/>
        <w:ind w:left="709" w:hanging="709"/>
        <w:jc w:val="both"/>
        <w:rPr>
          <w:color w:val="0000FF"/>
          <w:u w:val="single"/>
          <w:lang w:val="en-US"/>
        </w:rPr>
      </w:pPr>
      <w:r w:rsidRPr="009C55DC">
        <w:rPr>
          <w:lang w:val="en-US"/>
        </w:rPr>
        <w:t xml:space="preserve">Cheffi, W., </w:t>
      </w:r>
      <w:r w:rsidRPr="009C55DC">
        <w:t>Chrisovalantis M</w:t>
      </w:r>
      <w:r w:rsidRPr="009C55DC">
        <w:rPr>
          <w:lang w:val="en-US"/>
        </w:rPr>
        <w:t xml:space="preserve">, &amp; </w:t>
      </w:r>
      <w:r w:rsidRPr="009C55DC">
        <w:t>Abdel-Maksoud1</w:t>
      </w:r>
      <w:r w:rsidRPr="009C55DC">
        <w:rPr>
          <w:lang w:val="en-US"/>
        </w:rPr>
        <w:t xml:space="preserve">. (2021). Corporate social responsibility antecedents and practices as a path to enhance organizational performance: The case of small and medium-sized enterprises in an emerging economy country. </w:t>
      </w:r>
      <w:r w:rsidRPr="009C55DC">
        <w:rPr>
          <w:i/>
          <w:lang w:val="en-US"/>
        </w:rPr>
        <w:t>Corporate Social Responsibility and Environmental Management, 27(1),</w:t>
      </w:r>
      <w:r w:rsidRPr="009C55DC">
        <w:rPr>
          <w:lang w:val="en-US"/>
        </w:rPr>
        <w:t xml:space="preserve"> 307-320. </w:t>
      </w:r>
      <w:r w:rsidRPr="009C55DC">
        <w:rPr>
          <w:color w:val="0000FF"/>
          <w:u w:val="single"/>
          <w:lang w:val="en-US"/>
        </w:rPr>
        <w:t>https://doi.org/10.1002/csr.2135</w:t>
      </w:r>
    </w:p>
    <w:p w14:paraId="2511F9E8" w14:textId="67AD95DF" w:rsidR="00A7245A" w:rsidRDefault="00A7245A" w:rsidP="00681E99">
      <w:pPr>
        <w:spacing w:line="360" w:lineRule="auto"/>
        <w:ind w:left="709" w:hanging="709"/>
        <w:jc w:val="both"/>
        <w:rPr>
          <w:color w:val="0000FF"/>
          <w:u w:val="single"/>
          <w:lang w:val="en-US"/>
        </w:rPr>
      </w:pPr>
      <w:r w:rsidRPr="009C55DC">
        <w:rPr>
          <w:lang w:val="en-US"/>
        </w:rPr>
        <w:t>Ch</w:t>
      </w:r>
      <w:r w:rsidR="00A77F16" w:rsidRPr="009C55DC">
        <w:rPr>
          <w:lang w:val="en-US"/>
        </w:rPr>
        <w:t>i</w:t>
      </w:r>
      <w:r w:rsidRPr="009C55DC">
        <w:rPr>
          <w:lang w:val="en-US"/>
        </w:rPr>
        <w:t>n</w:t>
      </w:r>
      <w:r w:rsidR="00A77F16" w:rsidRPr="009C55DC">
        <w:rPr>
          <w:lang w:val="en-US"/>
        </w:rPr>
        <w:t>-Hung</w:t>
      </w:r>
      <w:r w:rsidRPr="009C55DC">
        <w:rPr>
          <w:lang w:val="en-US"/>
        </w:rPr>
        <w:t xml:space="preserve">, C.-H. (2022). The mediating effect of corporate culture on the relationship between business model innovation and corporate social responsibility: A perspective from small- and medium-sized enterprises. </w:t>
      </w:r>
      <w:r w:rsidRPr="009C55DC">
        <w:rPr>
          <w:i/>
          <w:lang w:val="en-US"/>
        </w:rPr>
        <w:t>Asia Pacific Management Review, 27(3),</w:t>
      </w:r>
      <w:r w:rsidRPr="009C55DC">
        <w:rPr>
          <w:lang w:val="en-US"/>
        </w:rPr>
        <w:t xml:space="preserve"> 312-319. </w:t>
      </w:r>
      <w:hyperlink r:id="rId12">
        <w:r w:rsidRPr="009C55DC">
          <w:rPr>
            <w:color w:val="0000FF"/>
            <w:u w:val="single"/>
            <w:lang w:val="en-US"/>
          </w:rPr>
          <w:t>https://doi.org/10.1016/j.apmrv.2022.01.001</w:t>
        </w:r>
      </w:hyperlink>
    </w:p>
    <w:p w14:paraId="3DACF73F" w14:textId="23AB6175" w:rsidR="00A7245A" w:rsidRPr="007040D6" w:rsidRDefault="007040D6" w:rsidP="00681E99">
      <w:pPr>
        <w:spacing w:line="360" w:lineRule="auto"/>
        <w:ind w:left="709" w:hanging="709"/>
        <w:jc w:val="both"/>
      </w:pPr>
      <w:r>
        <w:t xml:space="preserve">Correa-García, JA, &amp; Vásquez-Arango, L. (2020). Desempeño ambiental, social y de gobierno (ASG): Incidencia en el desempeño financiero en el contexto latinoamericano. </w:t>
      </w:r>
      <w:r>
        <w:rPr>
          <w:rStyle w:val="nfasis"/>
        </w:rPr>
        <w:t>Revista Facultad de Ciencias Económicas</w:t>
      </w:r>
      <w:r>
        <w:t xml:space="preserve"> ,</w:t>
      </w:r>
      <w:r>
        <w:rPr>
          <w:rStyle w:val="nfasis"/>
        </w:rPr>
        <w:t>28</w:t>
      </w:r>
      <w:r>
        <w:t xml:space="preserve"> (</w:t>
      </w:r>
      <w:hyperlink r:id="rId13" w:tgtFrame="_new" w:history="1">
        <w:r>
          <w:rPr>
            <w:rStyle w:val="Hipervnculo"/>
            <w:rFonts w:eastAsiaTheme="majorEastAsia"/>
          </w:rPr>
          <w:t>https://doi.org​​/10/a.427</w:t>
        </w:r>
      </w:hyperlink>
    </w:p>
    <w:p w14:paraId="2AA593E3" w14:textId="7160BA83" w:rsidR="00A7245A" w:rsidRPr="00681E99" w:rsidRDefault="00A7245A" w:rsidP="00681E99">
      <w:pPr>
        <w:spacing w:line="360" w:lineRule="auto"/>
        <w:ind w:left="709" w:hanging="709"/>
        <w:jc w:val="both"/>
        <w:rPr>
          <w:color w:val="0000FF"/>
          <w:u w:val="single"/>
          <w:lang w:val="en-US"/>
        </w:rPr>
      </w:pPr>
      <w:r w:rsidRPr="009C55DC">
        <w:rPr>
          <w:lang w:val="en-US"/>
        </w:rPr>
        <w:t xml:space="preserve">Durrani, N. (2023). Barriers to adaptation of environmental sustainability in SMEs: A qualitative study. </w:t>
      </w:r>
      <w:r w:rsidRPr="009C55DC">
        <w:rPr>
          <w:i/>
          <w:lang w:val="en-US"/>
        </w:rPr>
        <w:t>PLOS ONE.</w:t>
      </w:r>
      <w:r w:rsidRPr="009C55DC">
        <w:rPr>
          <w:lang w:val="en-US"/>
        </w:rPr>
        <w:t xml:space="preserve"> </w:t>
      </w:r>
      <w:hyperlink r:id="rId14">
        <w:r w:rsidRPr="009C55DC">
          <w:rPr>
            <w:color w:val="0000FF"/>
            <w:u w:val="single"/>
            <w:lang w:val="en-US"/>
          </w:rPr>
          <w:t>https://doi.org/10.1371/journal.pone.0298580</w:t>
        </w:r>
      </w:hyperlink>
    </w:p>
    <w:p w14:paraId="56F96EBD" w14:textId="0AE43F65" w:rsidR="00A7245A" w:rsidRPr="009C55DC" w:rsidRDefault="00A7245A" w:rsidP="00681E99">
      <w:pPr>
        <w:spacing w:line="360" w:lineRule="auto"/>
        <w:ind w:left="709" w:hanging="709"/>
        <w:jc w:val="both"/>
        <w:rPr>
          <w:color w:val="0000FF"/>
          <w:u w:val="single"/>
          <w:lang w:val="en-US"/>
        </w:rPr>
      </w:pPr>
      <w:r w:rsidRPr="009C55DC">
        <w:rPr>
          <w:lang w:val="en-US"/>
        </w:rPr>
        <w:t xml:space="preserve">Fonseca, J. P., Ferreira, F. A., Pereira, L. F., Govindan, K., &amp; Meidutė-Kavaliauskienė, I. (2020). Analyzing determinants of environmental conduct in small and medium-sized enterprises: A sociotechnical approach. </w:t>
      </w:r>
      <w:r w:rsidRPr="009C55DC">
        <w:rPr>
          <w:i/>
          <w:lang w:val="en-US"/>
        </w:rPr>
        <w:t>Journal of Cleaner Production, 256,</w:t>
      </w:r>
      <w:r w:rsidRPr="009C55DC">
        <w:rPr>
          <w:lang w:val="en-US"/>
        </w:rPr>
        <w:t xml:space="preserve"> 120380. </w:t>
      </w:r>
      <w:hyperlink r:id="rId15">
        <w:r w:rsidRPr="009C55DC">
          <w:rPr>
            <w:color w:val="0000FF"/>
            <w:u w:val="single"/>
            <w:lang w:val="en-US"/>
          </w:rPr>
          <w:t>https://doi.org/10.1016/j.jclepro.2020.120380</w:t>
        </w:r>
      </w:hyperlink>
    </w:p>
    <w:p w14:paraId="45C2088E" w14:textId="77777777" w:rsidR="00A7245A" w:rsidRPr="009C55DC" w:rsidRDefault="00A7245A" w:rsidP="00681E99">
      <w:pPr>
        <w:spacing w:line="360" w:lineRule="auto"/>
        <w:ind w:left="709" w:hanging="709"/>
        <w:jc w:val="both"/>
      </w:pPr>
      <w:r w:rsidRPr="009C55DC">
        <w:rPr>
          <w:lang w:val="en-US"/>
        </w:rPr>
        <w:t>Hair, J., Anderson, R., Tatham, R. y Black, W. (2010). </w:t>
      </w:r>
      <w:r w:rsidRPr="009C55DC">
        <w:t>Análisis Multivariante. Pearson.</w:t>
      </w:r>
    </w:p>
    <w:p w14:paraId="042AF1F7" w14:textId="1A1D2D53" w:rsidR="00A7245A" w:rsidRPr="00681E99" w:rsidRDefault="00A7245A" w:rsidP="00681E99">
      <w:pPr>
        <w:shd w:val="clear" w:color="auto" w:fill="FFFFFF"/>
        <w:spacing w:line="360" w:lineRule="auto"/>
        <w:ind w:left="709" w:hanging="709"/>
        <w:jc w:val="both"/>
        <w:rPr>
          <w:rFonts w:ascii="Helvetica" w:hAnsi="Helvetica"/>
          <w:color w:val="606060"/>
          <w:sz w:val="20"/>
          <w:szCs w:val="20"/>
        </w:rPr>
      </w:pPr>
      <w:r w:rsidRPr="009C55DC">
        <w:t>Hebo</w:t>
      </w:r>
      <w:r w:rsidR="009C55DC" w:rsidRPr="009C55DC">
        <w:t>,</w:t>
      </w:r>
      <w:r w:rsidRPr="009C55DC">
        <w:t xml:space="preserve"> Ji</w:t>
      </w:r>
      <w:r w:rsidR="009C55DC" w:rsidRPr="009C55DC">
        <w:t>n</w:t>
      </w:r>
      <w:r w:rsidRPr="009C55DC">
        <w:t xml:space="preserve"> A. (2023). </w:t>
      </w:r>
      <w:r w:rsidRPr="009C55DC">
        <w:rPr>
          <w:lang w:val="en-US"/>
        </w:rPr>
        <w:t>Impact of corporate social responsibility on employee loyalty: Mediating rol</w:t>
      </w:r>
      <w:r w:rsidR="009C55DC" w:rsidRPr="009C55DC">
        <w:rPr>
          <w:lang w:val="en-US"/>
        </w:rPr>
        <w:t xml:space="preserve"> </w:t>
      </w:r>
      <w:r w:rsidR="00CD0490" w:rsidRPr="009C55DC">
        <w:rPr>
          <w:lang w:val="en-US"/>
        </w:rPr>
        <w:t>Buatamante</w:t>
      </w:r>
      <w:r w:rsidRPr="009C55DC">
        <w:rPr>
          <w:lang w:val="en-US"/>
        </w:rPr>
        <w:t xml:space="preserve"> of person-organization fit and employee trust. </w:t>
      </w:r>
      <w:r w:rsidRPr="009C55DC">
        <w:rPr>
          <w:i/>
        </w:rPr>
        <w:t>PLOS ONE.</w:t>
      </w:r>
      <w:r w:rsidRPr="009C55DC">
        <w:t xml:space="preserve"> </w:t>
      </w:r>
      <w:hyperlink r:id="rId16" w:history="1">
        <w:r w:rsidR="00F20FF0" w:rsidRPr="009C55DC">
          <w:rPr>
            <w:rStyle w:val="Hipervnculo"/>
            <w:rFonts w:ascii="Helvetica" w:hAnsi="Helvetica"/>
            <w:color w:val="606060"/>
            <w:sz w:val="20"/>
            <w:szCs w:val="20"/>
          </w:rPr>
          <w:t>https://doi.org/10.1371/journal.pone.0300933</w:t>
        </w:r>
      </w:hyperlink>
    </w:p>
    <w:p w14:paraId="1BDC2D84" w14:textId="54C81011" w:rsidR="009C55DC" w:rsidRPr="009C55DC" w:rsidRDefault="00CD0490" w:rsidP="00681E99">
      <w:pPr>
        <w:spacing w:line="360" w:lineRule="auto"/>
        <w:ind w:left="709" w:hanging="709"/>
        <w:jc w:val="both"/>
        <w:rPr>
          <w:color w:val="0000FF"/>
          <w:u w:val="single"/>
          <w:lang w:val="en-US"/>
        </w:rPr>
      </w:pPr>
      <w:r w:rsidRPr="009C55DC">
        <w:rPr>
          <w:lang w:val="en-US"/>
        </w:rPr>
        <w:t xml:space="preserve">Herrero, I., &amp; Gómez-Mejía, L. R. (2024). So are family firms more sustainable? On the economic, social and environmental sustainability of family SMEs. </w:t>
      </w:r>
      <w:r w:rsidRPr="009C55DC">
        <w:rPr>
          <w:i/>
          <w:lang w:val="en-US"/>
        </w:rPr>
        <w:t>Business Strategy and the Environment, 33(5),</w:t>
      </w:r>
      <w:r w:rsidRPr="009C55DC">
        <w:rPr>
          <w:lang w:val="en-US"/>
        </w:rPr>
        <w:t xml:space="preserve"> 4243-4263. </w:t>
      </w:r>
      <w:hyperlink r:id="rId17">
        <w:r w:rsidRPr="009C55DC">
          <w:rPr>
            <w:color w:val="0000FF"/>
            <w:u w:val="single"/>
            <w:lang w:val="en-US"/>
          </w:rPr>
          <w:t>https://doi.org/10.1002/bse.3699</w:t>
        </w:r>
      </w:hyperlink>
    </w:p>
    <w:p w14:paraId="4A15FCAF" w14:textId="5ECF60F9" w:rsidR="009C55DC" w:rsidRPr="009C55DC" w:rsidRDefault="009C55DC" w:rsidP="00681E99">
      <w:pPr>
        <w:spacing w:line="360" w:lineRule="auto"/>
        <w:ind w:left="709" w:hanging="709"/>
        <w:jc w:val="both"/>
      </w:pPr>
      <w:r w:rsidRPr="009C55DC">
        <w:t>Hogan, T. (2004). Pruebas Psicologicas Una introducción práctica. El Manual Moderno.</w:t>
      </w:r>
    </w:p>
    <w:p w14:paraId="7DA0D772" w14:textId="1F2EBB2D" w:rsidR="00A7245A" w:rsidRPr="009C55DC" w:rsidRDefault="00A7245A" w:rsidP="00681E99">
      <w:pPr>
        <w:spacing w:line="360" w:lineRule="auto"/>
        <w:ind w:left="709" w:hanging="709"/>
        <w:jc w:val="both"/>
      </w:pPr>
      <w:r w:rsidRPr="009C55DC">
        <w:lastRenderedPageBreak/>
        <w:t>Holguín</w:t>
      </w:r>
      <w:r w:rsidR="00CD0490" w:rsidRPr="009C55DC">
        <w:t>,</w:t>
      </w:r>
      <w:r w:rsidRPr="009C55DC">
        <w:t xml:space="preserve"> Ávila L., Carrasquero Ferrer, S., &amp; Suárez Rodríguez, O. (2023). Participación de las Pymes en los procesos de responsabilidad social empresarial en Guayaquil, Ecuador. </w:t>
      </w:r>
      <w:r w:rsidRPr="009C55DC">
        <w:rPr>
          <w:i/>
        </w:rPr>
        <w:t>Revista Universidad y Sociedad, 15(2),</w:t>
      </w:r>
      <w:r w:rsidRPr="009C55DC">
        <w:t xml:space="preserve"> 461-466.</w:t>
      </w:r>
    </w:p>
    <w:p w14:paraId="5C296B4F" w14:textId="0DD77EF8" w:rsidR="009C55DC" w:rsidRPr="009C55DC" w:rsidRDefault="009C55DC" w:rsidP="00681E99">
      <w:pPr>
        <w:spacing w:line="360" w:lineRule="auto"/>
        <w:ind w:left="709" w:hanging="709"/>
        <w:jc w:val="both"/>
      </w:pPr>
      <w:r w:rsidRPr="009C55DC">
        <w:t>Joreskog, K. A. (1996). A General approach to confirmatory likelihood factor analysis. Psychometrika, 34(2), 183-202.</w:t>
      </w:r>
    </w:p>
    <w:p w14:paraId="38C37D3F" w14:textId="330DB9CF" w:rsidR="00A7245A" w:rsidRPr="009C55DC" w:rsidRDefault="00A7245A" w:rsidP="00681E99">
      <w:pPr>
        <w:spacing w:line="360" w:lineRule="auto"/>
        <w:ind w:left="709" w:hanging="709"/>
        <w:jc w:val="both"/>
        <w:rPr>
          <w:lang w:val="en-US"/>
        </w:rPr>
      </w:pPr>
      <w:r w:rsidRPr="009C55DC">
        <w:t xml:space="preserve">Khurana, S., Mannan, B., &amp; Haleem, A. (2023). </w:t>
      </w:r>
      <w:r w:rsidRPr="009C55DC">
        <w:rPr>
          <w:lang w:val="en-US"/>
        </w:rPr>
        <w:t xml:space="preserve">A Comparative Study of Practices for Integration of Sustainability With Innovation for Micro Small &amp; Medium Scale Manufacturing Enterprises (MSMEs) in India and in England. </w:t>
      </w:r>
      <w:r w:rsidRPr="009C55DC">
        <w:rPr>
          <w:i/>
          <w:lang w:val="en-US"/>
        </w:rPr>
        <w:t>IOP Conference Series: Materials Science and Engineering, 404(1)</w:t>
      </w:r>
      <w:r w:rsidR="009C55DC" w:rsidRPr="009C55DC">
        <w:rPr>
          <w:i/>
          <w:lang w:val="en-US"/>
        </w:rPr>
        <w:t>.</w:t>
      </w:r>
      <w:r w:rsidR="009C55DC" w:rsidRPr="009C55DC">
        <w:rPr>
          <w:lang w:val="en-US"/>
        </w:rPr>
        <w:t xml:space="preserve"> https://doi.org/</w:t>
      </w:r>
      <w:r w:rsidR="009C55DC" w:rsidRPr="009C55DC">
        <w:rPr>
          <w:rFonts w:ascii="Segoe UI" w:hAnsi="Segoe UI" w:cs="Segoe UI"/>
          <w:color w:val="333333"/>
          <w:sz w:val="21"/>
          <w:szCs w:val="21"/>
        </w:rPr>
        <w:t>10.1088/1757-899X/404/1/012023</w:t>
      </w:r>
    </w:p>
    <w:p w14:paraId="65ADFEA6" w14:textId="309E02A8" w:rsidR="00A7245A" w:rsidRPr="00681E99" w:rsidRDefault="00A7245A" w:rsidP="00681E99">
      <w:pPr>
        <w:spacing w:line="360" w:lineRule="auto"/>
        <w:ind w:left="709" w:hanging="709"/>
        <w:jc w:val="both"/>
        <w:rPr>
          <w:color w:val="0000FF"/>
          <w:u w:val="single"/>
          <w:lang w:val="en-US"/>
        </w:rPr>
      </w:pPr>
      <w:r w:rsidRPr="009C55DC">
        <w:rPr>
          <w:lang w:val="en-US"/>
        </w:rPr>
        <w:t xml:space="preserve">Magrizos, S., Apospori, E., Carrigan, M., &amp; Jones, R. (2021). Is CSR the panacea for SMEs? A study of socially responsible SMEs during economic crisis. </w:t>
      </w:r>
      <w:r w:rsidRPr="009C55DC">
        <w:rPr>
          <w:i/>
          <w:lang w:val="en-US"/>
        </w:rPr>
        <w:t>European Management Journal, 39(3),</w:t>
      </w:r>
      <w:r w:rsidRPr="009C55DC">
        <w:rPr>
          <w:lang w:val="en-US"/>
        </w:rPr>
        <w:t xml:space="preserve"> 291-303. </w:t>
      </w:r>
      <w:hyperlink r:id="rId18">
        <w:r w:rsidRPr="009C55DC">
          <w:rPr>
            <w:color w:val="0000FF"/>
            <w:u w:val="single"/>
            <w:lang w:val="en-US"/>
          </w:rPr>
          <w:t>https://doi.org/10.1016/j.emj.2020.06.002</w:t>
        </w:r>
      </w:hyperlink>
    </w:p>
    <w:p w14:paraId="62A70202" w14:textId="38D8B34F" w:rsidR="00A7245A" w:rsidRPr="00681E99" w:rsidRDefault="00A7245A" w:rsidP="00681E99">
      <w:pPr>
        <w:spacing w:line="360" w:lineRule="auto"/>
        <w:ind w:left="709" w:hanging="709"/>
        <w:jc w:val="both"/>
        <w:rPr>
          <w:color w:val="0000FF"/>
          <w:u w:val="single"/>
          <w:lang w:val="en-US"/>
        </w:rPr>
      </w:pPr>
      <w:r w:rsidRPr="009C55DC">
        <w:rPr>
          <w:lang w:val="en-US"/>
        </w:rPr>
        <w:t>Mapiye</w:t>
      </w:r>
      <w:r w:rsidR="00CD0490" w:rsidRPr="009C55DC">
        <w:rPr>
          <w:lang w:val="en-US"/>
        </w:rPr>
        <w:t>,</w:t>
      </w:r>
      <w:r w:rsidRPr="009C55DC">
        <w:rPr>
          <w:lang w:val="en-US"/>
        </w:rPr>
        <w:t xml:space="preserve"> Dube F. N., &amp; Chang, V. (2020). Corporate social responsibility and firm performance of SMEs in an emerging economy: The moderating role of business strategy. </w:t>
      </w:r>
      <w:r w:rsidRPr="009C55DC">
        <w:rPr>
          <w:i/>
          <w:lang w:val="en-US"/>
        </w:rPr>
        <w:t>Corporate Social Responsibility and Environmental Management, 27(3),</w:t>
      </w:r>
      <w:r w:rsidRPr="009C55DC">
        <w:rPr>
          <w:lang w:val="en-US"/>
        </w:rPr>
        <w:t xml:space="preserve"> 423-432. </w:t>
      </w:r>
      <w:hyperlink r:id="rId19">
        <w:r w:rsidRPr="009C55DC">
          <w:rPr>
            <w:color w:val="0000FF"/>
            <w:u w:val="single"/>
            <w:lang w:val="en-US"/>
          </w:rPr>
          <w:t>https://doi.org</w:t>
        </w:r>
        <w:r w:rsidR="009C55DC" w:rsidRPr="009C55DC">
          <w:rPr>
            <w:color w:val="0000FF"/>
            <w:u w:val="single"/>
            <w:lang w:val="en-US"/>
          </w:rPr>
          <w:t>/</w:t>
        </w:r>
        <w:hyperlink r:id="rId20" w:tgtFrame="_blank" w:history="1">
          <w:r w:rsidR="009C55DC" w:rsidRPr="009C55DC">
            <w:rPr>
              <w:rStyle w:val="Hipervnculo"/>
              <w:rFonts w:ascii="Roboto" w:hAnsi="Roboto"/>
              <w:sz w:val="21"/>
              <w:szCs w:val="21"/>
              <w:bdr w:val="none" w:sz="0" w:space="0" w:color="auto" w:frame="1"/>
              <w:shd w:val="clear" w:color="auto" w:fill="FFFFFF"/>
            </w:rPr>
            <w:t>10.1504/IJBSR.2022.122536</w:t>
          </w:r>
        </w:hyperlink>
        <w:r w:rsidR="009C55DC" w:rsidRPr="009C55DC">
          <w:rPr>
            <w:color w:val="0000FF"/>
            <w:u w:val="single"/>
            <w:lang w:val="en-US"/>
          </w:rPr>
          <w:t xml:space="preserve"> </w:t>
        </w:r>
      </w:hyperlink>
    </w:p>
    <w:p w14:paraId="62A98B6A" w14:textId="59A5D0CB" w:rsidR="007040D6" w:rsidRDefault="00A7245A" w:rsidP="00B10DD5">
      <w:pPr>
        <w:spacing w:line="360" w:lineRule="auto"/>
        <w:ind w:left="709" w:hanging="709"/>
        <w:jc w:val="both"/>
        <w:rPr>
          <w:color w:val="0000FF"/>
          <w:u w:val="single"/>
          <w:lang w:val="en-US"/>
        </w:rPr>
      </w:pPr>
      <w:r w:rsidRPr="009C55DC">
        <w:rPr>
          <w:lang w:val="en-US"/>
        </w:rPr>
        <w:t>Nasir, W. (2023</w:t>
      </w:r>
      <w:r w:rsidR="00CD0490" w:rsidRPr="009C55DC">
        <w:rPr>
          <w:lang w:val="en-US"/>
        </w:rPr>
        <w:t>Rios</w:t>
      </w:r>
      <w:r w:rsidRPr="009C55DC">
        <w:rPr>
          <w:lang w:val="en-US"/>
        </w:rPr>
        <w:t xml:space="preserve">). Corporate social responsibility and firm performance nexus: Moderating role of CEO chair duality. </w:t>
      </w:r>
      <w:r w:rsidRPr="009C55DC">
        <w:rPr>
          <w:i/>
          <w:lang w:val="en-US"/>
        </w:rPr>
        <w:t>PLOS ONE.</w:t>
      </w:r>
      <w:r w:rsidRPr="009C55DC">
        <w:rPr>
          <w:lang w:val="en-US"/>
        </w:rPr>
        <w:t xml:space="preserve"> </w:t>
      </w:r>
      <w:hyperlink r:id="rId21">
        <w:r w:rsidRPr="009C55DC">
          <w:rPr>
            <w:color w:val="0000FF"/>
            <w:u w:val="single"/>
            <w:lang w:val="en-US"/>
          </w:rPr>
          <w:t>https://doi.org/10.1371/journal.pone.0289037</w:t>
        </w:r>
      </w:hyperlink>
    </w:p>
    <w:p w14:paraId="274F50FD" w14:textId="6C63B417" w:rsidR="00A7245A" w:rsidRPr="009C55DC" w:rsidRDefault="007040D6" w:rsidP="00681E99">
      <w:pPr>
        <w:spacing w:line="360" w:lineRule="auto"/>
        <w:ind w:left="709" w:hanging="709"/>
        <w:jc w:val="both"/>
        <w:rPr>
          <w:lang w:val="en-US"/>
        </w:rPr>
      </w:pPr>
      <w:r w:rsidRPr="009C55DC">
        <w:rPr>
          <w:lang w:val="en-US"/>
        </w:rPr>
        <w:t xml:space="preserve">Noorlailie, S, Bambang, T &amp; Mawar F </w:t>
      </w:r>
      <w:r w:rsidRPr="009C55DC">
        <w:t xml:space="preserve">(2021). </w:t>
      </w:r>
      <w:r w:rsidRPr="009C55DC">
        <w:rPr>
          <w:lang w:val="en-US"/>
        </w:rPr>
        <w:t xml:space="preserve">The Role of Corporate Social Responsibility on the Relationship of Competitive Pressure and Business Performance of Batik Industry in Central Java, Indonesia. </w:t>
      </w:r>
      <w:r w:rsidRPr="009C55DC">
        <w:rPr>
          <w:i/>
          <w:lang w:val="en-US"/>
        </w:rPr>
        <w:t>Journal of Asian Finance, Economics and Business, 8(1),</w:t>
      </w:r>
      <w:r w:rsidRPr="009C55DC">
        <w:rPr>
          <w:lang w:val="en-US"/>
        </w:rPr>
        <w:t xml:space="preserve"> 863-871. </w:t>
      </w:r>
      <w:r w:rsidRPr="009C55DC">
        <w:rPr>
          <w:color w:val="0000FF"/>
          <w:u w:val="single"/>
          <w:lang w:val="en-US"/>
        </w:rPr>
        <w:t>https://doi.org/10.13106/jafeb.2021.vol8.no1.863</w:t>
      </w:r>
    </w:p>
    <w:p w14:paraId="45B24D4D" w14:textId="4800C0C1" w:rsidR="00A7245A" w:rsidRPr="00681E99" w:rsidRDefault="00A7245A" w:rsidP="00681E99">
      <w:pPr>
        <w:spacing w:line="360" w:lineRule="auto"/>
        <w:ind w:left="709" w:hanging="709"/>
        <w:jc w:val="both"/>
        <w:rPr>
          <w:lang w:val="en-US"/>
        </w:rPr>
      </w:pPr>
      <w:r w:rsidRPr="009C55DC">
        <w:rPr>
          <w:lang w:val="en-US"/>
        </w:rPr>
        <w:t xml:space="preserve">Quiddi, O., &amp; Habba, B. (2023). Toward a Sustainable Future: CSR Adoption by Family SMEs in the Moroccan Context. </w:t>
      </w:r>
      <w:r w:rsidRPr="009C55DC">
        <w:rPr>
          <w:i/>
          <w:lang w:val="en-US"/>
        </w:rPr>
        <w:t>Polish Journal of Management Studies, 28(1),</w:t>
      </w:r>
      <w:r w:rsidRPr="009C55DC">
        <w:rPr>
          <w:lang w:val="en-US"/>
        </w:rPr>
        <w:t xml:space="preserve"> 263-268.</w:t>
      </w:r>
    </w:p>
    <w:p w14:paraId="5E4143E0" w14:textId="5FEF8341" w:rsidR="00A7245A" w:rsidRPr="00681E99" w:rsidRDefault="00A7245A" w:rsidP="00681E99">
      <w:pPr>
        <w:spacing w:line="360" w:lineRule="auto"/>
        <w:ind w:left="709" w:hanging="709"/>
        <w:jc w:val="both"/>
        <w:rPr>
          <w:color w:val="0000FF"/>
          <w:u w:val="single"/>
          <w:lang w:val="en-US"/>
        </w:rPr>
      </w:pPr>
      <w:r w:rsidRPr="009C55DC">
        <w:t xml:space="preserve">Rubio-Andrés, M., Ramos-González, M. del M., Sastre-Castillo, M. Á., &amp; Gutiérrez-Broncano, S. (2023). </w:t>
      </w:r>
      <w:r w:rsidRPr="009C55DC">
        <w:rPr>
          <w:lang w:val="en-US"/>
        </w:rPr>
        <w:t xml:space="preserve">Stakeholder pressure and innovation capacity of SMEs in the COVID-19 pandemic: Mediating and multigroup analysis. </w:t>
      </w:r>
      <w:r w:rsidRPr="009C55DC">
        <w:rPr>
          <w:i/>
          <w:lang w:val="en-US"/>
        </w:rPr>
        <w:t>Technological Forecasting and Social Change, 190,</w:t>
      </w:r>
      <w:r w:rsidRPr="009C55DC">
        <w:rPr>
          <w:lang w:val="en-US"/>
        </w:rPr>
        <w:t xml:space="preserve"> 122432. </w:t>
      </w:r>
      <w:hyperlink r:id="rId22">
        <w:r w:rsidRPr="009C55DC">
          <w:rPr>
            <w:color w:val="0000FF"/>
            <w:u w:val="single"/>
            <w:lang w:val="en-US"/>
          </w:rPr>
          <w:t>https://doi.org/10.1016/j.techfore.2023.122432</w:t>
        </w:r>
      </w:hyperlink>
    </w:p>
    <w:p w14:paraId="49F298D4" w14:textId="028B37F9" w:rsidR="00A7245A" w:rsidRPr="009C55DC" w:rsidRDefault="00A7245A" w:rsidP="00681E99">
      <w:pPr>
        <w:spacing w:line="360" w:lineRule="auto"/>
        <w:ind w:left="709" w:hanging="709"/>
        <w:jc w:val="both"/>
        <w:rPr>
          <w:lang w:val="en-US"/>
        </w:rPr>
      </w:pPr>
      <w:r w:rsidRPr="009C55DC">
        <w:rPr>
          <w:lang w:val="en-US"/>
        </w:rPr>
        <w:lastRenderedPageBreak/>
        <w:t xml:space="preserve">Rashiti, A., &amp; Skenderi, N. (2023). Impact of corporate social responsibility as a competitive factor on small and medium businesses in Kosovo. </w:t>
      </w:r>
      <w:r w:rsidRPr="009C55DC">
        <w:rPr>
          <w:i/>
          <w:lang w:val="en-US"/>
        </w:rPr>
        <w:t>Quality - Access to Success, 24(192),</w:t>
      </w:r>
      <w:r w:rsidRPr="009C55DC">
        <w:rPr>
          <w:lang w:val="en-US"/>
        </w:rPr>
        <w:t xml:space="preserve"> 261-269.</w:t>
      </w:r>
      <w:r w:rsidR="009C55DC" w:rsidRPr="009C55DC">
        <w:rPr>
          <w:lang w:val="en-US"/>
        </w:rPr>
        <w:t xml:space="preserve"> https://doi.org/</w:t>
      </w:r>
      <w:r w:rsidR="009C55DC" w:rsidRPr="009C55DC">
        <w:rPr>
          <w:rFonts w:ascii="Roboto" w:hAnsi="Roboto"/>
          <w:color w:val="555555"/>
          <w:sz w:val="21"/>
          <w:szCs w:val="21"/>
          <w:shd w:val="clear" w:color="auto" w:fill="FFFFFF"/>
        </w:rPr>
        <w:t>10.47750/QAS/24.192.30</w:t>
      </w:r>
    </w:p>
    <w:p w14:paraId="2DD2C6D9" w14:textId="31EEF964" w:rsidR="00A7245A" w:rsidRPr="00681E99" w:rsidRDefault="00A7245A" w:rsidP="00681E99">
      <w:pPr>
        <w:spacing w:line="360" w:lineRule="auto"/>
        <w:ind w:left="709" w:hanging="709"/>
        <w:jc w:val="both"/>
        <w:rPr>
          <w:color w:val="0000FF"/>
          <w:u w:val="single"/>
          <w:lang w:val="en-US"/>
        </w:rPr>
      </w:pPr>
      <w:r w:rsidRPr="009C55DC">
        <w:rPr>
          <w:lang w:val="en-US"/>
        </w:rPr>
        <w:t xml:space="preserve">Rosecká, N., Machek, O., Stasa, M., &amp; Kubíček, A. (2023). Long-term orientation and corporate social responsibility in small and medium-sized enterprises: The role of strategy formation mode. </w:t>
      </w:r>
      <w:r w:rsidRPr="009C55DC">
        <w:rPr>
          <w:i/>
          <w:lang w:val="en-US"/>
        </w:rPr>
        <w:t>Social Responsibility Journal, 20(4),</w:t>
      </w:r>
      <w:r w:rsidRPr="009C55DC">
        <w:rPr>
          <w:lang w:val="en-US"/>
        </w:rPr>
        <w:t xml:space="preserve"> 825-842.</w:t>
      </w:r>
      <w:r w:rsidR="009C55DC" w:rsidRPr="009C55DC">
        <w:rPr>
          <w:lang w:val="en-US"/>
        </w:rPr>
        <w:t xml:space="preserve"> </w:t>
      </w:r>
      <w:r w:rsidRPr="009C55DC">
        <w:rPr>
          <w:color w:val="0000FF"/>
          <w:u w:val="single"/>
          <w:lang w:val="en-US"/>
        </w:rPr>
        <w:t>https://doi.org/10.1108/SRJ-07-202</w:t>
      </w:r>
      <w:r w:rsidR="009C55DC" w:rsidRPr="009C55DC">
        <w:rPr>
          <w:color w:val="0000FF"/>
          <w:u w:val="single"/>
          <w:lang w:val="en-US"/>
        </w:rPr>
        <w:t>3-0363</w:t>
      </w:r>
    </w:p>
    <w:p w14:paraId="29B0671C" w14:textId="7A18C786" w:rsidR="007040D6" w:rsidRDefault="00A7245A" w:rsidP="00681E99">
      <w:pPr>
        <w:spacing w:line="360" w:lineRule="auto"/>
        <w:ind w:left="709" w:hanging="709"/>
        <w:jc w:val="both"/>
        <w:rPr>
          <w:rStyle w:val="Hipervnculo"/>
        </w:rPr>
      </w:pPr>
      <w:r w:rsidRPr="009C55DC">
        <w:rPr>
          <w:lang w:val="en-US"/>
        </w:rPr>
        <w:t>Tiep Le, T., &amp; Nguyen, V. K. (202</w:t>
      </w:r>
      <w:r w:rsidR="009C55DC" w:rsidRPr="009C55DC">
        <w:rPr>
          <w:lang w:val="en-US"/>
        </w:rPr>
        <w:t>1</w:t>
      </w:r>
      <w:r w:rsidRPr="009C55DC">
        <w:rPr>
          <w:lang w:val="en-US"/>
        </w:rPr>
        <w:t xml:space="preserve">). The impact of corporate governance on firms’ value in an emerging country: The mediating role of corporate social responsibility and organizational identification. </w:t>
      </w:r>
      <w:r w:rsidRPr="009C55DC">
        <w:rPr>
          <w:i/>
        </w:rPr>
        <w:t>Journal of Business Research, 147,</w:t>
      </w:r>
      <w:r w:rsidRPr="009C55DC">
        <w:t xml:space="preserve"> 78-89.</w:t>
      </w:r>
      <w:r w:rsidR="009C55DC" w:rsidRPr="009C55DC">
        <w:t xml:space="preserve"> </w:t>
      </w:r>
      <w:hyperlink r:id="rId23" w:history="1">
        <w:r w:rsidR="009C55DC" w:rsidRPr="009C55DC">
          <w:rPr>
            <w:rStyle w:val="Hipervnculo"/>
          </w:rPr>
          <w:t>https://doi.org/10.1080/23311975.2021.2018907</w:t>
        </w:r>
      </w:hyperlink>
    </w:p>
    <w:p w14:paraId="6305A07E" w14:textId="77777777" w:rsidR="007040D6" w:rsidRDefault="007040D6" w:rsidP="00681E99">
      <w:pPr>
        <w:spacing w:line="360" w:lineRule="auto"/>
        <w:ind w:left="709" w:hanging="709"/>
        <w:jc w:val="both"/>
      </w:pPr>
      <w:r>
        <w:t xml:space="preserve">Wilches Segovia, A., Orozco Castro, LA, &amp; Beltrán Torres, CY (2020). Estructura de las juntas directivas y divulgación de la responsabilidad social corporativa: El caso de las empresas más reputadas en Colombia. </w:t>
      </w:r>
      <w:r>
        <w:rPr>
          <w:rStyle w:val="nfasis"/>
        </w:rPr>
        <w:t>Cuadernos de Administración</w:t>
      </w:r>
      <w:r>
        <w:t xml:space="preserve"> ,</w:t>
      </w:r>
      <w:r>
        <w:rPr>
          <w:rStyle w:val="nfasis"/>
        </w:rPr>
        <w:t>33</w:t>
      </w:r>
      <w:r>
        <w:t xml:space="preserve"> (</w:t>
      </w:r>
      <w:hyperlink r:id="rId24" w:tgtFrame="_new" w:history="1">
        <w:r>
          <w:rPr>
            <w:rStyle w:val="Hipervnculo"/>
            <w:rFonts w:eastAsiaTheme="majorEastAsia"/>
          </w:rPr>
          <w:t>https://doi.org​​/10/J.cao.mi</w:t>
        </w:r>
      </w:hyperlink>
    </w:p>
    <w:p w14:paraId="45C99FD6" w14:textId="77777777" w:rsidR="007040D6" w:rsidRDefault="007040D6" w:rsidP="00416029">
      <w:pPr>
        <w:spacing w:before="100" w:beforeAutospacing="1" w:after="100" w:afterAutospacing="1" w:line="360" w:lineRule="auto"/>
        <w:jc w:val="both"/>
      </w:pPr>
    </w:p>
    <w:p w14:paraId="07B42EFD" w14:textId="77777777" w:rsidR="00A7245A" w:rsidRDefault="00A7245A" w:rsidP="00A7245A"/>
    <w:p w14:paraId="613F0482" w14:textId="77777777" w:rsidR="00A7245A" w:rsidRDefault="00A7245A" w:rsidP="00A7245A"/>
    <w:p w14:paraId="38DFB59D" w14:textId="77777777" w:rsidR="00A7245A" w:rsidRDefault="00A7245A" w:rsidP="00A7245A"/>
    <w:p w14:paraId="79471E93" w14:textId="77777777" w:rsidR="00A7245A" w:rsidRDefault="00A7245A" w:rsidP="00A7245A">
      <w:pPr>
        <w:spacing w:before="100" w:beforeAutospacing="1" w:after="100" w:afterAutospacing="1"/>
      </w:pPr>
    </w:p>
    <w:sectPr w:rsidR="00A7245A">
      <w:headerReference w:type="default" r:id="rId25"/>
      <w:footerReference w:type="default" r:id="rId26"/>
      <w:pgSz w:w="12240" w:h="15840"/>
      <w:pgMar w:top="993" w:right="1701" w:bottom="851"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EA61" w14:textId="77777777" w:rsidR="00230740" w:rsidRDefault="00230740">
      <w:r>
        <w:separator/>
      </w:r>
    </w:p>
  </w:endnote>
  <w:endnote w:type="continuationSeparator" w:id="0">
    <w:p w14:paraId="4E0C6212" w14:textId="77777777" w:rsidR="00230740" w:rsidRDefault="0023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auto"/>
    <w:pitch w:val="default"/>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B0FE" w14:textId="345240AC" w:rsidR="00094801" w:rsidRDefault="00000000">
    <w:pPr>
      <w:pBdr>
        <w:top w:val="nil"/>
        <w:left w:val="nil"/>
        <w:bottom w:val="nil"/>
        <w:right w:val="nil"/>
        <w:between w:val="nil"/>
      </w:pBdr>
      <w:tabs>
        <w:tab w:val="center" w:pos="4419"/>
        <w:tab w:val="right" w:pos="8838"/>
      </w:tabs>
      <w:rPr>
        <w:color w:val="000000"/>
      </w:rPr>
    </w:pPr>
    <w:r>
      <w:rPr>
        <w:color w:val="000000"/>
      </w:rPr>
      <w:t xml:space="preserve">       </w:t>
    </w:r>
    <w:r w:rsidR="00681E99">
      <w:rPr>
        <w:color w:val="000000"/>
      </w:rPr>
      <w:t xml:space="preserve">       </w:t>
    </w:r>
    <w:r>
      <w:rPr>
        <w:color w:val="000000"/>
      </w:rPr>
      <w:t xml:space="preserve"> </w:t>
    </w:r>
    <w:r w:rsidR="00681E99" w:rsidRPr="002A3D98">
      <w:rPr>
        <w:noProof/>
        <w:lang w:eastAsia="es-MX"/>
      </w:rPr>
      <w:drawing>
        <wp:inline distT="0" distB="0" distL="0" distR="0" wp14:anchorId="197EC7CD" wp14:editId="2FC3B2AE">
          <wp:extent cx="1600200" cy="419100"/>
          <wp:effectExtent l="0" t="0" r="0" b="0"/>
          <wp:docPr id="241566969" name="Imagen 24156696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681E99">
      <w:rPr>
        <w:color w:val="000000"/>
      </w:rPr>
      <w:t xml:space="preserve">             </w:t>
    </w:r>
    <w:r w:rsidR="00681E99" w:rsidRPr="006739CC">
      <w:rPr>
        <w:rFonts w:ascii="Calibri" w:hAnsi="Calibri" w:cs="Calibri"/>
        <w:b/>
        <w:sz w:val="22"/>
      </w:rPr>
      <w:t xml:space="preserve">Vol. 15 Num. </w:t>
    </w:r>
    <w:r w:rsidR="00681E99">
      <w:rPr>
        <w:rFonts w:ascii="Calibri" w:hAnsi="Calibri" w:cs="Calibri"/>
        <w:b/>
        <w:sz w:val="22"/>
      </w:rPr>
      <w:t>30</w:t>
    </w:r>
    <w:r w:rsidR="00681E99" w:rsidRPr="006739CC">
      <w:rPr>
        <w:rFonts w:ascii="Calibri" w:hAnsi="Calibri" w:cs="Calibri"/>
        <w:b/>
        <w:sz w:val="22"/>
      </w:rPr>
      <w:t xml:space="preserve"> </w:t>
    </w:r>
    <w:r w:rsidR="00681E99">
      <w:rPr>
        <w:rFonts w:ascii="Calibri" w:hAnsi="Calibri" w:cs="Calibri"/>
        <w:b/>
        <w:sz w:val="22"/>
      </w:rPr>
      <w:t>Enero – Junio 2025</w:t>
    </w:r>
    <w:r w:rsidR="00681E99" w:rsidRPr="001043F3">
      <w:rPr>
        <w:rFonts w:ascii="Calibri" w:hAnsi="Calibri" w:cs="Calibri"/>
        <w:b/>
        <w:sz w:val="22"/>
      </w:rPr>
      <w:t>, e</w:t>
    </w:r>
    <w:r w:rsidR="005D63B3">
      <w:rPr>
        <w:rFonts w:ascii="Calibri" w:hAnsi="Calibri" w:cs="Calibri"/>
        <w:b/>
        <w:sz w:val="22"/>
      </w:rPr>
      <w:t>815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393CA" w14:textId="77777777" w:rsidR="00230740" w:rsidRDefault="00230740">
      <w:r>
        <w:separator/>
      </w:r>
    </w:p>
  </w:footnote>
  <w:footnote w:type="continuationSeparator" w:id="0">
    <w:p w14:paraId="72FF5B3F" w14:textId="77777777" w:rsidR="00230740" w:rsidRDefault="0023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B18B" w14:textId="01F22D9B" w:rsidR="00094801" w:rsidRDefault="00681E99">
    <w:pPr>
      <w:pBdr>
        <w:top w:val="nil"/>
        <w:left w:val="nil"/>
        <w:bottom w:val="nil"/>
        <w:right w:val="nil"/>
        <w:between w:val="nil"/>
      </w:pBdr>
      <w:tabs>
        <w:tab w:val="center" w:pos="4419"/>
        <w:tab w:val="right" w:pos="8838"/>
      </w:tabs>
      <w:jc w:val="center"/>
      <w:rPr>
        <w:color w:val="000000"/>
      </w:rPr>
    </w:pPr>
    <w:r w:rsidRPr="002A3D98">
      <w:rPr>
        <w:noProof/>
        <w:lang w:eastAsia="es-MX"/>
      </w:rPr>
      <w:drawing>
        <wp:inline distT="0" distB="0" distL="0" distR="0" wp14:anchorId="42CC510D" wp14:editId="334E2CFA">
          <wp:extent cx="5397500" cy="635000"/>
          <wp:effectExtent l="0" t="0" r="0" b="0"/>
          <wp:docPr id="1890341271" name="Imagen 189034127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E3F96"/>
    <w:multiLevelType w:val="multilevel"/>
    <w:tmpl w:val="2C40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D5D4D"/>
    <w:multiLevelType w:val="multilevel"/>
    <w:tmpl w:val="573E45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B6421F6"/>
    <w:multiLevelType w:val="multilevel"/>
    <w:tmpl w:val="1E40D2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C7E7701"/>
    <w:multiLevelType w:val="multilevel"/>
    <w:tmpl w:val="414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20E6C"/>
    <w:multiLevelType w:val="multilevel"/>
    <w:tmpl w:val="137A9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592418">
    <w:abstractNumId w:val="2"/>
  </w:num>
  <w:num w:numId="2" w16cid:durableId="1375228384">
    <w:abstractNumId w:val="1"/>
  </w:num>
  <w:num w:numId="3" w16cid:durableId="574554904">
    <w:abstractNumId w:val="3"/>
  </w:num>
  <w:num w:numId="4" w16cid:durableId="1883009015">
    <w:abstractNumId w:val="0"/>
  </w:num>
  <w:num w:numId="5" w16cid:durableId="972561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01"/>
    <w:rsid w:val="0005127B"/>
    <w:rsid w:val="00075A87"/>
    <w:rsid w:val="00094801"/>
    <w:rsid w:val="00113299"/>
    <w:rsid w:val="00114D94"/>
    <w:rsid w:val="0011734C"/>
    <w:rsid w:val="00142A7A"/>
    <w:rsid w:val="001560BA"/>
    <w:rsid w:val="00230740"/>
    <w:rsid w:val="00252403"/>
    <w:rsid w:val="002A4F6D"/>
    <w:rsid w:val="0039430B"/>
    <w:rsid w:val="003C4A33"/>
    <w:rsid w:val="003D0640"/>
    <w:rsid w:val="00405B9A"/>
    <w:rsid w:val="00416029"/>
    <w:rsid w:val="004C1575"/>
    <w:rsid w:val="005448C7"/>
    <w:rsid w:val="00575FD7"/>
    <w:rsid w:val="005C508B"/>
    <w:rsid w:val="005D63B3"/>
    <w:rsid w:val="00621D2E"/>
    <w:rsid w:val="00681E99"/>
    <w:rsid w:val="006F2DBD"/>
    <w:rsid w:val="007040D6"/>
    <w:rsid w:val="00734857"/>
    <w:rsid w:val="007F3CB0"/>
    <w:rsid w:val="0080403E"/>
    <w:rsid w:val="00827639"/>
    <w:rsid w:val="008D113E"/>
    <w:rsid w:val="009A7276"/>
    <w:rsid w:val="009C55DC"/>
    <w:rsid w:val="009F7427"/>
    <w:rsid w:val="00A7245A"/>
    <w:rsid w:val="00A77F16"/>
    <w:rsid w:val="00AA66B4"/>
    <w:rsid w:val="00AD1A4D"/>
    <w:rsid w:val="00AE1CF2"/>
    <w:rsid w:val="00B10DD5"/>
    <w:rsid w:val="00B46BDD"/>
    <w:rsid w:val="00C62DF7"/>
    <w:rsid w:val="00C753C5"/>
    <w:rsid w:val="00C87177"/>
    <w:rsid w:val="00C91D41"/>
    <w:rsid w:val="00CA642D"/>
    <w:rsid w:val="00CD0490"/>
    <w:rsid w:val="00CE6CBC"/>
    <w:rsid w:val="00D038B7"/>
    <w:rsid w:val="00D43399"/>
    <w:rsid w:val="00D662A4"/>
    <w:rsid w:val="00D903B1"/>
    <w:rsid w:val="00DE31D8"/>
    <w:rsid w:val="00E027D0"/>
    <w:rsid w:val="00E64732"/>
    <w:rsid w:val="00EA1AE7"/>
    <w:rsid w:val="00EE5094"/>
    <w:rsid w:val="00F20FF0"/>
    <w:rsid w:val="00F2403F"/>
    <w:rsid w:val="00FA600B"/>
    <w:rsid w:val="00FE3AED"/>
    <w:rsid w:val="00FF2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1253"/>
  <w15:docId w15:val="{DB9E5678-0773-2D45-99AD-9D37C971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A54"/>
  </w:style>
  <w:style w:type="paragraph" w:styleId="Ttulo1">
    <w:name w:val="heading 1"/>
    <w:basedOn w:val="Normal"/>
    <w:next w:val="Normal"/>
    <w:link w:val="Ttulo1Car"/>
    <w:uiPriority w:val="9"/>
    <w:qFormat/>
    <w:rsid w:val="00E00A5E"/>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3140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uiPriority w:val="10"/>
    <w:qFormat/>
    <w:pPr>
      <w:keepNext/>
      <w:spacing w:before="240" w:after="120"/>
    </w:pPr>
    <w:rPr>
      <w:rFonts w:ascii="Liberation Sans" w:eastAsia="Noto Sans CJK SC" w:hAnsi="Liberation Sans" w:cs="Noto Sans Devanagari"/>
      <w:sz w:val="28"/>
      <w:szCs w:val="28"/>
    </w:rPr>
  </w:style>
  <w:style w:type="character" w:styleId="nfasissutil">
    <w:name w:val="Subtle Emphasis"/>
    <w:basedOn w:val="Fuentedeprrafopredeter"/>
    <w:uiPriority w:val="19"/>
    <w:qFormat/>
    <w:rsid w:val="00C464F0"/>
    <w:rPr>
      <w:i/>
      <w:iCs/>
      <w:color w:val="404040" w:themeColor="text1" w:themeTint="BF"/>
    </w:rPr>
  </w:style>
  <w:style w:type="character" w:customStyle="1" w:styleId="Ttulo1Car">
    <w:name w:val="Título 1 Car"/>
    <w:basedOn w:val="Fuentedeprrafopredeter"/>
    <w:link w:val="Ttulo1"/>
    <w:uiPriority w:val="9"/>
    <w:qFormat/>
    <w:rsid w:val="00E00A5E"/>
    <w:rPr>
      <w:rFonts w:asciiTheme="majorHAnsi" w:eastAsiaTheme="majorEastAsia" w:hAnsiTheme="majorHAnsi" w:cstheme="majorBidi"/>
      <w:color w:val="2E74B5" w:themeColor="accent1" w:themeShade="BF"/>
      <w:sz w:val="32"/>
      <w:szCs w:val="32"/>
      <w:lang w:eastAsia="es-MX"/>
    </w:rPr>
  </w:style>
  <w:style w:type="character" w:customStyle="1" w:styleId="EnlacedeInternet">
    <w:name w:val="Enlace de Internet"/>
    <w:basedOn w:val="Fuentedeprrafopredeter"/>
    <w:uiPriority w:val="99"/>
    <w:unhideWhenUsed/>
    <w:rsid w:val="00DE0789"/>
    <w:rPr>
      <w:color w:val="0563C1" w:themeColor="hyperlink"/>
      <w:u w:val="single"/>
    </w:rPr>
  </w:style>
  <w:style w:type="character" w:styleId="Mencinsinresolver">
    <w:name w:val="Unresolved Mention"/>
    <w:basedOn w:val="Fuentedeprrafopredeter"/>
    <w:uiPriority w:val="99"/>
    <w:semiHidden/>
    <w:unhideWhenUsed/>
    <w:qFormat/>
    <w:rsid w:val="00DE0789"/>
    <w:rPr>
      <w:color w:val="605E5C"/>
      <w:shd w:val="clear" w:color="auto" w:fill="E1DFDD"/>
    </w:rPr>
  </w:style>
  <w:style w:type="character" w:customStyle="1" w:styleId="HTMLconformatoprevioCar">
    <w:name w:val="HTML con formato previo Car"/>
    <w:basedOn w:val="Fuentedeprrafopredeter"/>
    <w:link w:val="HTMLconformatoprevio"/>
    <w:uiPriority w:val="99"/>
    <w:qFormat/>
    <w:rsid w:val="001E6DB1"/>
    <w:rPr>
      <w:rFonts w:ascii="Courier New" w:eastAsia="Times New Roman" w:hAnsi="Courier New" w:cs="Courier New"/>
      <w:sz w:val="20"/>
      <w:szCs w:val="20"/>
      <w:lang w:eastAsia="es-MX"/>
    </w:rPr>
  </w:style>
  <w:style w:type="character" w:customStyle="1" w:styleId="y2iqfc">
    <w:name w:val="y2iqfc"/>
    <w:basedOn w:val="Fuentedeprrafopredeter"/>
    <w:qFormat/>
    <w:rsid w:val="001E6DB1"/>
  </w:style>
  <w:style w:type="character" w:customStyle="1" w:styleId="EncabezadoCar">
    <w:name w:val="Encabezado Car"/>
    <w:basedOn w:val="Fuentedeprrafopredeter"/>
    <w:link w:val="Encabezado"/>
    <w:uiPriority w:val="99"/>
    <w:qFormat/>
    <w:rsid w:val="002D7F36"/>
    <w:rPr>
      <w:rFonts w:ascii="Times New Roman" w:eastAsia="Times New Roman" w:hAnsi="Times New Roman" w:cs="Times New Roman"/>
      <w:sz w:val="24"/>
      <w:szCs w:val="24"/>
      <w:lang w:eastAsia="es-ES_tradnl"/>
    </w:rPr>
  </w:style>
  <w:style w:type="character" w:customStyle="1" w:styleId="PiedepginaCar">
    <w:name w:val="Pie de página Car"/>
    <w:basedOn w:val="Fuentedeprrafopredeter"/>
    <w:link w:val="Piedepgina"/>
    <w:uiPriority w:val="99"/>
    <w:qFormat/>
    <w:rsid w:val="002D7F36"/>
    <w:rPr>
      <w:rFonts w:ascii="Times New Roman" w:eastAsia="Times New Roman" w:hAnsi="Times New Roman" w:cs="Times New Roman"/>
      <w:sz w:val="24"/>
      <w:szCs w:val="24"/>
      <w:lang w:eastAsia="es-ES_tradnl"/>
    </w:rPr>
  </w:style>
  <w:style w:type="character" w:customStyle="1" w:styleId="Enlacedelndice">
    <w:name w:val="Enlace del índice"/>
    <w:qFormat/>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Sinespaciado">
    <w:name w:val="No Spacing"/>
    <w:uiPriority w:val="1"/>
    <w:qFormat/>
    <w:rsid w:val="00924E93"/>
  </w:style>
  <w:style w:type="paragraph" w:styleId="Bibliografa">
    <w:name w:val="Bibliography"/>
    <w:basedOn w:val="Normal"/>
    <w:next w:val="Normal"/>
    <w:uiPriority w:val="37"/>
    <w:unhideWhenUsed/>
    <w:qFormat/>
    <w:rsid w:val="00E00A5E"/>
    <w:pPr>
      <w:spacing w:after="160" w:line="259" w:lineRule="auto"/>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qFormat/>
    <w:rsid w:val="0047343B"/>
  </w:style>
  <w:style w:type="paragraph" w:styleId="HTMLconformatoprevio">
    <w:name w:val="HTML Preformatted"/>
    <w:basedOn w:val="Normal"/>
    <w:link w:val="HTMLconformatoprevioCar"/>
    <w:uiPriority w:val="99"/>
    <w:unhideWhenUsed/>
    <w:qFormat/>
    <w:rsid w:val="001E6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MX"/>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D7F36"/>
    <w:pPr>
      <w:tabs>
        <w:tab w:val="center" w:pos="4419"/>
        <w:tab w:val="right" w:pos="8838"/>
      </w:tabs>
    </w:pPr>
  </w:style>
  <w:style w:type="paragraph" w:styleId="Piedepgina">
    <w:name w:val="footer"/>
    <w:basedOn w:val="Normal"/>
    <w:link w:val="PiedepginaCar"/>
    <w:uiPriority w:val="99"/>
    <w:unhideWhenUsed/>
    <w:rsid w:val="002D7F36"/>
    <w:pPr>
      <w:tabs>
        <w:tab w:val="center" w:pos="4419"/>
        <w:tab w:val="right" w:pos="8838"/>
      </w:tabs>
    </w:pPr>
  </w:style>
  <w:style w:type="table" w:styleId="Tablaconcuadrcula">
    <w:name w:val="Table Grid"/>
    <w:basedOn w:val="Tablanormal"/>
    <w:uiPriority w:val="39"/>
    <w:rsid w:val="00621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6212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F959C1"/>
    <w:rPr>
      <w:color w:val="0563C1" w:themeColor="hyperlink"/>
      <w:u w:val="single"/>
    </w:rPr>
  </w:style>
  <w:style w:type="character" w:customStyle="1" w:styleId="Ttulo3Car">
    <w:name w:val="Título 3 Car"/>
    <w:basedOn w:val="Fuentedeprrafopredeter"/>
    <w:link w:val="Ttulo3"/>
    <w:uiPriority w:val="9"/>
    <w:semiHidden/>
    <w:rsid w:val="00A31404"/>
    <w:rPr>
      <w:rFonts w:asciiTheme="majorHAnsi" w:eastAsiaTheme="majorEastAsia" w:hAnsiTheme="majorHAnsi" w:cstheme="majorBidi"/>
      <w:color w:val="1F4D78" w:themeColor="accent1" w:themeShade="7F"/>
      <w:sz w:val="24"/>
      <w:szCs w:val="24"/>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sangria">
    <w:name w:val="sangria"/>
    <w:basedOn w:val="Normal"/>
    <w:rsid w:val="00C62DF7"/>
    <w:pPr>
      <w:spacing w:before="100" w:beforeAutospacing="1" w:after="100" w:afterAutospacing="1"/>
    </w:pPr>
  </w:style>
  <w:style w:type="paragraph" w:customStyle="1" w:styleId="subtitulo">
    <w:name w:val="subtitulo"/>
    <w:basedOn w:val="Normal"/>
    <w:rsid w:val="00C62DF7"/>
    <w:pPr>
      <w:spacing w:before="100" w:beforeAutospacing="1" w:after="100" w:afterAutospacing="1"/>
    </w:pPr>
  </w:style>
  <w:style w:type="character" w:customStyle="1" w:styleId="italica">
    <w:name w:val="italica"/>
    <w:basedOn w:val="Fuentedeprrafopredeter"/>
    <w:rsid w:val="00C62DF7"/>
  </w:style>
  <w:style w:type="table" w:styleId="Tablaconcuadrculaclara">
    <w:name w:val="Grid Table Light"/>
    <w:basedOn w:val="Tablanormal"/>
    <w:uiPriority w:val="40"/>
    <w:rsid w:val="003C4A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3C4A3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3C4A3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3C4A3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9C55DC"/>
    <w:rPr>
      <w:color w:val="954F72" w:themeColor="followedHyperlink"/>
      <w:u w:val="single"/>
    </w:rPr>
  </w:style>
  <w:style w:type="character" w:styleId="nfasis">
    <w:name w:val="Emphasis"/>
    <w:basedOn w:val="Fuentedeprrafopredeter"/>
    <w:uiPriority w:val="20"/>
    <w:qFormat/>
    <w:rsid w:val="00704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0698">
      <w:bodyDiv w:val="1"/>
      <w:marLeft w:val="0"/>
      <w:marRight w:val="0"/>
      <w:marTop w:val="0"/>
      <w:marBottom w:val="0"/>
      <w:divBdr>
        <w:top w:val="none" w:sz="0" w:space="0" w:color="auto"/>
        <w:left w:val="none" w:sz="0" w:space="0" w:color="auto"/>
        <w:bottom w:val="none" w:sz="0" w:space="0" w:color="auto"/>
        <w:right w:val="none" w:sz="0" w:space="0" w:color="auto"/>
      </w:divBdr>
    </w:div>
    <w:div w:id="307440657">
      <w:bodyDiv w:val="1"/>
      <w:marLeft w:val="0"/>
      <w:marRight w:val="0"/>
      <w:marTop w:val="0"/>
      <w:marBottom w:val="0"/>
      <w:divBdr>
        <w:top w:val="none" w:sz="0" w:space="0" w:color="auto"/>
        <w:left w:val="none" w:sz="0" w:space="0" w:color="auto"/>
        <w:bottom w:val="none" w:sz="0" w:space="0" w:color="auto"/>
        <w:right w:val="none" w:sz="0" w:space="0" w:color="auto"/>
      </w:divBdr>
    </w:div>
    <w:div w:id="341855746">
      <w:bodyDiv w:val="1"/>
      <w:marLeft w:val="0"/>
      <w:marRight w:val="0"/>
      <w:marTop w:val="0"/>
      <w:marBottom w:val="0"/>
      <w:divBdr>
        <w:top w:val="none" w:sz="0" w:space="0" w:color="auto"/>
        <w:left w:val="none" w:sz="0" w:space="0" w:color="auto"/>
        <w:bottom w:val="none" w:sz="0" w:space="0" w:color="auto"/>
        <w:right w:val="none" w:sz="0" w:space="0" w:color="auto"/>
      </w:divBdr>
    </w:div>
    <w:div w:id="594481501">
      <w:bodyDiv w:val="1"/>
      <w:marLeft w:val="0"/>
      <w:marRight w:val="0"/>
      <w:marTop w:val="0"/>
      <w:marBottom w:val="0"/>
      <w:divBdr>
        <w:top w:val="none" w:sz="0" w:space="0" w:color="auto"/>
        <w:left w:val="none" w:sz="0" w:space="0" w:color="auto"/>
        <w:bottom w:val="none" w:sz="0" w:space="0" w:color="auto"/>
        <w:right w:val="none" w:sz="0" w:space="0" w:color="auto"/>
      </w:divBdr>
    </w:div>
    <w:div w:id="623078815">
      <w:bodyDiv w:val="1"/>
      <w:marLeft w:val="0"/>
      <w:marRight w:val="0"/>
      <w:marTop w:val="0"/>
      <w:marBottom w:val="0"/>
      <w:divBdr>
        <w:top w:val="none" w:sz="0" w:space="0" w:color="auto"/>
        <w:left w:val="none" w:sz="0" w:space="0" w:color="auto"/>
        <w:bottom w:val="none" w:sz="0" w:space="0" w:color="auto"/>
        <w:right w:val="none" w:sz="0" w:space="0" w:color="auto"/>
      </w:divBdr>
    </w:div>
    <w:div w:id="642396477">
      <w:bodyDiv w:val="1"/>
      <w:marLeft w:val="0"/>
      <w:marRight w:val="0"/>
      <w:marTop w:val="0"/>
      <w:marBottom w:val="0"/>
      <w:divBdr>
        <w:top w:val="none" w:sz="0" w:space="0" w:color="auto"/>
        <w:left w:val="none" w:sz="0" w:space="0" w:color="auto"/>
        <w:bottom w:val="none" w:sz="0" w:space="0" w:color="auto"/>
        <w:right w:val="none" w:sz="0" w:space="0" w:color="auto"/>
      </w:divBdr>
    </w:div>
    <w:div w:id="735014534">
      <w:bodyDiv w:val="1"/>
      <w:marLeft w:val="0"/>
      <w:marRight w:val="0"/>
      <w:marTop w:val="0"/>
      <w:marBottom w:val="0"/>
      <w:divBdr>
        <w:top w:val="none" w:sz="0" w:space="0" w:color="auto"/>
        <w:left w:val="none" w:sz="0" w:space="0" w:color="auto"/>
        <w:bottom w:val="none" w:sz="0" w:space="0" w:color="auto"/>
        <w:right w:val="none" w:sz="0" w:space="0" w:color="auto"/>
      </w:divBdr>
    </w:div>
    <w:div w:id="837427484">
      <w:bodyDiv w:val="1"/>
      <w:marLeft w:val="0"/>
      <w:marRight w:val="0"/>
      <w:marTop w:val="0"/>
      <w:marBottom w:val="0"/>
      <w:divBdr>
        <w:top w:val="none" w:sz="0" w:space="0" w:color="auto"/>
        <w:left w:val="none" w:sz="0" w:space="0" w:color="auto"/>
        <w:bottom w:val="none" w:sz="0" w:space="0" w:color="auto"/>
        <w:right w:val="none" w:sz="0" w:space="0" w:color="auto"/>
      </w:divBdr>
    </w:div>
    <w:div w:id="845949160">
      <w:bodyDiv w:val="1"/>
      <w:marLeft w:val="0"/>
      <w:marRight w:val="0"/>
      <w:marTop w:val="0"/>
      <w:marBottom w:val="0"/>
      <w:divBdr>
        <w:top w:val="none" w:sz="0" w:space="0" w:color="auto"/>
        <w:left w:val="none" w:sz="0" w:space="0" w:color="auto"/>
        <w:bottom w:val="none" w:sz="0" w:space="0" w:color="auto"/>
        <w:right w:val="none" w:sz="0" w:space="0" w:color="auto"/>
      </w:divBdr>
    </w:div>
    <w:div w:id="1013724919">
      <w:bodyDiv w:val="1"/>
      <w:marLeft w:val="0"/>
      <w:marRight w:val="0"/>
      <w:marTop w:val="0"/>
      <w:marBottom w:val="0"/>
      <w:divBdr>
        <w:top w:val="none" w:sz="0" w:space="0" w:color="auto"/>
        <w:left w:val="none" w:sz="0" w:space="0" w:color="auto"/>
        <w:bottom w:val="none" w:sz="0" w:space="0" w:color="auto"/>
        <w:right w:val="none" w:sz="0" w:space="0" w:color="auto"/>
      </w:divBdr>
    </w:div>
    <w:div w:id="1095708550">
      <w:bodyDiv w:val="1"/>
      <w:marLeft w:val="0"/>
      <w:marRight w:val="0"/>
      <w:marTop w:val="0"/>
      <w:marBottom w:val="0"/>
      <w:divBdr>
        <w:top w:val="none" w:sz="0" w:space="0" w:color="auto"/>
        <w:left w:val="none" w:sz="0" w:space="0" w:color="auto"/>
        <w:bottom w:val="none" w:sz="0" w:space="0" w:color="auto"/>
        <w:right w:val="none" w:sz="0" w:space="0" w:color="auto"/>
      </w:divBdr>
    </w:div>
    <w:div w:id="1101952022">
      <w:bodyDiv w:val="1"/>
      <w:marLeft w:val="0"/>
      <w:marRight w:val="0"/>
      <w:marTop w:val="0"/>
      <w:marBottom w:val="0"/>
      <w:divBdr>
        <w:top w:val="none" w:sz="0" w:space="0" w:color="auto"/>
        <w:left w:val="none" w:sz="0" w:space="0" w:color="auto"/>
        <w:bottom w:val="none" w:sz="0" w:space="0" w:color="auto"/>
        <w:right w:val="none" w:sz="0" w:space="0" w:color="auto"/>
      </w:divBdr>
    </w:div>
    <w:div w:id="1142963064">
      <w:bodyDiv w:val="1"/>
      <w:marLeft w:val="0"/>
      <w:marRight w:val="0"/>
      <w:marTop w:val="0"/>
      <w:marBottom w:val="0"/>
      <w:divBdr>
        <w:top w:val="none" w:sz="0" w:space="0" w:color="auto"/>
        <w:left w:val="none" w:sz="0" w:space="0" w:color="auto"/>
        <w:bottom w:val="none" w:sz="0" w:space="0" w:color="auto"/>
        <w:right w:val="none" w:sz="0" w:space="0" w:color="auto"/>
      </w:divBdr>
    </w:div>
    <w:div w:id="1309627565">
      <w:bodyDiv w:val="1"/>
      <w:marLeft w:val="0"/>
      <w:marRight w:val="0"/>
      <w:marTop w:val="0"/>
      <w:marBottom w:val="0"/>
      <w:divBdr>
        <w:top w:val="none" w:sz="0" w:space="0" w:color="auto"/>
        <w:left w:val="none" w:sz="0" w:space="0" w:color="auto"/>
        <w:bottom w:val="none" w:sz="0" w:space="0" w:color="auto"/>
        <w:right w:val="none" w:sz="0" w:space="0" w:color="auto"/>
      </w:divBdr>
    </w:div>
    <w:div w:id="1361474875">
      <w:bodyDiv w:val="1"/>
      <w:marLeft w:val="0"/>
      <w:marRight w:val="0"/>
      <w:marTop w:val="0"/>
      <w:marBottom w:val="0"/>
      <w:divBdr>
        <w:top w:val="none" w:sz="0" w:space="0" w:color="auto"/>
        <w:left w:val="none" w:sz="0" w:space="0" w:color="auto"/>
        <w:bottom w:val="none" w:sz="0" w:space="0" w:color="auto"/>
        <w:right w:val="none" w:sz="0" w:space="0" w:color="auto"/>
      </w:divBdr>
    </w:div>
    <w:div w:id="1431126004">
      <w:bodyDiv w:val="1"/>
      <w:marLeft w:val="0"/>
      <w:marRight w:val="0"/>
      <w:marTop w:val="0"/>
      <w:marBottom w:val="0"/>
      <w:divBdr>
        <w:top w:val="none" w:sz="0" w:space="0" w:color="auto"/>
        <w:left w:val="none" w:sz="0" w:space="0" w:color="auto"/>
        <w:bottom w:val="none" w:sz="0" w:space="0" w:color="auto"/>
        <w:right w:val="none" w:sz="0" w:space="0" w:color="auto"/>
      </w:divBdr>
    </w:div>
    <w:div w:id="1528255156">
      <w:bodyDiv w:val="1"/>
      <w:marLeft w:val="0"/>
      <w:marRight w:val="0"/>
      <w:marTop w:val="0"/>
      <w:marBottom w:val="0"/>
      <w:divBdr>
        <w:top w:val="none" w:sz="0" w:space="0" w:color="auto"/>
        <w:left w:val="none" w:sz="0" w:space="0" w:color="auto"/>
        <w:bottom w:val="none" w:sz="0" w:space="0" w:color="auto"/>
        <w:right w:val="none" w:sz="0" w:space="0" w:color="auto"/>
      </w:divBdr>
    </w:div>
    <w:div w:id="1667585570">
      <w:bodyDiv w:val="1"/>
      <w:marLeft w:val="0"/>
      <w:marRight w:val="0"/>
      <w:marTop w:val="0"/>
      <w:marBottom w:val="0"/>
      <w:divBdr>
        <w:top w:val="none" w:sz="0" w:space="0" w:color="auto"/>
        <w:left w:val="none" w:sz="0" w:space="0" w:color="auto"/>
        <w:bottom w:val="none" w:sz="0" w:space="0" w:color="auto"/>
        <w:right w:val="none" w:sz="0" w:space="0" w:color="auto"/>
      </w:divBdr>
    </w:div>
    <w:div w:id="1762025295">
      <w:bodyDiv w:val="1"/>
      <w:marLeft w:val="0"/>
      <w:marRight w:val="0"/>
      <w:marTop w:val="0"/>
      <w:marBottom w:val="0"/>
      <w:divBdr>
        <w:top w:val="none" w:sz="0" w:space="0" w:color="auto"/>
        <w:left w:val="none" w:sz="0" w:space="0" w:color="auto"/>
        <w:bottom w:val="none" w:sz="0" w:space="0" w:color="auto"/>
        <w:right w:val="none" w:sz="0" w:space="0" w:color="auto"/>
      </w:divBdr>
    </w:div>
    <w:div w:id="1910387273">
      <w:bodyDiv w:val="1"/>
      <w:marLeft w:val="0"/>
      <w:marRight w:val="0"/>
      <w:marTop w:val="0"/>
      <w:marBottom w:val="0"/>
      <w:divBdr>
        <w:top w:val="none" w:sz="0" w:space="0" w:color="auto"/>
        <w:left w:val="none" w:sz="0" w:space="0" w:color="auto"/>
        <w:bottom w:val="none" w:sz="0" w:space="0" w:color="auto"/>
        <w:right w:val="none" w:sz="0" w:space="0" w:color="auto"/>
      </w:divBdr>
    </w:div>
    <w:div w:id="2146461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8359/rfce.4271" TargetMode="External"/><Relationship Id="rId18" Type="http://schemas.openxmlformats.org/officeDocument/2006/relationships/hyperlink" Target="https://doi.org/10.1016/j.emj.2020.06.00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371/journal.pone.0289037" TargetMode="External"/><Relationship Id="rId7" Type="http://schemas.openxmlformats.org/officeDocument/2006/relationships/endnotes" Target="endnotes.xml"/><Relationship Id="rId12" Type="http://schemas.openxmlformats.org/officeDocument/2006/relationships/hyperlink" Target="https://doi.org/10.1016/j.apmrv.2022.01.001" TargetMode="External"/><Relationship Id="rId17" Type="http://schemas.openxmlformats.org/officeDocument/2006/relationships/hyperlink" Target="https://doi.org/10.1002/bse.369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371/journal.pone.0300933" TargetMode="External"/><Relationship Id="rId20" Type="http://schemas.openxmlformats.org/officeDocument/2006/relationships/hyperlink" Target="http://dx.doi.org/10.1504/IJBSR.2022.122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296761" TargetMode="External"/><Relationship Id="rId24" Type="http://schemas.openxmlformats.org/officeDocument/2006/relationships/hyperlink" Target="https://doi.org/10.11144/Javeriana.cao33.ejdd" TargetMode="External"/><Relationship Id="rId5" Type="http://schemas.openxmlformats.org/officeDocument/2006/relationships/webSettings" Target="webSettings.xml"/><Relationship Id="rId15" Type="http://schemas.openxmlformats.org/officeDocument/2006/relationships/hyperlink" Target="https://doi.org/10.1016/j.jclepro.2020.120380" TargetMode="External"/><Relationship Id="rId23" Type="http://schemas.openxmlformats.org/officeDocument/2006/relationships/hyperlink" Target="https://doi.org/10.1080/23311975.2021.2018907"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1002/csr.182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371/journal.pone.0298580" TargetMode="External"/><Relationship Id="rId22" Type="http://schemas.openxmlformats.org/officeDocument/2006/relationships/hyperlink" Target="https://doi.org/10.1016/j.techfore.2023.12243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4pyLYpZW6xXZRNXTZHQul4LYg==">CgMxLjAyCGguZ2pkZ3hzOAByITFIVnR0cVlYT2xOQ2ViYzF5ejFINFJsSTJvZjJiLWdNMg==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5135</Words>
  <Characters>28248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Rosario Castellón Palacios</dc:creator>
  <cp:lastModifiedBy>Gustavo Toledo</cp:lastModifiedBy>
  <cp:revision>6</cp:revision>
  <dcterms:created xsi:type="dcterms:W3CDTF">2025-01-18T19:15:00Z</dcterms:created>
  <dcterms:modified xsi:type="dcterms:W3CDTF">2025-01-22T04:52:00Z</dcterms:modified>
</cp:coreProperties>
</file>