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F0" w:rsidRPr="00F01B15" w:rsidRDefault="008620F0" w:rsidP="00F01B15">
      <w:pPr>
        <w:autoSpaceDE w:val="0"/>
        <w:autoSpaceDN w:val="0"/>
        <w:adjustRightInd w:val="0"/>
        <w:spacing w:line="276" w:lineRule="auto"/>
        <w:jc w:val="right"/>
        <w:rPr>
          <w:rFonts w:ascii="Calibri" w:eastAsia="Times New Roman" w:hAnsi="Calibri" w:cs="Calibri"/>
          <w:color w:val="7030A0"/>
          <w:sz w:val="36"/>
          <w:szCs w:val="36"/>
          <w:shd w:val="solid" w:color="FFFFFF" w:fill="auto"/>
          <w:lang w:eastAsia="ru-RU"/>
        </w:rPr>
      </w:pPr>
      <w:r w:rsidRPr="00F01B15">
        <w:rPr>
          <w:rFonts w:ascii="Calibri" w:eastAsia="Times New Roman" w:hAnsi="Calibri" w:cs="Calibri"/>
          <w:color w:val="7030A0"/>
          <w:sz w:val="36"/>
          <w:szCs w:val="36"/>
          <w:shd w:val="solid" w:color="FFFFFF" w:fill="auto"/>
          <w:lang w:eastAsia="ru-RU"/>
        </w:rPr>
        <w:t>Competencias genéricas en docentes del nivel superior</w:t>
      </w:r>
      <w:r w:rsidR="009C42A7" w:rsidRPr="00F01B15">
        <w:rPr>
          <w:rFonts w:ascii="Calibri" w:eastAsia="Times New Roman" w:hAnsi="Calibri" w:cs="Calibri"/>
          <w:color w:val="7030A0"/>
          <w:sz w:val="36"/>
          <w:szCs w:val="36"/>
          <w:shd w:val="solid" w:color="FFFFFF" w:fill="auto"/>
          <w:lang w:eastAsia="ru-RU"/>
        </w:rPr>
        <w:t xml:space="preserve"> en el</w:t>
      </w:r>
      <w:r w:rsidRPr="00F01B15">
        <w:rPr>
          <w:rFonts w:ascii="Calibri" w:eastAsia="Times New Roman" w:hAnsi="Calibri" w:cs="Calibri"/>
          <w:color w:val="7030A0"/>
          <w:sz w:val="36"/>
          <w:szCs w:val="36"/>
          <w:shd w:val="solid" w:color="FFFFFF" w:fill="auto"/>
          <w:lang w:eastAsia="ru-RU"/>
        </w:rPr>
        <w:t xml:space="preserve"> Estado de Guerrero</w:t>
      </w:r>
    </w:p>
    <w:p w:rsidR="00F01B15" w:rsidRDefault="00F01B15" w:rsidP="00F01B15">
      <w:pPr>
        <w:autoSpaceDE w:val="0"/>
        <w:autoSpaceDN w:val="0"/>
        <w:adjustRightInd w:val="0"/>
        <w:spacing w:line="276" w:lineRule="auto"/>
        <w:ind w:left="-180"/>
        <w:jc w:val="right"/>
        <w:rPr>
          <w:rFonts w:ascii="Calibri" w:eastAsia="Times New Roman" w:hAnsi="Calibri" w:cs="Calibri"/>
          <w:i/>
          <w:color w:val="7030A0"/>
          <w:sz w:val="28"/>
          <w:szCs w:val="36"/>
          <w:shd w:val="solid" w:color="FFFFFF" w:fill="auto"/>
          <w:lang w:eastAsia="ru-RU"/>
        </w:rPr>
      </w:pPr>
    </w:p>
    <w:p w:rsidR="00A8789E" w:rsidRPr="00F01B15" w:rsidRDefault="00A8789E" w:rsidP="00F01B15">
      <w:pPr>
        <w:autoSpaceDE w:val="0"/>
        <w:autoSpaceDN w:val="0"/>
        <w:adjustRightInd w:val="0"/>
        <w:spacing w:line="276" w:lineRule="auto"/>
        <w:ind w:left="-180"/>
        <w:jc w:val="right"/>
        <w:rPr>
          <w:rFonts w:ascii="Arial" w:eastAsia="Calibri" w:hAnsi="Arial" w:cs="Arial"/>
          <w:bCs/>
          <w:i/>
          <w:lang w:val="en-US" w:eastAsia="en-US"/>
        </w:rPr>
      </w:pPr>
      <w:r w:rsidRPr="001378E3">
        <w:rPr>
          <w:rFonts w:ascii="Calibri" w:eastAsia="Times New Roman" w:hAnsi="Calibri" w:cs="Calibri"/>
          <w:i/>
          <w:color w:val="7030A0"/>
          <w:sz w:val="28"/>
          <w:szCs w:val="36"/>
          <w:shd w:val="solid" w:color="FFFFFF" w:fill="auto"/>
          <w:lang w:val="en-US" w:eastAsia="ru-RU"/>
        </w:rPr>
        <w:t>Generic competence on teaching staff of higher education</w:t>
      </w:r>
      <w:r w:rsidR="009C42A7" w:rsidRPr="001378E3">
        <w:rPr>
          <w:rFonts w:ascii="Calibri" w:eastAsia="Times New Roman" w:hAnsi="Calibri" w:cs="Calibri"/>
          <w:i/>
          <w:color w:val="7030A0"/>
          <w:sz w:val="28"/>
          <w:szCs w:val="36"/>
          <w:shd w:val="solid" w:color="FFFFFF" w:fill="auto"/>
          <w:lang w:val="en-US" w:eastAsia="ru-RU"/>
        </w:rPr>
        <w:t xml:space="preserve"> in the</w:t>
      </w:r>
      <w:r w:rsidRPr="001378E3">
        <w:rPr>
          <w:rFonts w:ascii="Calibri" w:eastAsia="Times New Roman" w:hAnsi="Calibri" w:cs="Calibri"/>
          <w:i/>
          <w:color w:val="7030A0"/>
          <w:sz w:val="28"/>
          <w:szCs w:val="36"/>
          <w:shd w:val="solid" w:color="FFFFFF" w:fill="auto"/>
          <w:lang w:val="en-US" w:eastAsia="ru-RU"/>
        </w:rPr>
        <w:t xml:space="preserve"> State of Guerrero</w:t>
      </w:r>
    </w:p>
    <w:p w:rsidR="00A8789E" w:rsidRPr="001378E3" w:rsidRDefault="00A8789E" w:rsidP="00607A39">
      <w:pPr>
        <w:autoSpaceDE w:val="0"/>
        <w:autoSpaceDN w:val="0"/>
        <w:adjustRightInd w:val="0"/>
        <w:spacing w:line="360" w:lineRule="auto"/>
        <w:jc w:val="center"/>
        <w:rPr>
          <w:rFonts w:ascii="Arial" w:eastAsia="Calibri" w:hAnsi="Arial" w:cs="Arial"/>
          <w:b/>
          <w:bCs/>
          <w:lang w:val="en-US" w:eastAsia="en-US"/>
        </w:rPr>
      </w:pPr>
    </w:p>
    <w:p w:rsidR="008620F0" w:rsidRPr="001378E3" w:rsidRDefault="008620F0" w:rsidP="00607A39">
      <w:pPr>
        <w:autoSpaceDE w:val="0"/>
        <w:autoSpaceDN w:val="0"/>
        <w:adjustRightInd w:val="0"/>
        <w:spacing w:line="360" w:lineRule="auto"/>
        <w:jc w:val="center"/>
        <w:rPr>
          <w:rFonts w:ascii="Arial" w:eastAsia="Times New Roman" w:hAnsi="Arial" w:cs="Arial"/>
          <w:b/>
          <w:lang w:val="en-US"/>
        </w:rPr>
      </w:pPr>
    </w:p>
    <w:p w:rsidR="008A67BA" w:rsidRPr="008A67BA" w:rsidRDefault="008620F0" w:rsidP="00F01B15">
      <w:pPr>
        <w:spacing w:line="276" w:lineRule="auto"/>
        <w:jc w:val="right"/>
        <w:rPr>
          <w:rFonts w:ascii="Arial" w:eastAsia="Calibri" w:hAnsi="Arial" w:cs="Arial"/>
          <w:sz w:val="22"/>
          <w:szCs w:val="22"/>
          <w:lang w:val="es-ES" w:eastAsia="en-US"/>
        </w:rPr>
      </w:pPr>
      <w:r w:rsidRPr="001378E3">
        <w:rPr>
          <w:rFonts w:asciiTheme="minorHAnsi" w:hAnsiTheme="minorHAnsi" w:cs="Arial"/>
          <w:b/>
          <w:lang w:eastAsia="en-US"/>
        </w:rPr>
        <w:t>Leonila Román Fernández</w:t>
      </w:r>
    </w:p>
    <w:p w:rsidR="008620F0" w:rsidRPr="00F01B15" w:rsidRDefault="008620F0" w:rsidP="00F01B15">
      <w:pPr>
        <w:spacing w:line="276" w:lineRule="auto"/>
        <w:jc w:val="right"/>
        <w:rPr>
          <w:rFonts w:asciiTheme="minorHAnsi" w:eastAsia="Times New Roman" w:hAnsiTheme="minorHAnsi" w:cs="Times New Roman"/>
          <w:lang w:val="es-ES" w:eastAsia="es-MX"/>
        </w:rPr>
      </w:pPr>
      <w:r w:rsidRPr="00F01B15">
        <w:rPr>
          <w:rFonts w:asciiTheme="minorHAnsi" w:eastAsia="Times New Roman" w:hAnsiTheme="minorHAnsi" w:cs="Times New Roman"/>
          <w:lang w:val="es-ES" w:eastAsia="es-MX"/>
        </w:rPr>
        <w:t>U</w:t>
      </w:r>
      <w:r w:rsidR="001378E3">
        <w:rPr>
          <w:rFonts w:asciiTheme="minorHAnsi" w:eastAsia="Times New Roman" w:hAnsiTheme="minorHAnsi" w:cs="Times New Roman"/>
          <w:lang w:val="es-ES" w:eastAsia="es-MX"/>
        </w:rPr>
        <w:t>niversidad Autónoma de Guerrero</w:t>
      </w:r>
      <w:r w:rsidR="001378E3">
        <w:rPr>
          <w:rFonts w:ascii="Calibri" w:eastAsia="Calibri" w:hAnsi="Calibri" w:cs="Calibri"/>
          <w:lang w:val="es-ES"/>
        </w:rPr>
        <w:t>, México</w:t>
      </w:r>
    </w:p>
    <w:p w:rsidR="008620F0" w:rsidRDefault="008620F0" w:rsidP="00F01B15">
      <w:pPr>
        <w:spacing w:line="276" w:lineRule="auto"/>
        <w:jc w:val="right"/>
        <w:rPr>
          <w:rFonts w:ascii="Arial" w:eastAsia="Calibri" w:hAnsi="Arial" w:cs="Arial"/>
          <w:sz w:val="22"/>
          <w:szCs w:val="22"/>
          <w:lang w:val="es-ES" w:eastAsia="en-US"/>
        </w:rPr>
      </w:pP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F01B15">
        <w:rPr>
          <w:rStyle w:val="Hipervnculo"/>
          <w:rFonts w:asciiTheme="minorHAnsi" w:eastAsia="Times New Roman" w:hAnsiTheme="minorHAnsi" w:cs="Times New Roman"/>
          <w:color w:val="FF0000"/>
          <w:u w:val="none"/>
          <w:lang w:eastAsia="es-MX"/>
        </w:rPr>
        <w:t xml:space="preserve">  </w:t>
      </w:r>
      <w:hyperlink r:id="rId8" w:history="1">
        <w:r w:rsidR="008A67BA" w:rsidRPr="00F01B15">
          <w:rPr>
            <w:rStyle w:val="Hipervnculo"/>
            <w:rFonts w:asciiTheme="minorHAnsi" w:eastAsia="Times New Roman" w:hAnsiTheme="minorHAnsi" w:cs="Times New Roman"/>
            <w:color w:val="FF0000"/>
            <w:u w:val="none"/>
            <w:lang w:val="es-ES" w:eastAsia="es-MX"/>
          </w:rPr>
          <w:t>leonila54@hotmail.com</w:t>
        </w:r>
      </w:hyperlink>
    </w:p>
    <w:p w:rsidR="008A67BA" w:rsidRPr="008A67BA" w:rsidRDefault="00F01B15" w:rsidP="00F01B15">
      <w:pPr>
        <w:spacing w:line="276" w:lineRule="auto"/>
        <w:jc w:val="right"/>
        <w:rPr>
          <w:rFonts w:ascii="Arial" w:eastAsia="Calibri" w:hAnsi="Arial" w:cs="Arial"/>
          <w:sz w:val="22"/>
          <w:szCs w:val="22"/>
          <w:lang w:val="es-ES" w:eastAsia="en-US"/>
        </w:rPr>
      </w:pPr>
      <w:r>
        <w:rPr>
          <w:rFonts w:ascii="Arial" w:eastAsia="Calibri" w:hAnsi="Arial" w:cs="Arial"/>
          <w:sz w:val="22"/>
          <w:szCs w:val="22"/>
          <w:lang w:val="es-ES" w:eastAsia="en-US"/>
        </w:rPr>
        <w:br/>
      </w:r>
      <w:r w:rsidR="008620F0" w:rsidRPr="001378E3">
        <w:rPr>
          <w:rFonts w:asciiTheme="minorHAnsi" w:hAnsiTheme="minorHAnsi" w:cs="Arial"/>
          <w:b/>
          <w:lang w:eastAsia="en-US"/>
        </w:rPr>
        <w:t>Lucio Díaz González</w:t>
      </w:r>
    </w:p>
    <w:p w:rsidR="008620F0" w:rsidRPr="00F01B15" w:rsidRDefault="008620F0" w:rsidP="00F01B15">
      <w:pPr>
        <w:spacing w:line="276" w:lineRule="auto"/>
        <w:jc w:val="right"/>
        <w:rPr>
          <w:rFonts w:asciiTheme="minorHAnsi" w:eastAsia="Times New Roman" w:hAnsiTheme="minorHAnsi" w:cs="Times New Roman"/>
          <w:lang w:val="es-ES" w:eastAsia="es-MX"/>
        </w:rPr>
      </w:pPr>
      <w:r w:rsidRPr="00F01B15">
        <w:rPr>
          <w:rFonts w:asciiTheme="minorHAnsi" w:eastAsia="Times New Roman" w:hAnsiTheme="minorHAnsi" w:cs="Times New Roman"/>
          <w:lang w:val="es-ES" w:eastAsia="es-MX"/>
        </w:rPr>
        <w:t>Universidad Autónoma de Guerrero</w:t>
      </w:r>
      <w:r w:rsidR="001378E3">
        <w:rPr>
          <w:rFonts w:ascii="Calibri" w:eastAsia="Calibri" w:hAnsi="Calibri" w:cs="Calibri"/>
          <w:lang w:val="es-ES"/>
        </w:rPr>
        <w:t>, México</w:t>
      </w:r>
    </w:p>
    <w:p w:rsidR="008620F0" w:rsidRPr="00F01B15" w:rsidRDefault="008620F0" w:rsidP="00F01B15">
      <w:pPr>
        <w:spacing w:line="276" w:lineRule="auto"/>
        <w:jc w:val="right"/>
        <w:rPr>
          <w:rStyle w:val="Hipervnculo"/>
          <w:rFonts w:asciiTheme="minorHAnsi" w:eastAsia="Times New Roman" w:hAnsiTheme="minorHAnsi" w:cs="Times New Roman"/>
          <w:color w:val="FF0000"/>
          <w:u w:val="none"/>
          <w:lang w:eastAsia="es-MX"/>
        </w:rPr>
      </w:pP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8A67BA">
        <w:rPr>
          <w:rFonts w:ascii="Arial" w:eastAsia="Calibri" w:hAnsi="Arial" w:cs="Arial"/>
          <w:sz w:val="22"/>
          <w:szCs w:val="22"/>
          <w:lang w:val="es-ES" w:eastAsia="en-US"/>
        </w:rPr>
        <w:tab/>
      </w:r>
      <w:r w:rsidRPr="00F01B15">
        <w:rPr>
          <w:rStyle w:val="Hipervnculo"/>
          <w:rFonts w:asciiTheme="minorHAnsi" w:eastAsia="Times New Roman" w:hAnsiTheme="minorHAnsi" w:cs="Times New Roman"/>
          <w:color w:val="FF0000"/>
          <w:u w:val="none"/>
          <w:lang w:eastAsia="es-MX"/>
        </w:rPr>
        <w:t xml:space="preserve">  </w:t>
      </w:r>
      <w:hyperlink r:id="rId9" w:history="1">
        <w:r w:rsidR="008A67BA" w:rsidRPr="00F01B15">
          <w:rPr>
            <w:rStyle w:val="Hipervnculo"/>
            <w:rFonts w:asciiTheme="minorHAnsi" w:eastAsia="Times New Roman" w:hAnsiTheme="minorHAnsi" w:cs="Times New Roman"/>
            <w:color w:val="FF0000"/>
            <w:u w:val="none"/>
            <w:lang w:eastAsia="es-MX"/>
          </w:rPr>
          <w:t>luciodiaz@uagro.mx</w:t>
        </w:r>
      </w:hyperlink>
    </w:p>
    <w:p w:rsidR="00F01B15" w:rsidRDefault="004668CB" w:rsidP="00F01B15">
      <w:pPr>
        <w:autoSpaceDE w:val="0"/>
        <w:autoSpaceDN w:val="0"/>
        <w:adjustRightInd w:val="0"/>
        <w:spacing w:line="276" w:lineRule="auto"/>
        <w:jc w:val="right"/>
        <w:rPr>
          <w:rFonts w:ascii="Arial" w:eastAsia="Calibri" w:hAnsi="Arial" w:cs="Arial"/>
          <w:sz w:val="22"/>
          <w:szCs w:val="22"/>
          <w:lang w:val="es-ES" w:eastAsia="en-US"/>
        </w:rPr>
      </w:pPr>
      <w:r w:rsidRPr="008A67BA">
        <w:rPr>
          <w:rFonts w:ascii="Arial" w:eastAsia="Calibri" w:hAnsi="Arial" w:cs="Arial"/>
          <w:sz w:val="22"/>
          <w:szCs w:val="22"/>
          <w:lang w:val="es-ES" w:eastAsia="en-US"/>
        </w:rPr>
        <w:t xml:space="preserve">    </w:t>
      </w:r>
    </w:p>
    <w:p w:rsidR="008A67BA" w:rsidRPr="001378E3" w:rsidRDefault="008620F0" w:rsidP="00F01B15">
      <w:pPr>
        <w:spacing w:line="276" w:lineRule="auto"/>
        <w:jc w:val="right"/>
        <w:rPr>
          <w:rFonts w:asciiTheme="minorHAnsi" w:hAnsiTheme="minorHAnsi" w:cs="Arial"/>
          <w:b/>
          <w:lang w:eastAsia="en-US"/>
        </w:rPr>
      </w:pPr>
      <w:r w:rsidRPr="001378E3">
        <w:rPr>
          <w:rFonts w:asciiTheme="minorHAnsi" w:hAnsiTheme="minorHAnsi" w:cs="Arial"/>
          <w:b/>
          <w:lang w:eastAsia="en-US"/>
        </w:rPr>
        <w:t>Erick Gerardo Leyva Román</w:t>
      </w:r>
    </w:p>
    <w:p w:rsidR="008620F0" w:rsidRPr="00F01B15" w:rsidRDefault="008620F0" w:rsidP="00F01B15">
      <w:pPr>
        <w:autoSpaceDE w:val="0"/>
        <w:autoSpaceDN w:val="0"/>
        <w:adjustRightInd w:val="0"/>
        <w:spacing w:line="276" w:lineRule="auto"/>
        <w:jc w:val="right"/>
        <w:rPr>
          <w:rFonts w:asciiTheme="minorHAnsi" w:eastAsia="Times New Roman" w:hAnsiTheme="minorHAnsi" w:cs="Times New Roman"/>
          <w:lang w:val="es-ES" w:eastAsia="es-MX"/>
        </w:rPr>
      </w:pPr>
      <w:r w:rsidRPr="00F01B15">
        <w:rPr>
          <w:rFonts w:asciiTheme="minorHAnsi" w:eastAsia="Times New Roman" w:hAnsiTheme="minorHAnsi" w:cs="Times New Roman"/>
          <w:lang w:val="es-ES" w:eastAsia="es-MX"/>
        </w:rPr>
        <w:t>U</w:t>
      </w:r>
      <w:r w:rsidR="001378E3">
        <w:rPr>
          <w:rFonts w:asciiTheme="minorHAnsi" w:eastAsia="Times New Roman" w:hAnsiTheme="minorHAnsi" w:cs="Times New Roman"/>
          <w:lang w:val="es-ES" w:eastAsia="es-MX"/>
        </w:rPr>
        <w:t xml:space="preserve">niversidad Autónoma de Guerrero, </w:t>
      </w:r>
      <w:bookmarkStart w:id="0" w:name="_GoBack"/>
      <w:bookmarkEnd w:id="0"/>
      <w:r w:rsidR="001378E3">
        <w:rPr>
          <w:rFonts w:ascii="Calibri" w:eastAsia="Calibri" w:hAnsi="Calibri" w:cs="Calibri"/>
          <w:lang w:val="es-ES"/>
        </w:rPr>
        <w:t xml:space="preserve"> México</w:t>
      </w:r>
    </w:p>
    <w:p w:rsidR="008620F0" w:rsidRPr="002F29C1" w:rsidRDefault="008620F0" w:rsidP="00F01B15">
      <w:pPr>
        <w:spacing w:line="276" w:lineRule="auto"/>
        <w:jc w:val="right"/>
        <w:rPr>
          <w:rFonts w:ascii="Arial" w:eastAsia="Times New Roman" w:hAnsi="Arial" w:cs="Arial"/>
          <w:b/>
          <w:highlight w:val="yellow"/>
        </w:rPr>
      </w:pPr>
      <w:r w:rsidRPr="008A67BA">
        <w:rPr>
          <w:rFonts w:ascii="Arial" w:eastAsia="Calibri" w:hAnsi="Arial" w:cs="Arial"/>
          <w:color w:val="0070C0"/>
          <w:sz w:val="22"/>
          <w:szCs w:val="22"/>
          <w:lang w:val="es-ES" w:eastAsia="en-US"/>
        </w:rPr>
        <w:t xml:space="preserve">                                                                                                  </w:t>
      </w:r>
      <w:r w:rsidR="004668CB" w:rsidRPr="008A67BA">
        <w:rPr>
          <w:rFonts w:ascii="Arial" w:eastAsia="Calibri" w:hAnsi="Arial" w:cs="Arial"/>
          <w:color w:val="0070C0"/>
          <w:sz w:val="22"/>
          <w:szCs w:val="22"/>
          <w:lang w:val="es-ES" w:eastAsia="en-US"/>
        </w:rPr>
        <w:t xml:space="preserve">        </w:t>
      </w:r>
      <w:r w:rsidRPr="008A67BA">
        <w:rPr>
          <w:rFonts w:ascii="Arial" w:eastAsia="Calibri" w:hAnsi="Arial" w:cs="Arial"/>
          <w:color w:val="0070C0"/>
          <w:sz w:val="22"/>
          <w:szCs w:val="22"/>
          <w:lang w:val="es-ES" w:eastAsia="en-US"/>
        </w:rPr>
        <w:t xml:space="preserve">  </w:t>
      </w:r>
      <w:r w:rsidRPr="00F01B15">
        <w:rPr>
          <w:rStyle w:val="Hipervnculo"/>
          <w:rFonts w:asciiTheme="minorHAnsi" w:eastAsia="Times New Roman" w:hAnsiTheme="minorHAnsi" w:cs="Times New Roman"/>
          <w:color w:val="FF0000"/>
          <w:u w:val="none"/>
          <w:lang w:eastAsia="es-MX"/>
        </w:rPr>
        <w:t>sigue.leyva78@gmail.co</w:t>
      </w:r>
      <w:r w:rsidR="004668CB" w:rsidRPr="00F01B15">
        <w:rPr>
          <w:rStyle w:val="Hipervnculo"/>
          <w:rFonts w:asciiTheme="minorHAnsi" w:eastAsia="Times New Roman" w:hAnsiTheme="minorHAnsi" w:cs="Times New Roman"/>
          <w:color w:val="FF0000"/>
          <w:u w:val="none"/>
          <w:lang w:eastAsia="es-MX"/>
        </w:rPr>
        <w:t>m</w:t>
      </w:r>
    </w:p>
    <w:p w:rsidR="00F01B15" w:rsidRDefault="00F01B15" w:rsidP="00607A39">
      <w:pPr>
        <w:spacing w:line="360" w:lineRule="auto"/>
        <w:ind w:left="-180"/>
        <w:jc w:val="both"/>
        <w:outlineLvl w:val="0"/>
        <w:rPr>
          <w:rFonts w:ascii="Arial" w:eastAsia="Times New Roman" w:hAnsi="Arial" w:cs="Arial"/>
          <w:b/>
        </w:rPr>
      </w:pPr>
    </w:p>
    <w:p w:rsidR="00F01B15" w:rsidRDefault="00F01B15" w:rsidP="00607A39">
      <w:pPr>
        <w:spacing w:line="360" w:lineRule="auto"/>
        <w:ind w:left="-180"/>
        <w:jc w:val="both"/>
        <w:outlineLvl w:val="0"/>
        <w:rPr>
          <w:rFonts w:ascii="Arial" w:eastAsia="Times New Roman" w:hAnsi="Arial" w:cs="Arial"/>
          <w:b/>
        </w:rPr>
      </w:pPr>
    </w:p>
    <w:p w:rsidR="00F01B15" w:rsidRDefault="00F01B15" w:rsidP="00607A39">
      <w:pPr>
        <w:spacing w:line="360" w:lineRule="auto"/>
        <w:ind w:left="-180"/>
        <w:jc w:val="both"/>
        <w:outlineLvl w:val="0"/>
        <w:rPr>
          <w:rFonts w:ascii="Arial" w:eastAsia="Times New Roman" w:hAnsi="Arial" w:cs="Arial"/>
          <w:b/>
        </w:rPr>
      </w:pPr>
    </w:p>
    <w:p w:rsidR="008620F0" w:rsidRPr="00F01B15" w:rsidRDefault="00B56177" w:rsidP="00607A39">
      <w:pPr>
        <w:spacing w:line="360" w:lineRule="auto"/>
        <w:ind w:left="-180"/>
        <w:jc w:val="both"/>
        <w:outlineLvl w:val="0"/>
        <w:rPr>
          <w:rFonts w:ascii="Calibri" w:eastAsia="Times New Roman" w:hAnsi="Calibri" w:cs="Calibri"/>
          <w:color w:val="7030A0"/>
          <w:sz w:val="28"/>
          <w:szCs w:val="28"/>
          <w:lang w:val="es-ES"/>
        </w:rPr>
      </w:pPr>
      <w:r w:rsidRPr="00F01B15">
        <w:rPr>
          <w:rFonts w:ascii="Calibri" w:eastAsia="Times New Roman" w:hAnsi="Calibri" w:cs="Calibri"/>
          <w:color w:val="7030A0"/>
          <w:sz w:val="28"/>
          <w:szCs w:val="28"/>
          <w:lang w:val="es-ES"/>
        </w:rPr>
        <w:t xml:space="preserve">Resumen </w:t>
      </w:r>
    </w:p>
    <w:p w:rsidR="007105C9" w:rsidRPr="00F01B15" w:rsidRDefault="00FB6CFB" w:rsidP="00FB6CFB">
      <w:pPr>
        <w:spacing w:line="360" w:lineRule="auto"/>
        <w:ind w:left="-180"/>
        <w:jc w:val="both"/>
        <w:outlineLvl w:val="0"/>
        <w:rPr>
          <w:rFonts w:eastAsia="Times New Roman" w:cs="Times New Roman"/>
          <w:bCs/>
        </w:rPr>
      </w:pPr>
      <w:r w:rsidRPr="00FB6CFB">
        <w:rPr>
          <w:rFonts w:eastAsia="Calibri" w:cs="Times New Roman"/>
          <w:color w:val="000000"/>
          <w:lang w:val="es-ES" w:eastAsia="en-US"/>
        </w:rPr>
        <w:t>El objetivo del presente trabajo es identificar las competencias genéricas de los docentes</w:t>
      </w:r>
      <w:r>
        <w:rPr>
          <w:rFonts w:eastAsia="Calibri" w:cs="Times New Roman"/>
          <w:color w:val="000000"/>
          <w:lang w:val="es-ES" w:eastAsia="en-US"/>
        </w:rPr>
        <w:t xml:space="preserve"> </w:t>
      </w:r>
      <w:r w:rsidRPr="00FB6CFB">
        <w:rPr>
          <w:rFonts w:eastAsia="Calibri" w:cs="Times New Roman"/>
          <w:color w:val="000000"/>
          <w:lang w:val="es-ES" w:eastAsia="en-US"/>
        </w:rPr>
        <w:t>que orientan la práctica educativa de nivel superior en el estado de Guerrero, en opinión de</w:t>
      </w:r>
      <w:r>
        <w:rPr>
          <w:rFonts w:eastAsia="Calibri" w:cs="Times New Roman"/>
          <w:color w:val="000000"/>
          <w:lang w:val="es-ES" w:eastAsia="en-US"/>
        </w:rPr>
        <w:t xml:space="preserve"> </w:t>
      </w:r>
      <w:r w:rsidRPr="00FB6CFB">
        <w:rPr>
          <w:rFonts w:eastAsia="Calibri" w:cs="Times New Roman"/>
          <w:color w:val="000000"/>
          <w:lang w:val="es-ES" w:eastAsia="en-US"/>
        </w:rPr>
        <w:t>los estudiantes. Para ello se utilizó el método de estudio descriptivo y longitudinal en el</w:t>
      </w:r>
      <w:r>
        <w:rPr>
          <w:rFonts w:eastAsia="Calibri" w:cs="Times New Roman"/>
          <w:color w:val="000000"/>
          <w:lang w:val="es-ES" w:eastAsia="en-US"/>
        </w:rPr>
        <w:t xml:space="preserve"> </w:t>
      </w:r>
      <w:r w:rsidRPr="00FB6CFB">
        <w:rPr>
          <w:rFonts w:eastAsia="Calibri" w:cs="Times New Roman"/>
          <w:color w:val="000000"/>
          <w:lang w:val="es-ES" w:eastAsia="en-US"/>
        </w:rPr>
        <w:t>periodo 2012- 2014, y se aplicó un cuestionario a estudiantes de 7 instituciones. La muestra</w:t>
      </w:r>
      <w:r>
        <w:rPr>
          <w:rFonts w:eastAsia="Calibri" w:cs="Times New Roman"/>
          <w:color w:val="000000"/>
          <w:lang w:val="es-ES" w:eastAsia="en-US"/>
        </w:rPr>
        <w:t xml:space="preserve"> </w:t>
      </w:r>
      <w:r w:rsidRPr="00FB6CFB">
        <w:rPr>
          <w:rFonts w:eastAsia="Calibri" w:cs="Times New Roman"/>
          <w:color w:val="000000"/>
          <w:lang w:val="es-ES" w:eastAsia="en-US"/>
        </w:rPr>
        <w:t>consistió en 37 % docentes y 41 % estudiantes por institución, evaluando a cada académico</w:t>
      </w:r>
      <w:r>
        <w:rPr>
          <w:rFonts w:eastAsia="Calibri" w:cs="Times New Roman"/>
          <w:color w:val="000000"/>
          <w:lang w:val="es-ES" w:eastAsia="en-US"/>
        </w:rPr>
        <w:t xml:space="preserve"> </w:t>
      </w:r>
      <w:r w:rsidRPr="00FB6CFB">
        <w:rPr>
          <w:rFonts w:eastAsia="Calibri" w:cs="Times New Roman"/>
          <w:color w:val="000000"/>
          <w:lang w:val="es-ES" w:eastAsia="en-US"/>
        </w:rPr>
        <w:t>10 jóvenes. La información se adaptó con valores de la escala de Likert, posteriormente a</w:t>
      </w:r>
      <w:r>
        <w:rPr>
          <w:rFonts w:eastAsia="Calibri" w:cs="Times New Roman"/>
          <w:color w:val="000000"/>
          <w:lang w:val="es-ES" w:eastAsia="en-US"/>
        </w:rPr>
        <w:t xml:space="preserve"> </w:t>
      </w:r>
      <w:r w:rsidRPr="00FB6CFB">
        <w:rPr>
          <w:rFonts w:eastAsia="Calibri" w:cs="Times New Roman"/>
          <w:color w:val="000000"/>
          <w:lang w:val="es-ES" w:eastAsia="en-US"/>
        </w:rPr>
        <w:t xml:space="preserve">escala numérica de </w:t>
      </w:r>
      <w:proofErr w:type="spellStart"/>
      <w:r w:rsidRPr="00FB6CFB">
        <w:rPr>
          <w:rFonts w:eastAsia="Calibri" w:cs="Times New Roman"/>
          <w:color w:val="000000"/>
          <w:lang w:val="es-ES" w:eastAsia="en-US"/>
        </w:rPr>
        <w:t>Sampieri</w:t>
      </w:r>
      <w:proofErr w:type="spellEnd"/>
      <w:r w:rsidRPr="00FB6CFB">
        <w:rPr>
          <w:rFonts w:eastAsia="Calibri" w:cs="Times New Roman"/>
          <w:color w:val="000000"/>
          <w:lang w:val="es-ES" w:eastAsia="en-US"/>
        </w:rPr>
        <w:t xml:space="preserve"> para obtener cuartiles, clasificando en competencias altas,</w:t>
      </w:r>
      <w:r>
        <w:rPr>
          <w:rFonts w:eastAsia="Calibri" w:cs="Times New Roman"/>
          <w:color w:val="000000"/>
          <w:lang w:val="es-ES" w:eastAsia="en-US"/>
        </w:rPr>
        <w:t xml:space="preserve"> </w:t>
      </w:r>
      <w:r w:rsidRPr="00FB6CFB">
        <w:rPr>
          <w:rFonts w:eastAsia="Calibri" w:cs="Times New Roman"/>
          <w:color w:val="000000"/>
          <w:lang w:val="es-ES" w:eastAsia="en-US"/>
        </w:rPr>
        <w:t>medianas y bajas. Las fortalezas y debilidades en indicadores fueron calculadas utilizando</w:t>
      </w:r>
      <w:r>
        <w:rPr>
          <w:rFonts w:eastAsia="Calibri" w:cs="Times New Roman"/>
          <w:color w:val="000000"/>
          <w:lang w:val="es-ES" w:eastAsia="en-US"/>
        </w:rPr>
        <w:t xml:space="preserve"> </w:t>
      </w:r>
      <w:r w:rsidRPr="00FB6CFB">
        <w:rPr>
          <w:rFonts w:eastAsia="Calibri" w:cs="Times New Roman"/>
          <w:color w:val="000000"/>
          <w:lang w:val="es-ES" w:eastAsia="en-US"/>
        </w:rPr>
        <w:t>la media aritmética, y clasificadas con la mediana. Los resultados fueron: a nivel estatal 56</w:t>
      </w:r>
      <w:r>
        <w:rPr>
          <w:rFonts w:eastAsia="Calibri" w:cs="Times New Roman"/>
          <w:color w:val="000000"/>
          <w:lang w:val="es-ES" w:eastAsia="en-US"/>
        </w:rPr>
        <w:t xml:space="preserve"> </w:t>
      </w:r>
      <w:r w:rsidRPr="00FB6CFB">
        <w:rPr>
          <w:rFonts w:eastAsia="Calibri" w:cs="Times New Roman"/>
          <w:color w:val="000000"/>
          <w:lang w:val="es-ES" w:eastAsia="en-US"/>
        </w:rPr>
        <w:t>% de los docentes poseen competencias altas y 44 % entre medianas y bajas. Por</w:t>
      </w:r>
      <w:r>
        <w:rPr>
          <w:rFonts w:eastAsia="Calibri" w:cs="Times New Roman"/>
          <w:color w:val="000000"/>
          <w:lang w:val="es-ES" w:eastAsia="en-US"/>
        </w:rPr>
        <w:t xml:space="preserve"> </w:t>
      </w:r>
      <w:proofErr w:type="spellStart"/>
      <w:r w:rsidRPr="00FB6CFB">
        <w:rPr>
          <w:rFonts w:eastAsia="Calibri" w:cs="Times New Roman"/>
          <w:color w:val="000000"/>
          <w:lang w:val="es-ES" w:eastAsia="en-US"/>
        </w:rPr>
        <w:t>subdimensiones</w:t>
      </w:r>
      <w:proofErr w:type="spellEnd"/>
      <w:r w:rsidRPr="00FB6CFB">
        <w:rPr>
          <w:rFonts w:eastAsia="Calibri" w:cs="Times New Roman"/>
          <w:color w:val="000000"/>
          <w:lang w:val="es-ES" w:eastAsia="en-US"/>
        </w:rPr>
        <w:t>: normales 71 %, universidad 64 %, tecnológicos 44 %, mostraron</w:t>
      </w:r>
      <w:r>
        <w:rPr>
          <w:rFonts w:eastAsia="Calibri" w:cs="Times New Roman"/>
          <w:color w:val="000000"/>
          <w:lang w:val="es-ES" w:eastAsia="en-US"/>
        </w:rPr>
        <w:t xml:space="preserve"> </w:t>
      </w:r>
      <w:r w:rsidRPr="00FB6CFB">
        <w:rPr>
          <w:rFonts w:eastAsia="Calibri" w:cs="Times New Roman"/>
          <w:color w:val="000000"/>
          <w:lang w:val="es-ES" w:eastAsia="en-US"/>
        </w:rPr>
        <w:t xml:space="preserve">competencias altas en valores y evaluación; en las </w:t>
      </w:r>
      <w:r w:rsidRPr="00FB6CFB">
        <w:rPr>
          <w:rFonts w:eastAsia="Calibri" w:cs="Times New Roman"/>
          <w:color w:val="000000"/>
          <w:lang w:val="es-ES" w:eastAsia="en-US"/>
        </w:rPr>
        <w:lastRenderedPageBreak/>
        <w:t>pedagógicas presentaron deficiencias</w:t>
      </w:r>
      <w:r>
        <w:rPr>
          <w:rFonts w:eastAsia="Calibri" w:cs="Times New Roman"/>
          <w:color w:val="000000"/>
          <w:lang w:val="es-ES" w:eastAsia="en-US"/>
        </w:rPr>
        <w:t xml:space="preserve"> </w:t>
      </w:r>
      <w:r w:rsidRPr="00FB6CFB">
        <w:rPr>
          <w:rFonts w:eastAsia="Calibri" w:cs="Times New Roman"/>
          <w:color w:val="000000"/>
          <w:lang w:val="es-ES" w:eastAsia="en-US"/>
        </w:rPr>
        <w:t>notorias. En indicadores: 90 % de los normalistas tienen fortalezas altas, 58 % de los</w:t>
      </w:r>
      <w:r>
        <w:rPr>
          <w:rFonts w:eastAsia="Calibri" w:cs="Times New Roman"/>
          <w:color w:val="000000"/>
          <w:lang w:val="es-ES" w:eastAsia="en-US"/>
        </w:rPr>
        <w:t xml:space="preserve"> </w:t>
      </w:r>
      <w:r w:rsidRPr="00FB6CFB">
        <w:rPr>
          <w:rFonts w:eastAsia="Calibri" w:cs="Times New Roman"/>
          <w:color w:val="000000"/>
          <w:lang w:val="es-ES" w:eastAsia="en-US"/>
        </w:rPr>
        <w:t>universitarios medianas, mientras los tecnológicos 100 % medianas.</w:t>
      </w:r>
    </w:p>
    <w:p w:rsidR="00D968AB" w:rsidRPr="007105C9" w:rsidRDefault="00D968AB" w:rsidP="00607A39">
      <w:pPr>
        <w:spacing w:line="360" w:lineRule="auto"/>
        <w:ind w:left="-180"/>
        <w:jc w:val="both"/>
        <w:outlineLvl w:val="0"/>
        <w:rPr>
          <w:rFonts w:ascii="Arial" w:eastAsia="Calibri" w:hAnsi="Arial" w:cs="Arial"/>
          <w:b/>
          <w:bCs/>
          <w:i/>
          <w:lang w:eastAsia="en-US"/>
        </w:rPr>
      </w:pPr>
    </w:p>
    <w:p w:rsidR="002F29C1" w:rsidRDefault="008620F0" w:rsidP="00607A39">
      <w:pPr>
        <w:spacing w:line="360" w:lineRule="auto"/>
        <w:ind w:left="-180"/>
        <w:jc w:val="both"/>
        <w:outlineLvl w:val="0"/>
        <w:rPr>
          <w:rFonts w:ascii="Arial" w:eastAsia="Times New Roman" w:hAnsi="Arial" w:cs="Arial"/>
          <w:lang w:val="es-ES"/>
        </w:rPr>
      </w:pPr>
      <w:r w:rsidRPr="00F01B15">
        <w:rPr>
          <w:rFonts w:ascii="Calibri" w:eastAsia="Times New Roman" w:hAnsi="Calibri" w:cs="Calibri"/>
          <w:color w:val="7030A0"/>
          <w:sz w:val="28"/>
          <w:szCs w:val="28"/>
          <w:lang w:val="es-ES"/>
        </w:rPr>
        <w:t>Palabras clave:</w:t>
      </w:r>
      <w:r w:rsidRPr="002F29C1">
        <w:rPr>
          <w:rFonts w:ascii="Arial" w:eastAsia="Calibri" w:hAnsi="Arial" w:cs="Arial"/>
          <w:bCs/>
          <w:lang w:val="es-ES" w:eastAsia="en-US"/>
        </w:rPr>
        <w:t xml:space="preserve"> </w:t>
      </w:r>
      <w:r w:rsidR="00BB1EDD" w:rsidRPr="00F01B15">
        <w:rPr>
          <w:rFonts w:eastAsia="Calibri" w:cs="Times New Roman"/>
          <w:color w:val="000000"/>
          <w:lang w:val="es-ES" w:eastAsia="en-US"/>
        </w:rPr>
        <w:t>e</w:t>
      </w:r>
      <w:r w:rsidRPr="00F01B15">
        <w:rPr>
          <w:rFonts w:eastAsia="Calibri" w:cs="Times New Roman"/>
          <w:color w:val="000000"/>
          <w:lang w:val="es-ES" w:eastAsia="en-US"/>
        </w:rPr>
        <w:t>valuación de competencias docentes en opinión de estudiantes, evaluación en educación superior,  evaluación del desempeño docente.</w:t>
      </w:r>
      <w:r w:rsidRPr="002F29C1">
        <w:rPr>
          <w:rFonts w:ascii="Arial" w:eastAsia="Times New Roman" w:hAnsi="Arial" w:cs="Arial"/>
          <w:lang w:val="es-ES"/>
        </w:rPr>
        <w:t xml:space="preserve"> </w:t>
      </w:r>
    </w:p>
    <w:p w:rsidR="0061668E" w:rsidRDefault="0061668E" w:rsidP="00607A39">
      <w:pPr>
        <w:spacing w:line="360" w:lineRule="auto"/>
        <w:ind w:left="-180"/>
        <w:jc w:val="both"/>
        <w:outlineLvl w:val="0"/>
        <w:rPr>
          <w:rFonts w:ascii="Arial" w:eastAsia="Times New Roman" w:hAnsi="Arial" w:cs="Arial"/>
          <w:lang w:val="es-ES"/>
        </w:rPr>
      </w:pPr>
    </w:p>
    <w:p w:rsidR="009566F7" w:rsidRPr="001378E3" w:rsidRDefault="00A05B38" w:rsidP="00607A39">
      <w:pPr>
        <w:spacing w:line="360" w:lineRule="auto"/>
        <w:ind w:left="-180"/>
        <w:jc w:val="both"/>
        <w:outlineLvl w:val="0"/>
        <w:rPr>
          <w:rFonts w:ascii="Calibri" w:eastAsia="Times New Roman" w:hAnsi="Calibri" w:cs="Calibri"/>
          <w:color w:val="7030A0"/>
          <w:sz w:val="28"/>
          <w:szCs w:val="28"/>
          <w:lang w:val="en-US"/>
        </w:rPr>
      </w:pPr>
      <w:r w:rsidRPr="001378E3">
        <w:rPr>
          <w:rFonts w:ascii="Calibri" w:eastAsia="Times New Roman" w:hAnsi="Calibri" w:cs="Calibri"/>
          <w:iCs/>
          <w:color w:val="7030A0"/>
          <w:sz w:val="28"/>
          <w:szCs w:val="28"/>
          <w:lang w:val="en-US"/>
        </w:rPr>
        <w:t>Abstract</w:t>
      </w:r>
      <w:r w:rsidRPr="001378E3">
        <w:rPr>
          <w:rFonts w:ascii="Calibri" w:eastAsia="Times New Roman" w:hAnsi="Calibri" w:cs="Calibri"/>
          <w:color w:val="7030A0"/>
          <w:sz w:val="28"/>
          <w:szCs w:val="28"/>
          <w:lang w:val="en-US"/>
        </w:rPr>
        <w:t xml:space="preserve"> </w:t>
      </w:r>
    </w:p>
    <w:p w:rsidR="0061668E" w:rsidRDefault="0061668E" w:rsidP="0061668E">
      <w:pPr>
        <w:spacing w:line="360" w:lineRule="auto"/>
        <w:ind w:left="-180"/>
        <w:jc w:val="both"/>
        <w:rPr>
          <w:rFonts w:ascii="Arial" w:eastAsia="Calibri" w:hAnsi="Arial" w:cs="Arial"/>
          <w:color w:val="000000"/>
          <w:lang w:val="en-US" w:eastAsia="en-US"/>
        </w:rPr>
      </w:pPr>
      <w:r w:rsidRPr="001378E3">
        <w:rPr>
          <w:rFonts w:eastAsia="Calibri" w:cs="Times New Roman"/>
          <w:color w:val="000000"/>
          <w:lang w:val="en-US" w:eastAsia="en-US"/>
        </w:rPr>
        <w:t>Goal: To identify the teaching staff generic competence, that orients the educational practice on higher education on the state of Guerrero, taking into account the students opinion.</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Method: Descriptive and longitudinal studies on the period 2012-2014; it was applied a questionnaire to students of seven institutions. The sample was: 37</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teaching staff and 41</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xml:space="preserve">% students per institution, assessing each academic member 10 students. The information was adapted to the Likert scale, posteriorly to the numeric scale of </w:t>
      </w:r>
      <w:proofErr w:type="spellStart"/>
      <w:r w:rsidRPr="001378E3">
        <w:rPr>
          <w:rFonts w:eastAsia="Calibri" w:cs="Times New Roman"/>
          <w:color w:val="000000"/>
          <w:lang w:val="en-US" w:eastAsia="en-US"/>
        </w:rPr>
        <w:t>Sampieri</w:t>
      </w:r>
      <w:proofErr w:type="spellEnd"/>
      <w:r w:rsidRPr="001378E3">
        <w:rPr>
          <w:rFonts w:eastAsia="Calibri" w:cs="Times New Roman"/>
          <w:color w:val="000000"/>
          <w:lang w:val="en-US" w:eastAsia="en-US"/>
        </w:rPr>
        <w:t xml:space="preserve"> to obtain quartiles thus classifying the data on high medium and low competence. The strength and weakness on the indicators were calculated using the arithmetic mean and classifying it using the median.</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Results: on a state level 56</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of the teaching staff is of high competence, 44</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between medium and low competence. By sub-dimensions: normal staff 71</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university staff 64% and technological staff 44</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showed high competence on values and evaluation; on pedagogical showed notorious deficiencies. On Indicators: 9</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xml:space="preserve">% </w:t>
      </w:r>
      <w:proofErr w:type="spellStart"/>
      <w:r w:rsidRPr="001378E3">
        <w:rPr>
          <w:rFonts w:eastAsia="Calibri" w:cs="Times New Roman"/>
          <w:color w:val="000000"/>
          <w:lang w:val="en-US" w:eastAsia="en-US"/>
        </w:rPr>
        <w:t>normalist</w:t>
      </w:r>
      <w:proofErr w:type="spellEnd"/>
      <w:r w:rsidRPr="001378E3">
        <w:rPr>
          <w:rFonts w:eastAsia="Calibri" w:cs="Times New Roman"/>
          <w:color w:val="000000"/>
          <w:lang w:val="en-US" w:eastAsia="en-US"/>
        </w:rPr>
        <w:t xml:space="preserve"> staff has high strengths; 58</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of university staff medium competences and technological staff 100</w:t>
      </w:r>
      <w:r w:rsidR="00EF50F3" w:rsidRPr="001378E3">
        <w:rPr>
          <w:rFonts w:eastAsia="Calibri" w:cs="Times New Roman"/>
          <w:color w:val="000000"/>
          <w:lang w:val="en-US" w:eastAsia="en-US"/>
        </w:rPr>
        <w:t xml:space="preserve"> </w:t>
      </w:r>
      <w:r w:rsidRPr="001378E3">
        <w:rPr>
          <w:rFonts w:eastAsia="Calibri" w:cs="Times New Roman"/>
          <w:color w:val="000000"/>
          <w:lang w:val="en-US" w:eastAsia="en-US"/>
        </w:rPr>
        <w:t>% showed medium competences.</w:t>
      </w:r>
    </w:p>
    <w:p w:rsidR="00454DD6" w:rsidRDefault="00454DD6" w:rsidP="0061668E">
      <w:pPr>
        <w:spacing w:line="360" w:lineRule="auto"/>
        <w:ind w:left="-180"/>
        <w:jc w:val="both"/>
        <w:outlineLvl w:val="0"/>
        <w:rPr>
          <w:rFonts w:ascii="Arial" w:eastAsia="Calibri" w:hAnsi="Arial" w:cs="Arial"/>
          <w:b/>
          <w:bCs/>
          <w:i/>
          <w:lang w:val="en-US" w:eastAsia="en-US"/>
        </w:rPr>
      </w:pPr>
    </w:p>
    <w:p w:rsidR="00F01B15" w:rsidRPr="001378E3" w:rsidRDefault="0061668E" w:rsidP="00F01B15">
      <w:pPr>
        <w:spacing w:line="360" w:lineRule="auto"/>
        <w:ind w:left="-180"/>
        <w:jc w:val="both"/>
        <w:outlineLvl w:val="0"/>
        <w:rPr>
          <w:rFonts w:eastAsia="Calibri" w:cs="Times New Roman"/>
          <w:color w:val="000000"/>
          <w:lang w:val="en-US" w:eastAsia="en-US"/>
        </w:rPr>
      </w:pPr>
      <w:r w:rsidRPr="001378E3">
        <w:rPr>
          <w:rFonts w:ascii="Calibri" w:eastAsia="Times New Roman" w:hAnsi="Calibri" w:cs="Calibri"/>
          <w:iCs/>
          <w:color w:val="7030A0"/>
          <w:sz w:val="28"/>
          <w:szCs w:val="28"/>
          <w:lang w:val="en-US"/>
        </w:rPr>
        <w:t>Key</w:t>
      </w:r>
      <w:r w:rsidR="00EF50F3" w:rsidRPr="001378E3">
        <w:rPr>
          <w:rFonts w:ascii="Calibri" w:eastAsia="Times New Roman" w:hAnsi="Calibri" w:cs="Calibri"/>
          <w:iCs/>
          <w:color w:val="7030A0"/>
          <w:sz w:val="28"/>
          <w:szCs w:val="28"/>
          <w:lang w:val="en-US"/>
        </w:rPr>
        <w:t xml:space="preserve"> </w:t>
      </w:r>
      <w:r w:rsidRPr="001378E3">
        <w:rPr>
          <w:rFonts w:ascii="Calibri" w:eastAsia="Times New Roman" w:hAnsi="Calibri" w:cs="Calibri"/>
          <w:iCs/>
          <w:color w:val="7030A0"/>
          <w:sz w:val="28"/>
          <w:szCs w:val="28"/>
          <w:lang w:val="en-US"/>
        </w:rPr>
        <w:t>words:</w:t>
      </w:r>
      <w:r w:rsidR="00EF50F3">
        <w:rPr>
          <w:rFonts w:ascii="Arial" w:eastAsia="Calibri" w:hAnsi="Arial" w:cs="Arial"/>
          <w:b/>
          <w:bCs/>
          <w:lang w:val="en-US" w:eastAsia="en-US"/>
        </w:rPr>
        <w:t xml:space="preserve"> </w:t>
      </w:r>
      <w:r w:rsidR="00EF50F3" w:rsidRPr="001378E3">
        <w:rPr>
          <w:rFonts w:eastAsia="Calibri" w:cs="Times New Roman"/>
          <w:color w:val="000000"/>
          <w:lang w:val="en-US" w:eastAsia="en-US"/>
        </w:rPr>
        <w:t>t</w:t>
      </w:r>
      <w:r w:rsidRPr="001378E3">
        <w:rPr>
          <w:rFonts w:eastAsia="Calibri" w:cs="Times New Roman"/>
          <w:color w:val="000000"/>
          <w:lang w:val="en-US" w:eastAsia="en-US"/>
        </w:rPr>
        <w:t xml:space="preserve">eaching staff competence evaluation in the </w:t>
      </w:r>
      <w:r w:rsidR="00454DD6" w:rsidRPr="001378E3">
        <w:rPr>
          <w:rFonts w:eastAsia="Calibri" w:cs="Times New Roman"/>
          <w:color w:val="000000"/>
          <w:lang w:val="en-US" w:eastAsia="en-US"/>
        </w:rPr>
        <w:t>students</w:t>
      </w:r>
      <w:r w:rsidRPr="001378E3">
        <w:rPr>
          <w:rFonts w:eastAsia="Calibri" w:cs="Times New Roman"/>
          <w:color w:val="000000"/>
          <w:lang w:val="en-US" w:eastAsia="en-US"/>
        </w:rPr>
        <w:t xml:space="preserve"> opinion, higher education evaluation, teaching staff evaluation.</w:t>
      </w:r>
    </w:p>
    <w:p w:rsidR="00F01B15" w:rsidRPr="001378E3" w:rsidRDefault="00F01B15" w:rsidP="00F01B15">
      <w:pPr>
        <w:spacing w:line="360" w:lineRule="auto"/>
        <w:ind w:left="-180"/>
        <w:jc w:val="both"/>
        <w:outlineLvl w:val="0"/>
        <w:rPr>
          <w:b/>
          <w:color w:val="000000" w:themeColor="text1"/>
          <w:lang w:val="en-US"/>
        </w:rPr>
      </w:pPr>
    </w:p>
    <w:p w:rsidR="000E4CA0" w:rsidRPr="00F01B15" w:rsidRDefault="000E4CA0" w:rsidP="000E4CA0">
      <w:pPr>
        <w:spacing w:line="360" w:lineRule="auto"/>
        <w:ind w:left="-180"/>
        <w:jc w:val="both"/>
        <w:outlineLvl w:val="0"/>
        <w:rPr>
          <w:rFonts w:eastAsia="Calibri" w:cs="Times New Roman"/>
          <w:color w:val="000000"/>
          <w:lang w:val="es-ES" w:eastAsia="en-US"/>
        </w:rPr>
      </w:pPr>
      <w:r w:rsidRPr="00F24A51">
        <w:rPr>
          <w:b/>
          <w:color w:val="000000" w:themeColor="text1"/>
        </w:rPr>
        <w:t>Fecha Recepción:</w:t>
      </w:r>
      <w:r w:rsidRPr="00F24A51">
        <w:rPr>
          <w:color w:val="000000" w:themeColor="text1"/>
        </w:rPr>
        <w:t xml:space="preserve">     </w:t>
      </w:r>
      <w:r>
        <w:rPr>
          <w:color w:val="000000" w:themeColor="text1"/>
        </w:rPr>
        <w:t>Agosto 2015</w:t>
      </w:r>
      <w:r w:rsidRPr="00F24A51">
        <w:rPr>
          <w:color w:val="000000" w:themeColor="text1"/>
        </w:rPr>
        <w:t xml:space="preserve">     </w:t>
      </w:r>
      <w:r w:rsidRPr="00F24A51">
        <w:rPr>
          <w:b/>
          <w:color w:val="000000" w:themeColor="text1"/>
        </w:rPr>
        <w:t>Fecha Aceptación:</w:t>
      </w:r>
      <w:r w:rsidRPr="00F24A51">
        <w:rPr>
          <w:color w:val="000000" w:themeColor="text1"/>
        </w:rPr>
        <w:t xml:space="preserve"> </w:t>
      </w:r>
      <w:r>
        <w:rPr>
          <w:color w:val="000000" w:themeColor="text1"/>
        </w:rPr>
        <w:t>Diciembre 2015</w:t>
      </w:r>
      <w:r>
        <w:rPr>
          <w:color w:val="000000" w:themeColor="text1"/>
        </w:rPr>
        <w:br/>
      </w:r>
      <w:r w:rsidR="007C1FD9">
        <w:rPr>
          <w:rFonts w:cs="Calibri"/>
        </w:rPr>
        <w:pict>
          <v:rect id="_x0000_i1025" style="width:0;height:1.5pt" o:hralign="center" o:hrstd="t" o:hr="t" fillcolor="#a0a0a0" stroked="f"/>
        </w:pict>
      </w:r>
    </w:p>
    <w:p w:rsidR="000E4CA0" w:rsidRPr="001378E3" w:rsidRDefault="000E4CA0" w:rsidP="000E4CA0">
      <w:pPr>
        <w:spacing w:line="360" w:lineRule="auto"/>
        <w:ind w:left="-180"/>
        <w:jc w:val="both"/>
        <w:outlineLvl w:val="0"/>
        <w:rPr>
          <w:rFonts w:ascii="Arial" w:eastAsia="Calibri" w:hAnsi="Arial" w:cs="Arial"/>
          <w:bCs/>
          <w:lang w:eastAsia="en-US"/>
        </w:rPr>
      </w:pPr>
    </w:p>
    <w:p w:rsidR="00F01B15" w:rsidRPr="001378E3" w:rsidRDefault="00F01B15" w:rsidP="0061668E">
      <w:pPr>
        <w:spacing w:line="360" w:lineRule="auto"/>
        <w:ind w:left="-180"/>
        <w:jc w:val="both"/>
        <w:outlineLvl w:val="0"/>
        <w:rPr>
          <w:rFonts w:ascii="Arial" w:eastAsia="Calibri" w:hAnsi="Arial" w:cs="Arial"/>
          <w:bCs/>
          <w:lang w:eastAsia="en-US"/>
        </w:rPr>
      </w:pPr>
    </w:p>
    <w:p w:rsidR="00F01B15" w:rsidRPr="001378E3" w:rsidRDefault="00F01B15" w:rsidP="0061668E">
      <w:pPr>
        <w:spacing w:line="360" w:lineRule="auto"/>
        <w:ind w:left="-180"/>
        <w:jc w:val="both"/>
        <w:outlineLvl w:val="0"/>
        <w:rPr>
          <w:rFonts w:ascii="Arial" w:eastAsia="Calibri" w:hAnsi="Arial" w:cs="Arial"/>
          <w:bCs/>
          <w:lang w:eastAsia="en-US"/>
        </w:rPr>
      </w:pPr>
    </w:p>
    <w:p w:rsidR="00F01B15" w:rsidRPr="001378E3" w:rsidRDefault="00F01B15" w:rsidP="0061668E">
      <w:pPr>
        <w:spacing w:line="360" w:lineRule="auto"/>
        <w:ind w:left="-180"/>
        <w:jc w:val="both"/>
        <w:outlineLvl w:val="0"/>
        <w:rPr>
          <w:rFonts w:ascii="Arial" w:eastAsia="Calibri" w:hAnsi="Arial" w:cs="Arial"/>
          <w:bCs/>
          <w:lang w:eastAsia="en-US"/>
        </w:rPr>
      </w:pPr>
    </w:p>
    <w:p w:rsidR="00454DD6" w:rsidRPr="001378E3" w:rsidRDefault="00454DD6" w:rsidP="0061668E">
      <w:pPr>
        <w:spacing w:line="360" w:lineRule="auto"/>
        <w:ind w:left="-180"/>
        <w:jc w:val="both"/>
        <w:outlineLvl w:val="0"/>
        <w:rPr>
          <w:rFonts w:ascii="Arial" w:eastAsia="Calibri" w:hAnsi="Arial" w:cs="Arial"/>
          <w:bCs/>
          <w:lang w:eastAsia="en-US"/>
        </w:rPr>
      </w:pPr>
    </w:p>
    <w:p w:rsidR="008620F0" w:rsidRPr="00F01B15" w:rsidRDefault="008620F0" w:rsidP="00607A39">
      <w:pPr>
        <w:spacing w:line="360" w:lineRule="auto"/>
        <w:ind w:left="-180"/>
        <w:outlineLvl w:val="0"/>
        <w:rPr>
          <w:rFonts w:ascii="Calibri" w:eastAsia="Times New Roman" w:hAnsi="Calibri" w:cs="Calibri"/>
          <w:iCs/>
          <w:color w:val="7030A0"/>
          <w:sz w:val="28"/>
          <w:szCs w:val="28"/>
          <w:lang w:val="es-ES"/>
        </w:rPr>
      </w:pPr>
      <w:r w:rsidRPr="00F01B15">
        <w:rPr>
          <w:rFonts w:ascii="Calibri" w:eastAsia="Times New Roman" w:hAnsi="Calibri" w:cs="Calibri"/>
          <w:iCs/>
          <w:color w:val="7030A0"/>
          <w:sz w:val="28"/>
          <w:szCs w:val="28"/>
          <w:lang w:val="es-ES"/>
        </w:rPr>
        <w:t>Introducción</w:t>
      </w:r>
    </w:p>
    <w:p w:rsidR="008241E3" w:rsidRPr="00F01B15" w:rsidRDefault="008620F0" w:rsidP="00F01B15">
      <w:pPr>
        <w:spacing w:line="360" w:lineRule="auto"/>
        <w:ind w:left="-180"/>
        <w:jc w:val="both"/>
        <w:outlineLvl w:val="0"/>
        <w:rPr>
          <w:rFonts w:eastAsia="Times New Roman" w:cs="Times New Roman"/>
          <w:strike/>
          <w:lang w:val="es-ES"/>
        </w:rPr>
      </w:pPr>
      <w:r w:rsidRPr="00F01B15">
        <w:rPr>
          <w:rFonts w:eastAsia="Times New Roman" w:cs="Times New Roman"/>
          <w:lang w:val="es-ES"/>
        </w:rPr>
        <w:t xml:space="preserve">El desarrollo económico, social, cultural y </w:t>
      </w:r>
      <w:r w:rsidR="000621BD" w:rsidRPr="00F01B15">
        <w:rPr>
          <w:rFonts w:eastAsia="Times New Roman" w:cs="Times New Roman"/>
          <w:lang w:val="es-ES"/>
        </w:rPr>
        <w:t>ambiental de un país, tiene la necesidad de corresponder con calidad y cobertura en</w:t>
      </w:r>
      <w:r w:rsidRPr="00F01B15">
        <w:rPr>
          <w:rFonts w:eastAsia="Times New Roman" w:cs="Times New Roman"/>
          <w:lang w:val="es-ES"/>
        </w:rPr>
        <w:t xml:space="preserve"> educaci</w:t>
      </w:r>
      <w:r w:rsidR="00E137C4" w:rsidRPr="00F01B15">
        <w:rPr>
          <w:rFonts w:eastAsia="Times New Roman" w:cs="Times New Roman"/>
          <w:lang w:val="es-ES"/>
        </w:rPr>
        <w:t>ón superior para su crecimiento</w:t>
      </w:r>
      <w:r w:rsidR="000621BD" w:rsidRPr="00F01B15">
        <w:rPr>
          <w:rFonts w:eastAsia="Times New Roman" w:cs="Times New Roman"/>
          <w:lang w:val="es-ES"/>
        </w:rPr>
        <w:t>,</w:t>
      </w:r>
      <w:r w:rsidRPr="00F01B15">
        <w:rPr>
          <w:rFonts w:eastAsia="Times New Roman" w:cs="Times New Roman"/>
          <w:lang w:val="es-ES"/>
        </w:rPr>
        <w:t xml:space="preserve"> y</w:t>
      </w:r>
      <w:r w:rsidR="000621BD" w:rsidRPr="00F01B15">
        <w:rPr>
          <w:rFonts w:eastAsia="Times New Roman" w:cs="Times New Roman"/>
          <w:lang w:val="es-ES"/>
        </w:rPr>
        <w:t xml:space="preserve"> para ello se requiere de </w:t>
      </w:r>
      <w:r w:rsidRPr="00F01B15">
        <w:rPr>
          <w:rFonts w:eastAsia="Times New Roman" w:cs="Times New Roman"/>
          <w:lang w:val="es-ES"/>
        </w:rPr>
        <w:t>atención especial</w:t>
      </w:r>
      <w:r w:rsidR="000621BD" w:rsidRPr="00F01B15">
        <w:rPr>
          <w:rFonts w:eastAsia="Times New Roman" w:cs="Times New Roman"/>
          <w:lang w:val="es-ES"/>
        </w:rPr>
        <w:t>izada del docente hacia el estudiante en su</w:t>
      </w:r>
      <w:r w:rsidRPr="00F01B15">
        <w:rPr>
          <w:rFonts w:eastAsia="Times New Roman" w:cs="Times New Roman"/>
          <w:lang w:val="es-ES"/>
        </w:rPr>
        <w:t xml:space="preserve"> proceso de</w:t>
      </w:r>
      <w:r w:rsidR="000621BD" w:rsidRPr="00F01B15">
        <w:rPr>
          <w:rFonts w:eastAsia="Times New Roman" w:cs="Times New Roman"/>
          <w:lang w:val="es-ES"/>
        </w:rPr>
        <w:t xml:space="preserve"> aprendizaje. E</w:t>
      </w:r>
      <w:r w:rsidR="00D873EF" w:rsidRPr="00F01B15">
        <w:rPr>
          <w:rFonts w:eastAsia="Times New Roman" w:cs="Times New Roman"/>
          <w:lang w:val="es-ES"/>
        </w:rPr>
        <w:t>n es</w:t>
      </w:r>
      <w:r w:rsidR="000621BD" w:rsidRPr="00F01B15">
        <w:rPr>
          <w:rFonts w:eastAsia="Times New Roman" w:cs="Times New Roman"/>
          <w:lang w:val="es-ES"/>
        </w:rPr>
        <w:t>te rubro</w:t>
      </w:r>
      <w:r w:rsidR="000D7FF5" w:rsidRPr="00F01B15">
        <w:rPr>
          <w:rFonts w:eastAsia="Times New Roman" w:cs="Times New Roman"/>
          <w:lang w:val="es-ES"/>
        </w:rPr>
        <w:t>,</w:t>
      </w:r>
      <w:r w:rsidRPr="00F01B15">
        <w:rPr>
          <w:rFonts w:eastAsia="Times New Roman" w:cs="Times New Roman"/>
          <w:lang w:val="es-ES"/>
        </w:rPr>
        <w:t xml:space="preserve"> el enfoque por competencias ha estado cada vez más presente en las discusiones de los distintos niveles del sistema educativo en diversas naciones por considerarse un medio para lograr una formación integral, en equidad y para toda</w:t>
      </w:r>
      <w:r w:rsidR="00DF3B54" w:rsidRPr="00F01B15">
        <w:rPr>
          <w:rFonts w:eastAsia="Times New Roman" w:cs="Times New Roman"/>
          <w:lang w:val="es-ES"/>
        </w:rPr>
        <w:t xml:space="preserve"> la vida (Zabala </w:t>
      </w:r>
      <w:r w:rsidR="00D873EF" w:rsidRPr="00F01B15">
        <w:rPr>
          <w:rFonts w:eastAsia="Times New Roman" w:cs="Times New Roman"/>
          <w:lang w:val="es-ES"/>
        </w:rPr>
        <w:t>y</w:t>
      </w:r>
      <w:r w:rsidR="00DF3B54" w:rsidRPr="00F01B15">
        <w:rPr>
          <w:rFonts w:eastAsia="Times New Roman" w:cs="Times New Roman"/>
          <w:lang w:val="es-ES"/>
        </w:rPr>
        <w:t xml:space="preserve"> Arnau, 2007)</w:t>
      </w:r>
      <w:r w:rsidR="00F23CF3" w:rsidRPr="00F01B15">
        <w:rPr>
          <w:rFonts w:eastAsia="Times New Roman" w:cs="Times New Roman"/>
          <w:lang w:val="es-ES"/>
        </w:rPr>
        <w:t>.</w:t>
      </w:r>
    </w:p>
    <w:p w:rsidR="008620F0" w:rsidRPr="00F01B15" w:rsidRDefault="008620F0" w:rsidP="00F01B15">
      <w:pPr>
        <w:spacing w:line="360" w:lineRule="auto"/>
        <w:ind w:left="-180"/>
        <w:jc w:val="both"/>
        <w:outlineLvl w:val="0"/>
        <w:rPr>
          <w:rFonts w:eastAsia="Times New Roman" w:cs="Times New Roman"/>
          <w:strike/>
          <w:lang w:val="es-ES"/>
        </w:rPr>
      </w:pPr>
      <w:r w:rsidRPr="00F01B15">
        <w:rPr>
          <w:rFonts w:eastAsia="Times New Roman" w:cs="Times New Roman"/>
          <w:lang w:val="es-ES"/>
        </w:rPr>
        <w:t>Con la aparición del enfoqu</w:t>
      </w:r>
      <w:r w:rsidR="000621BD" w:rsidRPr="00F01B15">
        <w:rPr>
          <w:rFonts w:eastAsia="Times New Roman" w:cs="Times New Roman"/>
          <w:lang w:val="es-ES"/>
        </w:rPr>
        <w:t xml:space="preserve">e por competencias, a la fecha </w:t>
      </w:r>
      <w:r w:rsidR="003660DD" w:rsidRPr="00F01B15">
        <w:rPr>
          <w:rFonts w:eastAsia="Times New Roman" w:cs="Times New Roman"/>
          <w:lang w:val="es-ES"/>
        </w:rPr>
        <w:t xml:space="preserve"> </w:t>
      </w:r>
      <w:r w:rsidR="000621BD" w:rsidRPr="00F01B15">
        <w:rPr>
          <w:rFonts w:eastAsia="Times New Roman" w:cs="Times New Roman"/>
          <w:lang w:val="es-ES"/>
        </w:rPr>
        <w:t>se han formulado distintos propósitos</w:t>
      </w:r>
      <w:r w:rsidRPr="00F01B15">
        <w:rPr>
          <w:rFonts w:eastAsia="Times New Roman" w:cs="Times New Roman"/>
          <w:lang w:val="es-ES"/>
        </w:rPr>
        <w:t>, entre ellos la necesidad de ordenar y vincular el sistema educativo formal a las necesidades del sector productivo. Otro propósito es contribuir a la formación de individuos para cubrir un conjunto de necesidades fundamentales, identificadas por grupos de expertos y organismos internacionales</w:t>
      </w:r>
      <w:r w:rsidR="00CC5B4B" w:rsidRPr="00F01B15">
        <w:rPr>
          <w:rFonts w:eastAsia="Times New Roman" w:cs="Times New Roman"/>
          <w:lang w:val="es-ES"/>
        </w:rPr>
        <w:t xml:space="preserve"> </w:t>
      </w:r>
      <w:r w:rsidR="000F026B" w:rsidRPr="00F01B15">
        <w:rPr>
          <w:rFonts w:eastAsia="Times New Roman" w:cs="Times New Roman"/>
          <w:lang w:val="es-ES"/>
        </w:rPr>
        <w:t>para</w:t>
      </w:r>
      <w:r w:rsidRPr="00F01B15">
        <w:rPr>
          <w:rFonts w:eastAsia="Times New Roman" w:cs="Times New Roman"/>
          <w:lang w:val="es-ES"/>
        </w:rPr>
        <w:t xml:space="preserve"> desafiar los retos de una sociedad en transformación permanente y con rumbo incierto</w:t>
      </w:r>
      <w:r w:rsidR="003660DD" w:rsidRPr="00F01B15">
        <w:rPr>
          <w:rFonts w:eastAsia="Times New Roman" w:cs="Times New Roman"/>
          <w:lang w:val="es-ES"/>
        </w:rPr>
        <w:t xml:space="preserve"> (Rueda, 2010, p.4)</w:t>
      </w:r>
      <w:r w:rsidR="00F23CF3" w:rsidRPr="00F01B15">
        <w:rPr>
          <w:rFonts w:eastAsia="Times New Roman" w:cs="Times New Roman"/>
          <w:lang w:val="es-ES"/>
        </w:rPr>
        <w:t>.</w:t>
      </w:r>
    </w:p>
    <w:p w:rsidR="00CB7CCA" w:rsidRPr="00F01B15" w:rsidRDefault="008620F0" w:rsidP="00F01B15">
      <w:pPr>
        <w:spacing w:line="360" w:lineRule="auto"/>
        <w:ind w:left="-180"/>
        <w:jc w:val="both"/>
        <w:outlineLvl w:val="0"/>
        <w:rPr>
          <w:rFonts w:eastAsia="Times New Roman" w:cs="Times New Roman"/>
          <w:lang w:val="es-ES"/>
        </w:rPr>
      </w:pPr>
      <w:r w:rsidRPr="00F01B15">
        <w:rPr>
          <w:rFonts w:eastAsia="Times New Roman" w:cs="Times New Roman"/>
          <w:lang w:val="es-ES"/>
        </w:rPr>
        <w:t>Frente a este panorama se han real</w:t>
      </w:r>
      <w:r w:rsidR="000621BD" w:rsidRPr="00F01B15">
        <w:rPr>
          <w:rFonts w:eastAsia="Times New Roman" w:cs="Times New Roman"/>
          <w:lang w:val="es-ES"/>
        </w:rPr>
        <w:t xml:space="preserve">izado esfuerzos para señalar </w:t>
      </w:r>
      <w:r w:rsidRPr="00F01B15">
        <w:rPr>
          <w:rFonts w:eastAsia="Times New Roman" w:cs="Times New Roman"/>
          <w:lang w:val="es-ES"/>
        </w:rPr>
        <w:t>problemas fundamentales de los que podrían derivarse “los saberes necesarios para la educación del futuro</w:t>
      </w:r>
      <w:r w:rsidR="00CC5B4B" w:rsidRPr="00F01B15">
        <w:rPr>
          <w:rFonts w:eastAsia="Times New Roman" w:cs="Times New Roman"/>
          <w:lang w:val="es-ES"/>
        </w:rPr>
        <w:t>”</w:t>
      </w:r>
      <w:r w:rsidR="00E2450D" w:rsidRPr="00F01B15">
        <w:rPr>
          <w:rFonts w:eastAsia="Times New Roman" w:cs="Times New Roman"/>
          <w:lang w:val="es-ES"/>
        </w:rPr>
        <w:t xml:space="preserve"> </w:t>
      </w:r>
      <w:r w:rsidR="003F60F7" w:rsidRPr="00F01B15">
        <w:rPr>
          <w:rFonts w:eastAsia="Times New Roman" w:cs="Times New Roman"/>
          <w:lang w:val="es-ES"/>
        </w:rPr>
        <w:t xml:space="preserve">(UNESCO, en </w:t>
      </w:r>
      <w:r w:rsidR="00E2450D" w:rsidRPr="00F01B15">
        <w:rPr>
          <w:rFonts w:eastAsia="Times New Roman" w:cs="Times New Roman"/>
          <w:lang w:val="es-ES"/>
        </w:rPr>
        <w:t>Rueda, 2010</w:t>
      </w:r>
      <w:r w:rsidR="00CC5B4B" w:rsidRPr="00F01B15">
        <w:rPr>
          <w:rFonts w:eastAsia="Times New Roman" w:cs="Times New Roman"/>
          <w:lang w:val="es-ES"/>
        </w:rPr>
        <w:t>, p.4</w:t>
      </w:r>
      <w:r w:rsidRPr="00F01B15">
        <w:rPr>
          <w:rFonts w:eastAsia="Times New Roman" w:cs="Times New Roman"/>
          <w:lang w:val="es-ES"/>
        </w:rPr>
        <w:t xml:space="preserve">), como el </w:t>
      </w:r>
      <w:r w:rsidR="00CB7CCA" w:rsidRPr="00F01B15">
        <w:rPr>
          <w:rFonts w:eastAsia="Times New Roman" w:cs="Times New Roman"/>
          <w:lang w:val="es-ES"/>
        </w:rPr>
        <w:t>desafío</w:t>
      </w:r>
      <w:r w:rsidR="000621BD" w:rsidRPr="00F01B15">
        <w:rPr>
          <w:rFonts w:eastAsia="Times New Roman" w:cs="Times New Roman"/>
          <w:lang w:val="es-ES"/>
        </w:rPr>
        <w:t xml:space="preserve"> al error, con el anhelo</w:t>
      </w:r>
      <w:r w:rsidRPr="00F01B15">
        <w:rPr>
          <w:rFonts w:eastAsia="Times New Roman" w:cs="Times New Roman"/>
          <w:lang w:val="es-ES"/>
        </w:rPr>
        <w:t xml:space="preserve"> y la neces</w:t>
      </w:r>
      <w:r w:rsidR="000621BD" w:rsidRPr="00F01B15">
        <w:rPr>
          <w:rFonts w:eastAsia="Times New Roman" w:cs="Times New Roman"/>
          <w:lang w:val="es-ES"/>
        </w:rPr>
        <w:t>idad de conocer la naturaleza y la construcción</w:t>
      </w:r>
      <w:r w:rsidRPr="00F01B15">
        <w:rPr>
          <w:rFonts w:eastAsia="Times New Roman" w:cs="Times New Roman"/>
          <w:lang w:val="es-ES"/>
        </w:rPr>
        <w:t xml:space="preserve"> del conocimiento, la </w:t>
      </w:r>
      <w:r w:rsidR="00CB7CCA" w:rsidRPr="00F01B15">
        <w:rPr>
          <w:rFonts w:eastAsia="Times New Roman" w:cs="Times New Roman"/>
          <w:lang w:val="es-ES"/>
        </w:rPr>
        <w:t>insuficiencia</w:t>
      </w:r>
      <w:r w:rsidRPr="00F01B15">
        <w:rPr>
          <w:rFonts w:eastAsia="Times New Roman" w:cs="Times New Roman"/>
          <w:lang w:val="es-ES"/>
        </w:rPr>
        <w:t xml:space="preserve"> de un</w:t>
      </w:r>
      <w:r w:rsidR="000621BD" w:rsidRPr="00F01B15">
        <w:rPr>
          <w:rFonts w:eastAsia="Times New Roman" w:cs="Times New Roman"/>
          <w:lang w:val="es-ES"/>
        </w:rPr>
        <w:t>a</w:t>
      </w:r>
      <w:r w:rsidRPr="00F01B15">
        <w:rPr>
          <w:rFonts w:eastAsia="Times New Roman" w:cs="Times New Roman"/>
          <w:lang w:val="es-ES"/>
        </w:rPr>
        <w:t xml:space="preserve"> </w:t>
      </w:r>
      <w:r w:rsidR="002474BA" w:rsidRPr="00F01B15">
        <w:rPr>
          <w:rFonts w:eastAsia="Times New Roman" w:cs="Times New Roman"/>
          <w:lang w:val="es-ES"/>
        </w:rPr>
        <w:t xml:space="preserve">enseñanza </w:t>
      </w:r>
      <w:r w:rsidR="000621BD" w:rsidRPr="00F01B15">
        <w:rPr>
          <w:rFonts w:eastAsia="Times New Roman" w:cs="Times New Roman"/>
          <w:lang w:val="es-ES"/>
        </w:rPr>
        <w:t>capaz de apre</w:t>
      </w:r>
      <w:r w:rsidRPr="00F01B15">
        <w:rPr>
          <w:rFonts w:eastAsia="Times New Roman" w:cs="Times New Roman"/>
          <w:lang w:val="es-ES"/>
        </w:rPr>
        <w:t>nder</w:t>
      </w:r>
      <w:r w:rsidR="002474BA" w:rsidRPr="00F01B15">
        <w:rPr>
          <w:rFonts w:eastAsia="Times New Roman" w:cs="Times New Roman"/>
          <w:lang w:val="es-ES"/>
        </w:rPr>
        <w:t xml:space="preserve"> de su contexto, para comprender el conjunto de</w:t>
      </w:r>
      <w:r w:rsidRPr="00F01B15">
        <w:rPr>
          <w:rFonts w:eastAsia="Times New Roman" w:cs="Times New Roman"/>
          <w:lang w:val="es-ES"/>
        </w:rPr>
        <w:t xml:space="preserve"> </w:t>
      </w:r>
      <w:r w:rsidR="002474BA" w:rsidRPr="00F01B15">
        <w:rPr>
          <w:rFonts w:eastAsia="Times New Roman" w:cs="Times New Roman"/>
          <w:lang w:val="es-ES"/>
        </w:rPr>
        <w:t>problemas</w:t>
      </w:r>
      <w:r w:rsidRPr="00F01B15">
        <w:rPr>
          <w:rFonts w:eastAsia="Times New Roman" w:cs="Times New Roman"/>
          <w:lang w:val="es-ES"/>
        </w:rPr>
        <w:t xml:space="preserve"> y en sus </w:t>
      </w:r>
      <w:r w:rsidR="002474BA" w:rsidRPr="00F01B15">
        <w:rPr>
          <w:rFonts w:eastAsia="Times New Roman" w:cs="Times New Roman"/>
          <w:lang w:val="es-ES"/>
        </w:rPr>
        <w:t>correspondientes</w:t>
      </w:r>
      <w:r w:rsidRPr="00F01B15">
        <w:rPr>
          <w:rFonts w:eastAsia="Times New Roman" w:cs="Times New Roman"/>
          <w:lang w:val="es-ES"/>
        </w:rPr>
        <w:t xml:space="preserve"> relaciones e influencias. Existe una exigencia para reconocer la unidad compleja de la naturaleza humana, la </w:t>
      </w:r>
      <w:r w:rsidR="004675F2" w:rsidRPr="00F01B15">
        <w:rPr>
          <w:rFonts w:eastAsia="Times New Roman" w:cs="Times New Roman"/>
          <w:lang w:val="es-ES"/>
        </w:rPr>
        <w:t>alianza</w:t>
      </w:r>
      <w:r w:rsidRPr="00F01B15">
        <w:rPr>
          <w:rFonts w:eastAsia="Times New Roman" w:cs="Times New Roman"/>
          <w:lang w:val="es-ES"/>
        </w:rPr>
        <w:t xml:space="preserve"> </w:t>
      </w:r>
      <w:r w:rsidR="004675F2" w:rsidRPr="00F01B15">
        <w:rPr>
          <w:rFonts w:eastAsia="Times New Roman" w:cs="Times New Roman"/>
          <w:lang w:val="es-ES"/>
        </w:rPr>
        <w:t>sólida d</w:t>
      </w:r>
      <w:r w:rsidRPr="00F01B15">
        <w:rPr>
          <w:rFonts w:eastAsia="Times New Roman" w:cs="Times New Roman"/>
          <w:lang w:val="es-ES"/>
        </w:rPr>
        <w:t xml:space="preserve">e la unidad y la diversidad de todo </w:t>
      </w:r>
      <w:r w:rsidR="004675F2" w:rsidRPr="00F01B15">
        <w:rPr>
          <w:rFonts w:eastAsia="Times New Roman" w:cs="Times New Roman"/>
          <w:lang w:val="es-ES"/>
        </w:rPr>
        <w:t>lo humano; el rumbo</w:t>
      </w:r>
      <w:r w:rsidRPr="00F01B15">
        <w:rPr>
          <w:rFonts w:eastAsia="Times New Roman" w:cs="Times New Roman"/>
          <w:lang w:val="es-ES"/>
        </w:rPr>
        <w:t xml:space="preserve"> y la </w:t>
      </w:r>
      <w:r w:rsidR="004675F2" w:rsidRPr="00F01B15">
        <w:rPr>
          <w:rFonts w:eastAsia="Times New Roman" w:cs="Times New Roman"/>
          <w:lang w:val="es-ES"/>
        </w:rPr>
        <w:t>difícil crisis mundial; la demanda de tom</w:t>
      </w:r>
      <w:r w:rsidRPr="00F01B15">
        <w:rPr>
          <w:rFonts w:eastAsia="Times New Roman" w:cs="Times New Roman"/>
          <w:lang w:val="es-ES"/>
        </w:rPr>
        <w:t xml:space="preserve">ar los riesgos, </w:t>
      </w:r>
      <w:r w:rsidR="004675F2" w:rsidRPr="00F01B15">
        <w:rPr>
          <w:rFonts w:eastAsia="Times New Roman" w:cs="Times New Roman"/>
          <w:lang w:val="es-ES"/>
        </w:rPr>
        <w:t xml:space="preserve">lo incierto, </w:t>
      </w:r>
      <w:r w:rsidRPr="00F01B15">
        <w:rPr>
          <w:rFonts w:eastAsia="Times New Roman" w:cs="Times New Roman"/>
          <w:lang w:val="es-ES"/>
        </w:rPr>
        <w:t xml:space="preserve">lo inesperado, </w:t>
      </w:r>
      <w:r w:rsidR="004675F2" w:rsidRPr="00F01B15">
        <w:rPr>
          <w:rFonts w:eastAsia="Times New Roman" w:cs="Times New Roman"/>
          <w:lang w:val="es-ES"/>
        </w:rPr>
        <w:t>y cambi</w:t>
      </w:r>
      <w:r w:rsidRPr="00F01B15">
        <w:rPr>
          <w:rFonts w:eastAsia="Times New Roman" w:cs="Times New Roman"/>
          <w:lang w:val="es-ES"/>
        </w:rPr>
        <w:t xml:space="preserve">ar su </w:t>
      </w:r>
      <w:r w:rsidR="004675F2" w:rsidRPr="00F01B15">
        <w:rPr>
          <w:rFonts w:eastAsia="Times New Roman" w:cs="Times New Roman"/>
          <w:lang w:val="es-ES"/>
        </w:rPr>
        <w:t>progreso</w:t>
      </w:r>
      <w:r w:rsidRPr="00F01B15">
        <w:rPr>
          <w:rFonts w:eastAsia="Times New Roman" w:cs="Times New Roman"/>
          <w:lang w:val="es-ES"/>
        </w:rPr>
        <w:t xml:space="preserve"> con la información </w:t>
      </w:r>
      <w:r w:rsidR="004675F2" w:rsidRPr="00F01B15">
        <w:rPr>
          <w:rFonts w:eastAsia="Times New Roman" w:cs="Times New Roman"/>
          <w:lang w:val="es-ES"/>
        </w:rPr>
        <w:t>temporal</w:t>
      </w:r>
      <w:r w:rsidRPr="00F01B15">
        <w:rPr>
          <w:rFonts w:eastAsia="Times New Roman" w:cs="Times New Roman"/>
          <w:lang w:val="es-ES"/>
        </w:rPr>
        <w:t xml:space="preserve"> </w:t>
      </w:r>
      <w:r w:rsidR="004675F2" w:rsidRPr="00F01B15">
        <w:rPr>
          <w:rFonts w:eastAsia="Times New Roman" w:cs="Times New Roman"/>
          <w:lang w:val="es-ES"/>
        </w:rPr>
        <w:t xml:space="preserve">de la que </w:t>
      </w:r>
      <w:r w:rsidRPr="00F01B15">
        <w:rPr>
          <w:rFonts w:eastAsia="Times New Roman" w:cs="Times New Roman"/>
          <w:lang w:val="es-ES"/>
        </w:rPr>
        <w:t>dispon</w:t>
      </w:r>
      <w:r w:rsidR="004675F2" w:rsidRPr="00F01B15">
        <w:rPr>
          <w:rFonts w:eastAsia="Times New Roman" w:cs="Times New Roman"/>
          <w:lang w:val="es-ES"/>
        </w:rPr>
        <w:t>e</w:t>
      </w:r>
      <w:r w:rsidRPr="00F01B15">
        <w:rPr>
          <w:rFonts w:eastAsia="Times New Roman" w:cs="Times New Roman"/>
          <w:lang w:val="es-ES"/>
        </w:rPr>
        <w:t xml:space="preserve">; la </w:t>
      </w:r>
      <w:r w:rsidR="004675F2" w:rsidRPr="00F01B15">
        <w:rPr>
          <w:rFonts w:eastAsia="Times New Roman" w:cs="Times New Roman"/>
          <w:lang w:val="es-ES"/>
        </w:rPr>
        <w:t>premura</w:t>
      </w:r>
      <w:r w:rsidRPr="00F01B15">
        <w:rPr>
          <w:rFonts w:eastAsia="Times New Roman" w:cs="Times New Roman"/>
          <w:lang w:val="es-ES"/>
        </w:rPr>
        <w:t xml:space="preserve"> de estudiar la </w:t>
      </w:r>
      <w:r w:rsidR="004675F2" w:rsidRPr="00F01B15">
        <w:rPr>
          <w:rFonts w:eastAsia="Times New Roman" w:cs="Times New Roman"/>
          <w:lang w:val="es-ES"/>
        </w:rPr>
        <w:t>indiferencia</w:t>
      </w:r>
      <w:r w:rsidRPr="00F01B15">
        <w:rPr>
          <w:rFonts w:eastAsia="Times New Roman" w:cs="Times New Roman"/>
          <w:lang w:val="es-ES"/>
        </w:rPr>
        <w:t xml:space="preserve"> desde sus raíces, </w:t>
      </w:r>
      <w:r w:rsidR="004675F2" w:rsidRPr="00F01B15">
        <w:rPr>
          <w:rFonts w:eastAsia="Times New Roman" w:cs="Times New Roman"/>
          <w:lang w:val="es-ES"/>
        </w:rPr>
        <w:t>particularidades</w:t>
      </w:r>
      <w:r w:rsidRPr="00F01B15">
        <w:rPr>
          <w:rFonts w:eastAsia="Times New Roman" w:cs="Times New Roman"/>
          <w:lang w:val="es-ES"/>
        </w:rPr>
        <w:t xml:space="preserve"> y efectos; y la </w:t>
      </w:r>
      <w:r w:rsidR="004675F2" w:rsidRPr="00F01B15">
        <w:rPr>
          <w:rFonts w:eastAsia="Times New Roman" w:cs="Times New Roman"/>
          <w:lang w:val="es-ES"/>
        </w:rPr>
        <w:t>necesidad</w:t>
      </w:r>
      <w:r w:rsidRPr="00F01B15">
        <w:rPr>
          <w:rFonts w:eastAsia="Times New Roman" w:cs="Times New Roman"/>
          <w:lang w:val="es-ES"/>
        </w:rPr>
        <w:t xml:space="preserve"> de desarrollar</w:t>
      </w:r>
      <w:r w:rsidR="00F639DD" w:rsidRPr="00F01B15">
        <w:rPr>
          <w:rFonts w:eastAsia="Times New Roman" w:cs="Times New Roman"/>
          <w:lang w:val="es-ES"/>
        </w:rPr>
        <w:t xml:space="preserve"> una razón que muestre</w:t>
      </w:r>
      <w:r w:rsidRPr="00F01B15">
        <w:rPr>
          <w:rFonts w:eastAsia="Times New Roman" w:cs="Times New Roman"/>
          <w:lang w:val="es-ES"/>
        </w:rPr>
        <w:t xml:space="preserve"> que cada individuo</w:t>
      </w:r>
      <w:r w:rsidR="00F639DD" w:rsidRPr="00F01B15">
        <w:rPr>
          <w:rFonts w:eastAsia="Times New Roman" w:cs="Times New Roman"/>
          <w:lang w:val="es-ES"/>
        </w:rPr>
        <w:t xml:space="preserve"> inicia</w:t>
      </w:r>
      <w:r w:rsidRPr="00F01B15">
        <w:rPr>
          <w:rFonts w:eastAsia="Times New Roman" w:cs="Times New Roman"/>
          <w:lang w:val="es-ES"/>
        </w:rPr>
        <w:t xml:space="preserve"> de una </w:t>
      </w:r>
      <w:r w:rsidR="00F639DD" w:rsidRPr="00F01B15">
        <w:rPr>
          <w:rFonts w:eastAsia="Times New Roman" w:cs="Times New Roman"/>
          <w:lang w:val="es-ES"/>
        </w:rPr>
        <w:t xml:space="preserve">misma </w:t>
      </w:r>
      <w:r w:rsidR="00CB7CCA" w:rsidRPr="00F01B15">
        <w:rPr>
          <w:rFonts w:eastAsia="Times New Roman" w:cs="Times New Roman"/>
          <w:lang w:val="es-ES"/>
        </w:rPr>
        <w:t xml:space="preserve">sociedad y de una </w:t>
      </w:r>
      <w:r w:rsidR="002541F5" w:rsidRPr="00F01B15">
        <w:rPr>
          <w:rFonts w:eastAsia="Times New Roman" w:cs="Times New Roman"/>
          <w:lang w:val="es-ES"/>
        </w:rPr>
        <w:t>raza.</w:t>
      </w:r>
    </w:p>
    <w:p w:rsidR="008241E3" w:rsidRDefault="005B3A1B" w:rsidP="00F01B15">
      <w:pPr>
        <w:spacing w:line="360" w:lineRule="auto"/>
        <w:ind w:left="-180"/>
        <w:jc w:val="both"/>
        <w:outlineLvl w:val="0"/>
        <w:rPr>
          <w:rFonts w:eastAsia="Times New Roman" w:cs="Times New Roman"/>
          <w:lang w:val="es-ES"/>
        </w:rPr>
      </w:pPr>
      <w:r w:rsidRPr="00F01B15">
        <w:rPr>
          <w:rFonts w:eastAsia="Times New Roman" w:cs="Times New Roman"/>
          <w:lang w:val="es-ES"/>
        </w:rPr>
        <w:t xml:space="preserve">Para que </w:t>
      </w:r>
      <w:r w:rsidR="008620F0" w:rsidRPr="00F01B15">
        <w:rPr>
          <w:rFonts w:eastAsia="Times New Roman" w:cs="Times New Roman"/>
          <w:lang w:val="es-ES"/>
        </w:rPr>
        <w:t>los docentes</w:t>
      </w:r>
      <w:r w:rsidRPr="00F01B15">
        <w:rPr>
          <w:rFonts w:eastAsia="Times New Roman" w:cs="Times New Roman"/>
          <w:lang w:val="es-ES"/>
        </w:rPr>
        <w:t>, que forman</w:t>
      </w:r>
      <w:r w:rsidR="008620F0" w:rsidRPr="00F01B15">
        <w:rPr>
          <w:rFonts w:eastAsia="Times New Roman" w:cs="Times New Roman"/>
          <w:lang w:val="es-ES"/>
        </w:rPr>
        <w:t xml:space="preserve"> parte de esta sociedad, </w:t>
      </w:r>
      <w:r w:rsidR="00AD512F" w:rsidRPr="00F01B15">
        <w:rPr>
          <w:rFonts w:eastAsia="Times New Roman" w:cs="Times New Roman"/>
          <w:lang w:val="es-ES"/>
        </w:rPr>
        <w:t>atiendan</w:t>
      </w:r>
      <w:r w:rsidR="008620F0" w:rsidRPr="00F01B15">
        <w:rPr>
          <w:rFonts w:eastAsia="Times New Roman" w:cs="Times New Roman"/>
          <w:lang w:val="es-ES"/>
        </w:rPr>
        <w:t xml:space="preserve"> las nuevas exigencias de la misma, </w:t>
      </w:r>
      <w:r w:rsidRPr="00F01B15">
        <w:rPr>
          <w:rFonts w:eastAsia="Times New Roman" w:cs="Times New Roman"/>
          <w:lang w:val="es-ES"/>
        </w:rPr>
        <w:t>deben ser evaluados de manera</w:t>
      </w:r>
      <w:r w:rsidR="008620F0" w:rsidRPr="00F01B15">
        <w:rPr>
          <w:rFonts w:eastAsia="Times New Roman" w:cs="Times New Roman"/>
          <w:lang w:val="es-ES"/>
        </w:rPr>
        <w:t xml:space="preserve"> permanente</w:t>
      </w:r>
      <w:r w:rsidRPr="00F01B15">
        <w:rPr>
          <w:rFonts w:eastAsia="Times New Roman" w:cs="Times New Roman"/>
          <w:lang w:val="es-ES"/>
        </w:rPr>
        <w:t xml:space="preserve"> </w:t>
      </w:r>
      <w:r w:rsidR="00AD512F" w:rsidRPr="00F01B15">
        <w:rPr>
          <w:rFonts w:eastAsia="Times New Roman" w:cs="Times New Roman"/>
          <w:lang w:val="es-ES"/>
        </w:rPr>
        <w:t>con la finalidad de</w:t>
      </w:r>
      <w:r w:rsidRPr="00F01B15">
        <w:rPr>
          <w:rFonts w:eastAsia="Times New Roman" w:cs="Times New Roman"/>
          <w:lang w:val="es-ES"/>
        </w:rPr>
        <w:t xml:space="preserve"> </w:t>
      </w:r>
      <w:r w:rsidR="008620F0" w:rsidRPr="00F01B15">
        <w:rPr>
          <w:rFonts w:eastAsia="Times New Roman" w:cs="Times New Roman"/>
          <w:lang w:val="es-ES"/>
        </w:rPr>
        <w:t xml:space="preserve">detectar </w:t>
      </w:r>
      <w:r w:rsidR="00AD512F" w:rsidRPr="00F01B15">
        <w:rPr>
          <w:rFonts w:eastAsia="Times New Roman" w:cs="Times New Roman"/>
          <w:lang w:val="es-ES"/>
        </w:rPr>
        <w:t xml:space="preserve">sus </w:t>
      </w:r>
      <w:r w:rsidR="008620F0" w:rsidRPr="00F01B15">
        <w:rPr>
          <w:rFonts w:eastAsia="Times New Roman" w:cs="Times New Roman"/>
          <w:lang w:val="es-ES"/>
        </w:rPr>
        <w:t>debilidades</w:t>
      </w:r>
      <w:r w:rsidRPr="00F01B15">
        <w:rPr>
          <w:rFonts w:eastAsia="Times New Roman" w:cs="Times New Roman"/>
          <w:lang w:val="es-ES"/>
        </w:rPr>
        <w:t>. D</w:t>
      </w:r>
      <w:r w:rsidR="008620F0" w:rsidRPr="00F01B15">
        <w:rPr>
          <w:rFonts w:eastAsia="Times New Roman" w:cs="Times New Roman"/>
          <w:lang w:val="es-ES"/>
        </w:rPr>
        <w:t xml:space="preserve">e esa forma </w:t>
      </w:r>
      <w:r w:rsidRPr="00F01B15">
        <w:rPr>
          <w:rFonts w:eastAsia="Times New Roman" w:cs="Times New Roman"/>
          <w:lang w:val="es-ES"/>
        </w:rPr>
        <w:t xml:space="preserve">pueden </w:t>
      </w:r>
      <w:r w:rsidR="008620F0" w:rsidRPr="00F01B15">
        <w:rPr>
          <w:rFonts w:eastAsia="Times New Roman" w:cs="Times New Roman"/>
          <w:lang w:val="es-ES"/>
        </w:rPr>
        <w:t>estar consciente</w:t>
      </w:r>
      <w:r w:rsidRPr="00F01B15">
        <w:rPr>
          <w:rFonts w:eastAsia="Times New Roman" w:cs="Times New Roman"/>
          <w:lang w:val="es-ES"/>
        </w:rPr>
        <w:t>s</w:t>
      </w:r>
      <w:r w:rsidR="008620F0" w:rsidRPr="00F01B15">
        <w:rPr>
          <w:rFonts w:eastAsia="Times New Roman" w:cs="Times New Roman"/>
          <w:lang w:val="es-ES"/>
        </w:rPr>
        <w:t xml:space="preserve"> de poner al día la formación inicial y continua, </w:t>
      </w:r>
      <w:r w:rsidR="00AD512F" w:rsidRPr="00F01B15">
        <w:rPr>
          <w:rFonts w:eastAsia="Times New Roman" w:cs="Times New Roman"/>
          <w:lang w:val="es-ES"/>
        </w:rPr>
        <w:t xml:space="preserve">de </w:t>
      </w:r>
      <w:r w:rsidR="008620F0" w:rsidRPr="00F01B15">
        <w:rPr>
          <w:rFonts w:eastAsia="Times New Roman" w:cs="Times New Roman"/>
          <w:lang w:val="es-ES"/>
        </w:rPr>
        <w:t xml:space="preserve">actualizar el desempeño, así como </w:t>
      </w:r>
      <w:r w:rsidR="00AD512F" w:rsidRPr="00F01B15">
        <w:rPr>
          <w:rFonts w:eastAsia="Times New Roman" w:cs="Times New Roman"/>
          <w:lang w:val="es-ES"/>
        </w:rPr>
        <w:t xml:space="preserve">de </w:t>
      </w:r>
      <w:r w:rsidR="008620F0" w:rsidRPr="00F01B15">
        <w:rPr>
          <w:rFonts w:eastAsia="Times New Roman" w:cs="Times New Roman"/>
          <w:lang w:val="es-ES"/>
        </w:rPr>
        <w:t xml:space="preserve">emplear diferentes estrategias y recursos </w:t>
      </w:r>
      <w:r w:rsidR="008620F0" w:rsidRPr="00F01B15">
        <w:rPr>
          <w:rFonts w:eastAsia="Calibri" w:cs="Times New Roman"/>
          <w:color w:val="000000"/>
          <w:lang w:val="es-ES" w:eastAsia="en-US"/>
        </w:rPr>
        <w:t xml:space="preserve">para desarrollar </w:t>
      </w:r>
      <w:r w:rsidR="002B0F59" w:rsidRPr="00F01B15">
        <w:rPr>
          <w:rFonts w:eastAsia="Calibri" w:cs="Times New Roman"/>
          <w:color w:val="000000"/>
          <w:lang w:val="es-ES" w:eastAsia="en-US"/>
        </w:rPr>
        <w:t>competencias en sus estudiantes</w:t>
      </w:r>
      <w:r w:rsidR="003B7EDE" w:rsidRPr="00F01B15">
        <w:rPr>
          <w:rFonts w:eastAsia="Times New Roman" w:cs="Times New Roman"/>
          <w:lang w:val="es-ES"/>
        </w:rPr>
        <w:t xml:space="preserve"> (Rueda, 20</w:t>
      </w:r>
      <w:r w:rsidR="002541F5" w:rsidRPr="00F01B15">
        <w:rPr>
          <w:rFonts w:eastAsia="Times New Roman" w:cs="Times New Roman"/>
          <w:lang w:val="es-ES"/>
        </w:rPr>
        <w:t>09</w:t>
      </w:r>
      <w:r w:rsidR="003B7EDE" w:rsidRPr="00F01B15">
        <w:rPr>
          <w:rFonts w:eastAsia="Times New Roman" w:cs="Times New Roman"/>
          <w:lang w:val="es-ES"/>
        </w:rPr>
        <w:t>, p</w:t>
      </w:r>
      <w:r w:rsidRPr="00F01B15">
        <w:rPr>
          <w:rFonts w:eastAsia="Times New Roman" w:cs="Times New Roman"/>
          <w:lang w:val="es-ES"/>
        </w:rPr>
        <w:t>p</w:t>
      </w:r>
      <w:r w:rsidR="003B7EDE" w:rsidRPr="00F01B15">
        <w:rPr>
          <w:rFonts w:eastAsia="Times New Roman" w:cs="Times New Roman"/>
          <w:lang w:val="es-ES"/>
        </w:rPr>
        <w:t xml:space="preserve">. </w:t>
      </w:r>
      <w:r w:rsidR="002541F5" w:rsidRPr="00F01B15">
        <w:rPr>
          <w:rFonts w:eastAsia="Times New Roman" w:cs="Times New Roman"/>
          <w:lang w:val="es-ES"/>
        </w:rPr>
        <w:t>2-4</w:t>
      </w:r>
      <w:r w:rsidR="008241E3" w:rsidRPr="00F01B15">
        <w:rPr>
          <w:rFonts w:eastAsia="Times New Roman" w:cs="Times New Roman"/>
          <w:lang w:val="es-ES"/>
        </w:rPr>
        <w:t>)</w:t>
      </w:r>
      <w:r w:rsidR="00F23CF3" w:rsidRPr="00F01B15">
        <w:rPr>
          <w:rFonts w:eastAsia="Times New Roman" w:cs="Times New Roman"/>
          <w:lang w:val="es-ES"/>
        </w:rPr>
        <w:t>.</w:t>
      </w:r>
    </w:p>
    <w:p w:rsidR="00AA469D" w:rsidRPr="00F01B15" w:rsidRDefault="00AA469D" w:rsidP="00F01B15">
      <w:pPr>
        <w:spacing w:line="360" w:lineRule="auto"/>
        <w:ind w:left="-180"/>
        <w:jc w:val="both"/>
        <w:outlineLvl w:val="0"/>
        <w:rPr>
          <w:rFonts w:eastAsia="Times New Roman" w:cs="Times New Roman"/>
          <w:lang w:val="es-ES"/>
        </w:rPr>
      </w:pPr>
    </w:p>
    <w:p w:rsidR="008620F0" w:rsidRPr="00F01B15" w:rsidRDefault="008620F0" w:rsidP="00F01B15">
      <w:pPr>
        <w:spacing w:line="360" w:lineRule="auto"/>
        <w:ind w:left="-180"/>
        <w:jc w:val="both"/>
        <w:outlineLvl w:val="0"/>
        <w:rPr>
          <w:rFonts w:eastAsia="Times New Roman" w:cs="Times New Roman"/>
          <w:lang w:val="es-ES"/>
        </w:rPr>
      </w:pPr>
      <w:r w:rsidRPr="00F01B15">
        <w:rPr>
          <w:rFonts w:eastAsia="Calibri" w:cs="Times New Roman"/>
          <w:color w:val="000000"/>
          <w:lang w:val="es-ES" w:eastAsia="en-US"/>
        </w:rPr>
        <w:lastRenderedPageBreak/>
        <w:t xml:space="preserve"> </w:t>
      </w:r>
    </w:p>
    <w:p w:rsidR="008620F0" w:rsidRPr="00F01B15" w:rsidRDefault="008620F0" w:rsidP="00F01B15">
      <w:pPr>
        <w:spacing w:line="360" w:lineRule="auto"/>
        <w:ind w:left="-180"/>
        <w:jc w:val="both"/>
        <w:outlineLvl w:val="0"/>
        <w:rPr>
          <w:rFonts w:eastAsia="Calibri" w:cs="Times New Roman"/>
          <w:b/>
          <w:bCs/>
          <w:lang w:val="es-ES" w:eastAsia="en-US"/>
        </w:rPr>
      </w:pPr>
      <w:r w:rsidRPr="00F01B15">
        <w:rPr>
          <w:rFonts w:eastAsia="Times New Roman" w:cs="Times New Roman"/>
          <w:b/>
          <w:lang w:val="es-ES"/>
        </w:rPr>
        <w:t>Consideraciones sobre el</w:t>
      </w:r>
      <w:r w:rsidRPr="00F01B15">
        <w:rPr>
          <w:rFonts w:eastAsia="Calibri" w:cs="Times New Roman"/>
          <w:b/>
          <w:bCs/>
          <w:lang w:val="es-ES" w:eastAsia="en-US"/>
        </w:rPr>
        <w:t xml:space="preserve"> enfoque por competencias</w:t>
      </w:r>
    </w:p>
    <w:p w:rsidR="008620F0" w:rsidRPr="00F01B15" w:rsidRDefault="008620F0" w:rsidP="00F01B15">
      <w:pPr>
        <w:spacing w:line="360" w:lineRule="auto"/>
        <w:ind w:left="-180"/>
        <w:jc w:val="both"/>
        <w:outlineLvl w:val="0"/>
        <w:rPr>
          <w:rFonts w:eastAsia="Calibri" w:cs="Times New Roman"/>
          <w:lang w:val="es-ES" w:eastAsia="en-US"/>
        </w:rPr>
      </w:pPr>
      <w:r w:rsidRPr="00F01B15">
        <w:rPr>
          <w:rFonts w:eastAsia="Calibri" w:cs="Times New Roman"/>
          <w:lang w:val="es-ES" w:eastAsia="en-US"/>
        </w:rPr>
        <w:t xml:space="preserve">Una de las explicaciones manejadas para impulsar el enfoque por competencias, es la </w:t>
      </w:r>
      <w:r w:rsidR="00F639DD" w:rsidRPr="00F01B15">
        <w:rPr>
          <w:rFonts w:eastAsia="Calibri" w:cs="Times New Roman"/>
          <w:lang w:val="es-ES" w:eastAsia="en-US"/>
        </w:rPr>
        <w:t>presencia</w:t>
      </w:r>
      <w:r w:rsidRPr="00F01B15">
        <w:rPr>
          <w:rFonts w:eastAsia="Calibri" w:cs="Times New Roman"/>
          <w:lang w:val="es-ES" w:eastAsia="en-US"/>
        </w:rPr>
        <w:t xml:space="preserve"> de un mundo cada vez más </w:t>
      </w:r>
      <w:r w:rsidR="00F639DD" w:rsidRPr="00F01B15">
        <w:rPr>
          <w:rFonts w:eastAsia="Calibri" w:cs="Times New Roman"/>
          <w:lang w:val="es-ES" w:eastAsia="en-US"/>
        </w:rPr>
        <w:t>desigual y</w:t>
      </w:r>
      <w:r w:rsidRPr="00F01B15">
        <w:rPr>
          <w:rFonts w:eastAsia="Calibri" w:cs="Times New Roman"/>
          <w:lang w:val="es-ES" w:eastAsia="en-US"/>
        </w:rPr>
        <w:t xml:space="preserve"> </w:t>
      </w:r>
      <w:r w:rsidR="00F639DD" w:rsidRPr="00F01B15">
        <w:rPr>
          <w:rFonts w:eastAsia="Calibri" w:cs="Times New Roman"/>
          <w:lang w:val="es-ES" w:eastAsia="en-US"/>
        </w:rPr>
        <w:t>conectado que genera</w:t>
      </w:r>
      <w:r w:rsidRPr="00F01B15">
        <w:rPr>
          <w:rFonts w:eastAsia="Calibri" w:cs="Times New Roman"/>
          <w:lang w:val="es-ES" w:eastAsia="en-US"/>
        </w:rPr>
        <w:t xml:space="preserve"> </w:t>
      </w:r>
      <w:r w:rsidR="00F639DD" w:rsidRPr="00F01B15">
        <w:rPr>
          <w:rFonts w:eastAsia="Calibri" w:cs="Times New Roman"/>
          <w:lang w:val="es-ES" w:eastAsia="en-US"/>
        </w:rPr>
        <w:t>inagotablemente</w:t>
      </w:r>
      <w:r w:rsidRPr="00F01B15">
        <w:rPr>
          <w:rFonts w:eastAsia="Calibri" w:cs="Times New Roman"/>
          <w:lang w:val="es-ES" w:eastAsia="en-US"/>
        </w:rPr>
        <w:t xml:space="preserve"> </w:t>
      </w:r>
      <w:r w:rsidR="00F639DD" w:rsidRPr="00F01B15">
        <w:rPr>
          <w:rFonts w:eastAsia="Calibri" w:cs="Times New Roman"/>
          <w:lang w:val="es-ES" w:eastAsia="en-US"/>
        </w:rPr>
        <w:t xml:space="preserve">una </w:t>
      </w:r>
      <w:r w:rsidRPr="00F01B15">
        <w:rPr>
          <w:rFonts w:eastAsia="Calibri" w:cs="Times New Roman"/>
          <w:lang w:val="es-ES" w:eastAsia="en-US"/>
        </w:rPr>
        <w:t>mayor información, entre otr</w:t>
      </w:r>
      <w:r w:rsidR="000621BD" w:rsidRPr="00F01B15">
        <w:rPr>
          <w:rFonts w:eastAsia="Calibri" w:cs="Times New Roman"/>
          <w:lang w:val="es-ES" w:eastAsia="en-US"/>
        </w:rPr>
        <w:t>os factores el desarrollo de</w:t>
      </w:r>
      <w:r w:rsidRPr="00F01B15">
        <w:rPr>
          <w:rFonts w:eastAsia="Calibri" w:cs="Times New Roman"/>
          <w:lang w:val="es-ES" w:eastAsia="en-US"/>
        </w:rPr>
        <w:t xml:space="preserve"> tecnologías de la información y la comunicación, que paradójicamente también abonan a la formulación de nuevos desafíos p</w:t>
      </w:r>
      <w:r w:rsidR="00D25EA6" w:rsidRPr="00F01B15">
        <w:rPr>
          <w:rFonts w:eastAsia="Calibri" w:cs="Times New Roman"/>
          <w:lang w:val="es-ES" w:eastAsia="en-US"/>
        </w:rPr>
        <w:t>ara las sociedades que aspir</w:t>
      </w:r>
      <w:r w:rsidR="00AD512F" w:rsidRPr="00F01B15">
        <w:rPr>
          <w:rFonts w:eastAsia="Calibri" w:cs="Times New Roman"/>
          <w:lang w:val="es-ES" w:eastAsia="en-US"/>
        </w:rPr>
        <w:t>an a</w:t>
      </w:r>
      <w:r w:rsidRPr="00F01B15">
        <w:rPr>
          <w:rFonts w:eastAsia="Calibri" w:cs="Times New Roman"/>
          <w:lang w:val="es-ES" w:eastAsia="en-US"/>
        </w:rPr>
        <w:t xml:space="preserve"> lograr un crecimiento económico con equidad.</w:t>
      </w:r>
      <w:r w:rsidR="00DD36CF" w:rsidRPr="00F01B15">
        <w:rPr>
          <w:rFonts w:cs="Times New Roman"/>
          <w:color w:val="000000"/>
          <w:shd w:val="clear" w:color="auto" w:fill="FFFFFF"/>
        </w:rPr>
        <w:t xml:space="preserve"> </w:t>
      </w:r>
      <w:r w:rsidR="00DD36CF" w:rsidRPr="00F01B15">
        <w:rPr>
          <w:rStyle w:val="apple-converted-space"/>
          <w:rFonts w:cs="Times New Roman"/>
          <w:color w:val="000000"/>
          <w:shd w:val="clear" w:color="auto" w:fill="FFFFFF"/>
        </w:rPr>
        <w:t> </w:t>
      </w:r>
    </w:p>
    <w:p w:rsidR="00DD36CF" w:rsidRPr="00F01B15" w:rsidRDefault="00D25EA6" w:rsidP="00F01B15">
      <w:pPr>
        <w:spacing w:line="360" w:lineRule="auto"/>
        <w:ind w:left="-180"/>
        <w:jc w:val="both"/>
        <w:outlineLvl w:val="0"/>
        <w:rPr>
          <w:rFonts w:eastAsia="Calibri" w:cs="Times New Roman"/>
          <w:highlight w:val="cyan"/>
          <w:lang w:val="es-ES" w:eastAsia="en-US"/>
        </w:rPr>
      </w:pPr>
      <w:r w:rsidRPr="00F01B15">
        <w:rPr>
          <w:rFonts w:eastAsia="Calibri" w:cs="Times New Roman"/>
          <w:lang w:val="es-ES" w:eastAsia="en-US"/>
        </w:rPr>
        <w:t>Reconocer la dificultad</w:t>
      </w:r>
      <w:r w:rsidR="008620F0" w:rsidRPr="00F01B15">
        <w:rPr>
          <w:rFonts w:eastAsia="Calibri" w:cs="Times New Roman"/>
          <w:lang w:val="es-ES" w:eastAsia="en-US"/>
        </w:rPr>
        <w:t xml:space="preserve"> de las condiciones actuales de vida </w:t>
      </w:r>
      <w:r w:rsidR="00F639DD" w:rsidRPr="00F01B15">
        <w:rPr>
          <w:rFonts w:eastAsia="Calibri" w:cs="Times New Roman"/>
          <w:lang w:val="es-ES" w:eastAsia="en-US"/>
        </w:rPr>
        <w:t>indujo</w:t>
      </w:r>
      <w:r w:rsidR="008620F0" w:rsidRPr="00F01B15">
        <w:rPr>
          <w:rFonts w:eastAsia="Calibri" w:cs="Times New Roman"/>
          <w:lang w:val="es-ES" w:eastAsia="en-US"/>
        </w:rPr>
        <w:t xml:space="preserve"> al </w:t>
      </w:r>
      <w:r w:rsidR="00F639DD" w:rsidRPr="00F01B15">
        <w:rPr>
          <w:rFonts w:eastAsia="Calibri" w:cs="Times New Roman"/>
          <w:lang w:val="es-ES" w:eastAsia="en-US"/>
        </w:rPr>
        <w:t>diseño</w:t>
      </w:r>
      <w:r w:rsidR="008620F0" w:rsidRPr="00F01B15">
        <w:rPr>
          <w:rFonts w:eastAsia="Calibri" w:cs="Times New Roman"/>
          <w:lang w:val="es-ES" w:eastAsia="en-US"/>
        </w:rPr>
        <w:t xml:space="preserve"> del concepto </w:t>
      </w:r>
      <w:r w:rsidR="008620F0" w:rsidRPr="00F01B15">
        <w:rPr>
          <w:rFonts w:eastAsia="Calibri" w:cs="Times New Roman"/>
          <w:i/>
          <w:iCs/>
          <w:lang w:val="es-ES" w:eastAsia="en-US"/>
        </w:rPr>
        <w:t>competencia</w:t>
      </w:r>
      <w:r w:rsidR="008620F0" w:rsidRPr="00F01B15">
        <w:rPr>
          <w:rFonts w:eastAsia="Calibri" w:cs="Times New Roman"/>
          <w:lang w:val="es-ES" w:eastAsia="en-US"/>
        </w:rPr>
        <w:t xml:space="preserve">, que </w:t>
      </w:r>
      <w:r w:rsidR="00F639DD" w:rsidRPr="00F01B15">
        <w:rPr>
          <w:rFonts w:eastAsia="Calibri" w:cs="Times New Roman"/>
          <w:lang w:val="es-ES" w:eastAsia="en-US"/>
        </w:rPr>
        <w:t>implica</w:t>
      </w:r>
      <w:r w:rsidR="008620F0" w:rsidRPr="00F01B15">
        <w:rPr>
          <w:rFonts w:eastAsia="Calibri" w:cs="Times New Roman"/>
          <w:lang w:val="es-ES" w:eastAsia="en-US"/>
        </w:rPr>
        <w:t xml:space="preserve"> la habilidad de </w:t>
      </w:r>
      <w:r w:rsidR="00F639DD" w:rsidRPr="00F01B15">
        <w:rPr>
          <w:rFonts w:eastAsia="Calibri" w:cs="Times New Roman"/>
          <w:lang w:val="es-ES" w:eastAsia="en-US"/>
        </w:rPr>
        <w:t>afrontar</w:t>
      </w:r>
      <w:r w:rsidR="008620F0" w:rsidRPr="00F01B15">
        <w:rPr>
          <w:rFonts w:eastAsia="Calibri" w:cs="Times New Roman"/>
          <w:lang w:val="es-ES" w:eastAsia="en-US"/>
        </w:rPr>
        <w:t xml:space="preserve"> demandas complejas, </w:t>
      </w:r>
      <w:r w:rsidR="00344A0F" w:rsidRPr="00F01B15">
        <w:rPr>
          <w:rFonts w:eastAsia="Calibri" w:cs="Times New Roman"/>
          <w:lang w:val="es-ES" w:eastAsia="en-US"/>
        </w:rPr>
        <w:t>basándose</w:t>
      </w:r>
      <w:r w:rsidR="008620F0" w:rsidRPr="00F01B15">
        <w:rPr>
          <w:rFonts w:eastAsia="Calibri" w:cs="Times New Roman"/>
          <w:lang w:val="es-ES" w:eastAsia="en-US"/>
        </w:rPr>
        <w:t xml:space="preserve"> y </w:t>
      </w:r>
      <w:r w:rsidR="00F639DD" w:rsidRPr="00F01B15">
        <w:rPr>
          <w:rFonts w:eastAsia="Calibri" w:cs="Times New Roman"/>
          <w:lang w:val="es-ES" w:eastAsia="en-US"/>
        </w:rPr>
        <w:t>moviendo</w:t>
      </w:r>
      <w:r w:rsidR="008620F0" w:rsidRPr="00F01B15">
        <w:rPr>
          <w:rFonts w:eastAsia="Calibri" w:cs="Times New Roman"/>
          <w:lang w:val="es-ES" w:eastAsia="en-US"/>
        </w:rPr>
        <w:t xml:space="preserve"> recursos  psicosociales (destrezas y actitudes) en un </w:t>
      </w:r>
      <w:r w:rsidR="00F639DD" w:rsidRPr="00F01B15">
        <w:rPr>
          <w:rFonts w:eastAsia="Calibri" w:cs="Times New Roman"/>
          <w:lang w:val="es-ES" w:eastAsia="en-US"/>
        </w:rPr>
        <w:t>entorno</w:t>
      </w:r>
      <w:r w:rsidR="00344A0F" w:rsidRPr="00F01B15">
        <w:rPr>
          <w:rFonts w:eastAsia="Calibri" w:cs="Times New Roman"/>
          <w:lang w:val="es-ES" w:eastAsia="en-US"/>
        </w:rPr>
        <w:t xml:space="preserve"> particular. Al us</w:t>
      </w:r>
      <w:r w:rsidR="008620F0" w:rsidRPr="00F01B15">
        <w:rPr>
          <w:rFonts w:eastAsia="Calibri" w:cs="Times New Roman"/>
          <w:lang w:val="es-ES" w:eastAsia="en-US"/>
        </w:rPr>
        <w:t xml:space="preserve">o de </w:t>
      </w:r>
      <w:r w:rsidR="00344A0F" w:rsidRPr="00F01B15">
        <w:rPr>
          <w:rFonts w:eastAsia="Calibri" w:cs="Times New Roman"/>
          <w:lang w:val="es-ES" w:eastAsia="en-US"/>
        </w:rPr>
        <w:t>materiales, tanto físico</w:t>
      </w:r>
      <w:r w:rsidR="008620F0" w:rsidRPr="00F01B15">
        <w:rPr>
          <w:rFonts w:eastAsia="Calibri" w:cs="Times New Roman"/>
          <w:lang w:val="es-ES" w:eastAsia="en-US"/>
        </w:rPr>
        <w:t>s como socioculturales, se agrega su compre</w:t>
      </w:r>
      <w:r w:rsidR="00F23CF3" w:rsidRPr="00F01B15">
        <w:rPr>
          <w:rFonts w:eastAsia="Calibri" w:cs="Times New Roman"/>
          <w:lang w:val="es-ES" w:eastAsia="en-US"/>
        </w:rPr>
        <w:t xml:space="preserve">nsión y adaptación a los </w:t>
      </w:r>
      <w:r w:rsidR="008620F0" w:rsidRPr="00F01B15">
        <w:rPr>
          <w:rFonts w:eastAsia="Calibri" w:cs="Times New Roman"/>
          <w:lang w:val="es-ES" w:eastAsia="en-US"/>
        </w:rPr>
        <w:t>fines de las personas y a su uso interact</w:t>
      </w:r>
      <w:r w:rsidR="00F23CF3" w:rsidRPr="00F01B15">
        <w:rPr>
          <w:rFonts w:eastAsia="Calibri" w:cs="Times New Roman"/>
          <w:lang w:val="es-ES" w:eastAsia="en-US"/>
        </w:rPr>
        <w:t xml:space="preserve">ivo. Además de relacionarse con </w:t>
      </w:r>
      <w:r w:rsidR="008620F0" w:rsidRPr="00F01B15">
        <w:rPr>
          <w:rFonts w:eastAsia="Calibri" w:cs="Times New Roman"/>
          <w:lang w:val="es-ES" w:eastAsia="en-US"/>
        </w:rPr>
        <w:t xml:space="preserve">varios grupos, las personas necesitan </w:t>
      </w:r>
      <w:r w:rsidR="00F23CF3" w:rsidRPr="00F01B15">
        <w:rPr>
          <w:rFonts w:eastAsia="Calibri" w:cs="Times New Roman"/>
          <w:lang w:val="es-ES" w:eastAsia="en-US"/>
        </w:rPr>
        <w:t xml:space="preserve">comprometerse </w:t>
      </w:r>
      <w:r w:rsidR="000D7FF5" w:rsidRPr="00F01B15">
        <w:rPr>
          <w:rFonts w:eastAsia="Calibri" w:cs="Times New Roman"/>
          <w:lang w:val="es-ES" w:eastAsia="en-US"/>
        </w:rPr>
        <w:t>con e</w:t>
      </w:r>
      <w:r w:rsidR="00F23CF3" w:rsidRPr="00F01B15">
        <w:rPr>
          <w:rFonts w:eastAsia="Calibri" w:cs="Times New Roman"/>
          <w:lang w:val="es-ES" w:eastAsia="en-US"/>
        </w:rPr>
        <w:t xml:space="preserve">l manejo de sus </w:t>
      </w:r>
      <w:r w:rsidR="008620F0" w:rsidRPr="00F01B15">
        <w:rPr>
          <w:rFonts w:eastAsia="Calibri" w:cs="Times New Roman"/>
          <w:lang w:val="es-ES" w:eastAsia="en-US"/>
        </w:rPr>
        <w:t>vidas, colocarlas en un contexto social más amplio y conducirse de manera autónoma</w:t>
      </w:r>
      <w:r w:rsidR="000D7FF5" w:rsidRPr="00F01B15">
        <w:rPr>
          <w:rFonts w:eastAsia="Calibri" w:cs="Times New Roman"/>
          <w:lang w:val="es-ES" w:eastAsia="en-US"/>
        </w:rPr>
        <w:t>;</w:t>
      </w:r>
      <w:r w:rsidR="008620F0" w:rsidRPr="00F01B15">
        <w:rPr>
          <w:rFonts w:eastAsia="Calibri" w:cs="Times New Roman"/>
          <w:lang w:val="es-ES" w:eastAsia="en-US"/>
        </w:rPr>
        <w:t xml:space="preserve"> se espera que</w:t>
      </w:r>
      <w:r w:rsidR="00F23CF3" w:rsidRPr="00F01B15">
        <w:rPr>
          <w:rFonts w:eastAsia="Calibri" w:cs="Times New Roman"/>
          <w:lang w:val="es-ES" w:eastAsia="en-US"/>
        </w:rPr>
        <w:t xml:space="preserve"> los individuos se adapten a</w:t>
      </w:r>
      <w:r w:rsidR="008620F0" w:rsidRPr="00F01B15">
        <w:rPr>
          <w:rFonts w:eastAsia="Calibri" w:cs="Times New Roman"/>
          <w:lang w:val="es-ES" w:eastAsia="en-US"/>
        </w:rPr>
        <w:t xml:space="preserve"> contextos</w:t>
      </w:r>
      <w:r w:rsidR="00F23CF3" w:rsidRPr="00F01B15">
        <w:rPr>
          <w:rFonts w:eastAsia="Calibri" w:cs="Times New Roman"/>
          <w:lang w:val="es-ES" w:eastAsia="en-US"/>
        </w:rPr>
        <w:t xml:space="preserve"> inestables y </w:t>
      </w:r>
      <w:r w:rsidR="008620F0" w:rsidRPr="00F01B15">
        <w:rPr>
          <w:rFonts w:eastAsia="Calibri" w:cs="Times New Roman"/>
          <w:lang w:val="es-ES" w:eastAsia="en-US"/>
        </w:rPr>
        <w:t>ad</w:t>
      </w:r>
      <w:r w:rsidR="00F23CF3" w:rsidRPr="00F01B15">
        <w:rPr>
          <w:rFonts w:eastAsia="Calibri" w:cs="Times New Roman"/>
          <w:lang w:val="es-ES" w:eastAsia="en-US"/>
        </w:rPr>
        <w:t xml:space="preserve">emás </w:t>
      </w:r>
      <w:r w:rsidR="009518F9" w:rsidRPr="00F01B15">
        <w:rPr>
          <w:rFonts w:eastAsia="Calibri" w:cs="Times New Roman"/>
          <w:lang w:val="es-ES" w:eastAsia="en-US"/>
        </w:rPr>
        <w:t xml:space="preserve">que </w:t>
      </w:r>
      <w:r w:rsidR="00F23CF3" w:rsidRPr="00F01B15">
        <w:rPr>
          <w:rFonts w:eastAsia="Calibri" w:cs="Times New Roman"/>
          <w:lang w:val="es-ES" w:eastAsia="en-US"/>
        </w:rPr>
        <w:t xml:space="preserve">den muestras de creatividad, innovación, </w:t>
      </w:r>
      <w:r w:rsidR="008620F0" w:rsidRPr="00F01B15">
        <w:rPr>
          <w:rFonts w:eastAsia="Calibri" w:cs="Times New Roman"/>
          <w:lang w:val="es-ES" w:eastAsia="en-US"/>
        </w:rPr>
        <w:t>automotivaci</w:t>
      </w:r>
      <w:r w:rsidR="00F23CF3" w:rsidRPr="00F01B15">
        <w:rPr>
          <w:rFonts w:eastAsia="Calibri" w:cs="Times New Roman"/>
          <w:lang w:val="es-ES" w:eastAsia="en-US"/>
        </w:rPr>
        <w:t xml:space="preserve">ón y valores, superando la </w:t>
      </w:r>
      <w:r w:rsidR="008620F0" w:rsidRPr="00F01B15">
        <w:rPr>
          <w:rFonts w:eastAsia="Calibri" w:cs="Times New Roman"/>
          <w:lang w:val="es-ES" w:eastAsia="en-US"/>
        </w:rPr>
        <w:t xml:space="preserve">reproducción del conocimiento acumulado </w:t>
      </w:r>
      <w:r w:rsidR="00DD36CF" w:rsidRPr="00F01B15">
        <w:rPr>
          <w:rFonts w:cs="Times New Roman"/>
          <w:color w:val="000000"/>
          <w:shd w:val="clear" w:color="auto" w:fill="FFFFFF"/>
        </w:rPr>
        <w:t xml:space="preserve">(Organización para la Cooperación y el Desarrollo Económico </w:t>
      </w:r>
      <w:r w:rsidR="00F23CF3" w:rsidRPr="00F01B15">
        <w:rPr>
          <w:rFonts w:cs="Times New Roman"/>
          <w:color w:val="000000"/>
          <w:shd w:val="clear" w:color="auto" w:fill="FFFFFF"/>
        </w:rPr>
        <w:t>(</w:t>
      </w:r>
      <w:r w:rsidR="00DD36CF" w:rsidRPr="00F01B15">
        <w:rPr>
          <w:rFonts w:cs="Times New Roman"/>
          <w:color w:val="000000"/>
          <w:shd w:val="clear" w:color="auto" w:fill="FFFFFF"/>
        </w:rPr>
        <w:t>OCDE, 2005</w:t>
      </w:r>
      <w:r w:rsidR="009518F9" w:rsidRPr="00F01B15">
        <w:rPr>
          <w:rFonts w:cs="Times New Roman"/>
          <w:color w:val="000000"/>
          <w:shd w:val="clear" w:color="auto" w:fill="FFFFFF"/>
        </w:rPr>
        <w:t>;</w:t>
      </w:r>
      <w:r w:rsidR="00DD36CF" w:rsidRPr="00F01B15">
        <w:rPr>
          <w:rFonts w:cs="Times New Roman"/>
          <w:color w:val="000000"/>
          <w:shd w:val="clear" w:color="auto" w:fill="FFFFFF"/>
        </w:rPr>
        <w:t xml:space="preserve"> en Rueda, 2009)</w:t>
      </w:r>
      <w:r w:rsidR="00F23CF3" w:rsidRPr="00F01B15">
        <w:rPr>
          <w:rFonts w:cs="Times New Roman"/>
          <w:color w:val="000000"/>
          <w:shd w:val="clear" w:color="auto" w:fill="FFFFFF"/>
        </w:rPr>
        <w:t>.</w:t>
      </w:r>
    </w:p>
    <w:p w:rsidR="008620F0" w:rsidRPr="00F01B15" w:rsidRDefault="008620F0" w:rsidP="00F01B15">
      <w:pPr>
        <w:spacing w:line="360" w:lineRule="auto"/>
        <w:ind w:left="-180"/>
        <w:jc w:val="both"/>
        <w:outlineLvl w:val="0"/>
        <w:rPr>
          <w:rFonts w:eastAsia="Calibri" w:cs="Times New Roman"/>
          <w:lang w:val="es-ES" w:eastAsia="en-US"/>
        </w:rPr>
      </w:pPr>
      <w:r w:rsidRPr="00F01B15">
        <w:rPr>
          <w:rFonts w:eastAsia="Times New Roman" w:cs="Times New Roman"/>
          <w:lang w:val="es-ES"/>
        </w:rPr>
        <w:t>Cano (2005)</w:t>
      </w:r>
      <w:r w:rsidRPr="00F01B15">
        <w:rPr>
          <w:rFonts w:eastAsia="Calibri" w:cs="Times New Roman"/>
          <w:lang w:val="es-ES" w:eastAsia="en-US"/>
        </w:rPr>
        <w:t xml:space="preserve"> considera que </w:t>
      </w:r>
      <w:r w:rsidR="009518F9" w:rsidRPr="00F01B15">
        <w:rPr>
          <w:rFonts w:eastAsia="Calibri" w:cs="Times New Roman"/>
          <w:lang w:val="es-ES" w:eastAsia="en-US"/>
        </w:rPr>
        <w:t xml:space="preserve">esto </w:t>
      </w:r>
      <w:r w:rsidRPr="00F01B15">
        <w:rPr>
          <w:rFonts w:eastAsia="Calibri" w:cs="Times New Roman"/>
          <w:lang w:val="es-ES" w:eastAsia="en-US"/>
        </w:rPr>
        <w:t xml:space="preserve">se puede lograr sí en el enfoque por competencias se propone desarrollar conocimientos, habilidades y actitudes orientados a resolver situaciones nuevas, insuficientemente presentes en </w:t>
      </w:r>
      <w:r w:rsidR="008B6658" w:rsidRPr="00F01B15">
        <w:rPr>
          <w:rFonts w:eastAsia="Calibri" w:cs="Times New Roman"/>
          <w:lang w:val="es-ES" w:eastAsia="en-US"/>
        </w:rPr>
        <w:t>los sistemas escolares actuales</w:t>
      </w:r>
      <w:r w:rsidRPr="00F01B15">
        <w:rPr>
          <w:rFonts w:eastAsia="Calibri" w:cs="Times New Roman"/>
          <w:lang w:val="es-ES" w:eastAsia="en-US"/>
        </w:rPr>
        <w:t xml:space="preserve"> (p.3)</w:t>
      </w:r>
      <w:r w:rsidR="00F23CF3" w:rsidRPr="00F01B15">
        <w:rPr>
          <w:rFonts w:eastAsia="Calibri" w:cs="Times New Roman"/>
          <w:lang w:val="es-ES" w:eastAsia="en-US"/>
        </w:rPr>
        <w:t>.</w:t>
      </w:r>
    </w:p>
    <w:p w:rsidR="000B1A77" w:rsidRPr="00F01B15" w:rsidRDefault="000B1A77" w:rsidP="00F01B15">
      <w:pPr>
        <w:spacing w:line="360" w:lineRule="auto"/>
        <w:ind w:left="-180"/>
        <w:jc w:val="both"/>
        <w:outlineLvl w:val="0"/>
        <w:rPr>
          <w:rFonts w:eastAsia="Calibri" w:cs="Times New Roman"/>
          <w:b/>
          <w:lang w:val="es-ES" w:eastAsia="en-US"/>
        </w:rPr>
      </w:pPr>
    </w:p>
    <w:p w:rsidR="008620F0" w:rsidRPr="00F01B15" w:rsidRDefault="008620F0" w:rsidP="00F01B15">
      <w:pPr>
        <w:spacing w:line="360" w:lineRule="auto"/>
        <w:ind w:left="-180"/>
        <w:jc w:val="both"/>
        <w:outlineLvl w:val="0"/>
        <w:rPr>
          <w:rFonts w:eastAsia="Calibri" w:cs="Times New Roman"/>
          <w:b/>
          <w:lang w:val="es-ES" w:eastAsia="en-US"/>
        </w:rPr>
      </w:pPr>
      <w:r w:rsidRPr="00F01B15">
        <w:rPr>
          <w:rFonts w:eastAsia="Calibri" w:cs="Times New Roman"/>
          <w:b/>
          <w:lang w:val="es-ES" w:eastAsia="en-US"/>
        </w:rPr>
        <w:t>En cuanto a la conceptualización de competencia</w:t>
      </w:r>
    </w:p>
    <w:p w:rsidR="008620F0" w:rsidRPr="00F01B15" w:rsidRDefault="00F23CF3" w:rsidP="00F01B15">
      <w:pPr>
        <w:spacing w:line="360" w:lineRule="auto"/>
        <w:ind w:left="-180"/>
        <w:jc w:val="both"/>
        <w:outlineLvl w:val="0"/>
        <w:rPr>
          <w:rFonts w:eastAsia="Calibri" w:cs="Times New Roman"/>
          <w:lang w:val="es-ES" w:eastAsia="en-US"/>
        </w:rPr>
      </w:pPr>
      <w:r w:rsidRPr="00F01B15">
        <w:rPr>
          <w:rFonts w:eastAsia="Calibri" w:cs="Times New Roman"/>
          <w:lang w:val="es-ES" w:eastAsia="en-US"/>
        </w:rPr>
        <w:t>N</w:t>
      </w:r>
      <w:r w:rsidR="008620F0" w:rsidRPr="00F01B15">
        <w:rPr>
          <w:rFonts w:eastAsia="Calibri" w:cs="Times New Roman"/>
          <w:lang w:val="es-ES" w:eastAsia="en-US"/>
        </w:rPr>
        <w:t>umerosas investigaciones han considerado como te</w:t>
      </w:r>
      <w:r w:rsidRPr="00F01B15">
        <w:rPr>
          <w:rFonts w:eastAsia="Calibri" w:cs="Times New Roman"/>
          <w:lang w:val="es-ES" w:eastAsia="en-US"/>
        </w:rPr>
        <w:t>ma esencial la definición de</w:t>
      </w:r>
      <w:r w:rsidR="008620F0" w:rsidRPr="00F01B15">
        <w:rPr>
          <w:rFonts w:eastAsia="Calibri" w:cs="Times New Roman"/>
          <w:lang w:val="es-ES" w:eastAsia="en-US"/>
        </w:rPr>
        <w:t xml:space="preserve"> compete</w:t>
      </w:r>
      <w:r w:rsidRPr="00F01B15">
        <w:rPr>
          <w:rFonts w:eastAsia="Calibri" w:cs="Times New Roman"/>
          <w:lang w:val="es-ES" w:eastAsia="en-US"/>
        </w:rPr>
        <w:t xml:space="preserve">ncias, discutidas en relación tanto </w:t>
      </w:r>
      <w:r w:rsidR="009518F9" w:rsidRPr="00F01B15">
        <w:rPr>
          <w:rFonts w:eastAsia="Calibri" w:cs="Times New Roman"/>
          <w:lang w:val="es-ES" w:eastAsia="en-US"/>
        </w:rPr>
        <w:t>con la</w:t>
      </w:r>
      <w:r w:rsidRPr="00F01B15">
        <w:rPr>
          <w:rFonts w:eastAsia="Calibri" w:cs="Times New Roman"/>
          <w:lang w:val="es-ES" w:eastAsia="en-US"/>
        </w:rPr>
        <w:t xml:space="preserve"> dificultad conceptual </w:t>
      </w:r>
      <w:r w:rsidR="008620F0" w:rsidRPr="00F01B15">
        <w:rPr>
          <w:rFonts w:eastAsia="Calibri" w:cs="Times New Roman"/>
          <w:lang w:val="es-ES" w:eastAsia="en-US"/>
        </w:rPr>
        <w:t xml:space="preserve">como </w:t>
      </w:r>
      <w:r w:rsidR="009518F9" w:rsidRPr="00F01B15">
        <w:rPr>
          <w:rFonts w:eastAsia="Calibri" w:cs="Times New Roman"/>
          <w:lang w:val="es-ES" w:eastAsia="en-US"/>
        </w:rPr>
        <w:t>con</w:t>
      </w:r>
      <w:r w:rsidR="008620F0" w:rsidRPr="00F01B15">
        <w:rPr>
          <w:rFonts w:eastAsia="Calibri" w:cs="Times New Roman"/>
          <w:lang w:val="es-ES" w:eastAsia="en-US"/>
        </w:rPr>
        <w:t xml:space="preserve"> sus alcances para convenir las apropiadas por nivel escolar y formación profesional (Moreno, 2009; Cano, 2008</w:t>
      </w:r>
      <w:r w:rsidR="009518F9" w:rsidRPr="00F01B15">
        <w:rPr>
          <w:rFonts w:eastAsia="Calibri" w:cs="Times New Roman"/>
          <w:lang w:val="es-ES" w:eastAsia="en-US"/>
        </w:rPr>
        <w:t>;</w:t>
      </w:r>
      <w:r w:rsidR="008620F0" w:rsidRPr="00F01B15">
        <w:rPr>
          <w:rFonts w:eastAsia="Calibri" w:cs="Times New Roman"/>
          <w:lang w:val="es-ES" w:eastAsia="en-US"/>
        </w:rPr>
        <w:t xml:space="preserve"> </w:t>
      </w:r>
      <w:proofErr w:type="spellStart"/>
      <w:r w:rsidR="008620F0" w:rsidRPr="00F01B15">
        <w:rPr>
          <w:rFonts w:eastAsia="Calibri" w:cs="Times New Roman"/>
          <w:color w:val="000000"/>
          <w:lang w:eastAsia="en-US"/>
        </w:rPr>
        <w:t>Denyer</w:t>
      </w:r>
      <w:proofErr w:type="spellEnd"/>
      <w:r w:rsidR="008620F0" w:rsidRPr="00F01B15">
        <w:rPr>
          <w:rFonts w:eastAsia="Calibri" w:cs="Times New Roman"/>
          <w:color w:val="000000"/>
          <w:lang w:eastAsia="en-US"/>
        </w:rPr>
        <w:t xml:space="preserve"> </w:t>
      </w:r>
      <w:proofErr w:type="spellStart"/>
      <w:r w:rsidR="008620F0" w:rsidRPr="00F01B15">
        <w:rPr>
          <w:rFonts w:eastAsia="Calibri" w:cs="Times New Roman"/>
          <w:color w:val="000000"/>
          <w:lang w:eastAsia="en-US"/>
        </w:rPr>
        <w:t>Monique</w:t>
      </w:r>
      <w:proofErr w:type="spellEnd"/>
      <w:r w:rsidR="008620F0" w:rsidRPr="00F01B15">
        <w:rPr>
          <w:rFonts w:eastAsia="Calibri" w:cs="Times New Roman"/>
          <w:color w:val="000000"/>
          <w:lang w:eastAsia="en-US"/>
        </w:rPr>
        <w:t xml:space="preserve">, </w:t>
      </w:r>
      <w:proofErr w:type="spellStart"/>
      <w:r w:rsidR="008620F0" w:rsidRPr="00F01B15">
        <w:rPr>
          <w:rFonts w:eastAsia="Calibri" w:cs="Times New Roman"/>
          <w:color w:val="000000"/>
          <w:lang w:eastAsia="en-US"/>
        </w:rPr>
        <w:t>Furnémont</w:t>
      </w:r>
      <w:proofErr w:type="spellEnd"/>
      <w:r w:rsidR="008620F0" w:rsidRPr="00F01B15">
        <w:rPr>
          <w:rFonts w:eastAsia="Calibri" w:cs="Times New Roman"/>
          <w:color w:val="000000"/>
          <w:lang w:eastAsia="en-US"/>
        </w:rPr>
        <w:t xml:space="preserve"> Jacques, </w:t>
      </w:r>
      <w:proofErr w:type="spellStart"/>
      <w:r w:rsidR="008620F0" w:rsidRPr="00F01B15">
        <w:rPr>
          <w:rFonts w:eastAsia="Calibri" w:cs="Times New Roman"/>
          <w:color w:val="000000"/>
          <w:lang w:eastAsia="en-US"/>
        </w:rPr>
        <w:t>Poulain</w:t>
      </w:r>
      <w:proofErr w:type="spellEnd"/>
      <w:r w:rsidR="008620F0" w:rsidRPr="00F01B15">
        <w:rPr>
          <w:rFonts w:eastAsia="Calibri" w:cs="Times New Roman"/>
          <w:color w:val="000000"/>
          <w:lang w:eastAsia="en-US"/>
        </w:rPr>
        <w:t xml:space="preserve"> Roger</w:t>
      </w:r>
      <w:r w:rsidR="009518F9" w:rsidRPr="00F01B15">
        <w:rPr>
          <w:rFonts w:eastAsia="Calibri" w:cs="Times New Roman"/>
          <w:color w:val="000000"/>
          <w:lang w:eastAsia="en-US"/>
        </w:rPr>
        <w:t>, y</w:t>
      </w:r>
      <w:r w:rsidR="008620F0" w:rsidRPr="00F01B15">
        <w:rPr>
          <w:rFonts w:eastAsia="Calibri" w:cs="Times New Roman"/>
          <w:color w:val="000000"/>
          <w:lang w:eastAsia="en-US"/>
        </w:rPr>
        <w:t xml:space="preserve"> </w:t>
      </w:r>
      <w:proofErr w:type="spellStart"/>
      <w:r w:rsidR="008620F0" w:rsidRPr="00F01B15">
        <w:rPr>
          <w:rFonts w:eastAsia="Calibri" w:cs="Times New Roman"/>
          <w:color w:val="000000"/>
          <w:lang w:eastAsia="en-US"/>
        </w:rPr>
        <w:t>Vanloubbeeck</w:t>
      </w:r>
      <w:proofErr w:type="spellEnd"/>
      <w:r w:rsidR="008620F0" w:rsidRPr="00F01B15">
        <w:rPr>
          <w:rFonts w:eastAsia="Calibri" w:cs="Times New Roman"/>
          <w:color w:val="000000"/>
          <w:lang w:eastAsia="en-US"/>
        </w:rPr>
        <w:t xml:space="preserve"> Georges, 2007).</w:t>
      </w:r>
      <w:r w:rsidR="008B6658" w:rsidRPr="00F01B15">
        <w:rPr>
          <w:rFonts w:eastAsia="Calibri" w:cs="Times New Roman"/>
          <w:color w:val="000000"/>
          <w:lang w:eastAsia="en-US"/>
        </w:rPr>
        <w:t xml:space="preserve"> Rueda (2009)</w:t>
      </w:r>
      <w:r w:rsidR="008A4E76" w:rsidRPr="00F01B15">
        <w:rPr>
          <w:rFonts w:eastAsia="Calibri" w:cs="Times New Roman"/>
          <w:color w:val="000000"/>
          <w:lang w:eastAsia="en-US"/>
        </w:rPr>
        <w:t xml:space="preserve"> señala</w:t>
      </w:r>
      <w:r w:rsidRPr="00F01B15">
        <w:rPr>
          <w:rFonts w:eastAsia="Calibri" w:cs="Times New Roman"/>
          <w:color w:val="000000"/>
          <w:lang w:eastAsia="en-US"/>
        </w:rPr>
        <w:t xml:space="preserve"> que</w:t>
      </w:r>
      <w:r w:rsidR="008B6658" w:rsidRPr="00F01B15">
        <w:rPr>
          <w:rFonts w:eastAsia="Calibri" w:cs="Times New Roman"/>
          <w:color w:val="000000"/>
          <w:lang w:eastAsia="en-US"/>
        </w:rPr>
        <w:t>: “</w:t>
      </w:r>
      <w:r w:rsidR="008A4E76" w:rsidRPr="00F01B15">
        <w:rPr>
          <w:rFonts w:eastAsia="Calibri" w:cs="Times New Roman"/>
          <w:color w:val="000000"/>
          <w:lang w:eastAsia="en-US"/>
        </w:rPr>
        <w:t>la</w:t>
      </w:r>
      <w:r w:rsidR="008620F0" w:rsidRPr="00F01B15">
        <w:rPr>
          <w:rFonts w:eastAsia="Calibri" w:cs="Times New Roman"/>
          <w:lang w:val="es-ES" w:eastAsia="en-US"/>
        </w:rPr>
        <w:t xml:space="preserve"> variedad de concepciones expresadas en las definiciones actuales representa un obstáculo para su identificación, aspecto que dificulta el diseño de estrategias y la forma de evaluarlas. Sin embargo</w:t>
      </w:r>
      <w:r w:rsidR="009518F9" w:rsidRPr="00F01B15">
        <w:rPr>
          <w:rFonts w:eastAsia="Calibri" w:cs="Times New Roman"/>
          <w:lang w:val="es-ES" w:eastAsia="en-US"/>
        </w:rPr>
        <w:t>,</w:t>
      </w:r>
      <w:r w:rsidR="008620F0" w:rsidRPr="00F01B15">
        <w:rPr>
          <w:rFonts w:eastAsia="Calibri" w:cs="Times New Roman"/>
          <w:lang w:val="es-ES" w:eastAsia="en-US"/>
        </w:rPr>
        <w:t xml:space="preserve"> hay que </w:t>
      </w:r>
      <w:r w:rsidR="007C06D2" w:rsidRPr="00F01B15">
        <w:rPr>
          <w:rFonts w:eastAsia="Calibri" w:cs="Times New Roman"/>
          <w:lang w:val="es-ES" w:eastAsia="en-US"/>
        </w:rPr>
        <w:t>adoptar</w:t>
      </w:r>
      <w:r w:rsidR="008620F0" w:rsidRPr="00F01B15">
        <w:rPr>
          <w:rFonts w:eastAsia="Calibri" w:cs="Times New Roman"/>
          <w:lang w:val="es-ES" w:eastAsia="en-US"/>
        </w:rPr>
        <w:t xml:space="preserve"> algunas de ellas, para proponer acciones como el desarrollo de programas, sugerir criterios</w:t>
      </w:r>
      <w:r w:rsidR="008B6658" w:rsidRPr="00F01B15">
        <w:rPr>
          <w:rFonts w:eastAsia="Calibri" w:cs="Times New Roman"/>
          <w:lang w:val="es-ES" w:eastAsia="en-US"/>
        </w:rPr>
        <w:t xml:space="preserve"> para su enseñanza y evaluación”</w:t>
      </w:r>
      <w:r w:rsidR="008A4E76" w:rsidRPr="00F01B15">
        <w:rPr>
          <w:rFonts w:eastAsia="Calibri" w:cs="Times New Roman"/>
          <w:lang w:val="es-ES" w:eastAsia="en-US"/>
        </w:rPr>
        <w:t xml:space="preserve"> (</w:t>
      </w:r>
      <w:r w:rsidR="008B6658" w:rsidRPr="00F01B15">
        <w:rPr>
          <w:rFonts w:eastAsia="Calibri" w:cs="Times New Roman"/>
          <w:lang w:val="es-ES" w:eastAsia="en-US"/>
        </w:rPr>
        <w:t>p.3)</w:t>
      </w:r>
      <w:r w:rsidR="009518F9" w:rsidRPr="00F01B15">
        <w:rPr>
          <w:rFonts w:eastAsia="Calibri" w:cs="Times New Roman"/>
          <w:lang w:val="es-ES" w:eastAsia="en-US"/>
        </w:rPr>
        <w:t>.</w:t>
      </w:r>
    </w:p>
    <w:p w:rsidR="00282888" w:rsidRPr="00F01B15" w:rsidRDefault="008620F0" w:rsidP="00F01B15">
      <w:pPr>
        <w:spacing w:line="360" w:lineRule="auto"/>
        <w:ind w:left="-180"/>
        <w:jc w:val="both"/>
        <w:outlineLvl w:val="0"/>
        <w:rPr>
          <w:rFonts w:eastAsia="Times New Roman" w:cs="Times New Roman"/>
          <w:lang w:val="es-ES"/>
        </w:rPr>
      </w:pPr>
      <w:r w:rsidRPr="00F01B15">
        <w:rPr>
          <w:rFonts w:eastAsia="Calibri" w:cs="Times New Roman"/>
          <w:lang w:eastAsia="en-US"/>
        </w:rPr>
        <w:lastRenderedPageBreak/>
        <w:t>En el contexto de la educación superior</w:t>
      </w:r>
      <w:r w:rsidR="000D7FF5" w:rsidRPr="00F01B15">
        <w:rPr>
          <w:rFonts w:eastAsia="Calibri" w:cs="Times New Roman"/>
          <w:lang w:eastAsia="en-US"/>
        </w:rPr>
        <w:t>,</w:t>
      </w:r>
      <w:r w:rsidRPr="00F01B15">
        <w:rPr>
          <w:rFonts w:eastAsia="Calibri" w:cs="Times New Roman"/>
          <w:lang w:eastAsia="en-US"/>
        </w:rPr>
        <w:t xml:space="preserve"> una de las definición más aceptadas de  </w:t>
      </w:r>
      <w:r w:rsidRPr="00F01B15">
        <w:rPr>
          <w:rFonts w:eastAsia="Calibri" w:cs="Times New Roman"/>
          <w:iCs/>
          <w:lang w:eastAsia="en-US"/>
        </w:rPr>
        <w:t>competencia por varios estudiosos es: “</w:t>
      </w:r>
      <w:r w:rsidRPr="00F01B15">
        <w:rPr>
          <w:rFonts w:eastAsia="Calibri" w:cs="Times New Roman"/>
          <w:lang w:eastAsia="en-US"/>
        </w:rPr>
        <w:t>la capacidad individual para emprender actividades que requieren una planificación, una ejecución y un control autónomo</w:t>
      </w:r>
      <w:r w:rsidR="00CA1688" w:rsidRPr="00F01B15">
        <w:rPr>
          <w:rFonts w:eastAsia="Calibri" w:cs="Times New Roman"/>
          <w:lang w:eastAsia="en-US"/>
        </w:rPr>
        <w:t>, así como</w:t>
      </w:r>
      <w:r w:rsidRPr="00F01B15">
        <w:rPr>
          <w:rFonts w:eastAsia="Times New Roman" w:cs="Times New Roman"/>
          <w:lang w:val="es-ES"/>
        </w:rPr>
        <w:t xml:space="preserve"> </w:t>
      </w:r>
      <w:r w:rsidRPr="00F01B15">
        <w:rPr>
          <w:rFonts w:eastAsia="Calibri" w:cs="Times New Roman"/>
          <w:lang w:eastAsia="en-US"/>
        </w:rPr>
        <w:t xml:space="preserve">la capacidad de usar el conocimiento y las destrezas relacionadas con productos y procesos, </w:t>
      </w:r>
      <w:r w:rsidR="00CA1688" w:rsidRPr="00F01B15">
        <w:rPr>
          <w:rFonts w:eastAsia="Calibri" w:cs="Times New Roman"/>
          <w:lang w:eastAsia="en-US"/>
        </w:rPr>
        <w:t xml:space="preserve">y </w:t>
      </w:r>
      <w:r w:rsidRPr="00F01B15">
        <w:rPr>
          <w:rFonts w:eastAsia="Calibri" w:cs="Times New Roman"/>
          <w:lang w:eastAsia="en-US"/>
        </w:rPr>
        <w:t>de actuar eficazmente para alcanzar un objetivo” (</w:t>
      </w:r>
      <w:proofErr w:type="spellStart"/>
      <w:r w:rsidR="008B6658" w:rsidRPr="00F01B15">
        <w:rPr>
          <w:rFonts w:eastAsia="Times New Roman" w:cs="Times New Roman"/>
          <w:lang w:val="es-ES"/>
        </w:rPr>
        <w:t>Zabalza</w:t>
      </w:r>
      <w:proofErr w:type="spellEnd"/>
      <w:r w:rsidR="008B6658" w:rsidRPr="00F01B15">
        <w:rPr>
          <w:rFonts w:eastAsia="Times New Roman" w:cs="Times New Roman"/>
          <w:lang w:val="es-ES"/>
        </w:rPr>
        <w:t>, 2003, p.</w:t>
      </w:r>
      <w:r w:rsidRPr="00F01B15">
        <w:rPr>
          <w:rFonts w:eastAsia="Times New Roman" w:cs="Times New Roman"/>
          <w:lang w:val="es-ES"/>
        </w:rPr>
        <w:t>71)</w:t>
      </w:r>
      <w:r w:rsidR="00E31E46" w:rsidRPr="00F01B15">
        <w:rPr>
          <w:rFonts w:eastAsia="Times New Roman" w:cs="Times New Roman"/>
          <w:lang w:val="es-ES"/>
        </w:rPr>
        <w:t>.</w:t>
      </w:r>
      <w:r w:rsidRPr="00F01B15">
        <w:rPr>
          <w:rFonts w:eastAsia="Times New Roman" w:cs="Times New Roman"/>
          <w:lang w:val="es-ES"/>
        </w:rPr>
        <w:t xml:space="preserve">   </w:t>
      </w:r>
    </w:p>
    <w:p w:rsidR="008620F0" w:rsidRDefault="00E31E46" w:rsidP="00F01B15">
      <w:pPr>
        <w:spacing w:line="360" w:lineRule="auto"/>
        <w:ind w:left="-180"/>
        <w:jc w:val="both"/>
        <w:outlineLvl w:val="0"/>
        <w:rPr>
          <w:rFonts w:eastAsia="Times New Roman" w:cs="Times New Roman"/>
          <w:lang w:val="es-ES"/>
        </w:rPr>
      </w:pPr>
      <w:r w:rsidRPr="00F01B15">
        <w:rPr>
          <w:rFonts w:eastAsia="Times New Roman" w:cs="Times New Roman"/>
          <w:lang w:val="es-ES"/>
        </w:rPr>
        <w:t>Otras dos aportaciones son</w:t>
      </w:r>
      <w:r w:rsidR="008620F0" w:rsidRPr="00F01B15">
        <w:rPr>
          <w:rFonts w:eastAsia="Times New Roman" w:cs="Times New Roman"/>
          <w:lang w:val="es-ES"/>
        </w:rPr>
        <w:t xml:space="preserve"> </w:t>
      </w:r>
      <w:r w:rsidR="000D7FF5" w:rsidRPr="00F01B15">
        <w:rPr>
          <w:rFonts w:eastAsia="Times New Roman" w:cs="Times New Roman"/>
          <w:lang w:val="es-ES"/>
        </w:rPr>
        <w:t xml:space="preserve">las </w:t>
      </w:r>
      <w:r w:rsidR="008620F0" w:rsidRPr="00F01B15">
        <w:rPr>
          <w:rFonts w:eastAsia="Times New Roman" w:cs="Times New Roman"/>
          <w:lang w:val="es-ES"/>
        </w:rPr>
        <w:t>de la Asociación Nacional de Universidades e Instituciones de Educaci</w:t>
      </w:r>
      <w:r w:rsidR="008B6658" w:rsidRPr="00F01B15">
        <w:rPr>
          <w:rFonts w:eastAsia="Times New Roman" w:cs="Times New Roman"/>
          <w:lang w:val="es-ES"/>
        </w:rPr>
        <w:t xml:space="preserve">ón Superior ANUIES (citado por </w:t>
      </w:r>
      <w:r w:rsidR="008620F0" w:rsidRPr="00F01B15">
        <w:rPr>
          <w:rFonts w:eastAsia="Times New Roman" w:cs="Times New Roman"/>
          <w:lang w:val="es-ES"/>
        </w:rPr>
        <w:t>Cruz, 2012) la cual define a las competencias como:</w:t>
      </w:r>
    </w:p>
    <w:p w:rsidR="00AA469D" w:rsidRPr="00F01B15" w:rsidRDefault="00AA469D" w:rsidP="00F01B15">
      <w:pPr>
        <w:spacing w:line="360" w:lineRule="auto"/>
        <w:ind w:left="-180"/>
        <w:jc w:val="both"/>
        <w:outlineLvl w:val="0"/>
        <w:rPr>
          <w:rFonts w:eastAsia="Times New Roman" w:cs="Times New Roman"/>
          <w:lang w:val="es-ES"/>
        </w:rPr>
      </w:pPr>
    </w:p>
    <w:p w:rsidR="00E31E46" w:rsidRPr="00F01B15" w:rsidRDefault="008620F0" w:rsidP="00F01B15">
      <w:pPr>
        <w:pStyle w:val="Prrafodelista"/>
        <w:numPr>
          <w:ilvl w:val="0"/>
          <w:numId w:val="3"/>
        </w:numPr>
        <w:spacing w:line="360" w:lineRule="auto"/>
        <w:jc w:val="both"/>
        <w:outlineLvl w:val="0"/>
        <w:rPr>
          <w:sz w:val="22"/>
          <w:szCs w:val="22"/>
          <w:lang w:val="es-ES"/>
        </w:rPr>
      </w:pPr>
      <w:r w:rsidRPr="00F01B15">
        <w:rPr>
          <w:sz w:val="22"/>
          <w:szCs w:val="22"/>
          <w:lang w:val="es-ES"/>
        </w:rPr>
        <w:t xml:space="preserve">Conjunto de conocimientos, habilidades y destrezas, tanto específicas como transversales, que debe reunir un titulado para satisfacer plenamente las exigencias sociales. </w:t>
      </w:r>
    </w:p>
    <w:p w:rsidR="008620F0" w:rsidRPr="00F01B15" w:rsidRDefault="00E31E46" w:rsidP="00F01B15">
      <w:pPr>
        <w:pStyle w:val="Prrafodelista"/>
        <w:numPr>
          <w:ilvl w:val="0"/>
          <w:numId w:val="3"/>
        </w:numPr>
        <w:spacing w:line="360" w:lineRule="auto"/>
        <w:jc w:val="both"/>
        <w:outlineLvl w:val="0"/>
        <w:rPr>
          <w:sz w:val="22"/>
          <w:szCs w:val="22"/>
          <w:lang w:val="es-ES"/>
        </w:rPr>
      </w:pPr>
      <w:r w:rsidRPr="00F01B15">
        <w:rPr>
          <w:sz w:val="22"/>
          <w:szCs w:val="22"/>
          <w:lang w:val="es-ES"/>
        </w:rPr>
        <w:t xml:space="preserve">Las </w:t>
      </w:r>
      <w:r w:rsidR="008620F0" w:rsidRPr="00F01B15">
        <w:rPr>
          <w:sz w:val="22"/>
          <w:szCs w:val="22"/>
          <w:lang w:val="es-ES"/>
        </w:rPr>
        <w:t xml:space="preserve">capacidades que la persona desarrolla en forma gradual y a lo largo de todo el proceso educativo y </w:t>
      </w:r>
      <w:r w:rsidR="00AC4990" w:rsidRPr="00F01B15">
        <w:rPr>
          <w:sz w:val="22"/>
          <w:szCs w:val="22"/>
          <w:lang w:val="es-ES"/>
        </w:rPr>
        <w:t xml:space="preserve">que </w:t>
      </w:r>
      <w:r w:rsidR="008620F0" w:rsidRPr="00F01B15">
        <w:rPr>
          <w:sz w:val="22"/>
          <w:szCs w:val="22"/>
          <w:lang w:val="es-ES"/>
        </w:rPr>
        <w:t>son evaluadas en diferentes etapas (p. 6)</w:t>
      </w:r>
      <w:r w:rsidRPr="00F01B15">
        <w:rPr>
          <w:sz w:val="22"/>
          <w:szCs w:val="22"/>
          <w:lang w:val="es-ES"/>
        </w:rPr>
        <w:t>.</w:t>
      </w:r>
    </w:p>
    <w:p w:rsidR="00E31E46" w:rsidRPr="00F01B15" w:rsidRDefault="00E31E46" w:rsidP="00F01B15">
      <w:pPr>
        <w:spacing w:line="360" w:lineRule="auto"/>
        <w:jc w:val="both"/>
        <w:outlineLvl w:val="0"/>
        <w:rPr>
          <w:rFonts w:cs="Times New Roman"/>
          <w:sz w:val="22"/>
          <w:szCs w:val="22"/>
          <w:lang w:val="es-ES"/>
        </w:rPr>
      </w:pPr>
    </w:p>
    <w:p w:rsidR="008620F0" w:rsidRPr="00F01B15" w:rsidRDefault="008620F0" w:rsidP="00F01B15">
      <w:pPr>
        <w:spacing w:line="360" w:lineRule="auto"/>
        <w:ind w:left="-142"/>
        <w:jc w:val="both"/>
        <w:outlineLvl w:val="0"/>
        <w:rPr>
          <w:rFonts w:eastAsia="Calibri" w:cs="Times New Roman"/>
          <w:lang w:val="es-ES" w:eastAsia="en-US"/>
        </w:rPr>
      </w:pPr>
      <w:r w:rsidRPr="00F01B15">
        <w:rPr>
          <w:rFonts w:eastAsia="Calibri" w:cs="Times New Roman"/>
          <w:lang w:val="es-ES" w:eastAsia="en-US"/>
        </w:rPr>
        <w:t>Estas def</w:t>
      </w:r>
      <w:r w:rsidR="00E31E46" w:rsidRPr="00F01B15">
        <w:rPr>
          <w:rFonts w:eastAsia="Calibri" w:cs="Times New Roman"/>
          <w:lang w:val="es-ES" w:eastAsia="en-US"/>
        </w:rPr>
        <w:t>iniciones resaltan</w:t>
      </w:r>
      <w:r w:rsidRPr="00F01B15">
        <w:rPr>
          <w:rFonts w:eastAsia="Calibri" w:cs="Times New Roman"/>
          <w:lang w:val="es-ES" w:eastAsia="en-US"/>
        </w:rPr>
        <w:t xml:space="preserve"> la complejidad de las tareas que se pre</w:t>
      </w:r>
      <w:r w:rsidR="00E31E46" w:rsidRPr="00F01B15">
        <w:rPr>
          <w:rFonts w:eastAsia="Calibri" w:cs="Times New Roman"/>
          <w:lang w:val="es-ES" w:eastAsia="en-US"/>
        </w:rPr>
        <w:t>tenden realizar eficazmente</w:t>
      </w:r>
      <w:r w:rsidRPr="00F01B15">
        <w:rPr>
          <w:rFonts w:eastAsia="Calibri" w:cs="Times New Roman"/>
          <w:lang w:val="es-ES" w:eastAsia="en-US"/>
        </w:rPr>
        <w:t xml:space="preserve"> en contextos específicos, y el empleo de múltiples recursos cognitivos, psicomotores y afectivos en forma interrelacionada que se ponen en juego, pues resulta atractiva la forma de referirse a una persona competente, como aquella que </w:t>
      </w:r>
      <w:r w:rsidR="007C06D2" w:rsidRPr="00F01B15">
        <w:rPr>
          <w:rFonts w:eastAsia="Calibri" w:cs="Times New Roman"/>
          <w:lang w:val="es-ES" w:eastAsia="en-US"/>
        </w:rPr>
        <w:t>sabe, hace e interactúa</w:t>
      </w:r>
      <w:r w:rsidR="008A4E76" w:rsidRPr="00F01B15">
        <w:rPr>
          <w:rFonts w:eastAsia="Calibri" w:cs="Times New Roman"/>
          <w:lang w:val="es-ES" w:eastAsia="en-US"/>
        </w:rPr>
        <w:t xml:space="preserve"> (Rueda, 2009, p. 7</w:t>
      </w:r>
      <w:r w:rsidR="00F179D3" w:rsidRPr="00F01B15">
        <w:rPr>
          <w:rFonts w:eastAsia="Calibri" w:cs="Times New Roman"/>
          <w:lang w:val="es-ES" w:eastAsia="en-US"/>
        </w:rPr>
        <w:t>)</w:t>
      </w:r>
      <w:r w:rsidR="007C06D2" w:rsidRPr="00F01B15">
        <w:rPr>
          <w:rFonts w:eastAsia="Calibri" w:cs="Times New Roman"/>
          <w:lang w:val="es-ES" w:eastAsia="en-US"/>
        </w:rPr>
        <w:t>.</w:t>
      </w:r>
    </w:p>
    <w:p w:rsidR="00115DC5" w:rsidRPr="00F01B15" w:rsidRDefault="00115DC5" w:rsidP="00F01B15">
      <w:pPr>
        <w:spacing w:line="360" w:lineRule="auto"/>
        <w:ind w:left="-142"/>
        <w:jc w:val="both"/>
        <w:outlineLvl w:val="0"/>
        <w:rPr>
          <w:rFonts w:eastAsia="Calibri" w:cs="Times New Roman"/>
          <w:lang w:val="es-ES" w:eastAsia="en-US"/>
        </w:rPr>
      </w:pPr>
    </w:p>
    <w:p w:rsidR="00BD55AF" w:rsidRPr="00F01B15" w:rsidRDefault="007C06D2" w:rsidP="00F01B15">
      <w:pPr>
        <w:spacing w:line="360" w:lineRule="auto"/>
        <w:ind w:left="-180"/>
        <w:jc w:val="both"/>
        <w:outlineLvl w:val="0"/>
        <w:rPr>
          <w:rFonts w:eastAsia="Calibri" w:cs="Times New Roman"/>
          <w:lang w:eastAsia="en-US"/>
        </w:rPr>
      </w:pPr>
      <w:r w:rsidRPr="00F01B15">
        <w:rPr>
          <w:rFonts w:eastAsia="Calibri" w:cs="Times New Roman"/>
          <w:sz w:val="22"/>
          <w:szCs w:val="22"/>
          <w:lang w:val="es-ES" w:eastAsia="en-US"/>
        </w:rPr>
        <w:t>E</w:t>
      </w:r>
      <w:r w:rsidR="008620F0" w:rsidRPr="00F01B15">
        <w:rPr>
          <w:rFonts w:eastAsia="Calibri" w:cs="Times New Roman"/>
          <w:sz w:val="22"/>
          <w:szCs w:val="22"/>
          <w:lang w:val="es-ES" w:eastAsia="en-US"/>
        </w:rPr>
        <w:t>s</w:t>
      </w:r>
      <w:r w:rsidR="008620F0" w:rsidRPr="00F01B15">
        <w:rPr>
          <w:rFonts w:eastAsia="Calibri" w:cs="Times New Roman"/>
          <w:lang w:eastAsia="en-US"/>
        </w:rPr>
        <w:t xml:space="preserve"> necesario el apoyo</w:t>
      </w:r>
      <w:r w:rsidR="00E31E46" w:rsidRPr="00F01B15">
        <w:rPr>
          <w:rFonts w:eastAsia="Calibri" w:cs="Times New Roman"/>
          <w:lang w:eastAsia="en-US"/>
        </w:rPr>
        <w:t xml:space="preserve"> de una definición de</w:t>
      </w:r>
      <w:r w:rsidR="008620F0" w:rsidRPr="00F01B15">
        <w:rPr>
          <w:rFonts w:eastAsia="Calibri" w:cs="Times New Roman"/>
          <w:lang w:eastAsia="en-US"/>
        </w:rPr>
        <w:t xml:space="preserve"> co</w:t>
      </w:r>
      <w:r w:rsidRPr="00F01B15">
        <w:rPr>
          <w:rFonts w:eastAsia="Calibri" w:cs="Times New Roman"/>
          <w:lang w:eastAsia="en-US"/>
        </w:rPr>
        <w:t>mpetencia docente, ubicada en</w:t>
      </w:r>
      <w:r w:rsidR="008620F0" w:rsidRPr="00F01B15">
        <w:rPr>
          <w:rFonts w:eastAsia="Calibri" w:cs="Times New Roman"/>
          <w:lang w:eastAsia="en-US"/>
        </w:rPr>
        <w:t xml:space="preserve"> </w:t>
      </w:r>
      <w:r w:rsidR="000D7FF5" w:rsidRPr="00F01B15">
        <w:rPr>
          <w:rFonts w:eastAsia="Calibri" w:cs="Times New Roman"/>
          <w:lang w:eastAsia="en-US"/>
        </w:rPr>
        <w:t xml:space="preserve">el </w:t>
      </w:r>
      <w:r w:rsidR="008620F0" w:rsidRPr="00F01B15">
        <w:rPr>
          <w:rFonts w:eastAsia="Calibri" w:cs="Times New Roman"/>
          <w:lang w:eastAsia="en-US"/>
        </w:rPr>
        <w:t>con</w:t>
      </w:r>
      <w:r w:rsidRPr="00F01B15">
        <w:rPr>
          <w:rFonts w:eastAsia="Calibri" w:cs="Times New Roman"/>
          <w:lang w:eastAsia="en-US"/>
        </w:rPr>
        <w:t xml:space="preserve">texto de </w:t>
      </w:r>
      <w:r w:rsidR="000D7FF5" w:rsidRPr="00F01B15">
        <w:rPr>
          <w:rFonts w:eastAsia="Calibri" w:cs="Times New Roman"/>
          <w:lang w:eastAsia="en-US"/>
        </w:rPr>
        <w:t xml:space="preserve">la </w:t>
      </w:r>
      <w:r w:rsidR="00AC537B" w:rsidRPr="00F01B15">
        <w:rPr>
          <w:rFonts w:eastAsia="Calibri" w:cs="Times New Roman"/>
          <w:lang w:eastAsia="en-US"/>
        </w:rPr>
        <w:t>educación superi</w:t>
      </w:r>
      <w:r w:rsidR="00BD55AF" w:rsidRPr="00F01B15">
        <w:rPr>
          <w:rFonts w:eastAsia="Calibri" w:cs="Times New Roman"/>
          <w:lang w:eastAsia="en-US"/>
        </w:rPr>
        <w:t xml:space="preserve">or, como lo refiere </w:t>
      </w:r>
      <w:proofErr w:type="spellStart"/>
      <w:r w:rsidR="00BD55AF" w:rsidRPr="00F01B15">
        <w:rPr>
          <w:rFonts w:eastAsia="Calibri" w:cs="Times New Roman"/>
          <w:lang w:eastAsia="en-US"/>
        </w:rPr>
        <w:t>Zabalza</w:t>
      </w:r>
      <w:proofErr w:type="spellEnd"/>
      <w:r w:rsidR="00BD55AF" w:rsidRPr="00F01B15">
        <w:rPr>
          <w:rFonts w:eastAsia="Calibri" w:cs="Times New Roman"/>
          <w:lang w:eastAsia="en-US"/>
        </w:rPr>
        <w:t xml:space="preserve"> (2007)</w:t>
      </w:r>
      <w:r w:rsidR="00AC4990" w:rsidRPr="00F01B15">
        <w:rPr>
          <w:rFonts w:eastAsia="Calibri" w:cs="Times New Roman"/>
          <w:lang w:eastAsia="en-US"/>
        </w:rPr>
        <w:t>,</w:t>
      </w:r>
      <w:r w:rsidR="00BD55AF" w:rsidRPr="00F01B15">
        <w:rPr>
          <w:rFonts w:eastAsia="Calibri" w:cs="Times New Roman"/>
          <w:lang w:eastAsia="en-US"/>
        </w:rPr>
        <w:t xml:space="preserve"> donde </w:t>
      </w:r>
      <w:r w:rsidR="008620F0" w:rsidRPr="00F01B15">
        <w:rPr>
          <w:rFonts w:eastAsia="Calibri" w:cs="Times New Roman"/>
          <w:lang w:eastAsia="en-US"/>
        </w:rPr>
        <w:t xml:space="preserve">señala: </w:t>
      </w:r>
      <w:r w:rsidR="008620F0" w:rsidRPr="00F01B15">
        <w:rPr>
          <w:rFonts w:eastAsia="Calibri" w:cs="Times New Roman"/>
          <w:iCs/>
          <w:lang w:val="es-ES" w:eastAsia="en-US"/>
        </w:rPr>
        <w:t>“</w:t>
      </w:r>
      <w:r w:rsidR="00AC4990" w:rsidRPr="00F01B15">
        <w:rPr>
          <w:rFonts w:eastAsia="Calibri" w:cs="Times New Roman"/>
          <w:iCs/>
          <w:lang w:val="es-ES" w:eastAsia="en-US"/>
        </w:rPr>
        <w:t>c</w:t>
      </w:r>
      <w:proofErr w:type="spellStart"/>
      <w:r w:rsidR="008620F0" w:rsidRPr="00F01B15">
        <w:rPr>
          <w:rFonts w:eastAsia="Calibri" w:cs="Times New Roman"/>
          <w:iCs/>
          <w:lang w:eastAsia="en-US"/>
        </w:rPr>
        <w:t>ompetencia</w:t>
      </w:r>
      <w:proofErr w:type="spellEnd"/>
      <w:r w:rsidR="008620F0" w:rsidRPr="00F01B15">
        <w:rPr>
          <w:rFonts w:eastAsia="Calibri" w:cs="Times New Roman"/>
          <w:iCs/>
          <w:lang w:eastAsia="en-US"/>
        </w:rPr>
        <w:t xml:space="preserve"> docente es la capacidad individual que debe reunir el profesor para realizar los procesos de planeación, desarrollo y la valoración de la enseñanza y el aprendizaje. </w:t>
      </w:r>
      <w:r w:rsidR="00AC4990" w:rsidRPr="00F01B15">
        <w:rPr>
          <w:rFonts w:eastAsia="Calibri" w:cs="Times New Roman"/>
          <w:iCs/>
          <w:lang w:eastAsia="en-US"/>
        </w:rPr>
        <w:t>Esto</w:t>
      </w:r>
      <w:r w:rsidR="008620F0" w:rsidRPr="00F01B15">
        <w:rPr>
          <w:rFonts w:eastAsia="Calibri" w:cs="Times New Roman"/>
          <w:iCs/>
          <w:lang w:eastAsia="en-US"/>
        </w:rPr>
        <w:t xml:space="preserve"> implica el uso de conocimientos y habilida</w:t>
      </w:r>
      <w:r w:rsidR="00BD55AF" w:rsidRPr="00F01B15">
        <w:rPr>
          <w:rFonts w:eastAsia="Calibri" w:cs="Times New Roman"/>
          <w:iCs/>
          <w:lang w:eastAsia="en-US"/>
        </w:rPr>
        <w:t xml:space="preserve">des para alcanzar un objetivo” </w:t>
      </w:r>
      <w:r w:rsidR="008620F0" w:rsidRPr="00F01B15">
        <w:rPr>
          <w:rFonts w:eastAsia="Calibri" w:cs="Times New Roman"/>
          <w:iCs/>
          <w:lang w:eastAsia="en-US"/>
        </w:rPr>
        <w:t>(</w:t>
      </w:r>
      <w:r w:rsidR="008620F0" w:rsidRPr="00F01B15">
        <w:rPr>
          <w:rFonts w:eastAsia="Calibri" w:cs="Times New Roman"/>
          <w:lang w:eastAsia="en-US"/>
        </w:rPr>
        <w:t>p. 70)</w:t>
      </w:r>
      <w:r w:rsidR="00BD55AF" w:rsidRPr="00F01B15">
        <w:rPr>
          <w:rFonts w:eastAsia="Calibri" w:cs="Times New Roman"/>
          <w:lang w:eastAsia="en-US"/>
        </w:rPr>
        <w:t>.</w:t>
      </w:r>
    </w:p>
    <w:p w:rsidR="00F562D0" w:rsidRPr="00F01B15" w:rsidRDefault="00BD55AF" w:rsidP="00F01B15">
      <w:pPr>
        <w:spacing w:line="360" w:lineRule="auto"/>
        <w:ind w:left="-180"/>
        <w:jc w:val="both"/>
        <w:outlineLvl w:val="0"/>
        <w:rPr>
          <w:rFonts w:eastAsia="Calibri" w:cs="Times New Roman"/>
          <w:lang w:val="es-ES" w:eastAsia="en-US"/>
        </w:rPr>
      </w:pPr>
      <w:r w:rsidRPr="00F01B15">
        <w:rPr>
          <w:rFonts w:eastAsia="Calibri" w:cs="Times New Roman"/>
          <w:lang w:val="es-ES" w:eastAsia="en-US"/>
        </w:rPr>
        <w:t xml:space="preserve">Al </w:t>
      </w:r>
      <w:r w:rsidR="00F562D0" w:rsidRPr="00F01B15">
        <w:rPr>
          <w:rFonts w:eastAsia="Calibri" w:cs="Times New Roman"/>
          <w:lang w:val="es-ES" w:eastAsia="en-US"/>
        </w:rPr>
        <w:t>abordar este tema se adoptó la de</w:t>
      </w:r>
      <w:r w:rsidRPr="00F01B15">
        <w:rPr>
          <w:rFonts w:eastAsia="Calibri" w:cs="Times New Roman"/>
          <w:lang w:val="es-ES" w:eastAsia="en-US"/>
        </w:rPr>
        <w:t>finición de competencias docentes de</w:t>
      </w:r>
      <w:r w:rsidR="00F562D0" w:rsidRPr="00F01B15">
        <w:rPr>
          <w:rFonts w:eastAsia="Calibri" w:cs="Times New Roman"/>
          <w:lang w:val="es-ES" w:eastAsia="en-US"/>
        </w:rPr>
        <w:t xml:space="preserve"> </w:t>
      </w:r>
      <w:proofErr w:type="spellStart"/>
      <w:r w:rsidR="00F562D0" w:rsidRPr="00F01B15">
        <w:rPr>
          <w:rFonts w:eastAsia="Calibri" w:cs="Times New Roman"/>
          <w:lang w:val="es-ES" w:eastAsia="en-US"/>
        </w:rPr>
        <w:t>Perrenoud</w:t>
      </w:r>
      <w:proofErr w:type="spellEnd"/>
      <w:r w:rsidRPr="00F01B15">
        <w:rPr>
          <w:rFonts w:eastAsia="Calibri" w:cs="Times New Roman"/>
          <w:lang w:val="es-ES" w:eastAsia="en-US"/>
        </w:rPr>
        <w:t xml:space="preserve"> (2007)</w:t>
      </w:r>
      <w:r w:rsidR="00F562D0" w:rsidRPr="00F01B15">
        <w:rPr>
          <w:rFonts w:eastAsia="Calibri" w:cs="Times New Roman"/>
          <w:lang w:val="es-ES" w:eastAsia="en-US"/>
        </w:rPr>
        <w:t>: “la aptitud para enfrentar eficazmente una familia de situaciones análogas, movilizando a conciencia y de manera a la vez rápida, pertinente y creativa, múltiples recursos cognitivos: saberes, capacidades, micro-competencias, informaciones, valores, actitudes, esquemas de percepción, de evalua</w:t>
      </w:r>
      <w:r w:rsidRPr="00F01B15">
        <w:rPr>
          <w:rFonts w:eastAsia="Calibri" w:cs="Times New Roman"/>
          <w:lang w:val="es-ES" w:eastAsia="en-US"/>
        </w:rPr>
        <w:t>ción y de razonamiento” (p. 36).</w:t>
      </w:r>
    </w:p>
    <w:p w:rsidR="00F562D0" w:rsidRDefault="008620F0" w:rsidP="00F01B15">
      <w:pPr>
        <w:spacing w:line="360" w:lineRule="auto"/>
        <w:ind w:left="-180"/>
        <w:jc w:val="both"/>
        <w:outlineLvl w:val="0"/>
        <w:rPr>
          <w:rFonts w:eastAsia="Calibri" w:cs="Times New Roman"/>
          <w:lang w:eastAsia="en-US"/>
        </w:rPr>
      </w:pPr>
      <w:r w:rsidRPr="00F01B15">
        <w:rPr>
          <w:rFonts w:eastAsia="Calibri" w:cs="Times New Roman"/>
          <w:lang w:eastAsia="en-US"/>
        </w:rPr>
        <w:t xml:space="preserve"> </w:t>
      </w:r>
    </w:p>
    <w:p w:rsidR="00AA469D" w:rsidRDefault="00AA469D" w:rsidP="00F01B15">
      <w:pPr>
        <w:spacing w:line="360" w:lineRule="auto"/>
        <w:ind w:left="-180"/>
        <w:jc w:val="both"/>
        <w:outlineLvl w:val="0"/>
        <w:rPr>
          <w:rFonts w:eastAsia="Calibri" w:cs="Times New Roman"/>
          <w:lang w:eastAsia="en-US"/>
        </w:rPr>
      </w:pPr>
    </w:p>
    <w:p w:rsidR="00AA469D" w:rsidRDefault="00AA469D" w:rsidP="00F01B15">
      <w:pPr>
        <w:spacing w:line="360" w:lineRule="auto"/>
        <w:ind w:left="-180"/>
        <w:jc w:val="both"/>
        <w:outlineLvl w:val="0"/>
        <w:rPr>
          <w:rFonts w:eastAsia="Calibri" w:cs="Times New Roman"/>
          <w:lang w:eastAsia="en-US"/>
        </w:rPr>
      </w:pPr>
    </w:p>
    <w:p w:rsidR="00AA469D" w:rsidRDefault="00AA469D" w:rsidP="00F01B15">
      <w:pPr>
        <w:spacing w:line="360" w:lineRule="auto"/>
        <w:ind w:left="-180"/>
        <w:jc w:val="both"/>
        <w:outlineLvl w:val="0"/>
        <w:rPr>
          <w:rFonts w:eastAsia="Calibri" w:cs="Times New Roman"/>
          <w:lang w:eastAsia="en-US"/>
        </w:rPr>
      </w:pPr>
    </w:p>
    <w:p w:rsidR="00AA469D" w:rsidRPr="00F01B15" w:rsidRDefault="00AA469D" w:rsidP="00F01B15">
      <w:pPr>
        <w:spacing w:line="360" w:lineRule="auto"/>
        <w:ind w:left="-180"/>
        <w:jc w:val="both"/>
        <w:outlineLvl w:val="0"/>
        <w:rPr>
          <w:rFonts w:eastAsia="Calibri" w:cs="Times New Roman"/>
          <w:lang w:eastAsia="en-US"/>
        </w:rPr>
      </w:pPr>
    </w:p>
    <w:p w:rsidR="008620F0" w:rsidRPr="00F01B15" w:rsidRDefault="00F179D3" w:rsidP="00F01B15">
      <w:pPr>
        <w:spacing w:line="360" w:lineRule="auto"/>
        <w:ind w:left="-180"/>
        <w:jc w:val="both"/>
        <w:outlineLvl w:val="0"/>
        <w:rPr>
          <w:rFonts w:eastAsia="Times New Roman" w:cs="Times New Roman"/>
          <w:b/>
          <w:iCs/>
          <w:lang w:val="es-ES"/>
        </w:rPr>
      </w:pPr>
      <w:r w:rsidRPr="00F01B15">
        <w:rPr>
          <w:rFonts w:eastAsia="Times New Roman" w:cs="Times New Roman"/>
          <w:b/>
          <w:bCs/>
          <w:lang w:val="es-ES"/>
        </w:rPr>
        <w:t>Concepción de e</w:t>
      </w:r>
      <w:r w:rsidR="008620F0" w:rsidRPr="00F01B15">
        <w:rPr>
          <w:rFonts w:eastAsia="Times New Roman" w:cs="Times New Roman"/>
          <w:b/>
          <w:iCs/>
          <w:lang w:val="es-ES"/>
        </w:rPr>
        <w:t xml:space="preserve">valuación  </w:t>
      </w:r>
    </w:p>
    <w:p w:rsidR="00571795" w:rsidRDefault="00571795" w:rsidP="00F01B15">
      <w:pPr>
        <w:spacing w:line="360" w:lineRule="auto"/>
        <w:ind w:left="-180"/>
        <w:jc w:val="both"/>
        <w:outlineLvl w:val="0"/>
        <w:rPr>
          <w:rFonts w:eastAsia="Times New Roman" w:cs="Times New Roman"/>
          <w:iCs/>
          <w:lang w:val="es-ES"/>
        </w:rPr>
      </w:pPr>
      <w:r w:rsidRPr="00F01B15">
        <w:rPr>
          <w:rFonts w:eastAsia="Times New Roman" w:cs="Times New Roman"/>
          <w:iCs/>
          <w:lang w:val="es-ES"/>
        </w:rPr>
        <w:t>La evaluación constituye uno de los aspectos más debatidos y difícil</w:t>
      </w:r>
      <w:r w:rsidR="00BD55AF" w:rsidRPr="00F01B15">
        <w:rPr>
          <w:rFonts w:eastAsia="Times New Roman" w:cs="Times New Roman"/>
          <w:iCs/>
          <w:lang w:val="es-ES"/>
        </w:rPr>
        <w:t>es</w:t>
      </w:r>
      <w:r w:rsidRPr="00F01B15">
        <w:rPr>
          <w:rFonts w:eastAsia="Times New Roman" w:cs="Times New Roman"/>
          <w:iCs/>
          <w:lang w:val="es-ES"/>
        </w:rPr>
        <w:t xml:space="preserve"> </w:t>
      </w:r>
      <w:r w:rsidR="00BD55AF" w:rsidRPr="00F01B15">
        <w:rPr>
          <w:rFonts w:eastAsia="Times New Roman" w:cs="Times New Roman"/>
          <w:iCs/>
          <w:lang w:val="es-ES"/>
        </w:rPr>
        <w:t xml:space="preserve">en los </w:t>
      </w:r>
      <w:r w:rsidR="000F44E5" w:rsidRPr="00F01B15">
        <w:rPr>
          <w:rFonts w:eastAsia="Times New Roman" w:cs="Times New Roman"/>
          <w:iCs/>
          <w:lang w:val="es-ES"/>
        </w:rPr>
        <w:t>ámbitos</w:t>
      </w:r>
      <w:r w:rsidR="00BD55AF" w:rsidRPr="00F01B15">
        <w:rPr>
          <w:rFonts w:eastAsia="Times New Roman" w:cs="Times New Roman"/>
          <w:iCs/>
          <w:lang w:val="es-ES"/>
        </w:rPr>
        <w:t xml:space="preserve"> humano </w:t>
      </w:r>
      <w:r w:rsidR="000F44E5" w:rsidRPr="00F01B15">
        <w:rPr>
          <w:rFonts w:eastAsia="Times New Roman" w:cs="Times New Roman"/>
          <w:iCs/>
          <w:lang w:val="es-ES"/>
        </w:rPr>
        <w:t>y profesional. Para efectos de este trabajo se parte de la</w:t>
      </w:r>
      <w:r w:rsidRPr="00F01B15">
        <w:rPr>
          <w:rFonts w:eastAsia="Times New Roman" w:cs="Times New Roman"/>
          <w:iCs/>
          <w:lang w:val="es-ES"/>
        </w:rPr>
        <w:t xml:space="preserve"> siguiente  definición: </w:t>
      </w:r>
    </w:p>
    <w:p w:rsidR="00AA469D" w:rsidRPr="00F01B15" w:rsidRDefault="00AA469D" w:rsidP="00F01B15">
      <w:pPr>
        <w:spacing w:line="360" w:lineRule="auto"/>
        <w:ind w:left="-180"/>
        <w:jc w:val="both"/>
        <w:outlineLvl w:val="0"/>
        <w:rPr>
          <w:rFonts w:eastAsia="Times New Roman" w:cs="Times New Roman"/>
          <w:iCs/>
          <w:lang w:val="es-ES"/>
        </w:rPr>
      </w:pPr>
    </w:p>
    <w:p w:rsidR="00571795" w:rsidRPr="00F01B15" w:rsidRDefault="00571795" w:rsidP="00F01B15">
      <w:pPr>
        <w:spacing w:line="360" w:lineRule="auto"/>
        <w:ind w:left="284"/>
        <w:jc w:val="both"/>
        <w:outlineLvl w:val="0"/>
        <w:rPr>
          <w:rFonts w:eastAsia="Times New Roman" w:cs="Times New Roman"/>
          <w:iCs/>
          <w:sz w:val="22"/>
          <w:szCs w:val="22"/>
          <w:lang w:val="es-ES"/>
        </w:rPr>
      </w:pPr>
      <w:r w:rsidRPr="00F01B15">
        <w:rPr>
          <w:rFonts w:eastAsia="Times New Roman" w:cs="Times New Roman"/>
          <w:iCs/>
          <w:sz w:val="22"/>
          <w:szCs w:val="22"/>
          <w:lang w:val="es-ES"/>
        </w:rPr>
        <w:t>Evaluación es el proceso y resultado de apreciar un objeto o fenómeno de la realidad en sus características esenciales, sus manifestaciones particulares de su devenir y estado de desarrollo actual y previsible</w:t>
      </w:r>
      <w:r w:rsidR="001F42FE" w:rsidRPr="00F01B15">
        <w:rPr>
          <w:rFonts w:eastAsia="Times New Roman" w:cs="Times New Roman"/>
          <w:iCs/>
          <w:sz w:val="22"/>
          <w:szCs w:val="22"/>
          <w:lang w:val="es-ES"/>
        </w:rPr>
        <w:t xml:space="preserve">, de acuerdo con un juicio o patrones definidos e indicadores establecidos </w:t>
      </w:r>
      <w:r w:rsidR="00FD6C32" w:rsidRPr="00F01B15">
        <w:rPr>
          <w:rFonts w:eastAsia="Times New Roman" w:cs="Times New Roman"/>
          <w:iCs/>
          <w:sz w:val="22"/>
          <w:szCs w:val="22"/>
          <w:lang w:val="es-ES"/>
        </w:rPr>
        <w:t>para</w:t>
      </w:r>
      <w:r w:rsidR="001F42FE" w:rsidRPr="00F01B15">
        <w:rPr>
          <w:rFonts w:eastAsia="Times New Roman" w:cs="Times New Roman"/>
          <w:iCs/>
          <w:sz w:val="22"/>
          <w:szCs w:val="22"/>
          <w:lang w:val="es-ES"/>
        </w:rPr>
        <w:t xml:space="preserve"> tal fin. Toda evaluación responde a determinados propósitos y para lograrlo se utilizan diversos métodos y procedimientos que se debe</w:t>
      </w:r>
      <w:r w:rsidR="0081740D" w:rsidRPr="00F01B15">
        <w:rPr>
          <w:rFonts w:eastAsia="Times New Roman" w:cs="Times New Roman"/>
          <w:iCs/>
          <w:sz w:val="22"/>
          <w:szCs w:val="22"/>
          <w:lang w:val="es-ES"/>
        </w:rPr>
        <w:t>n</w:t>
      </w:r>
      <w:r w:rsidR="001F42FE" w:rsidRPr="00F01B15">
        <w:rPr>
          <w:rFonts w:eastAsia="Times New Roman" w:cs="Times New Roman"/>
          <w:iCs/>
          <w:sz w:val="22"/>
          <w:szCs w:val="22"/>
          <w:lang w:val="es-ES"/>
        </w:rPr>
        <w:t xml:space="preserve"> corresponder, como requisitos básicos, con los fines de esa evaluación y con la naturaleza de los objetivos que se evalúan. Se trata de una acción eminentemente humana donde está presente en algún grado el subjetivismo de los implicados en el acto evaluativo (González, 1997, p.64)</w:t>
      </w:r>
      <w:r w:rsidR="00AC4990" w:rsidRPr="00F01B15">
        <w:rPr>
          <w:rFonts w:eastAsia="Times New Roman" w:cs="Times New Roman"/>
          <w:iCs/>
          <w:sz w:val="22"/>
          <w:szCs w:val="22"/>
          <w:lang w:val="es-ES"/>
        </w:rPr>
        <w:t>.</w:t>
      </w:r>
    </w:p>
    <w:p w:rsidR="00AC4990" w:rsidRPr="00F01B15" w:rsidRDefault="00AC4990" w:rsidP="00F01B15">
      <w:pPr>
        <w:spacing w:line="360" w:lineRule="auto"/>
        <w:ind w:left="284"/>
        <w:jc w:val="both"/>
        <w:outlineLvl w:val="0"/>
        <w:rPr>
          <w:rFonts w:eastAsia="Times New Roman" w:cs="Times New Roman"/>
          <w:iCs/>
          <w:sz w:val="22"/>
          <w:szCs w:val="22"/>
          <w:lang w:val="es-ES"/>
        </w:rPr>
      </w:pPr>
    </w:p>
    <w:p w:rsidR="004113E6" w:rsidRPr="00F01B15" w:rsidRDefault="008620F0" w:rsidP="00F01B15">
      <w:pPr>
        <w:spacing w:line="360" w:lineRule="auto"/>
        <w:ind w:left="-180"/>
        <w:jc w:val="both"/>
        <w:outlineLvl w:val="0"/>
        <w:rPr>
          <w:rFonts w:eastAsia="Calibri" w:cs="Times New Roman"/>
          <w:i/>
          <w:iCs/>
          <w:sz w:val="23"/>
          <w:szCs w:val="23"/>
          <w:lang w:eastAsia="en-US"/>
        </w:rPr>
      </w:pPr>
      <w:r w:rsidRPr="00F01B15">
        <w:rPr>
          <w:rFonts w:eastAsia="Times New Roman" w:cs="Times New Roman"/>
          <w:lang w:val="es-ES"/>
        </w:rPr>
        <w:t>En el ámbito educacional, Ralph Ty</w:t>
      </w:r>
      <w:r w:rsidR="000F44E5" w:rsidRPr="00F01B15">
        <w:rPr>
          <w:rFonts w:eastAsia="Times New Roman" w:cs="Times New Roman"/>
          <w:lang w:val="es-ES"/>
        </w:rPr>
        <w:t>ler (</w:t>
      </w:r>
      <w:r w:rsidR="001F42FE" w:rsidRPr="00F01B15">
        <w:rPr>
          <w:rFonts w:eastAsia="Times New Roman" w:cs="Times New Roman"/>
          <w:lang w:val="es-ES"/>
        </w:rPr>
        <w:t>Casanova, 1992) define</w:t>
      </w:r>
      <w:r w:rsidRPr="00F01B15">
        <w:rPr>
          <w:rFonts w:eastAsia="Times New Roman" w:cs="Times New Roman"/>
          <w:lang w:val="es-ES"/>
        </w:rPr>
        <w:t xml:space="preserve"> </w:t>
      </w:r>
      <w:r w:rsidR="0081740D" w:rsidRPr="00F01B15">
        <w:rPr>
          <w:rFonts w:eastAsia="Times New Roman" w:cs="Times New Roman"/>
          <w:lang w:val="es-ES"/>
        </w:rPr>
        <w:t xml:space="preserve">a </w:t>
      </w:r>
      <w:r w:rsidRPr="00F01B15">
        <w:rPr>
          <w:rFonts w:eastAsia="Times New Roman" w:cs="Times New Roman"/>
          <w:lang w:val="es-ES"/>
        </w:rPr>
        <w:t xml:space="preserve">la </w:t>
      </w:r>
      <w:r w:rsidR="0081740D" w:rsidRPr="00F01B15">
        <w:rPr>
          <w:rFonts w:eastAsia="Times New Roman" w:cs="Times New Roman"/>
          <w:lang w:val="es-ES"/>
        </w:rPr>
        <w:t>e</w:t>
      </w:r>
      <w:r w:rsidRPr="00F01B15">
        <w:rPr>
          <w:rFonts w:eastAsia="Times New Roman" w:cs="Times New Roman"/>
          <w:lang w:val="es-ES"/>
        </w:rPr>
        <w:t xml:space="preserve">valuación </w:t>
      </w:r>
      <w:r w:rsidR="0081740D" w:rsidRPr="00F01B15">
        <w:rPr>
          <w:rFonts w:eastAsia="Times New Roman" w:cs="Times New Roman"/>
          <w:lang w:val="es-ES"/>
        </w:rPr>
        <w:t>d</w:t>
      </w:r>
      <w:r w:rsidRPr="00F01B15">
        <w:rPr>
          <w:rFonts w:eastAsia="Times New Roman" w:cs="Times New Roman"/>
          <w:lang w:val="es-ES"/>
        </w:rPr>
        <w:t>ocente como "</w:t>
      </w:r>
      <w:r w:rsidR="0081740D" w:rsidRPr="00F01B15">
        <w:rPr>
          <w:rFonts w:eastAsia="Times New Roman" w:cs="Times New Roman"/>
          <w:lang w:val="es-ES"/>
        </w:rPr>
        <w:t>e</w:t>
      </w:r>
      <w:r w:rsidRPr="00F01B15">
        <w:rPr>
          <w:rFonts w:eastAsia="Times New Roman" w:cs="Times New Roman"/>
          <w:lang w:val="es-ES"/>
        </w:rPr>
        <w:t>l proceso que permite determinar en qué grado han sido alcanzados los objetivos educativos p</w:t>
      </w:r>
      <w:r w:rsidR="000F44E5" w:rsidRPr="00F01B15">
        <w:rPr>
          <w:rFonts w:eastAsia="Times New Roman" w:cs="Times New Roman"/>
          <w:lang w:val="es-ES"/>
        </w:rPr>
        <w:t>ropuestos" (pp. 28-29). Además</w:t>
      </w:r>
      <w:r w:rsidR="0081740D" w:rsidRPr="00F01B15">
        <w:rPr>
          <w:rFonts w:eastAsia="Times New Roman" w:cs="Times New Roman"/>
          <w:lang w:val="es-ES"/>
        </w:rPr>
        <w:t>,</w:t>
      </w:r>
      <w:r w:rsidR="000F44E5" w:rsidRPr="00F01B15">
        <w:rPr>
          <w:rFonts w:eastAsia="Times New Roman" w:cs="Times New Roman"/>
          <w:lang w:val="es-ES"/>
        </w:rPr>
        <w:t xml:space="preserve"> </w:t>
      </w:r>
      <w:proofErr w:type="spellStart"/>
      <w:r w:rsidRPr="00F01B15">
        <w:rPr>
          <w:rFonts w:eastAsia="Times New Roman" w:cs="Times New Roman"/>
          <w:lang w:val="es-ES"/>
        </w:rPr>
        <w:t>Cronbach</w:t>
      </w:r>
      <w:proofErr w:type="spellEnd"/>
      <w:r w:rsidRPr="00F01B15">
        <w:rPr>
          <w:rFonts w:eastAsia="Times New Roman" w:cs="Times New Roman"/>
          <w:lang w:val="es-ES"/>
        </w:rPr>
        <w:t xml:space="preserve"> </w:t>
      </w:r>
      <w:r w:rsidR="000F44E5" w:rsidRPr="00F01B15">
        <w:rPr>
          <w:rFonts w:eastAsia="Times New Roman" w:cs="Times New Roman"/>
          <w:lang w:val="es-ES"/>
        </w:rPr>
        <w:t>(</w:t>
      </w:r>
      <w:r w:rsidRPr="00F01B15">
        <w:rPr>
          <w:rFonts w:eastAsia="Times New Roman" w:cs="Times New Roman"/>
          <w:lang w:val="es-ES"/>
        </w:rPr>
        <w:t>Casanova, 1992) la define como: "</w:t>
      </w:r>
      <w:r w:rsidR="0081740D" w:rsidRPr="00F01B15">
        <w:rPr>
          <w:rFonts w:eastAsia="Times New Roman" w:cs="Times New Roman"/>
          <w:lang w:val="es-ES"/>
        </w:rPr>
        <w:t>l</w:t>
      </w:r>
      <w:r w:rsidRPr="00F01B15">
        <w:rPr>
          <w:rFonts w:eastAsia="Times New Roman" w:cs="Times New Roman"/>
          <w:lang w:val="es-ES"/>
        </w:rPr>
        <w:t xml:space="preserve">a recogida y uso de información para tomar decisiones sobre un programa educativo"(p. 97); es decir, </w:t>
      </w:r>
      <w:r w:rsidR="004113E6" w:rsidRPr="00F01B15">
        <w:rPr>
          <w:rFonts w:eastAsia="Times New Roman" w:cs="Times New Roman"/>
          <w:lang w:val="es-ES"/>
        </w:rPr>
        <w:t>como una herramienta b</w:t>
      </w:r>
      <w:r w:rsidR="000F44E5" w:rsidRPr="00F01B15">
        <w:rPr>
          <w:rFonts w:eastAsia="Times New Roman" w:cs="Times New Roman"/>
          <w:lang w:val="es-ES"/>
        </w:rPr>
        <w:t>ásica para tomar decisiones</w:t>
      </w:r>
      <w:r w:rsidR="004113E6" w:rsidRPr="00F01B15">
        <w:rPr>
          <w:rFonts w:eastAsia="Times New Roman" w:cs="Times New Roman"/>
          <w:lang w:val="es-ES"/>
        </w:rPr>
        <w:t xml:space="preserve"> o para retroaliment</w:t>
      </w:r>
      <w:r w:rsidR="00543BFE" w:rsidRPr="00F01B15">
        <w:rPr>
          <w:rFonts w:eastAsia="Times New Roman" w:cs="Times New Roman"/>
          <w:lang w:val="es-ES"/>
        </w:rPr>
        <w:t>ar el objeto evaluado y no únicamente</w:t>
      </w:r>
      <w:r w:rsidR="004113E6" w:rsidRPr="00F01B15">
        <w:rPr>
          <w:rFonts w:eastAsia="Times New Roman" w:cs="Times New Roman"/>
          <w:lang w:val="es-ES"/>
        </w:rPr>
        <w:t xml:space="preserve"> como un</w:t>
      </w:r>
      <w:r w:rsidR="00543BFE" w:rsidRPr="00F01B15">
        <w:rPr>
          <w:rFonts w:eastAsia="Times New Roman" w:cs="Times New Roman"/>
          <w:lang w:val="es-ES"/>
        </w:rPr>
        <w:t xml:space="preserve"> propósito</w:t>
      </w:r>
      <w:r w:rsidR="004113E6" w:rsidRPr="00F01B15">
        <w:rPr>
          <w:rFonts w:eastAsia="Times New Roman" w:cs="Times New Roman"/>
          <w:lang w:val="es-ES"/>
        </w:rPr>
        <w:t>.</w:t>
      </w:r>
      <w:r w:rsidR="004113E6" w:rsidRPr="00F01B15">
        <w:rPr>
          <w:rFonts w:eastAsia="Calibri" w:cs="Times New Roman"/>
          <w:i/>
          <w:iCs/>
          <w:sz w:val="23"/>
          <w:szCs w:val="23"/>
          <w:lang w:eastAsia="en-US"/>
        </w:rPr>
        <w:t xml:space="preserve"> </w:t>
      </w:r>
    </w:p>
    <w:p w:rsidR="00F562D0" w:rsidRPr="00F01B15" w:rsidRDefault="00F562D0" w:rsidP="00F01B15">
      <w:pPr>
        <w:spacing w:line="360" w:lineRule="auto"/>
        <w:ind w:left="-180"/>
        <w:jc w:val="both"/>
        <w:outlineLvl w:val="0"/>
        <w:rPr>
          <w:rFonts w:eastAsia="Times New Roman" w:cs="Times New Roman"/>
          <w:b/>
          <w:color w:val="000000"/>
          <w:lang w:val="es-ES"/>
        </w:rPr>
      </w:pPr>
    </w:p>
    <w:p w:rsidR="008620F0" w:rsidRPr="00F01B15" w:rsidRDefault="008620F0" w:rsidP="00F01B15">
      <w:pPr>
        <w:spacing w:line="360" w:lineRule="auto"/>
        <w:ind w:left="-180"/>
        <w:jc w:val="both"/>
        <w:outlineLvl w:val="0"/>
        <w:rPr>
          <w:rFonts w:eastAsia="Times New Roman" w:cs="Times New Roman"/>
          <w:b/>
          <w:color w:val="000000"/>
          <w:lang w:val="es-ES"/>
        </w:rPr>
      </w:pPr>
      <w:r w:rsidRPr="00F01B15">
        <w:rPr>
          <w:rFonts w:eastAsia="Times New Roman" w:cs="Times New Roman"/>
          <w:b/>
          <w:color w:val="000000"/>
          <w:lang w:val="es-ES"/>
        </w:rPr>
        <w:t>Sobre la evaluación de competencias en los docentes</w:t>
      </w:r>
    </w:p>
    <w:p w:rsidR="008620F0" w:rsidRPr="00F01B15" w:rsidRDefault="00543BFE" w:rsidP="00F01B15">
      <w:pPr>
        <w:spacing w:line="360" w:lineRule="auto"/>
        <w:ind w:left="-180"/>
        <w:jc w:val="both"/>
        <w:outlineLvl w:val="0"/>
        <w:rPr>
          <w:rFonts w:eastAsia="Calibri" w:cs="Times New Roman"/>
          <w:lang w:val="es-ES" w:eastAsia="en-US"/>
        </w:rPr>
      </w:pPr>
      <w:r w:rsidRPr="00F01B15">
        <w:rPr>
          <w:rFonts w:eastAsia="Calibri" w:cs="Times New Roman"/>
          <w:lang w:val="es-ES" w:eastAsia="en-US"/>
        </w:rPr>
        <w:t>Valorar</w:t>
      </w:r>
      <w:r w:rsidR="008620F0" w:rsidRPr="00F01B15">
        <w:rPr>
          <w:rFonts w:eastAsia="Calibri" w:cs="Times New Roman"/>
          <w:lang w:val="es-ES" w:eastAsia="en-US"/>
        </w:rPr>
        <w:t xml:space="preserve"> la práctica docente </w:t>
      </w:r>
      <w:r w:rsidRPr="00F01B15">
        <w:rPr>
          <w:rFonts w:eastAsia="Calibri" w:cs="Times New Roman"/>
          <w:lang w:val="es-ES" w:eastAsia="en-US"/>
        </w:rPr>
        <w:t>reside en la obligación</w:t>
      </w:r>
      <w:r w:rsidR="008620F0" w:rsidRPr="00F01B15">
        <w:rPr>
          <w:rFonts w:eastAsia="Calibri" w:cs="Times New Roman"/>
          <w:lang w:val="es-ES" w:eastAsia="en-US"/>
        </w:rPr>
        <w:t xml:space="preserve"> de </w:t>
      </w:r>
      <w:r w:rsidRPr="00F01B15">
        <w:rPr>
          <w:rFonts w:eastAsia="Calibri" w:cs="Times New Roman"/>
          <w:lang w:val="es-ES" w:eastAsia="en-US"/>
        </w:rPr>
        <w:t>plantear</w:t>
      </w:r>
      <w:r w:rsidR="008620F0" w:rsidRPr="00F01B15">
        <w:rPr>
          <w:rFonts w:eastAsia="Calibri" w:cs="Times New Roman"/>
          <w:lang w:val="es-ES" w:eastAsia="en-US"/>
        </w:rPr>
        <w:t xml:space="preserve"> y obtener evidencias de validez y confiabilidad de los i</w:t>
      </w:r>
      <w:r w:rsidR="000F44E5" w:rsidRPr="00F01B15">
        <w:rPr>
          <w:rFonts w:eastAsia="Calibri" w:cs="Times New Roman"/>
          <w:lang w:val="es-ES" w:eastAsia="en-US"/>
        </w:rPr>
        <w:t xml:space="preserve">nstrumentos de evaluación de </w:t>
      </w:r>
      <w:r w:rsidR="008620F0" w:rsidRPr="00F01B15">
        <w:rPr>
          <w:rFonts w:eastAsia="Calibri" w:cs="Times New Roman"/>
          <w:lang w:val="es-ES" w:eastAsia="en-US"/>
        </w:rPr>
        <w:t>docencia basados en el enfoque por competencias, así como difundir los resultados para uso formativo.</w:t>
      </w:r>
    </w:p>
    <w:p w:rsidR="00F562D0" w:rsidRPr="00F01B15" w:rsidRDefault="000F44E5" w:rsidP="00F01B15">
      <w:pPr>
        <w:spacing w:line="360" w:lineRule="auto"/>
        <w:ind w:left="-180"/>
        <w:jc w:val="both"/>
        <w:outlineLvl w:val="0"/>
        <w:rPr>
          <w:rFonts w:eastAsia="Times New Roman" w:cs="Times New Roman"/>
          <w:lang w:val="es-ES"/>
        </w:rPr>
      </w:pPr>
      <w:r w:rsidRPr="00F01B15">
        <w:rPr>
          <w:rFonts w:eastAsia="Times New Roman" w:cs="Times New Roman"/>
          <w:lang w:val="es-ES"/>
        </w:rPr>
        <w:t>Al</w:t>
      </w:r>
      <w:r w:rsidR="008620F0" w:rsidRPr="00F01B15">
        <w:rPr>
          <w:rFonts w:eastAsia="Times New Roman" w:cs="Times New Roman"/>
          <w:lang w:val="es-ES"/>
        </w:rPr>
        <w:t xml:space="preserve"> iniciar un proyecto bajo el enfoque por competencias, s</w:t>
      </w:r>
      <w:r w:rsidRPr="00F01B15">
        <w:rPr>
          <w:rFonts w:eastAsia="Times New Roman" w:cs="Times New Roman"/>
          <w:lang w:val="es-ES"/>
        </w:rPr>
        <w:t xml:space="preserve">e requiere reflexionar sobre el tipo de maestro, </w:t>
      </w:r>
      <w:r w:rsidR="008620F0" w:rsidRPr="00F01B15">
        <w:rPr>
          <w:rFonts w:eastAsia="Times New Roman" w:cs="Times New Roman"/>
          <w:lang w:val="es-ES"/>
        </w:rPr>
        <w:t>qué escuela</w:t>
      </w:r>
      <w:r w:rsidRPr="00F01B15">
        <w:rPr>
          <w:rFonts w:eastAsia="Times New Roman" w:cs="Times New Roman"/>
          <w:lang w:val="es-ES"/>
        </w:rPr>
        <w:t xml:space="preserve"> es</w:t>
      </w:r>
      <w:r w:rsidR="008620F0" w:rsidRPr="00F01B15">
        <w:rPr>
          <w:rFonts w:eastAsia="Times New Roman" w:cs="Times New Roman"/>
          <w:lang w:val="es-ES"/>
        </w:rPr>
        <w:t xml:space="preserve"> y para qué tipo de sociedad. Como bien señala Cano, (2008) “el cambio en la enseñanza bajo este enfoque por competencias radica en </w:t>
      </w:r>
      <w:r w:rsidR="00AB3EC1" w:rsidRPr="00F01B15">
        <w:rPr>
          <w:rFonts w:eastAsia="Times New Roman" w:cs="Times New Roman"/>
          <w:lang w:val="es-ES"/>
        </w:rPr>
        <w:t>´</w:t>
      </w:r>
      <w:r w:rsidR="008620F0" w:rsidRPr="00F01B15">
        <w:rPr>
          <w:rFonts w:eastAsia="Times New Roman" w:cs="Times New Roman"/>
          <w:lang w:val="es-ES"/>
        </w:rPr>
        <w:t>cómo</w:t>
      </w:r>
      <w:r w:rsidR="00AB3EC1" w:rsidRPr="00F01B15">
        <w:rPr>
          <w:rFonts w:eastAsia="Times New Roman" w:cs="Times New Roman"/>
          <w:lang w:val="es-ES"/>
        </w:rPr>
        <w:t>´</w:t>
      </w:r>
      <w:r w:rsidR="008620F0" w:rsidRPr="00F01B15">
        <w:rPr>
          <w:rFonts w:eastAsia="Times New Roman" w:cs="Times New Roman"/>
          <w:lang w:val="es-ES"/>
        </w:rPr>
        <w:t xml:space="preserve"> se puede aprender de los contenidos en un contexto donde se accede de manera fácil a la información, lo cual afecta la planeación, la metodología y la evaluación” (p.10). Es</w:t>
      </w:r>
      <w:r w:rsidRPr="00F01B15">
        <w:rPr>
          <w:rFonts w:eastAsia="Times New Roman" w:cs="Times New Roman"/>
          <w:lang w:val="es-ES"/>
        </w:rPr>
        <w:t>to requiere nuevas tareas</w:t>
      </w:r>
      <w:r w:rsidR="008620F0" w:rsidRPr="00F01B15">
        <w:rPr>
          <w:rFonts w:eastAsia="Times New Roman" w:cs="Times New Roman"/>
          <w:lang w:val="es-ES"/>
        </w:rPr>
        <w:t xml:space="preserve">, como el </w:t>
      </w:r>
      <w:r w:rsidR="004915D3" w:rsidRPr="00F01B15">
        <w:rPr>
          <w:rFonts w:eastAsia="Times New Roman" w:cs="Times New Roman"/>
          <w:lang w:val="es-ES"/>
        </w:rPr>
        <w:t>trabajo colegiado, que conlleva</w:t>
      </w:r>
      <w:r w:rsidR="008620F0" w:rsidRPr="00F01B15">
        <w:rPr>
          <w:rFonts w:eastAsia="Times New Roman" w:cs="Times New Roman"/>
          <w:lang w:val="es-ES"/>
        </w:rPr>
        <w:t xml:space="preserve"> un cambio en la evaluación docente, centrado en el acceso</w:t>
      </w:r>
      <w:r w:rsidR="004915D3" w:rsidRPr="00F01B15">
        <w:rPr>
          <w:rFonts w:eastAsia="Times New Roman" w:cs="Times New Roman"/>
          <w:lang w:val="es-ES"/>
        </w:rPr>
        <w:t xml:space="preserve"> a la profesión, </w:t>
      </w:r>
      <w:r w:rsidR="004915D3" w:rsidRPr="00F01B15">
        <w:rPr>
          <w:rFonts w:eastAsia="Times New Roman" w:cs="Times New Roman"/>
          <w:lang w:val="es-ES"/>
        </w:rPr>
        <w:lastRenderedPageBreak/>
        <w:t>donde el evaluado demostrará que posee</w:t>
      </w:r>
      <w:r w:rsidR="008620F0" w:rsidRPr="00F01B15">
        <w:rPr>
          <w:rFonts w:eastAsia="Times New Roman" w:cs="Times New Roman"/>
          <w:lang w:val="es-ES"/>
        </w:rPr>
        <w:t xml:space="preserve"> las competencias, conocimiento y valores requeridos</w:t>
      </w:r>
      <w:r w:rsidR="00AB3EC1" w:rsidRPr="00F01B15">
        <w:rPr>
          <w:rFonts w:eastAsia="Times New Roman" w:cs="Times New Roman"/>
          <w:lang w:val="es-ES"/>
        </w:rPr>
        <w:t>,</w:t>
      </w:r>
      <w:r w:rsidR="008620F0" w:rsidRPr="00F01B15">
        <w:rPr>
          <w:rFonts w:eastAsia="Times New Roman" w:cs="Times New Roman"/>
          <w:lang w:val="es-ES"/>
        </w:rPr>
        <w:t xml:space="preserve"> así como los procesos desarrollados en su trabajo (Darling, 2002).</w:t>
      </w:r>
    </w:p>
    <w:p w:rsidR="004915D3" w:rsidRPr="00F01B15" w:rsidRDefault="004915D3" w:rsidP="00F01B15">
      <w:pPr>
        <w:spacing w:line="360" w:lineRule="auto"/>
        <w:ind w:left="-180"/>
        <w:jc w:val="both"/>
        <w:outlineLvl w:val="0"/>
        <w:rPr>
          <w:rFonts w:eastAsia="Times New Roman" w:cs="Times New Roman"/>
          <w:lang w:val="es-ES"/>
        </w:rPr>
      </w:pPr>
    </w:p>
    <w:p w:rsidR="00F562D0" w:rsidRPr="00F01B15" w:rsidRDefault="008620F0" w:rsidP="00F01B15">
      <w:pPr>
        <w:spacing w:line="360" w:lineRule="auto"/>
        <w:ind w:left="-180"/>
        <w:jc w:val="both"/>
        <w:outlineLvl w:val="0"/>
        <w:rPr>
          <w:rFonts w:eastAsia="Calibri" w:cs="Times New Roman"/>
          <w:b/>
          <w:lang w:val="es-ES" w:eastAsia="en-US"/>
        </w:rPr>
      </w:pPr>
      <w:r w:rsidRPr="00F01B15">
        <w:rPr>
          <w:rFonts w:eastAsia="Calibri" w:cs="Times New Roman"/>
          <w:b/>
          <w:lang w:val="es-ES" w:eastAsia="en-US"/>
        </w:rPr>
        <w:t>Metodología</w:t>
      </w:r>
    </w:p>
    <w:p w:rsidR="004C2B29" w:rsidRPr="00F01B15" w:rsidRDefault="008620F0" w:rsidP="00F01B15">
      <w:pPr>
        <w:spacing w:line="360" w:lineRule="auto"/>
        <w:ind w:left="-180"/>
        <w:jc w:val="both"/>
        <w:outlineLvl w:val="0"/>
        <w:rPr>
          <w:rFonts w:eastAsia="Times New Roman" w:cs="Times New Roman"/>
          <w:lang w:val="es-ES"/>
        </w:rPr>
      </w:pPr>
      <w:r w:rsidRPr="00F01B15">
        <w:rPr>
          <w:rFonts w:eastAsia="Times New Roman" w:cs="Times New Roman"/>
          <w:lang w:val="es-ES" w:eastAsia="en-US"/>
        </w:rPr>
        <w:t>La inv</w:t>
      </w:r>
      <w:r w:rsidR="004C2B29" w:rsidRPr="00F01B15">
        <w:rPr>
          <w:rFonts w:eastAsia="Times New Roman" w:cs="Times New Roman"/>
          <w:lang w:val="es-ES" w:eastAsia="en-US"/>
        </w:rPr>
        <w:t>estigación se realizó durante</w:t>
      </w:r>
      <w:r w:rsidR="007A76D2" w:rsidRPr="00F01B15">
        <w:rPr>
          <w:rFonts w:eastAsia="Times New Roman" w:cs="Times New Roman"/>
          <w:lang w:val="es-ES" w:eastAsia="en-US"/>
        </w:rPr>
        <w:t xml:space="preserve"> 2012 con docentes de diez</w:t>
      </w:r>
      <w:r w:rsidRPr="00F01B15">
        <w:rPr>
          <w:rFonts w:eastAsia="Times New Roman" w:cs="Times New Roman"/>
          <w:lang w:val="es-ES" w:eastAsia="en-US"/>
        </w:rPr>
        <w:t xml:space="preserve"> programas de la universidad, e</w:t>
      </w:r>
      <w:r w:rsidR="004C2B29" w:rsidRPr="00F01B15">
        <w:rPr>
          <w:rFonts w:eastAsia="Times New Roman" w:cs="Times New Roman"/>
          <w:lang w:val="es-ES" w:eastAsia="en-US"/>
        </w:rPr>
        <w:t>n 2013</w:t>
      </w:r>
      <w:r w:rsidR="00746AF2" w:rsidRPr="00F01B15">
        <w:rPr>
          <w:rFonts w:eastAsia="Times New Roman" w:cs="Times New Roman"/>
          <w:lang w:val="es-ES" w:eastAsia="en-US"/>
        </w:rPr>
        <w:t xml:space="preserve"> con</w:t>
      </w:r>
      <w:r w:rsidR="007A76D2" w:rsidRPr="00F01B15">
        <w:rPr>
          <w:rFonts w:eastAsia="Times New Roman" w:cs="Times New Roman"/>
          <w:lang w:val="es-ES" w:eastAsia="en-US"/>
        </w:rPr>
        <w:t xml:space="preserve"> cinco programas que se imparten en dos</w:t>
      </w:r>
      <w:r w:rsidRPr="00F01B15">
        <w:rPr>
          <w:rFonts w:eastAsia="Times New Roman" w:cs="Times New Roman"/>
          <w:lang w:val="es-ES" w:eastAsia="en-US"/>
        </w:rPr>
        <w:t xml:space="preserve"> </w:t>
      </w:r>
      <w:r w:rsidR="004C2B29" w:rsidRPr="00F01B15">
        <w:rPr>
          <w:rFonts w:eastAsia="Times New Roman" w:cs="Times New Roman"/>
          <w:lang w:val="es-ES" w:eastAsia="en-US"/>
        </w:rPr>
        <w:t xml:space="preserve">institutos </w:t>
      </w:r>
      <w:r w:rsidRPr="00F01B15">
        <w:rPr>
          <w:rFonts w:eastAsia="Times New Roman" w:cs="Times New Roman"/>
          <w:lang w:val="es-ES" w:eastAsia="en-US"/>
        </w:rPr>
        <w:t>tecnológicos y en</w:t>
      </w:r>
      <w:r w:rsidR="004C2B29" w:rsidRPr="00F01B15">
        <w:rPr>
          <w:rFonts w:eastAsia="Times New Roman" w:cs="Times New Roman"/>
          <w:lang w:val="es-ES" w:eastAsia="en-US"/>
        </w:rPr>
        <w:t xml:space="preserve"> </w:t>
      </w:r>
      <w:r w:rsidR="007A76D2" w:rsidRPr="00F01B15">
        <w:rPr>
          <w:rFonts w:eastAsia="Times New Roman" w:cs="Times New Roman"/>
          <w:lang w:val="es-ES" w:eastAsia="en-US"/>
        </w:rPr>
        <w:t>cuatro</w:t>
      </w:r>
      <w:r w:rsidR="004C2B29" w:rsidRPr="00F01B15">
        <w:rPr>
          <w:rFonts w:eastAsia="Times New Roman" w:cs="Times New Roman"/>
          <w:lang w:val="es-ES" w:eastAsia="en-US"/>
        </w:rPr>
        <w:t xml:space="preserve"> escuelas normales</w:t>
      </w:r>
      <w:r w:rsidR="00746AF2" w:rsidRPr="00F01B15">
        <w:rPr>
          <w:rFonts w:eastAsia="Times New Roman" w:cs="Times New Roman"/>
          <w:lang w:val="es-ES" w:eastAsia="en-US"/>
        </w:rPr>
        <w:t>, en</w:t>
      </w:r>
      <w:r w:rsidR="004C2B29" w:rsidRPr="00F01B15">
        <w:rPr>
          <w:rFonts w:eastAsia="Times New Roman" w:cs="Times New Roman"/>
          <w:lang w:val="es-ES" w:eastAsia="en-US"/>
        </w:rPr>
        <w:t xml:space="preserve"> 2014</w:t>
      </w:r>
      <w:r w:rsidR="007A76D2" w:rsidRPr="00F01B15">
        <w:rPr>
          <w:rFonts w:eastAsia="Times New Roman" w:cs="Times New Roman"/>
          <w:lang w:val="es-ES" w:eastAsia="en-US"/>
        </w:rPr>
        <w:t xml:space="preserve"> </w:t>
      </w:r>
      <w:r w:rsidR="004C2B29" w:rsidRPr="00F01B15">
        <w:rPr>
          <w:rFonts w:eastAsia="Times New Roman" w:cs="Times New Roman"/>
          <w:lang w:val="es-ES" w:eastAsia="en-US"/>
        </w:rPr>
        <w:t xml:space="preserve">la evaluación no se realizó </w:t>
      </w:r>
      <w:r w:rsidRPr="00F01B15">
        <w:rPr>
          <w:rFonts w:eastAsia="Times New Roman" w:cs="Times New Roman"/>
          <w:lang w:val="es-ES" w:eastAsia="en-US"/>
        </w:rPr>
        <w:t xml:space="preserve"> por programa ya que los docentes impa</w:t>
      </w:r>
      <w:r w:rsidR="00C8001F" w:rsidRPr="00F01B15">
        <w:rPr>
          <w:rFonts w:eastAsia="Times New Roman" w:cs="Times New Roman"/>
          <w:lang w:val="es-ES" w:eastAsia="en-US"/>
        </w:rPr>
        <w:t>rten clases en todos estos. El</w:t>
      </w:r>
      <w:r w:rsidRPr="00F01B15">
        <w:rPr>
          <w:rFonts w:eastAsia="Calibri" w:cs="Times New Roman"/>
          <w:bCs/>
          <w:lang w:val="es-ES"/>
        </w:rPr>
        <w:t xml:space="preserve"> estudio f</w:t>
      </w:r>
      <w:r w:rsidR="007A76D2" w:rsidRPr="00F01B15">
        <w:rPr>
          <w:rFonts w:eastAsia="Calibri" w:cs="Times New Roman"/>
          <w:bCs/>
          <w:lang w:val="es-ES"/>
        </w:rPr>
        <w:t xml:space="preserve">ue descriptivo y longitudinal. </w:t>
      </w:r>
      <w:r w:rsidRPr="00F01B15">
        <w:rPr>
          <w:rFonts w:eastAsia="Calibri" w:cs="Times New Roman"/>
          <w:bCs/>
          <w:lang w:val="es-ES"/>
        </w:rPr>
        <w:t xml:space="preserve">Se tomó una muestra </w:t>
      </w:r>
      <w:r w:rsidR="009956C8" w:rsidRPr="00F01B15">
        <w:rPr>
          <w:rFonts w:eastAsia="Calibri" w:cs="Times New Roman"/>
          <w:bCs/>
          <w:lang w:val="es-ES"/>
        </w:rPr>
        <w:t xml:space="preserve">aleatoria de académicos por institución de </w:t>
      </w:r>
      <w:r w:rsidRPr="00F01B15">
        <w:rPr>
          <w:rFonts w:eastAsia="Calibri" w:cs="Times New Roman"/>
          <w:bCs/>
          <w:lang w:val="es-ES"/>
        </w:rPr>
        <w:t>3</w:t>
      </w:r>
      <w:r w:rsidR="00FF3C1B" w:rsidRPr="00F01B15">
        <w:rPr>
          <w:rFonts w:eastAsia="Calibri" w:cs="Times New Roman"/>
          <w:bCs/>
          <w:lang w:val="es-ES"/>
        </w:rPr>
        <w:t>7</w:t>
      </w:r>
      <w:r w:rsidR="00746AF2" w:rsidRPr="00F01B15">
        <w:rPr>
          <w:rFonts w:eastAsia="Calibri" w:cs="Times New Roman"/>
          <w:bCs/>
          <w:lang w:val="es-ES"/>
        </w:rPr>
        <w:t xml:space="preserve"> </w:t>
      </w:r>
      <w:r w:rsidR="00FF3C1B" w:rsidRPr="00F01B15">
        <w:rPr>
          <w:rFonts w:eastAsia="Calibri" w:cs="Times New Roman"/>
          <w:bCs/>
          <w:lang w:val="es-ES"/>
        </w:rPr>
        <w:t xml:space="preserve">%. La muestra estudiantil </w:t>
      </w:r>
      <w:r w:rsidR="007A76D2" w:rsidRPr="00F01B15">
        <w:rPr>
          <w:rFonts w:eastAsia="Calibri" w:cs="Times New Roman"/>
          <w:bCs/>
          <w:lang w:val="es-ES"/>
        </w:rPr>
        <w:t xml:space="preserve"> </w:t>
      </w:r>
      <w:r w:rsidR="00746AF2" w:rsidRPr="00F01B15">
        <w:rPr>
          <w:rFonts w:eastAsia="Calibri" w:cs="Times New Roman"/>
          <w:bCs/>
          <w:lang w:val="es-ES"/>
        </w:rPr>
        <w:t xml:space="preserve">fue de </w:t>
      </w:r>
      <w:r w:rsidRPr="00F01B15">
        <w:rPr>
          <w:rFonts w:eastAsia="Calibri" w:cs="Times New Roman"/>
          <w:bCs/>
          <w:lang w:val="es-ES"/>
        </w:rPr>
        <w:t>41</w:t>
      </w:r>
      <w:r w:rsidR="00746AF2" w:rsidRPr="00F01B15">
        <w:rPr>
          <w:rFonts w:eastAsia="Calibri" w:cs="Times New Roman"/>
          <w:bCs/>
          <w:lang w:val="es-ES"/>
        </w:rPr>
        <w:t xml:space="preserve"> </w:t>
      </w:r>
      <w:r w:rsidRPr="00F01B15">
        <w:rPr>
          <w:rFonts w:eastAsia="Calibri" w:cs="Times New Roman"/>
          <w:bCs/>
          <w:lang w:val="es-ES"/>
        </w:rPr>
        <w:t>% en cada c</w:t>
      </w:r>
      <w:r w:rsidR="007A76D2" w:rsidRPr="00F01B15">
        <w:rPr>
          <w:rFonts w:eastAsia="Calibri" w:cs="Times New Roman"/>
          <w:bCs/>
          <w:lang w:val="es-ES"/>
        </w:rPr>
        <w:t>entro educativo</w:t>
      </w:r>
      <w:r w:rsidR="00746AF2" w:rsidRPr="00F01B15">
        <w:rPr>
          <w:rFonts w:eastAsia="Calibri" w:cs="Times New Roman"/>
          <w:bCs/>
          <w:lang w:val="es-ES"/>
        </w:rPr>
        <w:t>. C</w:t>
      </w:r>
      <w:proofErr w:type="spellStart"/>
      <w:r w:rsidR="00A52A87" w:rsidRPr="00F01B15">
        <w:rPr>
          <w:rFonts w:eastAsia="Calibri" w:cs="Times New Roman"/>
          <w:bCs/>
        </w:rPr>
        <w:t>ada</w:t>
      </w:r>
      <w:proofErr w:type="spellEnd"/>
      <w:r w:rsidR="00A52A87" w:rsidRPr="00F01B15">
        <w:rPr>
          <w:rFonts w:eastAsia="Calibri" w:cs="Times New Roman"/>
          <w:bCs/>
        </w:rPr>
        <w:t xml:space="preserve"> profesor fue evaluado por 10 estudiantes</w:t>
      </w:r>
      <w:r w:rsidR="00746AF2" w:rsidRPr="00F01B15">
        <w:rPr>
          <w:rFonts w:eastAsia="Calibri" w:cs="Times New Roman"/>
          <w:bCs/>
        </w:rPr>
        <w:t>, quienes</w:t>
      </w:r>
      <w:r w:rsidR="007A76D2" w:rsidRPr="00F01B15">
        <w:rPr>
          <w:rFonts w:eastAsia="Calibri" w:cs="Times New Roman"/>
          <w:bCs/>
          <w:lang w:val="es-ES"/>
        </w:rPr>
        <w:t xml:space="preserve"> </w:t>
      </w:r>
      <w:r w:rsidRPr="00F01B15">
        <w:rPr>
          <w:rFonts w:eastAsia="Calibri" w:cs="Times New Roman"/>
          <w:bCs/>
          <w:lang w:val="es-ES"/>
        </w:rPr>
        <w:t xml:space="preserve">fueron </w:t>
      </w:r>
      <w:r w:rsidRPr="00F01B15">
        <w:rPr>
          <w:rFonts w:eastAsia="Times New Roman" w:cs="Times New Roman"/>
          <w:lang w:val="es-ES"/>
        </w:rPr>
        <w:t>selecci</w:t>
      </w:r>
      <w:r w:rsidR="009956C8" w:rsidRPr="00F01B15">
        <w:rPr>
          <w:rFonts w:eastAsia="Times New Roman" w:cs="Times New Roman"/>
          <w:lang w:val="es-ES"/>
        </w:rPr>
        <w:t>onados aleatoriamente en</w:t>
      </w:r>
      <w:r w:rsidRPr="00F01B15">
        <w:rPr>
          <w:rFonts w:eastAsia="Times New Roman" w:cs="Times New Roman"/>
          <w:lang w:val="es-ES"/>
        </w:rPr>
        <w:t xml:space="preserve"> los turnos matutino y vespertino.</w:t>
      </w:r>
    </w:p>
    <w:p w:rsidR="00A52A87" w:rsidRPr="00F01B15" w:rsidRDefault="00A52A87" w:rsidP="00F01B15">
      <w:pPr>
        <w:spacing w:line="360" w:lineRule="auto"/>
        <w:ind w:left="-180"/>
        <w:jc w:val="both"/>
        <w:outlineLvl w:val="0"/>
        <w:rPr>
          <w:rFonts w:eastAsia="Times New Roman" w:cs="Times New Roman"/>
          <w:lang w:val="es-ES"/>
        </w:rPr>
      </w:pPr>
    </w:p>
    <w:p w:rsidR="008620F0" w:rsidRPr="00F01B15" w:rsidRDefault="008620F0" w:rsidP="00F01B15">
      <w:pPr>
        <w:spacing w:line="360" w:lineRule="auto"/>
        <w:ind w:left="-180"/>
        <w:jc w:val="both"/>
        <w:outlineLvl w:val="0"/>
        <w:rPr>
          <w:rFonts w:eastAsia="Calibri" w:cs="Times New Roman"/>
          <w:sz w:val="20"/>
          <w:szCs w:val="20"/>
          <w:lang w:val="es-CO" w:eastAsia="en-US"/>
        </w:rPr>
      </w:pPr>
      <w:r w:rsidRPr="00F01B15">
        <w:rPr>
          <w:rFonts w:eastAsia="Calibri" w:cs="Times New Roman"/>
          <w:bCs/>
          <w:lang w:val="es-ES"/>
        </w:rPr>
        <w:t>Las variables  estudiadas fueron:</w:t>
      </w:r>
      <w:r w:rsidRPr="00F01B15">
        <w:rPr>
          <w:rFonts w:eastAsia="Calibri" w:cs="Times New Roman"/>
          <w:lang w:val="es-ES" w:eastAsia="en-US"/>
        </w:rPr>
        <w:t xml:space="preserve"> a</w:t>
      </w:r>
      <w:r w:rsidRPr="00F01B15">
        <w:rPr>
          <w:rFonts w:eastAsia="Calibri" w:cs="Times New Roman"/>
          <w:bCs/>
          <w:lang w:val="es-ES" w:eastAsia="en-US"/>
        </w:rPr>
        <w:t xml:space="preserve">) competencias genéricas </w:t>
      </w:r>
      <w:r w:rsidRPr="00F01B15">
        <w:rPr>
          <w:rFonts w:eastAsia="Calibri" w:cs="Times New Roman"/>
          <w:bCs/>
          <w:i/>
          <w:iCs/>
          <w:lang w:val="es-ES" w:eastAsia="en-US"/>
        </w:rPr>
        <w:t>en cada dimensión de forma general</w:t>
      </w:r>
      <w:r w:rsidRPr="00F01B15">
        <w:rPr>
          <w:rFonts w:eastAsia="Calibri" w:cs="Times New Roman"/>
          <w:bCs/>
          <w:lang w:val="es-ES" w:eastAsia="en-US"/>
        </w:rPr>
        <w:t xml:space="preserve"> que tienen los docentes en opinión de los estudiantes en el estado de Guerrero; b)</w:t>
      </w:r>
      <w:r w:rsidRPr="00F01B15">
        <w:rPr>
          <w:rFonts w:eastAsia="+mn-ea" w:cs="Times New Roman"/>
          <w:bCs/>
          <w:kern w:val="24"/>
          <w:lang w:val="es-ES"/>
        </w:rPr>
        <w:t xml:space="preserve"> </w:t>
      </w:r>
      <w:r w:rsidRPr="00F01B15">
        <w:rPr>
          <w:rFonts w:eastAsia="Calibri" w:cs="Times New Roman"/>
          <w:bCs/>
          <w:lang w:val="es-ES" w:eastAsia="en-US"/>
        </w:rPr>
        <w:t xml:space="preserve">comportamiento de las competencias genéricas en los docentes, por </w:t>
      </w:r>
      <w:proofErr w:type="spellStart"/>
      <w:r w:rsidRPr="00F01B15">
        <w:rPr>
          <w:rFonts w:eastAsia="Calibri" w:cs="Times New Roman"/>
          <w:bCs/>
          <w:lang w:val="es-ES" w:eastAsia="en-US"/>
        </w:rPr>
        <w:t>subdimensión</w:t>
      </w:r>
      <w:proofErr w:type="spellEnd"/>
      <w:r w:rsidRPr="00F01B15">
        <w:rPr>
          <w:rFonts w:eastAsia="Calibri" w:cs="Times New Roman"/>
          <w:bCs/>
          <w:lang w:val="es-ES" w:eastAsia="en-US"/>
        </w:rPr>
        <w:t xml:space="preserve"> de forma general; c) comportamiento de las competencias genéricas </w:t>
      </w:r>
      <w:r w:rsidR="00F51A51" w:rsidRPr="00F01B15">
        <w:rPr>
          <w:rFonts w:eastAsia="Calibri" w:cs="Times New Roman"/>
          <w:bCs/>
          <w:lang w:val="es-ES" w:eastAsia="en-US"/>
        </w:rPr>
        <w:t xml:space="preserve">de forma general </w:t>
      </w:r>
      <w:r w:rsidRPr="00F01B15">
        <w:rPr>
          <w:rFonts w:eastAsia="Calibri" w:cs="Times New Roman"/>
          <w:bCs/>
          <w:lang w:val="es-ES" w:eastAsia="en-US"/>
        </w:rPr>
        <w:t>en los docentes</w:t>
      </w:r>
      <w:r w:rsidR="00F51A51" w:rsidRPr="00F01B15">
        <w:rPr>
          <w:rFonts w:eastAsia="Calibri" w:cs="Times New Roman"/>
          <w:bCs/>
          <w:lang w:val="es-ES" w:eastAsia="en-US"/>
        </w:rPr>
        <w:t xml:space="preserve"> por programa educativo en cada institución</w:t>
      </w:r>
      <w:r w:rsidRPr="00F01B15">
        <w:rPr>
          <w:rFonts w:eastAsia="Calibri" w:cs="Times New Roman"/>
          <w:bCs/>
          <w:lang w:val="es-ES" w:eastAsia="en-US"/>
        </w:rPr>
        <w:t>; d) fortalezas y debilidades en los indicadores de cada dimensión</w:t>
      </w:r>
      <w:r w:rsidR="00FF3C1B" w:rsidRPr="00F01B15">
        <w:rPr>
          <w:rFonts w:eastAsia="Calibri" w:cs="Times New Roman"/>
          <w:bCs/>
          <w:lang w:val="es-ES" w:eastAsia="en-US"/>
        </w:rPr>
        <w:t>; esto se realizó en cada centro educativo</w:t>
      </w:r>
      <w:r w:rsidRPr="00F01B15">
        <w:rPr>
          <w:rFonts w:eastAsia="Calibri" w:cs="Times New Roman"/>
          <w:bCs/>
          <w:lang w:val="es-ES" w:eastAsia="en-US"/>
        </w:rPr>
        <w:t xml:space="preserve">. El instrumento utilizado fue el Cuestionario </w:t>
      </w:r>
      <w:r w:rsidRPr="00F01B15">
        <w:rPr>
          <w:rFonts w:eastAsia="Calibri" w:cs="Times New Roman"/>
          <w:bCs/>
          <w:i/>
          <w:iCs/>
          <w:lang w:val="es-ES" w:eastAsia="en-US"/>
        </w:rPr>
        <w:t>de Evaluación de la Competencia Docente con Base en la Opinión de los Alumnos, de Calderón (2010), de la Universidad de Baja California. C</w:t>
      </w:r>
      <w:r w:rsidRPr="00F01B15">
        <w:rPr>
          <w:rFonts w:eastAsia="Calibri" w:cs="Times New Roman"/>
          <w:bCs/>
          <w:lang w:val="es-ES" w:eastAsia="en-US"/>
        </w:rPr>
        <w:t xml:space="preserve">onsta de 35 reactivos con formato de respuesta en escala </w:t>
      </w:r>
      <w:r w:rsidR="00DE5CED" w:rsidRPr="00F01B15">
        <w:rPr>
          <w:rFonts w:eastAsia="Calibri" w:cs="Times New Roman"/>
          <w:bCs/>
          <w:lang w:val="es-ES" w:eastAsia="en-US"/>
        </w:rPr>
        <w:t>L</w:t>
      </w:r>
      <w:r w:rsidRPr="00F01B15">
        <w:rPr>
          <w:rFonts w:eastAsia="Calibri" w:cs="Times New Roman"/>
          <w:bCs/>
          <w:lang w:val="es-ES" w:eastAsia="en-US"/>
        </w:rPr>
        <w:t xml:space="preserve">ikert de </w:t>
      </w:r>
      <w:r w:rsidR="00FF3C1B" w:rsidRPr="00F01B15">
        <w:rPr>
          <w:rFonts w:eastAsia="Calibri" w:cs="Times New Roman"/>
          <w:bCs/>
          <w:lang w:val="es-ES" w:eastAsia="en-US"/>
        </w:rPr>
        <w:t>cinco</w:t>
      </w:r>
      <w:r w:rsidRPr="00F01B15">
        <w:rPr>
          <w:rFonts w:eastAsia="Calibri" w:cs="Times New Roman"/>
          <w:bCs/>
          <w:lang w:val="es-ES" w:eastAsia="en-US"/>
        </w:rPr>
        <w:t xml:space="preserve"> categorías que va de nunca a siempre</w:t>
      </w:r>
      <w:r w:rsidR="00DE5CED" w:rsidRPr="00F01B15">
        <w:rPr>
          <w:rFonts w:eastAsia="Calibri" w:cs="Times New Roman"/>
          <w:bCs/>
          <w:lang w:val="es-ES" w:eastAsia="en-US"/>
        </w:rPr>
        <w:t>,</w:t>
      </w:r>
      <w:r w:rsidRPr="00F01B15">
        <w:rPr>
          <w:rFonts w:eastAsia="Calibri" w:cs="Times New Roman"/>
          <w:bCs/>
          <w:lang w:val="es-ES" w:eastAsia="en-US"/>
        </w:rPr>
        <w:t xml:space="preserve"> estructurado en tres dimensiones: Planeación, Conducción y Valoración del Proceso de Aprendizaje</w:t>
      </w:r>
      <w:r w:rsidR="00DE5CED" w:rsidRPr="00F01B15">
        <w:rPr>
          <w:rFonts w:eastAsia="Calibri" w:cs="Times New Roman"/>
          <w:bCs/>
          <w:lang w:val="es-ES" w:eastAsia="en-US"/>
        </w:rPr>
        <w:t>,</w:t>
      </w:r>
      <w:r w:rsidRPr="00F01B15">
        <w:rPr>
          <w:rFonts w:eastAsia="Calibri" w:cs="Times New Roman"/>
          <w:bCs/>
          <w:lang w:val="es-ES" w:eastAsia="en-US"/>
        </w:rPr>
        <w:t xml:space="preserve"> y siete sub-dimensiones: </w:t>
      </w:r>
      <w:r w:rsidRPr="00F01B15">
        <w:rPr>
          <w:rFonts w:eastAsia="Calibri" w:cs="Times New Roman"/>
          <w:lang w:val="es-CO" w:eastAsia="en-US"/>
        </w:rPr>
        <w:t xml:space="preserve">dominio de los saberes de la disciplina, planeación del curso de asignatura, gestión del progreso de los aprendizaje, </w:t>
      </w:r>
      <w:r w:rsidR="00DE5CED" w:rsidRPr="00F01B15">
        <w:rPr>
          <w:rFonts w:eastAsia="Calibri" w:cs="Times New Roman"/>
          <w:lang w:val="es-CO" w:eastAsia="en-US"/>
        </w:rPr>
        <w:t>i</w:t>
      </w:r>
      <w:r w:rsidRPr="00F01B15">
        <w:rPr>
          <w:rFonts w:eastAsia="Calibri" w:cs="Times New Roman"/>
          <w:lang w:val="es-CO" w:eastAsia="en-US"/>
        </w:rPr>
        <w:t>nteracción didáctica en e</w:t>
      </w:r>
      <w:r w:rsidR="00C8001F" w:rsidRPr="00F01B15">
        <w:rPr>
          <w:rFonts w:eastAsia="Calibri" w:cs="Times New Roman"/>
          <w:lang w:val="es-CO" w:eastAsia="en-US"/>
        </w:rPr>
        <w:t xml:space="preserve">l aula, comunicación, valores, </w:t>
      </w:r>
      <w:r w:rsidR="001F183D" w:rsidRPr="00F01B15">
        <w:rPr>
          <w:rFonts w:eastAsia="Calibri" w:cs="Times New Roman"/>
          <w:lang w:val="es-CO" w:eastAsia="en-US"/>
        </w:rPr>
        <w:t xml:space="preserve">y </w:t>
      </w:r>
      <w:r w:rsidR="00C8001F" w:rsidRPr="00F01B15">
        <w:rPr>
          <w:rFonts w:eastAsia="Calibri" w:cs="Times New Roman"/>
          <w:lang w:val="es-CO" w:eastAsia="en-US"/>
        </w:rPr>
        <w:t>e</w:t>
      </w:r>
      <w:r w:rsidRPr="00F01B15">
        <w:rPr>
          <w:rFonts w:eastAsia="Calibri" w:cs="Times New Roman"/>
          <w:lang w:val="es-CO" w:eastAsia="en-US"/>
        </w:rPr>
        <w:t>valuación del proceso de enseñanza-aprendizaje</w:t>
      </w:r>
      <w:r w:rsidRPr="00F01B15">
        <w:rPr>
          <w:rFonts w:eastAsia="Calibri" w:cs="Times New Roman"/>
          <w:sz w:val="20"/>
          <w:szCs w:val="20"/>
          <w:lang w:val="es-CO" w:eastAsia="en-US"/>
        </w:rPr>
        <w:t>.</w:t>
      </w:r>
    </w:p>
    <w:p w:rsidR="008620F0" w:rsidRDefault="00C8001F" w:rsidP="00F01B15">
      <w:pPr>
        <w:spacing w:line="360" w:lineRule="auto"/>
        <w:ind w:left="-180"/>
        <w:jc w:val="both"/>
        <w:outlineLvl w:val="0"/>
        <w:rPr>
          <w:rFonts w:eastAsia="Times New Roman" w:cs="Times New Roman"/>
          <w:lang w:val="es-ES"/>
        </w:rPr>
      </w:pPr>
      <w:r w:rsidRPr="00F01B15">
        <w:rPr>
          <w:rFonts w:eastAsia="Times New Roman" w:cs="Times New Roman"/>
          <w:lang w:val="es-ES"/>
        </w:rPr>
        <w:t>Para evaluar</w:t>
      </w:r>
      <w:r w:rsidR="008620F0" w:rsidRPr="00F01B15">
        <w:rPr>
          <w:rFonts w:eastAsia="Times New Roman" w:cs="Times New Roman"/>
          <w:lang w:val="es-ES"/>
        </w:rPr>
        <w:t xml:space="preserve"> las competencias en las distintas dimensiones y </w:t>
      </w:r>
      <w:proofErr w:type="spellStart"/>
      <w:r w:rsidR="008620F0" w:rsidRPr="00F01B15">
        <w:rPr>
          <w:rFonts w:eastAsia="Times New Roman" w:cs="Times New Roman"/>
          <w:lang w:val="es-ES"/>
        </w:rPr>
        <w:t>subdimensiones</w:t>
      </w:r>
      <w:proofErr w:type="spellEnd"/>
      <w:r w:rsidR="008620F0" w:rsidRPr="00F01B15">
        <w:rPr>
          <w:rFonts w:eastAsia="Times New Roman" w:cs="Times New Roman"/>
          <w:lang w:val="es-ES"/>
        </w:rPr>
        <w:t>, se tomaron</w:t>
      </w:r>
      <w:r w:rsidRPr="00F01B15">
        <w:rPr>
          <w:rFonts w:eastAsia="Times New Roman" w:cs="Times New Roman"/>
          <w:lang w:val="es-ES"/>
        </w:rPr>
        <w:t xml:space="preserve"> en cuenta</w:t>
      </w:r>
      <w:r w:rsidR="008620F0" w:rsidRPr="00F01B15">
        <w:rPr>
          <w:rFonts w:eastAsia="Times New Roman" w:cs="Times New Roman"/>
          <w:lang w:val="es-ES"/>
        </w:rPr>
        <w:t xml:space="preserve"> los valores de</w:t>
      </w:r>
      <w:r w:rsidRPr="00F01B15">
        <w:rPr>
          <w:rFonts w:eastAsia="Times New Roman" w:cs="Times New Roman"/>
          <w:lang w:val="es-ES"/>
        </w:rPr>
        <w:t xml:space="preserve"> la escala de Likert que contiene el</w:t>
      </w:r>
      <w:r w:rsidR="008620F0" w:rsidRPr="00F01B15">
        <w:rPr>
          <w:rFonts w:eastAsia="Times New Roman" w:cs="Times New Roman"/>
          <w:lang w:val="es-ES"/>
        </w:rPr>
        <w:t xml:space="preserve"> cuestionario</w:t>
      </w:r>
      <w:r w:rsidRPr="00F01B15">
        <w:rPr>
          <w:rFonts w:eastAsia="Times New Roman" w:cs="Times New Roman"/>
          <w:lang w:val="es-ES"/>
        </w:rPr>
        <w:t xml:space="preserve"> </w:t>
      </w:r>
      <w:r w:rsidR="008620F0" w:rsidRPr="00F01B15">
        <w:rPr>
          <w:rFonts w:eastAsia="Times New Roman" w:cs="Times New Roman"/>
          <w:lang w:val="es-ES"/>
        </w:rPr>
        <w:t xml:space="preserve">(1 = Nunca, 2 = Casi nunca, 3 = Algunas veces, 4 = Casi siempre, 5 = Siempre). Posteriormente la información se convirtió a una escala numérica </w:t>
      </w:r>
      <w:r w:rsidR="001F183D" w:rsidRPr="00F01B15">
        <w:rPr>
          <w:rFonts w:eastAsia="Times New Roman" w:cs="Times New Roman"/>
          <w:lang w:val="es-ES"/>
        </w:rPr>
        <w:t>(</w:t>
      </w:r>
      <w:proofErr w:type="spellStart"/>
      <w:r w:rsidR="008620F0" w:rsidRPr="00F01B15">
        <w:rPr>
          <w:rFonts w:eastAsia="Times New Roman" w:cs="Times New Roman"/>
          <w:lang w:val="es-ES"/>
        </w:rPr>
        <w:t>Sampieri</w:t>
      </w:r>
      <w:proofErr w:type="spellEnd"/>
      <w:r w:rsidR="008620F0" w:rsidRPr="00F01B15">
        <w:rPr>
          <w:rFonts w:eastAsia="Times New Roman" w:cs="Times New Roman"/>
          <w:lang w:val="es-ES"/>
        </w:rPr>
        <w:t>, 2006 p: 373). Se partió de señalar en cada d</w:t>
      </w:r>
      <w:r w:rsidRPr="00F01B15">
        <w:rPr>
          <w:rFonts w:eastAsia="Times New Roman" w:cs="Times New Roman"/>
          <w:lang w:val="es-ES"/>
        </w:rPr>
        <w:t xml:space="preserve">imensión, la puntuación mínima </w:t>
      </w:r>
      <w:r w:rsidR="008620F0" w:rsidRPr="00F01B15">
        <w:rPr>
          <w:rFonts w:eastAsia="Times New Roman" w:cs="Times New Roman"/>
          <w:lang w:val="es-ES"/>
        </w:rPr>
        <w:t>de 35</w:t>
      </w:r>
      <w:r w:rsidRPr="00F01B15">
        <w:rPr>
          <w:rFonts w:eastAsia="Times New Roman" w:cs="Times New Roman"/>
          <w:lang w:val="es-ES"/>
        </w:rPr>
        <w:t xml:space="preserve"> (1,1,1,1,1,….), en caso de que </w:t>
      </w:r>
      <w:r w:rsidR="008620F0" w:rsidRPr="00F01B15">
        <w:rPr>
          <w:rFonts w:eastAsia="Times New Roman" w:cs="Times New Roman"/>
          <w:lang w:val="es-ES"/>
        </w:rPr>
        <w:t xml:space="preserve">todos los </w:t>
      </w:r>
      <w:r w:rsidRPr="00F01B15">
        <w:rPr>
          <w:rFonts w:eastAsia="Times New Roman" w:cs="Times New Roman"/>
          <w:lang w:val="es-ES"/>
        </w:rPr>
        <w:t>estudiantes contestaran uno</w:t>
      </w:r>
      <w:r w:rsidR="00DE5CED" w:rsidRPr="00F01B15">
        <w:rPr>
          <w:rFonts w:eastAsia="Times New Roman" w:cs="Times New Roman"/>
          <w:lang w:val="es-ES"/>
        </w:rPr>
        <w:t>,</w:t>
      </w:r>
      <w:r w:rsidRPr="00F01B15">
        <w:rPr>
          <w:rFonts w:eastAsia="Times New Roman" w:cs="Times New Roman"/>
          <w:lang w:val="es-ES"/>
        </w:rPr>
        <w:t xml:space="preserve"> y la máxima de </w:t>
      </w:r>
      <w:r w:rsidR="008620F0" w:rsidRPr="00F01B15">
        <w:rPr>
          <w:rFonts w:eastAsia="Times New Roman" w:cs="Times New Roman"/>
          <w:lang w:val="es-ES"/>
        </w:rPr>
        <w:t>175 (5,5,5,5,5………)</w:t>
      </w:r>
      <w:r w:rsidR="001F183D" w:rsidRPr="00F01B15">
        <w:rPr>
          <w:rFonts w:eastAsia="Times New Roman" w:cs="Times New Roman"/>
          <w:lang w:val="es-ES"/>
        </w:rPr>
        <w:t>,</w:t>
      </w:r>
      <w:r w:rsidR="008620F0" w:rsidRPr="00F01B15">
        <w:rPr>
          <w:rFonts w:eastAsia="Times New Roman" w:cs="Times New Roman"/>
          <w:lang w:val="es-ES"/>
        </w:rPr>
        <w:t xml:space="preserve"> en caso </w:t>
      </w:r>
      <w:r w:rsidR="00DE5CED" w:rsidRPr="00F01B15">
        <w:rPr>
          <w:rFonts w:eastAsia="Times New Roman" w:cs="Times New Roman"/>
          <w:lang w:val="es-ES"/>
        </w:rPr>
        <w:t xml:space="preserve">de </w:t>
      </w:r>
      <w:r w:rsidR="008620F0" w:rsidRPr="00F01B15">
        <w:rPr>
          <w:rFonts w:eastAsia="Times New Roman" w:cs="Times New Roman"/>
          <w:lang w:val="es-ES"/>
        </w:rPr>
        <w:t xml:space="preserve">que todos contestaran cinco, por existir 35 afirmaciones. A </w:t>
      </w:r>
      <w:r w:rsidR="008620F0" w:rsidRPr="00F01B15">
        <w:rPr>
          <w:rFonts w:eastAsia="Times New Roman" w:cs="Times New Roman"/>
          <w:lang w:val="es-ES"/>
        </w:rPr>
        <w:lastRenderedPageBreak/>
        <w:t xml:space="preserve">partir de </w:t>
      </w:r>
      <w:r w:rsidR="00DE5CED" w:rsidRPr="00F01B15">
        <w:rPr>
          <w:rFonts w:eastAsia="Times New Roman" w:cs="Times New Roman"/>
          <w:lang w:val="es-ES"/>
        </w:rPr>
        <w:t>e</w:t>
      </w:r>
      <w:r w:rsidR="008620F0" w:rsidRPr="00F01B15">
        <w:rPr>
          <w:rFonts w:eastAsia="Times New Roman" w:cs="Times New Roman"/>
          <w:lang w:val="es-ES"/>
        </w:rPr>
        <w:t>sta escala se obtuvieron los cuartiles con sus respectivos valores</w:t>
      </w:r>
      <w:r w:rsidR="00DE5CED" w:rsidRPr="00F01B15">
        <w:rPr>
          <w:rFonts w:eastAsia="Times New Roman" w:cs="Times New Roman"/>
          <w:lang w:val="es-ES"/>
        </w:rPr>
        <w:t>,</w:t>
      </w:r>
      <w:r w:rsidR="008620F0" w:rsidRPr="00F01B15">
        <w:rPr>
          <w:rFonts w:eastAsia="Times New Roman" w:cs="Times New Roman"/>
          <w:lang w:val="es-ES"/>
        </w:rPr>
        <w:t xml:space="preserve"> </w:t>
      </w:r>
      <w:r w:rsidR="00FF3C1B" w:rsidRPr="00F01B15">
        <w:rPr>
          <w:rFonts w:eastAsia="Times New Roman" w:cs="Times New Roman"/>
          <w:lang w:val="es-ES"/>
        </w:rPr>
        <w:t>definiendo</w:t>
      </w:r>
      <w:r w:rsidR="008620F0" w:rsidRPr="00F01B15">
        <w:rPr>
          <w:rFonts w:eastAsia="Times New Roman" w:cs="Times New Roman"/>
          <w:lang w:val="es-ES"/>
        </w:rPr>
        <w:t xml:space="preserve">  con ello los niveles de competencia en cada d</w:t>
      </w:r>
      <w:r w:rsidR="00F51A51" w:rsidRPr="00F01B15">
        <w:rPr>
          <w:rFonts w:eastAsia="Times New Roman" w:cs="Times New Roman"/>
          <w:lang w:val="es-ES"/>
        </w:rPr>
        <w:t>imensión</w:t>
      </w:r>
      <w:r w:rsidR="006F0E30" w:rsidRPr="00F01B15">
        <w:rPr>
          <w:rFonts w:eastAsia="Times New Roman" w:cs="Times New Roman"/>
          <w:lang w:val="es-ES"/>
        </w:rPr>
        <w:t>. Los</w:t>
      </w:r>
      <w:r w:rsidR="00F51A51" w:rsidRPr="00F01B15">
        <w:rPr>
          <w:rFonts w:eastAsia="Times New Roman" w:cs="Times New Roman"/>
          <w:lang w:val="es-ES"/>
        </w:rPr>
        <w:t xml:space="preserve"> rangos</w:t>
      </w:r>
      <w:r w:rsidR="008620F0" w:rsidRPr="00F01B15">
        <w:rPr>
          <w:rFonts w:eastAsia="Times New Roman" w:cs="Times New Roman"/>
          <w:lang w:val="es-ES"/>
        </w:rPr>
        <w:t xml:space="preserve"> </w:t>
      </w:r>
      <w:r w:rsidR="006F0E30" w:rsidRPr="00F01B15">
        <w:rPr>
          <w:rFonts w:eastAsia="Times New Roman" w:cs="Times New Roman"/>
          <w:lang w:val="es-ES"/>
        </w:rPr>
        <w:t xml:space="preserve">se muestran </w:t>
      </w:r>
      <w:r w:rsidR="008620F0" w:rsidRPr="00F01B15">
        <w:rPr>
          <w:rFonts w:eastAsia="Times New Roman" w:cs="Times New Roman"/>
          <w:lang w:val="es-ES"/>
        </w:rPr>
        <w:t xml:space="preserve">en la </w:t>
      </w:r>
      <w:r w:rsidR="00DE5CED" w:rsidRPr="00F01B15">
        <w:rPr>
          <w:rFonts w:eastAsia="Times New Roman" w:cs="Times New Roman"/>
          <w:lang w:val="es-ES"/>
        </w:rPr>
        <w:t>t</w:t>
      </w:r>
      <w:r w:rsidR="008620F0" w:rsidRPr="00F01B15">
        <w:rPr>
          <w:rFonts w:eastAsia="Times New Roman" w:cs="Times New Roman"/>
          <w:lang w:val="es-ES"/>
        </w:rPr>
        <w:t>abla 1</w:t>
      </w:r>
      <w:r w:rsidR="00DE5CED" w:rsidRPr="00F01B15">
        <w:rPr>
          <w:rFonts w:eastAsia="Times New Roman" w:cs="Times New Roman"/>
          <w:lang w:val="es-ES"/>
        </w:rPr>
        <w:t>.</w:t>
      </w:r>
    </w:p>
    <w:p w:rsidR="008620F0" w:rsidRPr="002F29C1" w:rsidRDefault="00DC781F" w:rsidP="00607A39">
      <w:pPr>
        <w:spacing w:line="360" w:lineRule="auto"/>
        <w:ind w:left="-180"/>
        <w:jc w:val="both"/>
        <w:outlineLvl w:val="0"/>
        <w:rPr>
          <w:rFonts w:ascii="Arial" w:eastAsia="Times New Roman" w:hAnsi="Arial" w:cs="Arial"/>
          <w:b/>
          <w:lang w:val="es-CO"/>
        </w:rPr>
      </w:pPr>
      <w:r>
        <w:rPr>
          <w:rFonts w:ascii="Arial" w:eastAsia="Times New Roman" w:hAnsi="Arial" w:cs="Arial"/>
          <w:b/>
          <w:bCs/>
          <w:lang w:val="es-ES"/>
        </w:rPr>
        <w:t>Tabla</w:t>
      </w:r>
      <w:r w:rsidR="008620F0" w:rsidRPr="002F29C1">
        <w:rPr>
          <w:rFonts w:ascii="Arial" w:eastAsia="Times New Roman" w:hAnsi="Arial" w:cs="Arial"/>
          <w:b/>
          <w:bCs/>
          <w:lang w:val="es-ES"/>
        </w:rPr>
        <w:t xml:space="preserve"> 1</w:t>
      </w:r>
      <w:r>
        <w:rPr>
          <w:rFonts w:ascii="Arial" w:eastAsia="Times New Roman" w:hAnsi="Arial" w:cs="Arial"/>
          <w:b/>
          <w:bCs/>
          <w:lang w:val="es-ES"/>
        </w:rPr>
        <w:t>.</w:t>
      </w:r>
      <w:r w:rsidR="008620F0" w:rsidRPr="002F29C1">
        <w:rPr>
          <w:rFonts w:ascii="Arial" w:eastAsia="Times New Roman" w:hAnsi="Arial" w:cs="Arial"/>
          <w:b/>
          <w:bCs/>
          <w:lang w:val="es-ES"/>
        </w:rPr>
        <w:t xml:space="preserve"> Escala de valoración para determinar las competencias g</w:t>
      </w:r>
      <w:r>
        <w:rPr>
          <w:rFonts w:ascii="Arial" w:eastAsia="Times New Roman" w:hAnsi="Arial" w:cs="Arial"/>
          <w:b/>
          <w:bCs/>
          <w:lang w:val="es-ES"/>
        </w:rPr>
        <w:t xml:space="preserve">enéricas por dimensión de </w:t>
      </w:r>
      <w:r w:rsidR="008620F0" w:rsidRPr="002F29C1">
        <w:rPr>
          <w:rFonts w:ascii="Arial" w:eastAsia="Times New Roman" w:hAnsi="Arial" w:cs="Arial"/>
          <w:b/>
          <w:bCs/>
          <w:lang w:val="es-ES"/>
        </w:rPr>
        <w:t xml:space="preserve"> los docentes evaluados en las </w:t>
      </w:r>
      <w:r>
        <w:rPr>
          <w:rFonts w:ascii="Arial" w:eastAsia="Times New Roman" w:hAnsi="Arial" w:cs="Arial"/>
          <w:b/>
          <w:bCs/>
          <w:lang w:val="es-ES"/>
        </w:rPr>
        <w:t xml:space="preserve">tres instituciones </w:t>
      </w:r>
      <w:r w:rsidR="00F51A51">
        <w:rPr>
          <w:rFonts w:ascii="Arial" w:eastAsia="Times New Roman" w:hAnsi="Arial" w:cs="Arial"/>
          <w:b/>
          <w:bCs/>
          <w:lang w:val="es-ES"/>
        </w:rPr>
        <w:t>participantes</w:t>
      </w:r>
    </w:p>
    <w:tbl>
      <w:tblPr>
        <w:tblStyle w:val="Sombreadoclaro1"/>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80"/>
        <w:gridCol w:w="1814"/>
        <w:gridCol w:w="1315"/>
        <w:gridCol w:w="1475"/>
        <w:gridCol w:w="1307"/>
        <w:gridCol w:w="1623"/>
      </w:tblGrid>
      <w:tr w:rsidR="008620F0" w:rsidRPr="002F29C1" w:rsidTr="00AB1EDD">
        <w:trPr>
          <w:cnfStyle w:val="100000000000" w:firstRow="1" w:lastRow="0" w:firstColumn="0" w:lastColumn="0" w:oddVBand="0" w:evenVBand="0" w:oddHBand="0" w:evenHBand="0" w:firstRowFirstColumn="0" w:firstRowLastColumn="0" w:lastRowFirstColumn="0" w:lastRowLastColumn="0"/>
          <w:trHeight w:val="866"/>
        </w:trPr>
        <w:tc>
          <w:tcPr>
            <w:tcW w:w="1780"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Escala de valoración</w:t>
            </w: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de</w:t>
            </w:r>
          </w:p>
          <w:p w:rsidR="008620F0" w:rsidRPr="002F29C1" w:rsidRDefault="004C4F0D" w:rsidP="004C4F0D">
            <w:pPr>
              <w:spacing w:line="360" w:lineRule="auto"/>
              <w:jc w:val="center"/>
              <w:rPr>
                <w:rFonts w:ascii="Arial" w:hAnsi="Arial" w:cs="Arial"/>
                <w:sz w:val="20"/>
                <w:szCs w:val="20"/>
                <w:lang w:eastAsia="es-MX"/>
              </w:rPr>
            </w:pPr>
            <w:r>
              <w:rPr>
                <w:rFonts w:ascii="Arial" w:hAnsi="Arial" w:cs="Arial"/>
                <w:kern w:val="24"/>
                <w:sz w:val="20"/>
                <w:szCs w:val="20"/>
                <w:lang w:val="es-ES" w:eastAsia="es-MX"/>
              </w:rPr>
              <w:t>c</w:t>
            </w:r>
            <w:r w:rsidR="008620F0" w:rsidRPr="002F29C1">
              <w:rPr>
                <w:rFonts w:ascii="Arial" w:hAnsi="Arial" w:cs="Arial"/>
                <w:kern w:val="24"/>
                <w:sz w:val="20"/>
                <w:szCs w:val="20"/>
                <w:lang w:val="es-ES" w:eastAsia="es-MX"/>
              </w:rPr>
              <w:t>ompetencias</w:t>
            </w:r>
          </w:p>
        </w:tc>
        <w:tc>
          <w:tcPr>
            <w:tcW w:w="1814"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E47CF5">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 xml:space="preserve">Dominio de las </w:t>
            </w:r>
            <w:r w:rsidR="00E47CF5">
              <w:rPr>
                <w:rFonts w:ascii="Arial" w:hAnsi="Arial" w:cs="Arial"/>
                <w:kern w:val="24"/>
                <w:sz w:val="20"/>
                <w:szCs w:val="20"/>
                <w:lang w:val="es-ES" w:eastAsia="es-MX"/>
              </w:rPr>
              <w:t>c</w:t>
            </w:r>
            <w:r w:rsidRPr="002F29C1">
              <w:rPr>
                <w:rFonts w:ascii="Arial" w:hAnsi="Arial" w:cs="Arial"/>
                <w:kern w:val="24"/>
                <w:sz w:val="20"/>
                <w:szCs w:val="20"/>
                <w:lang w:val="es-ES" w:eastAsia="es-MX"/>
              </w:rPr>
              <w:t>ompetencias</w:t>
            </w:r>
            <w:r w:rsidRPr="002F29C1">
              <w:rPr>
                <w:rFonts w:ascii="Arial" w:hAnsi="Arial" w:cs="Arial"/>
                <w:color w:val="FFFFFF"/>
                <w:kern w:val="24"/>
                <w:sz w:val="20"/>
                <w:szCs w:val="20"/>
                <w:lang w:val="es-CO" w:eastAsia="es-MX"/>
              </w:rPr>
              <w:t xml:space="preserve"> </w:t>
            </w:r>
            <w:r w:rsidRPr="002F29C1">
              <w:rPr>
                <w:rFonts w:ascii="Arial" w:hAnsi="Arial" w:cs="Arial"/>
                <w:kern w:val="24"/>
                <w:sz w:val="20"/>
                <w:szCs w:val="20"/>
                <w:lang w:val="es-CO" w:eastAsia="es-MX"/>
              </w:rPr>
              <w:t>(Camargo et al</w:t>
            </w:r>
            <w:r w:rsidR="00E47CF5">
              <w:rPr>
                <w:rFonts w:ascii="Arial" w:hAnsi="Arial" w:cs="Arial"/>
                <w:kern w:val="24"/>
                <w:sz w:val="20"/>
                <w:szCs w:val="20"/>
                <w:lang w:val="es-CO" w:eastAsia="es-MX"/>
              </w:rPr>
              <w:t>.</w:t>
            </w:r>
            <w:r w:rsidRPr="002F29C1">
              <w:rPr>
                <w:rFonts w:ascii="Arial" w:hAnsi="Arial" w:cs="Arial"/>
                <w:kern w:val="24"/>
                <w:sz w:val="20"/>
                <w:szCs w:val="20"/>
                <w:lang w:val="es-CO" w:eastAsia="es-MX"/>
              </w:rPr>
              <w:t>, 2008)</w:t>
            </w:r>
          </w:p>
        </w:tc>
        <w:tc>
          <w:tcPr>
            <w:tcW w:w="1315"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eastAsia="es-MX"/>
              </w:rPr>
              <w:t>Planeación del  PEA</w:t>
            </w: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(dim.1)</w:t>
            </w:r>
          </w:p>
        </w:tc>
        <w:tc>
          <w:tcPr>
            <w:tcW w:w="1475"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607A39">
            <w:pPr>
              <w:spacing w:before="106" w:line="360" w:lineRule="auto"/>
              <w:jc w:val="center"/>
              <w:rPr>
                <w:rFonts w:ascii="Arial" w:hAnsi="Arial" w:cs="Arial"/>
                <w:kern w:val="24"/>
                <w:sz w:val="20"/>
                <w:szCs w:val="20"/>
                <w:lang w:eastAsia="es-MX"/>
              </w:rPr>
            </w:pPr>
            <w:r w:rsidRPr="002F29C1">
              <w:rPr>
                <w:rFonts w:ascii="Arial" w:hAnsi="Arial" w:cs="Arial"/>
                <w:kern w:val="24"/>
                <w:sz w:val="20"/>
                <w:szCs w:val="20"/>
                <w:lang w:eastAsia="es-MX"/>
              </w:rPr>
              <w:t>Conducción del PEA</w:t>
            </w:r>
          </w:p>
          <w:p w:rsidR="008620F0" w:rsidRPr="002F29C1" w:rsidRDefault="008620F0" w:rsidP="00607A39">
            <w:pPr>
              <w:spacing w:before="106" w:line="360" w:lineRule="auto"/>
              <w:jc w:val="center"/>
              <w:rPr>
                <w:rFonts w:ascii="Arial" w:hAnsi="Arial" w:cs="Arial"/>
                <w:sz w:val="20"/>
                <w:szCs w:val="20"/>
                <w:lang w:eastAsia="es-MX"/>
              </w:rPr>
            </w:pPr>
            <w:r w:rsidRPr="002F29C1">
              <w:rPr>
                <w:rFonts w:ascii="Arial" w:hAnsi="Arial" w:cs="Arial"/>
                <w:kern w:val="24"/>
                <w:sz w:val="20"/>
                <w:szCs w:val="20"/>
                <w:lang w:val="es-ES" w:eastAsia="es-MX"/>
              </w:rPr>
              <w:t>(dim.2)</w:t>
            </w:r>
          </w:p>
        </w:tc>
        <w:tc>
          <w:tcPr>
            <w:tcW w:w="1307"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607A39">
            <w:pPr>
              <w:spacing w:line="360" w:lineRule="auto"/>
              <w:jc w:val="center"/>
              <w:rPr>
                <w:rFonts w:ascii="Arial" w:hAnsi="Arial" w:cs="Arial"/>
                <w:kern w:val="24"/>
                <w:sz w:val="20"/>
                <w:szCs w:val="20"/>
                <w:lang w:eastAsia="es-MX"/>
              </w:rPr>
            </w:pPr>
            <w:r w:rsidRPr="002F29C1">
              <w:rPr>
                <w:rFonts w:ascii="Arial" w:hAnsi="Arial" w:cs="Arial"/>
                <w:kern w:val="24"/>
                <w:sz w:val="20"/>
                <w:szCs w:val="20"/>
                <w:lang w:eastAsia="es-MX"/>
              </w:rPr>
              <w:t>Valoración del PEA</w:t>
            </w: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 xml:space="preserve">(dim.3) </w:t>
            </w:r>
          </w:p>
        </w:tc>
        <w:tc>
          <w:tcPr>
            <w:tcW w:w="1623" w:type="dxa"/>
            <w:tcBorders>
              <w:top w:val="none" w:sz="0" w:space="0" w:color="auto"/>
              <w:left w:val="none" w:sz="0" w:space="0" w:color="auto"/>
              <w:bottom w:val="none" w:sz="0" w:space="0" w:color="auto"/>
              <w:right w:val="none" w:sz="0" w:space="0" w:color="auto"/>
            </w:tcBorders>
            <w:shd w:val="clear" w:color="auto" w:fill="FDE9D9" w:themeFill="accent6" w:themeFillTint="33"/>
            <w:hideMark/>
          </w:tcPr>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Puntaje</w:t>
            </w: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kern w:val="24"/>
                <w:sz w:val="20"/>
                <w:szCs w:val="20"/>
                <w:lang w:val="es-ES" w:eastAsia="es-MX"/>
              </w:rPr>
              <w:t xml:space="preserve"> total</w:t>
            </w:r>
          </w:p>
        </w:tc>
      </w:tr>
      <w:tr w:rsidR="008620F0" w:rsidRPr="002F29C1" w:rsidTr="00AB1EDD">
        <w:trPr>
          <w:cnfStyle w:val="000000100000" w:firstRow="0" w:lastRow="0" w:firstColumn="0" w:lastColumn="0" w:oddVBand="0" w:evenVBand="0" w:oddHBand="1" w:evenHBand="0" w:firstRowFirstColumn="0" w:firstRowLastColumn="0" w:lastRowFirstColumn="0" w:lastRowLastColumn="0"/>
          <w:trHeight w:val="312"/>
        </w:trPr>
        <w:tc>
          <w:tcPr>
            <w:tcW w:w="1780" w:type="dxa"/>
            <w:tcBorders>
              <w:left w:val="none" w:sz="0" w:space="0" w:color="auto"/>
              <w:right w:val="none" w:sz="0" w:space="0" w:color="auto"/>
            </w:tcBorders>
            <w:shd w:val="clear" w:color="auto" w:fill="FFFFFF" w:themeFill="background1"/>
            <w:hideMark/>
          </w:tcPr>
          <w:p w:rsidR="008620F0" w:rsidRPr="005500BC" w:rsidRDefault="008620F0" w:rsidP="00607A39">
            <w:pPr>
              <w:spacing w:line="360" w:lineRule="auto"/>
              <w:rPr>
                <w:rFonts w:ascii="Arial" w:hAnsi="Arial" w:cs="Arial"/>
                <w:b/>
                <w:sz w:val="20"/>
                <w:szCs w:val="20"/>
                <w:lang w:eastAsia="es-MX"/>
              </w:rPr>
            </w:pPr>
            <w:r w:rsidRPr="005500BC">
              <w:rPr>
                <w:rFonts w:ascii="Arial" w:hAnsi="Arial" w:cs="Arial"/>
                <w:b/>
                <w:bCs/>
                <w:kern w:val="24"/>
                <w:sz w:val="20"/>
                <w:szCs w:val="20"/>
                <w:lang w:val="es-ES" w:eastAsia="es-MX"/>
              </w:rPr>
              <w:t xml:space="preserve">Q1 y Q2 = BAJAS </w:t>
            </w:r>
          </w:p>
        </w:tc>
        <w:tc>
          <w:tcPr>
            <w:tcW w:w="1814"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rPr>
                <w:rFonts w:ascii="Arial" w:hAnsi="Arial" w:cs="Arial"/>
                <w:b/>
                <w:bCs/>
                <w:kern w:val="24"/>
                <w:sz w:val="20"/>
                <w:szCs w:val="20"/>
                <w:lang w:val="es-CO" w:eastAsia="es-MX"/>
              </w:rPr>
            </w:pPr>
          </w:p>
          <w:p w:rsidR="008620F0" w:rsidRPr="005500BC" w:rsidRDefault="008620F0" w:rsidP="00607A39">
            <w:pPr>
              <w:spacing w:line="360" w:lineRule="auto"/>
              <w:rPr>
                <w:rFonts w:ascii="Arial" w:hAnsi="Arial" w:cs="Arial"/>
                <w:b/>
                <w:sz w:val="20"/>
                <w:szCs w:val="20"/>
                <w:lang w:eastAsia="es-MX"/>
              </w:rPr>
            </w:pPr>
            <w:r w:rsidRPr="005500BC">
              <w:rPr>
                <w:rFonts w:ascii="Arial" w:hAnsi="Arial" w:cs="Arial"/>
                <w:b/>
                <w:bCs/>
                <w:kern w:val="24"/>
                <w:sz w:val="20"/>
                <w:szCs w:val="20"/>
                <w:lang w:val="es-CO" w:eastAsia="es-MX"/>
              </w:rPr>
              <w:t>Sin competencias</w:t>
            </w:r>
          </w:p>
        </w:tc>
        <w:tc>
          <w:tcPr>
            <w:tcW w:w="1315"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5500BC" w:rsidRDefault="008620F0" w:rsidP="00607A39">
            <w:pPr>
              <w:spacing w:line="360" w:lineRule="auto"/>
              <w:jc w:val="center"/>
              <w:rPr>
                <w:rFonts w:ascii="Arial" w:hAnsi="Arial" w:cs="Arial"/>
                <w:b/>
                <w:sz w:val="20"/>
                <w:szCs w:val="20"/>
                <w:lang w:eastAsia="es-MX"/>
              </w:rPr>
            </w:pPr>
            <w:r w:rsidRPr="005500BC">
              <w:rPr>
                <w:rFonts w:ascii="Arial" w:hAnsi="Arial" w:cs="Arial"/>
                <w:b/>
                <w:bCs/>
                <w:kern w:val="24"/>
                <w:sz w:val="20"/>
                <w:szCs w:val="20"/>
                <w:lang w:val="es-ES" w:eastAsia="es-MX"/>
              </w:rPr>
              <w:t>0 - 25</w:t>
            </w:r>
          </w:p>
        </w:tc>
        <w:tc>
          <w:tcPr>
            <w:tcW w:w="1475"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5500BC" w:rsidRDefault="008620F0" w:rsidP="00607A39">
            <w:pPr>
              <w:spacing w:line="360" w:lineRule="auto"/>
              <w:jc w:val="center"/>
              <w:rPr>
                <w:rFonts w:ascii="Arial" w:hAnsi="Arial" w:cs="Arial"/>
                <w:b/>
                <w:sz w:val="20"/>
                <w:szCs w:val="20"/>
                <w:lang w:eastAsia="es-MX"/>
              </w:rPr>
            </w:pPr>
            <w:r w:rsidRPr="005500BC">
              <w:rPr>
                <w:rFonts w:ascii="Arial" w:hAnsi="Arial" w:cs="Arial"/>
                <w:b/>
                <w:bCs/>
                <w:kern w:val="24"/>
                <w:sz w:val="20"/>
                <w:szCs w:val="20"/>
                <w:lang w:val="es-ES" w:eastAsia="es-MX"/>
              </w:rPr>
              <w:t>0 - 55</w:t>
            </w:r>
          </w:p>
        </w:tc>
        <w:tc>
          <w:tcPr>
            <w:tcW w:w="1307"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5500BC" w:rsidRDefault="008620F0" w:rsidP="00607A39">
            <w:pPr>
              <w:spacing w:line="360" w:lineRule="auto"/>
              <w:jc w:val="center"/>
              <w:rPr>
                <w:rFonts w:ascii="Arial" w:hAnsi="Arial" w:cs="Arial"/>
                <w:b/>
                <w:sz w:val="20"/>
                <w:szCs w:val="20"/>
                <w:lang w:eastAsia="es-MX"/>
              </w:rPr>
            </w:pPr>
            <w:r w:rsidRPr="005500BC">
              <w:rPr>
                <w:rFonts w:ascii="Arial" w:hAnsi="Arial" w:cs="Arial"/>
                <w:b/>
                <w:bCs/>
                <w:kern w:val="24"/>
                <w:sz w:val="20"/>
                <w:szCs w:val="20"/>
                <w:lang w:val="es-ES" w:eastAsia="es-MX"/>
              </w:rPr>
              <w:t>0 - 8</w:t>
            </w:r>
          </w:p>
        </w:tc>
        <w:tc>
          <w:tcPr>
            <w:tcW w:w="1623"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5500BC" w:rsidRDefault="008620F0" w:rsidP="00607A39">
            <w:pPr>
              <w:spacing w:line="360" w:lineRule="auto"/>
              <w:jc w:val="center"/>
              <w:rPr>
                <w:rFonts w:ascii="Arial" w:hAnsi="Arial" w:cs="Arial"/>
                <w:b/>
                <w:sz w:val="20"/>
                <w:szCs w:val="20"/>
                <w:lang w:eastAsia="es-MX"/>
              </w:rPr>
            </w:pPr>
            <w:r w:rsidRPr="005500BC">
              <w:rPr>
                <w:rFonts w:ascii="Arial" w:hAnsi="Arial" w:cs="Arial"/>
                <w:b/>
                <w:bCs/>
                <w:kern w:val="24"/>
                <w:sz w:val="20"/>
                <w:szCs w:val="20"/>
                <w:lang w:val="es-ES" w:eastAsia="es-MX"/>
              </w:rPr>
              <w:t>88</w:t>
            </w:r>
          </w:p>
        </w:tc>
      </w:tr>
      <w:tr w:rsidR="008620F0" w:rsidRPr="002F29C1" w:rsidTr="00AB1EDD">
        <w:trPr>
          <w:trHeight w:val="762"/>
        </w:trPr>
        <w:tc>
          <w:tcPr>
            <w:tcW w:w="1780" w:type="dxa"/>
            <w:hideMark/>
          </w:tcPr>
          <w:p w:rsidR="008620F0" w:rsidRPr="002F29C1" w:rsidRDefault="008620F0" w:rsidP="00607A39">
            <w:pPr>
              <w:spacing w:line="360" w:lineRule="auto"/>
              <w:rPr>
                <w:rFonts w:ascii="Arial" w:hAnsi="Arial" w:cs="Arial"/>
                <w:sz w:val="20"/>
                <w:szCs w:val="20"/>
                <w:lang w:eastAsia="es-MX"/>
              </w:rPr>
            </w:pPr>
            <w:r w:rsidRPr="002F29C1">
              <w:rPr>
                <w:rFonts w:ascii="Arial" w:hAnsi="Arial" w:cs="Arial"/>
                <w:b/>
                <w:bCs/>
                <w:kern w:val="24"/>
                <w:sz w:val="20"/>
                <w:szCs w:val="20"/>
                <w:lang w:val="es-ES" w:eastAsia="es-MX"/>
              </w:rPr>
              <w:t>Q2 y Q3 = MEDIANAS</w:t>
            </w:r>
          </w:p>
        </w:tc>
        <w:tc>
          <w:tcPr>
            <w:tcW w:w="1814" w:type="dxa"/>
            <w:hideMark/>
          </w:tcPr>
          <w:p w:rsidR="008620F0" w:rsidRPr="002F29C1" w:rsidRDefault="008620F0" w:rsidP="00607A39">
            <w:pPr>
              <w:spacing w:line="360" w:lineRule="auto"/>
              <w:rPr>
                <w:rFonts w:ascii="Arial" w:hAnsi="Arial" w:cs="Arial"/>
                <w:sz w:val="20"/>
                <w:szCs w:val="20"/>
                <w:lang w:eastAsia="es-MX"/>
              </w:rPr>
            </w:pPr>
            <w:r w:rsidRPr="002F29C1">
              <w:rPr>
                <w:rFonts w:ascii="Arial" w:hAnsi="Arial" w:cs="Arial"/>
                <w:b/>
                <w:bCs/>
                <w:kern w:val="24"/>
                <w:sz w:val="20"/>
                <w:szCs w:val="20"/>
                <w:lang w:val="es-CO" w:eastAsia="es-MX"/>
              </w:rPr>
              <w:t>Manejo de competencias  inferior a lo deseado</w:t>
            </w:r>
          </w:p>
        </w:tc>
        <w:tc>
          <w:tcPr>
            <w:tcW w:w="1315" w:type="dxa"/>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26 -38</w:t>
            </w:r>
          </w:p>
        </w:tc>
        <w:tc>
          <w:tcPr>
            <w:tcW w:w="1475" w:type="dxa"/>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56 -83</w:t>
            </w:r>
          </w:p>
        </w:tc>
        <w:tc>
          <w:tcPr>
            <w:tcW w:w="1307" w:type="dxa"/>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9 - 11</w:t>
            </w:r>
          </w:p>
        </w:tc>
        <w:tc>
          <w:tcPr>
            <w:tcW w:w="1623" w:type="dxa"/>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131</w:t>
            </w:r>
          </w:p>
        </w:tc>
      </w:tr>
      <w:tr w:rsidR="008620F0" w:rsidRPr="002F29C1" w:rsidTr="00AB1EDD">
        <w:trPr>
          <w:cnfStyle w:val="000000100000" w:firstRow="0" w:lastRow="0" w:firstColumn="0" w:lastColumn="0" w:oddVBand="0" w:evenVBand="0" w:oddHBand="1" w:evenHBand="0" w:firstRowFirstColumn="0" w:firstRowLastColumn="0" w:lastRowFirstColumn="0" w:lastRowLastColumn="0"/>
          <w:trHeight w:val="531"/>
        </w:trPr>
        <w:tc>
          <w:tcPr>
            <w:tcW w:w="1780" w:type="dxa"/>
            <w:tcBorders>
              <w:left w:val="none" w:sz="0" w:space="0" w:color="auto"/>
              <w:right w:val="none" w:sz="0" w:space="0" w:color="auto"/>
            </w:tcBorders>
            <w:shd w:val="clear" w:color="auto" w:fill="FFFFFF" w:themeFill="background1"/>
            <w:hideMark/>
          </w:tcPr>
          <w:p w:rsidR="008620F0" w:rsidRPr="002F29C1" w:rsidRDefault="008620F0" w:rsidP="00607A39">
            <w:pPr>
              <w:spacing w:line="360" w:lineRule="auto"/>
              <w:rPr>
                <w:rFonts w:ascii="Arial" w:hAnsi="Arial" w:cs="Arial"/>
                <w:sz w:val="20"/>
                <w:szCs w:val="20"/>
                <w:lang w:eastAsia="es-MX"/>
              </w:rPr>
            </w:pPr>
            <w:r w:rsidRPr="002F29C1">
              <w:rPr>
                <w:rFonts w:ascii="Arial" w:hAnsi="Arial" w:cs="Arial"/>
                <w:b/>
                <w:bCs/>
                <w:kern w:val="24"/>
                <w:sz w:val="20"/>
                <w:szCs w:val="20"/>
                <w:lang w:val="es-ES" w:eastAsia="es-MX"/>
              </w:rPr>
              <w:t>Q3 y  Q4 = ALTAS</w:t>
            </w:r>
          </w:p>
        </w:tc>
        <w:tc>
          <w:tcPr>
            <w:tcW w:w="1814" w:type="dxa"/>
            <w:tcBorders>
              <w:left w:val="none" w:sz="0" w:space="0" w:color="auto"/>
              <w:right w:val="none" w:sz="0" w:space="0" w:color="auto"/>
            </w:tcBorders>
            <w:shd w:val="clear" w:color="auto" w:fill="FFFFFF" w:themeFill="background1"/>
            <w:hideMark/>
          </w:tcPr>
          <w:p w:rsidR="008620F0" w:rsidRPr="002F29C1" w:rsidRDefault="008620F0" w:rsidP="00607A39">
            <w:pPr>
              <w:spacing w:line="360" w:lineRule="auto"/>
              <w:rPr>
                <w:rFonts w:ascii="Arial" w:hAnsi="Arial" w:cs="Arial"/>
                <w:sz w:val="20"/>
                <w:szCs w:val="20"/>
                <w:lang w:eastAsia="es-MX"/>
              </w:rPr>
            </w:pPr>
            <w:r w:rsidRPr="002F29C1">
              <w:rPr>
                <w:rFonts w:ascii="Arial" w:hAnsi="Arial" w:cs="Arial"/>
                <w:b/>
                <w:bCs/>
                <w:kern w:val="24"/>
                <w:sz w:val="20"/>
                <w:szCs w:val="20"/>
                <w:lang w:val="es-CO" w:eastAsia="es-MX"/>
              </w:rPr>
              <w:t>Manejo  deseable de competencias</w:t>
            </w:r>
          </w:p>
        </w:tc>
        <w:tc>
          <w:tcPr>
            <w:tcW w:w="1315"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39- 50</w:t>
            </w:r>
          </w:p>
        </w:tc>
        <w:tc>
          <w:tcPr>
            <w:tcW w:w="1475"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84 -111</w:t>
            </w:r>
          </w:p>
        </w:tc>
        <w:tc>
          <w:tcPr>
            <w:tcW w:w="1307"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12 - 15</w:t>
            </w:r>
          </w:p>
        </w:tc>
        <w:tc>
          <w:tcPr>
            <w:tcW w:w="1623" w:type="dxa"/>
            <w:tcBorders>
              <w:left w:val="none" w:sz="0" w:space="0" w:color="auto"/>
              <w:right w:val="none" w:sz="0" w:space="0" w:color="auto"/>
            </w:tcBorders>
            <w:shd w:val="clear" w:color="auto" w:fill="FFFFFF" w:themeFill="background1"/>
            <w:hideMark/>
          </w:tcPr>
          <w:p w:rsidR="00DC781F" w:rsidRDefault="00DC781F" w:rsidP="00607A39">
            <w:pPr>
              <w:spacing w:line="360" w:lineRule="auto"/>
              <w:jc w:val="center"/>
              <w:rPr>
                <w:rFonts w:ascii="Arial" w:hAnsi="Arial" w:cs="Arial"/>
                <w:b/>
                <w:bCs/>
                <w:kern w:val="24"/>
                <w:sz w:val="20"/>
                <w:szCs w:val="20"/>
                <w:lang w:val="es-ES" w:eastAsia="es-MX"/>
              </w:rPr>
            </w:pPr>
          </w:p>
          <w:p w:rsidR="008620F0" w:rsidRPr="002F29C1" w:rsidRDefault="008620F0" w:rsidP="00607A39">
            <w:pPr>
              <w:spacing w:line="360" w:lineRule="auto"/>
              <w:jc w:val="center"/>
              <w:rPr>
                <w:rFonts w:ascii="Arial" w:hAnsi="Arial" w:cs="Arial"/>
                <w:sz w:val="20"/>
                <w:szCs w:val="20"/>
                <w:lang w:eastAsia="es-MX"/>
              </w:rPr>
            </w:pPr>
            <w:r w:rsidRPr="002F29C1">
              <w:rPr>
                <w:rFonts w:ascii="Arial" w:hAnsi="Arial" w:cs="Arial"/>
                <w:b/>
                <w:bCs/>
                <w:kern w:val="24"/>
                <w:sz w:val="20"/>
                <w:szCs w:val="20"/>
                <w:lang w:val="es-ES" w:eastAsia="es-MX"/>
              </w:rPr>
              <w:t>175</w:t>
            </w:r>
          </w:p>
        </w:tc>
      </w:tr>
    </w:tbl>
    <w:p w:rsidR="00142DA2" w:rsidRPr="002F29C1" w:rsidRDefault="00142DA2" w:rsidP="00607A39">
      <w:pPr>
        <w:spacing w:line="360" w:lineRule="auto"/>
        <w:jc w:val="both"/>
        <w:rPr>
          <w:rFonts w:ascii="Arial" w:eastAsia="Times New Roman" w:hAnsi="Arial" w:cs="Arial"/>
          <w:bCs/>
          <w:color w:val="000000"/>
          <w:kern w:val="24"/>
          <w:lang w:val="es-ES" w:eastAsia="es-MX"/>
        </w:rPr>
      </w:pPr>
    </w:p>
    <w:p w:rsidR="005500BC" w:rsidRPr="00F01B15" w:rsidRDefault="008620F0" w:rsidP="00607A39">
      <w:pPr>
        <w:spacing w:line="360" w:lineRule="auto"/>
        <w:ind w:left="-142"/>
        <w:jc w:val="both"/>
        <w:rPr>
          <w:rFonts w:eastAsia="Times New Roman" w:cs="Times New Roman"/>
          <w:bCs/>
          <w:color w:val="000000"/>
          <w:kern w:val="24"/>
          <w:lang w:eastAsia="es-MX"/>
        </w:rPr>
      </w:pPr>
      <w:r w:rsidRPr="00F01B15">
        <w:rPr>
          <w:rFonts w:eastAsia="Times New Roman" w:cs="Times New Roman"/>
          <w:bCs/>
          <w:color w:val="000000"/>
          <w:kern w:val="24"/>
          <w:lang w:val="es-ES" w:eastAsia="es-MX"/>
        </w:rPr>
        <w:t>Utilizando la misma escala numérica (</w:t>
      </w:r>
      <w:proofErr w:type="spellStart"/>
      <w:r w:rsidRPr="00F01B15">
        <w:rPr>
          <w:rFonts w:eastAsia="Times New Roman" w:cs="Times New Roman"/>
          <w:bCs/>
          <w:color w:val="000000"/>
          <w:kern w:val="24"/>
          <w:lang w:val="es-ES" w:eastAsia="es-MX"/>
        </w:rPr>
        <w:t>Sampieri</w:t>
      </w:r>
      <w:proofErr w:type="spellEnd"/>
      <w:r w:rsidRPr="00F01B15">
        <w:rPr>
          <w:rFonts w:eastAsia="Times New Roman" w:cs="Times New Roman"/>
          <w:bCs/>
          <w:color w:val="000000"/>
          <w:kern w:val="24"/>
          <w:lang w:val="es-ES" w:eastAsia="es-MX"/>
        </w:rPr>
        <w:t>, 2006</w:t>
      </w:r>
      <w:r w:rsidR="00E47CF5" w:rsidRPr="00F01B15">
        <w:rPr>
          <w:rFonts w:eastAsia="Times New Roman" w:cs="Times New Roman"/>
          <w:bCs/>
          <w:color w:val="000000"/>
          <w:kern w:val="24"/>
          <w:lang w:val="es-ES" w:eastAsia="es-MX"/>
        </w:rPr>
        <w:t>,</w:t>
      </w:r>
      <w:r w:rsidRPr="00F01B15">
        <w:rPr>
          <w:rFonts w:eastAsia="Times New Roman" w:cs="Times New Roman"/>
          <w:bCs/>
          <w:color w:val="000000"/>
          <w:kern w:val="24"/>
          <w:lang w:val="es-ES" w:eastAsia="es-MX"/>
        </w:rPr>
        <w:t xml:space="preserve"> p</w:t>
      </w:r>
      <w:r w:rsidR="00E47CF5" w:rsidRPr="00F01B15">
        <w:rPr>
          <w:rFonts w:eastAsia="Times New Roman" w:cs="Times New Roman"/>
          <w:bCs/>
          <w:color w:val="000000"/>
          <w:kern w:val="24"/>
          <w:lang w:val="es-ES" w:eastAsia="es-MX"/>
        </w:rPr>
        <w:t>.</w:t>
      </w:r>
      <w:r w:rsidRPr="00F01B15">
        <w:rPr>
          <w:rFonts w:eastAsia="Times New Roman" w:cs="Times New Roman"/>
          <w:bCs/>
          <w:color w:val="000000"/>
          <w:kern w:val="24"/>
          <w:lang w:val="es-ES" w:eastAsia="es-MX"/>
        </w:rPr>
        <w:t xml:space="preserve"> 373) </w:t>
      </w:r>
      <w:r w:rsidRPr="00F01B15">
        <w:rPr>
          <w:rFonts w:eastAsia="Times New Roman" w:cs="Times New Roman"/>
          <w:bCs/>
          <w:color w:val="000000"/>
          <w:kern w:val="24"/>
          <w:lang w:eastAsia="es-MX"/>
        </w:rPr>
        <w:t xml:space="preserve">se obtuvieron los cuartiles con sus respectivos valores y de esa forma se evaluaron las </w:t>
      </w:r>
      <w:proofErr w:type="spellStart"/>
      <w:r w:rsidRPr="00F01B15">
        <w:rPr>
          <w:rFonts w:eastAsia="Times New Roman" w:cs="Times New Roman"/>
          <w:bCs/>
          <w:color w:val="000000"/>
          <w:kern w:val="24"/>
          <w:lang w:eastAsia="es-MX"/>
        </w:rPr>
        <w:t>subdimensi</w:t>
      </w:r>
      <w:r w:rsidR="005500BC" w:rsidRPr="00F01B15">
        <w:rPr>
          <w:rFonts w:eastAsia="Times New Roman" w:cs="Times New Roman"/>
          <w:bCs/>
          <w:color w:val="000000"/>
          <w:kern w:val="24"/>
          <w:lang w:eastAsia="es-MX"/>
        </w:rPr>
        <w:t>ones</w:t>
      </w:r>
      <w:proofErr w:type="spellEnd"/>
      <w:r w:rsidR="005500BC" w:rsidRPr="00F01B15">
        <w:rPr>
          <w:rFonts w:eastAsia="Times New Roman" w:cs="Times New Roman"/>
          <w:bCs/>
          <w:color w:val="000000"/>
          <w:kern w:val="24"/>
          <w:lang w:eastAsia="es-MX"/>
        </w:rPr>
        <w:t xml:space="preserve">, como lo muestra la tabla </w:t>
      </w:r>
      <w:r w:rsidRPr="00F01B15">
        <w:rPr>
          <w:rFonts w:eastAsia="Times New Roman" w:cs="Times New Roman"/>
          <w:bCs/>
          <w:color w:val="000000"/>
          <w:kern w:val="24"/>
          <w:lang w:eastAsia="es-MX"/>
        </w:rPr>
        <w:t>2</w:t>
      </w:r>
      <w:r w:rsidR="00E47CF5" w:rsidRPr="00F01B15">
        <w:rPr>
          <w:rFonts w:eastAsia="Times New Roman" w:cs="Times New Roman"/>
          <w:bCs/>
          <w:color w:val="000000"/>
          <w:kern w:val="24"/>
          <w:lang w:eastAsia="es-MX"/>
        </w:rPr>
        <w:t>.</w:t>
      </w:r>
    </w:p>
    <w:p w:rsidR="00B56B8B" w:rsidRDefault="00B56B8B" w:rsidP="00607A39">
      <w:pPr>
        <w:spacing w:line="360" w:lineRule="auto"/>
        <w:ind w:left="-142"/>
        <w:jc w:val="both"/>
        <w:rPr>
          <w:rFonts w:ascii="Arial" w:eastAsia="Times New Roman" w:hAnsi="Arial" w:cs="Arial"/>
          <w:bCs/>
          <w:color w:val="000000"/>
          <w:kern w:val="24"/>
          <w:lang w:eastAsia="es-MX"/>
        </w:rPr>
      </w:pPr>
    </w:p>
    <w:p w:rsidR="008620F0" w:rsidRPr="005500BC" w:rsidRDefault="00DC781F" w:rsidP="00607A39">
      <w:pPr>
        <w:spacing w:line="360" w:lineRule="auto"/>
        <w:ind w:left="-142"/>
        <w:jc w:val="both"/>
        <w:rPr>
          <w:rFonts w:ascii="Arial" w:eastAsia="Times New Roman" w:hAnsi="Arial" w:cs="Arial"/>
          <w:bCs/>
          <w:color w:val="000000"/>
          <w:kern w:val="24"/>
          <w:lang w:eastAsia="es-MX"/>
        </w:rPr>
      </w:pPr>
      <w:r>
        <w:rPr>
          <w:rFonts w:ascii="Arial" w:eastAsia="Times New Roman" w:hAnsi="Arial" w:cs="Arial"/>
          <w:b/>
          <w:bCs/>
          <w:color w:val="000000"/>
          <w:kern w:val="24"/>
          <w:lang w:val="es-ES" w:eastAsia="es-MX"/>
        </w:rPr>
        <w:t>Tabla</w:t>
      </w:r>
      <w:r w:rsidR="008620F0" w:rsidRPr="002F29C1">
        <w:rPr>
          <w:rFonts w:ascii="Arial" w:eastAsia="Times New Roman" w:hAnsi="Arial" w:cs="Arial"/>
          <w:b/>
          <w:bCs/>
          <w:color w:val="000000"/>
          <w:kern w:val="24"/>
          <w:lang w:val="es-ES" w:eastAsia="es-MX"/>
        </w:rPr>
        <w:t xml:space="preserve"> 2</w:t>
      </w:r>
      <w:r>
        <w:rPr>
          <w:rFonts w:ascii="Arial" w:eastAsia="Times New Roman" w:hAnsi="Arial" w:cs="Arial"/>
          <w:b/>
          <w:bCs/>
          <w:color w:val="000000"/>
          <w:kern w:val="24"/>
          <w:lang w:val="es-ES" w:eastAsia="es-MX"/>
        </w:rPr>
        <w:t>.</w:t>
      </w:r>
      <w:r w:rsidR="008620F0" w:rsidRPr="002F29C1">
        <w:rPr>
          <w:rFonts w:ascii="Arial" w:eastAsia="Times New Roman" w:hAnsi="Arial" w:cs="Arial"/>
          <w:b/>
          <w:bCs/>
          <w:color w:val="000000"/>
          <w:kern w:val="24"/>
          <w:lang w:val="es-ES" w:eastAsia="es-MX"/>
        </w:rPr>
        <w:t xml:space="preserve"> Escala de valoración para obtener las competencias genéricas de </w:t>
      </w:r>
      <w:r>
        <w:rPr>
          <w:rFonts w:ascii="Arial" w:eastAsia="Times New Roman" w:hAnsi="Arial" w:cs="Arial"/>
          <w:b/>
          <w:bCs/>
          <w:color w:val="000000"/>
          <w:kern w:val="24"/>
          <w:lang w:val="es-ES" w:eastAsia="es-MX"/>
        </w:rPr>
        <w:t xml:space="preserve">los docentes por </w:t>
      </w:r>
      <w:proofErr w:type="spellStart"/>
      <w:r>
        <w:rPr>
          <w:rFonts w:ascii="Arial" w:eastAsia="Times New Roman" w:hAnsi="Arial" w:cs="Arial"/>
          <w:b/>
          <w:bCs/>
          <w:color w:val="000000"/>
          <w:kern w:val="24"/>
          <w:lang w:val="es-ES" w:eastAsia="es-MX"/>
        </w:rPr>
        <w:t>subdimensión</w:t>
      </w:r>
      <w:proofErr w:type="spellEnd"/>
    </w:p>
    <w:tbl>
      <w:tblPr>
        <w:tblW w:w="9442" w:type="dxa"/>
        <w:shd w:val="clear" w:color="auto" w:fill="FFFFFF" w:themeFill="background1"/>
        <w:tblLayout w:type="fixed"/>
        <w:tblCellMar>
          <w:left w:w="0" w:type="dxa"/>
          <w:right w:w="0" w:type="dxa"/>
        </w:tblCellMar>
        <w:tblLook w:val="0600" w:firstRow="0" w:lastRow="0" w:firstColumn="0" w:lastColumn="0" w:noHBand="1" w:noVBand="1"/>
      </w:tblPr>
      <w:tblGrid>
        <w:gridCol w:w="1646"/>
        <w:gridCol w:w="1134"/>
        <w:gridCol w:w="1275"/>
        <w:gridCol w:w="993"/>
        <w:gridCol w:w="1134"/>
        <w:gridCol w:w="992"/>
        <w:gridCol w:w="992"/>
        <w:gridCol w:w="1276"/>
      </w:tblGrid>
      <w:tr w:rsidR="008620F0" w:rsidRPr="002F29C1" w:rsidTr="005500BC">
        <w:trPr>
          <w:trHeight w:val="1250"/>
        </w:trPr>
        <w:tc>
          <w:tcPr>
            <w:tcW w:w="164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lang w:val="es-ES"/>
              </w:rPr>
              <w:t>Escala de valoración</w:t>
            </w:r>
          </w:p>
          <w:p w:rsidR="008620F0" w:rsidRPr="002F29C1" w:rsidRDefault="008620F0" w:rsidP="00607A39">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lang w:val="es-ES"/>
              </w:rPr>
              <w:t>de</w:t>
            </w:r>
          </w:p>
          <w:p w:rsidR="008620F0" w:rsidRPr="002F29C1" w:rsidRDefault="00E47CF5" w:rsidP="00E47CF5">
            <w:pPr>
              <w:spacing w:line="360" w:lineRule="auto"/>
              <w:jc w:val="both"/>
              <w:rPr>
                <w:rFonts w:ascii="Arial" w:eastAsia="Times New Roman" w:hAnsi="Arial" w:cs="Arial"/>
                <w:b/>
                <w:sz w:val="20"/>
                <w:szCs w:val="20"/>
              </w:rPr>
            </w:pPr>
            <w:r>
              <w:rPr>
                <w:rFonts w:ascii="Arial" w:eastAsia="Times New Roman" w:hAnsi="Arial" w:cs="Arial"/>
                <w:b/>
                <w:bCs/>
                <w:sz w:val="20"/>
                <w:szCs w:val="20"/>
                <w:lang w:val="es-ES"/>
              </w:rPr>
              <w:t>c</w:t>
            </w:r>
            <w:r w:rsidR="008620F0" w:rsidRPr="002F29C1">
              <w:rPr>
                <w:rFonts w:ascii="Arial" w:eastAsia="Times New Roman" w:hAnsi="Arial" w:cs="Arial"/>
                <w:b/>
                <w:bCs/>
                <w:sz w:val="20"/>
                <w:szCs w:val="20"/>
                <w:lang w:val="es-ES"/>
              </w:rPr>
              <w:t xml:space="preserve">ompetencias </w:t>
            </w:r>
          </w:p>
        </w:tc>
        <w:tc>
          <w:tcPr>
            <w:tcW w:w="1134"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E47CF5">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rPr>
              <w:t>Dominio de los saberes de la disciplina</w:t>
            </w:r>
          </w:p>
        </w:tc>
        <w:tc>
          <w:tcPr>
            <w:tcW w:w="127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E47CF5">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rPr>
              <w:t>Planeación del curso de la asigna</w:t>
            </w:r>
            <w:r w:rsidR="00E47CF5">
              <w:rPr>
                <w:rFonts w:ascii="Arial" w:eastAsia="Times New Roman" w:hAnsi="Arial" w:cs="Arial"/>
                <w:b/>
                <w:bCs/>
                <w:sz w:val="20"/>
                <w:szCs w:val="20"/>
              </w:rPr>
              <w:t>tura</w:t>
            </w:r>
          </w:p>
        </w:tc>
        <w:tc>
          <w:tcPr>
            <w:tcW w:w="993"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b/>
                <w:bCs/>
                <w:sz w:val="20"/>
                <w:szCs w:val="20"/>
              </w:rPr>
            </w:pPr>
            <w:r w:rsidRPr="002F29C1">
              <w:rPr>
                <w:rFonts w:ascii="Arial" w:eastAsia="Times New Roman" w:hAnsi="Arial" w:cs="Arial"/>
                <w:b/>
                <w:bCs/>
                <w:sz w:val="20"/>
                <w:szCs w:val="20"/>
              </w:rPr>
              <w:t>Gestión</w:t>
            </w:r>
          </w:p>
          <w:p w:rsidR="008620F0" w:rsidRPr="002F29C1" w:rsidRDefault="008620F0" w:rsidP="00607A39">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rPr>
              <w:t xml:space="preserve"> del PEA</w:t>
            </w:r>
          </w:p>
        </w:tc>
        <w:tc>
          <w:tcPr>
            <w:tcW w:w="1134"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E47CF5">
            <w:pPr>
              <w:spacing w:line="360" w:lineRule="auto"/>
              <w:jc w:val="both"/>
              <w:rPr>
                <w:rFonts w:ascii="Arial" w:eastAsia="Times New Roman" w:hAnsi="Arial" w:cs="Arial"/>
                <w:b/>
                <w:bCs/>
                <w:sz w:val="20"/>
                <w:szCs w:val="20"/>
              </w:rPr>
            </w:pPr>
            <w:r w:rsidRPr="002F29C1">
              <w:rPr>
                <w:rFonts w:ascii="Arial" w:eastAsia="Times New Roman" w:hAnsi="Arial" w:cs="Arial"/>
                <w:b/>
                <w:bCs/>
                <w:sz w:val="20"/>
                <w:szCs w:val="20"/>
              </w:rPr>
              <w:t>Interac</w:t>
            </w:r>
            <w:r w:rsidR="00E47CF5">
              <w:rPr>
                <w:rFonts w:ascii="Arial" w:eastAsia="Times New Roman" w:hAnsi="Arial" w:cs="Arial"/>
                <w:b/>
                <w:bCs/>
                <w:sz w:val="20"/>
                <w:szCs w:val="20"/>
              </w:rPr>
              <w:t>ción</w:t>
            </w:r>
            <w:r w:rsidRPr="002F29C1">
              <w:rPr>
                <w:rFonts w:ascii="Arial" w:eastAsia="Times New Roman" w:hAnsi="Arial" w:cs="Arial"/>
                <w:b/>
                <w:bCs/>
                <w:sz w:val="20"/>
                <w:szCs w:val="20"/>
              </w:rPr>
              <w:t xml:space="preserve"> didáctica en el aula</w:t>
            </w:r>
          </w:p>
        </w:tc>
        <w:tc>
          <w:tcPr>
            <w:tcW w:w="992"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b/>
                <w:bCs/>
                <w:sz w:val="20"/>
                <w:szCs w:val="20"/>
              </w:rPr>
            </w:pPr>
            <w:proofErr w:type="spellStart"/>
            <w:r w:rsidRPr="002F29C1">
              <w:rPr>
                <w:rFonts w:ascii="Arial" w:eastAsia="Times New Roman" w:hAnsi="Arial" w:cs="Arial"/>
                <w:b/>
                <w:bCs/>
                <w:sz w:val="20"/>
                <w:szCs w:val="20"/>
              </w:rPr>
              <w:t>Comu</w:t>
            </w:r>
            <w:proofErr w:type="spellEnd"/>
          </w:p>
          <w:p w:rsidR="008620F0" w:rsidRPr="002F29C1" w:rsidRDefault="008620F0" w:rsidP="00607A39">
            <w:pPr>
              <w:spacing w:line="360" w:lineRule="auto"/>
              <w:jc w:val="both"/>
              <w:rPr>
                <w:rFonts w:ascii="Arial" w:eastAsia="Times New Roman" w:hAnsi="Arial" w:cs="Arial"/>
                <w:b/>
                <w:sz w:val="20"/>
                <w:szCs w:val="20"/>
              </w:rPr>
            </w:pPr>
            <w:proofErr w:type="spellStart"/>
            <w:r w:rsidRPr="002F29C1">
              <w:rPr>
                <w:rFonts w:ascii="Arial" w:eastAsia="Times New Roman" w:hAnsi="Arial" w:cs="Arial"/>
                <w:b/>
                <w:bCs/>
                <w:sz w:val="20"/>
                <w:szCs w:val="20"/>
              </w:rPr>
              <w:t>nicación</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rPr>
              <w:t>Valores</w:t>
            </w:r>
          </w:p>
        </w:tc>
        <w:tc>
          <w:tcPr>
            <w:tcW w:w="127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b/>
                <w:sz w:val="20"/>
                <w:szCs w:val="20"/>
              </w:rPr>
            </w:pPr>
            <w:r w:rsidRPr="002F29C1">
              <w:rPr>
                <w:rFonts w:ascii="Arial" w:eastAsia="Times New Roman" w:hAnsi="Arial" w:cs="Arial"/>
                <w:b/>
                <w:bCs/>
                <w:sz w:val="20"/>
                <w:szCs w:val="20"/>
              </w:rPr>
              <w:t>Evaluación del PEA</w:t>
            </w:r>
          </w:p>
        </w:tc>
      </w:tr>
      <w:tr w:rsidR="008620F0" w:rsidRPr="002F29C1" w:rsidTr="005500BC">
        <w:trPr>
          <w:trHeight w:val="264"/>
        </w:trPr>
        <w:tc>
          <w:tcPr>
            <w:tcW w:w="16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lang w:val="es-ES"/>
              </w:rPr>
              <w:t xml:space="preserve">Q1 y Q2 = BAJAS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0-13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0-13</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0-7</w:t>
            </w:r>
          </w:p>
        </w:tc>
      </w:tr>
      <w:tr w:rsidR="008620F0" w:rsidRPr="002F29C1" w:rsidTr="005500BC">
        <w:trPr>
          <w:trHeight w:val="264"/>
        </w:trPr>
        <w:tc>
          <w:tcPr>
            <w:tcW w:w="16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lang w:val="es-ES"/>
              </w:rPr>
              <w:t xml:space="preserve">Q2 y Q3 = MEDIANAS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14-19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14-19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11-15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26-38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14-19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8-11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 xml:space="preserve">  8-11</w:t>
            </w:r>
          </w:p>
        </w:tc>
      </w:tr>
      <w:tr w:rsidR="008620F0" w:rsidRPr="002F29C1" w:rsidTr="005500BC">
        <w:trPr>
          <w:trHeight w:val="264"/>
        </w:trPr>
        <w:tc>
          <w:tcPr>
            <w:tcW w:w="16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lang w:val="es-ES"/>
              </w:rPr>
              <w:t xml:space="preserve">Q3 y  Q4 = </w:t>
            </w:r>
            <w:r w:rsidRPr="002F29C1">
              <w:rPr>
                <w:rFonts w:ascii="Arial" w:eastAsia="Times New Roman" w:hAnsi="Arial" w:cs="Arial"/>
                <w:b/>
                <w:bCs/>
                <w:sz w:val="20"/>
                <w:szCs w:val="20"/>
                <w:lang w:val="es-ES"/>
              </w:rPr>
              <w:lastRenderedPageBreak/>
              <w:t xml:space="preserve">ALTAS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lastRenderedPageBreak/>
              <w:t>20-25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20-25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16-20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39-50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20-25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12-15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6" w:type="dxa"/>
              <w:bottom w:w="0" w:type="dxa"/>
              <w:right w:w="86" w:type="dxa"/>
            </w:tcMar>
            <w:hideMark/>
          </w:tcPr>
          <w:p w:rsidR="008620F0" w:rsidRPr="002F29C1" w:rsidRDefault="008620F0" w:rsidP="00607A39">
            <w:pPr>
              <w:spacing w:line="360" w:lineRule="auto"/>
              <w:jc w:val="both"/>
              <w:rPr>
                <w:rFonts w:ascii="Arial" w:eastAsia="Times New Roman" w:hAnsi="Arial" w:cs="Arial"/>
                <w:sz w:val="20"/>
                <w:szCs w:val="20"/>
              </w:rPr>
            </w:pPr>
            <w:r w:rsidRPr="002F29C1">
              <w:rPr>
                <w:rFonts w:ascii="Arial" w:eastAsia="Times New Roman" w:hAnsi="Arial" w:cs="Arial"/>
                <w:b/>
                <w:bCs/>
                <w:sz w:val="20"/>
                <w:szCs w:val="20"/>
              </w:rPr>
              <w:t>12-15</w:t>
            </w:r>
          </w:p>
        </w:tc>
      </w:tr>
    </w:tbl>
    <w:p w:rsidR="00142DA2" w:rsidRPr="002F29C1" w:rsidRDefault="00142DA2" w:rsidP="00607A39">
      <w:pPr>
        <w:spacing w:line="360" w:lineRule="auto"/>
        <w:jc w:val="both"/>
        <w:rPr>
          <w:rFonts w:ascii="Arial" w:eastAsia="Times New Roman" w:hAnsi="Arial" w:cs="Arial"/>
          <w:bCs/>
          <w:color w:val="000000"/>
          <w:kern w:val="24"/>
          <w:lang w:val="es-ES" w:eastAsia="es-MX"/>
        </w:rPr>
      </w:pPr>
    </w:p>
    <w:p w:rsidR="007C312B" w:rsidRPr="00F01B15" w:rsidRDefault="007C312B" w:rsidP="007C312B">
      <w:pPr>
        <w:spacing w:line="360" w:lineRule="auto"/>
        <w:jc w:val="both"/>
        <w:rPr>
          <w:rFonts w:eastAsia="Times New Roman" w:cs="Times New Roman"/>
          <w:bCs/>
          <w:color w:val="000000"/>
          <w:kern w:val="24"/>
        </w:rPr>
      </w:pPr>
      <w:r w:rsidRPr="00F01B15">
        <w:rPr>
          <w:rFonts w:eastAsia="Times New Roman" w:cs="Times New Roman"/>
          <w:bCs/>
          <w:color w:val="000000"/>
          <w:kern w:val="24"/>
          <w:lang w:val="es-ES"/>
        </w:rPr>
        <w:t>Aplicando el procedimiento anterior se obtuvo</w:t>
      </w:r>
      <w:r w:rsidRPr="00F01B15">
        <w:rPr>
          <w:rFonts w:eastAsia="Times New Roman" w:cs="Times New Roman"/>
          <w:bCs/>
          <w:color w:val="000000"/>
          <w:kern w:val="24"/>
        </w:rPr>
        <w:t xml:space="preserve"> la escala de evaluación de competencias genéricas, para ser aplicada a los docentes por institución considerando el rango de valores de 35-175, 35 si contestaron 1 y 5 en todos los </w:t>
      </w:r>
      <w:r w:rsidR="00E47CF5" w:rsidRPr="00F01B15">
        <w:rPr>
          <w:rFonts w:eastAsia="Times New Roman" w:cs="Times New Roman"/>
          <w:bCs/>
          <w:color w:val="000000"/>
          <w:kern w:val="24"/>
        </w:rPr>
        <w:t>í</w:t>
      </w:r>
      <w:r w:rsidRPr="00F01B15">
        <w:rPr>
          <w:rFonts w:eastAsia="Times New Roman" w:cs="Times New Roman"/>
          <w:bCs/>
          <w:color w:val="000000"/>
          <w:kern w:val="24"/>
        </w:rPr>
        <w:t>tems respectivamente, posteriormente se sacaron los cuartiles para determinar la escala de valoración de las competencias.</w:t>
      </w:r>
    </w:p>
    <w:p w:rsidR="007C312B" w:rsidRPr="007C312B" w:rsidRDefault="007C312B" w:rsidP="007C312B">
      <w:pPr>
        <w:spacing w:line="360" w:lineRule="auto"/>
        <w:jc w:val="both"/>
        <w:rPr>
          <w:rFonts w:ascii="Arial" w:eastAsia="Times New Roman" w:hAnsi="Arial" w:cs="Arial"/>
          <w:bCs/>
          <w:color w:val="000000"/>
          <w:kern w:val="24"/>
        </w:rPr>
      </w:pPr>
    </w:p>
    <w:p w:rsidR="008620F0" w:rsidRPr="002F29C1" w:rsidRDefault="00DC781F" w:rsidP="00607A39">
      <w:pPr>
        <w:spacing w:line="360" w:lineRule="auto"/>
        <w:jc w:val="both"/>
        <w:rPr>
          <w:rFonts w:ascii="Arial" w:eastAsia="Times New Roman" w:hAnsi="Arial" w:cs="Arial"/>
          <w:b/>
          <w:color w:val="FF0000"/>
        </w:rPr>
      </w:pPr>
      <w:r>
        <w:rPr>
          <w:rFonts w:ascii="Arial" w:eastAsia="Times New Roman" w:hAnsi="Arial" w:cs="Arial"/>
          <w:b/>
          <w:bCs/>
          <w:color w:val="000000"/>
          <w:kern w:val="24"/>
          <w:lang w:val="es-ES"/>
        </w:rPr>
        <w:t>Tabla</w:t>
      </w:r>
      <w:r w:rsidR="008620F0" w:rsidRPr="002F29C1">
        <w:rPr>
          <w:rFonts w:ascii="Arial" w:eastAsia="Times New Roman" w:hAnsi="Arial" w:cs="Arial"/>
          <w:b/>
          <w:bCs/>
          <w:color w:val="000000"/>
          <w:kern w:val="24"/>
          <w:lang w:val="es-ES"/>
        </w:rPr>
        <w:t xml:space="preserve"> 3</w:t>
      </w:r>
      <w:r>
        <w:rPr>
          <w:rFonts w:ascii="Arial" w:eastAsia="Times New Roman" w:hAnsi="Arial" w:cs="Arial"/>
          <w:b/>
          <w:bCs/>
          <w:color w:val="000000"/>
          <w:kern w:val="24"/>
          <w:lang w:val="es-ES"/>
        </w:rPr>
        <w:t>.</w:t>
      </w:r>
      <w:r w:rsidR="008620F0" w:rsidRPr="002F29C1">
        <w:rPr>
          <w:rFonts w:ascii="Arial" w:eastAsia="Times New Roman" w:hAnsi="Arial" w:cs="Arial"/>
          <w:b/>
          <w:bCs/>
          <w:color w:val="000000"/>
          <w:kern w:val="24"/>
          <w:lang w:val="es-ES"/>
        </w:rPr>
        <w:t xml:space="preserve"> Escala de valoración para obtener las competencias genéricas de los</w:t>
      </w:r>
      <w:r>
        <w:rPr>
          <w:rFonts w:ascii="Arial" w:eastAsia="Times New Roman" w:hAnsi="Arial" w:cs="Arial"/>
          <w:b/>
          <w:bCs/>
          <w:color w:val="000000"/>
          <w:kern w:val="24"/>
          <w:lang w:val="es-ES"/>
        </w:rPr>
        <w:t xml:space="preserve"> docentes por </w:t>
      </w:r>
      <w:r w:rsidR="00E47CF5">
        <w:rPr>
          <w:rFonts w:ascii="Arial" w:eastAsia="Times New Roman" w:hAnsi="Arial" w:cs="Arial"/>
          <w:b/>
          <w:bCs/>
          <w:color w:val="000000"/>
          <w:kern w:val="24"/>
          <w:lang w:val="es-ES"/>
        </w:rPr>
        <w:t>u</w:t>
      </w:r>
      <w:r>
        <w:rPr>
          <w:rFonts w:ascii="Arial" w:eastAsia="Times New Roman" w:hAnsi="Arial" w:cs="Arial"/>
          <w:b/>
          <w:bCs/>
          <w:color w:val="000000"/>
          <w:kern w:val="24"/>
          <w:lang w:val="es-ES"/>
        </w:rPr>
        <w:t xml:space="preserve">nidad </w:t>
      </w:r>
      <w:r w:rsidR="00E47CF5">
        <w:rPr>
          <w:rFonts w:ascii="Arial" w:eastAsia="Times New Roman" w:hAnsi="Arial" w:cs="Arial"/>
          <w:b/>
          <w:bCs/>
          <w:color w:val="000000"/>
          <w:kern w:val="24"/>
          <w:lang w:val="es-ES"/>
        </w:rPr>
        <w:t>a</w:t>
      </w:r>
      <w:r>
        <w:rPr>
          <w:rFonts w:ascii="Arial" w:eastAsia="Times New Roman" w:hAnsi="Arial" w:cs="Arial"/>
          <w:b/>
          <w:bCs/>
          <w:color w:val="000000"/>
          <w:kern w:val="24"/>
          <w:lang w:val="es-ES"/>
        </w:rPr>
        <w:t>cadémica</w:t>
      </w:r>
    </w:p>
    <w:tbl>
      <w:tblPr>
        <w:tblW w:w="9464" w:type="dxa"/>
        <w:shd w:val="clear" w:color="auto" w:fill="FFFFFF" w:themeFill="background1"/>
        <w:tblCellMar>
          <w:left w:w="0" w:type="dxa"/>
          <w:right w:w="0" w:type="dxa"/>
        </w:tblCellMar>
        <w:tblLook w:val="0600" w:firstRow="0" w:lastRow="0" w:firstColumn="0" w:lastColumn="0" w:noHBand="1" w:noVBand="1"/>
      </w:tblPr>
      <w:tblGrid>
        <w:gridCol w:w="3227"/>
        <w:gridCol w:w="6237"/>
      </w:tblGrid>
      <w:tr w:rsidR="008620F0" w:rsidRPr="002F29C1" w:rsidTr="007829EA">
        <w:tc>
          <w:tcPr>
            <w:tcW w:w="3227"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08" w:type="dxa"/>
              <w:bottom w:w="0" w:type="dxa"/>
              <w:right w:w="108" w:type="dxa"/>
            </w:tcMar>
            <w:hideMark/>
          </w:tcPr>
          <w:p w:rsidR="008620F0" w:rsidRPr="002F29C1" w:rsidRDefault="008620F0" w:rsidP="00607A39">
            <w:pPr>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Escala de valoración</w:t>
            </w:r>
          </w:p>
          <w:p w:rsidR="008620F0" w:rsidRPr="002F29C1" w:rsidRDefault="00E47CF5" w:rsidP="00E47CF5">
            <w:pPr>
              <w:spacing w:line="360" w:lineRule="auto"/>
              <w:jc w:val="center"/>
              <w:rPr>
                <w:rFonts w:ascii="Arial" w:eastAsia="Times New Roman" w:hAnsi="Arial" w:cs="Arial"/>
                <w:b/>
                <w:bCs/>
                <w:sz w:val="20"/>
                <w:szCs w:val="20"/>
                <w:lang w:val="es-ES"/>
              </w:rPr>
            </w:pPr>
            <w:r>
              <w:rPr>
                <w:rFonts w:ascii="Arial" w:eastAsia="Times New Roman" w:hAnsi="Arial" w:cs="Arial"/>
                <w:b/>
                <w:bCs/>
                <w:sz w:val="20"/>
                <w:szCs w:val="20"/>
                <w:lang w:val="es-ES"/>
              </w:rPr>
              <w:t>d</w:t>
            </w:r>
            <w:r w:rsidR="008620F0" w:rsidRPr="002F29C1">
              <w:rPr>
                <w:rFonts w:ascii="Arial" w:eastAsia="Times New Roman" w:hAnsi="Arial" w:cs="Arial"/>
                <w:b/>
                <w:bCs/>
                <w:sz w:val="20"/>
                <w:szCs w:val="20"/>
                <w:lang w:val="es-ES"/>
              </w:rPr>
              <w:t xml:space="preserve">e </w:t>
            </w:r>
            <w:r>
              <w:rPr>
                <w:rFonts w:ascii="Arial" w:eastAsia="Times New Roman" w:hAnsi="Arial" w:cs="Arial"/>
                <w:b/>
                <w:bCs/>
                <w:sz w:val="20"/>
                <w:szCs w:val="20"/>
                <w:lang w:val="es-ES"/>
              </w:rPr>
              <w:t>c</w:t>
            </w:r>
            <w:r w:rsidR="008620F0" w:rsidRPr="002F29C1">
              <w:rPr>
                <w:rFonts w:ascii="Arial" w:eastAsia="Times New Roman" w:hAnsi="Arial" w:cs="Arial"/>
                <w:b/>
                <w:bCs/>
                <w:sz w:val="20"/>
                <w:szCs w:val="20"/>
                <w:lang w:val="es-ES"/>
              </w:rPr>
              <w:t>ompetencias</w:t>
            </w:r>
          </w:p>
        </w:tc>
        <w:tc>
          <w:tcPr>
            <w:tcW w:w="6237"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08" w:type="dxa"/>
              <w:bottom w:w="0" w:type="dxa"/>
              <w:right w:w="108" w:type="dxa"/>
            </w:tcMar>
            <w:hideMark/>
          </w:tcPr>
          <w:p w:rsidR="008620F0" w:rsidRPr="002F29C1" w:rsidRDefault="008620F0" w:rsidP="00607A39">
            <w:pPr>
              <w:spacing w:line="360" w:lineRule="auto"/>
              <w:ind w:left="360"/>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Conducción del proceso de enseñanza aprendizaje por competencias</w:t>
            </w:r>
          </w:p>
        </w:tc>
      </w:tr>
      <w:tr w:rsidR="008620F0" w:rsidRPr="002F29C1" w:rsidTr="00FD574A">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Q1 y Q2 = BAJAS</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tabs>
                <w:tab w:val="center" w:pos="3931"/>
              </w:tabs>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0-88</w:t>
            </w:r>
          </w:p>
        </w:tc>
      </w:tr>
      <w:tr w:rsidR="008620F0" w:rsidRPr="002F29C1" w:rsidTr="00FD574A">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Q2 y Q3 = MEDIANAS</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tabs>
                <w:tab w:val="center" w:pos="3931"/>
              </w:tabs>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89-132</w:t>
            </w:r>
          </w:p>
        </w:tc>
      </w:tr>
      <w:tr w:rsidR="008620F0" w:rsidRPr="002F29C1" w:rsidTr="00FD574A">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Q3 y  Q4 = ALTAS</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20F0" w:rsidRPr="002F29C1" w:rsidRDefault="008620F0" w:rsidP="00607A39">
            <w:pPr>
              <w:tabs>
                <w:tab w:val="center" w:pos="3931"/>
              </w:tabs>
              <w:spacing w:line="360" w:lineRule="auto"/>
              <w:jc w:val="center"/>
              <w:rPr>
                <w:rFonts w:ascii="Arial" w:eastAsia="Times New Roman" w:hAnsi="Arial" w:cs="Arial"/>
                <w:b/>
                <w:bCs/>
                <w:sz w:val="20"/>
                <w:szCs w:val="20"/>
                <w:lang w:val="es-ES"/>
              </w:rPr>
            </w:pPr>
            <w:r w:rsidRPr="002F29C1">
              <w:rPr>
                <w:rFonts w:ascii="Arial" w:eastAsia="Times New Roman" w:hAnsi="Arial" w:cs="Arial"/>
                <w:b/>
                <w:bCs/>
                <w:sz w:val="20"/>
                <w:szCs w:val="20"/>
                <w:lang w:val="es-ES"/>
              </w:rPr>
              <w:t>133-175</w:t>
            </w:r>
          </w:p>
        </w:tc>
      </w:tr>
    </w:tbl>
    <w:p w:rsidR="007E2661" w:rsidRDefault="007E2661" w:rsidP="00607A39">
      <w:pPr>
        <w:spacing w:line="360" w:lineRule="auto"/>
        <w:jc w:val="both"/>
        <w:rPr>
          <w:rFonts w:ascii="Arial" w:eastAsia="Times New Roman" w:hAnsi="Arial" w:cs="Arial"/>
          <w:color w:val="FF0000"/>
        </w:rPr>
      </w:pPr>
    </w:p>
    <w:p w:rsidR="006E0E83" w:rsidRPr="00F01B15" w:rsidRDefault="00E47CF5" w:rsidP="006E0E83">
      <w:pPr>
        <w:spacing w:line="360" w:lineRule="auto"/>
        <w:jc w:val="both"/>
        <w:rPr>
          <w:rFonts w:eastAsia="Times New Roman" w:cs="Times New Roman"/>
        </w:rPr>
      </w:pPr>
      <w:r w:rsidRPr="00F01B15">
        <w:rPr>
          <w:rFonts w:eastAsia="Times New Roman" w:cs="Times New Roman"/>
        </w:rPr>
        <w:t>Con el fin de</w:t>
      </w:r>
      <w:r w:rsidR="006E0E83" w:rsidRPr="00F01B15">
        <w:rPr>
          <w:rFonts w:eastAsia="Times New Roman" w:cs="Times New Roman"/>
        </w:rPr>
        <w:t xml:space="preserve"> determinar las fortalezas y debilidades de cada programa educativo por institución se utilizó la media aritmética para sacar el promedio de cada indicador de las dimensiones.</w:t>
      </w:r>
    </w:p>
    <w:p w:rsidR="006E0E83" w:rsidRPr="006E0E83" w:rsidRDefault="006E0E83" w:rsidP="006E0E83">
      <w:pPr>
        <w:spacing w:line="360" w:lineRule="auto"/>
        <w:jc w:val="both"/>
        <w:rPr>
          <w:rFonts w:ascii="Arial" w:eastAsia="Times New Roman" w:hAnsi="Arial" w:cs="Arial"/>
          <w:lang w:val="es-CO"/>
        </w:rPr>
      </w:pPr>
      <w:r w:rsidRPr="00F01B15">
        <w:rPr>
          <w:rFonts w:eastAsia="Times New Roman" w:cs="Times New Roman"/>
        </w:rPr>
        <w:t>Posteriormente se realizó la clasificación de estas fortalezas y debilidades a partir de los indicadores de las dimensiones en bajas, medianas y altas, utilizando la mediana de cada indicador, donde la mínima calificación fue 1</w:t>
      </w:r>
      <w:r w:rsidR="00B56B8B" w:rsidRPr="00F01B15">
        <w:rPr>
          <w:rFonts w:eastAsia="Times New Roman" w:cs="Times New Roman"/>
        </w:rPr>
        <w:t>,</w:t>
      </w:r>
      <w:r w:rsidRPr="00F01B15">
        <w:rPr>
          <w:rFonts w:eastAsia="Times New Roman" w:cs="Times New Roman"/>
        </w:rPr>
        <w:t xml:space="preserve"> la máxima 5 y la mediana 3</w:t>
      </w:r>
      <w:r w:rsidRPr="00F01B15">
        <w:rPr>
          <w:rFonts w:eastAsia="Times New Roman" w:cs="Times New Roman"/>
          <w:lang w:val="es-CO"/>
        </w:rPr>
        <w:t>; a partir de ello se consideró que los valores menores a la mediana es una debilidad</w:t>
      </w:r>
      <w:r w:rsidR="00E47CF5" w:rsidRPr="00F01B15">
        <w:rPr>
          <w:rFonts w:eastAsia="Times New Roman" w:cs="Times New Roman"/>
          <w:lang w:val="es-CO"/>
        </w:rPr>
        <w:t>,</w:t>
      </w:r>
      <w:r w:rsidRPr="00F01B15">
        <w:rPr>
          <w:rFonts w:eastAsia="Times New Roman" w:cs="Times New Roman"/>
          <w:lang w:val="es-CO"/>
        </w:rPr>
        <w:t xml:space="preserve"> </w:t>
      </w:r>
      <w:r w:rsidR="00B56B8B" w:rsidRPr="00F01B15">
        <w:rPr>
          <w:rFonts w:eastAsia="Times New Roman" w:cs="Times New Roman"/>
          <w:lang w:val="es-CO"/>
        </w:rPr>
        <w:t>que</w:t>
      </w:r>
      <w:r w:rsidRPr="00F01B15">
        <w:rPr>
          <w:rFonts w:eastAsia="Times New Roman" w:cs="Times New Roman"/>
          <w:lang w:val="es-CO"/>
        </w:rPr>
        <w:t xml:space="preserve"> de 3 a 4 medianas fortalezas</w:t>
      </w:r>
      <w:r w:rsidR="00E47CF5" w:rsidRPr="00F01B15">
        <w:rPr>
          <w:rFonts w:eastAsia="Times New Roman" w:cs="Times New Roman"/>
          <w:lang w:val="es-CO"/>
        </w:rPr>
        <w:t>,</w:t>
      </w:r>
      <w:r w:rsidRPr="00F01B15">
        <w:rPr>
          <w:rFonts w:eastAsia="Times New Roman" w:cs="Times New Roman"/>
          <w:lang w:val="es-CO"/>
        </w:rPr>
        <w:t xml:space="preserve"> y de 4 a 5 altas fortalezas, </w:t>
      </w:r>
      <w:r w:rsidR="00E47CF5" w:rsidRPr="00F01B15">
        <w:rPr>
          <w:rFonts w:eastAsia="Times New Roman" w:cs="Times New Roman"/>
          <w:lang w:val="es-CO"/>
        </w:rPr>
        <w:t>como muestra</w:t>
      </w:r>
      <w:r w:rsidRPr="00F01B15">
        <w:rPr>
          <w:rFonts w:eastAsia="Times New Roman" w:cs="Times New Roman"/>
          <w:lang w:val="es-CO"/>
        </w:rPr>
        <w:t xml:space="preserve"> la figura 1</w:t>
      </w:r>
      <w:r w:rsidR="00E47CF5" w:rsidRPr="00F01B15">
        <w:rPr>
          <w:rFonts w:eastAsia="Times New Roman" w:cs="Times New Roman"/>
          <w:lang w:val="es-CO"/>
        </w:rPr>
        <w:t>.</w:t>
      </w:r>
    </w:p>
    <w:p w:rsidR="007E2661" w:rsidRDefault="007E2661" w:rsidP="00607A39">
      <w:pPr>
        <w:spacing w:line="360" w:lineRule="auto"/>
        <w:jc w:val="both"/>
        <w:rPr>
          <w:rFonts w:ascii="Arial" w:eastAsia="Times New Roman" w:hAnsi="Arial" w:cs="Arial"/>
          <w:color w:val="FF0000"/>
        </w:rPr>
      </w:pPr>
    </w:p>
    <w:p w:rsidR="008620F0" w:rsidRPr="002F29C1" w:rsidRDefault="00EA7534" w:rsidP="00607A39">
      <w:pPr>
        <w:spacing w:line="360" w:lineRule="auto"/>
        <w:ind w:left="-180"/>
        <w:jc w:val="both"/>
        <w:outlineLvl w:val="0"/>
        <w:rPr>
          <w:rFonts w:ascii="Arial" w:eastAsia="Times New Roman" w:hAnsi="Arial" w:cs="Arial"/>
          <w:color w:val="000000"/>
          <w:kern w:val="24"/>
          <w:lang w:val="es-CO" w:eastAsia="es-MX"/>
        </w:rPr>
      </w:pPr>
      <w:r>
        <w:rPr>
          <w:rFonts w:ascii="Arial" w:eastAsia="Times New Roman" w:hAnsi="Arial" w:cs="Arial"/>
          <w:b/>
          <w:lang w:eastAsia="es-MX"/>
        </w:rPr>
        <w:t>Figura</w:t>
      </w:r>
      <w:r w:rsidR="008620F0" w:rsidRPr="002F29C1">
        <w:rPr>
          <w:rFonts w:ascii="Arial" w:eastAsia="Times New Roman" w:hAnsi="Arial" w:cs="Arial"/>
          <w:b/>
          <w:lang w:eastAsia="es-MX"/>
        </w:rPr>
        <w:t xml:space="preserve"> 1</w:t>
      </w:r>
      <w:r>
        <w:rPr>
          <w:rFonts w:ascii="Arial" w:eastAsia="Times New Roman" w:hAnsi="Arial" w:cs="Arial"/>
          <w:b/>
          <w:lang w:eastAsia="es-MX"/>
        </w:rPr>
        <w:t>.</w:t>
      </w:r>
      <w:r w:rsidR="008620F0" w:rsidRPr="002F29C1">
        <w:rPr>
          <w:rFonts w:ascii="Arial" w:eastAsia="Times New Roman" w:hAnsi="Arial" w:cs="Arial"/>
          <w:b/>
          <w:lang w:eastAsia="es-MX"/>
        </w:rPr>
        <w:t xml:space="preserve"> Clasificación de fortalezas y debilidades</w:t>
      </w:r>
      <w:r w:rsidR="008620F0" w:rsidRPr="002F29C1">
        <w:rPr>
          <w:rFonts w:ascii="Arial" w:eastAsia="Times New Roman" w:hAnsi="Arial" w:cs="Arial"/>
          <w:b/>
          <w:color w:val="000000"/>
          <w:kern w:val="24"/>
          <w:lang w:val="es-CO" w:eastAsia="es-MX"/>
        </w:rPr>
        <w:t xml:space="preserve"> de los docentes en cuanto a los indicadores de las dimensiones</w:t>
      </w:r>
    </w:p>
    <w:p w:rsidR="008620F0" w:rsidRPr="002F29C1" w:rsidRDefault="008620F0" w:rsidP="00607A39">
      <w:pPr>
        <w:spacing w:line="360" w:lineRule="auto"/>
        <w:jc w:val="both"/>
        <w:rPr>
          <w:rFonts w:ascii="Arial" w:eastAsia="Times New Roman" w:hAnsi="Arial" w:cs="Arial"/>
          <w:color w:val="000000"/>
          <w:kern w:val="24"/>
          <w:lang w:val="es-CO" w:eastAsia="es-MX"/>
        </w:rPr>
      </w:pPr>
      <w:r w:rsidRPr="002F29C1">
        <w:rPr>
          <w:rFonts w:ascii="Arial" w:eastAsia="Times New Roman" w:hAnsi="Arial" w:cs="Arial"/>
          <w:noProof/>
          <w:shd w:val="clear" w:color="auto" w:fill="FDE9D9" w:themeFill="accent6" w:themeFillTint="33"/>
          <w:lang w:eastAsia="es-MX"/>
        </w:rPr>
        <w:drawing>
          <wp:inline distT="0" distB="0" distL="0" distR="0" wp14:anchorId="5C3BDEA4" wp14:editId="7FD932CF">
            <wp:extent cx="5581288" cy="828136"/>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7208" cy="827531"/>
                    </a:xfrm>
                    <a:prstGeom prst="rect">
                      <a:avLst/>
                    </a:prstGeom>
                  </pic:spPr>
                </pic:pic>
              </a:graphicData>
            </a:graphic>
          </wp:inline>
        </w:drawing>
      </w:r>
    </w:p>
    <w:p w:rsidR="00F01B15" w:rsidRDefault="00F01B15" w:rsidP="00607A39">
      <w:pPr>
        <w:tabs>
          <w:tab w:val="left" w:pos="3402"/>
        </w:tabs>
        <w:spacing w:line="360" w:lineRule="auto"/>
        <w:jc w:val="both"/>
        <w:rPr>
          <w:rFonts w:ascii="Arial" w:eastAsia="Times New Roman" w:hAnsi="Arial" w:cs="Arial"/>
          <w:b/>
          <w:lang w:val="es-ES"/>
        </w:rPr>
      </w:pPr>
    </w:p>
    <w:p w:rsidR="00F01B15" w:rsidRDefault="00F01B15" w:rsidP="00607A39">
      <w:pPr>
        <w:tabs>
          <w:tab w:val="left" w:pos="3402"/>
        </w:tabs>
        <w:spacing w:line="360" w:lineRule="auto"/>
        <w:jc w:val="both"/>
        <w:rPr>
          <w:rFonts w:ascii="Arial" w:eastAsia="Times New Roman" w:hAnsi="Arial" w:cs="Arial"/>
          <w:b/>
          <w:lang w:val="es-ES"/>
        </w:rPr>
      </w:pPr>
    </w:p>
    <w:p w:rsidR="00F01B15" w:rsidRDefault="00F01B15" w:rsidP="00607A39">
      <w:pPr>
        <w:tabs>
          <w:tab w:val="left" w:pos="3402"/>
        </w:tabs>
        <w:spacing w:line="360" w:lineRule="auto"/>
        <w:jc w:val="both"/>
        <w:rPr>
          <w:rFonts w:ascii="Arial" w:eastAsia="Times New Roman" w:hAnsi="Arial" w:cs="Arial"/>
          <w:b/>
          <w:lang w:val="es-ES"/>
        </w:rPr>
      </w:pPr>
    </w:p>
    <w:p w:rsidR="00F01B15" w:rsidRDefault="00F01B15" w:rsidP="00607A39">
      <w:pPr>
        <w:tabs>
          <w:tab w:val="left" w:pos="3402"/>
        </w:tabs>
        <w:spacing w:line="360" w:lineRule="auto"/>
        <w:jc w:val="both"/>
        <w:rPr>
          <w:rFonts w:ascii="Arial" w:eastAsia="Times New Roman" w:hAnsi="Arial" w:cs="Arial"/>
          <w:b/>
          <w:lang w:val="es-ES"/>
        </w:rPr>
      </w:pPr>
    </w:p>
    <w:p w:rsidR="00F01B15" w:rsidRDefault="00F01B15" w:rsidP="00607A39">
      <w:pPr>
        <w:tabs>
          <w:tab w:val="left" w:pos="3402"/>
        </w:tabs>
        <w:spacing w:line="360" w:lineRule="auto"/>
        <w:jc w:val="both"/>
        <w:rPr>
          <w:rFonts w:ascii="Arial" w:eastAsia="Times New Roman" w:hAnsi="Arial" w:cs="Arial"/>
          <w:b/>
          <w:lang w:val="es-ES"/>
        </w:rPr>
      </w:pPr>
    </w:p>
    <w:p w:rsidR="008620F0" w:rsidRPr="002F29C1" w:rsidRDefault="008620F0" w:rsidP="00607A39">
      <w:pPr>
        <w:tabs>
          <w:tab w:val="left" w:pos="3402"/>
        </w:tabs>
        <w:spacing w:line="360" w:lineRule="auto"/>
        <w:jc w:val="both"/>
        <w:rPr>
          <w:rFonts w:ascii="Arial" w:eastAsia="Times New Roman" w:hAnsi="Arial" w:cs="Arial"/>
          <w:b/>
          <w:lang w:val="es-ES"/>
        </w:rPr>
      </w:pPr>
      <w:r w:rsidRPr="002F29C1">
        <w:rPr>
          <w:rFonts w:ascii="Arial" w:eastAsia="Times New Roman" w:hAnsi="Arial" w:cs="Arial"/>
          <w:b/>
          <w:lang w:val="es-ES"/>
        </w:rPr>
        <w:t>Resultados</w:t>
      </w:r>
    </w:p>
    <w:p w:rsidR="00EA7534" w:rsidRDefault="00EA7534" w:rsidP="00607A39">
      <w:pPr>
        <w:tabs>
          <w:tab w:val="left" w:pos="3402"/>
        </w:tabs>
        <w:spacing w:line="360" w:lineRule="auto"/>
        <w:jc w:val="both"/>
        <w:rPr>
          <w:rFonts w:ascii="Arial" w:eastAsia="Times New Roman" w:hAnsi="Arial" w:cs="Arial"/>
          <w:b/>
          <w:lang w:val="es-ES"/>
        </w:rPr>
      </w:pPr>
    </w:p>
    <w:p w:rsidR="008620F0" w:rsidRPr="002F29C1" w:rsidRDefault="00EA7534" w:rsidP="00607A39">
      <w:pPr>
        <w:tabs>
          <w:tab w:val="left" w:pos="3402"/>
        </w:tabs>
        <w:spacing w:line="360" w:lineRule="auto"/>
        <w:jc w:val="both"/>
        <w:rPr>
          <w:rFonts w:ascii="Arial" w:eastAsia="Times New Roman" w:hAnsi="Arial" w:cs="Arial"/>
          <w:b/>
          <w:lang w:val="es-ES"/>
        </w:rPr>
      </w:pPr>
      <w:r>
        <w:rPr>
          <w:rFonts w:ascii="Arial" w:eastAsia="Times New Roman" w:hAnsi="Arial" w:cs="Arial"/>
          <w:b/>
          <w:lang w:val="es-ES"/>
        </w:rPr>
        <w:t>Tabla</w:t>
      </w:r>
      <w:r w:rsidR="008620F0" w:rsidRPr="002F29C1">
        <w:rPr>
          <w:rFonts w:ascii="Arial" w:eastAsia="Times New Roman" w:hAnsi="Arial" w:cs="Arial"/>
          <w:b/>
          <w:lang w:val="es-ES"/>
        </w:rPr>
        <w:t xml:space="preserve"> 4</w:t>
      </w:r>
      <w:r>
        <w:rPr>
          <w:rFonts w:ascii="Arial" w:eastAsia="Times New Roman" w:hAnsi="Arial" w:cs="Arial"/>
          <w:b/>
          <w:lang w:val="es-ES"/>
        </w:rPr>
        <w:t>.</w:t>
      </w:r>
      <w:r w:rsidR="008620F0" w:rsidRPr="002F29C1">
        <w:rPr>
          <w:rFonts w:ascii="Arial" w:eastAsia="Times New Roman" w:hAnsi="Arial" w:cs="Arial"/>
          <w:b/>
          <w:lang w:val="es-ES"/>
        </w:rPr>
        <w:t xml:space="preserve"> Promedio </w:t>
      </w:r>
      <w:r>
        <w:rPr>
          <w:rFonts w:ascii="Arial" w:eastAsia="Times New Roman" w:hAnsi="Arial" w:cs="Arial"/>
          <w:b/>
          <w:lang w:val="es-ES"/>
        </w:rPr>
        <w:t xml:space="preserve">general </w:t>
      </w:r>
      <w:r w:rsidR="008620F0" w:rsidRPr="002F29C1">
        <w:rPr>
          <w:rFonts w:ascii="Arial" w:eastAsia="Times New Roman" w:hAnsi="Arial" w:cs="Arial"/>
          <w:b/>
          <w:lang w:val="es-ES"/>
        </w:rPr>
        <w:t xml:space="preserve">del nivel de </w:t>
      </w:r>
      <w:r>
        <w:rPr>
          <w:rFonts w:ascii="Arial" w:eastAsia="Times New Roman" w:hAnsi="Arial" w:cs="Arial"/>
          <w:b/>
          <w:lang w:val="es-ES"/>
        </w:rPr>
        <w:t>competencias genéricas de los a</w:t>
      </w:r>
      <w:r w:rsidR="008620F0" w:rsidRPr="002F29C1">
        <w:rPr>
          <w:rFonts w:ascii="Arial" w:eastAsia="Times New Roman" w:hAnsi="Arial" w:cs="Arial"/>
          <w:b/>
          <w:lang w:val="es-ES"/>
        </w:rPr>
        <w:t xml:space="preserve">cadémicos que </w:t>
      </w:r>
      <w:r>
        <w:rPr>
          <w:rFonts w:ascii="Arial" w:eastAsia="Times New Roman" w:hAnsi="Arial" w:cs="Arial"/>
          <w:b/>
          <w:lang w:val="es-ES"/>
        </w:rPr>
        <w:t xml:space="preserve">se encuentran frente a grupo </w:t>
      </w:r>
      <w:r w:rsidR="00E47CF5">
        <w:rPr>
          <w:rFonts w:ascii="Arial" w:eastAsia="Times New Roman" w:hAnsi="Arial" w:cs="Arial"/>
          <w:b/>
          <w:lang w:val="es-ES"/>
        </w:rPr>
        <w:t xml:space="preserve">por institución </w:t>
      </w:r>
      <w:r>
        <w:rPr>
          <w:rFonts w:ascii="Arial" w:eastAsia="Times New Roman" w:hAnsi="Arial" w:cs="Arial"/>
          <w:b/>
          <w:lang w:val="es-ES"/>
        </w:rPr>
        <w:t>en el  nivel superior del e</w:t>
      </w:r>
      <w:r w:rsidR="008620F0" w:rsidRPr="002F29C1">
        <w:rPr>
          <w:rFonts w:ascii="Arial" w:eastAsia="Times New Roman" w:hAnsi="Arial" w:cs="Arial"/>
          <w:b/>
          <w:lang w:val="es-ES"/>
        </w:rPr>
        <w:t>sta</w:t>
      </w:r>
      <w:r>
        <w:rPr>
          <w:rFonts w:ascii="Arial" w:eastAsia="Times New Roman" w:hAnsi="Arial" w:cs="Arial"/>
          <w:b/>
          <w:lang w:val="es-ES"/>
        </w:rPr>
        <w:t>do de Guerrero</w:t>
      </w:r>
    </w:p>
    <w:tbl>
      <w:tblPr>
        <w:tblStyle w:val="Sombreadoclaro1"/>
        <w:tblW w:w="0" w:type="auto"/>
        <w:tblLayout w:type="fixed"/>
        <w:tblLook w:val="04A0" w:firstRow="1" w:lastRow="0" w:firstColumn="1" w:lastColumn="0" w:noHBand="0" w:noVBand="1"/>
      </w:tblPr>
      <w:tblGrid>
        <w:gridCol w:w="3369"/>
        <w:gridCol w:w="1523"/>
        <w:gridCol w:w="1316"/>
        <w:gridCol w:w="2547"/>
      </w:tblGrid>
      <w:tr w:rsidR="008620F0" w:rsidRPr="002F29C1" w:rsidTr="007829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val="restart"/>
            <w:shd w:val="clear" w:color="auto" w:fill="FDE9D9" w:themeFill="accent6" w:themeFillTint="33"/>
          </w:tcPr>
          <w:p w:rsidR="008620F0" w:rsidRPr="002F29C1" w:rsidRDefault="008620F0" w:rsidP="00607A39">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Competencias genéricas por Institución Educativa</w:t>
            </w:r>
          </w:p>
        </w:tc>
        <w:tc>
          <w:tcPr>
            <w:tcW w:w="5386" w:type="dxa"/>
            <w:gridSpan w:val="3"/>
            <w:shd w:val="clear" w:color="auto" w:fill="FDE9D9" w:themeFill="accent6" w:themeFillTint="33"/>
          </w:tcPr>
          <w:p w:rsidR="008620F0" w:rsidRPr="002F29C1" w:rsidRDefault="008620F0" w:rsidP="00607A39">
            <w:pPr>
              <w:tabs>
                <w:tab w:val="left" w:pos="340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2F29C1">
              <w:rPr>
                <w:rFonts w:ascii="Arial" w:hAnsi="Arial" w:cs="Arial"/>
                <w:sz w:val="20"/>
                <w:szCs w:val="20"/>
                <w:lang w:val="es-ES"/>
              </w:rPr>
              <w:t>Nivel de competencias</w:t>
            </w:r>
          </w:p>
        </w:tc>
      </w:tr>
      <w:tr w:rsidR="008620F0" w:rsidRPr="002F29C1" w:rsidTr="006E0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shd w:val="clear" w:color="auto" w:fill="BFBFBF" w:themeFill="background1" w:themeFillShade="BF"/>
          </w:tcPr>
          <w:p w:rsidR="008620F0" w:rsidRPr="002F29C1" w:rsidRDefault="008620F0" w:rsidP="00607A39">
            <w:pPr>
              <w:tabs>
                <w:tab w:val="left" w:pos="3402"/>
              </w:tabs>
              <w:spacing w:line="360" w:lineRule="auto"/>
              <w:jc w:val="both"/>
              <w:rPr>
                <w:rFonts w:ascii="Arial" w:hAnsi="Arial" w:cs="Arial"/>
                <w:sz w:val="20"/>
                <w:szCs w:val="20"/>
                <w:lang w:val="es-ES"/>
              </w:rPr>
            </w:pPr>
          </w:p>
        </w:tc>
        <w:tc>
          <w:tcPr>
            <w:tcW w:w="1523" w:type="dxa"/>
            <w:shd w:val="clear" w:color="auto" w:fill="EEECE1" w:themeFill="background2"/>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Bajas</w:t>
            </w:r>
          </w:p>
        </w:tc>
        <w:tc>
          <w:tcPr>
            <w:tcW w:w="1316" w:type="dxa"/>
            <w:shd w:val="clear" w:color="auto" w:fill="EEECE1" w:themeFill="background2"/>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Medianas</w:t>
            </w:r>
          </w:p>
        </w:tc>
        <w:tc>
          <w:tcPr>
            <w:tcW w:w="2547" w:type="dxa"/>
            <w:shd w:val="clear" w:color="auto" w:fill="EEECE1" w:themeFill="background2"/>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Altas</w:t>
            </w:r>
          </w:p>
        </w:tc>
      </w:tr>
      <w:tr w:rsidR="008620F0" w:rsidRPr="002F29C1" w:rsidTr="00FD574A">
        <w:trPr>
          <w:trHeight w:val="567"/>
        </w:trPr>
        <w:tc>
          <w:tcPr>
            <w:cnfStyle w:val="001000000000" w:firstRow="0" w:lastRow="0" w:firstColumn="1" w:lastColumn="0" w:oddVBand="0" w:evenVBand="0" w:oddHBand="0" w:evenHBand="0" w:firstRowFirstColumn="0" w:firstRowLastColumn="0" w:lastRowFirstColumn="0" w:lastRowLastColumn="0"/>
            <w:tcW w:w="3369" w:type="dxa"/>
          </w:tcPr>
          <w:p w:rsidR="005500BC" w:rsidRDefault="005500BC" w:rsidP="00607A39">
            <w:pPr>
              <w:tabs>
                <w:tab w:val="left" w:pos="3402"/>
              </w:tabs>
              <w:spacing w:line="360" w:lineRule="auto"/>
              <w:jc w:val="both"/>
              <w:rPr>
                <w:rFonts w:ascii="Arial" w:hAnsi="Arial" w:cs="Arial"/>
                <w:sz w:val="20"/>
                <w:szCs w:val="20"/>
                <w:lang w:val="es-ES"/>
              </w:rPr>
            </w:pPr>
          </w:p>
          <w:p w:rsidR="008620F0" w:rsidRPr="002F29C1" w:rsidRDefault="008620F0" w:rsidP="00E47CF5">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Universidad Autónoma de Guerrero</w:t>
            </w:r>
          </w:p>
        </w:tc>
        <w:tc>
          <w:tcPr>
            <w:tcW w:w="1523" w:type="dxa"/>
            <w:vAlign w:val="center"/>
          </w:tcPr>
          <w:p w:rsidR="00462DB7" w:rsidRDefault="00462DB7"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p>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10.6</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1316" w:type="dxa"/>
            <w:vAlign w:val="center"/>
          </w:tcPr>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32.7</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2547" w:type="dxa"/>
            <w:vAlign w:val="center"/>
          </w:tcPr>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56.7</w:t>
            </w:r>
            <w:r w:rsidR="00E47CF5">
              <w:rPr>
                <w:rFonts w:ascii="Arial" w:hAnsi="Arial" w:cs="Arial"/>
                <w:b/>
                <w:sz w:val="20"/>
                <w:szCs w:val="20"/>
                <w:lang w:val="es-ES"/>
              </w:rPr>
              <w:t xml:space="preserve"> </w:t>
            </w:r>
            <w:r w:rsidRPr="005500BC">
              <w:rPr>
                <w:rFonts w:ascii="Arial" w:hAnsi="Arial" w:cs="Arial"/>
                <w:b/>
                <w:sz w:val="20"/>
                <w:szCs w:val="20"/>
                <w:lang w:val="es-ES"/>
              </w:rPr>
              <w:t>%</w:t>
            </w:r>
          </w:p>
        </w:tc>
      </w:tr>
      <w:tr w:rsidR="008620F0" w:rsidRPr="002F29C1" w:rsidTr="00FD57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462DB7" w:rsidRDefault="00462DB7" w:rsidP="00607A39">
            <w:pPr>
              <w:tabs>
                <w:tab w:val="left" w:pos="3402"/>
              </w:tabs>
              <w:spacing w:line="360" w:lineRule="auto"/>
              <w:jc w:val="both"/>
              <w:rPr>
                <w:rFonts w:ascii="Arial" w:hAnsi="Arial" w:cs="Arial"/>
                <w:sz w:val="20"/>
                <w:szCs w:val="20"/>
                <w:lang w:val="es-ES"/>
              </w:rPr>
            </w:pPr>
          </w:p>
          <w:p w:rsidR="008620F0" w:rsidRPr="002F29C1" w:rsidRDefault="008620F0" w:rsidP="00E47CF5">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Tecnológicos</w:t>
            </w:r>
          </w:p>
        </w:tc>
        <w:tc>
          <w:tcPr>
            <w:tcW w:w="1523" w:type="dxa"/>
            <w:shd w:val="clear" w:color="auto" w:fill="auto"/>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8.4</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1316" w:type="dxa"/>
            <w:shd w:val="clear" w:color="auto" w:fill="auto"/>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44.9</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2547" w:type="dxa"/>
            <w:shd w:val="clear" w:color="auto" w:fill="auto"/>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46.7</w:t>
            </w:r>
            <w:r w:rsidR="00E47CF5">
              <w:rPr>
                <w:rFonts w:ascii="Arial" w:hAnsi="Arial" w:cs="Arial"/>
                <w:b/>
                <w:sz w:val="20"/>
                <w:szCs w:val="20"/>
                <w:lang w:val="es-ES"/>
              </w:rPr>
              <w:t xml:space="preserve"> </w:t>
            </w:r>
            <w:r w:rsidRPr="005500BC">
              <w:rPr>
                <w:rFonts w:ascii="Arial" w:hAnsi="Arial" w:cs="Arial"/>
                <w:b/>
                <w:sz w:val="20"/>
                <w:szCs w:val="20"/>
                <w:lang w:val="es-ES"/>
              </w:rPr>
              <w:t>%</w:t>
            </w:r>
          </w:p>
        </w:tc>
      </w:tr>
      <w:tr w:rsidR="008620F0" w:rsidRPr="002F29C1" w:rsidTr="00FD574A">
        <w:trPr>
          <w:trHeight w:val="567"/>
        </w:trPr>
        <w:tc>
          <w:tcPr>
            <w:cnfStyle w:val="001000000000" w:firstRow="0" w:lastRow="0" w:firstColumn="1" w:lastColumn="0" w:oddVBand="0" w:evenVBand="0" w:oddHBand="0" w:evenHBand="0" w:firstRowFirstColumn="0" w:firstRowLastColumn="0" w:lastRowFirstColumn="0" w:lastRowLastColumn="0"/>
            <w:tcW w:w="3369" w:type="dxa"/>
          </w:tcPr>
          <w:p w:rsidR="008620F0" w:rsidRPr="002F29C1" w:rsidRDefault="008620F0" w:rsidP="00E47CF5">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Normales</w:t>
            </w:r>
          </w:p>
        </w:tc>
        <w:tc>
          <w:tcPr>
            <w:tcW w:w="1523" w:type="dxa"/>
            <w:vAlign w:val="center"/>
          </w:tcPr>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5.3</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1316" w:type="dxa"/>
            <w:vAlign w:val="center"/>
          </w:tcPr>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30.9</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2547" w:type="dxa"/>
            <w:vAlign w:val="center"/>
          </w:tcPr>
          <w:p w:rsidR="008620F0" w:rsidRPr="005500BC"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63.8</w:t>
            </w:r>
            <w:r w:rsidR="00E47CF5">
              <w:rPr>
                <w:rFonts w:ascii="Arial" w:hAnsi="Arial" w:cs="Arial"/>
                <w:b/>
                <w:sz w:val="20"/>
                <w:szCs w:val="20"/>
                <w:lang w:val="es-ES"/>
              </w:rPr>
              <w:t xml:space="preserve"> </w:t>
            </w:r>
            <w:r w:rsidRPr="005500BC">
              <w:rPr>
                <w:rFonts w:ascii="Arial" w:hAnsi="Arial" w:cs="Arial"/>
                <w:b/>
                <w:sz w:val="20"/>
                <w:szCs w:val="20"/>
                <w:lang w:val="es-ES"/>
              </w:rPr>
              <w:t>%</w:t>
            </w:r>
          </w:p>
        </w:tc>
      </w:tr>
      <w:tr w:rsidR="008620F0" w:rsidRPr="002F29C1" w:rsidTr="0078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DE9D9" w:themeFill="accent6" w:themeFillTint="33"/>
          </w:tcPr>
          <w:p w:rsidR="008620F0" w:rsidRPr="002F29C1" w:rsidRDefault="008620F0" w:rsidP="00E47CF5">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Promedio de competencias genéricas en el Estado de Gro</w:t>
            </w:r>
            <w:r w:rsidR="00E47CF5">
              <w:rPr>
                <w:rFonts w:ascii="Arial" w:hAnsi="Arial" w:cs="Arial"/>
                <w:sz w:val="20"/>
                <w:szCs w:val="20"/>
                <w:lang w:val="es-ES"/>
              </w:rPr>
              <w:t>.</w:t>
            </w:r>
          </w:p>
        </w:tc>
        <w:tc>
          <w:tcPr>
            <w:tcW w:w="1523" w:type="dxa"/>
            <w:shd w:val="clear" w:color="auto" w:fill="FDE9D9" w:themeFill="accent6" w:themeFillTint="33"/>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8.1</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1316" w:type="dxa"/>
            <w:shd w:val="clear" w:color="auto" w:fill="FDE9D9" w:themeFill="accent6" w:themeFillTint="33"/>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36.2</w:t>
            </w:r>
            <w:r w:rsidR="00E47CF5">
              <w:rPr>
                <w:rFonts w:ascii="Arial" w:hAnsi="Arial" w:cs="Arial"/>
                <w:b/>
                <w:sz w:val="20"/>
                <w:szCs w:val="20"/>
                <w:lang w:val="es-ES"/>
              </w:rPr>
              <w:t xml:space="preserve"> </w:t>
            </w:r>
            <w:r w:rsidRPr="005500BC">
              <w:rPr>
                <w:rFonts w:ascii="Arial" w:hAnsi="Arial" w:cs="Arial"/>
                <w:b/>
                <w:sz w:val="20"/>
                <w:szCs w:val="20"/>
                <w:lang w:val="es-ES"/>
              </w:rPr>
              <w:t>%</w:t>
            </w:r>
          </w:p>
        </w:tc>
        <w:tc>
          <w:tcPr>
            <w:tcW w:w="2547" w:type="dxa"/>
            <w:shd w:val="clear" w:color="auto" w:fill="FDE9D9" w:themeFill="accent6" w:themeFillTint="33"/>
            <w:vAlign w:val="center"/>
          </w:tcPr>
          <w:p w:rsidR="008620F0" w:rsidRPr="005500BC"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5500BC">
              <w:rPr>
                <w:rFonts w:ascii="Arial" w:hAnsi="Arial" w:cs="Arial"/>
                <w:b/>
                <w:sz w:val="20"/>
                <w:szCs w:val="20"/>
                <w:lang w:val="es-ES"/>
              </w:rPr>
              <w:t>55.7</w:t>
            </w:r>
            <w:r w:rsidR="00E47CF5">
              <w:rPr>
                <w:rFonts w:ascii="Arial" w:hAnsi="Arial" w:cs="Arial"/>
                <w:b/>
                <w:sz w:val="20"/>
                <w:szCs w:val="20"/>
                <w:lang w:val="es-ES"/>
              </w:rPr>
              <w:t xml:space="preserve"> </w:t>
            </w:r>
            <w:r w:rsidRPr="005500BC">
              <w:rPr>
                <w:rFonts w:ascii="Arial" w:hAnsi="Arial" w:cs="Arial"/>
                <w:b/>
                <w:sz w:val="20"/>
                <w:szCs w:val="20"/>
                <w:lang w:val="es-ES"/>
              </w:rPr>
              <w:t>%</w:t>
            </w:r>
          </w:p>
        </w:tc>
      </w:tr>
    </w:tbl>
    <w:p w:rsidR="008620F0" w:rsidRPr="002F29C1" w:rsidRDefault="008620F0" w:rsidP="00607A39">
      <w:pPr>
        <w:spacing w:line="360" w:lineRule="auto"/>
        <w:jc w:val="both"/>
        <w:rPr>
          <w:rFonts w:ascii="Arial" w:eastAsia="Times New Roman" w:hAnsi="Arial" w:cs="Arial"/>
          <w:lang w:val="es-ES"/>
        </w:rPr>
      </w:pPr>
    </w:p>
    <w:p w:rsidR="008620F0" w:rsidRDefault="00894C59" w:rsidP="00607A39">
      <w:pPr>
        <w:spacing w:line="360" w:lineRule="auto"/>
        <w:jc w:val="both"/>
        <w:rPr>
          <w:rFonts w:ascii="Arial" w:eastAsia="Times New Roman" w:hAnsi="Arial" w:cs="Arial"/>
          <w:lang w:val="es-ES"/>
        </w:rPr>
      </w:pPr>
      <w:r w:rsidRPr="00F01B15">
        <w:rPr>
          <w:rFonts w:eastAsia="Times New Roman" w:cs="Times New Roman"/>
          <w:lang w:val="es-ES"/>
        </w:rPr>
        <w:t>La tabla 4</w:t>
      </w:r>
      <w:r w:rsidR="00EA7534" w:rsidRPr="00F01B15">
        <w:rPr>
          <w:rFonts w:eastAsia="Times New Roman" w:cs="Times New Roman"/>
          <w:lang w:val="es-ES"/>
        </w:rPr>
        <w:t xml:space="preserve"> muestra que </w:t>
      </w:r>
      <w:r w:rsidR="008620F0" w:rsidRPr="00F01B15">
        <w:rPr>
          <w:rFonts w:eastAsia="Times New Roman" w:cs="Times New Roman"/>
          <w:lang w:val="es-ES"/>
        </w:rPr>
        <w:t>55.7</w:t>
      </w:r>
      <w:r w:rsidR="00E47CF5" w:rsidRPr="00F01B15">
        <w:rPr>
          <w:rFonts w:eastAsia="Times New Roman" w:cs="Times New Roman"/>
          <w:lang w:val="es-ES"/>
        </w:rPr>
        <w:t xml:space="preserve"> </w:t>
      </w:r>
      <w:r w:rsidR="008620F0" w:rsidRPr="00F01B15">
        <w:rPr>
          <w:rFonts w:eastAsia="Times New Roman" w:cs="Times New Roman"/>
          <w:lang w:val="es-ES"/>
        </w:rPr>
        <w:t>% de los</w:t>
      </w:r>
      <w:r w:rsidR="00EA7534" w:rsidRPr="00F01B15">
        <w:rPr>
          <w:rFonts w:eastAsia="Times New Roman" w:cs="Times New Roman"/>
          <w:lang w:val="es-ES"/>
        </w:rPr>
        <w:t xml:space="preserve"> docentes del nivel superior en el</w:t>
      </w:r>
      <w:r w:rsidR="008620F0" w:rsidRPr="00F01B15">
        <w:rPr>
          <w:rFonts w:eastAsia="Times New Roman" w:cs="Times New Roman"/>
          <w:lang w:val="es-ES"/>
        </w:rPr>
        <w:t xml:space="preserve"> estado de Guerrero tiene co</w:t>
      </w:r>
      <w:r w:rsidR="00EA7534" w:rsidRPr="00F01B15">
        <w:rPr>
          <w:rFonts w:eastAsia="Times New Roman" w:cs="Times New Roman"/>
          <w:lang w:val="es-ES"/>
        </w:rPr>
        <w:t>mpetencias genéricas altas</w:t>
      </w:r>
      <w:r w:rsidR="00E47CF5" w:rsidRPr="00F01B15">
        <w:rPr>
          <w:rFonts w:eastAsia="Times New Roman" w:cs="Times New Roman"/>
          <w:lang w:val="es-ES"/>
        </w:rPr>
        <w:t>,</w:t>
      </w:r>
      <w:r w:rsidR="00EA7534" w:rsidRPr="00F01B15">
        <w:rPr>
          <w:rFonts w:eastAsia="Times New Roman" w:cs="Times New Roman"/>
          <w:lang w:val="es-ES"/>
        </w:rPr>
        <w:t xml:space="preserve"> </w:t>
      </w:r>
      <w:r w:rsidR="008620F0" w:rsidRPr="00F01B15">
        <w:rPr>
          <w:rFonts w:eastAsia="Times New Roman" w:cs="Times New Roman"/>
          <w:lang w:val="es-ES"/>
        </w:rPr>
        <w:t>36.2</w:t>
      </w:r>
      <w:r w:rsidR="00EA7534" w:rsidRPr="00F01B15">
        <w:rPr>
          <w:rFonts w:eastAsia="Times New Roman" w:cs="Times New Roman"/>
          <w:lang w:val="es-ES"/>
        </w:rPr>
        <w:t xml:space="preserve"> %</w:t>
      </w:r>
      <w:r w:rsidR="008620F0" w:rsidRPr="00F01B15">
        <w:rPr>
          <w:rFonts w:eastAsia="Times New Roman" w:cs="Times New Roman"/>
          <w:lang w:val="es-ES"/>
        </w:rPr>
        <w:t xml:space="preserve"> medianas </w:t>
      </w:r>
      <w:r w:rsidRPr="00F01B15">
        <w:rPr>
          <w:rFonts w:eastAsia="Times New Roman" w:cs="Times New Roman"/>
          <w:lang w:val="es-ES"/>
        </w:rPr>
        <w:t xml:space="preserve">y </w:t>
      </w:r>
      <w:r w:rsidR="008620F0" w:rsidRPr="00F01B15">
        <w:rPr>
          <w:rFonts w:eastAsia="Times New Roman" w:cs="Times New Roman"/>
          <w:lang w:val="es-ES"/>
        </w:rPr>
        <w:t xml:space="preserve">8.1% </w:t>
      </w:r>
      <w:r w:rsidR="009566F7" w:rsidRPr="00F01B15">
        <w:rPr>
          <w:rFonts w:eastAsia="Times New Roman" w:cs="Times New Roman"/>
          <w:lang w:val="es-ES"/>
        </w:rPr>
        <w:t xml:space="preserve">bajas. </w:t>
      </w:r>
      <w:r w:rsidR="00E47CF5" w:rsidRPr="00F01B15">
        <w:rPr>
          <w:rFonts w:eastAsia="Times New Roman" w:cs="Times New Roman"/>
          <w:lang w:val="es-ES"/>
        </w:rPr>
        <w:t>Cabe notar que</w:t>
      </w:r>
      <w:r w:rsidR="009566F7" w:rsidRPr="00F01B15">
        <w:rPr>
          <w:rFonts w:eastAsia="Times New Roman" w:cs="Times New Roman"/>
          <w:lang w:val="es-ES"/>
        </w:rPr>
        <w:t xml:space="preserve"> </w:t>
      </w:r>
      <w:r w:rsidR="00EA7534" w:rsidRPr="00F01B15">
        <w:rPr>
          <w:rFonts w:eastAsia="Times New Roman" w:cs="Times New Roman"/>
          <w:lang w:val="es-ES"/>
        </w:rPr>
        <w:t xml:space="preserve">el </w:t>
      </w:r>
      <w:r w:rsidR="008620F0" w:rsidRPr="00F01B15">
        <w:rPr>
          <w:rFonts w:eastAsia="Times New Roman" w:cs="Times New Roman"/>
          <w:lang w:val="es-ES"/>
        </w:rPr>
        <w:t>resultado</w:t>
      </w:r>
      <w:r w:rsidR="00EA7534" w:rsidRPr="00F01B15">
        <w:rPr>
          <w:rFonts w:eastAsia="Times New Roman" w:cs="Times New Roman"/>
          <w:lang w:val="es-ES"/>
        </w:rPr>
        <w:t xml:space="preserve"> es </w:t>
      </w:r>
      <w:r w:rsidR="008620F0" w:rsidRPr="00F01B15">
        <w:rPr>
          <w:rFonts w:eastAsia="Times New Roman" w:cs="Times New Roman"/>
          <w:lang w:val="es-ES"/>
        </w:rPr>
        <w:t xml:space="preserve">insuficiente para lograr </w:t>
      </w:r>
      <w:r w:rsidR="00EA7534" w:rsidRPr="00F01B15">
        <w:rPr>
          <w:rFonts w:eastAsia="Times New Roman" w:cs="Times New Roman"/>
          <w:lang w:val="es-ES"/>
        </w:rPr>
        <w:t>el aprendizaje por competencias en los estudiantes</w:t>
      </w:r>
      <w:r w:rsidR="00EA7534">
        <w:rPr>
          <w:rFonts w:ascii="Arial" w:eastAsia="Times New Roman" w:hAnsi="Arial" w:cs="Arial"/>
          <w:lang w:val="es-ES"/>
        </w:rPr>
        <w:t>.</w:t>
      </w:r>
    </w:p>
    <w:p w:rsidR="00B56B8B" w:rsidRPr="002F29C1" w:rsidRDefault="00B56B8B" w:rsidP="00607A39">
      <w:pPr>
        <w:spacing w:line="360" w:lineRule="auto"/>
        <w:jc w:val="both"/>
        <w:rPr>
          <w:rFonts w:ascii="Arial" w:eastAsia="Times New Roman" w:hAnsi="Arial" w:cs="Arial"/>
          <w:lang w:val="es-ES"/>
        </w:rPr>
      </w:pPr>
    </w:p>
    <w:p w:rsidR="008620F0" w:rsidRPr="002F29C1" w:rsidRDefault="00EA7534" w:rsidP="00607A39">
      <w:pPr>
        <w:tabs>
          <w:tab w:val="left" w:pos="3402"/>
        </w:tabs>
        <w:spacing w:line="360" w:lineRule="auto"/>
        <w:jc w:val="both"/>
        <w:rPr>
          <w:rFonts w:ascii="Arial" w:eastAsia="Times New Roman" w:hAnsi="Arial" w:cs="Arial"/>
          <w:b/>
          <w:lang w:val="es-ES"/>
        </w:rPr>
      </w:pPr>
      <w:r>
        <w:rPr>
          <w:rFonts w:ascii="Arial" w:eastAsia="Times New Roman" w:hAnsi="Arial" w:cs="Arial"/>
          <w:b/>
          <w:lang w:val="es-ES"/>
        </w:rPr>
        <w:t>Tabla</w:t>
      </w:r>
      <w:r w:rsidR="008620F0" w:rsidRPr="002F29C1">
        <w:rPr>
          <w:rFonts w:ascii="Arial" w:eastAsia="Times New Roman" w:hAnsi="Arial" w:cs="Arial"/>
          <w:b/>
          <w:lang w:val="es-ES"/>
        </w:rPr>
        <w:t xml:space="preserve"> 5</w:t>
      </w:r>
      <w:r>
        <w:rPr>
          <w:rFonts w:ascii="Arial" w:eastAsia="Times New Roman" w:hAnsi="Arial" w:cs="Arial"/>
          <w:b/>
          <w:lang w:val="es-ES"/>
        </w:rPr>
        <w:t>.</w:t>
      </w:r>
      <w:r w:rsidR="008620F0" w:rsidRPr="002F29C1">
        <w:rPr>
          <w:rFonts w:ascii="Arial" w:eastAsia="Times New Roman" w:hAnsi="Arial" w:cs="Arial"/>
          <w:b/>
          <w:lang w:val="es-ES"/>
        </w:rPr>
        <w:t xml:space="preserve"> Promedio del nivel de competencias genéricas por dimensión en las 7 </w:t>
      </w:r>
      <w:r w:rsidR="00E47CF5">
        <w:rPr>
          <w:rFonts w:ascii="Arial" w:eastAsia="Times New Roman" w:hAnsi="Arial" w:cs="Arial"/>
          <w:b/>
          <w:lang w:val="es-ES"/>
        </w:rPr>
        <w:t>i</w:t>
      </w:r>
      <w:r w:rsidR="008620F0" w:rsidRPr="002F29C1">
        <w:rPr>
          <w:rFonts w:ascii="Arial" w:eastAsia="Times New Roman" w:hAnsi="Arial" w:cs="Arial"/>
          <w:b/>
          <w:lang w:val="es-ES"/>
        </w:rPr>
        <w:t>nstitu</w:t>
      </w:r>
      <w:r>
        <w:rPr>
          <w:rFonts w:ascii="Arial" w:eastAsia="Times New Roman" w:hAnsi="Arial" w:cs="Arial"/>
          <w:b/>
          <w:lang w:val="es-ES"/>
        </w:rPr>
        <w:t>ciones en el Estado de Guerrero</w:t>
      </w:r>
    </w:p>
    <w:tbl>
      <w:tblPr>
        <w:tblStyle w:val="Sombreadoclaro1"/>
        <w:tblW w:w="0" w:type="auto"/>
        <w:tblLook w:val="04A0" w:firstRow="1" w:lastRow="0" w:firstColumn="1" w:lastColumn="0" w:noHBand="0" w:noVBand="1"/>
      </w:tblPr>
      <w:tblGrid>
        <w:gridCol w:w="3250"/>
        <w:gridCol w:w="1494"/>
        <w:gridCol w:w="1493"/>
        <w:gridCol w:w="3136"/>
      </w:tblGrid>
      <w:tr w:rsidR="008620F0" w:rsidRPr="002F29C1" w:rsidTr="007829EA">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250" w:type="dxa"/>
            <w:vMerge w:val="restart"/>
            <w:shd w:val="clear" w:color="auto" w:fill="FDE9D9" w:themeFill="accent6" w:themeFillTint="33"/>
          </w:tcPr>
          <w:p w:rsidR="008620F0" w:rsidRPr="002F29C1" w:rsidRDefault="008620F0" w:rsidP="00607A39">
            <w:pPr>
              <w:tabs>
                <w:tab w:val="left" w:pos="3402"/>
              </w:tabs>
              <w:spacing w:line="360" w:lineRule="auto"/>
              <w:jc w:val="center"/>
              <w:rPr>
                <w:rFonts w:ascii="Arial" w:hAnsi="Arial" w:cs="Arial"/>
                <w:sz w:val="20"/>
                <w:szCs w:val="20"/>
                <w:lang w:val="es-ES"/>
              </w:rPr>
            </w:pPr>
            <w:r w:rsidRPr="002F29C1">
              <w:rPr>
                <w:rFonts w:ascii="Arial" w:hAnsi="Arial" w:cs="Arial"/>
                <w:sz w:val="20"/>
                <w:szCs w:val="20"/>
                <w:lang w:val="es-ES"/>
              </w:rPr>
              <w:t>Dimensiones</w:t>
            </w:r>
          </w:p>
        </w:tc>
        <w:tc>
          <w:tcPr>
            <w:tcW w:w="6123" w:type="dxa"/>
            <w:gridSpan w:val="3"/>
            <w:shd w:val="clear" w:color="auto" w:fill="FDE9D9" w:themeFill="accent6" w:themeFillTint="33"/>
          </w:tcPr>
          <w:p w:rsidR="008620F0" w:rsidRPr="002F29C1" w:rsidRDefault="008620F0" w:rsidP="00607A39">
            <w:pPr>
              <w:tabs>
                <w:tab w:val="left" w:pos="340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
              </w:rPr>
            </w:pPr>
            <w:r w:rsidRPr="002F29C1">
              <w:rPr>
                <w:rFonts w:ascii="Arial" w:hAnsi="Arial" w:cs="Arial"/>
                <w:sz w:val="20"/>
                <w:szCs w:val="20"/>
                <w:lang w:val="es-ES"/>
              </w:rPr>
              <w:t>Nivel de competencias</w:t>
            </w:r>
          </w:p>
        </w:tc>
      </w:tr>
      <w:tr w:rsidR="008620F0" w:rsidRPr="002F29C1" w:rsidTr="006E0E83">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250" w:type="dxa"/>
            <w:vMerge/>
            <w:tcBorders>
              <w:bottom w:val="single" w:sz="4" w:space="0" w:color="auto"/>
            </w:tcBorders>
            <w:shd w:val="clear" w:color="auto" w:fill="BFBFBF" w:themeFill="background1" w:themeFillShade="BF"/>
          </w:tcPr>
          <w:p w:rsidR="008620F0" w:rsidRPr="002F29C1" w:rsidRDefault="008620F0" w:rsidP="00607A39">
            <w:pPr>
              <w:tabs>
                <w:tab w:val="left" w:pos="3402"/>
              </w:tabs>
              <w:spacing w:line="360" w:lineRule="auto"/>
              <w:jc w:val="center"/>
              <w:rPr>
                <w:rFonts w:ascii="Arial" w:hAnsi="Arial" w:cs="Arial"/>
                <w:sz w:val="20"/>
                <w:szCs w:val="20"/>
                <w:lang w:val="es-ES"/>
              </w:rPr>
            </w:pPr>
          </w:p>
        </w:tc>
        <w:tc>
          <w:tcPr>
            <w:tcW w:w="1494" w:type="dxa"/>
            <w:tcBorders>
              <w:bottom w:val="single" w:sz="4" w:space="0" w:color="auto"/>
            </w:tcBorders>
            <w:shd w:val="clear" w:color="auto" w:fill="EEECE1" w:themeFill="background2"/>
          </w:tcPr>
          <w:p w:rsidR="008620F0" w:rsidRPr="00894C59"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894C59">
              <w:rPr>
                <w:rFonts w:ascii="Arial" w:hAnsi="Arial" w:cs="Arial"/>
                <w:b/>
                <w:sz w:val="20"/>
                <w:szCs w:val="20"/>
                <w:lang w:val="es-ES"/>
              </w:rPr>
              <w:t>Bajas</w:t>
            </w:r>
          </w:p>
        </w:tc>
        <w:tc>
          <w:tcPr>
            <w:tcW w:w="1493" w:type="dxa"/>
            <w:tcBorders>
              <w:bottom w:val="single" w:sz="4" w:space="0" w:color="auto"/>
            </w:tcBorders>
            <w:shd w:val="clear" w:color="auto" w:fill="EEECE1" w:themeFill="background2"/>
          </w:tcPr>
          <w:p w:rsidR="008620F0" w:rsidRPr="00894C59"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894C59">
              <w:rPr>
                <w:rFonts w:ascii="Arial" w:hAnsi="Arial" w:cs="Arial"/>
                <w:b/>
                <w:sz w:val="20"/>
                <w:szCs w:val="20"/>
                <w:lang w:val="es-ES"/>
              </w:rPr>
              <w:t>Medianas</w:t>
            </w:r>
          </w:p>
        </w:tc>
        <w:tc>
          <w:tcPr>
            <w:tcW w:w="3136" w:type="dxa"/>
            <w:tcBorders>
              <w:bottom w:val="single" w:sz="4" w:space="0" w:color="auto"/>
            </w:tcBorders>
            <w:shd w:val="clear" w:color="auto" w:fill="EEECE1" w:themeFill="background2"/>
          </w:tcPr>
          <w:p w:rsidR="008620F0" w:rsidRPr="00894C59"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894C59">
              <w:rPr>
                <w:rFonts w:ascii="Arial" w:hAnsi="Arial" w:cs="Arial"/>
                <w:b/>
                <w:sz w:val="20"/>
                <w:szCs w:val="20"/>
                <w:lang w:val="es-ES"/>
              </w:rPr>
              <w:t>Altas</w:t>
            </w:r>
          </w:p>
        </w:tc>
      </w:tr>
      <w:tr w:rsidR="008620F0" w:rsidRPr="002F29C1" w:rsidTr="00FD574A">
        <w:trPr>
          <w:trHeight w:val="467"/>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auto"/>
            </w:tcBorders>
          </w:tcPr>
          <w:p w:rsidR="008620F0" w:rsidRPr="002F29C1" w:rsidRDefault="008620F0" w:rsidP="00607A39">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Planeación del proceso de enseñanza-aprendizaje</w:t>
            </w:r>
          </w:p>
        </w:tc>
        <w:tc>
          <w:tcPr>
            <w:tcW w:w="1494" w:type="dxa"/>
            <w:tcBorders>
              <w:top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8.1</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1493" w:type="dxa"/>
            <w:tcBorders>
              <w:top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41.2</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3136" w:type="dxa"/>
            <w:tcBorders>
              <w:top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50.7</w:t>
            </w:r>
            <w:r w:rsidR="00E47CF5">
              <w:rPr>
                <w:rFonts w:ascii="Arial" w:hAnsi="Arial" w:cs="Arial"/>
                <w:b/>
                <w:sz w:val="20"/>
                <w:szCs w:val="20"/>
                <w:lang w:val="es-ES"/>
              </w:rPr>
              <w:t xml:space="preserve"> </w:t>
            </w:r>
            <w:r w:rsidRPr="002F29C1">
              <w:rPr>
                <w:rFonts w:ascii="Arial" w:hAnsi="Arial" w:cs="Arial"/>
                <w:b/>
                <w:sz w:val="20"/>
                <w:szCs w:val="20"/>
                <w:lang w:val="es-ES"/>
              </w:rPr>
              <w:t>%</w:t>
            </w:r>
          </w:p>
        </w:tc>
      </w:tr>
      <w:tr w:rsidR="008620F0" w:rsidRPr="002F29C1" w:rsidTr="00FD574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250" w:type="dxa"/>
            <w:shd w:val="clear" w:color="auto" w:fill="auto"/>
          </w:tcPr>
          <w:p w:rsidR="008620F0" w:rsidRPr="002F29C1" w:rsidRDefault="008620F0" w:rsidP="00607A39">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Conducción del proceso de enseñanza-aprendizaje</w:t>
            </w:r>
          </w:p>
        </w:tc>
        <w:tc>
          <w:tcPr>
            <w:tcW w:w="1494" w:type="dxa"/>
            <w:shd w:val="clear" w:color="auto" w:fill="auto"/>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9.9</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1493" w:type="dxa"/>
            <w:shd w:val="clear" w:color="auto" w:fill="auto"/>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37.4</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3136" w:type="dxa"/>
            <w:shd w:val="clear" w:color="auto" w:fill="auto"/>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52.7</w:t>
            </w:r>
            <w:r w:rsidR="00E47CF5">
              <w:rPr>
                <w:rFonts w:ascii="Arial" w:hAnsi="Arial" w:cs="Arial"/>
                <w:b/>
                <w:sz w:val="20"/>
                <w:szCs w:val="20"/>
                <w:lang w:val="es-ES"/>
              </w:rPr>
              <w:t xml:space="preserve"> </w:t>
            </w:r>
            <w:r w:rsidRPr="002F29C1">
              <w:rPr>
                <w:rFonts w:ascii="Arial" w:hAnsi="Arial" w:cs="Arial"/>
                <w:b/>
                <w:sz w:val="20"/>
                <w:szCs w:val="20"/>
                <w:lang w:val="es-ES"/>
              </w:rPr>
              <w:t>%</w:t>
            </w:r>
          </w:p>
        </w:tc>
      </w:tr>
      <w:tr w:rsidR="008620F0" w:rsidRPr="002F29C1" w:rsidTr="00FD574A">
        <w:trPr>
          <w:trHeight w:val="467"/>
        </w:trPr>
        <w:tc>
          <w:tcPr>
            <w:cnfStyle w:val="001000000000" w:firstRow="0" w:lastRow="0" w:firstColumn="1" w:lastColumn="0" w:oddVBand="0" w:evenVBand="0" w:oddHBand="0" w:evenHBand="0" w:firstRowFirstColumn="0" w:firstRowLastColumn="0" w:lastRowFirstColumn="0" w:lastRowLastColumn="0"/>
            <w:tcW w:w="3250" w:type="dxa"/>
            <w:tcBorders>
              <w:bottom w:val="single" w:sz="4" w:space="0" w:color="auto"/>
            </w:tcBorders>
          </w:tcPr>
          <w:p w:rsidR="008620F0" w:rsidRPr="002F29C1" w:rsidRDefault="008620F0" w:rsidP="00E47CF5">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Valoración del proceso de enseñanza-aprendizaje</w:t>
            </w:r>
          </w:p>
        </w:tc>
        <w:tc>
          <w:tcPr>
            <w:tcW w:w="1494" w:type="dxa"/>
            <w:tcBorders>
              <w:bottom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13.2</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1493" w:type="dxa"/>
            <w:tcBorders>
              <w:bottom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23.6</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3136" w:type="dxa"/>
            <w:tcBorders>
              <w:bottom w:val="single" w:sz="4" w:space="0" w:color="auto"/>
            </w:tcBorders>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63.2</w:t>
            </w:r>
            <w:r w:rsidR="00E47CF5">
              <w:rPr>
                <w:rFonts w:ascii="Arial" w:hAnsi="Arial" w:cs="Arial"/>
                <w:b/>
                <w:sz w:val="20"/>
                <w:szCs w:val="20"/>
                <w:lang w:val="es-ES"/>
              </w:rPr>
              <w:t xml:space="preserve"> </w:t>
            </w:r>
            <w:r w:rsidRPr="002F29C1">
              <w:rPr>
                <w:rFonts w:ascii="Arial" w:hAnsi="Arial" w:cs="Arial"/>
                <w:b/>
                <w:sz w:val="20"/>
                <w:szCs w:val="20"/>
                <w:lang w:val="es-ES"/>
              </w:rPr>
              <w:t>%</w:t>
            </w:r>
          </w:p>
        </w:tc>
      </w:tr>
      <w:tr w:rsidR="008620F0" w:rsidRPr="002F29C1" w:rsidTr="007829E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250" w:type="dxa"/>
            <w:tcBorders>
              <w:top w:val="single" w:sz="4" w:space="0" w:color="auto"/>
              <w:bottom w:val="single" w:sz="8" w:space="0" w:color="000000" w:themeColor="text1"/>
            </w:tcBorders>
            <w:shd w:val="clear" w:color="auto" w:fill="FDE9D9" w:themeFill="accent6" w:themeFillTint="33"/>
          </w:tcPr>
          <w:p w:rsidR="008620F0" w:rsidRPr="002F29C1" w:rsidRDefault="008620F0" w:rsidP="00607A39">
            <w:pPr>
              <w:tabs>
                <w:tab w:val="left" w:pos="3402"/>
              </w:tabs>
              <w:spacing w:line="360" w:lineRule="auto"/>
              <w:jc w:val="both"/>
              <w:rPr>
                <w:rFonts w:ascii="Arial" w:hAnsi="Arial" w:cs="Arial"/>
                <w:sz w:val="20"/>
                <w:szCs w:val="20"/>
                <w:lang w:val="es-ES"/>
              </w:rPr>
            </w:pPr>
            <w:r w:rsidRPr="002F29C1">
              <w:rPr>
                <w:rFonts w:ascii="Arial" w:hAnsi="Arial" w:cs="Arial"/>
                <w:sz w:val="20"/>
                <w:szCs w:val="20"/>
                <w:lang w:val="es-ES"/>
              </w:rPr>
              <w:t>Promedio</w:t>
            </w:r>
          </w:p>
        </w:tc>
        <w:tc>
          <w:tcPr>
            <w:tcW w:w="1494" w:type="dxa"/>
            <w:tcBorders>
              <w:top w:val="single" w:sz="4" w:space="0" w:color="auto"/>
              <w:bottom w:val="single" w:sz="8" w:space="0" w:color="000000" w:themeColor="text1"/>
            </w:tcBorders>
            <w:shd w:val="clear" w:color="auto" w:fill="FDE9D9" w:themeFill="accent6" w:themeFillTint="33"/>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10.4</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1493" w:type="dxa"/>
            <w:tcBorders>
              <w:top w:val="single" w:sz="4" w:space="0" w:color="auto"/>
              <w:bottom w:val="single" w:sz="8" w:space="0" w:color="000000" w:themeColor="text1"/>
            </w:tcBorders>
            <w:shd w:val="clear" w:color="auto" w:fill="FDE9D9" w:themeFill="accent6" w:themeFillTint="33"/>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34.1</w:t>
            </w:r>
            <w:r w:rsidR="00E47CF5">
              <w:rPr>
                <w:rFonts w:ascii="Arial" w:hAnsi="Arial" w:cs="Arial"/>
                <w:b/>
                <w:sz w:val="20"/>
                <w:szCs w:val="20"/>
                <w:lang w:val="es-ES"/>
              </w:rPr>
              <w:t xml:space="preserve"> </w:t>
            </w:r>
            <w:r w:rsidRPr="002F29C1">
              <w:rPr>
                <w:rFonts w:ascii="Arial" w:hAnsi="Arial" w:cs="Arial"/>
                <w:b/>
                <w:sz w:val="20"/>
                <w:szCs w:val="20"/>
                <w:lang w:val="es-ES"/>
              </w:rPr>
              <w:t>%</w:t>
            </w:r>
          </w:p>
        </w:tc>
        <w:tc>
          <w:tcPr>
            <w:tcW w:w="3136" w:type="dxa"/>
            <w:tcBorders>
              <w:top w:val="single" w:sz="4" w:space="0" w:color="auto"/>
              <w:bottom w:val="single" w:sz="8" w:space="0" w:color="000000" w:themeColor="text1"/>
            </w:tcBorders>
            <w:shd w:val="clear" w:color="auto" w:fill="FDE9D9" w:themeFill="accent6" w:themeFillTint="33"/>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s-ES"/>
              </w:rPr>
            </w:pPr>
            <w:r w:rsidRPr="002F29C1">
              <w:rPr>
                <w:rFonts w:ascii="Arial" w:hAnsi="Arial" w:cs="Arial"/>
                <w:b/>
                <w:sz w:val="20"/>
                <w:szCs w:val="20"/>
                <w:lang w:val="es-ES"/>
              </w:rPr>
              <w:t>55.5</w:t>
            </w:r>
            <w:r w:rsidR="00E47CF5">
              <w:rPr>
                <w:rFonts w:ascii="Arial" w:hAnsi="Arial" w:cs="Arial"/>
                <w:b/>
                <w:sz w:val="20"/>
                <w:szCs w:val="20"/>
                <w:lang w:val="es-ES"/>
              </w:rPr>
              <w:t xml:space="preserve"> </w:t>
            </w:r>
            <w:r w:rsidRPr="002F29C1">
              <w:rPr>
                <w:rFonts w:ascii="Arial" w:hAnsi="Arial" w:cs="Arial"/>
                <w:b/>
                <w:sz w:val="20"/>
                <w:szCs w:val="20"/>
                <w:lang w:val="es-ES"/>
              </w:rPr>
              <w:t>%</w:t>
            </w:r>
          </w:p>
        </w:tc>
      </w:tr>
    </w:tbl>
    <w:p w:rsidR="00894C59" w:rsidRDefault="00894C59" w:rsidP="00607A39">
      <w:pPr>
        <w:tabs>
          <w:tab w:val="left" w:pos="3402"/>
        </w:tabs>
        <w:spacing w:line="360" w:lineRule="auto"/>
        <w:jc w:val="both"/>
        <w:rPr>
          <w:rFonts w:ascii="Arial" w:eastAsia="Times New Roman" w:hAnsi="Arial" w:cs="Arial"/>
        </w:rPr>
      </w:pPr>
    </w:p>
    <w:p w:rsidR="008620F0" w:rsidRPr="00F01B15" w:rsidRDefault="00EA7534" w:rsidP="00607A39">
      <w:pPr>
        <w:tabs>
          <w:tab w:val="left" w:pos="3402"/>
        </w:tabs>
        <w:spacing w:line="360" w:lineRule="auto"/>
        <w:jc w:val="both"/>
        <w:rPr>
          <w:rFonts w:eastAsia="Calibri" w:cs="Times New Roman"/>
          <w:lang w:eastAsia="en-US"/>
        </w:rPr>
      </w:pPr>
      <w:r w:rsidRPr="00F01B15">
        <w:rPr>
          <w:rFonts w:eastAsia="Times New Roman" w:cs="Times New Roman"/>
          <w:lang w:val="es-ES"/>
        </w:rPr>
        <w:t xml:space="preserve">La tabla 5 </w:t>
      </w:r>
      <w:r w:rsidR="006E0E83" w:rsidRPr="00F01B15">
        <w:rPr>
          <w:rFonts w:eastAsia="Times New Roman" w:cs="Times New Roman"/>
          <w:lang w:val="es-ES"/>
        </w:rPr>
        <w:t>presenta</w:t>
      </w:r>
      <w:r w:rsidR="00BC02E3" w:rsidRPr="00F01B15">
        <w:rPr>
          <w:rFonts w:eastAsia="Times New Roman" w:cs="Times New Roman"/>
          <w:lang w:val="es-ES"/>
        </w:rPr>
        <w:t xml:space="preserve"> </w:t>
      </w:r>
      <w:r w:rsidRPr="00F01B15">
        <w:rPr>
          <w:rFonts w:eastAsia="Times New Roman" w:cs="Times New Roman"/>
          <w:lang w:val="es-ES"/>
        </w:rPr>
        <w:t>l</w:t>
      </w:r>
      <w:r w:rsidR="008620F0" w:rsidRPr="00F01B15">
        <w:rPr>
          <w:rFonts w:eastAsia="Times New Roman" w:cs="Times New Roman"/>
          <w:lang w:val="es-ES"/>
        </w:rPr>
        <w:t xml:space="preserve">a valoración que se </w:t>
      </w:r>
      <w:r w:rsidR="00BC02E3" w:rsidRPr="00F01B15">
        <w:rPr>
          <w:rFonts w:eastAsia="Times New Roman" w:cs="Times New Roman"/>
          <w:lang w:val="es-ES"/>
        </w:rPr>
        <w:t xml:space="preserve">hizo </w:t>
      </w:r>
      <w:r w:rsidR="008620F0" w:rsidRPr="00F01B15">
        <w:rPr>
          <w:rFonts w:eastAsia="Times New Roman" w:cs="Times New Roman"/>
          <w:lang w:val="es-ES"/>
        </w:rPr>
        <w:t>por dimensión en</w:t>
      </w:r>
      <w:r w:rsidR="00894C59" w:rsidRPr="00F01B15">
        <w:rPr>
          <w:rFonts w:eastAsia="Times New Roman" w:cs="Times New Roman"/>
          <w:lang w:val="es-ES"/>
        </w:rPr>
        <w:t xml:space="preserve"> </w:t>
      </w:r>
      <w:r w:rsidR="008620F0" w:rsidRPr="00F01B15">
        <w:rPr>
          <w:rFonts w:eastAsia="Times New Roman" w:cs="Times New Roman"/>
          <w:lang w:val="es-ES"/>
        </w:rPr>
        <w:t xml:space="preserve"> las 7 instituciones </w:t>
      </w:r>
      <w:r w:rsidR="00BC02E3" w:rsidRPr="00F01B15">
        <w:rPr>
          <w:rFonts w:eastAsia="Times New Roman" w:cs="Times New Roman"/>
          <w:lang w:val="es-ES"/>
        </w:rPr>
        <w:t>participantes en el estudio</w:t>
      </w:r>
      <w:r w:rsidR="008620F0" w:rsidRPr="00F01B15">
        <w:rPr>
          <w:rFonts w:eastAsia="Times New Roman" w:cs="Times New Roman"/>
          <w:lang w:val="es-ES"/>
        </w:rPr>
        <w:t xml:space="preserve">, </w:t>
      </w:r>
      <w:r w:rsidR="00BC02E3" w:rsidRPr="00F01B15">
        <w:rPr>
          <w:rFonts w:eastAsia="Times New Roman" w:cs="Times New Roman"/>
          <w:lang w:val="es-ES"/>
        </w:rPr>
        <w:t xml:space="preserve">observándose que en promedio </w:t>
      </w:r>
      <w:r w:rsidR="008620F0" w:rsidRPr="00F01B15">
        <w:rPr>
          <w:rFonts w:eastAsia="Times New Roman" w:cs="Times New Roman"/>
          <w:lang w:val="es-ES"/>
        </w:rPr>
        <w:t>55</w:t>
      </w:r>
      <w:r w:rsidR="00E47CF5" w:rsidRPr="00F01B15">
        <w:rPr>
          <w:rFonts w:eastAsia="Times New Roman" w:cs="Times New Roman"/>
          <w:lang w:val="es-ES"/>
        </w:rPr>
        <w:t xml:space="preserve"> </w:t>
      </w:r>
      <w:r w:rsidR="008620F0" w:rsidRPr="00F01B15">
        <w:rPr>
          <w:rFonts w:eastAsia="Times New Roman" w:cs="Times New Roman"/>
          <w:lang w:val="es-ES"/>
        </w:rPr>
        <w:t>% de</w:t>
      </w:r>
      <w:r w:rsidR="00E47CF5" w:rsidRPr="00F01B15">
        <w:rPr>
          <w:rFonts w:eastAsia="Times New Roman" w:cs="Times New Roman"/>
          <w:lang w:val="es-ES"/>
        </w:rPr>
        <w:t xml:space="preserve"> los</w:t>
      </w:r>
      <w:r w:rsidR="008620F0" w:rsidRPr="00F01B15">
        <w:rPr>
          <w:rFonts w:eastAsia="Times New Roman" w:cs="Times New Roman"/>
          <w:lang w:val="es-ES"/>
        </w:rPr>
        <w:t xml:space="preserve"> docentes tiene competencias altas</w:t>
      </w:r>
      <w:r w:rsidR="00BC02E3" w:rsidRPr="00F01B15">
        <w:rPr>
          <w:rFonts w:eastAsia="Times New Roman" w:cs="Times New Roman"/>
          <w:lang w:val="es-ES"/>
        </w:rPr>
        <w:t xml:space="preserve">, </w:t>
      </w:r>
      <w:r w:rsidR="00E47CF5" w:rsidRPr="00F01B15">
        <w:rPr>
          <w:rFonts w:eastAsia="Times New Roman" w:cs="Times New Roman"/>
          <w:lang w:val="es-ES"/>
        </w:rPr>
        <w:t xml:space="preserve">y </w:t>
      </w:r>
      <w:r w:rsidR="00B56B8B" w:rsidRPr="00F01B15">
        <w:rPr>
          <w:rFonts w:eastAsia="Times New Roman" w:cs="Times New Roman"/>
          <w:lang w:val="es-ES"/>
        </w:rPr>
        <w:t xml:space="preserve">que </w:t>
      </w:r>
      <w:r w:rsidR="008620F0" w:rsidRPr="00F01B15">
        <w:rPr>
          <w:rFonts w:eastAsia="Times New Roman" w:cs="Times New Roman"/>
          <w:lang w:val="es-ES"/>
        </w:rPr>
        <w:t>44.5</w:t>
      </w:r>
      <w:r w:rsidR="00E47CF5" w:rsidRPr="00F01B15">
        <w:rPr>
          <w:rFonts w:eastAsia="Times New Roman" w:cs="Times New Roman"/>
          <w:lang w:val="es-ES"/>
        </w:rPr>
        <w:t xml:space="preserve"> </w:t>
      </w:r>
      <w:r w:rsidR="008620F0" w:rsidRPr="00F01B15">
        <w:rPr>
          <w:rFonts w:eastAsia="Times New Roman" w:cs="Times New Roman"/>
          <w:lang w:val="es-ES"/>
        </w:rPr>
        <w:t>% se encuentra</w:t>
      </w:r>
      <w:r w:rsidR="00BC02E3" w:rsidRPr="00F01B15">
        <w:rPr>
          <w:rFonts w:eastAsia="Times New Roman" w:cs="Times New Roman"/>
          <w:lang w:val="es-ES"/>
        </w:rPr>
        <w:t xml:space="preserve"> en</w:t>
      </w:r>
      <w:r w:rsidR="00EF1754" w:rsidRPr="00F01B15">
        <w:rPr>
          <w:rFonts w:eastAsia="Times New Roman" w:cs="Times New Roman"/>
          <w:lang w:val="es-ES"/>
        </w:rPr>
        <w:t>tre los niveles</w:t>
      </w:r>
      <w:r w:rsidR="00BC02E3" w:rsidRPr="00F01B15">
        <w:rPr>
          <w:rFonts w:eastAsia="Times New Roman" w:cs="Times New Roman"/>
          <w:lang w:val="es-ES"/>
        </w:rPr>
        <w:t xml:space="preserve"> de medianas y bajas</w:t>
      </w:r>
      <w:r w:rsidR="008620F0" w:rsidRPr="00F01B15">
        <w:rPr>
          <w:rFonts w:eastAsia="Times New Roman" w:cs="Times New Roman"/>
          <w:lang w:val="es-ES"/>
        </w:rPr>
        <w:t xml:space="preserve">; </w:t>
      </w:r>
      <w:r w:rsidR="00E47CF5" w:rsidRPr="00F01B15">
        <w:rPr>
          <w:rFonts w:eastAsia="Times New Roman" w:cs="Times New Roman"/>
          <w:lang w:val="es-ES"/>
        </w:rPr>
        <w:t xml:space="preserve">dichos </w:t>
      </w:r>
      <w:r w:rsidR="008620F0" w:rsidRPr="00F01B15">
        <w:rPr>
          <w:rFonts w:eastAsia="Times New Roman" w:cs="Times New Roman"/>
          <w:lang w:val="es-ES"/>
        </w:rPr>
        <w:t xml:space="preserve">resultados </w:t>
      </w:r>
      <w:r w:rsidR="00E47CF5" w:rsidRPr="00F01B15">
        <w:rPr>
          <w:rFonts w:eastAsia="Times New Roman" w:cs="Times New Roman"/>
          <w:lang w:val="es-ES"/>
        </w:rPr>
        <w:t>son insuficientes para que contribuyan</w:t>
      </w:r>
      <w:r w:rsidR="00BC02E3" w:rsidRPr="00F01B15">
        <w:rPr>
          <w:rFonts w:eastAsia="Calibri" w:cs="Times New Roman"/>
          <w:lang w:eastAsia="en-US"/>
        </w:rPr>
        <w:t xml:space="preserve"> </w:t>
      </w:r>
      <w:r w:rsidR="00E47CF5" w:rsidRPr="00F01B15">
        <w:rPr>
          <w:rFonts w:eastAsia="Calibri" w:cs="Times New Roman"/>
          <w:lang w:eastAsia="en-US"/>
        </w:rPr>
        <w:t>a</w:t>
      </w:r>
      <w:r w:rsidR="008620F0" w:rsidRPr="00F01B15">
        <w:rPr>
          <w:rFonts w:eastAsia="Calibri" w:cs="Times New Roman"/>
          <w:lang w:eastAsia="en-US"/>
        </w:rPr>
        <w:t xml:space="preserve"> </w:t>
      </w:r>
      <w:r w:rsidR="00E47CF5" w:rsidRPr="00F01B15">
        <w:rPr>
          <w:rFonts w:eastAsia="Calibri" w:cs="Times New Roman"/>
          <w:lang w:eastAsia="en-US"/>
        </w:rPr>
        <w:t xml:space="preserve">la generación de </w:t>
      </w:r>
      <w:r w:rsidR="008620F0" w:rsidRPr="00F01B15">
        <w:rPr>
          <w:rFonts w:eastAsia="Calibri" w:cs="Times New Roman"/>
          <w:lang w:eastAsia="en-US"/>
        </w:rPr>
        <w:t xml:space="preserve">un sistema educativo más pertinente y equitativo en el estado y </w:t>
      </w:r>
      <w:r w:rsidR="00E47CF5" w:rsidRPr="00F01B15">
        <w:rPr>
          <w:rFonts w:eastAsia="Calibri" w:cs="Times New Roman"/>
          <w:lang w:eastAsia="en-US"/>
        </w:rPr>
        <w:t xml:space="preserve">el </w:t>
      </w:r>
      <w:r w:rsidR="008620F0" w:rsidRPr="00F01B15">
        <w:rPr>
          <w:rFonts w:eastAsia="Calibri" w:cs="Times New Roman"/>
          <w:lang w:eastAsia="en-US"/>
        </w:rPr>
        <w:t>país.</w:t>
      </w:r>
    </w:p>
    <w:p w:rsidR="00E47CF5" w:rsidRPr="002F29C1" w:rsidRDefault="00E47CF5" w:rsidP="00607A39">
      <w:pPr>
        <w:tabs>
          <w:tab w:val="left" w:pos="3402"/>
        </w:tabs>
        <w:spacing w:line="360" w:lineRule="auto"/>
        <w:jc w:val="both"/>
        <w:rPr>
          <w:rFonts w:ascii="Arial" w:eastAsia="Calibri" w:hAnsi="Arial" w:cs="Arial"/>
          <w:lang w:eastAsia="en-US"/>
        </w:rPr>
      </w:pPr>
    </w:p>
    <w:p w:rsidR="008620F0" w:rsidRDefault="00BC02E3" w:rsidP="00607A39">
      <w:pPr>
        <w:tabs>
          <w:tab w:val="left" w:pos="3402"/>
        </w:tabs>
        <w:spacing w:line="360" w:lineRule="auto"/>
        <w:jc w:val="both"/>
        <w:rPr>
          <w:rFonts w:ascii="Arial" w:eastAsia="Calibri" w:hAnsi="Arial" w:cs="Arial"/>
          <w:noProof/>
          <w:sz w:val="22"/>
          <w:szCs w:val="22"/>
          <w:lang w:eastAsia="es-MX"/>
        </w:rPr>
      </w:pPr>
      <w:r>
        <w:rPr>
          <w:rFonts w:ascii="Arial" w:eastAsia="Times New Roman" w:hAnsi="Arial" w:cs="Arial"/>
          <w:b/>
          <w:lang w:val="es-ES"/>
        </w:rPr>
        <w:t>Tabla 6.</w:t>
      </w:r>
      <w:r w:rsidR="008620F0" w:rsidRPr="002F29C1">
        <w:rPr>
          <w:rFonts w:ascii="Arial" w:eastAsia="Times New Roman" w:hAnsi="Arial" w:cs="Arial"/>
          <w:b/>
          <w:lang w:val="es-ES"/>
        </w:rPr>
        <w:t xml:space="preserve"> Competencias genéricas de los docentes por </w:t>
      </w:r>
      <w:proofErr w:type="spellStart"/>
      <w:r w:rsidR="008620F0" w:rsidRPr="002F29C1">
        <w:rPr>
          <w:rFonts w:ascii="Arial" w:eastAsia="Times New Roman" w:hAnsi="Arial" w:cs="Arial"/>
          <w:b/>
          <w:lang w:val="es-ES"/>
        </w:rPr>
        <w:t>subdimensión</w:t>
      </w:r>
      <w:proofErr w:type="spellEnd"/>
      <w:r w:rsidR="008620F0" w:rsidRPr="002F29C1">
        <w:rPr>
          <w:rFonts w:ascii="Arial" w:eastAsia="Times New Roman" w:hAnsi="Arial" w:cs="Arial"/>
          <w:b/>
          <w:lang w:val="es-ES"/>
        </w:rPr>
        <w:t xml:space="preserve"> de forma general en las 7 instituciones educativas del estado</w:t>
      </w:r>
    </w:p>
    <w:p w:rsidR="002F29C1" w:rsidRDefault="00C24026" w:rsidP="00607A39">
      <w:pPr>
        <w:tabs>
          <w:tab w:val="left" w:pos="3402"/>
        </w:tabs>
        <w:spacing w:line="360" w:lineRule="auto"/>
        <w:jc w:val="both"/>
        <w:rPr>
          <w:rFonts w:ascii="Arial" w:eastAsia="Calibri" w:hAnsi="Arial" w:cs="Arial"/>
          <w:noProof/>
          <w:sz w:val="22"/>
          <w:szCs w:val="22"/>
          <w:lang w:eastAsia="es-MX"/>
        </w:rPr>
      </w:pPr>
      <w:r w:rsidRPr="00C24026">
        <w:rPr>
          <w:rFonts w:eastAsia="Times New Roman" w:cs="Times New Roman"/>
          <w:noProof/>
          <w:lang w:eastAsia="es-MX"/>
        </w:rPr>
        <w:drawing>
          <wp:inline distT="0" distB="0" distL="0" distR="0" wp14:anchorId="2EDDF918" wp14:editId="14A9E311">
            <wp:extent cx="5867400" cy="39909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923" cy="3991331"/>
                    </a:xfrm>
                    <a:prstGeom prst="rect">
                      <a:avLst/>
                    </a:prstGeom>
                    <a:noFill/>
                    <a:ln>
                      <a:noFill/>
                    </a:ln>
                  </pic:spPr>
                </pic:pic>
              </a:graphicData>
            </a:graphic>
          </wp:inline>
        </w:drawing>
      </w:r>
    </w:p>
    <w:p w:rsidR="00C24026" w:rsidRDefault="00C24026" w:rsidP="00607A39">
      <w:pPr>
        <w:spacing w:after="200" w:line="360" w:lineRule="auto"/>
        <w:jc w:val="both"/>
        <w:rPr>
          <w:rFonts w:ascii="Arial" w:eastAsia="Times New Roman" w:hAnsi="Arial" w:cs="Arial"/>
          <w:lang w:val="es-ES"/>
        </w:rPr>
      </w:pPr>
    </w:p>
    <w:p w:rsidR="008620F0" w:rsidRPr="00F01B15" w:rsidRDefault="008620F0" w:rsidP="00607A39">
      <w:pPr>
        <w:spacing w:after="200" w:line="360" w:lineRule="auto"/>
        <w:jc w:val="both"/>
        <w:rPr>
          <w:rFonts w:eastAsia="Times New Roman" w:cs="Times New Roman"/>
          <w:lang w:val="es-ES"/>
        </w:rPr>
      </w:pPr>
      <w:r w:rsidRPr="00F01B15">
        <w:rPr>
          <w:rFonts w:eastAsia="Times New Roman" w:cs="Times New Roman"/>
          <w:lang w:val="es-ES"/>
        </w:rPr>
        <w:t>La tabla 6</w:t>
      </w:r>
      <w:r w:rsidR="006E0E83" w:rsidRPr="00F01B15">
        <w:rPr>
          <w:rFonts w:eastAsia="Times New Roman" w:cs="Times New Roman"/>
          <w:lang w:val="es-ES"/>
        </w:rPr>
        <w:t xml:space="preserve"> muestra</w:t>
      </w:r>
      <w:r w:rsidRPr="00F01B15">
        <w:rPr>
          <w:rFonts w:eastAsia="Times New Roman" w:cs="Times New Roman"/>
          <w:lang w:val="es-ES"/>
        </w:rPr>
        <w:t xml:space="preserve"> resultados de la valoración de competencias genéricas por </w:t>
      </w:r>
      <w:proofErr w:type="spellStart"/>
      <w:r w:rsidRPr="00F01B15">
        <w:rPr>
          <w:rFonts w:eastAsia="Times New Roman" w:cs="Times New Roman"/>
          <w:lang w:val="es-ES"/>
        </w:rPr>
        <w:t>subdimensión</w:t>
      </w:r>
      <w:proofErr w:type="spellEnd"/>
      <w:r w:rsidRPr="00F01B15">
        <w:rPr>
          <w:rFonts w:eastAsia="Times New Roman" w:cs="Times New Roman"/>
          <w:lang w:val="es-ES"/>
        </w:rPr>
        <w:t xml:space="preserve">, donde </w:t>
      </w:r>
      <w:r w:rsidR="00E15C8E" w:rsidRPr="00F01B15">
        <w:rPr>
          <w:rFonts w:eastAsia="Times New Roman" w:cs="Times New Roman"/>
          <w:lang w:val="es-ES"/>
        </w:rPr>
        <w:t xml:space="preserve">se </w:t>
      </w:r>
      <w:r w:rsidR="006E0E83" w:rsidRPr="00F01B15">
        <w:rPr>
          <w:rFonts w:eastAsia="Times New Roman" w:cs="Times New Roman"/>
          <w:lang w:val="es-ES"/>
        </w:rPr>
        <w:t>aprecia</w:t>
      </w:r>
      <w:r w:rsidR="00E15C8E" w:rsidRPr="00F01B15">
        <w:rPr>
          <w:rFonts w:eastAsia="Times New Roman" w:cs="Times New Roman"/>
          <w:lang w:val="es-ES"/>
        </w:rPr>
        <w:t xml:space="preserve"> que en promedio</w:t>
      </w:r>
      <w:r w:rsidRPr="00F01B15">
        <w:rPr>
          <w:rFonts w:eastAsia="Times New Roman" w:cs="Times New Roman"/>
          <w:lang w:val="es-ES"/>
        </w:rPr>
        <w:t xml:space="preserve"> 52 % de los docentes en los programas de las instituciones evaluadas </w:t>
      </w:r>
      <w:r w:rsidR="00B56B8B" w:rsidRPr="00F01B15">
        <w:rPr>
          <w:rFonts w:eastAsia="Times New Roman" w:cs="Times New Roman"/>
          <w:lang w:val="es-ES"/>
        </w:rPr>
        <w:t xml:space="preserve">tienen competencias </w:t>
      </w:r>
      <w:r w:rsidRPr="00F01B15">
        <w:rPr>
          <w:rFonts w:eastAsia="Times New Roman" w:cs="Times New Roman"/>
          <w:lang w:val="es-ES"/>
        </w:rPr>
        <w:t>altas</w:t>
      </w:r>
      <w:r w:rsidR="00BC02E3" w:rsidRPr="00F01B15">
        <w:rPr>
          <w:rFonts w:eastAsia="Times New Roman" w:cs="Times New Roman"/>
          <w:lang w:val="es-ES"/>
        </w:rPr>
        <w:t>,</w:t>
      </w:r>
      <w:r w:rsidRPr="00F01B15">
        <w:rPr>
          <w:rFonts w:eastAsia="Times New Roman" w:cs="Times New Roman"/>
          <w:lang w:val="es-ES"/>
        </w:rPr>
        <w:t xml:space="preserve"> </w:t>
      </w:r>
      <w:r w:rsidR="00E47CF5" w:rsidRPr="00F01B15">
        <w:rPr>
          <w:rFonts w:eastAsia="Times New Roman" w:cs="Times New Roman"/>
          <w:lang w:val="es-ES"/>
        </w:rPr>
        <w:t xml:space="preserve">y </w:t>
      </w:r>
      <w:r w:rsidRPr="00F01B15">
        <w:rPr>
          <w:rFonts w:eastAsia="Times New Roman" w:cs="Times New Roman"/>
          <w:lang w:val="es-ES"/>
        </w:rPr>
        <w:t xml:space="preserve">48 % </w:t>
      </w:r>
      <w:r w:rsidR="00BC02E3" w:rsidRPr="00F01B15">
        <w:rPr>
          <w:rFonts w:eastAsia="Times New Roman" w:cs="Times New Roman"/>
          <w:lang w:val="es-ES"/>
        </w:rPr>
        <w:t xml:space="preserve">se encuentra </w:t>
      </w:r>
      <w:r w:rsidRPr="00F01B15">
        <w:rPr>
          <w:rFonts w:eastAsia="Times New Roman" w:cs="Times New Roman"/>
          <w:lang w:val="es-ES"/>
        </w:rPr>
        <w:t xml:space="preserve">entre los niveles de medianas y bajas. </w:t>
      </w:r>
      <w:r w:rsidR="00EF1754" w:rsidRPr="00F01B15">
        <w:rPr>
          <w:rFonts w:eastAsia="Times New Roman" w:cs="Times New Roman"/>
          <w:lang w:val="es-ES"/>
        </w:rPr>
        <w:t xml:space="preserve">En cuanto a las </w:t>
      </w:r>
      <w:r w:rsidRPr="00F01B15">
        <w:rPr>
          <w:rFonts w:eastAsia="Times New Roman" w:cs="Times New Roman"/>
          <w:lang w:val="es-ES"/>
        </w:rPr>
        <w:t xml:space="preserve"> </w:t>
      </w:r>
      <w:proofErr w:type="spellStart"/>
      <w:r w:rsidRPr="00F01B15">
        <w:rPr>
          <w:rFonts w:eastAsia="Times New Roman" w:cs="Times New Roman"/>
          <w:lang w:val="es-ES"/>
        </w:rPr>
        <w:t>subdimensiones</w:t>
      </w:r>
      <w:proofErr w:type="spellEnd"/>
      <w:r w:rsidRPr="00F01B15">
        <w:rPr>
          <w:rFonts w:eastAsia="Times New Roman" w:cs="Times New Roman"/>
          <w:lang w:val="es-ES"/>
        </w:rPr>
        <w:t xml:space="preserve"> pedagógicas: dominio</w:t>
      </w:r>
      <w:r w:rsidRPr="00F01B15">
        <w:rPr>
          <w:rFonts w:eastAsia="Times New Roman" w:cs="Times New Roman"/>
          <w:bCs/>
        </w:rPr>
        <w:t xml:space="preserve"> de los saberes, planeación del curso y gestión del proceso de los aprendizajes,</w:t>
      </w:r>
      <w:r w:rsidRPr="00F01B15">
        <w:rPr>
          <w:rFonts w:eastAsia="Times New Roman" w:cs="Times New Roman"/>
          <w:lang w:val="es-ES"/>
        </w:rPr>
        <w:t xml:space="preserve"> </w:t>
      </w:r>
      <w:r w:rsidR="00E47CF5" w:rsidRPr="00F01B15">
        <w:rPr>
          <w:rFonts w:eastAsia="Times New Roman" w:cs="Times New Roman"/>
          <w:lang w:val="es-ES"/>
        </w:rPr>
        <w:t xml:space="preserve">se </w:t>
      </w:r>
      <w:r w:rsidR="00EF1754" w:rsidRPr="00F01B15">
        <w:rPr>
          <w:rFonts w:eastAsia="Times New Roman" w:cs="Times New Roman"/>
          <w:lang w:val="es-ES"/>
        </w:rPr>
        <w:t xml:space="preserve">evidencia que </w:t>
      </w:r>
      <w:r w:rsidR="00E15C8E" w:rsidRPr="00F01B15">
        <w:rPr>
          <w:rFonts w:eastAsia="Times New Roman" w:cs="Times New Roman"/>
          <w:bCs/>
        </w:rPr>
        <w:t>50</w:t>
      </w:r>
      <w:r w:rsidR="00E47CF5" w:rsidRPr="00F01B15">
        <w:rPr>
          <w:rFonts w:eastAsia="Times New Roman" w:cs="Times New Roman"/>
          <w:bCs/>
        </w:rPr>
        <w:t xml:space="preserve"> </w:t>
      </w:r>
      <w:r w:rsidR="00E15C8E" w:rsidRPr="00F01B15">
        <w:rPr>
          <w:rFonts w:eastAsia="Times New Roman" w:cs="Times New Roman"/>
          <w:bCs/>
        </w:rPr>
        <w:t xml:space="preserve">% de los docentes </w:t>
      </w:r>
      <w:r w:rsidRPr="00F01B15">
        <w:rPr>
          <w:rFonts w:eastAsia="Times New Roman" w:cs="Times New Roman"/>
          <w:bCs/>
        </w:rPr>
        <w:t xml:space="preserve">no tienen </w:t>
      </w:r>
      <w:r w:rsidRPr="00F01B15">
        <w:rPr>
          <w:rFonts w:eastAsia="Times New Roman" w:cs="Times New Roman"/>
          <w:bCs/>
        </w:rPr>
        <w:lastRenderedPageBreak/>
        <w:t xml:space="preserve">competencias suficientes para desarrollar el proceso de enseñanza aprendizaje, aspecto esencial que cada institución debe cuidar </w:t>
      </w:r>
      <w:r w:rsidR="00E47CF5" w:rsidRPr="00F01B15">
        <w:rPr>
          <w:rFonts w:eastAsia="Times New Roman" w:cs="Times New Roman"/>
          <w:bCs/>
        </w:rPr>
        <w:t>en</w:t>
      </w:r>
      <w:r w:rsidRPr="00F01B15">
        <w:rPr>
          <w:rFonts w:eastAsia="Times New Roman" w:cs="Times New Roman"/>
          <w:bCs/>
        </w:rPr>
        <w:t xml:space="preserve"> sus académicos para alcanzar la enseñanza por competencias pretendida en </w:t>
      </w:r>
      <w:r w:rsidR="00EF1754" w:rsidRPr="00F01B15">
        <w:rPr>
          <w:rFonts w:eastAsia="Times New Roman" w:cs="Times New Roman"/>
          <w:bCs/>
        </w:rPr>
        <w:t>los</w:t>
      </w:r>
      <w:r w:rsidRPr="00F01B15">
        <w:rPr>
          <w:rFonts w:eastAsia="Times New Roman" w:cs="Times New Roman"/>
          <w:bCs/>
        </w:rPr>
        <w:t xml:space="preserve"> planes de estudio</w:t>
      </w:r>
      <w:r w:rsidR="00EF1754" w:rsidRPr="00F01B15">
        <w:rPr>
          <w:rFonts w:eastAsia="Times New Roman" w:cs="Times New Roman"/>
          <w:b/>
          <w:lang w:val="es-ES"/>
        </w:rPr>
        <w:t xml:space="preserve"> </w:t>
      </w:r>
      <w:r w:rsidR="00EF1754" w:rsidRPr="00F01B15">
        <w:rPr>
          <w:rFonts w:eastAsia="Times New Roman" w:cs="Times New Roman"/>
          <w:lang w:val="es-ES"/>
        </w:rPr>
        <w:t>de cada programa educativo que se ofrece.</w:t>
      </w:r>
    </w:p>
    <w:p w:rsidR="008620F0" w:rsidRDefault="00EF1754" w:rsidP="00607A39">
      <w:pPr>
        <w:spacing w:after="200" w:line="360" w:lineRule="auto"/>
        <w:jc w:val="both"/>
        <w:rPr>
          <w:rFonts w:ascii="Arial" w:eastAsia="Times New Roman" w:hAnsi="Arial" w:cs="Arial"/>
          <w:b/>
          <w:lang w:val="es-ES"/>
        </w:rPr>
      </w:pPr>
      <w:r>
        <w:rPr>
          <w:rFonts w:ascii="Arial" w:eastAsia="Times New Roman" w:hAnsi="Arial" w:cs="Arial"/>
          <w:b/>
          <w:lang w:val="es-ES"/>
        </w:rPr>
        <w:t xml:space="preserve">Tabla </w:t>
      </w:r>
      <w:r w:rsidR="008620F0" w:rsidRPr="002F29C1">
        <w:rPr>
          <w:rFonts w:ascii="Arial" w:eastAsia="Times New Roman" w:hAnsi="Arial" w:cs="Arial"/>
          <w:b/>
          <w:lang w:val="es-ES"/>
        </w:rPr>
        <w:t>7</w:t>
      </w:r>
      <w:r>
        <w:rPr>
          <w:rFonts w:ascii="Arial" w:eastAsia="Times New Roman" w:hAnsi="Arial" w:cs="Arial"/>
          <w:b/>
          <w:lang w:val="es-ES"/>
        </w:rPr>
        <w:t>.</w:t>
      </w:r>
      <w:r w:rsidR="008620F0" w:rsidRPr="002F29C1">
        <w:rPr>
          <w:rFonts w:ascii="Arial" w:eastAsia="Times New Roman" w:hAnsi="Arial" w:cs="Arial"/>
          <w:b/>
          <w:lang w:val="es-ES"/>
        </w:rPr>
        <w:t xml:space="preserve"> Nivel de competencias genéricas de forma general en docentes por programa e</w:t>
      </w:r>
      <w:r>
        <w:rPr>
          <w:rFonts w:ascii="Arial" w:eastAsia="Times New Roman" w:hAnsi="Arial" w:cs="Arial"/>
          <w:b/>
          <w:lang w:val="es-ES"/>
        </w:rPr>
        <w:t>ducativo en cada institución</w:t>
      </w:r>
    </w:p>
    <w:p w:rsidR="002F29C1" w:rsidRPr="002F29C1" w:rsidRDefault="00C24026" w:rsidP="00607A39">
      <w:pPr>
        <w:spacing w:after="200" w:line="360" w:lineRule="auto"/>
        <w:jc w:val="both"/>
        <w:rPr>
          <w:rFonts w:ascii="Arial" w:eastAsia="Times New Roman" w:hAnsi="Arial" w:cs="Arial"/>
          <w:b/>
          <w:lang w:val="es-ES"/>
        </w:rPr>
      </w:pPr>
      <w:r w:rsidRPr="00C24026">
        <w:rPr>
          <w:rFonts w:eastAsia="Times New Roman" w:cs="Times New Roman"/>
          <w:noProof/>
          <w:lang w:eastAsia="es-MX"/>
        </w:rPr>
        <w:drawing>
          <wp:inline distT="0" distB="0" distL="0" distR="0" wp14:anchorId="338D2410" wp14:editId="48AD462A">
            <wp:extent cx="6029325" cy="4608041"/>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3774" cy="4611441"/>
                    </a:xfrm>
                    <a:prstGeom prst="rect">
                      <a:avLst/>
                    </a:prstGeom>
                    <a:noFill/>
                    <a:ln>
                      <a:noFill/>
                    </a:ln>
                  </pic:spPr>
                </pic:pic>
              </a:graphicData>
            </a:graphic>
          </wp:inline>
        </w:drawing>
      </w:r>
    </w:p>
    <w:p w:rsidR="008620F0" w:rsidRPr="00F01B15" w:rsidRDefault="00EF1754" w:rsidP="00607A39">
      <w:pPr>
        <w:spacing w:line="360" w:lineRule="auto"/>
        <w:jc w:val="both"/>
        <w:rPr>
          <w:rFonts w:eastAsia="Times New Roman" w:cs="Times New Roman"/>
          <w:lang w:val="es-ES"/>
        </w:rPr>
      </w:pPr>
      <w:r w:rsidRPr="00F01B15">
        <w:rPr>
          <w:rFonts w:eastAsia="Times New Roman" w:cs="Times New Roman"/>
          <w:lang w:val="es-ES"/>
        </w:rPr>
        <w:t>La tabla 7 expone</w:t>
      </w:r>
      <w:r w:rsidR="00E15C8E" w:rsidRPr="00F01B15">
        <w:rPr>
          <w:rFonts w:eastAsia="Times New Roman" w:cs="Times New Roman"/>
          <w:lang w:val="es-ES"/>
        </w:rPr>
        <w:t xml:space="preserve"> e</w:t>
      </w:r>
      <w:r w:rsidR="008620F0" w:rsidRPr="00F01B15">
        <w:rPr>
          <w:rFonts w:eastAsia="Times New Roman" w:cs="Times New Roman"/>
          <w:lang w:val="es-ES"/>
        </w:rPr>
        <w:t xml:space="preserve">l nivel de </w:t>
      </w:r>
      <w:r w:rsidR="00A653EA" w:rsidRPr="00F01B15">
        <w:rPr>
          <w:rFonts w:eastAsia="Times New Roman" w:cs="Times New Roman"/>
          <w:lang w:val="es-ES"/>
        </w:rPr>
        <w:t>fortalezas</w:t>
      </w:r>
      <w:r w:rsidR="00E15C8E" w:rsidRPr="00F01B15">
        <w:rPr>
          <w:rFonts w:eastAsia="Times New Roman" w:cs="Times New Roman"/>
          <w:lang w:val="es-ES"/>
        </w:rPr>
        <w:t xml:space="preserve"> que tiene</w:t>
      </w:r>
      <w:r w:rsidR="00FD574A" w:rsidRPr="00F01B15">
        <w:rPr>
          <w:rFonts w:eastAsia="Times New Roman" w:cs="Times New Roman"/>
          <w:lang w:val="es-ES"/>
        </w:rPr>
        <w:t>n</w:t>
      </w:r>
      <w:r w:rsidR="00E15C8E" w:rsidRPr="00F01B15">
        <w:rPr>
          <w:rFonts w:eastAsia="Times New Roman" w:cs="Times New Roman"/>
          <w:lang w:val="es-ES"/>
        </w:rPr>
        <w:t xml:space="preserve"> los docentes</w:t>
      </w:r>
      <w:r w:rsidR="008620F0" w:rsidRPr="00F01B15">
        <w:rPr>
          <w:rFonts w:eastAsia="Times New Roman" w:cs="Times New Roman"/>
          <w:lang w:val="es-ES"/>
        </w:rPr>
        <w:t xml:space="preserve"> </w:t>
      </w:r>
      <w:r w:rsidRPr="00F01B15">
        <w:rPr>
          <w:rFonts w:eastAsia="Times New Roman" w:cs="Times New Roman"/>
          <w:lang w:val="es-ES"/>
        </w:rPr>
        <w:t>en cada</w:t>
      </w:r>
      <w:r w:rsidR="008620F0" w:rsidRPr="00F01B15">
        <w:rPr>
          <w:rFonts w:eastAsia="Times New Roman" w:cs="Times New Roman"/>
          <w:lang w:val="es-ES"/>
        </w:rPr>
        <w:t xml:space="preserve"> programa </w:t>
      </w:r>
      <w:r w:rsidRPr="00F01B15">
        <w:rPr>
          <w:rFonts w:eastAsia="Times New Roman" w:cs="Times New Roman"/>
          <w:lang w:val="es-ES"/>
        </w:rPr>
        <w:t>por</w:t>
      </w:r>
      <w:r w:rsidR="008620F0" w:rsidRPr="00F01B15">
        <w:rPr>
          <w:rFonts w:eastAsia="Times New Roman" w:cs="Times New Roman"/>
          <w:lang w:val="es-ES"/>
        </w:rPr>
        <w:t xml:space="preserve"> institución educativa, </w:t>
      </w:r>
      <w:r w:rsidR="00573F6F" w:rsidRPr="00F01B15">
        <w:rPr>
          <w:rFonts w:eastAsia="Times New Roman" w:cs="Times New Roman"/>
          <w:lang w:val="es-ES"/>
        </w:rPr>
        <w:t>observando que en la universidad 54</w:t>
      </w:r>
      <w:r w:rsidR="00FD574A" w:rsidRPr="00F01B15">
        <w:rPr>
          <w:rFonts w:eastAsia="Times New Roman" w:cs="Times New Roman"/>
          <w:lang w:val="es-ES"/>
        </w:rPr>
        <w:t xml:space="preserve"> </w:t>
      </w:r>
      <w:r w:rsidR="00573F6F" w:rsidRPr="00F01B15">
        <w:rPr>
          <w:rFonts w:eastAsia="Times New Roman" w:cs="Times New Roman"/>
          <w:lang w:val="es-ES"/>
        </w:rPr>
        <w:t xml:space="preserve">% </w:t>
      </w:r>
      <w:r w:rsidR="008620F0" w:rsidRPr="00F01B15">
        <w:rPr>
          <w:rFonts w:eastAsia="Times New Roman" w:cs="Times New Roman"/>
          <w:lang w:val="es-ES"/>
        </w:rPr>
        <w:t xml:space="preserve">de </w:t>
      </w:r>
      <w:r w:rsidR="00B56B8B" w:rsidRPr="00F01B15">
        <w:rPr>
          <w:rFonts w:eastAsia="Times New Roman" w:cs="Times New Roman"/>
          <w:lang w:val="es-ES"/>
        </w:rPr>
        <w:t>los</w:t>
      </w:r>
      <w:r w:rsidR="008620F0" w:rsidRPr="00F01B15">
        <w:rPr>
          <w:rFonts w:eastAsia="Times New Roman" w:cs="Times New Roman"/>
          <w:lang w:val="es-ES"/>
        </w:rPr>
        <w:t xml:space="preserve"> docentes tiene</w:t>
      </w:r>
      <w:r w:rsidR="00A653EA" w:rsidRPr="00F01B15">
        <w:rPr>
          <w:rFonts w:eastAsia="Times New Roman" w:cs="Times New Roman"/>
          <w:lang w:val="es-ES"/>
        </w:rPr>
        <w:t xml:space="preserve"> fortalezas </w:t>
      </w:r>
      <w:r w:rsidR="008620F0" w:rsidRPr="00F01B15">
        <w:rPr>
          <w:rFonts w:eastAsia="Times New Roman" w:cs="Times New Roman"/>
          <w:lang w:val="es-ES"/>
        </w:rPr>
        <w:t>altas</w:t>
      </w:r>
      <w:r w:rsidR="00573F6F" w:rsidRPr="00F01B15">
        <w:rPr>
          <w:rFonts w:eastAsia="Times New Roman" w:cs="Times New Roman"/>
          <w:lang w:val="es-ES"/>
        </w:rPr>
        <w:t xml:space="preserve"> y 39 %</w:t>
      </w:r>
      <w:r w:rsidR="00B56B8B" w:rsidRPr="00F01B15">
        <w:rPr>
          <w:rFonts w:eastAsia="Times New Roman" w:cs="Times New Roman"/>
          <w:lang w:val="es-ES"/>
        </w:rPr>
        <w:t xml:space="preserve"> </w:t>
      </w:r>
      <w:r w:rsidR="00573F6F" w:rsidRPr="00F01B15">
        <w:rPr>
          <w:rFonts w:eastAsia="Times New Roman" w:cs="Times New Roman"/>
          <w:lang w:val="es-ES"/>
        </w:rPr>
        <w:t>medianas. Los</w:t>
      </w:r>
      <w:r w:rsidR="008620F0" w:rsidRPr="00F01B15">
        <w:rPr>
          <w:rFonts w:eastAsia="Times New Roman" w:cs="Times New Roman"/>
          <w:lang w:val="es-ES"/>
        </w:rPr>
        <w:t xml:space="preserve"> docentes en los p</w:t>
      </w:r>
      <w:r w:rsidR="00573F6F" w:rsidRPr="00F01B15">
        <w:rPr>
          <w:rFonts w:eastAsia="Times New Roman" w:cs="Times New Roman"/>
          <w:lang w:val="es-ES"/>
        </w:rPr>
        <w:t>rogramas de</w:t>
      </w:r>
      <w:r w:rsidR="00FD574A" w:rsidRPr="00F01B15">
        <w:rPr>
          <w:rFonts w:eastAsia="Times New Roman" w:cs="Times New Roman"/>
          <w:lang w:val="es-ES"/>
        </w:rPr>
        <w:t>l</w:t>
      </w:r>
      <w:r w:rsidR="00573F6F" w:rsidRPr="00F01B15">
        <w:rPr>
          <w:rFonts w:eastAsia="Times New Roman" w:cs="Times New Roman"/>
          <w:lang w:val="es-ES"/>
        </w:rPr>
        <w:t xml:space="preserve"> tecnológico</w:t>
      </w:r>
      <w:r w:rsidR="00FD574A" w:rsidRPr="00F01B15">
        <w:rPr>
          <w:rFonts w:eastAsia="Times New Roman" w:cs="Times New Roman"/>
          <w:lang w:val="es-ES"/>
        </w:rPr>
        <w:t xml:space="preserve"> </w:t>
      </w:r>
      <w:r w:rsidR="00573F6F" w:rsidRPr="00F01B15">
        <w:rPr>
          <w:rFonts w:eastAsia="Times New Roman" w:cs="Times New Roman"/>
          <w:lang w:val="es-ES"/>
        </w:rPr>
        <w:t>de</w:t>
      </w:r>
      <w:r w:rsidR="008620F0" w:rsidRPr="00F01B15">
        <w:rPr>
          <w:rFonts w:eastAsia="Times New Roman" w:cs="Times New Roman"/>
          <w:lang w:val="es-ES"/>
        </w:rPr>
        <w:t xml:space="preserve"> Chilpancingo</w:t>
      </w:r>
      <w:r w:rsidR="00FD574A" w:rsidRPr="00F01B15">
        <w:rPr>
          <w:rFonts w:eastAsia="Times New Roman" w:cs="Times New Roman"/>
          <w:lang w:val="es-ES"/>
        </w:rPr>
        <w:t xml:space="preserve"> m</w:t>
      </w:r>
      <w:r w:rsidR="002F79ED" w:rsidRPr="00F01B15">
        <w:rPr>
          <w:rFonts w:eastAsia="Times New Roman" w:cs="Times New Roman"/>
          <w:lang w:val="es-ES"/>
        </w:rPr>
        <w:t>ostraron</w:t>
      </w:r>
      <w:r w:rsidR="00A653EA" w:rsidRPr="00F01B15">
        <w:rPr>
          <w:rFonts w:eastAsia="Times New Roman" w:cs="Times New Roman"/>
          <w:lang w:val="es-ES"/>
        </w:rPr>
        <w:t xml:space="preserve"> 45 % fortalezas</w:t>
      </w:r>
      <w:r w:rsidR="008620F0" w:rsidRPr="00F01B15">
        <w:rPr>
          <w:rFonts w:eastAsia="Times New Roman" w:cs="Times New Roman"/>
          <w:lang w:val="es-ES"/>
        </w:rPr>
        <w:t xml:space="preserve"> altas y 39% medianas. </w:t>
      </w:r>
      <w:r w:rsidR="00573F6F" w:rsidRPr="00F01B15">
        <w:rPr>
          <w:rFonts w:eastAsia="Times New Roman" w:cs="Times New Roman"/>
          <w:lang w:val="es-ES"/>
        </w:rPr>
        <w:t>En el</w:t>
      </w:r>
      <w:r w:rsidR="008620F0" w:rsidRPr="00F01B15">
        <w:rPr>
          <w:rFonts w:eastAsia="Times New Roman" w:cs="Times New Roman"/>
          <w:lang w:val="es-ES"/>
        </w:rPr>
        <w:t xml:space="preserve"> tecnológico de Iguala </w:t>
      </w:r>
      <w:r w:rsidR="002F79ED" w:rsidRPr="00F01B15">
        <w:rPr>
          <w:rFonts w:eastAsia="Times New Roman" w:cs="Times New Roman"/>
          <w:lang w:val="es-ES"/>
        </w:rPr>
        <w:t>fueron</w:t>
      </w:r>
      <w:r w:rsidR="00FD574A" w:rsidRPr="00F01B15">
        <w:rPr>
          <w:rFonts w:eastAsia="Times New Roman" w:cs="Times New Roman"/>
          <w:lang w:val="es-ES"/>
        </w:rPr>
        <w:t xml:space="preserve"> </w:t>
      </w:r>
      <w:r w:rsidR="008620F0" w:rsidRPr="00F01B15">
        <w:rPr>
          <w:rFonts w:eastAsia="Times New Roman" w:cs="Times New Roman"/>
          <w:lang w:val="es-ES"/>
        </w:rPr>
        <w:t>42</w:t>
      </w:r>
      <w:r w:rsidR="002F79ED" w:rsidRPr="00F01B15">
        <w:rPr>
          <w:rFonts w:eastAsia="Times New Roman" w:cs="Times New Roman"/>
          <w:lang w:val="es-ES"/>
        </w:rPr>
        <w:t xml:space="preserve"> </w:t>
      </w:r>
      <w:r w:rsidR="008620F0" w:rsidRPr="00F01B15">
        <w:rPr>
          <w:rFonts w:eastAsia="Times New Roman" w:cs="Times New Roman"/>
          <w:lang w:val="es-ES"/>
        </w:rPr>
        <w:t xml:space="preserve">% de los docentes </w:t>
      </w:r>
      <w:r w:rsidR="002F79ED" w:rsidRPr="00F01B15">
        <w:rPr>
          <w:rFonts w:eastAsia="Times New Roman" w:cs="Times New Roman"/>
          <w:lang w:val="es-ES"/>
        </w:rPr>
        <w:t>los que tuvieron</w:t>
      </w:r>
      <w:r w:rsidR="00573F6F" w:rsidRPr="00F01B15">
        <w:rPr>
          <w:rFonts w:eastAsia="Times New Roman" w:cs="Times New Roman"/>
          <w:lang w:val="es-ES"/>
        </w:rPr>
        <w:t xml:space="preserve"> </w:t>
      </w:r>
      <w:r w:rsidR="00A653EA" w:rsidRPr="00F01B15">
        <w:rPr>
          <w:rFonts w:eastAsia="Times New Roman" w:cs="Times New Roman"/>
          <w:lang w:val="es-ES"/>
        </w:rPr>
        <w:t>fortalezas</w:t>
      </w:r>
      <w:r w:rsidR="00573F6F" w:rsidRPr="00F01B15">
        <w:rPr>
          <w:rFonts w:eastAsia="Times New Roman" w:cs="Times New Roman"/>
          <w:lang w:val="es-ES"/>
        </w:rPr>
        <w:t xml:space="preserve"> altas y </w:t>
      </w:r>
      <w:r w:rsidR="008620F0" w:rsidRPr="00F01B15">
        <w:rPr>
          <w:rFonts w:eastAsia="Times New Roman" w:cs="Times New Roman"/>
          <w:lang w:val="es-ES"/>
        </w:rPr>
        <w:t xml:space="preserve">41% medianas. </w:t>
      </w:r>
      <w:r w:rsidR="00573F6F" w:rsidRPr="00F01B15">
        <w:rPr>
          <w:rFonts w:eastAsia="Times New Roman" w:cs="Times New Roman"/>
          <w:lang w:val="es-ES"/>
        </w:rPr>
        <w:t xml:space="preserve">En las normales no se hizo </w:t>
      </w:r>
      <w:r w:rsidR="008620F0" w:rsidRPr="00F01B15">
        <w:rPr>
          <w:rFonts w:eastAsia="Times New Roman" w:cs="Times New Roman"/>
          <w:lang w:val="es-ES"/>
        </w:rPr>
        <w:t>investigación de los docentes por programa</w:t>
      </w:r>
      <w:r w:rsidR="00573F6F" w:rsidRPr="00F01B15">
        <w:rPr>
          <w:rFonts w:eastAsia="Times New Roman" w:cs="Times New Roman"/>
          <w:lang w:val="es-ES"/>
        </w:rPr>
        <w:t xml:space="preserve"> educativo</w:t>
      </w:r>
      <w:r w:rsidR="008620F0" w:rsidRPr="00F01B15">
        <w:rPr>
          <w:rFonts w:eastAsia="Times New Roman" w:cs="Times New Roman"/>
          <w:lang w:val="es-ES"/>
        </w:rPr>
        <w:t xml:space="preserve">, debido </w:t>
      </w:r>
      <w:r w:rsidR="002F79ED" w:rsidRPr="00F01B15">
        <w:rPr>
          <w:rFonts w:eastAsia="Times New Roman" w:cs="Times New Roman"/>
          <w:lang w:val="es-ES"/>
        </w:rPr>
        <w:t xml:space="preserve">a </w:t>
      </w:r>
      <w:r w:rsidR="008620F0" w:rsidRPr="00F01B15">
        <w:rPr>
          <w:rFonts w:eastAsia="Times New Roman" w:cs="Times New Roman"/>
          <w:lang w:val="es-ES"/>
        </w:rPr>
        <w:t>que</w:t>
      </w:r>
      <w:r w:rsidR="00B51016" w:rsidRPr="00F01B15">
        <w:rPr>
          <w:rFonts w:eastAsia="Times New Roman" w:cs="Times New Roman"/>
          <w:lang w:val="es-ES"/>
        </w:rPr>
        <w:t xml:space="preserve"> ellos</w:t>
      </w:r>
      <w:r w:rsidR="008620F0" w:rsidRPr="00F01B15">
        <w:rPr>
          <w:rFonts w:eastAsia="Times New Roman" w:cs="Times New Roman"/>
          <w:lang w:val="es-ES"/>
        </w:rPr>
        <w:t xml:space="preserve"> </w:t>
      </w:r>
      <w:r w:rsidR="00573F6F" w:rsidRPr="00F01B15">
        <w:rPr>
          <w:rFonts w:eastAsia="Times New Roman" w:cs="Times New Roman"/>
          <w:lang w:val="es-ES"/>
        </w:rPr>
        <w:t>laboran</w:t>
      </w:r>
      <w:r w:rsidR="00B51016" w:rsidRPr="00F01B15">
        <w:rPr>
          <w:rFonts w:eastAsia="Times New Roman" w:cs="Times New Roman"/>
          <w:lang w:val="es-ES"/>
        </w:rPr>
        <w:t xml:space="preserve"> </w:t>
      </w:r>
      <w:r w:rsidR="00573F6F" w:rsidRPr="00F01B15">
        <w:rPr>
          <w:rFonts w:eastAsia="Times New Roman" w:cs="Times New Roman"/>
          <w:lang w:val="es-ES"/>
        </w:rPr>
        <w:t xml:space="preserve">en </w:t>
      </w:r>
      <w:r w:rsidR="00B51016" w:rsidRPr="00F01B15">
        <w:rPr>
          <w:rFonts w:eastAsia="Times New Roman" w:cs="Times New Roman"/>
          <w:lang w:val="es-ES"/>
        </w:rPr>
        <w:t>todos</w:t>
      </w:r>
      <w:r w:rsidR="008620F0" w:rsidRPr="00F01B15">
        <w:rPr>
          <w:rFonts w:eastAsia="Times New Roman" w:cs="Times New Roman"/>
          <w:lang w:val="es-ES"/>
        </w:rPr>
        <w:t xml:space="preserve"> </w:t>
      </w:r>
      <w:r w:rsidR="002F79ED" w:rsidRPr="00F01B15">
        <w:rPr>
          <w:rFonts w:eastAsia="Times New Roman" w:cs="Times New Roman"/>
          <w:lang w:val="es-ES"/>
        </w:rPr>
        <w:t xml:space="preserve">los </w:t>
      </w:r>
      <w:r w:rsidR="008620F0" w:rsidRPr="00F01B15">
        <w:rPr>
          <w:rFonts w:eastAsia="Times New Roman" w:cs="Times New Roman"/>
          <w:lang w:val="es-ES"/>
        </w:rPr>
        <w:t xml:space="preserve">programas que se ofrecen. </w:t>
      </w:r>
      <w:r w:rsidR="002F79ED" w:rsidRPr="00F01B15">
        <w:rPr>
          <w:rFonts w:eastAsia="Times New Roman" w:cs="Times New Roman"/>
          <w:lang w:val="es-ES"/>
        </w:rPr>
        <w:t>L</w:t>
      </w:r>
      <w:r w:rsidR="00B51016" w:rsidRPr="00F01B15">
        <w:rPr>
          <w:rFonts w:eastAsia="Times New Roman" w:cs="Times New Roman"/>
          <w:lang w:val="es-ES"/>
        </w:rPr>
        <w:t>as fortalezas en los académicos de la</w:t>
      </w:r>
      <w:r w:rsidR="00A653EA" w:rsidRPr="00F01B15">
        <w:rPr>
          <w:rFonts w:eastAsia="Times New Roman" w:cs="Times New Roman"/>
          <w:lang w:val="es-ES"/>
        </w:rPr>
        <w:t>s</w:t>
      </w:r>
      <w:r w:rsidR="00B51016" w:rsidRPr="00F01B15">
        <w:rPr>
          <w:rFonts w:eastAsia="Times New Roman" w:cs="Times New Roman"/>
          <w:lang w:val="es-ES"/>
        </w:rPr>
        <w:t xml:space="preserve"> n</w:t>
      </w:r>
      <w:r w:rsidR="008620F0" w:rsidRPr="00F01B15">
        <w:rPr>
          <w:rFonts w:eastAsia="Times New Roman" w:cs="Times New Roman"/>
          <w:lang w:val="es-ES"/>
        </w:rPr>
        <w:t>ormal</w:t>
      </w:r>
      <w:r w:rsidR="00A653EA" w:rsidRPr="00F01B15">
        <w:rPr>
          <w:rFonts w:eastAsia="Times New Roman" w:cs="Times New Roman"/>
          <w:lang w:val="es-ES"/>
        </w:rPr>
        <w:t>es fue:</w:t>
      </w:r>
      <w:r w:rsidR="008620F0" w:rsidRPr="00F01B15">
        <w:rPr>
          <w:rFonts w:eastAsia="Times New Roman" w:cs="Times New Roman"/>
          <w:lang w:val="es-ES"/>
        </w:rPr>
        <w:t xml:space="preserve"> Vicente Guerrero </w:t>
      </w:r>
      <w:r w:rsidR="002F79ED" w:rsidRPr="00F01B15">
        <w:rPr>
          <w:rFonts w:eastAsia="Times New Roman" w:cs="Times New Roman"/>
          <w:lang w:val="es-ES"/>
        </w:rPr>
        <w:t>con</w:t>
      </w:r>
      <w:r w:rsidR="00A653EA" w:rsidRPr="00F01B15">
        <w:rPr>
          <w:rFonts w:eastAsia="Times New Roman" w:cs="Times New Roman"/>
          <w:lang w:val="es-ES"/>
        </w:rPr>
        <w:t xml:space="preserve"> 89</w:t>
      </w:r>
      <w:r w:rsidR="002F79ED" w:rsidRPr="00F01B15">
        <w:rPr>
          <w:rFonts w:eastAsia="Times New Roman" w:cs="Times New Roman"/>
          <w:lang w:val="es-ES"/>
        </w:rPr>
        <w:t xml:space="preserve"> </w:t>
      </w:r>
      <w:r w:rsidR="00A653EA" w:rsidRPr="00F01B15">
        <w:rPr>
          <w:rFonts w:eastAsia="Times New Roman" w:cs="Times New Roman"/>
          <w:lang w:val="es-ES"/>
        </w:rPr>
        <w:t xml:space="preserve">% </w:t>
      </w:r>
      <w:r w:rsidR="002F79ED" w:rsidRPr="00F01B15">
        <w:rPr>
          <w:rFonts w:eastAsia="Times New Roman" w:cs="Times New Roman"/>
          <w:lang w:val="es-ES"/>
        </w:rPr>
        <w:t xml:space="preserve">en </w:t>
      </w:r>
      <w:r w:rsidR="00A653EA" w:rsidRPr="00F01B15">
        <w:rPr>
          <w:rFonts w:eastAsia="Times New Roman" w:cs="Times New Roman"/>
          <w:lang w:val="es-ES"/>
        </w:rPr>
        <w:lastRenderedPageBreak/>
        <w:t>medianas</w:t>
      </w:r>
      <w:r w:rsidR="002F79ED" w:rsidRPr="00F01B15">
        <w:rPr>
          <w:rFonts w:eastAsia="Times New Roman" w:cs="Times New Roman"/>
          <w:lang w:val="es-ES"/>
        </w:rPr>
        <w:t>, la</w:t>
      </w:r>
      <w:r w:rsidR="00B51016" w:rsidRPr="00F01B15">
        <w:rPr>
          <w:rFonts w:eastAsia="Times New Roman" w:cs="Times New Roman"/>
          <w:lang w:val="es-ES"/>
        </w:rPr>
        <w:t xml:space="preserve"> Normal Adolfo </w:t>
      </w:r>
      <w:proofErr w:type="spellStart"/>
      <w:r w:rsidR="00B51016" w:rsidRPr="00F01B15">
        <w:rPr>
          <w:rFonts w:eastAsia="Times New Roman" w:cs="Times New Roman"/>
          <w:lang w:val="es-ES"/>
        </w:rPr>
        <w:t>Viguri</w:t>
      </w:r>
      <w:proofErr w:type="spellEnd"/>
      <w:r w:rsidR="00B51016" w:rsidRPr="00F01B15">
        <w:rPr>
          <w:rFonts w:eastAsia="Times New Roman" w:cs="Times New Roman"/>
          <w:lang w:val="es-ES"/>
        </w:rPr>
        <w:t xml:space="preserve"> </w:t>
      </w:r>
      <w:proofErr w:type="spellStart"/>
      <w:r w:rsidR="00B51016" w:rsidRPr="00F01B15">
        <w:rPr>
          <w:rFonts w:eastAsia="Times New Roman" w:cs="Times New Roman"/>
          <w:lang w:val="es-ES"/>
        </w:rPr>
        <w:t>Viguri</w:t>
      </w:r>
      <w:proofErr w:type="spellEnd"/>
      <w:r w:rsidR="00B51016" w:rsidRPr="00F01B15">
        <w:rPr>
          <w:rFonts w:eastAsia="Times New Roman" w:cs="Times New Roman"/>
          <w:lang w:val="es-ES"/>
        </w:rPr>
        <w:t xml:space="preserve"> </w:t>
      </w:r>
      <w:r w:rsidR="002F79ED" w:rsidRPr="00F01B15">
        <w:rPr>
          <w:rFonts w:eastAsia="Times New Roman" w:cs="Times New Roman"/>
          <w:lang w:val="es-ES"/>
        </w:rPr>
        <w:t xml:space="preserve">con </w:t>
      </w:r>
      <w:r w:rsidR="00B51016" w:rsidRPr="00F01B15">
        <w:rPr>
          <w:rFonts w:eastAsia="Times New Roman" w:cs="Times New Roman"/>
          <w:lang w:val="es-ES"/>
        </w:rPr>
        <w:t xml:space="preserve">89 </w:t>
      </w:r>
      <w:r w:rsidR="008620F0" w:rsidRPr="00F01B15">
        <w:rPr>
          <w:rFonts w:eastAsia="Times New Roman" w:cs="Times New Roman"/>
          <w:lang w:val="es-ES"/>
        </w:rPr>
        <w:t>%</w:t>
      </w:r>
      <w:r w:rsidR="00E15C8E" w:rsidRPr="00F01B15">
        <w:rPr>
          <w:rFonts w:eastAsia="Times New Roman" w:cs="Times New Roman"/>
          <w:lang w:val="es-ES"/>
        </w:rPr>
        <w:t xml:space="preserve"> </w:t>
      </w:r>
      <w:r w:rsidR="002F79ED" w:rsidRPr="00F01B15">
        <w:rPr>
          <w:rFonts w:eastAsia="Times New Roman" w:cs="Times New Roman"/>
          <w:lang w:val="es-ES"/>
        </w:rPr>
        <w:t xml:space="preserve">en </w:t>
      </w:r>
      <w:r w:rsidR="00B51016" w:rsidRPr="00F01B15">
        <w:rPr>
          <w:rFonts w:eastAsia="Times New Roman" w:cs="Times New Roman"/>
          <w:lang w:val="es-ES"/>
        </w:rPr>
        <w:t>altas</w:t>
      </w:r>
      <w:r w:rsidR="002F79ED" w:rsidRPr="00F01B15">
        <w:rPr>
          <w:rFonts w:eastAsia="Times New Roman" w:cs="Times New Roman"/>
          <w:lang w:val="es-ES"/>
        </w:rPr>
        <w:t>, la</w:t>
      </w:r>
      <w:r w:rsidR="00B51016" w:rsidRPr="00F01B15">
        <w:rPr>
          <w:rFonts w:eastAsia="Times New Roman" w:cs="Times New Roman"/>
          <w:lang w:val="es-ES"/>
        </w:rPr>
        <w:t xml:space="preserve"> Normal</w:t>
      </w:r>
      <w:r w:rsidR="00205AEC" w:rsidRPr="00F01B15">
        <w:rPr>
          <w:rFonts w:eastAsia="Times New Roman" w:cs="Times New Roman"/>
          <w:lang w:val="es-ES"/>
        </w:rPr>
        <w:t xml:space="preserve"> Ignacio Manuel Altamirano</w:t>
      </w:r>
      <w:r w:rsidR="002F79ED" w:rsidRPr="00F01B15">
        <w:rPr>
          <w:rFonts w:eastAsia="Times New Roman" w:cs="Times New Roman"/>
          <w:lang w:val="es-ES"/>
        </w:rPr>
        <w:t xml:space="preserve"> con </w:t>
      </w:r>
      <w:r w:rsidR="00B51016" w:rsidRPr="00F01B15">
        <w:rPr>
          <w:rFonts w:eastAsia="Times New Roman" w:cs="Times New Roman"/>
          <w:lang w:val="es-ES"/>
        </w:rPr>
        <w:t>100</w:t>
      </w:r>
      <w:r w:rsidR="002F79ED" w:rsidRPr="00F01B15">
        <w:rPr>
          <w:rFonts w:eastAsia="Times New Roman" w:cs="Times New Roman"/>
          <w:lang w:val="es-ES"/>
        </w:rPr>
        <w:t xml:space="preserve"> </w:t>
      </w:r>
      <w:r w:rsidR="008620F0" w:rsidRPr="00F01B15">
        <w:rPr>
          <w:rFonts w:eastAsia="Times New Roman" w:cs="Times New Roman"/>
          <w:lang w:val="es-ES"/>
        </w:rPr>
        <w:t xml:space="preserve">% </w:t>
      </w:r>
      <w:r w:rsidR="002F79ED" w:rsidRPr="00F01B15">
        <w:rPr>
          <w:rFonts w:eastAsia="Times New Roman" w:cs="Times New Roman"/>
          <w:lang w:val="es-ES"/>
        </w:rPr>
        <w:t xml:space="preserve">en </w:t>
      </w:r>
      <w:r w:rsidR="008620F0" w:rsidRPr="00F01B15">
        <w:rPr>
          <w:rFonts w:eastAsia="Times New Roman" w:cs="Times New Roman"/>
          <w:lang w:val="es-ES"/>
        </w:rPr>
        <w:t>altas</w:t>
      </w:r>
      <w:r w:rsidR="00B56B8B" w:rsidRPr="00F01B15">
        <w:rPr>
          <w:rFonts w:eastAsia="Times New Roman" w:cs="Times New Roman"/>
          <w:lang w:val="es-ES"/>
        </w:rPr>
        <w:t>,</w:t>
      </w:r>
      <w:r w:rsidR="00B51016" w:rsidRPr="00F01B15">
        <w:rPr>
          <w:rFonts w:eastAsia="Times New Roman" w:cs="Times New Roman"/>
          <w:lang w:val="es-ES"/>
        </w:rPr>
        <w:t xml:space="preserve"> y </w:t>
      </w:r>
      <w:r w:rsidR="002F79ED" w:rsidRPr="00F01B15">
        <w:rPr>
          <w:rFonts w:eastAsia="Times New Roman" w:cs="Times New Roman"/>
          <w:lang w:val="es-ES"/>
        </w:rPr>
        <w:t>la N</w:t>
      </w:r>
      <w:r w:rsidR="00205AEC" w:rsidRPr="00F01B15">
        <w:rPr>
          <w:rFonts w:eastAsia="Times New Roman" w:cs="Times New Roman"/>
          <w:lang w:val="es-ES"/>
        </w:rPr>
        <w:t xml:space="preserve">ormal Raúl Isidro Burgos </w:t>
      </w:r>
      <w:r w:rsidR="002F79ED" w:rsidRPr="00F01B15">
        <w:rPr>
          <w:rFonts w:eastAsia="Times New Roman" w:cs="Times New Roman"/>
          <w:lang w:val="es-ES"/>
        </w:rPr>
        <w:t xml:space="preserve">con </w:t>
      </w:r>
      <w:r w:rsidR="00B51016" w:rsidRPr="00F01B15">
        <w:rPr>
          <w:rFonts w:eastAsia="Times New Roman" w:cs="Times New Roman"/>
          <w:lang w:val="es-ES"/>
        </w:rPr>
        <w:t>75</w:t>
      </w:r>
      <w:r w:rsidR="008620F0" w:rsidRPr="00F01B15">
        <w:rPr>
          <w:rFonts w:eastAsia="Times New Roman" w:cs="Times New Roman"/>
          <w:lang w:val="es-ES"/>
        </w:rPr>
        <w:t xml:space="preserve"> % </w:t>
      </w:r>
      <w:r w:rsidR="002F79ED" w:rsidRPr="00F01B15">
        <w:rPr>
          <w:rFonts w:eastAsia="Times New Roman" w:cs="Times New Roman"/>
          <w:lang w:val="es-ES"/>
        </w:rPr>
        <w:t xml:space="preserve">en </w:t>
      </w:r>
      <w:r w:rsidR="008620F0" w:rsidRPr="00F01B15">
        <w:rPr>
          <w:rFonts w:eastAsia="Times New Roman" w:cs="Times New Roman"/>
          <w:lang w:val="es-ES"/>
        </w:rPr>
        <w:t>medianas.</w:t>
      </w:r>
    </w:p>
    <w:p w:rsidR="00B51016" w:rsidRPr="002F29C1" w:rsidRDefault="00B51016" w:rsidP="00607A39">
      <w:pPr>
        <w:spacing w:line="360" w:lineRule="auto"/>
        <w:jc w:val="both"/>
        <w:rPr>
          <w:rFonts w:ascii="Arial" w:eastAsia="Times New Roman" w:hAnsi="Arial" w:cs="Arial"/>
          <w:lang w:val="es-ES"/>
        </w:rPr>
      </w:pPr>
    </w:p>
    <w:p w:rsidR="008620F0" w:rsidRPr="002F29C1" w:rsidRDefault="008620F0" w:rsidP="00607A39">
      <w:pPr>
        <w:spacing w:line="360" w:lineRule="auto"/>
        <w:jc w:val="both"/>
        <w:rPr>
          <w:rFonts w:ascii="Arial" w:eastAsia="Times New Roman" w:hAnsi="Arial" w:cs="Arial"/>
          <w:b/>
        </w:rPr>
      </w:pPr>
      <w:r w:rsidRPr="002F29C1">
        <w:rPr>
          <w:rFonts w:ascii="Arial" w:eastAsia="Times New Roman" w:hAnsi="Arial" w:cs="Arial"/>
          <w:b/>
        </w:rPr>
        <w:t>Tabla 8</w:t>
      </w:r>
      <w:r w:rsidR="008604EC">
        <w:rPr>
          <w:rFonts w:ascii="Arial" w:eastAsia="Times New Roman" w:hAnsi="Arial" w:cs="Arial"/>
          <w:b/>
        </w:rPr>
        <w:t>.</w:t>
      </w:r>
      <w:r w:rsidRPr="002F29C1">
        <w:rPr>
          <w:rFonts w:ascii="Arial" w:eastAsia="Times New Roman" w:hAnsi="Arial" w:cs="Arial"/>
          <w:b/>
        </w:rPr>
        <w:t xml:space="preserve"> Fortalezas y debilidades en el dominio de indicadores de las dimensiones que evalúan las competencias genéricas en los académicos que </w:t>
      </w:r>
      <w:r w:rsidR="00205AEC">
        <w:rPr>
          <w:rFonts w:ascii="Arial" w:eastAsia="Times New Roman" w:hAnsi="Arial" w:cs="Arial"/>
          <w:b/>
        </w:rPr>
        <w:t>se encuentran frente a grupo a</w:t>
      </w:r>
      <w:r w:rsidRPr="002F29C1">
        <w:rPr>
          <w:rFonts w:ascii="Arial" w:eastAsia="Times New Roman" w:hAnsi="Arial" w:cs="Arial"/>
          <w:b/>
        </w:rPr>
        <w:t xml:space="preserve"> nivel superior en el estado de Guerrero por program</w:t>
      </w:r>
      <w:r w:rsidR="0066316A">
        <w:rPr>
          <w:rFonts w:ascii="Arial" w:eastAsia="Times New Roman" w:hAnsi="Arial" w:cs="Arial"/>
          <w:b/>
        </w:rPr>
        <w:t>a educativo en cada institución</w:t>
      </w:r>
    </w:p>
    <w:p w:rsidR="008620F0" w:rsidRDefault="008620F0" w:rsidP="00607A39">
      <w:pPr>
        <w:spacing w:line="360" w:lineRule="auto"/>
        <w:jc w:val="both"/>
        <w:rPr>
          <w:rFonts w:ascii="Arial" w:eastAsia="Times New Roman" w:hAnsi="Arial" w:cs="Arial"/>
          <w:noProof/>
          <w:lang w:eastAsia="es-MX"/>
        </w:rPr>
      </w:pPr>
    </w:p>
    <w:p w:rsidR="00C03C9F" w:rsidRDefault="00C24026" w:rsidP="00607A39">
      <w:pPr>
        <w:spacing w:line="360" w:lineRule="auto"/>
        <w:jc w:val="both"/>
        <w:rPr>
          <w:rFonts w:ascii="Arial" w:eastAsia="Times New Roman" w:hAnsi="Arial" w:cs="Arial"/>
        </w:rPr>
      </w:pPr>
      <w:r w:rsidRPr="00C24026">
        <w:rPr>
          <w:rFonts w:eastAsia="Times New Roman" w:cs="Times New Roman"/>
          <w:noProof/>
          <w:lang w:eastAsia="es-MX"/>
        </w:rPr>
        <w:drawing>
          <wp:inline distT="0" distB="0" distL="0" distR="0" wp14:anchorId="1FE6F15E" wp14:editId="79C65C9E">
            <wp:extent cx="5614818" cy="3700868"/>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064" cy="3701030"/>
                    </a:xfrm>
                    <a:prstGeom prst="rect">
                      <a:avLst/>
                    </a:prstGeom>
                    <a:noFill/>
                    <a:ln>
                      <a:noFill/>
                    </a:ln>
                  </pic:spPr>
                </pic:pic>
              </a:graphicData>
            </a:graphic>
          </wp:inline>
        </w:drawing>
      </w:r>
    </w:p>
    <w:p w:rsidR="00C03C9F" w:rsidRDefault="00C03C9F" w:rsidP="00607A39">
      <w:pPr>
        <w:spacing w:line="360" w:lineRule="auto"/>
        <w:jc w:val="both"/>
        <w:rPr>
          <w:rFonts w:ascii="Arial" w:eastAsia="Times New Roman" w:hAnsi="Arial" w:cs="Arial"/>
        </w:rPr>
      </w:pPr>
    </w:p>
    <w:p w:rsidR="0085684B" w:rsidRPr="00F01B15" w:rsidRDefault="00205AEC" w:rsidP="00607A39">
      <w:pPr>
        <w:spacing w:line="360" w:lineRule="auto"/>
        <w:jc w:val="both"/>
        <w:rPr>
          <w:rFonts w:eastAsia="Times New Roman" w:cs="Times New Roman"/>
        </w:rPr>
      </w:pPr>
      <w:r w:rsidRPr="00F01B15">
        <w:rPr>
          <w:rFonts w:eastAsia="Times New Roman" w:cs="Times New Roman"/>
        </w:rPr>
        <w:t>La tabla 8 despliega</w:t>
      </w:r>
      <w:r w:rsidR="008620F0" w:rsidRPr="00F01B15">
        <w:rPr>
          <w:rFonts w:eastAsia="Times New Roman" w:cs="Times New Roman"/>
        </w:rPr>
        <w:t xml:space="preserve"> las fortalezas y debilidades que tienen los docentes en el dominio de los indicadores de las dimensiones por institución evaluada</w:t>
      </w:r>
      <w:r w:rsidR="005138C7" w:rsidRPr="00F01B15">
        <w:rPr>
          <w:rFonts w:eastAsia="Times New Roman" w:cs="Times New Roman"/>
        </w:rPr>
        <w:t>:</w:t>
      </w:r>
      <w:r w:rsidR="008620F0" w:rsidRPr="00F01B15">
        <w:rPr>
          <w:rFonts w:eastAsia="Times New Roman" w:cs="Times New Roman"/>
        </w:rPr>
        <w:t xml:space="preserve"> </w:t>
      </w:r>
      <w:r w:rsidR="00BA4646" w:rsidRPr="00F01B15">
        <w:rPr>
          <w:rFonts w:eastAsia="Times New Roman" w:cs="Times New Roman"/>
        </w:rPr>
        <w:t xml:space="preserve">en la </w:t>
      </w:r>
      <w:r w:rsidR="005138C7" w:rsidRPr="00F01B15">
        <w:rPr>
          <w:rFonts w:eastAsia="Times New Roman" w:cs="Times New Roman"/>
        </w:rPr>
        <w:t>U</w:t>
      </w:r>
      <w:r w:rsidR="00BA4646" w:rsidRPr="00F01B15">
        <w:rPr>
          <w:rFonts w:eastAsia="Times New Roman" w:cs="Times New Roman"/>
        </w:rPr>
        <w:t xml:space="preserve">niversidad </w:t>
      </w:r>
      <w:r w:rsidR="00475F62" w:rsidRPr="00F01B15">
        <w:rPr>
          <w:rFonts w:eastAsia="Times New Roman" w:cs="Times New Roman"/>
        </w:rPr>
        <w:t xml:space="preserve">35 % </w:t>
      </w:r>
      <w:r w:rsidR="008620F0" w:rsidRPr="00F01B15">
        <w:rPr>
          <w:rFonts w:eastAsia="Times New Roman" w:cs="Times New Roman"/>
        </w:rPr>
        <w:t xml:space="preserve">tiene fortalezas altas y 50 </w:t>
      </w:r>
      <w:r w:rsidR="00BA4646" w:rsidRPr="00F01B15">
        <w:rPr>
          <w:rFonts w:eastAsia="Times New Roman" w:cs="Times New Roman"/>
        </w:rPr>
        <w:t xml:space="preserve">% medianas. </w:t>
      </w:r>
      <w:r w:rsidR="005138C7" w:rsidRPr="00F01B15">
        <w:rPr>
          <w:rFonts w:eastAsia="Times New Roman" w:cs="Times New Roman"/>
        </w:rPr>
        <w:t>En l</w:t>
      </w:r>
      <w:r w:rsidR="00C1353E" w:rsidRPr="00F01B15">
        <w:rPr>
          <w:rFonts w:eastAsia="Times New Roman" w:cs="Times New Roman"/>
        </w:rPr>
        <w:t>os tecnológicos</w:t>
      </w:r>
      <w:r w:rsidR="005138C7" w:rsidRPr="00F01B15">
        <w:rPr>
          <w:rFonts w:eastAsia="Times New Roman" w:cs="Times New Roman"/>
        </w:rPr>
        <w:t>,</w:t>
      </w:r>
      <w:r w:rsidR="008620F0" w:rsidRPr="00F01B15">
        <w:rPr>
          <w:rFonts w:eastAsia="Times New Roman" w:cs="Times New Roman"/>
        </w:rPr>
        <w:t xml:space="preserve"> Chilpancingo </w:t>
      </w:r>
      <w:r w:rsidR="005138C7" w:rsidRPr="00F01B15">
        <w:rPr>
          <w:rFonts w:eastAsia="Times New Roman" w:cs="Times New Roman"/>
        </w:rPr>
        <w:t>tiene</w:t>
      </w:r>
      <w:r w:rsidR="00475F62" w:rsidRPr="00F01B15">
        <w:rPr>
          <w:rFonts w:eastAsia="Times New Roman" w:cs="Times New Roman"/>
        </w:rPr>
        <w:t xml:space="preserve"> </w:t>
      </w:r>
      <w:r w:rsidR="00C1353E" w:rsidRPr="00F01B15">
        <w:rPr>
          <w:rFonts w:eastAsia="Times New Roman" w:cs="Times New Roman"/>
        </w:rPr>
        <w:t>80</w:t>
      </w:r>
      <w:r w:rsidR="005138C7" w:rsidRPr="00F01B15">
        <w:rPr>
          <w:rFonts w:eastAsia="Times New Roman" w:cs="Times New Roman"/>
        </w:rPr>
        <w:t xml:space="preserve"> </w:t>
      </w:r>
      <w:r w:rsidR="00C1353E" w:rsidRPr="00F01B15">
        <w:rPr>
          <w:rFonts w:eastAsia="Times New Roman" w:cs="Times New Roman"/>
        </w:rPr>
        <w:t>%</w:t>
      </w:r>
      <w:r w:rsidR="00CF040E" w:rsidRPr="00F01B15">
        <w:rPr>
          <w:rFonts w:eastAsia="Times New Roman" w:cs="Times New Roman"/>
        </w:rPr>
        <w:t xml:space="preserve"> e</w:t>
      </w:r>
      <w:r w:rsidR="00C1353E" w:rsidRPr="00F01B15">
        <w:rPr>
          <w:rFonts w:eastAsia="Times New Roman" w:cs="Times New Roman"/>
        </w:rPr>
        <w:t xml:space="preserve">  Iguala 87</w:t>
      </w:r>
      <w:r w:rsidR="008620F0" w:rsidRPr="00F01B15">
        <w:rPr>
          <w:rFonts w:eastAsia="Times New Roman" w:cs="Times New Roman"/>
        </w:rPr>
        <w:t xml:space="preserve"> % </w:t>
      </w:r>
      <w:r w:rsidR="00C1353E" w:rsidRPr="00F01B15">
        <w:rPr>
          <w:rFonts w:eastAsia="Times New Roman" w:cs="Times New Roman"/>
        </w:rPr>
        <w:t xml:space="preserve"> </w:t>
      </w:r>
      <w:r w:rsidR="00475F62" w:rsidRPr="00F01B15">
        <w:rPr>
          <w:rFonts w:eastAsia="Times New Roman" w:cs="Times New Roman"/>
        </w:rPr>
        <w:t xml:space="preserve">de </w:t>
      </w:r>
      <w:r w:rsidR="005138C7" w:rsidRPr="00F01B15">
        <w:rPr>
          <w:rFonts w:eastAsia="Times New Roman" w:cs="Times New Roman"/>
        </w:rPr>
        <w:t>sus</w:t>
      </w:r>
      <w:r w:rsidR="00C1353E" w:rsidRPr="00F01B15">
        <w:rPr>
          <w:rFonts w:eastAsia="Times New Roman" w:cs="Times New Roman"/>
        </w:rPr>
        <w:t xml:space="preserve"> académicos </w:t>
      </w:r>
      <w:r w:rsidR="005138C7" w:rsidRPr="00F01B15">
        <w:rPr>
          <w:rFonts w:eastAsia="Times New Roman" w:cs="Times New Roman"/>
        </w:rPr>
        <w:t>con</w:t>
      </w:r>
      <w:r w:rsidR="00C1353E" w:rsidRPr="00F01B15">
        <w:rPr>
          <w:rFonts w:eastAsia="Times New Roman" w:cs="Times New Roman"/>
        </w:rPr>
        <w:t xml:space="preserve"> fortalezas</w:t>
      </w:r>
      <w:r w:rsidR="008620F0" w:rsidRPr="00F01B15">
        <w:rPr>
          <w:rFonts w:eastAsia="Times New Roman" w:cs="Times New Roman"/>
        </w:rPr>
        <w:t xml:space="preserve"> medianas.</w:t>
      </w:r>
      <w:r w:rsidR="00C1353E" w:rsidRPr="00F01B15">
        <w:rPr>
          <w:rFonts w:eastAsia="Times New Roman" w:cs="Times New Roman"/>
        </w:rPr>
        <w:t xml:space="preserve"> </w:t>
      </w:r>
      <w:r w:rsidR="005138C7" w:rsidRPr="00F01B15">
        <w:rPr>
          <w:rFonts w:eastAsia="Times New Roman" w:cs="Times New Roman"/>
        </w:rPr>
        <w:t>L</w:t>
      </w:r>
      <w:r w:rsidR="00BA4646" w:rsidRPr="00F01B15">
        <w:rPr>
          <w:rFonts w:eastAsia="Times New Roman" w:cs="Times New Roman"/>
        </w:rPr>
        <w:t>as normales con fortalezas altas</w:t>
      </w:r>
      <w:r w:rsidR="00475F62" w:rsidRPr="00F01B15">
        <w:rPr>
          <w:rFonts w:eastAsia="Times New Roman" w:cs="Times New Roman"/>
        </w:rPr>
        <w:t xml:space="preserve"> en sus docentes</w:t>
      </w:r>
      <w:r w:rsidR="00BA4646" w:rsidRPr="00F01B15">
        <w:rPr>
          <w:rFonts w:eastAsia="Times New Roman" w:cs="Times New Roman"/>
        </w:rPr>
        <w:t xml:space="preserve"> son: la</w:t>
      </w:r>
      <w:r w:rsidR="008620F0" w:rsidRPr="00F01B15">
        <w:rPr>
          <w:rFonts w:eastAsia="Times New Roman" w:cs="Times New Roman"/>
        </w:rPr>
        <w:t xml:space="preserve"> Adolfo </w:t>
      </w:r>
      <w:proofErr w:type="spellStart"/>
      <w:r w:rsidR="008620F0" w:rsidRPr="00F01B15">
        <w:rPr>
          <w:rFonts w:eastAsia="Times New Roman" w:cs="Times New Roman"/>
        </w:rPr>
        <w:t>Viguri</w:t>
      </w:r>
      <w:proofErr w:type="spellEnd"/>
      <w:r w:rsidR="008620F0" w:rsidRPr="00F01B15">
        <w:rPr>
          <w:rFonts w:eastAsia="Times New Roman" w:cs="Times New Roman"/>
        </w:rPr>
        <w:t xml:space="preserve"> </w:t>
      </w:r>
      <w:proofErr w:type="spellStart"/>
      <w:r w:rsidR="008620F0" w:rsidRPr="00F01B15">
        <w:rPr>
          <w:rFonts w:eastAsia="Times New Roman" w:cs="Times New Roman"/>
        </w:rPr>
        <w:t>Viguri</w:t>
      </w:r>
      <w:proofErr w:type="spellEnd"/>
      <w:r w:rsidR="005138C7" w:rsidRPr="00F01B15">
        <w:rPr>
          <w:rFonts w:eastAsia="Times New Roman" w:cs="Times New Roman"/>
        </w:rPr>
        <w:t xml:space="preserve"> con</w:t>
      </w:r>
      <w:r w:rsidR="008620F0" w:rsidRPr="00F01B15">
        <w:rPr>
          <w:rFonts w:eastAsia="Times New Roman" w:cs="Times New Roman"/>
        </w:rPr>
        <w:t xml:space="preserve"> </w:t>
      </w:r>
      <w:r w:rsidR="00BA4646" w:rsidRPr="00F01B15">
        <w:rPr>
          <w:rFonts w:eastAsia="Times New Roman" w:cs="Times New Roman"/>
        </w:rPr>
        <w:t>89 %</w:t>
      </w:r>
      <w:r w:rsidR="005138C7" w:rsidRPr="00F01B15">
        <w:rPr>
          <w:rFonts w:eastAsia="Times New Roman" w:cs="Times New Roman"/>
        </w:rPr>
        <w:t>,</w:t>
      </w:r>
      <w:r w:rsidR="008620F0" w:rsidRPr="00F01B15">
        <w:rPr>
          <w:rFonts w:eastAsia="Times New Roman" w:cs="Times New Roman"/>
        </w:rPr>
        <w:t xml:space="preserve"> </w:t>
      </w:r>
      <w:r w:rsidR="005138C7" w:rsidRPr="00F01B15">
        <w:rPr>
          <w:rFonts w:eastAsia="Times New Roman" w:cs="Times New Roman"/>
        </w:rPr>
        <w:t xml:space="preserve">la </w:t>
      </w:r>
      <w:r w:rsidR="008620F0" w:rsidRPr="00F01B15">
        <w:rPr>
          <w:rFonts w:eastAsia="Times New Roman" w:cs="Times New Roman"/>
        </w:rPr>
        <w:t>Norm</w:t>
      </w:r>
      <w:r w:rsidR="00BA4646" w:rsidRPr="00F01B15">
        <w:rPr>
          <w:rFonts w:eastAsia="Times New Roman" w:cs="Times New Roman"/>
        </w:rPr>
        <w:t>al Ignacio Manuel Altamirano</w:t>
      </w:r>
      <w:r w:rsidR="005138C7" w:rsidRPr="00F01B15">
        <w:rPr>
          <w:rFonts w:eastAsia="Times New Roman" w:cs="Times New Roman"/>
        </w:rPr>
        <w:t xml:space="preserve"> con</w:t>
      </w:r>
      <w:r w:rsidR="008620F0" w:rsidRPr="00F01B15">
        <w:rPr>
          <w:rFonts w:eastAsia="Times New Roman" w:cs="Times New Roman"/>
        </w:rPr>
        <w:t xml:space="preserve"> 100</w:t>
      </w:r>
      <w:r w:rsidR="005138C7" w:rsidRPr="00F01B15">
        <w:rPr>
          <w:rFonts w:eastAsia="Times New Roman" w:cs="Times New Roman"/>
        </w:rPr>
        <w:t xml:space="preserve"> </w:t>
      </w:r>
      <w:r w:rsidR="00BA4646" w:rsidRPr="00F01B15">
        <w:rPr>
          <w:rFonts w:eastAsia="Times New Roman" w:cs="Times New Roman"/>
        </w:rPr>
        <w:t xml:space="preserve">%. Las normales </w:t>
      </w:r>
      <w:r w:rsidR="005138C7" w:rsidRPr="00F01B15">
        <w:rPr>
          <w:rFonts w:eastAsia="Times New Roman" w:cs="Times New Roman"/>
        </w:rPr>
        <w:t>cuyos</w:t>
      </w:r>
      <w:r w:rsidR="00475F62" w:rsidRPr="00F01B15">
        <w:rPr>
          <w:rFonts w:eastAsia="Times New Roman" w:cs="Times New Roman"/>
        </w:rPr>
        <w:t xml:space="preserve"> docentes </w:t>
      </w:r>
      <w:r w:rsidR="005138C7" w:rsidRPr="00F01B15">
        <w:rPr>
          <w:rFonts w:eastAsia="Times New Roman" w:cs="Times New Roman"/>
        </w:rPr>
        <w:t xml:space="preserve">presentan </w:t>
      </w:r>
      <w:r w:rsidR="00BA4646" w:rsidRPr="00F01B15">
        <w:rPr>
          <w:rFonts w:eastAsia="Times New Roman" w:cs="Times New Roman"/>
        </w:rPr>
        <w:t>fortalezas medianas son:</w:t>
      </w:r>
      <w:r w:rsidR="00475F62" w:rsidRPr="00F01B15">
        <w:rPr>
          <w:rFonts w:eastAsia="Times New Roman" w:cs="Times New Roman"/>
        </w:rPr>
        <w:t xml:space="preserve"> Vicente Guerrero con </w:t>
      </w:r>
      <w:r w:rsidR="00BA4646" w:rsidRPr="00F01B15">
        <w:rPr>
          <w:rFonts w:eastAsia="Times New Roman" w:cs="Times New Roman"/>
        </w:rPr>
        <w:t xml:space="preserve">89 % </w:t>
      </w:r>
      <w:r w:rsidR="00475F62" w:rsidRPr="00F01B15">
        <w:rPr>
          <w:rFonts w:eastAsia="Times New Roman" w:cs="Times New Roman"/>
        </w:rPr>
        <w:t xml:space="preserve"> y </w:t>
      </w:r>
      <w:r w:rsidR="005138C7" w:rsidRPr="00F01B15">
        <w:rPr>
          <w:rFonts w:eastAsia="Times New Roman" w:cs="Times New Roman"/>
        </w:rPr>
        <w:t>la</w:t>
      </w:r>
      <w:r w:rsidR="00475F62" w:rsidRPr="00F01B15">
        <w:rPr>
          <w:rFonts w:eastAsia="Times New Roman" w:cs="Times New Roman"/>
        </w:rPr>
        <w:t xml:space="preserve"> </w:t>
      </w:r>
      <w:r w:rsidR="008620F0" w:rsidRPr="00F01B15">
        <w:rPr>
          <w:rFonts w:eastAsia="Times New Roman" w:cs="Times New Roman"/>
        </w:rPr>
        <w:t>Normal Raúl</w:t>
      </w:r>
      <w:r w:rsidR="00475F62" w:rsidRPr="00F01B15">
        <w:rPr>
          <w:rFonts w:eastAsia="Times New Roman" w:cs="Times New Roman"/>
        </w:rPr>
        <w:t xml:space="preserve"> Isidro Burgos</w:t>
      </w:r>
      <w:r w:rsidR="005138C7" w:rsidRPr="00F01B15">
        <w:rPr>
          <w:rFonts w:eastAsia="Times New Roman" w:cs="Times New Roman"/>
        </w:rPr>
        <w:t xml:space="preserve"> con 75 %</w:t>
      </w:r>
      <w:r w:rsidR="00475F62" w:rsidRPr="00F01B15">
        <w:rPr>
          <w:rFonts w:eastAsia="Times New Roman" w:cs="Times New Roman"/>
        </w:rPr>
        <w:t>.</w:t>
      </w:r>
    </w:p>
    <w:p w:rsidR="008620F0" w:rsidRDefault="008620F0" w:rsidP="00607A39">
      <w:pPr>
        <w:spacing w:line="360" w:lineRule="auto"/>
        <w:jc w:val="both"/>
        <w:rPr>
          <w:rFonts w:ascii="Arial" w:eastAsia="Times New Roman" w:hAnsi="Arial" w:cs="Arial"/>
        </w:rPr>
      </w:pPr>
      <w:r w:rsidRPr="00F01B15">
        <w:rPr>
          <w:rFonts w:eastAsia="Times New Roman" w:cs="Times New Roman"/>
        </w:rPr>
        <w:lastRenderedPageBreak/>
        <w:t>Cabe destacar que de los 26 programas educativos de las 7 instituciones educativas del nivel superior, solo 23 %</w:t>
      </w:r>
      <w:r w:rsidR="0085684B" w:rsidRPr="00F01B15">
        <w:rPr>
          <w:rFonts w:eastAsia="Times New Roman" w:cs="Times New Roman"/>
        </w:rPr>
        <w:t xml:space="preserve"> (6 programas)</w:t>
      </w:r>
      <w:r w:rsidRPr="00F01B15">
        <w:rPr>
          <w:rFonts w:eastAsia="Times New Roman" w:cs="Times New Roman"/>
        </w:rPr>
        <w:t xml:space="preserve"> tiene</w:t>
      </w:r>
      <w:r w:rsidR="009B311B" w:rsidRPr="00F01B15">
        <w:rPr>
          <w:rFonts w:eastAsia="Times New Roman" w:cs="Times New Roman"/>
        </w:rPr>
        <w:t>n</w:t>
      </w:r>
      <w:r w:rsidRPr="00F01B15">
        <w:rPr>
          <w:rFonts w:eastAsia="Times New Roman" w:cs="Times New Roman"/>
        </w:rPr>
        <w:t xml:space="preserve"> docentes con fortalezas altas.</w:t>
      </w:r>
    </w:p>
    <w:p w:rsidR="0085684B" w:rsidRPr="002F29C1" w:rsidRDefault="0085684B" w:rsidP="00607A39">
      <w:pPr>
        <w:spacing w:line="360" w:lineRule="auto"/>
        <w:jc w:val="both"/>
        <w:rPr>
          <w:rFonts w:ascii="Arial" w:eastAsia="Times New Roman" w:hAnsi="Arial" w:cs="Arial"/>
        </w:rPr>
      </w:pPr>
    </w:p>
    <w:p w:rsidR="008620F0" w:rsidRPr="002F29C1" w:rsidRDefault="00475F62" w:rsidP="00607A39">
      <w:pPr>
        <w:tabs>
          <w:tab w:val="left" w:pos="3402"/>
        </w:tabs>
        <w:spacing w:line="360" w:lineRule="auto"/>
        <w:jc w:val="both"/>
        <w:rPr>
          <w:rFonts w:ascii="Arial" w:eastAsia="Times New Roman" w:hAnsi="Arial" w:cs="Arial"/>
          <w:lang w:val="es-ES"/>
        </w:rPr>
      </w:pPr>
      <w:r>
        <w:rPr>
          <w:rFonts w:ascii="Arial" w:eastAsia="Times New Roman" w:hAnsi="Arial" w:cs="Arial"/>
          <w:b/>
          <w:lang w:val="es-ES"/>
        </w:rPr>
        <w:t xml:space="preserve">Tabla </w:t>
      </w:r>
      <w:r w:rsidR="008620F0" w:rsidRPr="002F29C1">
        <w:rPr>
          <w:rFonts w:ascii="Arial" w:eastAsia="Times New Roman" w:hAnsi="Arial" w:cs="Arial"/>
          <w:b/>
          <w:lang w:val="es-ES"/>
        </w:rPr>
        <w:t>9</w:t>
      </w:r>
      <w:r>
        <w:rPr>
          <w:rFonts w:ascii="Arial" w:eastAsia="Times New Roman" w:hAnsi="Arial" w:cs="Arial"/>
          <w:b/>
          <w:lang w:val="es-ES"/>
        </w:rPr>
        <w:t>.</w:t>
      </w:r>
      <w:r w:rsidR="008620F0" w:rsidRPr="002F29C1">
        <w:rPr>
          <w:rFonts w:ascii="Arial" w:eastAsia="Times New Roman" w:hAnsi="Arial" w:cs="Arial"/>
          <w:b/>
          <w:lang w:val="es-ES"/>
        </w:rPr>
        <w:t xml:space="preserve"> </w:t>
      </w:r>
      <w:r w:rsidR="0085684B">
        <w:rPr>
          <w:rFonts w:ascii="Arial" w:eastAsia="Times New Roman" w:hAnsi="Arial" w:cs="Arial"/>
          <w:b/>
          <w:lang w:val="es-ES"/>
        </w:rPr>
        <w:t>Promedio general de f</w:t>
      </w:r>
      <w:r w:rsidR="008620F0" w:rsidRPr="002F29C1">
        <w:rPr>
          <w:rFonts w:ascii="Arial" w:eastAsia="Times New Roman" w:hAnsi="Arial" w:cs="Arial"/>
          <w:b/>
          <w:lang w:val="es-ES"/>
        </w:rPr>
        <w:t>ortalezas</w:t>
      </w:r>
      <w:r>
        <w:rPr>
          <w:rFonts w:ascii="Arial" w:eastAsia="Times New Roman" w:hAnsi="Arial" w:cs="Arial"/>
          <w:b/>
          <w:lang w:val="es-ES"/>
        </w:rPr>
        <w:t xml:space="preserve"> </w:t>
      </w:r>
      <w:r w:rsidR="0085684B">
        <w:rPr>
          <w:rFonts w:ascii="Arial" w:eastAsia="Times New Roman" w:hAnsi="Arial" w:cs="Arial"/>
          <w:b/>
          <w:lang w:val="es-ES"/>
        </w:rPr>
        <w:t xml:space="preserve">en el dominio de indicadores por los docentes en las </w:t>
      </w:r>
      <w:r w:rsidR="008620F0" w:rsidRPr="002F29C1">
        <w:rPr>
          <w:rFonts w:ascii="Arial" w:eastAsia="Times New Roman" w:hAnsi="Arial" w:cs="Arial"/>
          <w:b/>
          <w:lang w:val="es-ES"/>
        </w:rPr>
        <w:t>siete instituciones</w:t>
      </w:r>
    </w:p>
    <w:tbl>
      <w:tblPr>
        <w:tblStyle w:val="Sombreadoclaro1"/>
        <w:tblW w:w="0" w:type="auto"/>
        <w:tblLook w:val="04A0" w:firstRow="1" w:lastRow="0" w:firstColumn="1" w:lastColumn="0" w:noHBand="0" w:noVBand="1"/>
      </w:tblPr>
      <w:tblGrid>
        <w:gridCol w:w="2802"/>
        <w:gridCol w:w="6095"/>
      </w:tblGrid>
      <w:tr w:rsidR="008620F0" w:rsidRPr="002F29C1" w:rsidTr="00FD57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620F0" w:rsidRPr="002F29C1" w:rsidRDefault="00475F62" w:rsidP="00607A39">
            <w:pPr>
              <w:tabs>
                <w:tab w:val="left" w:pos="3402"/>
              </w:tabs>
              <w:spacing w:line="360" w:lineRule="auto"/>
              <w:jc w:val="center"/>
              <w:rPr>
                <w:rFonts w:ascii="Arial" w:hAnsi="Arial" w:cs="Arial"/>
                <w:lang w:val="es-ES"/>
              </w:rPr>
            </w:pPr>
            <w:r>
              <w:rPr>
                <w:rFonts w:ascii="Arial" w:hAnsi="Arial" w:cs="Arial"/>
                <w:lang w:val="es-ES"/>
              </w:rPr>
              <w:t xml:space="preserve">Dominio de </w:t>
            </w:r>
            <w:r w:rsidR="008620F0" w:rsidRPr="002F29C1">
              <w:rPr>
                <w:rFonts w:ascii="Arial" w:hAnsi="Arial" w:cs="Arial"/>
                <w:lang w:val="es-ES"/>
              </w:rPr>
              <w:t>indicadores</w:t>
            </w:r>
          </w:p>
        </w:tc>
        <w:tc>
          <w:tcPr>
            <w:tcW w:w="6095" w:type="dxa"/>
          </w:tcPr>
          <w:p w:rsidR="008620F0" w:rsidRPr="002F29C1" w:rsidRDefault="008620F0" w:rsidP="00607A39">
            <w:pPr>
              <w:tabs>
                <w:tab w:val="left" w:pos="3402"/>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lang w:val="es-ES"/>
              </w:rPr>
            </w:pPr>
            <w:r w:rsidRPr="002F29C1">
              <w:rPr>
                <w:rFonts w:ascii="Arial" w:hAnsi="Arial" w:cs="Arial"/>
                <w:lang w:val="es-ES"/>
              </w:rPr>
              <w:t>Porcentajes</w:t>
            </w:r>
          </w:p>
        </w:tc>
      </w:tr>
      <w:tr w:rsidR="008620F0" w:rsidRPr="002F29C1" w:rsidTr="006E0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EEECE1" w:themeFill="background2"/>
          </w:tcPr>
          <w:p w:rsidR="008620F0" w:rsidRPr="002F29C1" w:rsidRDefault="008620F0" w:rsidP="00607A39">
            <w:pPr>
              <w:tabs>
                <w:tab w:val="left" w:pos="3402"/>
              </w:tabs>
              <w:spacing w:line="360" w:lineRule="auto"/>
              <w:jc w:val="both"/>
              <w:rPr>
                <w:rFonts w:ascii="Arial" w:hAnsi="Arial" w:cs="Arial"/>
                <w:lang w:val="es-ES"/>
              </w:rPr>
            </w:pPr>
            <w:r w:rsidRPr="002F29C1">
              <w:rPr>
                <w:rFonts w:ascii="Arial" w:hAnsi="Arial" w:cs="Arial"/>
                <w:lang w:val="es-ES"/>
              </w:rPr>
              <w:t>Bajas fortalezas</w:t>
            </w:r>
          </w:p>
        </w:tc>
        <w:tc>
          <w:tcPr>
            <w:tcW w:w="6095" w:type="dxa"/>
            <w:shd w:val="clear" w:color="auto" w:fill="EEECE1" w:themeFill="background2"/>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2F29C1">
              <w:rPr>
                <w:rFonts w:ascii="Arial" w:hAnsi="Arial" w:cs="Arial"/>
                <w:lang w:val="es-ES"/>
              </w:rPr>
              <w:t>0</w:t>
            </w:r>
            <w:r w:rsidR="00FB5030">
              <w:rPr>
                <w:rFonts w:ascii="Arial" w:hAnsi="Arial" w:cs="Arial"/>
                <w:lang w:val="es-ES"/>
              </w:rPr>
              <w:t xml:space="preserve"> </w:t>
            </w:r>
            <w:r w:rsidRPr="002F29C1">
              <w:rPr>
                <w:rFonts w:ascii="Arial" w:hAnsi="Arial" w:cs="Arial"/>
                <w:lang w:val="es-ES"/>
              </w:rPr>
              <w:t>%</w:t>
            </w:r>
          </w:p>
        </w:tc>
      </w:tr>
      <w:tr w:rsidR="008620F0" w:rsidRPr="002F29C1" w:rsidTr="00FD574A">
        <w:tc>
          <w:tcPr>
            <w:cnfStyle w:val="001000000000" w:firstRow="0" w:lastRow="0" w:firstColumn="1" w:lastColumn="0" w:oddVBand="0" w:evenVBand="0" w:oddHBand="0" w:evenHBand="0" w:firstRowFirstColumn="0" w:firstRowLastColumn="0" w:lastRowFirstColumn="0" w:lastRowLastColumn="0"/>
            <w:tcW w:w="2802" w:type="dxa"/>
          </w:tcPr>
          <w:p w:rsidR="008620F0" w:rsidRPr="002F29C1" w:rsidRDefault="008620F0" w:rsidP="00FB5030">
            <w:pPr>
              <w:tabs>
                <w:tab w:val="left" w:pos="3402"/>
              </w:tabs>
              <w:spacing w:line="360" w:lineRule="auto"/>
              <w:jc w:val="both"/>
              <w:rPr>
                <w:rFonts w:ascii="Arial" w:hAnsi="Arial" w:cs="Arial"/>
                <w:lang w:val="es-ES"/>
              </w:rPr>
            </w:pPr>
            <w:r w:rsidRPr="002F29C1">
              <w:rPr>
                <w:rFonts w:ascii="Arial" w:hAnsi="Arial" w:cs="Arial"/>
                <w:lang w:val="es-ES"/>
              </w:rPr>
              <w:t xml:space="preserve">Medianas </w:t>
            </w:r>
            <w:r w:rsidR="00FB5030">
              <w:rPr>
                <w:rFonts w:ascii="Arial" w:hAnsi="Arial" w:cs="Arial"/>
                <w:lang w:val="es-ES"/>
              </w:rPr>
              <w:t>f</w:t>
            </w:r>
            <w:r w:rsidRPr="002F29C1">
              <w:rPr>
                <w:rFonts w:ascii="Arial" w:hAnsi="Arial" w:cs="Arial"/>
                <w:lang w:val="es-ES"/>
              </w:rPr>
              <w:t>ortalezas</w:t>
            </w:r>
          </w:p>
        </w:tc>
        <w:tc>
          <w:tcPr>
            <w:tcW w:w="6095" w:type="dxa"/>
          </w:tcPr>
          <w:p w:rsidR="008620F0" w:rsidRPr="002F29C1" w:rsidRDefault="008620F0" w:rsidP="00607A39">
            <w:pPr>
              <w:tabs>
                <w:tab w:val="left" w:pos="3402"/>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s-ES"/>
              </w:rPr>
            </w:pPr>
            <w:r w:rsidRPr="002F29C1">
              <w:rPr>
                <w:rFonts w:ascii="Arial" w:hAnsi="Arial" w:cs="Arial"/>
                <w:lang w:val="es-ES"/>
              </w:rPr>
              <w:t>93</w:t>
            </w:r>
            <w:r w:rsidR="00FB5030">
              <w:rPr>
                <w:rFonts w:ascii="Arial" w:hAnsi="Arial" w:cs="Arial"/>
                <w:lang w:val="es-ES"/>
              </w:rPr>
              <w:t xml:space="preserve"> </w:t>
            </w:r>
            <w:r w:rsidRPr="002F29C1">
              <w:rPr>
                <w:rFonts w:ascii="Arial" w:hAnsi="Arial" w:cs="Arial"/>
                <w:lang w:val="es-ES"/>
              </w:rPr>
              <w:t>%</w:t>
            </w:r>
          </w:p>
        </w:tc>
      </w:tr>
      <w:tr w:rsidR="008620F0" w:rsidRPr="002F29C1" w:rsidTr="006E0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EEECE1" w:themeFill="background2"/>
          </w:tcPr>
          <w:p w:rsidR="008620F0" w:rsidRPr="002F29C1" w:rsidRDefault="008620F0" w:rsidP="00FB5030">
            <w:pPr>
              <w:tabs>
                <w:tab w:val="left" w:pos="3402"/>
              </w:tabs>
              <w:spacing w:line="360" w:lineRule="auto"/>
              <w:jc w:val="both"/>
              <w:rPr>
                <w:rFonts w:ascii="Arial" w:hAnsi="Arial" w:cs="Arial"/>
                <w:lang w:val="es-ES"/>
              </w:rPr>
            </w:pPr>
            <w:r w:rsidRPr="002F29C1">
              <w:rPr>
                <w:rFonts w:ascii="Arial" w:hAnsi="Arial" w:cs="Arial"/>
                <w:lang w:val="es-ES"/>
              </w:rPr>
              <w:t xml:space="preserve">Altas </w:t>
            </w:r>
            <w:r w:rsidR="00FB5030">
              <w:rPr>
                <w:rFonts w:ascii="Arial" w:hAnsi="Arial" w:cs="Arial"/>
                <w:lang w:val="es-ES"/>
              </w:rPr>
              <w:t>f</w:t>
            </w:r>
            <w:r w:rsidRPr="002F29C1">
              <w:rPr>
                <w:rFonts w:ascii="Arial" w:hAnsi="Arial" w:cs="Arial"/>
                <w:lang w:val="es-ES"/>
              </w:rPr>
              <w:t>ortalezas</w:t>
            </w:r>
          </w:p>
        </w:tc>
        <w:tc>
          <w:tcPr>
            <w:tcW w:w="6095" w:type="dxa"/>
            <w:shd w:val="clear" w:color="auto" w:fill="EEECE1" w:themeFill="background2"/>
          </w:tcPr>
          <w:p w:rsidR="008620F0" w:rsidRPr="002F29C1" w:rsidRDefault="008620F0" w:rsidP="00607A39">
            <w:pPr>
              <w:tabs>
                <w:tab w:val="left" w:pos="3402"/>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
              </w:rPr>
            </w:pPr>
            <w:r w:rsidRPr="002F29C1">
              <w:rPr>
                <w:rFonts w:ascii="Arial" w:hAnsi="Arial" w:cs="Arial"/>
                <w:lang w:val="es-ES"/>
              </w:rPr>
              <w:t>7</w:t>
            </w:r>
            <w:r w:rsidR="00FB5030">
              <w:rPr>
                <w:rFonts w:ascii="Arial" w:hAnsi="Arial" w:cs="Arial"/>
                <w:lang w:val="es-ES"/>
              </w:rPr>
              <w:t xml:space="preserve"> </w:t>
            </w:r>
            <w:r w:rsidRPr="002F29C1">
              <w:rPr>
                <w:rFonts w:ascii="Arial" w:hAnsi="Arial" w:cs="Arial"/>
                <w:lang w:val="es-ES"/>
              </w:rPr>
              <w:t>%</w:t>
            </w:r>
          </w:p>
        </w:tc>
      </w:tr>
    </w:tbl>
    <w:p w:rsidR="008620F0" w:rsidRPr="002F29C1" w:rsidRDefault="008620F0" w:rsidP="00607A39">
      <w:pPr>
        <w:spacing w:line="360" w:lineRule="auto"/>
        <w:jc w:val="both"/>
        <w:rPr>
          <w:rFonts w:ascii="Arial" w:eastAsia="Times New Roman" w:hAnsi="Arial" w:cs="Arial"/>
          <w:color w:val="000000"/>
          <w:kern w:val="24"/>
          <w:lang w:val="es-CO" w:eastAsia="es-MX"/>
        </w:rPr>
      </w:pPr>
    </w:p>
    <w:p w:rsidR="008620F0" w:rsidRPr="00F01B15" w:rsidRDefault="00475F62" w:rsidP="00F01B15">
      <w:pPr>
        <w:spacing w:line="360" w:lineRule="auto"/>
        <w:jc w:val="both"/>
        <w:rPr>
          <w:rFonts w:eastAsia="Times New Roman" w:cs="Times New Roman"/>
        </w:rPr>
      </w:pPr>
      <w:r w:rsidRPr="00F01B15">
        <w:rPr>
          <w:rFonts w:eastAsia="Times New Roman" w:cs="Times New Roman"/>
        </w:rPr>
        <w:t xml:space="preserve">La tabla </w:t>
      </w:r>
      <w:r w:rsidR="009B311B" w:rsidRPr="00F01B15">
        <w:rPr>
          <w:rFonts w:eastAsia="Times New Roman" w:cs="Times New Roman"/>
        </w:rPr>
        <w:t>9 muestra</w:t>
      </w:r>
      <w:r w:rsidR="008620F0" w:rsidRPr="00F01B15">
        <w:rPr>
          <w:rFonts w:eastAsia="Times New Roman" w:cs="Times New Roman"/>
        </w:rPr>
        <w:t xml:space="preserve"> las fortalezas y debilidades que tienen los docentes en el dominio de los indicadores</w:t>
      </w:r>
      <w:r w:rsidR="009B311B" w:rsidRPr="00F01B15">
        <w:rPr>
          <w:rFonts w:eastAsia="Times New Roman" w:cs="Times New Roman"/>
        </w:rPr>
        <w:t xml:space="preserve"> de todas las dimensiones. Los</w:t>
      </w:r>
      <w:r w:rsidR="008620F0" w:rsidRPr="00F01B15">
        <w:rPr>
          <w:rFonts w:eastAsia="Times New Roman" w:cs="Times New Roman"/>
        </w:rPr>
        <w:t xml:space="preserve"> docentes </w:t>
      </w:r>
      <w:r w:rsidR="00CF040E" w:rsidRPr="00F01B15">
        <w:rPr>
          <w:rFonts w:eastAsia="Times New Roman" w:cs="Times New Roman"/>
        </w:rPr>
        <w:t>provenían</w:t>
      </w:r>
      <w:r w:rsidR="008620F0" w:rsidRPr="00F01B15">
        <w:rPr>
          <w:rFonts w:eastAsia="Times New Roman" w:cs="Times New Roman"/>
        </w:rPr>
        <w:t xml:space="preserve"> de los 26 programas que se ofrecen en los siete centros evaluados del Estado de Guerrero, encontrando que 93</w:t>
      </w:r>
      <w:r w:rsidR="00FB5030" w:rsidRPr="00F01B15">
        <w:rPr>
          <w:rFonts w:eastAsia="Times New Roman" w:cs="Times New Roman"/>
        </w:rPr>
        <w:t xml:space="preserve"> </w:t>
      </w:r>
      <w:r w:rsidR="008620F0" w:rsidRPr="00F01B15">
        <w:rPr>
          <w:rFonts w:eastAsia="Times New Roman" w:cs="Times New Roman"/>
        </w:rPr>
        <w:t xml:space="preserve">% de </w:t>
      </w:r>
      <w:r w:rsidR="00CF040E" w:rsidRPr="00F01B15">
        <w:rPr>
          <w:rFonts w:eastAsia="Times New Roman" w:cs="Times New Roman"/>
        </w:rPr>
        <w:t>ellos</w:t>
      </w:r>
      <w:r w:rsidR="008620F0" w:rsidRPr="00F01B15">
        <w:rPr>
          <w:rFonts w:eastAsia="Times New Roman" w:cs="Times New Roman"/>
        </w:rPr>
        <w:t xml:space="preserve"> tiene fortalezas medianas.</w:t>
      </w:r>
    </w:p>
    <w:p w:rsidR="00FB5030" w:rsidRPr="00F01B15" w:rsidRDefault="00FB5030" w:rsidP="00F01B15">
      <w:pPr>
        <w:spacing w:line="360" w:lineRule="auto"/>
        <w:jc w:val="both"/>
        <w:rPr>
          <w:rFonts w:eastAsia="Times New Roman" w:cs="Times New Roman"/>
          <w:b/>
          <w:lang w:val="es-ES"/>
        </w:rPr>
      </w:pPr>
    </w:p>
    <w:p w:rsidR="008620F0" w:rsidRPr="00F01B15" w:rsidRDefault="008620F0" w:rsidP="00F01B15">
      <w:pPr>
        <w:spacing w:line="360" w:lineRule="auto"/>
        <w:jc w:val="both"/>
        <w:rPr>
          <w:rFonts w:eastAsia="Times New Roman" w:cs="Times New Roman"/>
          <w:b/>
          <w:lang w:val="es-ES"/>
        </w:rPr>
      </w:pPr>
      <w:r w:rsidRPr="00F01B15">
        <w:rPr>
          <w:rFonts w:eastAsia="Times New Roman" w:cs="Times New Roman"/>
          <w:b/>
          <w:lang w:val="es-ES"/>
        </w:rPr>
        <w:t>Conclusi</w:t>
      </w:r>
      <w:r w:rsidR="00AA469D">
        <w:rPr>
          <w:rFonts w:eastAsia="Times New Roman" w:cs="Times New Roman"/>
          <w:b/>
          <w:lang w:val="es-ES"/>
        </w:rPr>
        <w:t>ón</w:t>
      </w:r>
    </w:p>
    <w:p w:rsidR="008620F0" w:rsidRPr="00F01B15" w:rsidRDefault="008620F0" w:rsidP="00F01B15">
      <w:pPr>
        <w:autoSpaceDE w:val="0"/>
        <w:autoSpaceDN w:val="0"/>
        <w:adjustRightInd w:val="0"/>
        <w:spacing w:after="160" w:line="360" w:lineRule="auto"/>
        <w:contextualSpacing/>
        <w:jc w:val="both"/>
        <w:rPr>
          <w:rFonts w:eastAsia="Times New Roman" w:cs="Times New Roman"/>
          <w:lang w:val="es-ES"/>
        </w:rPr>
      </w:pPr>
      <w:r w:rsidRPr="00F01B15">
        <w:rPr>
          <w:rFonts w:eastAsia="Calibri" w:cs="Times New Roman"/>
          <w:lang w:val="es-ES" w:eastAsia="en-US"/>
        </w:rPr>
        <w:t>El cuestionario aplicado de acuerdo a Calderón (2010), mostró contar con validez</w:t>
      </w:r>
      <w:r w:rsidRPr="00F01B15">
        <w:rPr>
          <w:rFonts w:eastAsia="Times New Roman" w:cs="Times New Roman"/>
          <w:lang w:val="es-ES"/>
        </w:rPr>
        <w:t xml:space="preserve"> y confiabilidad, fue diseñado acorde a las características del docente universitario, con</w:t>
      </w:r>
      <w:r w:rsidRPr="00F01B15">
        <w:rPr>
          <w:rFonts w:eastAsia="Calibri" w:cs="Times New Roman"/>
          <w:lang w:val="es-ES" w:eastAsia="en-US"/>
        </w:rPr>
        <w:t xml:space="preserve"> criterios en la construcción de las dimensiones y </w:t>
      </w:r>
      <w:proofErr w:type="spellStart"/>
      <w:r w:rsidRPr="00F01B15">
        <w:rPr>
          <w:rFonts w:eastAsia="Calibri" w:cs="Times New Roman"/>
          <w:lang w:val="es-ES" w:eastAsia="en-US"/>
        </w:rPr>
        <w:t>subdimensiones</w:t>
      </w:r>
      <w:proofErr w:type="spellEnd"/>
      <w:r w:rsidRPr="00F01B15">
        <w:rPr>
          <w:rFonts w:eastAsia="Calibri" w:cs="Times New Roman"/>
          <w:lang w:val="es-ES" w:eastAsia="en-US"/>
        </w:rPr>
        <w:t xml:space="preserve"> que permitieron lograr el objetivo planteado, al dar cuenta</w:t>
      </w:r>
      <w:r w:rsidRPr="00F01B15">
        <w:rPr>
          <w:rFonts w:eastAsia="Calibri" w:cs="Times New Roman"/>
          <w:color w:val="000000"/>
          <w:lang w:val="es-ES" w:eastAsia="en-US"/>
        </w:rPr>
        <w:t xml:space="preserve"> de la visión </w:t>
      </w:r>
      <w:r w:rsidR="00D24EC6" w:rsidRPr="00F01B15">
        <w:rPr>
          <w:rFonts w:eastAsia="Calibri" w:cs="Times New Roman"/>
          <w:color w:val="000000"/>
          <w:lang w:val="es-ES" w:eastAsia="en-US"/>
        </w:rPr>
        <w:t xml:space="preserve">que poseen </w:t>
      </w:r>
      <w:r w:rsidR="009B311B" w:rsidRPr="00F01B15">
        <w:rPr>
          <w:rFonts w:eastAsia="Calibri" w:cs="Times New Roman"/>
          <w:color w:val="000000"/>
          <w:lang w:val="es-ES" w:eastAsia="en-US"/>
        </w:rPr>
        <w:t>los estudiantes</w:t>
      </w:r>
      <w:r w:rsidR="00D831E7" w:rsidRPr="00F01B15">
        <w:rPr>
          <w:rFonts w:eastAsia="Calibri" w:cs="Times New Roman"/>
          <w:color w:val="000000"/>
          <w:lang w:val="es-ES" w:eastAsia="en-US"/>
        </w:rPr>
        <w:t xml:space="preserve"> con</w:t>
      </w:r>
      <w:r w:rsidR="009B311B" w:rsidRPr="00F01B15">
        <w:rPr>
          <w:rFonts w:eastAsia="Calibri" w:cs="Times New Roman"/>
          <w:color w:val="000000"/>
          <w:lang w:val="es-ES" w:eastAsia="en-US"/>
        </w:rPr>
        <w:t xml:space="preserve"> </w:t>
      </w:r>
      <w:r w:rsidRPr="00F01B15">
        <w:rPr>
          <w:rFonts w:eastAsia="Calibri" w:cs="Times New Roman"/>
          <w:color w:val="000000"/>
          <w:lang w:val="es-ES" w:eastAsia="en-US"/>
        </w:rPr>
        <w:t xml:space="preserve">respecto al </w:t>
      </w:r>
      <w:r w:rsidRPr="00F01B15">
        <w:rPr>
          <w:rFonts w:eastAsia="Times New Roman" w:cs="Times New Roman"/>
          <w:lang w:val="es-ES"/>
        </w:rPr>
        <w:t xml:space="preserve">dominio de competencias genéricas que tienen los docentes en </w:t>
      </w:r>
      <w:r w:rsidR="00D24EC6" w:rsidRPr="00F01B15">
        <w:rPr>
          <w:rFonts w:eastAsia="Times New Roman" w:cs="Times New Roman"/>
          <w:lang w:val="es-ES"/>
        </w:rPr>
        <w:t xml:space="preserve">el </w:t>
      </w:r>
      <w:r w:rsidRPr="00F01B15">
        <w:rPr>
          <w:rFonts w:eastAsia="Times New Roman" w:cs="Times New Roman"/>
          <w:lang w:val="es-ES"/>
        </w:rPr>
        <w:t xml:space="preserve">estado de Guerrero, para ser facilitadores en el  proceso de enseñanza aprendizaje y </w:t>
      </w:r>
      <w:r w:rsidRPr="00F01B15">
        <w:rPr>
          <w:rFonts w:eastAsia="Calibri" w:cs="Times New Roman"/>
          <w:lang w:val="es-ES" w:eastAsia="en-US"/>
        </w:rPr>
        <w:t>lograr el objetivo principal de cada programa educativo en el nivel superior.</w:t>
      </w:r>
    </w:p>
    <w:p w:rsidR="008620F0" w:rsidRPr="00F01B15" w:rsidRDefault="008620F0" w:rsidP="00F01B15">
      <w:pPr>
        <w:autoSpaceDE w:val="0"/>
        <w:autoSpaceDN w:val="0"/>
        <w:adjustRightInd w:val="0"/>
        <w:spacing w:after="160" w:line="360" w:lineRule="auto"/>
        <w:contextualSpacing/>
        <w:jc w:val="both"/>
        <w:rPr>
          <w:rFonts w:eastAsia="Calibri" w:cs="Times New Roman"/>
          <w:color w:val="000000"/>
          <w:lang w:val="es-ES" w:eastAsia="en-US"/>
        </w:rPr>
      </w:pPr>
      <w:r w:rsidRPr="00F01B15">
        <w:rPr>
          <w:rFonts w:eastAsia="Calibri" w:cs="Times New Roman"/>
          <w:lang w:val="es-ES" w:eastAsia="en-US"/>
        </w:rPr>
        <w:t xml:space="preserve">La consistencia del instrumento sirvió para </w:t>
      </w:r>
      <w:r w:rsidRPr="00F01B15">
        <w:rPr>
          <w:rFonts w:eastAsia="Calibri" w:cs="Times New Roman"/>
          <w:color w:val="000000"/>
          <w:lang w:val="es-ES" w:eastAsia="en-US"/>
        </w:rPr>
        <w:t>evidenciar el promedio de docentes universitarios que se encuentra en cada nivel de competencia</w:t>
      </w:r>
      <w:r w:rsidR="00D24EC6" w:rsidRPr="00F01B15">
        <w:rPr>
          <w:rFonts w:eastAsia="Calibri" w:cs="Times New Roman"/>
          <w:color w:val="000000"/>
          <w:lang w:val="es-ES" w:eastAsia="en-US"/>
        </w:rPr>
        <w:t>s</w:t>
      </w:r>
      <w:r w:rsidR="00FB5030" w:rsidRPr="00F01B15">
        <w:rPr>
          <w:rFonts w:eastAsia="Calibri" w:cs="Times New Roman"/>
          <w:color w:val="000000"/>
          <w:lang w:val="es-ES" w:eastAsia="en-US"/>
        </w:rPr>
        <w:t>:</w:t>
      </w:r>
      <w:r w:rsidRPr="00F01B15">
        <w:rPr>
          <w:rFonts w:eastAsia="Calibri" w:cs="Times New Roman"/>
          <w:color w:val="000000"/>
          <w:lang w:val="es-ES" w:eastAsia="en-US"/>
        </w:rPr>
        <w:t xml:space="preserve"> altas, medianas y bajas en cada institución evaluada,</w:t>
      </w:r>
      <w:r w:rsidRPr="00F01B15">
        <w:rPr>
          <w:rFonts w:eastAsia="Calibri" w:cs="Times New Roman"/>
          <w:lang w:val="es-ES" w:eastAsia="en-US"/>
        </w:rPr>
        <w:t xml:space="preserve"> tanto en las dimensiones, </w:t>
      </w:r>
      <w:proofErr w:type="spellStart"/>
      <w:r w:rsidRPr="00F01B15">
        <w:rPr>
          <w:rFonts w:eastAsia="Calibri" w:cs="Times New Roman"/>
          <w:lang w:val="es-ES" w:eastAsia="en-US"/>
        </w:rPr>
        <w:t>subdimensiones</w:t>
      </w:r>
      <w:proofErr w:type="spellEnd"/>
      <w:r w:rsidRPr="00F01B15">
        <w:rPr>
          <w:rFonts w:eastAsia="Calibri" w:cs="Times New Roman"/>
          <w:lang w:val="es-ES" w:eastAsia="en-US"/>
        </w:rPr>
        <w:t xml:space="preserve"> como </w:t>
      </w:r>
      <w:r w:rsidR="00FB5030" w:rsidRPr="00F01B15">
        <w:rPr>
          <w:rFonts w:eastAsia="Calibri" w:cs="Times New Roman"/>
          <w:lang w:val="es-ES" w:eastAsia="en-US"/>
        </w:rPr>
        <w:t xml:space="preserve">en </w:t>
      </w:r>
      <w:r w:rsidR="009B311B" w:rsidRPr="00F01B15">
        <w:rPr>
          <w:rFonts w:eastAsia="Calibri" w:cs="Times New Roman"/>
          <w:lang w:val="es-ES" w:eastAsia="en-US"/>
        </w:rPr>
        <w:t xml:space="preserve">las </w:t>
      </w:r>
      <w:r w:rsidRPr="00F01B15">
        <w:rPr>
          <w:rFonts w:eastAsia="Calibri" w:cs="Times New Roman"/>
          <w:lang w:val="es-ES" w:eastAsia="en-US"/>
        </w:rPr>
        <w:t>fortalezas y debil</w:t>
      </w:r>
      <w:r w:rsidR="00ED25C4" w:rsidRPr="00F01B15">
        <w:rPr>
          <w:rFonts w:eastAsia="Calibri" w:cs="Times New Roman"/>
          <w:lang w:val="es-ES" w:eastAsia="en-US"/>
        </w:rPr>
        <w:t>idades en el dominio de los indicadores.</w:t>
      </w:r>
    </w:p>
    <w:p w:rsidR="008620F0" w:rsidRPr="00F01B15" w:rsidRDefault="008620F0" w:rsidP="00F01B15">
      <w:pPr>
        <w:autoSpaceDE w:val="0"/>
        <w:autoSpaceDN w:val="0"/>
        <w:adjustRightInd w:val="0"/>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t>De lo</w:t>
      </w:r>
      <w:r w:rsidR="00D24EC6" w:rsidRPr="00F01B15">
        <w:rPr>
          <w:rFonts w:eastAsia="Times New Roman" w:cs="Times New Roman"/>
          <w:bCs/>
          <w:kern w:val="24"/>
          <w:lang w:eastAsia="es-MX"/>
        </w:rPr>
        <w:t xml:space="preserve">s docentes que están frente a grupo </w:t>
      </w:r>
      <w:r w:rsidR="00FB5030" w:rsidRPr="00F01B15">
        <w:rPr>
          <w:rFonts w:eastAsia="Times New Roman" w:cs="Times New Roman"/>
          <w:bCs/>
          <w:kern w:val="24"/>
          <w:lang w:eastAsia="es-MX"/>
        </w:rPr>
        <w:t>en el</w:t>
      </w:r>
      <w:r w:rsidR="00D24EC6" w:rsidRPr="00F01B15">
        <w:rPr>
          <w:rFonts w:eastAsia="Times New Roman" w:cs="Times New Roman"/>
          <w:bCs/>
          <w:kern w:val="24"/>
          <w:lang w:eastAsia="es-MX"/>
        </w:rPr>
        <w:t xml:space="preserve"> nivel superior en el</w:t>
      </w:r>
      <w:r w:rsidRPr="00F01B15">
        <w:rPr>
          <w:rFonts w:eastAsia="Times New Roman" w:cs="Times New Roman"/>
          <w:bCs/>
          <w:kern w:val="24"/>
          <w:lang w:eastAsia="es-MX"/>
        </w:rPr>
        <w:t xml:space="preserve"> estado de Guerrero, 56</w:t>
      </w:r>
      <w:r w:rsidR="00FB5030" w:rsidRPr="00F01B15">
        <w:rPr>
          <w:rFonts w:eastAsia="Times New Roman" w:cs="Times New Roman"/>
          <w:bCs/>
          <w:kern w:val="24"/>
          <w:lang w:eastAsia="es-MX"/>
        </w:rPr>
        <w:t xml:space="preserve"> </w:t>
      </w:r>
      <w:r w:rsidRPr="00F01B15">
        <w:rPr>
          <w:rFonts w:eastAsia="Times New Roman" w:cs="Times New Roman"/>
          <w:bCs/>
          <w:kern w:val="24"/>
          <w:lang w:eastAsia="es-MX"/>
        </w:rPr>
        <w:t>% presenta competencias altas</w:t>
      </w:r>
      <w:r w:rsidRPr="00F01B15">
        <w:rPr>
          <w:rFonts w:eastAsia="Calibri" w:cs="Times New Roman"/>
          <w:lang w:val="es-ES" w:eastAsia="en-US"/>
        </w:rPr>
        <w:t xml:space="preserve"> p</w:t>
      </w:r>
      <w:r w:rsidR="00D24EC6" w:rsidRPr="00F01B15">
        <w:rPr>
          <w:rFonts w:eastAsia="Calibri" w:cs="Times New Roman"/>
          <w:lang w:val="es-ES" w:eastAsia="en-US"/>
        </w:rPr>
        <w:t xml:space="preserve">ara desarrollar con eficiencia </w:t>
      </w:r>
      <w:r w:rsidRPr="00F01B15">
        <w:rPr>
          <w:rFonts w:eastAsia="Calibri" w:cs="Times New Roman"/>
          <w:lang w:val="es-ES" w:eastAsia="en-US"/>
        </w:rPr>
        <w:t>el proceso de enseñanza aprendizaje</w:t>
      </w:r>
      <w:r w:rsidR="009B311B" w:rsidRPr="00F01B15">
        <w:rPr>
          <w:rFonts w:eastAsia="Times New Roman" w:cs="Times New Roman"/>
          <w:bCs/>
          <w:kern w:val="24"/>
          <w:lang w:eastAsia="es-MX"/>
        </w:rPr>
        <w:t xml:space="preserve"> y 44</w:t>
      </w:r>
      <w:r w:rsidR="00FB5030" w:rsidRPr="00F01B15">
        <w:rPr>
          <w:rFonts w:eastAsia="Times New Roman" w:cs="Times New Roman"/>
          <w:bCs/>
          <w:kern w:val="24"/>
          <w:lang w:eastAsia="es-MX"/>
        </w:rPr>
        <w:t xml:space="preserve"> </w:t>
      </w:r>
      <w:r w:rsidR="009B311B" w:rsidRPr="00F01B15">
        <w:rPr>
          <w:rFonts w:eastAsia="Times New Roman" w:cs="Times New Roman"/>
          <w:bCs/>
          <w:kern w:val="24"/>
          <w:lang w:eastAsia="es-MX"/>
        </w:rPr>
        <w:t xml:space="preserve">% </w:t>
      </w:r>
      <w:r w:rsidR="00D24EC6" w:rsidRPr="00F01B15">
        <w:rPr>
          <w:rFonts w:eastAsia="Times New Roman" w:cs="Times New Roman"/>
          <w:bCs/>
          <w:kern w:val="24"/>
          <w:lang w:eastAsia="es-MX"/>
        </w:rPr>
        <w:t>se encuentra</w:t>
      </w:r>
      <w:r w:rsidR="00ED25C4" w:rsidRPr="00F01B15">
        <w:rPr>
          <w:rFonts w:eastAsia="Times New Roman" w:cs="Times New Roman"/>
          <w:bCs/>
          <w:kern w:val="24"/>
          <w:lang w:eastAsia="es-MX"/>
        </w:rPr>
        <w:t>n</w:t>
      </w:r>
      <w:r w:rsidRPr="00F01B15">
        <w:rPr>
          <w:rFonts w:eastAsia="Times New Roman" w:cs="Times New Roman"/>
          <w:bCs/>
          <w:kern w:val="24"/>
          <w:lang w:eastAsia="es-MX"/>
        </w:rPr>
        <w:t xml:space="preserve"> en los</w:t>
      </w:r>
      <w:r w:rsidR="00ED25C4" w:rsidRPr="00F01B15">
        <w:rPr>
          <w:rFonts w:eastAsia="Times New Roman" w:cs="Times New Roman"/>
          <w:bCs/>
          <w:kern w:val="24"/>
          <w:lang w:eastAsia="es-MX"/>
        </w:rPr>
        <w:t xml:space="preserve"> niveles</w:t>
      </w:r>
      <w:r w:rsidRPr="00F01B15">
        <w:rPr>
          <w:rFonts w:eastAsia="Times New Roman" w:cs="Times New Roman"/>
          <w:bCs/>
          <w:kern w:val="24"/>
          <w:lang w:eastAsia="es-MX"/>
        </w:rPr>
        <w:t xml:space="preserve"> de medianas y bajas competencia</w:t>
      </w:r>
      <w:r w:rsidR="00ED25C4" w:rsidRPr="00F01B15">
        <w:rPr>
          <w:rFonts w:eastAsia="Times New Roman" w:cs="Times New Roman"/>
          <w:bCs/>
          <w:kern w:val="24"/>
          <w:lang w:eastAsia="es-MX"/>
        </w:rPr>
        <w:t>s.</w:t>
      </w:r>
    </w:p>
    <w:p w:rsidR="00ED25C4" w:rsidRPr="00F01B15" w:rsidRDefault="008620F0" w:rsidP="00F01B15">
      <w:pPr>
        <w:autoSpaceDE w:val="0"/>
        <w:autoSpaceDN w:val="0"/>
        <w:adjustRightInd w:val="0"/>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lastRenderedPageBreak/>
        <w:t>Los probl</w:t>
      </w:r>
      <w:r w:rsidR="00D24EC6" w:rsidRPr="00F01B15">
        <w:rPr>
          <w:rFonts w:eastAsia="Times New Roman" w:cs="Times New Roman"/>
          <w:bCs/>
          <w:kern w:val="24"/>
          <w:lang w:eastAsia="es-MX"/>
        </w:rPr>
        <w:t>emas más representativos</w:t>
      </w:r>
      <w:r w:rsidR="009B311B" w:rsidRPr="00F01B15">
        <w:rPr>
          <w:rFonts w:eastAsia="Times New Roman" w:cs="Times New Roman"/>
          <w:bCs/>
          <w:kern w:val="24"/>
          <w:lang w:eastAsia="es-MX"/>
        </w:rPr>
        <w:t xml:space="preserve"> </w:t>
      </w:r>
      <w:r w:rsidRPr="00F01B15">
        <w:rPr>
          <w:rFonts w:eastAsia="Times New Roman" w:cs="Times New Roman"/>
          <w:bCs/>
          <w:kern w:val="24"/>
          <w:lang w:eastAsia="es-MX"/>
        </w:rPr>
        <w:t>en los docentes de las siete instituciones evaluadas fueron l</w:t>
      </w:r>
      <w:r w:rsidR="00ED25C4" w:rsidRPr="00F01B15">
        <w:rPr>
          <w:rFonts w:eastAsia="Times New Roman" w:cs="Times New Roman"/>
          <w:bCs/>
          <w:kern w:val="24"/>
          <w:lang w:eastAsia="es-MX"/>
        </w:rPr>
        <w:t xml:space="preserve">as </w:t>
      </w:r>
      <w:proofErr w:type="spellStart"/>
      <w:r w:rsidR="00ED25C4" w:rsidRPr="00F01B15">
        <w:rPr>
          <w:rFonts w:eastAsia="Times New Roman" w:cs="Times New Roman"/>
          <w:bCs/>
          <w:kern w:val="24"/>
          <w:lang w:eastAsia="es-MX"/>
        </w:rPr>
        <w:t>subdimensiones</w:t>
      </w:r>
      <w:proofErr w:type="spellEnd"/>
      <w:r w:rsidR="00ED25C4" w:rsidRPr="00F01B15">
        <w:rPr>
          <w:rFonts w:eastAsia="Times New Roman" w:cs="Times New Roman"/>
          <w:bCs/>
          <w:kern w:val="24"/>
          <w:lang w:eastAsia="es-MX"/>
        </w:rPr>
        <w:t xml:space="preserve"> pedagógicas: </w:t>
      </w:r>
      <w:r w:rsidR="00FB5030" w:rsidRPr="00F01B15">
        <w:rPr>
          <w:rFonts w:eastAsia="Times New Roman" w:cs="Times New Roman"/>
          <w:bCs/>
          <w:kern w:val="24"/>
          <w:lang w:eastAsia="es-MX"/>
        </w:rPr>
        <w:t>d</w:t>
      </w:r>
      <w:r w:rsidR="00ED25C4" w:rsidRPr="00F01B15">
        <w:rPr>
          <w:rFonts w:eastAsia="Times New Roman" w:cs="Times New Roman"/>
          <w:bCs/>
          <w:kern w:val="24"/>
          <w:lang w:eastAsia="es-MX"/>
        </w:rPr>
        <w:t>ominio de los saberes, planeación del curso y gestión del proceso de los aprendizajes</w:t>
      </w:r>
    </w:p>
    <w:p w:rsidR="008620F0" w:rsidRPr="00F01B15" w:rsidRDefault="008620F0" w:rsidP="00F01B15">
      <w:pPr>
        <w:spacing w:after="160" w:line="360" w:lineRule="auto"/>
        <w:contextualSpacing/>
        <w:jc w:val="both"/>
        <w:rPr>
          <w:rFonts w:eastAsia="Times New Roman" w:cs="Times New Roman"/>
          <w:bCs/>
          <w:kern w:val="24"/>
          <w:lang w:eastAsia="es-MX"/>
        </w:rPr>
      </w:pPr>
    </w:p>
    <w:p w:rsidR="008620F0" w:rsidRPr="00F01B15" w:rsidRDefault="00FB5030" w:rsidP="00F01B15">
      <w:pPr>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t>En l</w:t>
      </w:r>
      <w:r w:rsidR="009B311B" w:rsidRPr="00F01B15">
        <w:rPr>
          <w:rFonts w:eastAsia="Times New Roman" w:cs="Times New Roman"/>
          <w:bCs/>
          <w:kern w:val="24"/>
          <w:lang w:eastAsia="es-MX"/>
        </w:rPr>
        <w:t xml:space="preserve">a evaluación de las </w:t>
      </w:r>
      <w:r w:rsidR="008620F0" w:rsidRPr="00F01B15">
        <w:rPr>
          <w:rFonts w:eastAsia="Times New Roman" w:cs="Times New Roman"/>
          <w:bCs/>
          <w:kern w:val="24"/>
          <w:lang w:eastAsia="es-MX"/>
        </w:rPr>
        <w:t>fortalezas y debilidades en el manejo de i</w:t>
      </w:r>
      <w:r w:rsidR="009B311B" w:rsidRPr="00F01B15">
        <w:rPr>
          <w:rFonts w:eastAsia="Times New Roman" w:cs="Times New Roman"/>
          <w:bCs/>
          <w:kern w:val="24"/>
          <w:lang w:eastAsia="es-MX"/>
        </w:rPr>
        <w:t>ndicadores q</w:t>
      </w:r>
      <w:r w:rsidR="00BF0935" w:rsidRPr="00F01B15">
        <w:rPr>
          <w:rFonts w:eastAsia="Times New Roman" w:cs="Times New Roman"/>
          <w:bCs/>
          <w:kern w:val="24"/>
          <w:lang w:eastAsia="es-MX"/>
        </w:rPr>
        <w:t>ue corresponden</w:t>
      </w:r>
      <w:r w:rsidR="009B311B" w:rsidRPr="00F01B15">
        <w:rPr>
          <w:rFonts w:eastAsia="Times New Roman" w:cs="Times New Roman"/>
          <w:bCs/>
          <w:kern w:val="24"/>
          <w:lang w:eastAsia="es-MX"/>
        </w:rPr>
        <w:t xml:space="preserve"> a las dimensiones </w:t>
      </w:r>
      <w:r w:rsidR="008620F0" w:rsidRPr="00F01B15">
        <w:rPr>
          <w:rFonts w:eastAsia="Times New Roman" w:cs="Times New Roman"/>
          <w:bCs/>
          <w:kern w:val="24"/>
          <w:lang w:eastAsia="es-MX"/>
        </w:rPr>
        <w:t>en las siete instituciones, las debilidades encontradas  coincidieron con los</w:t>
      </w:r>
      <w:r w:rsidR="00DE3574" w:rsidRPr="00F01B15">
        <w:rPr>
          <w:rFonts w:eastAsia="Times New Roman" w:cs="Times New Roman"/>
          <w:bCs/>
          <w:kern w:val="24"/>
          <w:lang w:eastAsia="es-MX"/>
        </w:rPr>
        <w:t xml:space="preserve"> resultados</w:t>
      </w:r>
      <w:r w:rsidR="008620F0" w:rsidRPr="00F01B15">
        <w:rPr>
          <w:rFonts w:eastAsia="Times New Roman" w:cs="Times New Roman"/>
          <w:bCs/>
          <w:kern w:val="24"/>
          <w:lang w:eastAsia="es-MX"/>
        </w:rPr>
        <w:t xml:space="preserve"> detectados en las </w:t>
      </w:r>
      <w:r w:rsidR="00ED25C4" w:rsidRPr="00F01B15">
        <w:rPr>
          <w:rFonts w:eastAsia="Times New Roman" w:cs="Times New Roman"/>
          <w:bCs/>
          <w:kern w:val="24"/>
          <w:lang w:eastAsia="es-MX"/>
        </w:rPr>
        <w:t>dimensiones</w:t>
      </w:r>
      <w:r w:rsidR="00BF0935" w:rsidRPr="00F01B15">
        <w:rPr>
          <w:rFonts w:eastAsia="Times New Roman" w:cs="Times New Roman"/>
          <w:bCs/>
          <w:kern w:val="24"/>
          <w:lang w:eastAsia="es-MX"/>
        </w:rPr>
        <w:t xml:space="preserve"> y </w:t>
      </w:r>
      <w:proofErr w:type="spellStart"/>
      <w:r w:rsidR="00BF0935" w:rsidRPr="00F01B15">
        <w:rPr>
          <w:rFonts w:eastAsia="Times New Roman" w:cs="Times New Roman"/>
          <w:bCs/>
          <w:kern w:val="24"/>
          <w:lang w:eastAsia="es-MX"/>
        </w:rPr>
        <w:t>subdimensiones</w:t>
      </w:r>
      <w:proofErr w:type="spellEnd"/>
      <w:r w:rsidR="00BF0935" w:rsidRPr="00F01B15">
        <w:rPr>
          <w:rFonts w:eastAsia="Times New Roman" w:cs="Times New Roman"/>
          <w:bCs/>
          <w:kern w:val="24"/>
          <w:lang w:eastAsia="es-MX"/>
        </w:rPr>
        <w:t>.</w:t>
      </w:r>
      <w:r w:rsidR="00DE3574" w:rsidRPr="00F01B15">
        <w:rPr>
          <w:rFonts w:eastAsia="Times New Roman" w:cs="Times New Roman"/>
          <w:bCs/>
          <w:kern w:val="24"/>
          <w:lang w:eastAsia="es-MX"/>
        </w:rPr>
        <w:t xml:space="preserve"> </w:t>
      </w:r>
      <w:r w:rsidRPr="00F01B15">
        <w:rPr>
          <w:rFonts w:eastAsia="Times New Roman" w:cs="Times New Roman"/>
          <w:bCs/>
          <w:kern w:val="24"/>
          <w:lang w:eastAsia="es-MX"/>
        </w:rPr>
        <w:t>Se encontró</w:t>
      </w:r>
      <w:r w:rsidR="00DE3574" w:rsidRPr="00F01B15">
        <w:rPr>
          <w:rFonts w:eastAsia="Times New Roman" w:cs="Times New Roman"/>
          <w:bCs/>
          <w:kern w:val="24"/>
          <w:lang w:eastAsia="es-MX"/>
        </w:rPr>
        <w:t xml:space="preserve"> que </w:t>
      </w:r>
      <w:r w:rsidR="008620F0" w:rsidRPr="00F01B15">
        <w:rPr>
          <w:rFonts w:eastAsia="Times New Roman" w:cs="Times New Roman"/>
          <w:bCs/>
          <w:kern w:val="24"/>
          <w:lang w:eastAsia="es-MX"/>
        </w:rPr>
        <w:t>56</w:t>
      </w:r>
      <w:r w:rsidRPr="00F01B15">
        <w:rPr>
          <w:rFonts w:eastAsia="Times New Roman" w:cs="Times New Roman"/>
          <w:bCs/>
          <w:kern w:val="24"/>
          <w:lang w:eastAsia="es-MX"/>
        </w:rPr>
        <w:t xml:space="preserve"> </w:t>
      </w:r>
      <w:r w:rsidR="008620F0" w:rsidRPr="00F01B15">
        <w:rPr>
          <w:rFonts w:eastAsia="Times New Roman" w:cs="Times New Roman"/>
          <w:bCs/>
          <w:kern w:val="24"/>
          <w:lang w:eastAsia="es-MX"/>
        </w:rPr>
        <w:t xml:space="preserve">% tiene </w:t>
      </w:r>
      <w:r w:rsidR="00DE3574" w:rsidRPr="00F01B15">
        <w:rPr>
          <w:rFonts w:eastAsia="Times New Roman" w:cs="Times New Roman"/>
          <w:bCs/>
          <w:kern w:val="24"/>
          <w:lang w:eastAsia="es-MX"/>
        </w:rPr>
        <w:t xml:space="preserve">competencias altas y 44 % se encuentra en los niveles de </w:t>
      </w:r>
      <w:r w:rsidR="008620F0" w:rsidRPr="00F01B15">
        <w:rPr>
          <w:rFonts w:eastAsia="Times New Roman" w:cs="Times New Roman"/>
          <w:bCs/>
          <w:kern w:val="24"/>
          <w:lang w:eastAsia="es-MX"/>
        </w:rPr>
        <w:t>bajas y medianas</w:t>
      </w:r>
      <w:r w:rsidR="00DE3574" w:rsidRPr="00F01B15">
        <w:rPr>
          <w:rFonts w:eastAsia="Times New Roman" w:cs="Times New Roman"/>
          <w:bCs/>
          <w:kern w:val="24"/>
          <w:lang w:eastAsia="es-MX"/>
        </w:rPr>
        <w:t xml:space="preserve">. En cuanto a las </w:t>
      </w:r>
      <w:proofErr w:type="spellStart"/>
      <w:r w:rsidR="00DE3574" w:rsidRPr="00F01B15">
        <w:rPr>
          <w:rFonts w:eastAsia="Times New Roman" w:cs="Times New Roman"/>
          <w:bCs/>
          <w:kern w:val="24"/>
          <w:lang w:eastAsia="es-MX"/>
        </w:rPr>
        <w:t>su</w:t>
      </w:r>
      <w:r w:rsidRPr="00F01B15">
        <w:rPr>
          <w:rFonts w:eastAsia="Times New Roman" w:cs="Times New Roman"/>
          <w:bCs/>
          <w:kern w:val="24"/>
          <w:lang w:eastAsia="es-MX"/>
        </w:rPr>
        <w:t>b</w:t>
      </w:r>
      <w:r w:rsidR="00DE3574" w:rsidRPr="00F01B15">
        <w:rPr>
          <w:rFonts w:eastAsia="Times New Roman" w:cs="Times New Roman"/>
          <w:bCs/>
          <w:kern w:val="24"/>
          <w:lang w:eastAsia="es-MX"/>
        </w:rPr>
        <w:t>dimensiones</w:t>
      </w:r>
      <w:proofErr w:type="spellEnd"/>
      <w:r w:rsidR="00DE3574" w:rsidRPr="00F01B15">
        <w:rPr>
          <w:rFonts w:eastAsia="Times New Roman" w:cs="Times New Roman"/>
          <w:bCs/>
          <w:kern w:val="24"/>
          <w:lang w:eastAsia="es-MX"/>
        </w:rPr>
        <w:t>, 52 % presenta competencias altas y 48 % medianas.</w:t>
      </w:r>
    </w:p>
    <w:p w:rsidR="008620F0" w:rsidRPr="00F01B15" w:rsidRDefault="00B47FB1" w:rsidP="00F01B15">
      <w:pPr>
        <w:autoSpaceDE w:val="0"/>
        <w:autoSpaceDN w:val="0"/>
        <w:adjustRightInd w:val="0"/>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t>L</w:t>
      </w:r>
      <w:r w:rsidR="008620F0" w:rsidRPr="00F01B15">
        <w:rPr>
          <w:rFonts w:eastAsia="Times New Roman" w:cs="Times New Roman"/>
          <w:bCs/>
          <w:kern w:val="24"/>
          <w:lang w:eastAsia="es-MX"/>
        </w:rPr>
        <w:t xml:space="preserve">a valoración </w:t>
      </w:r>
      <w:r w:rsidR="00EB48D4" w:rsidRPr="00F01B15">
        <w:rPr>
          <w:rFonts w:eastAsia="Times New Roman" w:cs="Times New Roman"/>
          <w:bCs/>
          <w:kern w:val="24"/>
          <w:lang w:eastAsia="es-MX"/>
        </w:rPr>
        <w:t>total de los</w:t>
      </w:r>
      <w:r w:rsidR="008620F0" w:rsidRPr="00F01B15">
        <w:rPr>
          <w:rFonts w:eastAsia="Times New Roman" w:cs="Times New Roman"/>
          <w:bCs/>
          <w:kern w:val="24"/>
          <w:lang w:eastAsia="es-MX"/>
        </w:rPr>
        <w:t xml:space="preserve"> programa</w:t>
      </w:r>
      <w:r w:rsidR="00EB48D4" w:rsidRPr="00F01B15">
        <w:rPr>
          <w:rFonts w:eastAsia="Times New Roman" w:cs="Times New Roman"/>
          <w:bCs/>
          <w:kern w:val="24"/>
          <w:lang w:eastAsia="es-MX"/>
        </w:rPr>
        <w:t>s</w:t>
      </w:r>
      <w:r w:rsidR="008620F0" w:rsidRPr="00F01B15">
        <w:rPr>
          <w:rFonts w:eastAsia="Times New Roman" w:cs="Times New Roman"/>
          <w:bCs/>
          <w:kern w:val="24"/>
          <w:lang w:eastAsia="es-MX"/>
        </w:rPr>
        <w:t xml:space="preserve"> educativo</w:t>
      </w:r>
      <w:r w:rsidR="00EB48D4" w:rsidRPr="00F01B15">
        <w:rPr>
          <w:rFonts w:eastAsia="Times New Roman" w:cs="Times New Roman"/>
          <w:bCs/>
          <w:kern w:val="24"/>
          <w:lang w:eastAsia="es-MX"/>
        </w:rPr>
        <w:t>s</w:t>
      </w:r>
      <w:r w:rsidR="005F0FB5" w:rsidRPr="00F01B15">
        <w:rPr>
          <w:rFonts w:eastAsia="Times New Roman" w:cs="Times New Roman"/>
          <w:bCs/>
          <w:kern w:val="24"/>
          <w:lang w:eastAsia="es-MX"/>
        </w:rPr>
        <w:t xml:space="preserve"> por institución,</w:t>
      </w:r>
      <w:r w:rsidR="00EB48D4" w:rsidRPr="00F01B15">
        <w:rPr>
          <w:rFonts w:eastAsia="Times New Roman" w:cs="Times New Roman"/>
          <w:bCs/>
          <w:kern w:val="24"/>
          <w:lang w:eastAsia="es-MX"/>
        </w:rPr>
        <w:t xml:space="preserve"> </w:t>
      </w:r>
      <w:r w:rsidR="005F0FB5" w:rsidRPr="00F01B15">
        <w:rPr>
          <w:rFonts w:eastAsia="Times New Roman" w:cs="Times New Roman"/>
          <w:bCs/>
          <w:kern w:val="24"/>
          <w:lang w:eastAsia="es-MX"/>
        </w:rPr>
        <w:t xml:space="preserve">evidenció que solo </w:t>
      </w:r>
      <w:r w:rsidR="00B54544" w:rsidRPr="00F01B15">
        <w:rPr>
          <w:rFonts w:eastAsia="Times New Roman" w:cs="Times New Roman"/>
          <w:bCs/>
          <w:kern w:val="24"/>
          <w:lang w:eastAsia="es-MX"/>
        </w:rPr>
        <w:t>7</w:t>
      </w:r>
      <w:r w:rsidR="008620F0" w:rsidRPr="00F01B15">
        <w:rPr>
          <w:rFonts w:eastAsia="Times New Roman" w:cs="Times New Roman"/>
          <w:bCs/>
          <w:kern w:val="24"/>
          <w:lang w:eastAsia="es-MX"/>
        </w:rPr>
        <w:t xml:space="preserve"> % de </w:t>
      </w:r>
      <w:r w:rsidR="00FB5030" w:rsidRPr="00F01B15">
        <w:rPr>
          <w:rFonts w:eastAsia="Times New Roman" w:cs="Times New Roman"/>
          <w:bCs/>
          <w:kern w:val="24"/>
          <w:lang w:eastAsia="es-MX"/>
        </w:rPr>
        <w:t xml:space="preserve">los </w:t>
      </w:r>
      <w:r w:rsidR="008620F0" w:rsidRPr="00F01B15">
        <w:rPr>
          <w:rFonts w:eastAsia="Times New Roman" w:cs="Times New Roman"/>
          <w:bCs/>
          <w:kern w:val="24"/>
          <w:lang w:eastAsia="es-MX"/>
        </w:rPr>
        <w:t>docentes muestran fortalezas altas</w:t>
      </w:r>
      <w:r w:rsidR="00B54544" w:rsidRPr="00F01B15">
        <w:rPr>
          <w:rFonts w:eastAsia="Times New Roman" w:cs="Times New Roman"/>
          <w:bCs/>
          <w:kern w:val="24"/>
          <w:lang w:eastAsia="es-MX"/>
        </w:rPr>
        <w:t xml:space="preserve"> y 93% medianas</w:t>
      </w:r>
      <w:r w:rsidR="008620F0" w:rsidRPr="00F01B15">
        <w:rPr>
          <w:rFonts w:eastAsia="Times New Roman" w:cs="Times New Roman"/>
          <w:bCs/>
          <w:kern w:val="24"/>
          <w:lang w:eastAsia="es-MX"/>
        </w:rPr>
        <w:t xml:space="preserve"> en el dominio de </w:t>
      </w:r>
      <w:r w:rsidR="00EB48D4" w:rsidRPr="00F01B15">
        <w:rPr>
          <w:rFonts w:eastAsia="Times New Roman" w:cs="Times New Roman"/>
          <w:bCs/>
          <w:kern w:val="24"/>
          <w:lang w:eastAsia="es-MX"/>
        </w:rPr>
        <w:t xml:space="preserve">los </w:t>
      </w:r>
      <w:r w:rsidR="008620F0" w:rsidRPr="00F01B15">
        <w:rPr>
          <w:rFonts w:eastAsia="Times New Roman" w:cs="Times New Roman"/>
          <w:bCs/>
          <w:kern w:val="24"/>
          <w:lang w:eastAsia="es-MX"/>
        </w:rPr>
        <w:t xml:space="preserve">indicadores para impartir </w:t>
      </w:r>
      <w:r w:rsidR="00EB48D4" w:rsidRPr="00F01B15">
        <w:rPr>
          <w:rFonts w:eastAsia="Times New Roman" w:cs="Times New Roman"/>
          <w:bCs/>
          <w:kern w:val="24"/>
          <w:lang w:eastAsia="es-MX"/>
        </w:rPr>
        <w:t>docencia en los</w:t>
      </w:r>
      <w:r w:rsidR="008620F0" w:rsidRPr="00F01B15">
        <w:rPr>
          <w:rFonts w:eastAsia="Times New Roman" w:cs="Times New Roman"/>
          <w:bCs/>
          <w:kern w:val="24"/>
          <w:lang w:eastAsia="es-MX"/>
        </w:rPr>
        <w:t xml:space="preserve"> programas </w:t>
      </w:r>
      <w:r w:rsidR="00A26A56" w:rsidRPr="00F01B15">
        <w:rPr>
          <w:rFonts w:eastAsia="Times New Roman" w:cs="Times New Roman"/>
          <w:bCs/>
          <w:kern w:val="24"/>
          <w:lang w:eastAsia="es-MX"/>
        </w:rPr>
        <w:t>educativos</w:t>
      </w:r>
      <w:r w:rsidR="00A508E1" w:rsidRPr="00F01B15">
        <w:rPr>
          <w:rFonts w:eastAsia="Times New Roman" w:cs="Times New Roman"/>
          <w:bCs/>
          <w:kern w:val="24"/>
          <w:lang w:eastAsia="es-MX"/>
        </w:rPr>
        <w:t>.</w:t>
      </w:r>
    </w:p>
    <w:p w:rsidR="00B54544" w:rsidRPr="00F01B15" w:rsidRDefault="00B54544" w:rsidP="00F01B15">
      <w:pPr>
        <w:autoSpaceDE w:val="0"/>
        <w:autoSpaceDN w:val="0"/>
        <w:adjustRightInd w:val="0"/>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t>Se detectó que solo 23 % (6 programas) tiene docentes con fortalezas altas en el dominio de indicadores.</w:t>
      </w:r>
    </w:p>
    <w:p w:rsidR="008620F0" w:rsidRPr="00F01B15" w:rsidRDefault="008620F0" w:rsidP="00F01B15">
      <w:pPr>
        <w:spacing w:after="160" w:line="360" w:lineRule="auto"/>
        <w:contextualSpacing/>
        <w:jc w:val="both"/>
        <w:rPr>
          <w:rFonts w:eastAsia="Times New Roman" w:cs="Times New Roman"/>
          <w:bCs/>
          <w:kern w:val="24"/>
          <w:lang w:eastAsia="es-MX"/>
        </w:rPr>
      </w:pPr>
      <w:r w:rsidRPr="00F01B15">
        <w:rPr>
          <w:rFonts w:eastAsia="Times New Roman" w:cs="Times New Roman"/>
          <w:bCs/>
          <w:kern w:val="24"/>
          <w:lang w:eastAsia="es-MX"/>
        </w:rPr>
        <w:t>Se evidenció que 44</w:t>
      </w:r>
      <w:r w:rsidR="00F74444" w:rsidRPr="00F01B15">
        <w:rPr>
          <w:rFonts w:eastAsia="Times New Roman" w:cs="Times New Roman"/>
          <w:bCs/>
          <w:kern w:val="24"/>
          <w:lang w:eastAsia="es-MX"/>
        </w:rPr>
        <w:t xml:space="preserve"> </w:t>
      </w:r>
      <w:r w:rsidRPr="00F01B15">
        <w:rPr>
          <w:rFonts w:eastAsia="Times New Roman" w:cs="Times New Roman"/>
          <w:bCs/>
          <w:kern w:val="24"/>
          <w:lang w:eastAsia="es-MX"/>
        </w:rPr>
        <w:t xml:space="preserve">% de </w:t>
      </w:r>
      <w:r w:rsidR="00F74444" w:rsidRPr="00F01B15">
        <w:rPr>
          <w:rFonts w:eastAsia="Times New Roman" w:cs="Times New Roman"/>
          <w:bCs/>
          <w:kern w:val="24"/>
          <w:lang w:eastAsia="es-MX"/>
        </w:rPr>
        <w:t xml:space="preserve">los </w:t>
      </w:r>
      <w:r w:rsidRPr="00F01B15">
        <w:rPr>
          <w:rFonts w:eastAsia="Times New Roman" w:cs="Times New Roman"/>
          <w:bCs/>
          <w:kern w:val="24"/>
          <w:lang w:eastAsia="es-MX"/>
        </w:rPr>
        <w:t>académicos no tiene las suficientes competencias genéricas para trabajar en los programas con enfoque por competencias.</w:t>
      </w:r>
    </w:p>
    <w:p w:rsidR="00B47FB1" w:rsidRPr="00F01B15" w:rsidRDefault="00B47FB1" w:rsidP="00F01B15">
      <w:pPr>
        <w:autoSpaceDE w:val="0"/>
        <w:autoSpaceDN w:val="0"/>
        <w:adjustRightInd w:val="0"/>
        <w:spacing w:after="160" w:line="360" w:lineRule="auto"/>
        <w:contextualSpacing/>
        <w:jc w:val="both"/>
        <w:rPr>
          <w:rFonts w:eastAsia="Calibri" w:cs="Times New Roman"/>
          <w:lang w:val="es-ES" w:eastAsia="en-US"/>
        </w:rPr>
      </w:pPr>
      <w:r w:rsidRPr="00F01B15">
        <w:rPr>
          <w:rFonts w:eastAsia="Calibri" w:cs="Times New Roman"/>
          <w:lang w:val="es-ES" w:eastAsia="en-US"/>
        </w:rPr>
        <w:t>La experiencia de evaluar al profesorado en cuanto a la forma de ejercer docencia a nivel superior, sirvió para ofrecer un acercamiento de la realidad educativa existente en el estado de Guerrero.</w:t>
      </w:r>
    </w:p>
    <w:p w:rsidR="008620F0" w:rsidRPr="002F29C1" w:rsidRDefault="002E022C" w:rsidP="00F01B15">
      <w:pPr>
        <w:autoSpaceDE w:val="0"/>
        <w:autoSpaceDN w:val="0"/>
        <w:adjustRightInd w:val="0"/>
        <w:spacing w:after="160" w:line="360" w:lineRule="auto"/>
        <w:contextualSpacing/>
        <w:jc w:val="both"/>
        <w:rPr>
          <w:rFonts w:ascii="Arial" w:eastAsia="Calibri" w:hAnsi="Arial" w:cs="Arial"/>
          <w:lang w:val="es-ES" w:eastAsia="en-US"/>
        </w:rPr>
      </w:pPr>
      <w:r w:rsidRPr="00F01B15">
        <w:rPr>
          <w:rFonts w:eastAsia="Calibri" w:cs="Times New Roman"/>
          <w:lang w:val="es-ES" w:eastAsia="en-US"/>
        </w:rPr>
        <w:t>Los</w:t>
      </w:r>
      <w:r w:rsidR="008620F0" w:rsidRPr="00F01B15">
        <w:rPr>
          <w:rFonts w:eastAsia="Calibri" w:cs="Times New Roman"/>
          <w:lang w:val="es-ES" w:eastAsia="en-US"/>
        </w:rPr>
        <w:t xml:space="preserve"> resultados pretenden orientar a las instituciones</w:t>
      </w:r>
      <w:r w:rsidR="00B47FB1" w:rsidRPr="00F01B15">
        <w:rPr>
          <w:rFonts w:eastAsia="Calibri" w:cs="Times New Roman"/>
          <w:lang w:val="es-ES" w:eastAsia="en-US"/>
        </w:rPr>
        <w:t xml:space="preserve"> educativas (objeto de estudio)</w:t>
      </w:r>
      <w:r w:rsidR="008620F0" w:rsidRPr="00F01B15">
        <w:rPr>
          <w:rFonts w:eastAsia="Calibri" w:cs="Times New Roman"/>
          <w:lang w:val="es-ES" w:eastAsia="en-US"/>
        </w:rPr>
        <w:t>, sobre la creciente necesi</w:t>
      </w:r>
      <w:r w:rsidR="00B47FB1" w:rsidRPr="00F01B15">
        <w:rPr>
          <w:rFonts w:eastAsia="Calibri" w:cs="Times New Roman"/>
          <w:lang w:val="es-ES" w:eastAsia="en-US"/>
        </w:rPr>
        <w:t>dad de preparar a su plantilla docente</w:t>
      </w:r>
      <w:r w:rsidR="008620F0" w:rsidRPr="00F01B15">
        <w:rPr>
          <w:rFonts w:eastAsia="Calibri" w:cs="Times New Roman"/>
          <w:lang w:val="es-ES" w:eastAsia="en-US"/>
        </w:rPr>
        <w:t>, ya q</w:t>
      </w:r>
      <w:r w:rsidR="005F0FB5" w:rsidRPr="00F01B15">
        <w:rPr>
          <w:rFonts w:eastAsia="Calibri" w:cs="Times New Roman"/>
          <w:lang w:val="es-ES" w:eastAsia="en-US"/>
        </w:rPr>
        <w:t xml:space="preserve">ue la enseñanza a través de </w:t>
      </w:r>
      <w:r w:rsidR="008620F0" w:rsidRPr="00F01B15">
        <w:rPr>
          <w:rFonts w:eastAsia="Calibri" w:cs="Times New Roman"/>
          <w:lang w:val="es-ES" w:eastAsia="en-US"/>
        </w:rPr>
        <w:t>competencias influye directamente en la formación y calidad de los profesionales</w:t>
      </w:r>
      <w:r w:rsidR="009566F7" w:rsidRPr="00F01B15">
        <w:rPr>
          <w:rFonts w:eastAsia="Calibri" w:cs="Times New Roman"/>
          <w:lang w:val="es-ES" w:eastAsia="en-US"/>
        </w:rPr>
        <w:t>.</w:t>
      </w:r>
    </w:p>
    <w:p w:rsidR="008620F0" w:rsidRPr="002F29C1" w:rsidRDefault="008620F0" w:rsidP="00607A39">
      <w:pPr>
        <w:spacing w:line="360" w:lineRule="auto"/>
        <w:jc w:val="both"/>
        <w:rPr>
          <w:rFonts w:ascii="Arial" w:eastAsia="Times New Roman" w:hAnsi="Arial" w:cs="Arial"/>
        </w:rPr>
      </w:pPr>
    </w:p>
    <w:p w:rsidR="0096650C" w:rsidRDefault="0096650C"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AA469D" w:rsidRDefault="00AA469D" w:rsidP="00F74444">
      <w:pPr>
        <w:spacing w:line="360" w:lineRule="auto"/>
        <w:rPr>
          <w:rFonts w:ascii="Arial" w:eastAsia="Times New Roman" w:hAnsi="Arial" w:cs="Arial"/>
          <w:b/>
          <w:sz w:val="22"/>
          <w:szCs w:val="22"/>
          <w:lang w:val="es-ES"/>
        </w:rPr>
      </w:pPr>
    </w:p>
    <w:p w:rsidR="007F4DDC" w:rsidRPr="00F01B15" w:rsidRDefault="00F01B15" w:rsidP="00F74444">
      <w:pPr>
        <w:spacing w:line="360" w:lineRule="auto"/>
        <w:rPr>
          <w:rFonts w:ascii="Calibri" w:eastAsia="Times New Roman" w:hAnsi="Calibri" w:cs="Calibri"/>
          <w:color w:val="7030A0"/>
          <w:sz w:val="28"/>
          <w:szCs w:val="28"/>
          <w:lang w:val="es-ES"/>
        </w:rPr>
      </w:pPr>
      <w:r w:rsidRPr="00F01B15">
        <w:rPr>
          <w:rFonts w:ascii="Calibri" w:eastAsia="Times New Roman" w:hAnsi="Calibri" w:cs="Calibri"/>
          <w:color w:val="7030A0"/>
          <w:sz w:val="28"/>
          <w:szCs w:val="28"/>
          <w:lang w:val="es-ES"/>
        </w:rPr>
        <w:lastRenderedPageBreak/>
        <w:t>Bibliografía</w:t>
      </w:r>
    </w:p>
    <w:p w:rsidR="007F4DDC" w:rsidRDefault="007F4DDC" w:rsidP="00607A39">
      <w:pPr>
        <w:spacing w:line="360" w:lineRule="auto"/>
        <w:ind w:left="567" w:hanging="567"/>
        <w:rPr>
          <w:rFonts w:ascii="Arial" w:hAnsi="Arial" w:cs="Arial"/>
          <w:color w:val="000000"/>
          <w:sz w:val="22"/>
          <w:szCs w:val="22"/>
          <w:shd w:val="clear" w:color="auto" w:fill="FFFFFF"/>
        </w:rPr>
      </w:pPr>
    </w:p>
    <w:p w:rsidR="00F01B15" w:rsidRDefault="00C03C9F"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Calderón, N. (2010)</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Diseño de un </w:t>
      </w:r>
      <w:r w:rsidR="0096650C" w:rsidRPr="00F01B15">
        <w:rPr>
          <w:rFonts w:ascii="Times New Roman" w:hAnsi="Times New Roman"/>
          <w:noProof/>
          <w:sz w:val="24"/>
          <w:szCs w:val="24"/>
          <w:lang w:val="es-ES_tradnl"/>
        </w:rPr>
        <w:t>c</w:t>
      </w:r>
      <w:r w:rsidRPr="00F01B15">
        <w:rPr>
          <w:rFonts w:ascii="Times New Roman" w:hAnsi="Times New Roman"/>
          <w:noProof/>
          <w:sz w:val="24"/>
          <w:szCs w:val="24"/>
          <w:lang w:val="es-ES_tradnl"/>
        </w:rPr>
        <w:t xml:space="preserve">uestionario de </w:t>
      </w:r>
      <w:r w:rsidR="0096650C" w:rsidRPr="00F01B15">
        <w:rPr>
          <w:rFonts w:ascii="Times New Roman" w:hAnsi="Times New Roman"/>
          <w:noProof/>
          <w:sz w:val="24"/>
          <w:szCs w:val="24"/>
          <w:lang w:val="es-ES_tradnl"/>
        </w:rPr>
        <w:t>e</w:t>
      </w:r>
      <w:r w:rsidRPr="00F01B15">
        <w:rPr>
          <w:rFonts w:ascii="Times New Roman" w:hAnsi="Times New Roman"/>
          <w:noProof/>
          <w:sz w:val="24"/>
          <w:szCs w:val="24"/>
          <w:lang w:val="es-ES_tradnl"/>
        </w:rPr>
        <w:t xml:space="preserve">valuación de la </w:t>
      </w:r>
      <w:r w:rsidR="0096650C" w:rsidRPr="00F01B15">
        <w:rPr>
          <w:rFonts w:ascii="Times New Roman" w:hAnsi="Times New Roman"/>
          <w:noProof/>
          <w:sz w:val="24"/>
          <w:szCs w:val="24"/>
          <w:lang w:val="es-ES_tradnl"/>
        </w:rPr>
        <w:t>c</w:t>
      </w:r>
      <w:r w:rsidRPr="00F01B15">
        <w:rPr>
          <w:rFonts w:ascii="Times New Roman" w:hAnsi="Times New Roman"/>
          <w:noProof/>
          <w:sz w:val="24"/>
          <w:szCs w:val="24"/>
          <w:lang w:val="es-ES_tradnl"/>
        </w:rPr>
        <w:t xml:space="preserve">ompetencia </w:t>
      </w:r>
      <w:r w:rsidR="0096650C" w:rsidRPr="00F01B15">
        <w:rPr>
          <w:rFonts w:ascii="Times New Roman" w:hAnsi="Times New Roman"/>
          <w:noProof/>
          <w:sz w:val="24"/>
          <w:szCs w:val="24"/>
          <w:lang w:val="es-ES_tradnl"/>
        </w:rPr>
        <w:t>d</w:t>
      </w:r>
      <w:r w:rsidRPr="00F01B15">
        <w:rPr>
          <w:rFonts w:ascii="Times New Roman" w:hAnsi="Times New Roman"/>
          <w:noProof/>
          <w:sz w:val="24"/>
          <w:szCs w:val="24"/>
          <w:lang w:val="es-ES_tradnl"/>
        </w:rPr>
        <w:t xml:space="preserve">ocente con </w:t>
      </w:r>
      <w:r w:rsidR="0096650C" w:rsidRPr="00F01B15">
        <w:rPr>
          <w:rFonts w:ascii="Times New Roman" w:hAnsi="Times New Roman"/>
          <w:noProof/>
          <w:sz w:val="24"/>
          <w:szCs w:val="24"/>
          <w:lang w:val="es-ES_tradnl"/>
        </w:rPr>
        <w:t>b</w:t>
      </w:r>
      <w:r w:rsidRPr="00F01B15">
        <w:rPr>
          <w:rFonts w:ascii="Times New Roman" w:hAnsi="Times New Roman"/>
          <w:noProof/>
          <w:sz w:val="24"/>
          <w:szCs w:val="24"/>
          <w:lang w:val="es-ES_tradnl"/>
        </w:rPr>
        <w:t xml:space="preserve">ase en la </w:t>
      </w:r>
      <w:r w:rsidR="0096650C" w:rsidRPr="00F01B15">
        <w:rPr>
          <w:rFonts w:ascii="Times New Roman" w:hAnsi="Times New Roman"/>
          <w:noProof/>
          <w:sz w:val="24"/>
          <w:szCs w:val="24"/>
          <w:lang w:val="es-ES_tradnl"/>
        </w:rPr>
        <w:t>o</w:t>
      </w:r>
      <w:r w:rsidRPr="00F01B15">
        <w:rPr>
          <w:rFonts w:ascii="Times New Roman" w:hAnsi="Times New Roman"/>
          <w:noProof/>
          <w:sz w:val="24"/>
          <w:szCs w:val="24"/>
          <w:lang w:val="es-ES_tradnl"/>
        </w:rPr>
        <w:t xml:space="preserve">pinión de los </w:t>
      </w:r>
      <w:r w:rsidR="0096650C" w:rsidRPr="00F01B15">
        <w:rPr>
          <w:rFonts w:ascii="Times New Roman" w:hAnsi="Times New Roman"/>
          <w:noProof/>
          <w:sz w:val="24"/>
          <w:szCs w:val="24"/>
          <w:lang w:val="es-ES_tradnl"/>
        </w:rPr>
        <w:t>a</w:t>
      </w:r>
      <w:r w:rsidRPr="00F01B15">
        <w:rPr>
          <w:rFonts w:ascii="Times New Roman" w:hAnsi="Times New Roman"/>
          <w:noProof/>
          <w:sz w:val="24"/>
          <w:szCs w:val="24"/>
          <w:lang w:val="es-ES_tradnl"/>
        </w:rPr>
        <w:t>lumnos. Tesis de maestría en ciencias educativas. Ensenada, B. C.</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México</w:t>
      </w:r>
      <w:r w:rsidR="0096650C" w:rsidRPr="00F01B15">
        <w:rPr>
          <w:rFonts w:ascii="Times New Roman" w:hAnsi="Times New Roman"/>
          <w:noProof/>
          <w:sz w:val="24"/>
          <w:szCs w:val="24"/>
          <w:lang w:val="es-ES_tradnl"/>
        </w:rPr>
        <w:t>.</w:t>
      </w:r>
    </w:p>
    <w:p w:rsidR="00F01B15" w:rsidRPr="00F01B15" w:rsidRDefault="00F01B15"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 xml:space="preserve">Cano, M. E (2005). Cómo mejorar las competencias de los docentes. Barcelona, Graó, p. 3. Disponible en: </w:t>
      </w:r>
      <w:hyperlink r:id="rId14" w:history="1">
        <w:r w:rsidRPr="00F01B15">
          <w:rPr>
            <w:rFonts w:ascii="Times New Roman" w:hAnsi="Times New Roman"/>
            <w:noProof/>
            <w:sz w:val="24"/>
            <w:szCs w:val="24"/>
            <w:lang w:val="es-ES_tradnl"/>
          </w:rPr>
          <w:t>http://www.ugr.es/~recfpro/rev123COL1.pdf</w:t>
        </w:r>
      </w:hyperlink>
    </w:p>
    <w:p w:rsidR="00F01B15" w:rsidRPr="00F01B15" w:rsidRDefault="00F01B15"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 xml:space="preserve">Cano, M. E. (2008). “La evaluación por competencias en la educación superior”. Profesorado. Revista de Currículum y Formación del Profesorado. España, 12 (3), p. 1-16, Disponible en: </w:t>
      </w:r>
      <w:hyperlink r:id="rId15" w:history="1">
        <w:r w:rsidRPr="00F01B15">
          <w:rPr>
            <w:rFonts w:ascii="Times New Roman" w:hAnsi="Times New Roman"/>
            <w:noProof/>
            <w:sz w:val="24"/>
            <w:szCs w:val="24"/>
            <w:lang w:val="es-ES_tradnl"/>
          </w:rPr>
          <w:t>http://www.ub.edu/cubac/sites/default/files/la_evaluacion_por_competencias_en_la_educacion_superior_0.pdf</w:t>
        </w:r>
      </w:hyperlink>
    </w:p>
    <w:p w:rsidR="00C03C9F" w:rsidRPr="00F01B15" w:rsidRDefault="00F01B15"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 xml:space="preserve">Cruz, R. (2012, 16 de abril). Modelo por competencias en el campo de la educación. Monografías. Disponible en: </w:t>
      </w:r>
      <w:hyperlink r:id="rId16" w:history="1">
        <w:r w:rsidRPr="00F01B15">
          <w:rPr>
            <w:rFonts w:ascii="Times New Roman" w:hAnsi="Times New Roman"/>
            <w:noProof/>
            <w:sz w:val="24"/>
            <w:szCs w:val="24"/>
            <w:lang w:val="es-ES_tradnl"/>
          </w:rPr>
          <w:t>http://www.monografias.com/trabajos92/modelo-competencias/modelo-competencias.shtml</w:t>
        </w:r>
      </w:hyperlink>
      <w:r w:rsidR="00C03C9F" w:rsidRPr="00F01B15">
        <w:rPr>
          <w:rFonts w:ascii="Times New Roman" w:hAnsi="Times New Roman"/>
          <w:noProof/>
          <w:sz w:val="24"/>
          <w:szCs w:val="24"/>
          <w:lang w:val="es-ES_tradnl"/>
        </w:rPr>
        <w:t xml:space="preserve"> </w:t>
      </w:r>
    </w:p>
    <w:p w:rsidR="00CA203A" w:rsidRDefault="00CA203A"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Casanova, M. A. (1992)</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La evaluación, garantía de la calidad para el centro educativo. España</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Editorial Luis Vives.</w:t>
      </w:r>
    </w:p>
    <w:p w:rsidR="00F01B15" w:rsidRPr="00F01B15" w:rsidRDefault="00F01B15"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 xml:space="preserve">Darling, L. (2002). “El derecho de aprender. Crear buenas escuelas para todos”. Revista Interuniversitaria de Formación del Profesorado. Barcelona, 43, pp.158-170. Disponible en: </w:t>
      </w:r>
      <w:hyperlink r:id="rId17" w:history="1">
        <w:r w:rsidRPr="00F01B15">
          <w:rPr>
            <w:rFonts w:ascii="Times New Roman" w:hAnsi="Times New Roman"/>
            <w:sz w:val="24"/>
            <w:szCs w:val="24"/>
            <w:lang w:val="es-ES_tradnl"/>
          </w:rPr>
          <w:t>http://www.redalyc.org/pdf/274/27404314.pdf</w:t>
        </w:r>
      </w:hyperlink>
    </w:p>
    <w:p w:rsidR="00CA203A" w:rsidRPr="00F01B15" w:rsidRDefault="00CA203A" w:rsidP="00F01B15">
      <w:pPr>
        <w:pStyle w:val="Bibliografa"/>
        <w:spacing w:line="360" w:lineRule="auto"/>
        <w:ind w:left="720" w:hanging="720"/>
        <w:rPr>
          <w:rFonts w:ascii="Times New Roman" w:hAnsi="Times New Roman"/>
          <w:noProof/>
          <w:sz w:val="24"/>
          <w:szCs w:val="24"/>
          <w:lang w:val="es-ES_tradnl"/>
        </w:rPr>
      </w:pPr>
      <w:r w:rsidRPr="001378E3">
        <w:rPr>
          <w:rFonts w:ascii="Times New Roman" w:hAnsi="Times New Roman"/>
          <w:noProof/>
          <w:sz w:val="24"/>
          <w:szCs w:val="24"/>
          <w:lang w:val="en-US"/>
        </w:rPr>
        <w:t>Denyer, M., Furnémont, J., Poulain R.</w:t>
      </w:r>
      <w:r w:rsidR="0096650C" w:rsidRPr="001378E3">
        <w:rPr>
          <w:rFonts w:ascii="Times New Roman" w:hAnsi="Times New Roman"/>
          <w:noProof/>
          <w:sz w:val="24"/>
          <w:szCs w:val="24"/>
          <w:lang w:val="en-US"/>
        </w:rPr>
        <w:t>,</w:t>
      </w:r>
      <w:r w:rsidRPr="001378E3">
        <w:rPr>
          <w:rFonts w:ascii="Times New Roman" w:hAnsi="Times New Roman"/>
          <w:noProof/>
          <w:sz w:val="24"/>
          <w:szCs w:val="24"/>
          <w:lang w:val="en-US"/>
        </w:rPr>
        <w:t xml:space="preserve"> </w:t>
      </w:r>
      <w:r w:rsidR="0096650C" w:rsidRPr="001378E3">
        <w:rPr>
          <w:rFonts w:ascii="Times New Roman" w:hAnsi="Times New Roman"/>
          <w:noProof/>
          <w:sz w:val="24"/>
          <w:szCs w:val="24"/>
          <w:lang w:val="en-US"/>
        </w:rPr>
        <w:t>y</w:t>
      </w:r>
      <w:r w:rsidRPr="001378E3">
        <w:rPr>
          <w:rFonts w:ascii="Times New Roman" w:hAnsi="Times New Roman"/>
          <w:noProof/>
          <w:sz w:val="24"/>
          <w:szCs w:val="24"/>
          <w:lang w:val="en-US"/>
        </w:rPr>
        <w:t xml:space="preserve"> Vanloubbeeck G</w:t>
      </w:r>
      <w:r w:rsidR="001A3C9E" w:rsidRPr="001378E3">
        <w:rPr>
          <w:rFonts w:ascii="Times New Roman" w:hAnsi="Times New Roman"/>
          <w:noProof/>
          <w:sz w:val="24"/>
          <w:szCs w:val="24"/>
          <w:lang w:val="en-US"/>
        </w:rPr>
        <w:t xml:space="preserve">.  </w:t>
      </w:r>
      <w:r w:rsidR="001A3C9E"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2007). Las competencias en la educación, un balance. México</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Fondo de Cultura Económica, pp. 17-44</w:t>
      </w:r>
      <w:r w:rsidR="0096650C" w:rsidRPr="00F01B15">
        <w:rPr>
          <w:rFonts w:ascii="Times New Roman" w:hAnsi="Times New Roman"/>
          <w:noProof/>
          <w:sz w:val="24"/>
          <w:szCs w:val="24"/>
          <w:lang w:val="es-ES_tradnl"/>
        </w:rPr>
        <w:t>.</w:t>
      </w:r>
    </w:p>
    <w:p w:rsidR="00CA203A" w:rsidRPr="00F01B15" w:rsidRDefault="00CA203A"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 xml:space="preserve">González, P.M. (1997). Evaluación del aprendizaje en la enseñanza universitaria. CEPES UHY. </w:t>
      </w:r>
      <w:r w:rsidR="0096650C" w:rsidRPr="00F01B15">
        <w:rPr>
          <w:rFonts w:ascii="Times New Roman" w:hAnsi="Times New Roman"/>
          <w:noProof/>
          <w:sz w:val="24"/>
          <w:szCs w:val="24"/>
          <w:lang w:val="es-ES_tradnl"/>
        </w:rPr>
        <w:t xml:space="preserve">La </w:t>
      </w:r>
      <w:r w:rsidRPr="00F01B15">
        <w:rPr>
          <w:rFonts w:ascii="Times New Roman" w:hAnsi="Times New Roman"/>
          <w:noProof/>
          <w:sz w:val="24"/>
          <w:szCs w:val="24"/>
          <w:lang w:val="es-ES_tradnl"/>
        </w:rPr>
        <w:t>Habana</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Cuba.</w:t>
      </w:r>
    </w:p>
    <w:p w:rsidR="00C03C9F" w:rsidRPr="00F01B15" w:rsidRDefault="00C03C9F"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Hernández, R.,  Fernández, C.</w:t>
      </w:r>
      <w:r w:rsidR="0096650C" w:rsidRPr="00F01B15">
        <w:rPr>
          <w:rFonts w:ascii="Times New Roman" w:hAnsi="Times New Roman"/>
          <w:noProof/>
          <w:sz w:val="24"/>
          <w:szCs w:val="24"/>
          <w:lang w:val="es-ES_tradnl"/>
        </w:rPr>
        <w:t>, y</w:t>
      </w:r>
      <w:r w:rsidRPr="00F01B15">
        <w:rPr>
          <w:rFonts w:ascii="Times New Roman" w:hAnsi="Times New Roman"/>
          <w:noProof/>
          <w:sz w:val="24"/>
          <w:szCs w:val="24"/>
          <w:lang w:val="es-ES_tradnl"/>
        </w:rPr>
        <w:t xml:space="preserve"> Baptista L. P. (2006). Metodología de la investigaci</w:t>
      </w:r>
      <w:r w:rsidR="0096650C" w:rsidRPr="00F01B15">
        <w:rPr>
          <w:rFonts w:ascii="Times New Roman" w:hAnsi="Times New Roman"/>
          <w:noProof/>
          <w:sz w:val="24"/>
          <w:szCs w:val="24"/>
          <w:lang w:val="es-ES_tradnl"/>
        </w:rPr>
        <w:t>ó</w:t>
      </w:r>
      <w:r w:rsidRPr="00F01B15">
        <w:rPr>
          <w:rFonts w:ascii="Times New Roman" w:hAnsi="Times New Roman"/>
          <w:noProof/>
          <w:sz w:val="24"/>
          <w:szCs w:val="24"/>
          <w:lang w:val="es-ES_tradnl"/>
        </w:rPr>
        <w:t>n. México</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Editorial McGraw Hill</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p. 373</w:t>
      </w:r>
      <w:r w:rsidR="0096650C" w:rsidRPr="00F01B15">
        <w:rPr>
          <w:rFonts w:ascii="Times New Roman" w:hAnsi="Times New Roman"/>
          <w:noProof/>
          <w:sz w:val="24"/>
          <w:szCs w:val="24"/>
          <w:lang w:val="es-ES_tradnl"/>
        </w:rPr>
        <w:t>.</w:t>
      </w:r>
    </w:p>
    <w:p w:rsidR="00CA203A" w:rsidRPr="00F01B15" w:rsidRDefault="00CA203A"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lastRenderedPageBreak/>
        <w:t xml:space="preserve">Moreno, T. (2009). Competencias en educación superior: </w:t>
      </w:r>
      <w:r w:rsidR="0096650C" w:rsidRPr="00F01B15">
        <w:rPr>
          <w:rFonts w:ascii="Times New Roman" w:hAnsi="Times New Roman"/>
          <w:noProof/>
          <w:sz w:val="24"/>
          <w:szCs w:val="24"/>
          <w:lang w:val="es-ES_tradnl"/>
        </w:rPr>
        <w:t>U</w:t>
      </w:r>
      <w:r w:rsidRPr="00F01B15">
        <w:rPr>
          <w:rFonts w:ascii="Times New Roman" w:hAnsi="Times New Roman"/>
          <w:noProof/>
          <w:sz w:val="24"/>
          <w:szCs w:val="24"/>
          <w:lang w:val="es-ES_tradnl"/>
        </w:rPr>
        <w:t>n alto en el camino para revisar la ruta de viaje. Perfiles Educativos, 31 (124), 69-92</w:t>
      </w:r>
      <w:r w:rsidR="0096650C" w:rsidRPr="00F01B15">
        <w:rPr>
          <w:rFonts w:ascii="Times New Roman" w:hAnsi="Times New Roman"/>
          <w:noProof/>
          <w:sz w:val="24"/>
          <w:szCs w:val="24"/>
          <w:lang w:val="es-ES_tradnl"/>
        </w:rPr>
        <w:t>.</w:t>
      </w:r>
    </w:p>
    <w:p w:rsidR="00CA203A" w:rsidRPr="00F01B15" w:rsidRDefault="00CA203A"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Zabalza, M. A. (2003). Competencias docentes del profesorado universitario. Calidad y desarrollo profesional. Madrid</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Narcea.</w:t>
      </w:r>
    </w:p>
    <w:p w:rsidR="008620F0" w:rsidRPr="00F01B15" w:rsidRDefault="00CA203A"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Zabalza, M. A. (2007</w:t>
      </w:r>
      <w:r w:rsidR="006542F6"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Competencias docentes del profesorado universitario: calidad y desarrollo profesional. Madrid</w:t>
      </w:r>
      <w:r w:rsidR="0096650C"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Narcea, p. 70</w:t>
      </w:r>
      <w:r w:rsidR="006542F6" w:rsidRPr="00F01B15">
        <w:rPr>
          <w:rFonts w:ascii="Times New Roman" w:hAnsi="Times New Roman"/>
          <w:noProof/>
          <w:sz w:val="24"/>
          <w:szCs w:val="24"/>
          <w:lang w:val="es-ES_tradnl"/>
        </w:rPr>
        <w:t>.</w:t>
      </w:r>
    </w:p>
    <w:p w:rsidR="00F54484" w:rsidRPr="00F01B15" w:rsidRDefault="00F54484"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Rueda, M. (2009). La evaluación del desempeño docente: consideraciones desde el enfoque por competencias.</w:t>
      </w:r>
      <w:r w:rsidR="00DC0D18" w:rsidRPr="00F01B15">
        <w:rPr>
          <w:rFonts w:ascii="Times New Roman" w:hAnsi="Times New Roman"/>
          <w:noProof/>
          <w:sz w:val="24"/>
          <w:szCs w:val="24"/>
          <w:lang w:val="es-ES_tradnl"/>
        </w:rPr>
        <w:t xml:space="preserve"> </w:t>
      </w:r>
      <w:r w:rsidRPr="00F01B15">
        <w:rPr>
          <w:rFonts w:ascii="Times New Roman" w:hAnsi="Times New Roman"/>
          <w:noProof/>
          <w:sz w:val="24"/>
          <w:szCs w:val="24"/>
          <w:lang w:val="es-ES_tradnl"/>
        </w:rPr>
        <w:t xml:space="preserve">Revista Electrónica de Investigación Educativa, 11 (2). Disponible en: </w:t>
      </w:r>
      <w:hyperlink r:id="rId18" w:anchor="2" w:history="1">
        <w:r w:rsidRPr="00F01B15">
          <w:rPr>
            <w:rFonts w:ascii="Times New Roman" w:hAnsi="Times New Roman"/>
            <w:noProof/>
            <w:sz w:val="24"/>
            <w:szCs w:val="24"/>
            <w:lang w:val="es-ES_tradnl"/>
          </w:rPr>
          <w:t>http://redie.uabc.mx/redie/article/view/234/751#2</w:t>
        </w:r>
      </w:hyperlink>
    </w:p>
    <w:p w:rsidR="00F54484" w:rsidRPr="00F01B15" w:rsidRDefault="00F54484" w:rsidP="00F01B15">
      <w:pPr>
        <w:pStyle w:val="Bibliografa"/>
        <w:spacing w:line="360" w:lineRule="auto"/>
        <w:ind w:left="720" w:hanging="720"/>
        <w:rPr>
          <w:rFonts w:ascii="Times New Roman" w:hAnsi="Times New Roman"/>
          <w:noProof/>
          <w:sz w:val="24"/>
          <w:szCs w:val="24"/>
          <w:lang w:val="es-ES_tradnl"/>
        </w:rPr>
      </w:pPr>
      <w:r w:rsidRPr="00F01B15">
        <w:rPr>
          <w:rFonts w:ascii="Times New Roman" w:hAnsi="Times New Roman"/>
          <w:noProof/>
          <w:sz w:val="24"/>
          <w:szCs w:val="24"/>
          <w:lang w:val="es-ES_tradnl"/>
        </w:rPr>
        <w:t>Rueda, M. (2010). El enfoque por competencias: ¿salida a la crisis educativa? Perfiles Educativos | vol. XXXII, núm. 127, 2010 | IISUE-UNAM | Editorial. En http://www.scielo.org.mx/pdf/peredu/v32n127/v32n127a1.pdf</w:t>
      </w:r>
    </w:p>
    <w:p w:rsidR="00F54484" w:rsidRPr="001A3C9E" w:rsidRDefault="00F54484" w:rsidP="00F01B15">
      <w:pPr>
        <w:pStyle w:val="Bibliografa"/>
        <w:spacing w:line="360" w:lineRule="auto"/>
        <w:ind w:left="720" w:hanging="720"/>
        <w:rPr>
          <w:rFonts w:ascii="Arial" w:hAnsi="Arial" w:cs="Arial"/>
          <w:color w:val="0070C0"/>
        </w:rPr>
      </w:pPr>
      <w:r w:rsidRPr="00F01B15">
        <w:rPr>
          <w:rFonts w:ascii="Times New Roman" w:hAnsi="Times New Roman"/>
          <w:noProof/>
          <w:sz w:val="24"/>
          <w:szCs w:val="24"/>
          <w:lang w:val="es-ES_tradnl"/>
        </w:rPr>
        <w:t xml:space="preserve">Zabala, A. </w:t>
      </w:r>
      <w:r w:rsidR="00DC0D18" w:rsidRPr="00F01B15">
        <w:rPr>
          <w:rFonts w:ascii="Times New Roman" w:hAnsi="Times New Roman"/>
          <w:noProof/>
          <w:sz w:val="24"/>
          <w:szCs w:val="24"/>
          <w:lang w:val="es-ES_tradnl"/>
        </w:rPr>
        <w:t>y</w:t>
      </w:r>
      <w:r w:rsidRPr="00F01B15">
        <w:rPr>
          <w:rFonts w:ascii="Times New Roman" w:hAnsi="Times New Roman"/>
          <w:noProof/>
          <w:sz w:val="24"/>
          <w:szCs w:val="24"/>
          <w:lang w:val="es-ES_tradnl"/>
        </w:rPr>
        <w:t xml:space="preserve"> Arnau, L. (2007). "La enseñanza de las competencias"</w:t>
      </w:r>
      <w:r w:rsidR="00DC0D18"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Aula de Innovación Educativa</w:t>
      </w:r>
      <w:r w:rsidR="00DC0D18"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España</w:t>
      </w:r>
      <w:r w:rsidR="00DC0D18"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 No. 161, pp. 40</w:t>
      </w:r>
      <w:r w:rsidR="00DC0D18" w:rsidRPr="00F01B15">
        <w:rPr>
          <w:rFonts w:ascii="Times New Roman" w:hAnsi="Times New Roman"/>
          <w:noProof/>
          <w:sz w:val="24"/>
          <w:szCs w:val="24"/>
          <w:lang w:val="es-ES_tradnl"/>
        </w:rPr>
        <w:t>-</w:t>
      </w:r>
      <w:r w:rsidRPr="00F01B15">
        <w:rPr>
          <w:rFonts w:ascii="Times New Roman" w:hAnsi="Times New Roman"/>
          <w:noProof/>
          <w:sz w:val="24"/>
          <w:szCs w:val="24"/>
          <w:lang w:val="es-ES_tradnl"/>
        </w:rPr>
        <w:t xml:space="preserve">46. Disponible en: </w:t>
      </w:r>
      <w:hyperlink r:id="rId19" w:history="1">
        <w:r w:rsidRPr="00F01B15">
          <w:rPr>
            <w:rFonts w:ascii="Times New Roman" w:hAnsi="Times New Roman"/>
            <w:noProof/>
            <w:sz w:val="24"/>
            <w:szCs w:val="24"/>
            <w:lang w:val="es-ES_tradnl"/>
          </w:rPr>
          <w:t>http://upvv.clavijero.edu.mx/cursos/ObservacionPracticaIII/vector2/tarea6/documentos/Zabala_Arnua.pdf</w:t>
        </w:r>
      </w:hyperlink>
    </w:p>
    <w:p w:rsidR="00F54484" w:rsidRPr="0005669C" w:rsidRDefault="00F54484" w:rsidP="00F54484">
      <w:pPr>
        <w:spacing w:after="160" w:line="360" w:lineRule="auto"/>
        <w:ind w:left="567" w:hanging="567"/>
        <w:jc w:val="both"/>
        <w:rPr>
          <w:rFonts w:ascii="Arial" w:eastAsia="Times New Roman" w:hAnsi="Arial" w:cs="Arial"/>
          <w:b/>
          <w:sz w:val="22"/>
          <w:szCs w:val="22"/>
          <w:lang w:val="es-ES"/>
        </w:rPr>
      </w:pPr>
    </w:p>
    <w:sectPr w:rsidR="00F54484" w:rsidRPr="0005669C" w:rsidSect="00FD574A">
      <w:headerReference w:type="default" r:id="rId20"/>
      <w:footerReference w:type="default" r:id="rId2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D9" w:rsidRDefault="007C1FD9">
      <w:r>
        <w:separator/>
      </w:r>
    </w:p>
  </w:endnote>
  <w:endnote w:type="continuationSeparator" w:id="0">
    <w:p w:rsidR="007C1FD9" w:rsidRDefault="007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4A" w:rsidRDefault="00FD574A">
    <w:pPr>
      <w:pStyle w:val="Piedepgina"/>
      <w:jc w:val="right"/>
    </w:pPr>
  </w:p>
  <w:sdt>
    <w:sdtPr>
      <w:rPr>
        <w:rFonts w:asciiTheme="minorHAnsi" w:hAnsiTheme="minorHAnsi"/>
        <w:sz w:val="22"/>
      </w:rPr>
      <w:id w:val="1788779152"/>
      <w:docPartObj>
        <w:docPartGallery w:val="Page Numbers (Bottom of Page)"/>
        <w:docPartUnique/>
      </w:docPartObj>
    </w:sdtPr>
    <w:sdtEndPr/>
    <w:sdtContent>
      <w:p w:rsidR="00AA469D" w:rsidRDefault="00AA469D" w:rsidP="00AA469D">
        <w:pPr>
          <w:pStyle w:val="Piedepgina"/>
          <w:jc w:val="center"/>
          <w:rPr>
            <w:rFonts w:asciiTheme="minorHAnsi" w:hAnsiTheme="minorHAnsi"/>
            <w:sz w:val="22"/>
          </w:rPr>
        </w:pPr>
        <w:r w:rsidRPr="000A342A">
          <w:rPr>
            <w:rFonts w:asciiTheme="minorHAnsi" w:hAnsiTheme="minorHAnsi" w:cs="Calibri"/>
            <w:b/>
            <w:sz w:val="22"/>
          </w:rPr>
          <w:t>Vol. 6, Núm. 12                  Enero – Junio  2016           RIDE</w:t>
        </w:r>
      </w:p>
    </w:sdtContent>
  </w:sdt>
  <w:p w:rsidR="00FD574A" w:rsidRDefault="00FD57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D9" w:rsidRDefault="007C1FD9">
      <w:r>
        <w:separator/>
      </w:r>
    </w:p>
  </w:footnote>
  <w:footnote w:type="continuationSeparator" w:id="0">
    <w:p w:rsidR="007C1FD9" w:rsidRDefault="007C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15" w:rsidRDefault="00F01B15" w:rsidP="00F01B15">
    <w:pPr>
      <w:pStyle w:val="Encabezado"/>
      <w:jc w:val="center"/>
    </w:pPr>
    <w:r w:rsidRPr="000A342A">
      <w:rPr>
        <w:rFonts w:asciiTheme="minorHAnsi" w:hAnsiTheme="minorHAnsi" w:cs="Calibri"/>
        <w:b/>
        <w:i/>
        <w:sz w:val="22"/>
      </w:rPr>
      <w:t>Revista Iberoamericana para la Investigación y el Desarrollo Educativo</w:t>
    </w:r>
    <w:r w:rsidRPr="000A342A">
      <w:rPr>
        <w:rFonts w:asciiTheme="minorHAnsi" w:hAnsiTheme="minorHAnsi"/>
        <w:b/>
        <w:sz w:val="22"/>
      </w:rPr>
      <w:t xml:space="preserve">  </w:t>
    </w:r>
    <w:r w:rsidRPr="000A342A">
      <w:rPr>
        <w:rFonts w:asciiTheme="minorHAnsi" w:hAnsiTheme="minorHAnsi"/>
        <w:sz w:val="22"/>
      </w:rPr>
      <w:t xml:space="preserve">   </w:t>
    </w:r>
    <w:r>
      <w:rPr>
        <w:rFonts w:asciiTheme="minorHAnsi" w:hAnsiTheme="minorHAnsi"/>
        <w:sz w:val="22"/>
      </w:rPr>
      <w:t xml:space="preserve">          </w:t>
    </w:r>
    <w:r w:rsidRPr="000A342A">
      <w:rPr>
        <w:rFonts w:asciiTheme="minorHAnsi" w:hAnsiTheme="minorHAnsi"/>
        <w:sz w:val="22"/>
      </w:rPr>
      <w:t xml:space="preserve">   </w:t>
    </w:r>
    <w:r w:rsidRPr="000A342A">
      <w:rPr>
        <w:rFonts w:asciiTheme="minorHAnsi" w:hAnsiTheme="minorHAns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F68"/>
    <w:multiLevelType w:val="hybridMultilevel"/>
    <w:tmpl w:val="B0D43ADA"/>
    <w:lvl w:ilvl="0" w:tplc="034491E6">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7B2EB5"/>
    <w:multiLevelType w:val="hybridMultilevel"/>
    <w:tmpl w:val="0976785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71AF2341"/>
    <w:multiLevelType w:val="multilevel"/>
    <w:tmpl w:val="6F0C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F0"/>
    <w:rsid w:val="00000BB3"/>
    <w:rsid w:val="000255FD"/>
    <w:rsid w:val="00030AA4"/>
    <w:rsid w:val="0005669C"/>
    <w:rsid w:val="000621BD"/>
    <w:rsid w:val="00081B3B"/>
    <w:rsid w:val="000B1A77"/>
    <w:rsid w:val="000B5518"/>
    <w:rsid w:val="000C25E5"/>
    <w:rsid w:val="000D7FF5"/>
    <w:rsid w:val="000E250C"/>
    <w:rsid w:val="000E4CA0"/>
    <w:rsid w:val="000F026B"/>
    <w:rsid w:val="000F44E5"/>
    <w:rsid w:val="00104074"/>
    <w:rsid w:val="00115DC5"/>
    <w:rsid w:val="0012182B"/>
    <w:rsid w:val="00121B55"/>
    <w:rsid w:val="00130E3A"/>
    <w:rsid w:val="001378E3"/>
    <w:rsid w:val="00142DA2"/>
    <w:rsid w:val="00150CBE"/>
    <w:rsid w:val="00162BCB"/>
    <w:rsid w:val="001A3C9E"/>
    <w:rsid w:val="001B5AD2"/>
    <w:rsid w:val="001D4557"/>
    <w:rsid w:val="001F183D"/>
    <w:rsid w:val="001F42FE"/>
    <w:rsid w:val="00205AEC"/>
    <w:rsid w:val="002143B5"/>
    <w:rsid w:val="002225A6"/>
    <w:rsid w:val="002474BA"/>
    <w:rsid w:val="002541F5"/>
    <w:rsid w:val="002601BB"/>
    <w:rsid w:val="00272F6C"/>
    <w:rsid w:val="002751CC"/>
    <w:rsid w:val="00280EB5"/>
    <w:rsid w:val="00282888"/>
    <w:rsid w:val="002B0F59"/>
    <w:rsid w:val="002E022C"/>
    <w:rsid w:val="002F1222"/>
    <w:rsid w:val="002F29C1"/>
    <w:rsid w:val="002F79ED"/>
    <w:rsid w:val="00341503"/>
    <w:rsid w:val="00344A0F"/>
    <w:rsid w:val="003564B3"/>
    <w:rsid w:val="003621CF"/>
    <w:rsid w:val="003660DD"/>
    <w:rsid w:val="003B7EDE"/>
    <w:rsid w:val="003C538A"/>
    <w:rsid w:val="003D2BF6"/>
    <w:rsid w:val="003E1539"/>
    <w:rsid w:val="003F60F7"/>
    <w:rsid w:val="004113E6"/>
    <w:rsid w:val="00447B85"/>
    <w:rsid w:val="00454DD6"/>
    <w:rsid w:val="00462DB7"/>
    <w:rsid w:val="00463D75"/>
    <w:rsid w:val="00464B93"/>
    <w:rsid w:val="004668CB"/>
    <w:rsid w:val="004675F2"/>
    <w:rsid w:val="00475F62"/>
    <w:rsid w:val="00485E77"/>
    <w:rsid w:val="004915D3"/>
    <w:rsid w:val="004A4746"/>
    <w:rsid w:val="004C2B29"/>
    <w:rsid w:val="004C4F0D"/>
    <w:rsid w:val="004C4FDE"/>
    <w:rsid w:val="004C63FB"/>
    <w:rsid w:val="004D7762"/>
    <w:rsid w:val="005138C7"/>
    <w:rsid w:val="00543BFE"/>
    <w:rsid w:val="00546652"/>
    <w:rsid w:val="005500BC"/>
    <w:rsid w:val="00565B5A"/>
    <w:rsid w:val="00571795"/>
    <w:rsid w:val="00573F6F"/>
    <w:rsid w:val="00577FC1"/>
    <w:rsid w:val="00592905"/>
    <w:rsid w:val="00595F68"/>
    <w:rsid w:val="005A0D82"/>
    <w:rsid w:val="005B3A1B"/>
    <w:rsid w:val="005F0FB5"/>
    <w:rsid w:val="005F5015"/>
    <w:rsid w:val="00607A39"/>
    <w:rsid w:val="0061668E"/>
    <w:rsid w:val="00642D59"/>
    <w:rsid w:val="00644A7A"/>
    <w:rsid w:val="00645D06"/>
    <w:rsid w:val="006542F6"/>
    <w:rsid w:val="0066316A"/>
    <w:rsid w:val="00664E78"/>
    <w:rsid w:val="006A2E11"/>
    <w:rsid w:val="006A7021"/>
    <w:rsid w:val="006C229F"/>
    <w:rsid w:val="006E0E83"/>
    <w:rsid w:val="006F0E30"/>
    <w:rsid w:val="007105C9"/>
    <w:rsid w:val="00746AF2"/>
    <w:rsid w:val="007829EA"/>
    <w:rsid w:val="00786968"/>
    <w:rsid w:val="00786AEA"/>
    <w:rsid w:val="007964AB"/>
    <w:rsid w:val="007A76D2"/>
    <w:rsid w:val="007C06D2"/>
    <w:rsid w:val="007C1FD9"/>
    <w:rsid w:val="007C312B"/>
    <w:rsid w:val="007E2661"/>
    <w:rsid w:val="007E4D32"/>
    <w:rsid w:val="007F4DDC"/>
    <w:rsid w:val="0081740D"/>
    <w:rsid w:val="008241E3"/>
    <w:rsid w:val="008405BB"/>
    <w:rsid w:val="0084621E"/>
    <w:rsid w:val="0085684B"/>
    <w:rsid w:val="008604EC"/>
    <w:rsid w:val="008620F0"/>
    <w:rsid w:val="00894C59"/>
    <w:rsid w:val="008951CC"/>
    <w:rsid w:val="0089720D"/>
    <w:rsid w:val="008A4E76"/>
    <w:rsid w:val="008A67BA"/>
    <w:rsid w:val="008B5B7D"/>
    <w:rsid w:val="008B6658"/>
    <w:rsid w:val="00905D3A"/>
    <w:rsid w:val="009241AE"/>
    <w:rsid w:val="00926256"/>
    <w:rsid w:val="009423C4"/>
    <w:rsid w:val="009518F9"/>
    <w:rsid w:val="009566F7"/>
    <w:rsid w:val="00960443"/>
    <w:rsid w:val="0096650C"/>
    <w:rsid w:val="00977F5A"/>
    <w:rsid w:val="009956C8"/>
    <w:rsid w:val="009A5FD4"/>
    <w:rsid w:val="009B311B"/>
    <w:rsid w:val="009C14F7"/>
    <w:rsid w:val="009C42A7"/>
    <w:rsid w:val="009E5B0D"/>
    <w:rsid w:val="009F2108"/>
    <w:rsid w:val="009F7FA7"/>
    <w:rsid w:val="00A05B38"/>
    <w:rsid w:val="00A172A1"/>
    <w:rsid w:val="00A26A56"/>
    <w:rsid w:val="00A508E1"/>
    <w:rsid w:val="00A52A87"/>
    <w:rsid w:val="00A653EA"/>
    <w:rsid w:val="00A7247E"/>
    <w:rsid w:val="00A8789E"/>
    <w:rsid w:val="00AA469D"/>
    <w:rsid w:val="00AB1EDD"/>
    <w:rsid w:val="00AB3EC1"/>
    <w:rsid w:val="00AC4990"/>
    <w:rsid w:val="00AC537B"/>
    <w:rsid w:val="00AD48E3"/>
    <w:rsid w:val="00AD512F"/>
    <w:rsid w:val="00B17047"/>
    <w:rsid w:val="00B1793C"/>
    <w:rsid w:val="00B47FB1"/>
    <w:rsid w:val="00B51016"/>
    <w:rsid w:val="00B54544"/>
    <w:rsid w:val="00B56177"/>
    <w:rsid w:val="00B56B8B"/>
    <w:rsid w:val="00B70F53"/>
    <w:rsid w:val="00B744A6"/>
    <w:rsid w:val="00B93404"/>
    <w:rsid w:val="00BA4646"/>
    <w:rsid w:val="00BB1EDD"/>
    <w:rsid w:val="00BC02E3"/>
    <w:rsid w:val="00BD55AF"/>
    <w:rsid w:val="00BF0935"/>
    <w:rsid w:val="00C03C9F"/>
    <w:rsid w:val="00C1353E"/>
    <w:rsid w:val="00C24026"/>
    <w:rsid w:val="00C316FA"/>
    <w:rsid w:val="00C31800"/>
    <w:rsid w:val="00C509BF"/>
    <w:rsid w:val="00C8001F"/>
    <w:rsid w:val="00C93343"/>
    <w:rsid w:val="00CA1688"/>
    <w:rsid w:val="00CA1BC1"/>
    <w:rsid w:val="00CA203A"/>
    <w:rsid w:val="00CA37DF"/>
    <w:rsid w:val="00CB73AF"/>
    <w:rsid w:val="00CB7CCA"/>
    <w:rsid w:val="00CC075A"/>
    <w:rsid w:val="00CC5373"/>
    <w:rsid w:val="00CC5B4B"/>
    <w:rsid w:val="00CF040E"/>
    <w:rsid w:val="00CF232C"/>
    <w:rsid w:val="00D04BD9"/>
    <w:rsid w:val="00D16F5E"/>
    <w:rsid w:val="00D22F97"/>
    <w:rsid w:val="00D24EC6"/>
    <w:rsid w:val="00D25EA6"/>
    <w:rsid w:val="00D508D4"/>
    <w:rsid w:val="00D831E7"/>
    <w:rsid w:val="00D873EF"/>
    <w:rsid w:val="00D968AB"/>
    <w:rsid w:val="00DB7CFC"/>
    <w:rsid w:val="00DC0D18"/>
    <w:rsid w:val="00DC781F"/>
    <w:rsid w:val="00DD36CF"/>
    <w:rsid w:val="00DE3574"/>
    <w:rsid w:val="00DE5CED"/>
    <w:rsid w:val="00DF3B54"/>
    <w:rsid w:val="00E137C4"/>
    <w:rsid w:val="00E15C8E"/>
    <w:rsid w:val="00E2450D"/>
    <w:rsid w:val="00E31E46"/>
    <w:rsid w:val="00E47CF5"/>
    <w:rsid w:val="00E51178"/>
    <w:rsid w:val="00E74EF4"/>
    <w:rsid w:val="00E809C3"/>
    <w:rsid w:val="00E976AE"/>
    <w:rsid w:val="00EA7534"/>
    <w:rsid w:val="00EB48D4"/>
    <w:rsid w:val="00ED25C4"/>
    <w:rsid w:val="00EF1754"/>
    <w:rsid w:val="00EF50F3"/>
    <w:rsid w:val="00F01B15"/>
    <w:rsid w:val="00F179D3"/>
    <w:rsid w:val="00F23CF3"/>
    <w:rsid w:val="00F267DF"/>
    <w:rsid w:val="00F51A51"/>
    <w:rsid w:val="00F54484"/>
    <w:rsid w:val="00F562D0"/>
    <w:rsid w:val="00F571FA"/>
    <w:rsid w:val="00F639DD"/>
    <w:rsid w:val="00F74444"/>
    <w:rsid w:val="00FB5030"/>
    <w:rsid w:val="00FB6CFB"/>
    <w:rsid w:val="00FD574A"/>
    <w:rsid w:val="00FD6C32"/>
    <w:rsid w:val="00FF3C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B9BC"/>
  <w15:docId w15:val="{0E9E074D-29C0-49E5-B2F4-BA8618A9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793C"/>
    <w:pPr>
      <w:spacing w:after="0" w:line="240" w:lineRule="auto"/>
    </w:pPr>
    <w:rPr>
      <w:rFonts w:ascii="Times New Roman" w:hAnsi="Times New Roman"/>
      <w:sz w:val="24"/>
      <w:szCs w:val="24"/>
      <w:lang w:eastAsia="es-ES"/>
    </w:rPr>
  </w:style>
  <w:style w:type="paragraph" w:styleId="Ttulo3">
    <w:name w:val="heading 3"/>
    <w:basedOn w:val="Normal"/>
    <w:next w:val="Normal"/>
    <w:link w:val="Ttulo3Car"/>
    <w:uiPriority w:val="9"/>
    <w:semiHidden/>
    <w:unhideWhenUsed/>
    <w:qFormat/>
    <w:rsid w:val="001B5AD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93C"/>
    <w:pPr>
      <w:ind w:left="720"/>
      <w:contextualSpacing/>
    </w:pPr>
    <w:rPr>
      <w:rFonts w:eastAsia="Times New Roman" w:cs="Times New Roman"/>
    </w:rPr>
  </w:style>
  <w:style w:type="paragraph" w:styleId="Piedepgina">
    <w:name w:val="footer"/>
    <w:basedOn w:val="Normal"/>
    <w:link w:val="PiedepginaCar"/>
    <w:uiPriority w:val="99"/>
    <w:unhideWhenUsed/>
    <w:rsid w:val="008620F0"/>
    <w:pPr>
      <w:tabs>
        <w:tab w:val="center" w:pos="4419"/>
        <w:tab w:val="right" w:pos="8838"/>
      </w:tabs>
    </w:pPr>
  </w:style>
  <w:style w:type="character" w:customStyle="1" w:styleId="PiedepginaCar">
    <w:name w:val="Pie de página Car"/>
    <w:basedOn w:val="Fuentedeprrafopredeter"/>
    <w:link w:val="Piedepgina"/>
    <w:uiPriority w:val="99"/>
    <w:rsid w:val="008620F0"/>
    <w:rPr>
      <w:rFonts w:ascii="Times New Roman" w:hAnsi="Times New Roman"/>
      <w:sz w:val="24"/>
      <w:szCs w:val="24"/>
      <w:lang w:eastAsia="es-ES"/>
    </w:rPr>
  </w:style>
  <w:style w:type="table" w:customStyle="1" w:styleId="Sombreadoclaro1">
    <w:name w:val="Sombreado claro1"/>
    <w:basedOn w:val="Tablanormal"/>
    <w:next w:val="Sombreadoclaro"/>
    <w:uiPriority w:val="60"/>
    <w:rsid w:val="008620F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rsid w:val="008620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8620F0"/>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0F0"/>
    <w:rPr>
      <w:rFonts w:ascii="Tahoma" w:hAnsi="Tahoma" w:cs="Tahoma"/>
      <w:sz w:val="16"/>
      <w:szCs w:val="16"/>
      <w:lang w:eastAsia="es-ES"/>
    </w:rPr>
  </w:style>
  <w:style w:type="character" w:styleId="nfasis">
    <w:name w:val="Emphasis"/>
    <w:basedOn w:val="Fuentedeprrafopredeter"/>
    <w:uiPriority w:val="20"/>
    <w:qFormat/>
    <w:rsid w:val="00A05B38"/>
    <w:rPr>
      <w:i/>
      <w:iCs/>
    </w:rPr>
  </w:style>
  <w:style w:type="character" w:customStyle="1" w:styleId="apple-converted-space">
    <w:name w:val="apple-converted-space"/>
    <w:basedOn w:val="Fuentedeprrafopredeter"/>
    <w:rsid w:val="00D16F5E"/>
  </w:style>
  <w:style w:type="character" w:styleId="Hipervnculo">
    <w:name w:val="Hyperlink"/>
    <w:basedOn w:val="Fuentedeprrafopredeter"/>
    <w:uiPriority w:val="99"/>
    <w:unhideWhenUsed/>
    <w:rsid w:val="00D16F5E"/>
    <w:rPr>
      <w:color w:val="0000FF" w:themeColor="hyperlink"/>
      <w:u w:val="single"/>
    </w:rPr>
  </w:style>
  <w:style w:type="character" w:customStyle="1" w:styleId="Ttulo3Car">
    <w:name w:val="Título 3 Car"/>
    <w:basedOn w:val="Fuentedeprrafopredeter"/>
    <w:link w:val="Ttulo3"/>
    <w:uiPriority w:val="9"/>
    <w:semiHidden/>
    <w:rsid w:val="001B5AD2"/>
    <w:rPr>
      <w:rFonts w:asciiTheme="majorHAnsi" w:eastAsiaTheme="majorEastAsia" w:hAnsiTheme="majorHAnsi" w:cstheme="majorBidi"/>
      <w:b/>
      <w:bCs/>
      <w:color w:val="4F81BD" w:themeColor="accent1"/>
      <w:sz w:val="24"/>
      <w:szCs w:val="24"/>
      <w:lang w:eastAsia="es-ES"/>
    </w:rPr>
  </w:style>
  <w:style w:type="character" w:styleId="Refdecomentario">
    <w:name w:val="annotation reference"/>
    <w:basedOn w:val="Fuentedeprrafopredeter"/>
    <w:uiPriority w:val="99"/>
    <w:semiHidden/>
    <w:unhideWhenUsed/>
    <w:rsid w:val="001B5AD2"/>
    <w:rPr>
      <w:sz w:val="16"/>
      <w:szCs w:val="16"/>
    </w:rPr>
  </w:style>
  <w:style w:type="paragraph" w:styleId="Textocomentario">
    <w:name w:val="annotation text"/>
    <w:basedOn w:val="Normal"/>
    <w:link w:val="TextocomentarioCar"/>
    <w:uiPriority w:val="99"/>
    <w:semiHidden/>
    <w:unhideWhenUsed/>
    <w:rsid w:val="001B5AD2"/>
    <w:pPr>
      <w:spacing w:after="160"/>
    </w:pPr>
    <w:rPr>
      <w:rFonts w:ascii="Calibri" w:hAnsi="Calibri"/>
      <w:sz w:val="20"/>
      <w:szCs w:val="20"/>
      <w:lang w:eastAsia="en-US"/>
    </w:rPr>
  </w:style>
  <w:style w:type="character" w:customStyle="1" w:styleId="TextocomentarioCar">
    <w:name w:val="Texto comentario Car"/>
    <w:basedOn w:val="Fuentedeprrafopredeter"/>
    <w:link w:val="Textocomentario"/>
    <w:uiPriority w:val="99"/>
    <w:semiHidden/>
    <w:rsid w:val="001B5AD2"/>
    <w:rPr>
      <w:rFonts w:ascii="Calibri" w:hAnsi="Calibri"/>
      <w:sz w:val="20"/>
      <w:szCs w:val="20"/>
    </w:rPr>
  </w:style>
  <w:style w:type="character" w:styleId="CitaHTML">
    <w:name w:val="HTML Cite"/>
    <w:basedOn w:val="Fuentedeprrafopredeter"/>
    <w:uiPriority w:val="99"/>
    <w:semiHidden/>
    <w:unhideWhenUsed/>
    <w:rsid w:val="001B5AD2"/>
    <w:rPr>
      <w:i/>
      <w:iCs/>
    </w:rPr>
  </w:style>
  <w:style w:type="character" w:customStyle="1" w:styleId="st">
    <w:name w:val="st"/>
    <w:basedOn w:val="Fuentedeprrafopredeter"/>
    <w:rsid w:val="001B5AD2"/>
  </w:style>
  <w:style w:type="character" w:customStyle="1" w:styleId="a">
    <w:name w:val="a"/>
    <w:basedOn w:val="Fuentedeprrafopredeter"/>
    <w:rsid w:val="008B5B7D"/>
  </w:style>
  <w:style w:type="character" w:customStyle="1" w:styleId="l6">
    <w:name w:val="l6"/>
    <w:basedOn w:val="Fuentedeprrafopredeter"/>
    <w:rsid w:val="008B5B7D"/>
  </w:style>
  <w:style w:type="paragraph" w:styleId="Bibliografa">
    <w:name w:val="Bibliography"/>
    <w:basedOn w:val="Normal"/>
    <w:next w:val="Normal"/>
    <w:uiPriority w:val="37"/>
    <w:unhideWhenUsed/>
    <w:rsid w:val="00F01B15"/>
    <w:pPr>
      <w:spacing w:after="200" w:line="276" w:lineRule="auto"/>
    </w:pPr>
    <w:rPr>
      <w:rFonts w:ascii="Calibri" w:eastAsia="Calibri" w:hAnsi="Calibri" w:cs="Times New Roman"/>
      <w:sz w:val="22"/>
      <w:szCs w:val="22"/>
      <w:lang w:val="es-ES" w:eastAsia="en-US"/>
    </w:rPr>
  </w:style>
  <w:style w:type="paragraph" w:styleId="Encabezado">
    <w:name w:val="header"/>
    <w:basedOn w:val="Normal"/>
    <w:link w:val="EncabezadoCar"/>
    <w:uiPriority w:val="99"/>
    <w:unhideWhenUsed/>
    <w:rsid w:val="00F01B15"/>
    <w:pPr>
      <w:tabs>
        <w:tab w:val="center" w:pos="4419"/>
        <w:tab w:val="right" w:pos="8838"/>
      </w:tabs>
    </w:pPr>
  </w:style>
  <w:style w:type="character" w:customStyle="1" w:styleId="EncabezadoCar">
    <w:name w:val="Encabezado Car"/>
    <w:basedOn w:val="Fuentedeprrafopredeter"/>
    <w:link w:val="Encabezado"/>
    <w:uiPriority w:val="99"/>
    <w:rsid w:val="00F01B15"/>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4499">
      <w:bodyDiv w:val="1"/>
      <w:marLeft w:val="0"/>
      <w:marRight w:val="0"/>
      <w:marTop w:val="0"/>
      <w:marBottom w:val="0"/>
      <w:divBdr>
        <w:top w:val="none" w:sz="0" w:space="0" w:color="auto"/>
        <w:left w:val="none" w:sz="0" w:space="0" w:color="auto"/>
        <w:bottom w:val="none" w:sz="0" w:space="0" w:color="auto"/>
        <w:right w:val="none" w:sz="0" w:space="0" w:color="auto"/>
      </w:divBdr>
    </w:div>
    <w:div w:id="1013727030">
      <w:bodyDiv w:val="1"/>
      <w:marLeft w:val="0"/>
      <w:marRight w:val="0"/>
      <w:marTop w:val="0"/>
      <w:marBottom w:val="0"/>
      <w:divBdr>
        <w:top w:val="none" w:sz="0" w:space="0" w:color="auto"/>
        <w:left w:val="none" w:sz="0" w:space="0" w:color="auto"/>
        <w:bottom w:val="none" w:sz="0" w:space="0" w:color="auto"/>
        <w:right w:val="none" w:sz="0" w:space="0" w:color="auto"/>
      </w:divBdr>
    </w:div>
    <w:div w:id="12456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ila54@hotmail.com" TargetMode="External"/><Relationship Id="rId13" Type="http://schemas.openxmlformats.org/officeDocument/2006/relationships/image" Target="media/image4.png"/><Relationship Id="rId18" Type="http://schemas.openxmlformats.org/officeDocument/2006/relationships/hyperlink" Target="http://redie.uabc.mx/redie/article/view/234/7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redalyc.org/pdf/274/27404314.pdf" TargetMode="External"/><Relationship Id="rId2" Type="http://schemas.openxmlformats.org/officeDocument/2006/relationships/numbering" Target="numbering.xml"/><Relationship Id="rId16" Type="http://schemas.openxmlformats.org/officeDocument/2006/relationships/hyperlink" Target="http://www.monografias.com/trabajos92/modelo-competencias/modelo-competencia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b.edu/cubac/sites/default/files/la_evaluacion_por_competencias_en_la_educacion_superior_0.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upvv.clavijero.edu.mx/cursos/ObservacionPracticaIII/vector2/tarea6/documentos/Zabala_Arnua.pdf" TargetMode="External"/><Relationship Id="rId4" Type="http://schemas.openxmlformats.org/officeDocument/2006/relationships/settings" Target="settings.xml"/><Relationship Id="rId9" Type="http://schemas.openxmlformats.org/officeDocument/2006/relationships/hyperlink" Target="mailto:luciodiaz@uagro.mx" TargetMode="External"/><Relationship Id="rId14" Type="http://schemas.openxmlformats.org/officeDocument/2006/relationships/hyperlink" Target="http://www.ugr.es/~recfpro/rev123COL1.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2C465A-B2E5-4F63-964A-579DE728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4449</Words>
  <Characters>24474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FRANCISCO</cp:lastModifiedBy>
  <cp:revision>6</cp:revision>
  <cp:lastPrinted>2016-02-17T15:52:00Z</cp:lastPrinted>
  <dcterms:created xsi:type="dcterms:W3CDTF">2016-04-25T02:29:00Z</dcterms:created>
  <dcterms:modified xsi:type="dcterms:W3CDTF">2017-03-22T21:57:00Z</dcterms:modified>
</cp:coreProperties>
</file>