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D435" w14:textId="13C23406" w:rsidR="005E0AC3" w:rsidRPr="00707021" w:rsidRDefault="00707021" w:rsidP="005E0AC3">
      <w:pPr>
        <w:autoSpaceDE w:val="0"/>
        <w:autoSpaceDN w:val="0"/>
        <w:adjustRightInd w:val="0"/>
        <w:spacing w:before="240" w:after="240" w:line="360" w:lineRule="auto"/>
        <w:jc w:val="right"/>
        <w:rPr>
          <w:b/>
          <w:bCs/>
          <w:i/>
          <w:iCs/>
        </w:rPr>
      </w:pPr>
      <w:bookmarkStart w:id="0" w:name="OLE_LINK3"/>
      <w:bookmarkStart w:id="1" w:name="OLE_LINK4"/>
      <w:r w:rsidRPr="00707021">
        <w:rPr>
          <w:b/>
          <w:bCs/>
          <w:i/>
          <w:iCs/>
        </w:rPr>
        <w:t>https://doi.org/10.23913/ride.v13i26.1378</w:t>
      </w:r>
    </w:p>
    <w:p w14:paraId="737A0725" w14:textId="4E5FDB19" w:rsidR="005E0AC3" w:rsidRPr="00433DD5" w:rsidRDefault="005E0AC3" w:rsidP="005E0AC3">
      <w:pPr>
        <w:autoSpaceDE w:val="0"/>
        <w:autoSpaceDN w:val="0"/>
        <w:adjustRightInd w:val="0"/>
        <w:spacing w:before="240" w:after="240" w:line="360" w:lineRule="auto"/>
        <w:jc w:val="right"/>
        <w:rPr>
          <w:b/>
          <w:bCs/>
          <w:sz w:val="32"/>
          <w:szCs w:val="32"/>
          <w:lang w:val="es-ES_tradnl"/>
        </w:rPr>
      </w:pPr>
      <w:r w:rsidRPr="00433DD5">
        <w:rPr>
          <w:b/>
          <w:bCs/>
          <w:i/>
          <w:iCs/>
        </w:rPr>
        <w:t>Artículos científicos</w:t>
      </w:r>
    </w:p>
    <w:p w14:paraId="4E647521" w14:textId="71EEDBFA" w:rsidR="00F364E4" w:rsidRPr="00433DD5" w:rsidRDefault="00693A56" w:rsidP="005E0AC3">
      <w:pPr>
        <w:autoSpaceDE w:val="0"/>
        <w:autoSpaceDN w:val="0"/>
        <w:adjustRightInd w:val="0"/>
        <w:spacing w:line="276" w:lineRule="auto"/>
        <w:jc w:val="right"/>
        <w:rPr>
          <w:rFonts w:ascii="Calibri" w:hAnsi="Calibri" w:cs="Calibri"/>
          <w:b/>
          <w:color w:val="000000"/>
          <w:sz w:val="32"/>
          <w:szCs w:val="32"/>
          <w:lang w:eastAsia="es-MX"/>
        </w:rPr>
      </w:pPr>
      <w:r w:rsidRPr="00433DD5">
        <w:rPr>
          <w:rFonts w:ascii="Calibri" w:hAnsi="Calibri" w:cs="Calibri"/>
          <w:b/>
          <w:color w:val="000000"/>
          <w:sz w:val="32"/>
          <w:szCs w:val="32"/>
          <w:lang w:eastAsia="es-MX"/>
        </w:rPr>
        <w:t>Perspectivas de f</w:t>
      </w:r>
      <w:r w:rsidR="00C95F39" w:rsidRPr="00433DD5">
        <w:rPr>
          <w:rFonts w:ascii="Calibri" w:hAnsi="Calibri" w:cs="Calibri"/>
          <w:b/>
          <w:color w:val="000000"/>
          <w:sz w:val="32"/>
          <w:szCs w:val="32"/>
          <w:lang w:eastAsia="es-MX"/>
        </w:rPr>
        <w:t xml:space="preserve">inanciamiento </w:t>
      </w:r>
      <w:r w:rsidR="00C25C16" w:rsidRPr="00433DD5">
        <w:rPr>
          <w:rFonts w:ascii="Calibri" w:hAnsi="Calibri" w:cs="Calibri"/>
          <w:b/>
          <w:color w:val="000000"/>
          <w:sz w:val="32"/>
          <w:szCs w:val="32"/>
          <w:lang w:eastAsia="es-MX"/>
        </w:rPr>
        <w:t xml:space="preserve">externo en las </w:t>
      </w:r>
      <w:r w:rsidR="001A0378" w:rsidRPr="00433DD5">
        <w:rPr>
          <w:rFonts w:ascii="Calibri" w:hAnsi="Calibri" w:cs="Calibri"/>
          <w:b/>
          <w:color w:val="000000"/>
          <w:sz w:val="32"/>
          <w:szCs w:val="32"/>
          <w:lang w:eastAsia="es-MX"/>
        </w:rPr>
        <w:t>u</w:t>
      </w:r>
      <w:r w:rsidR="00C25C16" w:rsidRPr="00433DD5">
        <w:rPr>
          <w:rFonts w:ascii="Calibri" w:hAnsi="Calibri" w:cs="Calibri"/>
          <w:b/>
          <w:color w:val="000000"/>
          <w:sz w:val="32"/>
          <w:szCs w:val="32"/>
          <w:lang w:eastAsia="es-MX"/>
        </w:rPr>
        <w:t>niversidades</w:t>
      </w:r>
      <w:r w:rsidR="001A0378" w:rsidRPr="00433DD5">
        <w:rPr>
          <w:rFonts w:ascii="Calibri" w:hAnsi="Calibri" w:cs="Calibri"/>
          <w:b/>
          <w:color w:val="000000"/>
          <w:sz w:val="32"/>
          <w:szCs w:val="32"/>
          <w:lang w:eastAsia="es-MX"/>
        </w:rPr>
        <w:t>:</w:t>
      </w:r>
      <w:r w:rsidR="00103A8F" w:rsidRPr="00433DD5">
        <w:rPr>
          <w:rFonts w:ascii="Calibri" w:hAnsi="Calibri" w:cs="Calibri"/>
          <w:b/>
          <w:color w:val="000000"/>
          <w:sz w:val="32"/>
          <w:szCs w:val="32"/>
          <w:lang w:eastAsia="es-MX"/>
        </w:rPr>
        <w:t xml:space="preserve"> </w:t>
      </w:r>
      <w:r w:rsidR="00C25C16" w:rsidRPr="00433DD5">
        <w:rPr>
          <w:rFonts w:ascii="Calibri" w:hAnsi="Calibri" w:cs="Calibri"/>
          <w:b/>
          <w:color w:val="000000"/>
          <w:sz w:val="32"/>
          <w:szCs w:val="32"/>
          <w:lang w:eastAsia="es-MX"/>
        </w:rPr>
        <w:t xml:space="preserve">el </w:t>
      </w:r>
      <w:r w:rsidR="00103A8F" w:rsidRPr="00433DD5">
        <w:rPr>
          <w:rFonts w:ascii="Calibri" w:hAnsi="Calibri" w:cs="Calibri"/>
          <w:b/>
          <w:color w:val="000000"/>
          <w:sz w:val="32"/>
          <w:szCs w:val="32"/>
          <w:lang w:eastAsia="es-MX"/>
        </w:rPr>
        <w:t xml:space="preserve">caso del </w:t>
      </w:r>
      <w:proofErr w:type="spellStart"/>
      <w:r w:rsidR="001A0378" w:rsidRPr="00433DD5">
        <w:rPr>
          <w:rFonts w:ascii="Calibri" w:hAnsi="Calibri" w:cs="Calibri"/>
          <w:b/>
          <w:color w:val="000000"/>
          <w:sz w:val="32"/>
          <w:szCs w:val="32"/>
          <w:lang w:eastAsia="es-MX"/>
        </w:rPr>
        <w:t>Profexce</w:t>
      </w:r>
      <w:proofErr w:type="spellEnd"/>
      <w:r w:rsidR="001A0378" w:rsidRPr="00433DD5">
        <w:rPr>
          <w:rFonts w:ascii="Calibri" w:hAnsi="Calibri" w:cs="Calibri"/>
          <w:b/>
          <w:color w:val="000000"/>
          <w:sz w:val="32"/>
          <w:szCs w:val="32"/>
          <w:lang w:eastAsia="es-MX"/>
        </w:rPr>
        <w:t xml:space="preserve"> </w:t>
      </w:r>
      <w:r w:rsidR="00C95F39" w:rsidRPr="00433DD5">
        <w:rPr>
          <w:rFonts w:ascii="Calibri" w:hAnsi="Calibri" w:cs="Calibri"/>
          <w:b/>
          <w:color w:val="000000"/>
          <w:sz w:val="32"/>
          <w:szCs w:val="32"/>
          <w:lang w:eastAsia="es-MX"/>
        </w:rPr>
        <w:t xml:space="preserve">en la Universidad </w:t>
      </w:r>
      <w:r w:rsidR="00430071" w:rsidRPr="00433DD5">
        <w:rPr>
          <w:rFonts w:ascii="Calibri" w:hAnsi="Calibri" w:cs="Calibri"/>
          <w:b/>
          <w:color w:val="000000"/>
          <w:sz w:val="32"/>
          <w:szCs w:val="32"/>
          <w:lang w:eastAsia="es-MX"/>
        </w:rPr>
        <w:t>Veracruzana</w:t>
      </w:r>
    </w:p>
    <w:p w14:paraId="1872CBFF" w14:textId="1685CA5E" w:rsidR="00874813" w:rsidRPr="00433DD5" w:rsidRDefault="005E0AC3" w:rsidP="005E0AC3">
      <w:pPr>
        <w:autoSpaceDE w:val="0"/>
        <w:autoSpaceDN w:val="0"/>
        <w:adjustRightInd w:val="0"/>
        <w:spacing w:line="276" w:lineRule="auto"/>
        <w:jc w:val="right"/>
        <w:rPr>
          <w:rFonts w:ascii="Calibri" w:hAnsi="Calibri" w:cs="Calibri"/>
          <w:b/>
          <w:i/>
          <w:iCs/>
          <w:color w:val="000000"/>
          <w:sz w:val="28"/>
          <w:szCs w:val="28"/>
          <w:lang w:val="en-US" w:eastAsia="es-MX"/>
        </w:rPr>
      </w:pPr>
      <w:r w:rsidRPr="00707021">
        <w:rPr>
          <w:rFonts w:ascii="Calibri" w:hAnsi="Calibri" w:cs="Calibri"/>
          <w:b/>
          <w:i/>
          <w:iCs/>
          <w:color w:val="000000"/>
          <w:sz w:val="28"/>
          <w:szCs w:val="28"/>
          <w:lang w:val="en-US" w:eastAsia="es-MX"/>
        </w:rPr>
        <w:br/>
      </w:r>
      <w:r w:rsidR="00874813" w:rsidRPr="00433DD5">
        <w:rPr>
          <w:rFonts w:ascii="Calibri" w:hAnsi="Calibri" w:cs="Calibri"/>
          <w:b/>
          <w:i/>
          <w:iCs/>
          <w:color w:val="000000"/>
          <w:sz w:val="28"/>
          <w:szCs w:val="28"/>
          <w:lang w:val="en-US" w:eastAsia="es-MX"/>
        </w:rPr>
        <w:t xml:space="preserve">Perspectives of the </w:t>
      </w:r>
      <w:r w:rsidR="001A0378" w:rsidRPr="00433DD5">
        <w:rPr>
          <w:rFonts w:ascii="Calibri" w:hAnsi="Calibri" w:cs="Calibri"/>
          <w:b/>
          <w:i/>
          <w:iCs/>
          <w:color w:val="000000"/>
          <w:sz w:val="28"/>
          <w:szCs w:val="28"/>
          <w:lang w:val="en-US" w:eastAsia="es-MX"/>
        </w:rPr>
        <w:t>E</w:t>
      </w:r>
      <w:r w:rsidR="00874813" w:rsidRPr="00433DD5">
        <w:rPr>
          <w:rFonts w:ascii="Calibri" w:hAnsi="Calibri" w:cs="Calibri"/>
          <w:b/>
          <w:i/>
          <w:iCs/>
          <w:color w:val="000000"/>
          <w:sz w:val="28"/>
          <w:szCs w:val="28"/>
          <w:lang w:val="en-US" w:eastAsia="es-MX"/>
        </w:rPr>
        <w:t xml:space="preserve">xternal </w:t>
      </w:r>
      <w:r w:rsidR="001A0378" w:rsidRPr="00433DD5">
        <w:rPr>
          <w:rFonts w:ascii="Calibri" w:hAnsi="Calibri" w:cs="Calibri"/>
          <w:b/>
          <w:i/>
          <w:iCs/>
          <w:color w:val="000000"/>
          <w:sz w:val="28"/>
          <w:szCs w:val="28"/>
          <w:lang w:val="en-US" w:eastAsia="es-MX"/>
        </w:rPr>
        <w:t>F</w:t>
      </w:r>
      <w:r w:rsidR="00874813" w:rsidRPr="00433DD5">
        <w:rPr>
          <w:rFonts w:ascii="Calibri" w:hAnsi="Calibri" w:cs="Calibri"/>
          <w:b/>
          <w:i/>
          <w:iCs/>
          <w:color w:val="000000"/>
          <w:sz w:val="28"/>
          <w:szCs w:val="28"/>
          <w:lang w:val="en-US" w:eastAsia="es-MX"/>
        </w:rPr>
        <w:t>inancing in the Universities</w:t>
      </w:r>
      <w:r w:rsidR="001A0378" w:rsidRPr="00433DD5">
        <w:rPr>
          <w:rFonts w:ascii="Calibri" w:hAnsi="Calibri" w:cs="Calibri"/>
          <w:b/>
          <w:i/>
          <w:iCs/>
          <w:color w:val="000000"/>
          <w:sz w:val="28"/>
          <w:szCs w:val="28"/>
          <w:lang w:val="en-US" w:eastAsia="es-MX"/>
        </w:rPr>
        <w:t>:</w:t>
      </w:r>
      <w:r w:rsidR="00874813" w:rsidRPr="00433DD5">
        <w:rPr>
          <w:rFonts w:ascii="Calibri" w:hAnsi="Calibri" w:cs="Calibri"/>
          <w:b/>
          <w:i/>
          <w:iCs/>
          <w:color w:val="000000"/>
          <w:sz w:val="28"/>
          <w:szCs w:val="28"/>
          <w:lang w:val="en-US" w:eastAsia="es-MX"/>
        </w:rPr>
        <w:t xml:space="preserve"> </w:t>
      </w:r>
      <w:r w:rsidR="001A0378" w:rsidRPr="00433DD5">
        <w:rPr>
          <w:rFonts w:ascii="Calibri" w:hAnsi="Calibri" w:cs="Calibri"/>
          <w:b/>
          <w:i/>
          <w:iCs/>
          <w:color w:val="000000"/>
          <w:sz w:val="28"/>
          <w:szCs w:val="28"/>
          <w:lang w:val="en-US" w:eastAsia="es-MX"/>
        </w:rPr>
        <w:t>T</w:t>
      </w:r>
      <w:r w:rsidR="00874813" w:rsidRPr="00433DD5">
        <w:rPr>
          <w:rFonts w:ascii="Calibri" w:hAnsi="Calibri" w:cs="Calibri"/>
          <w:b/>
          <w:i/>
          <w:iCs/>
          <w:color w:val="000000"/>
          <w:sz w:val="28"/>
          <w:szCs w:val="28"/>
          <w:lang w:val="en-US" w:eastAsia="es-MX"/>
        </w:rPr>
        <w:t xml:space="preserve">he </w:t>
      </w:r>
      <w:r w:rsidR="001A0378" w:rsidRPr="00433DD5">
        <w:rPr>
          <w:rFonts w:ascii="Calibri" w:hAnsi="Calibri" w:cs="Calibri"/>
          <w:b/>
          <w:i/>
          <w:iCs/>
          <w:color w:val="000000"/>
          <w:sz w:val="28"/>
          <w:szCs w:val="28"/>
          <w:lang w:val="en-US" w:eastAsia="es-MX"/>
        </w:rPr>
        <w:t>C</w:t>
      </w:r>
      <w:r w:rsidR="00874813" w:rsidRPr="00433DD5">
        <w:rPr>
          <w:rFonts w:ascii="Calibri" w:hAnsi="Calibri" w:cs="Calibri"/>
          <w:b/>
          <w:i/>
          <w:iCs/>
          <w:color w:val="000000"/>
          <w:sz w:val="28"/>
          <w:szCs w:val="28"/>
          <w:lang w:val="en-US" w:eastAsia="es-MX"/>
        </w:rPr>
        <w:t xml:space="preserve">ase of the PROFEXCE in the </w:t>
      </w:r>
      <w:r w:rsidR="000F4E03" w:rsidRPr="00433DD5">
        <w:rPr>
          <w:rFonts w:ascii="Calibri" w:hAnsi="Calibri" w:cs="Calibri"/>
          <w:b/>
          <w:i/>
          <w:iCs/>
          <w:color w:val="000000"/>
          <w:sz w:val="28"/>
          <w:szCs w:val="28"/>
          <w:lang w:val="en-US" w:eastAsia="es-MX"/>
        </w:rPr>
        <w:t xml:space="preserve">Universidad </w:t>
      </w:r>
      <w:proofErr w:type="spellStart"/>
      <w:r w:rsidR="000F4E03" w:rsidRPr="00433DD5">
        <w:rPr>
          <w:rFonts w:ascii="Calibri" w:hAnsi="Calibri" w:cs="Calibri"/>
          <w:b/>
          <w:i/>
          <w:iCs/>
          <w:color w:val="000000"/>
          <w:sz w:val="28"/>
          <w:szCs w:val="28"/>
          <w:lang w:val="en-US" w:eastAsia="es-MX"/>
        </w:rPr>
        <w:t>Veracruzana</w:t>
      </w:r>
      <w:proofErr w:type="spellEnd"/>
    </w:p>
    <w:p w14:paraId="386B4C28" w14:textId="25B14720" w:rsidR="005E0AC3" w:rsidRPr="00433DD5" w:rsidRDefault="005E0AC3" w:rsidP="005E0AC3">
      <w:pPr>
        <w:autoSpaceDE w:val="0"/>
        <w:autoSpaceDN w:val="0"/>
        <w:adjustRightInd w:val="0"/>
        <w:spacing w:line="276" w:lineRule="auto"/>
        <w:jc w:val="right"/>
        <w:rPr>
          <w:rFonts w:ascii="Calibri" w:hAnsi="Calibri" w:cs="Calibri"/>
          <w:b/>
          <w:i/>
          <w:iCs/>
          <w:color w:val="000000"/>
          <w:sz w:val="28"/>
          <w:szCs w:val="28"/>
          <w:lang w:eastAsia="es-MX"/>
        </w:rPr>
      </w:pPr>
      <w:r w:rsidRPr="00707021">
        <w:rPr>
          <w:rFonts w:ascii="Calibri" w:hAnsi="Calibri" w:cs="Calibri"/>
          <w:b/>
          <w:i/>
          <w:iCs/>
          <w:color w:val="000000"/>
          <w:sz w:val="28"/>
          <w:szCs w:val="28"/>
          <w:lang w:eastAsia="es-MX"/>
        </w:rPr>
        <w:br/>
      </w:r>
      <w:r w:rsidRPr="00433DD5">
        <w:rPr>
          <w:rFonts w:ascii="Calibri" w:hAnsi="Calibri" w:cs="Calibri"/>
          <w:b/>
          <w:i/>
          <w:iCs/>
          <w:color w:val="000000"/>
          <w:sz w:val="28"/>
          <w:szCs w:val="28"/>
          <w:lang w:eastAsia="es-MX"/>
        </w:rPr>
        <w:t xml:space="preserve">Perspectivas de </w:t>
      </w:r>
      <w:proofErr w:type="spellStart"/>
      <w:r w:rsidRPr="00433DD5">
        <w:rPr>
          <w:rFonts w:ascii="Calibri" w:hAnsi="Calibri" w:cs="Calibri"/>
          <w:b/>
          <w:i/>
          <w:iCs/>
          <w:color w:val="000000"/>
          <w:sz w:val="28"/>
          <w:szCs w:val="28"/>
          <w:lang w:eastAsia="es-MX"/>
        </w:rPr>
        <w:t>financiamento</w:t>
      </w:r>
      <w:proofErr w:type="spellEnd"/>
      <w:r w:rsidRPr="00433DD5">
        <w:rPr>
          <w:rFonts w:ascii="Calibri" w:hAnsi="Calibri" w:cs="Calibri"/>
          <w:b/>
          <w:i/>
          <w:iCs/>
          <w:color w:val="000000"/>
          <w:sz w:val="28"/>
          <w:szCs w:val="28"/>
          <w:lang w:eastAsia="es-MX"/>
        </w:rPr>
        <w:t xml:space="preserve"> externo em universidades: o caso da </w:t>
      </w:r>
      <w:proofErr w:type="spellStart"/>
      <w:r w:rsidRPr="00433DD5">
        <w:rPr>
          <w:rFonts w:ascii="Calibri" w:hAnsi="Calibri" w:cs="Calibri"/>
          <w:b/>
          <w:i/>
          <w:iCs/>
          <w:color w:val="000000"/>
          <w:sz w:val="28"/>
          <w:szCs w:val="28"/>
          <w:lang w:eastAsia="es-MX"/>
        </w:rPr>
        <w:t>Profexce</w:t>
      </w:r>
      <w:proofErr w:type="spellEnd"/>
      <w:r w:rsidRPr="00433DD5">
        <w:rPr>
          <w:rFonts w:ascii="Calibri" w:hAnsi="Calibri" w:cs="Calibri"/>
          <w:b/>
          <w:i/>
          <w:iCs/>
          <w:color w:val="000000"/>
          <w:sz w:val="28"/>
          <w:szCs w:val="28"/>
          <w:lang w:eastAsia="es-MX"/>
        </w:rPr>
        <w:t xml:space="preserve"> </w:t>
      </w:r>
      <w:proofErr w:type="spellStart"/>
      <w:r w:rsidRPr="00433DD5">
        <w:rPr>
          <w:rFonts w:ascii="Calibri" w:hAnsi="Calibri" w:cs="Calibri"/>
          <w:b/>
          <w:i/>
          <w:iCs/>
          <w:color w:val="000000"/>
          <w:sz w:val="28"/>
          <w:szCs w:val="28"/>
          <w:lang w:eastAsia="es-MX"/>
        </w:rPr>
        <w:t>na</w:t>
      </w:r>
      <w:proofErr w:type="spellEnd"/>
      <w:r w:rsidRPr="00433DD5">
        <w:rPr>
          <w:rFonts w:ascii="Calibri" w:hAnsi="Calibri" w:cs="Calibri"/>
          <w:b/>
          <w:i/>
          <w:iCs/>
          <w:color w:val="000000"/>
          <w:sz w:val="28"/>
          <w:szCs w:val="28"/>
          <w:lang w:eastAsia="es-MX"/>
        </w:rPr>
        <w:t xml:space="preserve"> Universidad Veracruzana</w:t>
      </w:r>
    </w:p>
    <w:p w14:paraId="418D3686" w14:textId="77777777" w:rsidR="001A0378" w:rsidRPr="00433DD5" w:rsidRDefault="001A0378" w:rsidP="001A0378">
      <w:pPr>
        <w:autoSpaceDE w:val="0"/>
        <w:autoSpaceDN w:val="0"/>
        <w:adjustRightInd w:val="0"/>
        <w:spacing w:line="360" w:lineRule="auto"/>
        <w:rPr>
          <w:i/>
          <w:sz w:val="28"/>
          <w:szCs w:val="28"/>
        </w:rPr>
      </w:pPr>
    </w:p>
    <w:p w14:paraId="4388A398" w14:textId="3CE95AD7" w:rsidR="001A0378" w:rsidRPr="00433DD5" w:rsidRDefault="00F364E4" w:rsidP="005E0AC3">
      <w:pPr>
        <w:autoSpaceDE w:val="0"/>
        <w:autoSpaceDN w:val="0"/>
        <w:adjustRightInd w:val="0"/>
        <w:spacing w:line="276" w:lineRule="auto"/>
        <w:jc w:val="right"/>
        <w:rPr>
          <w:rFonts w:asciiTheme="minorHAnsi" w:hAnsiTheme="minorHAnsi" w:cstheme="minorHAnsi"/>
          <w:b/>
          <w:lang w:val="es-ES_tradnl"/>
        </w:rPr>
      </w:pPr>
      <w:r w:rsidRPr="00433DD5">
        <w:rPr>
          <w:rFonts w:asciiTheme="minorHAnsi" w:hAnsiTheme="minorHAnsi" w:cstheme="minorHAnsi"/>
          <w:b/>
          <w:lang w:val="es-ES_tradnl"/>
        </w:rPr>
        <w:t>Rodolfo Viveros Contreras</w:t>
      </w:r>
    </w:p>
    <w:p w14:paraId="11C1E959" w14:textId="77777777" w:rsidR="005E0AC3" w:rsidRPr="00433DD5" w:rsidRDefault="005E0AC3" w:rsidP="005E0AC3">
      <w:pPr>
        <w:autoSpaceDE w:val="0"/>
        <w:autoSpaceDN w:val="0"/>
        <w:adjustRightInd w:val="0"/>
        <w:spacing w:line="276" w:lineRule="auto"/>
        <w:jc w:val="right"/>
        <w:rPr>
          <w:rFonts w:asciiTheme="majorBidi" w:hAnsiTheme="majorBidi" w:cstheme="majorBidi"/>
        </w:rPr>
      </w:pPr>
      <w:r w:rsidRPr="00433DD5">
        <w:rPr>
          <w:rFonts w:asciiTheme="majorBidi" w:hAnsiTheme="majorBidi" w:cstheme="majorBidi"/>
        </w:rPr>
        <w:t>Universidad Veracruzana, México</w:t>
      </w:r>
    </w:p>
    <w:p w14:paraId="7E76BB5E" w14:textId="6C9D0003" w:rsidR="005E0AC3" w:rsidRPr="00433DD5" w:rsidRDefault="00C8286A" w:rsidP="005E0AC3">
      <w:pPr>
        <w:autoSpaceDE w:val="0"/>
        <w:autoSpaceDN w:val="0"/>
        <w:adjustRightInd w:val="0"/>
        <w:spacing w:line="276" w:lineRule="auto"/>
        <w:jc w:val="right"/>
        <w:rPr>
          <w:rFonts w:asciiTheme="minorHAnsi" w:hAnsiTheme="minorHAnsi" w:cstheme="minorHAnsi"/>
          <w:color w:val="FF0000"/>
        </w:rPr>
      </w:pPr>
      <w:r w:rsidRPr="00433DD5">
        <w:rPr>
          <w:rFonts w:asciiTheme="minorHAnsi" w:hAnsiTheme="minorHAnsi" w:cstheme="minorHAnsi"/>
          <w:color w:val="FF0000"/>
        </w:rPr>
        <w:t>rviveros@uv.mx</w:t>
      </w:r>
    </w:p>
    <w:p w14:paraId="2AE18B6A" w14:textId="6C32FAD5" w:rsidR="00C8286A" w:rsidRPr="00433DD5" w:rsidRDefault="00C8286A" w:rsidP="005E0AC3">
      <w:pPr>
        <w:autoSpaceDE w:val="0"/>
        <w:autoSpaceDN w:val="0"/>
        <w:adjustRightInd w:val="0"/>
        <w:spacing w:line="276" w:lineRule="auto"/>
        <w:jc w:val="right"/>
        <w:rPr>
          <w:rFonts w:asciiTheme="majorBidi" w:hAnsiTheme="majorBidi" w:cstheme="majorBidi"/>
        </w:rPr>
      </w:pPr>
      <w:r w:rsidRPr="00433DD5">
        <w:rPr>
          <w:rFonts w:asciiTheme="majorBidi" w:hAnsiTheme="majorBidi" w:cstheme="majorBidi"/>
        </w:rPr>
        <w:t>https://orcid.org/0000-0003-1723-3110</w:t>
      </w:r>
    </w:p>
    <w:p w14:paraId="430FD9EF" w14:textId="77777777" w:rsidR="00430071" w:rsidRPr="00433DD5" w:rsidRDefault="00430071" w:rsidP="001A0378">
      <w:pPr>
        <w:autoSpaceDE w:val="0"/>
        <w:autoSpaceDN w:val="0"/>
        <w:adjustRightInd w:val="0"/>
        <w:spacing w:line="360" w:lineRule="auto"/>
        <w:rPr>
          <w:lang w:val="es-ES_tradnl"/>
        </w:rPr>
      </w:pPr>
    </w:p>
    <w:p w14:paraId="672B19CA" w14:textId="3DF7677E" w:rsidR="0086175A" w:rsidRPr="00433DD5" w:rsidRDefault="00B917C1" w:rsidP="001A0378">
      <w:pPr>
        <w:autoSpaceDE w:val="0"/>
        <w:autoSpaceDN w:val="0"/>
        <w:adjustRightInd w:val="0"/>
        <w:spacing w:line="360" w:lineRule="auto"/>
        <w:rPr>
          <w:rFonts w:asciiTheme="minorHAnsi" w:hAnsiTheme="minorHAnsi" w:cstheme="minorHAnsi"/>
          <w:b/>
          <w:sz w:val="28"/>
          <w:szCs w:val="28"/>
          <w:lang w:val="es-ES_tradnl"/>
        </w:rPr>
      </w:pPr>
      <w:r w:rsidRPr="00433DD5">
        <w:rPr>
          <w:rFonts w:asciiTheme="minorHAnsi" w:hAnsiTheme="minorHAnsi" w:cstheme="minorHAnsi"/>
          <w:b/>
          <w:sz w:val="28"/>
          <w:szCs w:val="28"/>
          <w:lang w:val="es-ES_tradnl"/>
        </w:rPr>
        <w:t>R</w:t>
      </w:r>
      <w:r w:rsidR="0047435D" w:rsidRPr="00433DD5">
        <w:rPr>
          <w:rFonts w:asciiTheme="minorHAnsi" w:hAnsiTheme="minorHAnsi" w:cstheme="minorHAnsi"/>
          <w:b/>
          <w:sz w:val="28"/>
          <w:szCs w:val="28"/>
          <w:lang w:val="es-ES_tradnl"/>
        </w:rPr>
        <w:t>esumen</w:t>
      </w:r>
    </w:p>
    <w:p w14:paraId="19F09D94" w14:textId="685671ED" w:rsidR="00137160" w:rsidRPr="00433DD5" w:rsidRDefault="00A615F2" w:rsidP="001A0378">
      <w:pPr>
        <w:autoSpaceDE w:val="0"/>
        <w:autoSpaceDN w:val="0"/>
        <w:adjustRightInd w:val="0"/>
        <w:spacing w:line="360" w:lineRule="auto"/>
        <w:jc w:val="both"/>
        <w:rPr>
          <w:lang w:val="es-ES_tradnl"/>
        </w:rPr>
      </w:pPr>
      <w:r w:rsidRPr="00433DD5">
        <w:rPr>
          <w:lang w:val="es-ES_tradnl"/>
        </w:rPr>
        <w:t>E</w:t>
      </w:r>
      <w:r w:rsidR="00381D27" w:rsidRPr="00433DD5">
        <w:rPr>
          <w:lang w:val="es-ES_tradnl"/>
        </w:rPr>
        <w:t xml:space="preserve">l </w:t>
      </w:r>
      <w:r w:rsidR="00F364E4" w:rsidRPr="00433DD5">
        <w:rPr>
          <w:lang w:val="es-ES_tradnl"/>
        </w:rPr>
        <w:t>Programa de Fortalecimiento a la</w:t>
      </w:r>
      <w:r w:rsidR="00D00773" w:rsidRPr="00433DD5">
        <w:rPr>
          <w:lang w:val="es-ES_tradnl"/>
        </w:rPr>
        <w:t xml:space="preserve"> Excelencia</w:t>
      </w:r>
      <w:r w:rsidR="00137160" w:rsidRPr="00433DD5">
        <w:rPr>
          <w:lang w:val="es-ES_tradnl"/>
        </w:rPr>
        <w:t xml:space="preserve"> </w:t>
      </w:r>
      <w:r w:rsidR="00F364E4" w:rsidRPr="00433DD5">
        <w:rPr>
          <w:lang w:val="es-ES_tradnl"/>
        </w:rPr>
        <w:t xml:space="preserve">Educativa </w:t>
      </w:r>
      <w:r w:rsidR="00E03A09" w:rsidRPr="00433DD5">
        <w:rPr>
          <w:lang w:val="es-ES_tradnl"/>
        </w:rPr>
        <w:t>(</w:t>
      </w:r>
      <w:proofErr w:type="spellStart"/>
      <w:r w:rsidR="001A0378" w:rsidRPr="00433DD5">
        <w:rPr>
          <w:lang w:val="es-ES_tradnl"/>
        </w:rPr>
        <w:t>Profexce</w:t>
      </w:r>
      <w:proofErr w:type="spellEnd"/>
      <w:r w:rsidR="00E03A09" w:rsidRPr="00433DD5">
        <w:rPr>
          <w:lang w:val="es-ES_tradnl"/>
        </w:rPr>
        <w:t>)</w:t>
      </w:r>
      <w:r w:rsidR="00430071" w:rsidRPr="00433DD5">
        <w:rPr>
          <w:lang w:val="es-ES_tradnl"/>
        </w:rPr>
        <w:t xml:space="preserve"> </w:t>
      </w:r>
      <w:r w:rsidR="000807C6" w:rsidRPr="00433DD5">
        <w:rPr>
          <w:lang w:val="es-ES_tradnl"/>
        </w:rPr>
        <w:t xml:space="preserve">ha </w:t>
      </w:r>
      <w:r w:rsidR="00137160" w:rsidRPr="00433DD5">
        <w:rPr>
          <w:lang w:val="es-ES_tradnl"/>
        </w:rPr>
        <w:t>constitu</w:t>
      </w:r>
      <w:r w:rsidR="000807C6" w:rsidRPr="00433DD5">
        <w:rPr>
          <w:lang w:val="es-ES_tradnl"/>
        </w:rPr>
        <w:t>ido</w:t>
      </w:r>
      <w:r w:rsidR="00137160" w:rsidRPr="00433DD5">
        <w:rPr>
          <w:lang w:val="es-ES_tradnl"/>
        </w:rPr>
        <w:t xml:space="preserve"> un medio estratégico con </w:t>
      </w:r>
      <w:r w:rsidR="00F364E4" w:rsidRPr="00433DD5">
        <w:rPr>
          <w:lang w:val="es-ES_tradnl"/>
        </w:rPr>
        <w:t xml:space="preserve">el </w:t>
      </w:r>
      <w:r w:rsidR="00137160" w:rsidRPr="00433DD5">
        <w:rPr>
          <w:lang w:val="es-ES_tradnl"/>
        </w:rPr>
        <w:t>que cuenta la Subse</w:t>
      </w:r>
      <w:r w:rsidR="00C95F39" w:rsidRPr="00433DD5">
        <w:rPr>
          <w:lang w:val="es-ES_tradnl"/>
        </w:rPr>
        <w:t xml:space="preserve">cretaría de Educación Superior </w:t>
      </w:r>
      <w:r w:rsidR="00DE4668" w:rsidRPr="00433DD5">
        <w:rPr>
          <w:lang w:val="es-ES_tradnl"/>
        </w:rPr>
        <w:t>(SES)</w:t>
      </w:r>
      <w:r w:rsidR="00F364E4" w:rsidRPr="00433DD5">
        <w:rPr>
          <w:lang w:val="es-ES_tradnl"/>
        </w:rPr>
        <w:t xml:space="preserve"> para </w:t>
      </w:r>
      <w:r w:rsidR="00137160" w:rsidRPr="00433DD5">
        <w:rPr>
          <w:lang w:val="es-ES_tradnl"/>
        </w:rPr>
        <w:t>otorgar</w:t>
      </w:r>
      <w:r w:rsidR="00753DC6" w:rsidRPr="00433DD5">
        <w:rPr>
          <w:lang w:val="es-ES_tradnl"/>
        </w:rPr>
        <w:t xml:space="preserve"> </w:t>
      </w:r>
      <w:r w:rsidR="00137160" w:rsidRPr="00433DD5">
        <w:rPr>
          <w:lang w:val="es-ES_tradnl"/>
        </w:rPr>
        <w:t>recursos financieros extraordinarios</w:t>
      </w:r>
      <w:r w:rsidR="00381D27" w:rsidRPr="00433DD5">
        <w:rPr>
          <w:lang w:val="es-ES_tradnl"/>
        </w:rPr>
        <w:t xml:space="preserve"> a las </w:t>
      </w:r>
      <w:r w:rsidRPr="00433DD5">
        <w:rPr>
          <w:lang w:val="es-ES_tradnl"/>
        </w:rPr>
        <w:t xml:space="preserve">instituciones de educación superior </w:t>
      </w:r>
      <w:r w:rsidR="00A06665" w:rsidRPr="00433DD5">
        <w:rPr>
          <w:lang w:val="es-ES_tradnl"/>
        </w:rPr>
        <w:t>(IES)</w:t>
      </w:r>
      <w:r w:rsidR="00451524" w:rsidRPr="00433DD5">
        <w:rPr>
          <w:lang w:val="es-ES_tradnl"/>
        </w:rPr>
        <w:t>. El programa</w:t>
      </w:r>
      <w:r w:rsidR="00137160" w:rsidRPr="00433DD5">
        <w:rPr>
          <w:lang w:val="es-ES_tradnl"/>
        </w:rPr>
        <w:t xml:space="preserve"> </w:t>
      </w:r>
      <w:r w:rsidR="008538F1" w:rsidRPr="00433DD5">
        <w:rPr>
          <w:lang w:val="es-ES_tradnl"/>
        </w:rPr>
        <w:t>está orientado</w:t>
      </w:r>
      <w:r w:rsidR="00137160" w:rsidRPr="00433DD5">
        <w:rPr>
          <w:lang w:val="es-ES_tradnl"/>
        </w:rPr>
        <w:t xml:space="preserve"> </w:t>
      </w:r>
      <w:r w:rsidR="000A45A0" w:rsidRPr="00433DD5">
        <w:rPr>
          <w:lang w:val="es-ES_tradnl"/>
        </w:rPr>
        <w:t xml:space="preserve">básicamente </w:t>
      </w:r>
      <w:r w:rsidR="00EA14CF" w:rsidRPr="00433DD5">
        <w:rPr>
          <w:lang w:val="es-ES_tradnl"/>
        </w:rPr>
        <w:t xml:space="preserve">a </w:t>
      </w:r>
      <w:r w:rsidR="000A45A0" w:rsidRPr="00433DD5">
        <w:rPr>
          <w:lang w:val="es-ES_tradnl"/>
        </w:rPr>
        <w:t xml:space="preserve">la </w:t>
      </w:r>
      <w:r w:rsidR="00137160" w:rsidRPr="00433DD5">
        <w:rPr>
          <w:lang w:val="es-ES_tradnl"/>
        </w:rPr>
        <w:t>mejora integral de la calidad de la oferta</w:t>
      </w:r>
      <w:r w:rsidR="00753DC6" w:rsidRPr="00433DD5">
        <w:rPr>
          <w:lang w:val="es-ES_tradnl"/>
        </w:rPr>
        <w:t xml:space="preserve"> </w:t>
      </w:r>
      <w:r w:rsidR="00137160" w:rsidRPr="00433DD5">
        <w:rPr>
          <w:lang w:val="es-ES_tradnl"/>
        </w:rPr>
        <w:t>educativa y servicios</w:t>
      </w:r>
      <w:r w:rsidR="000807C6" w:rsidRPr="00433DD5">
        <w:rPr>
          <w:lang w:val="es-ES_tradnl"/>
        </w:rPr>
        <w:t>.</w:t>
      </w:r>
      <w:r w:rsidR="006E2B5D" w:rsidRPr="00433DD5">
        <w:rPr>
          <w:lang w:val="es-ES_tradnl"/>
        </w:rPr>
        <w:t xml:space="preserve"> Dicho programa asigna los recursos a las universidades dependiendo </w:t>
      </w:r>
      <w:r w:rsidR="001D71A6" w:rsidRPr="00433DD5">
        <w:rPr>
          <w:lang w:val="es-ES_tradnl"/>
        </w:rPr>
        <w:t xml:space="preserve">de </w:t>
      </w:r>
      <w:r w:rsidR="006E2B5D" w:rsidRPr="00433DD5">
        <w:rPr>
          <w:lang w:val="es-ES_tradnl"/>
        </w:rPr>
        <w:t>los puntajes obtenidos en la evaluación</w:t>
      </w:r>
      <w:r w:rsidR="001D71A6" w:rsidRPr="00433DD5">
        <w:rPr>
          <w:lang w:val="es-ES_tradnl"/>
        </w:rPr>
        <w:t xml:space="preserve"> externa.</w:t>
      </w:r>
      <w:r w:rsidR="001A0378" w:rsidRPr="00433DD5">
        <w:rPr>
          <w:lang w:val="es-ES_tradnl"/>
        </w:rPr>
        <w:t xml:space="preserve"> </w:t>
      </w:r>
      <w:r w:rsidR="003247FC" w:rsidRPr="00433DD5">
        <w:rPr>
          <w:lang w:val="es-ES_tradnl"/>
        </w:rPr>
        <w:t xml:space="preserve">En esta investigación </w:t>
      </w:r>
      <w:r w:rsidR="00B61FF9" w:rsidRPr="00433DD5">
        <w:rPr>
          <w:lang w:val="es-ES_tradnl"/>
        </w:rPr>
        <w:t xml:space="preserve">de carácter cualitativo </w:t>
      </w:r>
      <w:r w:rsidR="00137160" w:rsidRPr="00433DD5">
        <w:rPr>
          <w:lang w:val="es-ES_tradnl"/>
        </w:rPr>
        <w:t xml:space="preserve">se </w:t>
      </w:r>
      <w:r w:rsidR="00D61939" w:rsidRPr="00433DD5">
        <w:rPr>
          <w:lang w:val="es-ES_tradnl"/>
        </w:rPr>
        <w:t>analiz</w:t>
      </w:r>
      <w:r w:rsidR="00FC713F" w:rsidRPr="00433DD5">
        <w:rPr>
          <w:lang w:val="es-ES_tradnl"/>
        </w:rPr>
        <w:t>ó</w:t>
      </w:r>
      <w:r w:rsidR="00137160" w:rsidRPr="00433DD5">
        <w:rPr>
          <w:lang w:val="es-ES_tradnl"/>
        </w:rPr>
        <w:t xml:space="preserve"> </w:t>
      </w:r>
      <w:r w:rsidR="00C50279" w:rsidRPr="00433DD5">
        <w:rPr>
          <w:lang w:val="es-ES_tradnl"/>
        </w:rPr>
        <w:t>el funcionamiento d</w:t>
      </w:r>
      <w:r w:rsidR="003247FC" w:rsidRPr="00433DD5">
        <w:rPr>
          <w:lang w:val="es-ES_tradnl"/>
        </w:rPr>
        <w:t xml:space="preserve">el </w:t>
      </w:r>
      <w:proofErr w:type="spellStart"/>
      <w:r w:rsidR="001A0378" w:rsidRPr="00433DD5">
        <w:rPr>
          <w:lang w:val="es-ES_tradnl"/>
        </w:rPr>
        <w:t>Profexce</w:t>
      </w:r>
      <w:proofErr w:type="spellEnd"/>
      <w:r w:rsidR="002A7ABD" w:rsidRPr="00433DD5">
        <w:rPr>
          <w:lang w:val="es-ES_tradnl"/>
        </w:rPr>
        <w:t xml:space="preserve">, </w:t>
      </w:r>
      <w:r w:rsidR="00455AA0" w:rsidRPr="00433DD5">
        <w:rPr>
          <w:lang w:val="es-ES_tradnl"/>
        </w:rPr>
        <w:t xml:space="preserve">específicamente </w:t>
      </w:r>
      <w:r w:rsidR="00497212" w:rsidRPr="00433DD5">
        <w:rPr>
          <w:lang w:val="es-ES_tradnl"/>
        </w:rPr>
        <w:t xml:space="preserve">la </w:t>
      </w:r>
      <w:r w:rsidR="000A366D" w:rsidRPr="00433DD5">
        <w:rPr>
          <w:lang w:val="es-ES_tradnl"/>
        </w:rPr>
        <w:t xml:space="preserve">forma </w:t>
      </w:r>
      <w:r w:rsidR="00DE4668" w:rsidRPr="00433DD5">
        <w:rPr>
          <w:lang w:val="es-ES_tradnl"/>
        </w:rPr>
        <w:t>e</w:t>
      </w:r>
      <w:r w:rsidR="00497212" w:rsidRPr="00433DD5">
        <w:rPr>
          <w:lang w:val="es-ES_tradnl"/>
        </w:rPr>
        <w:t>n</w:t>
      </w:r>
      <w:r w:rsidR="000A366D" w:rsidRPr="00433DD5">
        <w:rPr>
          <w:lang w:val="es-ES_tradnl"/>
        </w:rPr>
        <w:t xml:space="preserve"> que es evaluado por los comités de pares evaluadores de la</w:t>
      </w:r>
      <w:r w:rsidR="00DE4668" w:rsidRPr="00433DD5">
        <w:rPr>
          <w:lang w:val="es-ES_tradnl"/>
        </w:rPr>
        <w:t xml:space="preserve"> SES</w:t>
      </w:r>
      <w:r w:rsidR="00455AA0" w:rsidRPr="00433DD5">
        <w:rPr>
          <w:lang w:val="es-ES_tradnl"/>
        </w:rPr>
        <w:t>, con el fin de</w:t>
      </w:r>
      <w:r w:rsidR="00981E1C" w:rsidRPr="00433DD5">
        <w:rPr>
          <w:lang w:val="es-ES_tradnl"/>
        </w:rPr>
        <w:t xml:space="preserve"> identificar</w:t>
      </w:r>
      <w:r w:rsidR="000A366D" w:rsidRPr="00433DD5">
        <w:rPr>
          <w:lang w:val="es-ES_tradnl"/>
        </w:rPr>
        <w:t xml:space="preserve"> la </w:t>
      </w:r>
      <w:r w:rsidR="00DE4668" w:rsidRPr="00433DD5">
        <w:rPr>
          <w:lang w:val="es-ES_tradnl"/>
        </w:rPr>
        <w:t xml:space="preserve">correspondencia de dicha evaluación con la </w:t>
      </w:r>
      <w:r w:rsidR="000A366D" w:rsidRPr="00433DD5">
        <w:rPr>
          <w:lang w:val="es-ES_tradnl"/>
        </w:rPr>
        <w:t xml:space="preserve">asignación </w:t>
      </w:r>
      <w:r w:rsidR="00DE4668" w:rsidRPr="00433DD5">
        <w:rPr>
          <w:lang w:val="es-ES_tradnl"/>
        </w:rPr>
        <w:t>de los recursos</w:t>
      </w:r>
      <w:r w:rsidR="006E2B5D" w:rsidRPr="00433DD5">
        <w:rPr>
          <w:lang w:val="es-ES_tradnl"/>
        </w:rPr>
        <w:t xml:space="preserve">. </w:t>
      </w:r>
      <w:r w:rsidR="00DE4668" w:rsidRPr="00433DD5">
        <w:rPr>
          <w:lang w:val="es-ES_tradnl"/>
        </w:rPr>
        <w:t>Para ello</w:t>
      </w:r>
      <w:r w:rsidR="003A1D12" w:rsidRPr="00433DD5">
        <w:rPr>
          <w:lang w:val="es-ES_tradnl"/>
        </w:rPr>
        <w:t>,</w:t>
      </w:r>
      <w:r w:rsidR="00DE4668" w:rsidRPr="00433DD5">
        <w:rPr>
          <w:lang w:val="es-ES_tradnl"/>
        </w:rPr>
        <w:t xml:space="preserve"> se realizó un estudio de caso </w:t>
      </w:r>
      <w:r w:rsidR="005404F8" w:rsidRPr="00433DD5">
        <w:rPr>
          <w:lang w:val="es-ES_tradnl"/>
        </w:rPr>
        <w:t>a través de</w:t>
      </w:r>
      <w:r w:rsidR="004B29B8" w:rsidRPr="00433DD5">
        <w:rPr>
          <w:lang w:val="es-ES_tradnl"/>
        </w:rPr>
        <w:t>l</w:t>
      </w:r>
      <w:r w:rsidR="005404F8" w:rsidRPr="00433DD5">
        <w:rPr>
          <w:lang w:val="es-ES_tradnl"/>
        </w:rPr>
        <w:t xml:space="preserve"> análisis de contenido de</w:t>
      </w:r>
      <w:r w:rsidR="00DE4668" w:rsidRPr="00433DD5">
        <w:rPr>
          <w:lang w:val="es-ES_tradnl"/>
        </w:rPr>
        <w:t xml:space="preserve"> tres dependencias pertenecientes al</w:t>
      </w:r>
      <w:r w:rsidR="00693A56" w:rsidRPr="00433DD5">
        <w:rPr>
          <w:lang w:val="es-ES_tradnl"/>
        </w:rPr>
        <w:t xml:space="preserve"> Á</w:t>
      </w:r>
      <w:r w:rsidR="00C53BE2" w:rsidRPr="00433DD5">
        <w:rPr>
          <w:lang w:val="es-ES_tradnl"/>
        </w:rPr>
        <w:t>rea</w:t>
      </w:r>
      <w:r w:rsidR="00693A56" w:rsidRPr="00433DD5">
        <w:rPr>
          <w:lang w:val="es-ES_tradnl"/>
        </w:rPr>
        <w:t xml:space="preserve"> Académica </w:t>
      </w:r>
      <w:r w:rsidR="00C53BE2" w:rsidRPr="00433DD5">
        <w:rPr>
          <w:lang w:val="es-ES_tradnl"/>
        </w:rPr>
        <w:t>de Ciencias Biológicas y</w:t>
      </w:r>
      <w:r w:rsidR="00137160" w:rsidRPr="00433DD5">
        <w:rPr>
          <w:lang w:val="es-ES_tradnl"/>
        </w:rPr>
        <w:t xml:space="preserve"> Agropecuaria</w:t>
      </w:r>
      <w:r w:rsidR="00932FA6" w:rsidRPr="00433DD5">
        <w:rPr>
          <w:lang w:val="es-ES_tradnl"/>
        </w:rPr>
        <w:t>s</w:t>
      </w:r>
      <w:r w:rsidR="00137160" w:rsidRPr="00433DD5">
        <w:rPr>
          <w:lang w:val="es-ES_tradnl"/>
        </w:rPr>
        <w:t xml:space="preserve"> de la</w:t>
      </w:r>
      <w:r w:rsidR="00C53BE2" w:rsidRPr="00433DD5">
        <w:rPr>
          <w:lang w:val="es-ES_tradnl"/>
        </w:rPr>
        <w:t xml:space="preserve"> </w:t>
      </w:r>
      <w:r w:rsidR="00137160" w:rsidRPr="00433DD5">
        <w:rPr>
          <w:lang w:val="es-ES_tradnl"/>
        </w:rPr>
        <w:t>Universidad Veracruzana</w:t>
      </w:r>
      <w:r w:rsidR="00A801CB" w:rsidRPr="00433DD5">
        <w:rPr>
          <w:lang w:val="es-ES_tradnl"/>
        </w:rPr>
        <w:t xml:space="preserve"> (UV)</w:t>
      </w:r>
      <w:r w:rsidR="009C02B7" w:rsidRPr="00433DD5">
        <w:rPr>
          <w:lang w:val="es-ES_tradnl"/>
        </w:rPr>
        <w:t>.</w:t>
      </w:r>
      <w:r w:rsidR="00DE4668" w:rsidRPr="00433DD5">
        <w:rPr>
          <w:lang w:val="es-ES_tradnl"/>
        </w:rPr>
        <w:t xml:space="preserve"> </w:t>
      </w:r>
      <w:r w:rsidR="009C02B7" w:rsidRPr="00433DD5">
        <w:rPr>
          <w:lang w:val="es-ES_tradnl"/>
        </w:rPr>
        <w:t xml:space="preserve">Se </w:t>
      </w:r>
      <w:r w:rsidR="00D81EE7" w:rsidRPr="00433DD5">
        <w:rPr>
          <w:lang w:val="es-ES_tradnl"/>
        </w:rPr>
        <w:t>revisó</w:t>
      </w:r>
      <w:r w:rsidR="00CE61E6" w:rsidRPr="00433DD5">
        <w:rPr>
          <w:lang w:val="es-ES_tradnl"/>
        </w:rPr>
        <w:t xml:space="preserve"> </w:t>
      </w:r>
      <w:r w:rsidR="008538F1" w:rsidRPr="00433DD5">
        <w:rPr>
          <w:lang w:val="es-ES_tradnl"/>
        </w:rPr>
        <w:t>cómo ha sido</w:t>
      </w:r>
      <w:r w:rsidR="00107531" w:rsidRPr="00433DD5">
        <w:rPr>
          <w:lang w:val="es-ES_tradnl"/>
        </w:rPr>
        <w:t xml:space="preserve"> la </w:t>
      </w:r>
      <w:r w:rsidR="00E609D2" w:rsidRPr="00433DD5">
        <w:rPr>
          <w:lang w:val="es-ES_tradnl"/>
        </w:rPr>
        <w:t xml:space="preserve">evaluación y la correspondiente </w:t>
      </w:r>
      <w:r w:rsidR="00107531" w:rsidRPr="00433DD5">
        <w:rPr>
          <w:lang w:val="es-ES_tradnl"/>
        </w:rPr>
        <w:t xml:space="preserve">distribución de recursos en los últimos tres </w:t>
      </w:r>
      <w:r w:rsidR="00D61939" w:rsidRPr="00433DD5">
        <w:rPr>
          <w:lang w:val="es-ES_tradnl"/>
        </w:rPr>
        <w:t xml:space="preserve">bienios </w:t>
      </w:r>
      <w:r w:rsidR="00107531" w:rsidRPr="00433DD5">
        <w:rPr>
          <w:lang w:val="es-ES_tradnl"/>
        </w:rPr>
        <w:t>en que ha operado el programa (</w:t>
      </w:r>
      <w:r w:rsidR="00D61939" w:rsidRPr="00433DD5">
        <w:rPr>
          <w:lang w:val="es-ES_tradnl"/>
        </w:rPr>
        <w:t>2016-</w:t>
      </w:r>
      <w:r w:rsidR="00107531" w:rsidRPr="00433DD5">
        <w:rPr>
          <w:lang w:val="es-ES_tradnl"/>
        </w:rPr>
        <w:t>201</w:t>
      </w:r>
      <w:r w:rsidR="00D61939" w:rsidRPr="00433DD5">
        <w:rPr>
          <w:lang w:val="es-ES_tradnl"/>
        </w:rPr>
        <w:t>7</w:t>
      </w:r>
      <w:r w:rsidR="00107531" w:rsidRPr="00433DD5">
        <w:rPr>
          <w:lang w:val="es-ES_tradnl"/>
        </w:rPr>
        <w:t xml:space="preserve">, </w:t>
      </w:r>
      <w:r w:rsidR="00D61939" w:rsidRPr="00433DD5">
        <w:rPr>
          <w:lang w:val="es-ES_tradnl"/>
        </w:rPr>
        <w:t>2018-</w:t>
      </w:r>
      <w:r w:rsidR="00107531" w:rsidRPr="00433DD5">
        <w:rPr>
          <w:lang w:val="es-ES_tradnl"/>
        </w:rPr>
        <w:t>2019, 2020</w:t>
      </w:r>
      <w:r w:rsidR="00D61939" w:rsidRPr="00433DD5">
        <w:rPr>
          <w:lang w:val="es-ES_tradnl"/>
        </w:rPr>
        <w:t>-2021</w:t>
      </w:r>
      <w:r w:rsidR="009C02B7" w:rsidRPr="00433DD5">
        <w:rPr>
          <w:lang w:val="es-ES_tradnl"/>
        </w:rPr>
        <w:t xml:space="preserve">). A </w:t>
      </w:r>
      <w:r w:rsidR="00227F16" w:rsidRPr="00433DD5">
        <w:rPr>
          <w:lang w:val="es-ES_tradnl"/>
        </w:rPr>
        <w:t xml:space="preserve">partir de ahí se generaron reflexiones en torno a los retos que enfrentan las universidades </w:t>
      </w:r>
      <w:r w:rsidR="0042511A" w:rsidRPr="00433DD5">
        <w:rPr>
          <w:lang w:val="es-ES_tradnl"/>
        </w:rPr>
        <w:lastRenderedPageBreak/>
        <w:t xml:space="preserve">para mejorar su calidad </w:t>
      </w:r>
      <w:r w:rsidR="00227F16" w:rsidRPr="00433DD5">
        <w:rPr>
          <w:lang w:val="es-ES_tradnl"/>
        </w:rPr>
        <w:t xml:space="preserve">con una participación financiera federal cada vez más escasa. </w:t>
      </w:r>
      <w:r w:rsidR="00747C34" w:rsidRPr="00433DD5">
        <w:rPr>
          <w:lang w:val="es-ES_tradnl"/>
        </w:rPr>
        <w:t xml:space="preserve">Aquí </w:t>
      </w:r>
      <w:r w:rsidR="006346C9" w:rsidRPr="00433DD5">
        <w:rPr>
          <w:lang w:val="es-ES_tradnl"/>
        </w:rPr>
        <w:t xml:space="preserve">se muestra </w:t>
      </w:r>
      <w:r w:rsidR="00747C34" w:rsidRPr="00433DD5">
        <w:rPr>
          <w:lang w:val="es-ES_tradnl"/>
        </w:rPr>
        <w:t xml:space="preserve">cómo la asignación de presupuesto no necesariamente obedece </w:t>
      </w:r>
      <w:r w:rsidR="003A1D12" w:rsidRPr="00433DD5">
        <w:rPr>
          <w:lang w:val="es-ES_tradnl"/>
        </w:rPr>
        <w:t xml:space="preserve">a la formulación apropiada de los proyectos y </w:t>
      </w:r>
      <w:r w:rsidR="00747C34" w:rsidRPr="00433DD5">
        <w:rPr>
          <w:lang w:val="es-ES_tradnl"/>
        </w:rPr>
        <w:t xml:space="preserve">al incremento de los principales indicadores de </w:t>
      </w:r>
      <w:r w:rsidR="00CF785C" w:rsidRPr="00433DD5">
        <w:rPr>
          <w:lang w:val="es-ES_tradnl"/>
        </w:rPr>
        <w:t>calidad</w:t>
      </w:r>
      <w:r w:rsidR="00FD0C95" w:rsidRPr="00433DD5">
        <w:rPr>
          <w:lang w:val="es-ES_tradnl"/>
        </w:rPr>
        <w:t xml:space="preserve"> de</w:t>
      </w:r>
      <w:r w:rsidR="00CF785C" w:rsidRPr="00433DD5">
        <w:rPr>
          <w:lang w:val="es-ES_tradnl"/>
        </w:rPr>
        <w:t xml:space="preserve"> </w:t>
      </w:r>
      <w:r w:rsidR="00747C34" w:rsidRPr="00433DD5">
        <w:rPr>
          <w:lang w:val="es-ES_tradnl"/>
        </w:rPr>
        <w:t xml:space="preserve">las </w:t>
      </w:r>
      <w:r w:rsidR="009C02B7" w:rsidRPr="00433DD5">
        <w:rPr>
          <w:lang w:val="es-ES_tradnl"/>
        </w:rPr>
        <w:t>universidades</w:t>
      </w:r>
      <w:r w:rsidR="00CA5E00" w:rsidRPr="00433DD5">
        <w:rPr>
          <w:lang w:val="es-ES_tradnl"/>
        </w:rPr>
        <w:t>,</w:t>
      </w:r>
      <w:r w:rsidR="00747C34" w:rsidRPr="00433DD5">
        <w:rPr>
          <w:lang w:val="es-ES_tradnl"/>
        </w:rPr>
        <w:t xml:space="preserve"> sino que </w:t>
      </w:r>
      <w:r w:rsidR="00FD0C95" w:rsidRPr="00433DD5">
        <w:rPr>
          <w:lang w:val="es-ES_tradnl"/>
        </w:rPr>
        <w:t>predominan</w:t>
      </w:r>
      <w:r w:rsidR="00747C34" w:rsidRPr="00433DD5">
        <w:rPr>
          <w:lang w:val="es-ES_tradnl"/>
        </w:rPr>
        <w:t xml:space="preserve"> criterios </w:t>
      </w:r>
      <w:r w:rsidR="00CF785C" w:rsidRPr="00433DD5">
        <w:rPr>
          <w:lang w:val="es-ES_tradnl"/>
        </w:rPr>
        <w:t>mayormente ligados a la disposición de</w:t>
      </w:r>
      <w:r w:rsidR="0032353E" w:rsidRPr="00433DD5">
        <w:rPr>
          <w:lang w:val="es-ES_tradnl"/>
        </w:rPr>
        <w:t>l</w:t>
      </w:r>
      <w:r w:rsidR="00CF785C" w:rsidRPr="00433DD5">
        <w:rPr>
          <w:lang w:val="es-ES_tradnl"/>
        </w:rPr>
        <w:t xml:space="preserve"> presupuesto y a factores ajenos a la evaluación </w:t>
      </w:r>
      <w:r w:rsidR="0055492C" w:rsidRPr="00433DD5">
        <w:rPr>
          <w:lang w:val="es-ES_tradnl"/>
        </w:rPr>
        <w:t xml:space="preserve">que </w:t>
      </w:r>
      <w:r w:rsidR="00FD0C95" w:rsidRPr="00433DD5">
        <w:rPr>
          <w:lang w:val="es-ES_tradnl"/>
        </w:rPr>
        <w:t>de</w:t>
      </w:r>
      <w:r w:rsidR="002B0C17" w:rsidRPr="00433DD5">
        <w:rPr>
          <w:lang w:val="es-ES_tradnl"/>
        </w:rPr>
        <w:t>terminan</w:t>
      </w:r>
      <w:r w:rsidR="00FD0C95" w:rsidRPr="00433DD5">
        <w:rPr>
          <w:lang w:val="es-ES_tradnl"/>
        </w:rPr>
        <w:t xml:space="preserve"> el monto asignado. </w:t>
      </w:r>
    </w:p>
    <w:p w14:paraId="4B26BE88" w14:textId="56F99185" w:rsidR="001A0378" w:rsidRPr="00433DD5" w:rsidRDefault="001A0378" w:rsidP="001A0378">
      <w:pPr>
        <w:autoSpaceDE w:val="0"/>
        <w:autoSpaceDN w:val="0"/>
        <w:adjustRightInd w:val="0"/>
        <w:spacing w:line="360" w:lineRule="auto"/>
        <w:jc w:val="both"/>
        <w:rPr>
          <w:bCs/>
          <w:lang w:val="es-ES_tradnl"/>
        </w:rPr>
      </w:pPr>
      <w:r w:rsidRPr="00433DD5">
        <w:rPr>
          <w:rFonts w:asciiTheme="minorHAnsi" w:hAnsiTheme="minorHAnsi" w:cstheme="minorHAnsi"/>
          <w:b/>
          <w:sz w:val="28"/>
          <w:szCs w:val="28"/>
          <w:lang w:val="es-ES_tradnl"/>
        </w:rPr>
        <w:t>Palabras clave:</w:t>
      </w:r>
      <w:r w:rsidRPr="00433DD5">
        <w:rPr>
          <w:b/>
          <w:sz w:val="22"/>
          <w:szCs w:val="22"/>
          <w:lang w:val="es-ES_tradnl"/>
        </w:rPr>
        <w:t xml:space="preserve"> </w:t>
      </w:r>
      <w:r w:rsidRPr="00433DD5">
        <w:rPr>
          <w:bCs/>
          <w:lang w:val="es-ES_tradnl"/>
        </w:rPr>
        <w:t xml:space="preserve">calidad educativa, evaluación, educación superior, gestión, </w:t>
      </w:r>
      <w:r w:rsidR="00CF4992" w:rsidRPr="00433DD5">
        <w:rPr>
          <w:bCs/>
          <w:lang w:val="es-ES_tradnl"/>
        </w:rPr>
        <w:t>recursos financieros,</w:t>
      </w:r>
      <w:r w:rsidR="00CF4992" w:rsidRPr="00433DD5" w:rsidDel="00CF4992">
        <w:rPr>
          <w:bCs/>
          <w:lang w:val="es-ES_tradnl"/>
        </w:rPr>
        <w:t xml:space="preserve"> </w:t>
      </w:r>
      <w:r w:rsidRPr="00433DD5">
        <w:rPr>
          <w:bCs/>
          <w:lang w:val="es-ES_tradnl"/>
        </w:rPr>
        <w:t xml:space="preserve">transparencia, </w:t>
      </w:r>
      <w:r w:rsidR="00CF4992" w:rsidRPr="00433DD5">
        <w:rPr>
          <w:bCs/>
          <w:lang w:val="es-ES_tradnl"/>
        </w:rPr>
        <w:t>universidades públicas</w:t>
      </w:r>
      <w:r w:rsidRPr="00433DD5">
        <w:rPr>
          <w:bCs/>
          <w:lang w:val="es-ES_tradnl"/>
        </w:rPr>
        <w:t>.</w:t>
      </w:r>
    </w:p>
    <w:p w14:paraId="7FC77EAE" w14:textId="77777777" w:rsidR="001A0378" w:rsidRPr="00433DD5" w:rsidRDefault="001A0378" w:rsidP="001A0378">
      <w:pPr>
        <w:autoSpaceDE w:val="0"/>
        <w:autoSpaceDN w:val="0"/>
        <w:adjustRightInd w:val="0"/>
        <w:spacing w:line="360" w:lineRule="auto"/>
        <w:jc w:val="both"/>
        <w:rPr>
          <w:b/>
          <w:lang w:val="es-ES_tradnl"/>
        </w:rPr>
      </w:pPr>
    </w:p>
    <w:p w14:paraId="146377A9" w14:textId="550C8EFC" w:rsidR="00861B26" w:rsidRPr="00433DD5" w:rsidRDefault="00861B26" w:rsidP="001A0378">
      <w:pPr>
        <w:autoSpaceDE w:val="0"/>
        <w:autoSpaceDN w:val="0"/>
        <w:adjustRightInd w:val="0"/>
        <w:spacing w:line="360" w:lineRule="auto"/>
        <w:rPr>
          <w:rFonts w:asciiTheme="minorHAnsi" w:hAnsiTheme="minorHAnsi" w:cstheme="minorHAnsi"/>
          <w:b/>
          <w:sz w:val="28"/>
          <w:szCs w:val="28"/>
          <w:lang w:val="en-US"/>
        </w:rPr>
      </w:pPr>
      <w:r w:rsidRPr="00433DD5">
        <w:rPr>
          <w:rFonts w:asciiTheme="minorHAnsi" w:hAnsiTheme="minorHAnsi" w:cstheme="minorHAnsi"/>
          <w:b/>
          <w:sz w:val="28"/>
          <w:szCs w:val="28"/>
          <w:lang w:val="en-US"/>
        </w:rPr>
        <w:t>A</w:t>
      </w:r>
      <w:r w:rsidR="0047435D" w:rsidRPr="00433DD5">
        <w:rPr>
          <w:rFonts w:asciiTheme="minorHAnsi" w:hAnsiTheme="minorHAnsi" w:cstheme="minorHAnsi"/>
          <w:b/>
          <w:sz w:val="28"/>
          <w:szCs w:val="28"/>
          <w:lang w:val="en-US"/>
        </w:rPr>
        <w:t xml:space="preserve">bstract </w:t>
      </w:r>
    </w:p>
    <w:p w14:paraId="02C3F830" w14:textId="372B088C" w:rsidR="00861B26" w:rsidRPr="00433DD5" w:rsidRDefault="005E7B11" w:rsidP="001A0378">
      <w:pPr>
        <w:autoSpaceDE w:val="0"/>
        <w:autoSpaceDN w:val="0"/>
        <w:adjustRightInd w:val="0"/>
        <w:spacing w:line="360" w:lineRule="auto"/>
        <w:jc w:val="both"/>
        <w:rPr>
          <w:lang w:val="en-US"/>
        </w:rPr>
      </w:pPr>
      <w:r w:rsidRPr="00433DD5">
        <w:rPr>
          <w:lang w:val="en-US"/>
        </w:rPr>
        <w:t>The Educational Quality Strengthening Program (</w:t>
      </w:r>
      <w:proofErr w:type="spellStart"/>
      <w:r w:rsidR="001A0378" w:rsidRPr="00433DD5">
        <w:rPr>
          <w:lang w:val="en-US"/>
        </w:rPr>
        <w:t>Profexce</w:t>
      </w:r>
      <w:proofErr w:type="spellEnd"/>
      <w:r w:rsidR="00296266" w:rsidRPr="00433DD5">
        <w:rPr>
          <w:lang w:val="en-US"/>
        </w:rPr>
        <w:t>, for its initials in Spanish</w:t>
      </w:r>
      <w:r w:rsidRPr="00433DD5">
        <w:rPr>
          <w:lang w:val="en-US"/>
        </w:rPr>
        <w:t xml:space="preserve">) has become a strategic means available to the Undersecretariat for Higher Education (SES, </w:t>
      </w:r>
      <w:r w:rsidR="00296266" w:rsidRPr="00433DD5">
        <w:rPr>
          <w:lang w:val="en-US"/>
        </w:rPr>
        <w:t>for its initials in Spanish</w:t>
      </w:r>
      <w:r w:rsidRPr="00433DD5">
        <w:rPr>
          <w:lang w:val="en-US"/>
        </w:rPr>
        <w:t xml:space="preserve">) to provide extraordinary financial resources. </w:t>
      </w:r>
      <w:r w:rsidR="00CF4992" w:rsidRPr="00433DD5">
        <w:rPr>
          <w:lang w:val="en-US"/>
        </w:rPr>
        <w:t xml:space="preserve">This </w:t>
      </w:r>
      <w:r w:rsidRPr="00433DD5">
        <w:rPr>
          <w:lang w:val="en-US"/>
        </w:rPr>
        <w:t xml:space="preserve">program is oriented </w:t>
      </w:r>
      <w:r w:rsidR="00C50279" w:rsidRPr="00433DD5">
        <w:rPr>
          <w:lang w:val="en-US"/>
        </w:rPr>
        <w:t xml:space="preserve">towards </w:t>
      </w:r>
      <w:r w:rsidRPr="00433DD5">
        <w:rPr>
          <w:lang w:val="en-US"/>
        </w:rPr>
        <w:t>academic goals</w:t>
      </w:r>
      <w:r w:rsidR="00CF4992" w:rsidRPr="00433DD5">
        <w:rPr>
          <w:lang w:val="en-US"/>
        </w:rPr>
        <w:t xml:space="preserve"> and </w:t>
      </w:r>
      <w:r w:rsidR="00B044FB" w:rsidRPr="00433DD5">
        <w:rPr>
          <w:lang w:val="en-US"/>
        </w:rPr>
        <w:t xml:space="preserve">gives resources to the </w:t>
      </w:r>
      <w:r w:rsidR="00CF4992" w:rsidRPr="00433DD5">
        <w:rPr>
          <w:lang w:val="en-US"/>
        </w:rPr>
        <w:t xml:space="preserve">universities </w:t>
      </w:r>
      <w:r w:rsidR="00B044FB" w:rsidRPr="00433DD5">
        <w:rPr>
          <w:lang w:val="en-US"/>
        </w:rPr>
        <w:t xml:space="preserve">according to the score obtained in an extern evaluation. </w:t>
      </w:r>
      <w:r w:rsidRPr="00433DD5">
        <w:rPr>
          <w:lang w:val="en-US"/>
        </w:rPr>
        <w:t xml:space="preserve">With this </w:t>
      </w:r>
      <w:r w:rsidR="00B044FB" w:rsidRPr="00433DD5">
        <w:rPr>
          <w:lang w:val="en-US"/>
        </w:rPr>
        <w:t xml:space="preserve">qualitative </w:t>
      </w:r>
      <w:r w:rsidRPr="00433DD5">
        <w:rPr>
          <w:lang w:val="en-US"/>
        </w:rPr>
        <w:t xml:space="preserve">research it is analyzed the way in which the </w:t>
      </w:r>
      <w:proofErr w:type="spellStart"/>
      <w:r w:rsidR="001A0378" w:rsidRPr="00433DD5">
        <w:rPr>
          <w:lang w:val="en-US"/>
        </w:rPr>
        <w:t>Profexce</w:t>
      </w:r>
      <w:proofErr w:type="spellEnd"/>
      <w:r w:rsidRPr="00433DD5">
        <w:rPr>
          <w:lang w:val="en-US"/>
        </w:rPr>
        <w:t xml:space="preserve"> operates, </w:t>
      </w:r>
      <w:r w:rsidR="00824E89" w:rsidRPr="00433DD5">
        <w:rPr>
          <w:lang w:val="en-US"/>
        </w:rPr>
        <w:t>in specific the way in which it is evaluated by the committees of evaluators of the SES</w:t>
      </w:r>
      <w:r w:rsidR="00CF4992" w:rsidRPr="00433DD5">
        <w:rPr>
          <w:lang w:val="en-US"/>
        </w:rPr>
        <w:t>,</w:t>
      </w:r>
      <w:r w:rsidR="00824E89" w:rsidRPr="00433DD5">
        <w:rPr>
          <w:lang w:val="en-US"/>
        </w:rPr>
        <w:t xml:space="preserve"> </w:t>
      </w:r>
      <w:proofErr w:type="gramStart"/>
      <w:r w:rsidR="00714386" w:rsidRPr="00433DD5">
        <w:rPr>
          <w:lang w:val="en-US"/>
        </w:rPr>
        <w:t xml:space="preserve">in order </w:t>
      </w:r>
      <w:r w:rsidR="00CF4992" w:rsidRPr="00433DD5">
        <w:rPr>
          <w:lang w:val="en-US"/>
        </w:rPr>
        <w:t>to</w:t>
      </w:r>
      <w:proofErr w:type="gramEnd"/>
      <w:r w:rsidR="00CF4992" w:rsidRPr="00433DD5">
        <w:rPr>
          <w:lang w:val="en-US"/>
        </w:rPr>
        <w:t xml:space="preserve"> </w:t>
      </w:r>
      <w:r w:rsidR="00824E89" w:rsidRPr="00433DD5">
        <w:rPr>
          <w:lang w:val="en-US"/>
        </w:rPr>
        <w:t xml:space="preserve">identify the correspondence between that evaluation and the allocation of resources. </w:t>
      </w:r>
      <w:r w:rsidR="008F55E4" w:rsidRPr="00433DD5">
        <w:rPr>
          <w:lang w:val="en-US"/>
        </w:rPr>
        <w:t>For this purpose</w:t>
      </w:r>
      <w:r w:rsidR="004419F5" w:rsidRPr="00433DD5">
        <w:rPr>
          <w:lang w:val="en-US"/>
        </w:rPr>
        <w:t xml:space="preserve">, </w:t>
      </w:r>
      <w:r w:rsidR="0055306A" w:rsidRPr="00433DD5">
        <w:rPr>
          <w:lang w:val="en-US"/>
        </w:rPr>
        <w:t xml:space="preserve">a case of study was realized through a content analysis methodology </w:t>
      </w:r>
      <w:r w:rsidR="000A5898" w:rsidRPr="00433DD5">
        <w:rPr>
          <w:lang w:val="en-US"/>
        </w:rPr>
        <w:t xml:space="preserve">of three dependencies belonging to the Academic Area of Biological and Agricultural Sciences of the Universidad </w:t>
      </w:r>
      <w:proofErr w:type="spellStart"/>
      <w:r w:rsidR="000A5898" w:rsidRPr="00433DD5">
        <w:rPr>
          <w:lang w:val="en-US"/>
        </w:rPr>
        <w:t>Veracruzana</w:t>
      </w:r>
      <w:proofErr w:type="spellEnd"/>
      <w:r w:rsidR="000A5898" w:rsidRPr="00433DD5">
        <w:rPr>
          <w:lang w:val="en-US"/>
        </w:rPr>
        <w:t xml:space="preserve">. </w:t>
      </w:r>
      <w:r w:rsidR="005C7F15" w:rsidRPr="00433DD5">
        <w:rPr>
          <w:lang w:val="en-US"/>
        </w:rPr>
        <w:t xml:space="preserve">It was analyzed how the evaluation and the evolution of the distribution of resources in the last three biennia, in which the program has operated, have been managed (2016-2017, 2018-2019, 2020-2021). These considerations have created new reflections around the challenges that face the universities around the lack of financial participation of the federation. Here it is demonstrated how the assignment of budget doesn’t answer to an appropriate formulation of projects nor the increase of the principal quality indicators of the </w:t>
      </w:r>
      <w:r w:rsidR="005B2D48" w:rsidRPr="00433DD5">
        <w:rPr>
          <w:lang w:val="en-US"/>
        </w:rPr>
        <w:t>Universities</w:t>
      </w:r>
      <w:r w:rsidR="005356E9" w:rsidRPr="00433DD5">
        <w:rPr>
          <w:lang w:val="en-US"/>
        </w:rPr>
        <w:t>,</w:t>
      </w:r>
      <w:r w:rsidR="004B5A11" w:rsidRPr="00433DD5">
        <w:rPr>
          <w:lang w:val="en-US"/>
        </w:rPr>
        <w:t xml:space="preserve"> </w:t>
      </w:r>
      <w:r w:rsidR="005B2D48" w:rsidRPr="00433DD5">
        <w:rPr>
          <w:lang w:val="en-US"/>
        </w:rPr>
        <w:t xml:space="preserve">is more predominant </w:t>
      </w:r>
      <w:r w:rsidR="005356E9" w:rsidRPr="00433DD5">
        <w:rPr>
          <w:lang w:val="en-US"/>
        </w:rPr>
        <w:t xml:space="preserve">a </w:t>
      </w:r>
      <w:proofErr w:type="gramStart"/>
      <w:r w:rsidR="004B5A11" w:rsidRPr="00433DD5">
        <w:rPr>
          <w:lang w:val="en-US"/>
        </w:rPr>
        <w:t>criteria</w:t>
      </w:r>
      <w:proofErr w:type="gramEnd"/>
      <w:r w:rsidR="004B5A11" w:rsidRPr="00433DD5">
        <w:rPr>
          <w:lang w:val="en-US"/>
        </w:rPr>
        <w:t xml:space="preserve"> related to budget disposal</w:t>
      </w:r>
      <w:r w:rsidR="005C7F15" w:rsidRPr="00433DD5">
        <w:rPr>
          <w:lang w:val="en-US"/>
        </w:rPr>
        <w:t xml:space="preserve"> </w:t>
      </w:r>
      <w:r w:rsidR="004B5A11" w:rsidRPr="00433DD5">
        <w:rPr>
          <w:lang w:val="en-US"/>
        </w:rPr>
        <w:t xml:space="preserve">and to factors beyond the evaluation that </w:t>
      </w:r>
      <w:r w:rsidR="00677A6A" w:rsidRPr="00433DD5">
        <w:rPr>
          <w:lang w:val="en-US"/>
        </w:rPr>
        <w:t xml:space="preserve">determine </w:t>
      </w:r>
      <w:r w:rsidR="004B5A11" w:rsidRPr="00433DD5">
        <w:rPr>
          <w:lang w:val="en-US"/>
        </w:rPr>
        <w:t xml:space="preserve">the </w:t>
      </w:r>
      <w:r w:rsidR="005B2D48" w:rsidRPr="00433DD5">
        <w:rPr>
          <w:lang w:val="en-US"/>
        </w:rPr>
        <w:t xml:space="preserve">amount allocated. </w:t>
      </w:r>
    </w:p>
    <w:p w14:paraId="18D786E0" w14:textId="3FC6A617" w:rsidR="009479E4" w:rsidRPr="00433DD5" w:rsidRDefault="009479E4" w:rsidP="001A0378">
      <w:pPr>
        <w:autoSpaceDE w:val="0"/>
        <w:autoSpaceDN w:val="0"/>
        <w:adjustRightInd w:val="0"/>
        <w:spacing w:line="360" w:lineRule="auto"/>
        <w:jc w:val="both"/>
        <w:rPr>
          <w:lang w:val="en-US"/>
        </w:rPr>
      </w:pPr>
      <w:r w:rsidRPr="00433DD5">
        <w:rPr>
          <w:rFonts w:asciiTheme="minorHAnsi" w:hAnsiTheme="minorHAnsi" w:cstheme="minorHAnsi"/>
          <w:b/>
          <w:sz w:val="28"/>
          <w:szCs w:val="28"/>
          <w:lang w:val="en-US"/>
        </w:rPr>
        <w:t>Keywords</w:t>
      </w:r>
      <w:r w:rsidR="002F014E" w:rsidRPr="00433DD5">
        <w:rPr>
          <w:rFonts w:asciiTheme="minorHAnsi" w:hAnsiTheme="minorHAnsi" w:cstheme="minorHAnsi"/>
          <w:b/>
          <w:sz w:val="28"/>
          <w:szCs w:val="28"/>
          <w:lang w:val="en-US"/>
        </w:rPr>
        <w:t>:</w:t>
      </w:r>
      <w:r w:rsidR="002F014E" w:rsidRPr="00433DD5">
        <w:rPr>
          <w:b/>
          <w:sz w:val="22"/>
          <w:szCs w:val="22"/>
          <w:lang w:val="en-US"/>
        </w:rPr>
        <w:t xml:space="preserve"> </w:t>
      </w:r>
      <w:r w:rsidR="00C02CF7" w:rsidRPr="00433DD5">
        <w:rPr>
          <w:bCs/>
          <w:lang w:val="en-US"/>
        </w:rPr>
        <w:t>q</w:t>
      </w:r>
      <w:r w:rsidRPr="00433DD5">
        <w:rPr>
          <w:lang w:val="en-US"/>
        </w:rPr>
        <w:t xml:space="preserve">uality education, </w:t>
      </w:r>
      <w:r w:rsidR="002F014E" w:rsidRPr="00433DD5">
        <w:rPr>
          <w:lang w:val="en-US"/>
        </w:rPr>
        <w:t>e</w:t>
      </w:r>
      <w:r w:rsidRPr="00433DD5">
        <w:rPr>
          <w:lang w:val="en-US"/>
        </w:rPr>
        <w:t xml:space="preserve">valuation, </w:t>
      </w:r>
      <w:r w:rsidR="002F014E" w:rsidRPr="00433DD5">
        <w:rPr>
          <w:lang w:val="en-US"/>
        </w:rPr>
        <w:t>h</w:t>
      </w:r>
      <w:r w:rsidR="0092487F" w:rsidRPr="00433DD5">
        <w:rPr>
          <w:lang w:val="en-US"/>
        </w:rPr>
        <w:t xml:space="preserve">igher education, </w:t>
      </w:r>
      <w:r w:rsidR="002F014E" w:rsidRPr="00433DD5">
        <w:rPr>
          <w:lang w:val="en-US"/>
        </w:rPr>
        <w:t>m</w:t>
      </w:r>
      <w:r w:rsidR="0092487F" w:rsidRPr="00433DD5">
        <w:rPr>
          <w:lang w:val="en-US"/>
        </w:rPr>
        <w:t xml:space="preserve">anagement, </w:t>
      </w:r>
      <w:r w:rsidR="008F55E4" w:rsidRPr="00433DD5">
        <w:rPr>
          <w:lang w:val="en-US"/>
        </w:rPr>
        <w:t xml:space="preserve">financial resources, </w:t>
      </w:r>
      <w:r w:rsidR="002F014E" w:rsidRPr="00433DD5">
        <w:rPr>
          <w:lang w:val="en-US"/>
        </w:rPr>
        <w:t>t</w:t>
      </w:r>
      <w:r w:rsidR="0092487F" w:rsidRPr="00433DD5">
        <w:rPr>
          <w:lang w:val="en-US"/>
        </w:rPr>
        <w:t>ransparency,</w:t>
      </w:r>
      <w:r w:rsidR="008F55E4" w:rsidRPr="00433DD5">
        <w:rPr>
          <w:lang w:val="en-US"/>
        </w:rPr>
        <w:t xml:space="preserve"> public universities</w:t>
      </w:r>
      <w:r w:rsidR="002F014E" w:rsidRPr="00433DD5">
        <w:rPr>
          <w:lang w:val="en-US"/>
        </w:rPr>
        <w:t>.</w:t>
      </w:r>
    </w:p>
    <w:p w14:paraId="42DE8870" w14:textId="58DF4431" w:rsidR="005E0AC3" w:rsidRPr="00433DD5" w:rsidRDefault="005E0AC3" w:rsidP="001A0378">
      <w:pPr>
        <w:autoSpaceDE w:val="0"/>
        <w:autoSpaceDN w:val="0"/>
        <w:adjustRightInd w:val="0"/>
        <w:spacing w:line="360" w:lineRule="auto"/>
        <w:jc w:val="both"/>
        <w:rPr>
          <w:lang w:val="en-US"/>
        </w:rPr>
      </w:pPr>
    </w:p>
    <w:p w14:paraId="0847F65A" w14:textId="4BC29969" w:rsidR="00433DD5" w:rsidRPr="00433DD5" w:rsidRDefault="00433DD5" w:rsidP="001A0378">
      <w:pPr>
        <w:autoSpaceDE w:val="0"/>
        <w:autoSpaceDN w:val="0"/>
        <w:adjustRightInd w:val="0"/>
        <w:spacing w:line="360" w:lineRule="auto"/>
        <w:jc w:val="both"/>
        <w:rPr>
          <w:lang w:val="en-US"/>
        </w:rPr>
      </w:pPr>
    </w:p>
    <w:p w14:paraId="03842C43" w14:textId="77777777" w:rsidR="00433DD5" w:rsidRPr="00433DD5" w:rsidRDefault="00433DD5" w:rsidP="001A0378">
      <w:pPr>
        <w:autoSpaceDE w:val="0"/>
        <w:autoSpaceDN w:val="0"/>
        <w:adjustRightInd w:val="0"/>
        <w:spacing w:line="360" w:lineRule="auto"/>
        <w:jc w:val="both"/>
        <w:rPr>
          <w:lang w:val="en-US"/>
        </w:rPr>
      </w:pPr>
    </w:p>
    <w:p w14:paraId="1C90800C" w14:textId="14EE7AA9" w:rsidR="005E0AC3" w:rsidRPr="00433DD5" w:rsidRDefault="005E0AC3" w:rsidP="001A0378">
      <w:pPr>
        <w:autoSpaceDE w:val="0"/>
        <w:autoSpaceDN w:val="0"/>
        <w:adjustRightInd w:val="0"/>
        <w:spacing w:line="360" w:lineRule="auto"/>
        <w:jc w:val="both"/>
        <w:rPr>
          <w:rFonts w:asciiTheme="minorHAnsi" w:hAnsiTheme="minorHAnsi" w:cstheme="minorHAnsi"/>
          <w:b/>
          <w:sz w:val="28"/>
          <w:szCs w:val="28"/>
        </w:rPr>
      </w:pPr>
      <w:r w:rsidRPr="00433DD5">
        <w:rPr>
          <w:rFonts w:asciiTheme="minorHAnsi" w:hAnsiTheme="minorHAnsi" w:cstheme="minorHAnsi"/>
          <w:b/>
          <w:sz w:val="28"/>
          <w:szCs w:val="28"/>
        </w:rPr>
        <w:lastRenderedPageBreak/>
        <w:t>Resumo</w:t>
      </w:r>
    </w:p>
    <w:p w14:paraId="23A446F7" w14:textId="77777777" w:rsidR="005E0AC3" w:rsidRPr="00433DD5" w:rsidRDefault="005E0AC3" w:rsidP="005E0AC3">
      <w:pPr>
        <w:autoSpaceDE w:val="0"/>
        <w:autoSpaceDN w:val="0"/>
        <w:adjustRightInd w:val="0"/>
        <w:spacing w:line="360" w:lineRule="auto"/>
        <w:jc w:val="both"/>
      </w:pPr>
      <w:r w:rsidRPr="00433DD5">
        <w:t xml:space="preserve">O Programa de </w:t>
      </w:r>
      <w:proofErr w:type="spellStart"/>
      <w:r w:rsidRPr="00433DD5">
        <w:t>Fortalecimento</w:t>
      </w:r>
      <w:proofErr w:type="spellEnd"/>
      <w:r w:rsidRPr="00433DD5">
        <w:t xml:space="preserve"> da </w:t>
      </w:r>
      <w:proofErr w:type="spellStart"/>
      <w:r w:rsidRPr="00433DD5">
        <w:t>Excelência</w:t>
      </w:r>
      <w:proofErr w:type="spellEnd"/>
      <w:r w:rsidRPr="00433DD5">
        <w:t xml:space="preserve"> Educacional (</w:t>
      </w:r>
      <w:proofErr w:type="spellStart"/>
      <w:r w:rsidRPr="00433DD5">
        <w:t>Profexce</w:t>
      </w:r>
      <w:proofErr w:type="spellEnd"/>
      <w:r w:rsidRPr="00433DD5">
        <w:t xml:space="preserve">) </w:t>
      </w:r>
      <w:proofErr w:type="spellStart"/>
      <w:r w:rsidRPr="00433DD5">
        <w:t>tem</w:t>
      </w:r>
      <w:proofErr w:type="spellEnd"/>
      <w:r w:rsidRPr="00433DD5">
        <w:t xml:space="preserve"> </w:t>
      </w:r>
      <w:proofErr w:type="spellStart"/>
      <w:r w:rsidRPr="00433DD5">
        <w:t>constituído</w:t>
      </w:r>
      <w:proofErr w:type="spellEnd"/>
      <w:r w:rsidRPr="00433DD5">
        <w:t xml:space="preserve"> </w:t>
      </w:r>
      <w:proofErr w:type="spellStart"/>
      <w:r w:rsidRPr="00433DD5">
        <w:t>um</w:t>
      </w:r>
      <w:proofErr w:type="spellEnd"/>
      <w:r w:rsidRPr="00433DD5">
        <w:t xml:space="preserve"> </w:t>
      </w:r>
      <w:proofErr w:type="spellStart"/>
      <w:r w:rsidRPr="00433DD5">
        <w:t>meio</w:t>
      </w:r>
      <w:proofErr w:type="spellEnd"/>
      <w:r w:rsidRPr="00433DD5">
        <w:t xml:space="preserve"> estratégico de que a Subsecretaria de </w:t>
      </w:r>
      <w:proofErr w:type="spellStart"/>
      <w:r w:rsidRPr="00433DD5">
        <w:t>Educação</w:t>
      </w:r>
      <w:proofErr w:type="spellEnd"/>
      <w:r w:rsidRPr="00433DD5">
        <w:t xml:space="preserve"> Superior (SES) </w:t>
      </w:r>
      <w:proofErr w:type="spellStart"/>
      <w:r w:rsidRPr="00433DD5">
        <w:t>dispõe</w:t>
      </w:r>
      <w:proofErr w:type="spellEnd"/>
      <w:r w:rsidRPr="00433DD5">
        <w:t xml:space="preserve"> para conceder recursos </w:t>
      </w:r>
      <w:proofErr w:type="spellStart"/>
      <w:r w:rsidRPr="00433DD5">
        <w:t>financeiros</w:t>
      </w:r>
      <w:proofErr w:type="spellEnd"/>
      <w:r w:rsidRPr="00433DD5">
        <w:t xml:space="preserve"> </w:t>
      </w:r>
      <w:proofErr w:type="spellStart"/>
      <w:r w:rsidRPr="00433DD5">
        <w:t>extraordinários</w:t>
      </w:r>
      <w:proofErr w:type="spellEnd"/>
      <w:r w:rsidRPr="00433DD5">
        <w:t xml:space="preserve"> </w:t>
      </w:r>
      <w:proofErr w:type="spellStart"/>
      <w:r w:rsidRPr="00433DD5">
        <w:t>às</w:t>
      </w:r>
      <w:proofErr w:type="spellEnd"/>
      <w:r w:rsidRPr="00433DD5">
        <w:t xml:space="preserve"> </w:t>
      </w:r>
      <w:proofErr w:type="spellStart"/>
      <w:r w:rsidRPr="00433DD5">
        <w:t>instituições</w:t>
      </w:r>
      <w:proofErr w:type="spellEnd"/>
      <w:r w:rsidRPr="00433DD5">
        <w:t xml:space="preserve"> de </w:t>
      </w:r>
      <w:proofErr w:type="spellStart"/>
      <w:r w:rsidRPr="00433DD5">
        <w:t>ensino</w:t>
      </w:r>
      <w:proofErr w:type="spellEnd"/>
      <w:r w:rsidRPr="00433DD5">
        <w:t xml:space="preserve"> superior (IES). O programa está </w:t>
      </w:r>
      <w:proofErr w:type="spellStart"/>
      <w:r w:rsidRPr="00433DD5">
        <w:t>basicamente</w:t>
      </w:r>
      <w:proofErr w:type="spellEnd"/>
      <w:r w:rsidRPr="00433DD5">
        <w:t xml:space="preserve"> orientado para a </w:t>
      </w:r>
      <w:proofErr w:type="spellStart"/>
      <w:r w:rsidRPr="00433DD5">
        <w:t>melhoria</w:t>
      </w:r>
      <w:proofErr w:type="spellEnd"/>
      <w:r w:rsidRPr="00433DD5">
        <w:t xml:space="preserve"> integral da </w:t>
      </w:r>
      <w:proofErr w:type="spellStart"/>
      <w:r w:rsidRPr="00433DD5">
        <w:t>qualidade</w:t>
      </w:r>
      <w:proofErr w:type="spellEnd"/>
      <w:r w:rsidRPr="00433DD5">
        <w:t xml:space="preserve"> da oferta </w:t>
      </w:r>
      <w:proofErr w:type="gramStart"/>
      <w:r w:rsidRPr="00433DD5">
        <w:t>e</w:t>
      </w:r>
      <w:proofErr w:type="gramEnd"/>
      <w:r w:rsidRPr="00433DD5">
        <w:t xml:space="preserve"> dos </w:t>
      </w:r>
      <w:proofErr w:type="spellStart"/>
      <w:r w:rsidRPr="00433DD5">
        <w:t>serviços</w:t>
      </w:r>
      <w:proofErr w:type="spellEnd"/>
      <w:r w:rsidRPr="00433DD5">
        <w:t xml:space="preserve"> educativos. O referido programa destina recursos </w:t>
      </w:r>
      <w:proofErr w:type="spellStart"/>
      <w:r w:rsidRPr="00433DD5">
        <w:t>às</w:t>
      </w:r>
      <w:proofErr w:type="spellEnd"/>
      <w:r w:rsidRPr="00433DD5">
        <w:t xml:space="preserve"> universidades em </w:t>
      </w:r>
      <w:proofErr w:type="spellStart"/>
      <w:r w:rsidRPr="00433DD5">
        <w:t>função</w:t>
      </w:r>
      <w:proofErr w:type="spellEnd"/>
      <w:r w:rsidRPr="00433DD5">
        <w:t xml:space="preserve"> das notas </w:t>
      </w:r>
      <w:proofErr w:type="spellStart"/>
      <w:r w:rsidRPr="00433DD5">
        <w:t>obtidas</w:t>
      </w:r>
      <w:proofErr w:type="spellEnd"/>
      <w:r w:rsidRPr="00433DD5">
        <w:t xml:space="preserve"> </w:t>
      </w:r>
      <w:proofErr w:type="spellStart"/>
      <w:r w:rsidRPr="00433DD5">
        <w:t>na</w:t>
      </w:r>
      <w:proofErr w:type="spellEnd"/>
      <w:r w:rsidRPr="00433DD5">
        <w:t xml:space="preserve"> </w:t>
      </w:r>
      <w:proofErr w:type="spellStart"/>
      <w:r w:rsidRPr="00433DD5">
        <w:t>avaliação</w:t>
      </w:r>
      <w:proofErr w:type="spellEnd"/>
      <w:r w:rsidRPr="00433DD5">
        <w:t xml:space="preserve"> externa. </w:t>
      </w:r>
      <w:proofErr w:type="spellStart"/>
      <w:r w:rsidRPr="00433DD5">
        <w:t>Nesta</w:t>
      </w:r>
      <w:proofErr w:type="spellEnd"/>
      <w:r w:rsidRPr="00433DD5">
        <w:t xml:space="preserve"> pesquisa </w:t>
      </w:r>
      <w:proofErr w:type="spellStart"/>
      <w:r w:rsidRPr="00433DD5">
        <w:t>qualitativa</w:t>
      </w:r>
      <w:proofErr w:type="spellEnd"/>
      <w:r w:rsidRPr="00433DD5">
        <w:t xml:space="preserve">, </w:t>
      </w:r>
      <w:proofErr w:type="spellStart"/>
      <w:r w:rsidRPr="00433DD5">
        <w:t>analisou</w:t>
      </w:r>
      <w:proofErr w:type="spellEnd"/>
      <w:r w:rsidRPr="00433DD5">
        <w:t xml:space="preserve">-se o </w:t>
      </w:r>
      <w:proofErr w:type="spellStart"/>
      <w:r w:rsidRPr="00433DD5">
        <w:t>funcionamento</w:t>
      </w:r>
      <w:proofErr w:type="spellEnd"/>
      <w:r w:rsidRPr="00433DD5">
        <w:t xml:space="preserve"> do </w:t>
      </w:r>
      <w:proofErr w:type="spellStart"/>
      <w:r w:rsidRPr="00433DD5">
        <w:t>Profexce</w:t>
      </w:r>
      <w:proofErr w:type="spellEnd"/>
      <w:r w:rsidRPr="00433DD5">
        <w:t xml:space="preserve">, </w:t>
      </w:r>
      <w:proofErr w:type="spellStart"/>
      <w:r w:rsidRPr="00433DD5">
        <w:t>especificamente</w:t>
      </w:r>
      <w:proofErr w:type="spellEnd"/>
      <w:r w:rsidRPr="00433DD5">
        <w:t xml:space="preserve"> a forma como ele é avaliado pelos </w:t>
      </w:r>
      <w:proofErr w:type="spellStart"/>
      <w:r w:rsidRPr="00433DD5">
        <w:t>comitês</w:t>
      </w:r>
      <w:proofErr w:type="spellEnd"/>
      <w:r w:rsidRPr="00433DD5">
        <w:t xml:space="preserve"> de </w:t>
      </w:r>
      <w:proofErr w:type="spellStart"/>
      <w:r w:rsidRPr="00433DD5">
        <w:t>pareceristas</w:t>
      </w:r>
      <w:proofErr w:type="spellEnd"/>
      <w:r w:rsidRPr="00433DD5">
        <w:t xml:space="preserve"> da SES, a </w:t>
      </w:r>
      <w:proofErr w:type="spellStart"/>
      <w:r w:rsidRPr="00433DD5">
        <w:t>fim</w:t>
      </w:r>
      <w:proofErr w:type="spellEnd"/>
      <w:r w:rsidRPr="00433DD5">
        <w:t xml:space="preserve"> de identificar a </w:t>
      </w:r>
      <w:proofErr w:type="spellStart"/>
      <w:r w:rsidRPr="00433DD5">
        <w:t>correspondência</w:t>
      </w:r>
      <w:proofErr w:type="spellEnd"/>
      <w:r w:rsidRPr="00433DD5">
        <w:t xml:space="preserve"> </w:t>
      </w:r>
      <w:proofErr w:type="spellStart"/>
      <w:r w:rsidRPr="00433DD5">
        <w:t>dessa</w:t>
      </w:r>
      <w:proofErr w:type="spellEnd"/>
      <w:r w:rsidRPr="00433DD5">
        <w:t xml:space="preserve"> </w:t>
      </w:r>
      <w:proofErr w:type="spellStart"/>
      <w:r w:rsidRPr="00433DD5">
        <w:t>avaliação</w:t>
      </w:r>
      <w:proofErr w:type="spellEnd"/>
      <w:r w:rsidRPr="00433DD5">
        <w:t xml:space="preserve"> </w:t>
      </w:r>
      <w:proofErr w:type="spellStart"/>
      <w:r w:rsidRPr="00433DD5">
        <w:t>com</w:t>
      </w:r>
      <w:proofErr w:type="spellEnd"/>
      <w:r w:rsidRPr="00433DD5">
        <w:t xml:space="preserve"> a </w:t>
      </w:r>
      <w:proofErr w:type="spellStart"/>
      <w:r w:rsidRPr="00433DD5">
        <w:t>alocação</w:t>
      </w:r>
      <w:proofErr w:type="spellEnd"/>
      <w:r w:rsidRPr="00433DD5">
        <w:t xml:space="preserve"> de recursos. Para </w:t>
      </w:r>
      <w:proofErr w:type="spellStart"/>
      <w:r w:rsidRPr="00433DD5">
        <w:t>isso</w:t>
      </w:r>
      <w:proofErr w:type="spellEnd"/>
      <w:r w:rsidRPr="00433DD5">
        <w:t xml:space="preserve">, </w:t>
      </w:r>
      <w:proofErr w:type="spellStart"/>
      <w:r w:rsidRPr="00433DD5">
        <w:t>foi</w:t>
      </w:r>
      <w:proofErr w:type="spellEnd"/>
      <w:r w:rsidRPr="00433DD5">
        <w:t xml:space="preserve"> realizado </w:t>
      </w:r>
      <w:proofErr w:type="spellStart"/>
      <w:r w:rsidRPr="00433DD5">
        <w:t>um</w:t>
      </w:r>
      <w:proofErr w:type="spellEnd"/>
      <w:r w:rsidRPr="00433DD5">
        <w:t xml:space="preserve"> </w:t>
      </w:r>
      <w:proofErr w:type="spellStart"/>
      <w:r w:rsidRPr="00433DD5">
        <w:t>estudo</w:t>
      </w:r>
      <w:proofErr w:type="spellEnd"/>
      <w:r w:rsidRPr="00433DD5">
        <w:t xml:space="preserve"> de caso por </w:t>
      </w:r>
      <w:proofErr w:type="spellStart"/>
      <w:r w:rsidRPr="00433DD5">
        <w:t>meio</w:t>
      </w:r>
      <w:proofErr w:type="spellEnd"/>
      <w:r w:rsidRPr="00433DD5">
        <w:t xml:space="preserve"> da </w:t>
      </w:r>
      <w:proofErr w:type="spellStart"/>
      <w:r w:rsidRPr="00433DD5">
        <w:t>análise</w:t>
      </w:r>
      <w:proofErr w:type="spellEnd"/>
      <w:r w:rsidRPr="00433DD5">
        <w:t xml:space="preserve"> de </w:t>
      </w:r>
      <w:proofErr w:type="spellStart"/>
      <w:r w:rsidRPr="00433DD5">
        <w:t>conteúdo</w:t>
      </w:r>
      <w:proofErr w:type="spellEnd"/>
      <w:r w:rsidRPr="00433DD5">
        <w:t xml:space="preserve"> de </w:t>
      </w:r>
      <w:proofErr w:type="spellStart"/>
      <w:r w:rsidRPr="00433DD5">
        <w:t>três</w:t>
      </w:r>
      <w:proofErr w:type="spellEnd"/>
      <w:r w:rsidRPr="00433DD5">
        <w:t xml:space="preserve"> unidades </w:t>
      </w:r>
      <w:proofErr w:type="spellStart"/>
      <w:r w:rsidRPr="00433DD5">
        <w:t>pertencentes</w:t>
      </w:r>
      <w:proofErr w:type="spellEnd"/>
      <w:r w:rsidRPr="00433DD5">
        <w:t xml:space="preserve"> à Área </w:t>
      </w:r>
      <w:proofErr w:type="spellStart"/>
      <w:r w:rsidRPr="00433DD5">
        <w:t>Acadêmica</w:t>
      </w:r>
      <w:proofErr w:type="spellEnd"/>
      <w:r w:rsidRPr="00433DD5">
        <w:t xml:space="preserve"> de </w:t>
      </w:r>
      <w:proofErr w:type="spellStart"/>
      <w:r w:rsidRPr="00433DD5">
        <w:t>Ciências</w:t>
      </w:r>
      <w:proofErr w:type="spellEnd"/>
      <w:r w:rsidRPr="00433DD5">
        <w:t xml:space="preserve"> Biológicas e </w:t>
      </w:r>
      <w:proofErr w:type="spellStart"/>
      <w:r w:rsidRPr="00433DD5">
        <w:t>Agrárias</w:t>
      </w:r>
      <w:proofErr w:type="spellEnd"/>
      <w:r w:rsidRPr="00433DD5">
        <w:t xml:space="preserve"> da Universidad Veracruzana (UV). </w:t>
      </w:r>
      <w:proofErr w:type="spellStart"/>
      <w:r w:rsidRPr="00433DD5">
        <w:t>Foi</w:t>
      </w:r>
      <w:proofErr w:type="spellEnd"/>
      <w:r w:rsidRPr="00433DD5">
        <w:t xml:space="preserve"> revisado como </w:t>
      </w:r>
      <w:proofErr w:type="spellStart"/>
      <w:r w:rsidRPr="00433DD5">
        <w:t>tem</w:t>
      </w:r>
      <w:proofErr w:type="spellEnd"/>
      <w:r w:rsidRPr="00433DD5">
        <w:t xml:space="preserve"> sido a </w:t>
      </w:r>
      <w:proofErr w:type="spellStart"/>
      <w:r w:rsidRPr="00433DD5">
        <w:t>avaliação</w:t>
      </w:r>
      <w:proofErr w:type="spellEnd"/>
      <w:r w:rsidRPr="00433DD5">
        <w:t xml:space="preserve"> e a </w:t>
      </w:r>
      <w:proofErr w:type="spellStart"/>
      <w:r w:rsidRPr="00433DD5">
        <w:t>correspondente</w:t>
      </w:r>
      <w:proofErr w:type="spellEnd"/>
      <w:r w:rsidRPr="00433DD5">
        <w:t xml:space="preserve"> </w:t>
      </w:r>
      <w:proofErr w:type="spellStart"/>
      <w:r w:rsidRPr="00433DD5">
        <w:t>distribuição</w:t>
      </w:r>
      <w:proofErr w:type="spellEnd"/>
      <w:r w:rsidRPr="00433DD5">
        <w:t xml:space="preserve"> de recursos nos últimos </w:t>
      </w:r>
      <w:proofErr w:type="spellStart"/>
      <w:r w:rsidRPr="00433DD5">
        <w:t>três</w:t>
      </w:r>
      <w:proofErr w:type="spellEnd"/>
      <w:r w:rsidRPr="00433DD5">
        <w:t xml:space="preserve"> </w:t>
      </w:r>
      <w:proofErr w:type="spellStart"/>
      <w:r w:rsidRPr="00433DD5">
        <w:t>biênios</w:t>
      </w:r>
      <w:proofErr w:type="spellEnd"/>
      <w:r w:rsidRPr="00433DD5">
        <w:t xml:space="preserve"> em que o programa </w:t>
      </w:r>
      <w:proofErr w:type="spellStart"/>
      <w:r w:rsidRPr="00433DD5">
        <w:t>operou</w:t>
      </w:r>
      <w:proofErr w:type="spellEnd"/>
      <w:r w:rsidRPr="00433DD5">
        <w:t xml:space="preserve"> (2016-2017, 2018-2019, 2020-2021). A partir </w:t>
      </w:r>
      <w:proofErr w:type="spellStart"/>
      <w:r w:rsidRPr="00433DD5">
        <w:t>daí</w:t>
      </w:r>
      <w:proofErr w:type="spellEnd"/>
      <w:r w:rsidRPr="00433DD5">
        <w:t xml:space="preserve">, </w:t>
      </w:r>
      <w:proofErr w:type="spellStart"/>
      <w:r w:rsidRPr="00433DD5">
        <w:t>foram</w:t>
      </w:r>
      <w:proofErr w:type="spellEnd"/>
      <w:r w:rsidRPr="00433DD5">
        <w:t xml:space="preserve"> </w:t>
      </w:r>
      <w:proofErr w:type="spellStart"/>
      <w:r w:rsidRPr="00433DD5">
        <w:t>geradas</w:t>
      </w:r>
      <w:proofErr w:type="spellEnd"/>
      <w:r w:rsidRPr="00433DD5">
        <w:t xml:space="preserve"> </w:t>
      </w:r>
      <w:proofErr w:type="spellStart"/>
      <w:r w:rsidRPr="00433DD5">
        <w:t>reflexões</w:t>
      </w:r>
      <w:proofErr w:type="spellEnd"/>
      <w:r w:rsidRPr="00433DD5">
        <w:t xml:space="preserve"> em torno dos </w:t>
      </w:r>
      <w:proofErr w:type="spellStart"/>
      <w:r w:rsidRPr="00433DD5">
        <w:t>desafios</w:t>
      </w:r>
      <w:proofErr w:type="spellEnd"/>
      <w:r w:rsidRPr="00433DD5">
        <w:t xml:space="preserve"> que as universidades </w:t>
      </w:r>
      <w:proofErr w:type="spellStart"/>
      <w:r w:rsidRPr="00433DD5">
        <w:t>enfrentam</w:t>
      </w:r>
      <w:proofErr w:type="spellEnd"/>
      <w:r w:rsidRPr="00433DD5">
        <w:t xml:space="preserve"> para </w:t>
      </w:r>
      <w:proofErr w:type="spellStart"/>
      <w:r w:rsidRPr="00433DD5">
        <w:t>melhorar</w:t>
      </w:r>
      <w:proofErr w:type="spellEnd"/>
      <w:r w:rsidRPr="00433DD5">
        <w:t xml:space="preserve"> </w:t>
      </w:r>
      <w:proofErr w:type="spellStart"/>
      <w:r w:rsidRPr="00433DD5">
        <w:t>sua</w:t>
      </w:r>
      <w:proofErr w:type="spellEnd"/>
      <w:r w:rsidRPr="00433DD5">
        <w:t xml:space="preserve"> </w:t>
      </w:r>
      <w:proofErr w:type="spellStart"/>
      <w:r w:rsidRPr="00433DD5">
        <w:t>qualidade</w:t>
      </w:r>
      <w:proofErr w:type="spellEnd"/>
      <w:r w:rsidRPr="00433DD5">
        <w:t xml:space="preserve"> </w:t>
      </w:r>
      <w:proofErr w:type="spellStart"/>
      <w:r w:rsidRPr="00433DD5">
        <w:t>com</w:t>
      </w:r>
      <w:proofErr w:type="spellEnd"/>
      <w:r w:rsidRPr="00433DD5">
        <w:t xml:space="preserve"> a </w:t>
      </w:r>
      <w:proofErr w:type="spellStart"/>
      <w:r w:rsidRPr="00433DD5">
        <w:t>participação</w:t>
      </w:r>
      <w:proofErr w:type="spellEnd"/>
      <w:r w:rsidRPr="00433DD5">
        <w:t xml:space="preserve"> </w:t>
      </w:r>
      <w:proofErr w:type="spellStart"/>
      <w:r w:rsidRPr="00433DD5">
        <w:t>financeira</w:t>
      </w:r>
      <w:proofErr w:type="spellEnd"/>
      <w:r w:rsidRPr="00433DD5">
        <w:t xml:space="preserve"> federal cada vez </w:t>
      </w:r>
      <w:proofErr w:type="spellStart"/>
      <w:r w:rsidRPr="00433DD5">
        <w:t>mais</w:t>
      </w:r>
      <w:proofErr w:type="spellEnd"/>
      <w:r w:rsidRPr="00433DD5">
        <w:t xml:space="preserve"> </w:t>
      </w:r>
      <w:proofErr w:type="spellStart"/>
      <w:r w:rsidRPr="00433DD5">
        <w:t>escassa</w:t>
      </w:r>
      <w:proofErr w:type="spellEnd"/>
      <w:r w:rsidRPr="00433DD5">
        <w:t xml:space="preserve">. </w:t>
      </w:r>
      <w:proofErr w:type="spellStart"/>
      <w:r w:rsidRPr="00433DD5">
        <w:t>Aqui</w:t>
      </w:r>
      <w:proofErr w:type="spellEnd"/>
      <w:r w:rsidRPr="00433DD5">
        <w:t xml:space="preserve"> se </w:t>
      </w:r>
      <w:proofErr w:type="spellStart"/>
      <w:r w:rsidRPr="00433DD5">
        <w:t>mostra</w:t>
      </w:r>
      <w:proofErr w:type="spellEnd"/>
      <w:r w:rsidRPr="00433DD5">
        <w:t xml:space="preserve"> como a </w:t>
      </w:r>
      <w:proofErr w:type="spellStart"/>
      <w:r w:rsidRPr="00433DD5">
        <w:t>dotação</w:t>
      </w:r>
      <w:proofErr w:type="spellEnd"/>
      <w:r w:rsidRPr="00433DD5">
        <w:t xml:space="preserve"> </w:t>
      </w:r>
      <w:proofErr w:type="spellStart"/>
      <w:r w:rsidRPr="00433DD5">
        <w:t>orçamentária</w:t>
      </w:r>
      <w:proofErr w:type="spellEnd"/>
      <w:r w:rsidRPr="00433DD5">
        <w:t xml:space="preserve"> </w:t>
      </w:r>
      <w:proofErr w:type="spellStart"/>
      <w:r w:rsidRPr="00433DD5">
        <w:t>não</w:t>
      </w:r>
      <w:proofErr w:type="spellEnd"/>
      <w:r w:rsidRPr="00433DD5">
        <w:t xml:space="preserve"> obedece </w:t>
      </w:r>
      <w:proofErr w:type="spellStart"/>
      <w:r w:rsidRPr="00433DD5">
        <w:t>necessariamente</w:t>
      </w:r>
      <w:proofErr w:type="spellEnd"/>
      <w:r w:rsidRPr="00433DD5">
        <w:t xml:space="preserve"> à </w:t>
      </w:r>
      <w:proofErr w:type="spellStart"/>
      <w:r w:rsidRPr="00433DD5">
        <w:t>formulação</w:t>
      </w:r>
      <w:proofErr w:type="spellEnd"/>
      <w:r w:rsidRPr="00433DD5">
        <w:t xml:space="preserve"> </w:t>
      </w:r>
      <w:proofErr w:type="spellStart"/>
      <w:r w:rsidRPr="00433DD5">
        <w:t>adequada</w:t>
      </w:r>
      <w:proofErr w:type="spellEnd"/>
      <w:r w:rsidRPr="00433DD5">
        <w:t xml:space="preserve"> dos </w:t>
      </w:r>
      <w:proofErr w:type="spellStart"/>
      <w:r w:rsidRPr="00433DD5">
        <w:t>projetos</w:t>
      </w:r>
      <w:proofErr w:type="spellEnd"/>
      <w:r w:rsidRPr="00433DD5">
        <w:t xml:space="preserve"> e </w:t>
      </w:r>
      <w:proofErr w:type="spellStart"/>
      <w:r w:rsidRPr="00433DD5">
        <w:t>ao</w:t>
      </w:r>
      <w:proofErr w:type="spellEnd"/>
      <w:r w:rsidRPr="00433DD5">
        <w:t xml:space="preserve"> aumento dos </w:t>
      </w:r>
      <w:proofErr w:type="spellStart"/>
      <w:r w:rsidRPr="00433DD5">
        <w:t>principais</w:t>
      </w:r>
      <w:proofErr w:type="spellEnd"/>
      <w:r w:rsidRPr="00433DD5">
        <w:t xml:space="preserve"> indicadores de </w:t>
      </w:r>
      <w:proofErr w:type="spellStart"/>
      <w:r w:rsidRPr="00433DD5">
        <w:t>qualidade</w:t>
      </w:r>
      <w:proofErr w:type="spellEnd"/>
      <w:r w:rsidRPr="00433DD5">
        <w:t xml:space="preserve"> das universidades, </w:t>
      </w:r>
      <w:proofErr w:type="spellStart"/>
      <w:r w:rsidRPr="00433DD5">
        <w:t>mas</w:t>
      </w:r>
      <w:proofErr w:type="spellEnd"/>
      <w:r w:rsidRPr="00433DD5">
        <w:t xml:space="preserve"> a </w:t>
      </w:r>
      <w:proofErr w:type="spellStart"/>
      <w:r w:rsidRPr="00433DD5">
        <w:t>critérios</w:t>
      </w:r>
      <w:proofErr w:type="spellEnd"/>
      <w:r w:rsidRPr="00433DD5">
        <w:t xml:space="preserve"> principalmente ligados à </w:t>
      </w:r>
      <w:proofErr w:type="spellStart"/>
      <w:r w:rsidRPr="00433DD5">
        <w:t>disposição</w:t>
      </w:r>
      <w:proofErr w:type="spellEnd"/>
      <w:r w:rsidRPr="00433DD5">
        <w:t xml:space="preserve"> do </w:t>
      </w:r>
      <w:proofErr w:type="spellStart"/>
      <w:r w:rsidRPr="00433DD5">
        <w:t>orçamento</w:t>
      </w:r>
      <w:proofErr w:type="spellEnd"/>
      <w:r w:rsidRPr="00433DD5">
        <w:t xml:space="preserve"> e fatores </w:t>
      </w:r>
      <w:proofErr w:type="spellStart"/>
      <w:r w:rsidRPr="00433DD5">
        <w:t>alheios</w:t>
      </w:r>
      <w:proofErr w:type="spellEnd"/>
      <w:r w:rsidRPr="00433DD5">
        <w:t xml:space="preserve"> à </w:t>
      </w:r>
      <w:proofErr w:type="spellStart"/>
      <w:r w:rsidRPr="00433DD5">
        <w:t>avaliação</w:t>
      </w:r>
      <w:proofErr w:type="spellEnd"/>
      <w:r w:rsidRPr="00433DD5">
        <w:t xml:space="preserve"> que </w:t>
      </w:r>
      <w:proofErr w:type="spellStart"/>
      <w:r w:rsidRPr="00433DD5">
        <w:t>determinam</w:t>
      </w:r>
      <w:proofErr w:type="spellEnd"/>
      <w:r w:rsidRPr="00433DD5">
        <w:t xml:space="preserve"> o destino </w:t>
      </w:r>
      <w:proofErr w:type="spellStart"/>
      <w:r w:rsidRPr="00433DD5">
        <w:t>atribuído</w:t>
      </w:r>
      <w:proofErr w:type="spellEnd"/>
      <w:r w:rsidRPr="00433DD5">
        <w:t xml:space="preserve"> montante.</w:t>
      </w:r>
    </w:p>
    <w:p w14:paraId="1BE470B3" w14:textId="2808463E" w:rsidR="005E0AC3" w:rsidRPr="00433DD5" w:rsidRDefault="005E0AC3" w:rsidP="005E0AC3">
      <w:pPr>
        <w:autoSpaceDE w:val="0"/>
        <w:autoSpaceDN w:val="0"/>
        <w:adjustRightInd w:val="0"/>
        <w:spacing w:line="360" w:lineRule="auto"/>
        <w:jc w:val="both"/>
      </w:pPr>
      <w:proofErr w:type="spellStart"/>
      <w:r w:rsidRPr="00433DD5">
        <w:rPr>
          <w:rFonts w:asciiTheme="minorHAnsi" w:hAnsiTheme="minorHAnsi" w:cstheme="minorHAnsi"/>
          <w:b/>
          <w:sz w:val="28"/>
          <w:szCs w:val="28"/>
        </w:rPr>
        <w:t>Palavras</w:t>
      </w:r>
      <w:proofErr w:type="spellEnd"/>
      <w:r w:rsidRPr="00433DD5">
        <w:rPr>
          <w:rFonts w:asciiTheme="minorHAnsi" w:hAnsiTheme="minorHAnsi" w:cstheme="minorHAnsi"/>
          <w:b/>
          <w:sz w:val="28"/>
          <w:szCs w:val="28"/>
        </w:rPr>
        <w:t>-chave:</w:t>
      </w:r>
      <w:r w:rsidRPr="00433DD5">
        <w:t xml:space="preserve"> </w:t>
      </w:r>
      <w:proofErr w:type="spellStart"/>
      <w:r w:rsidRPr="00433DD5">
        <w:t>qualidade</w:t>
      </w:r>
      <w:proofErr w:type="spellEnd"/>
      <w:r w:rsidRPr="00433DD5">
        <w:t xml:space="preserve"> educacional, </w:t>
      </w:r>
      <w:proofErr w:type="spellStart"/>
      <w:r w:rsidRPr="00433DD5">
        <w:t>avaliação</w:t>
      </w:r>
      <w:proofErr w:type="spellEnd"/>
      <w:r w:rsidRPr="00433DD5">
        <w:t xml:space="preserve">, </w:t>
      </w:r>
      <w:proofErr w:type="spellStart"/>
      <w:r w:rsidRPr="00433DD5">
        <w:t>educação</w:t>
      </w:r>
      <w:proofErr w:type="spellEnd"/>
      <w:r w:rsidRPr="00433DD5">
        <w:t xml:space="preserve"> superior, </w:t>
      </w:r>
      <w:proofErr w:type="spellStart"/>
      <w:r w:rsidRPr="00433DD5">
        <w:t>gestão</w:t>
      </w:r>
      <w:proofErr w:type="spellEnd"/>
      <w:r w:rsidRPr="00433DD5">
        <w:t xml:space="preserve">, recursos </w:t>
      </w:r>
      <w:proofErr w:type="spellStart"/>
      <w:r w:rsidRPr="00433DD5">
        <w:t>financeiros</w:t>
      </w:r>
      <w:proofErr w:type="spellEnd"/>
      <w:r w:rsidRPr="00433DD5">
        <w:t xml:space="preserve">, </w:t>
      </w:r>
      <w:proofErr w:type="spellStart"/>
      <w:r w:rsidRPr="00433DD5">
        <w:t>transparência</w:t>
      </w:r>
      <w:proofErr w:type="spellEnd"/>
      <w:r w:rsidRPr="00433DD5">
        <w:t>, universidades públicas.</w:t>
      </w:r>
    </w:p>
    <w:p w14:paraId="6D2F2D5A" w14:textId="77777777" w:rsidR="005E0AC3" w:rsidRPr="00433DD5" w:rsidRDefault="005E0AC3" w:rsidP="005E0AC3">
      <w:pPr>
        <w:pStyle w:val="HTMLconformatoprevio"/>
        <w:shd w:val="clear" w:color="auto" w:fill="FFFFFF"/>
        <w:rPr>
          <w:rFonts w:ascii="Times New Roman" w:hAnsi="Times New Roman"/>
          <w:color w:val="000000"/>
          <w:sz w:val="24"/>
          <w:lang w:val="es-MX"/>
        </w:rPr>
      </w:pPr>
      <w:r w:rsidRPr="00433DD5">
        <w:rPr>
          <w:rFonts w:ascii="Times New Roman" w:hAnsi="Times New Roman"/>
          <w:b/>
          <w:color w:val="000000"/>
          <w:sz w:val="24"/>
          <w:lang w:val="es-MX"/>
        </w:rPr>
        <w:t>Fecha Recepción:</w:t>
      </w:r>
      <w:r w:rsidRPr="00433DD5">
        <w:rPr>
          <w:rFonts w:ascii="Times New Roman" w:hAnsi="Times New Roman"/>
          <w:color w:val="000000"/>
          <w:sz w:val="24"/>
          <w:lang w:val="es-MX"/>
        </w:rPr>
        <w:t xml:space="preserve"> Julio 2022                               </w:t>
      </w:r>
      <w:r w:rsidRPr="00433DD5">
        <w:rPr>
          <w:rFonts w:ascii="Times New Roman" w:hAnsi="Times New Roman"/>
          <w:b/>
          <w:color w:val="000000"/>
          <w:sz w:val="24"/>
          <w:lang w:val="es-MX"/>
        </w:rPr>
        <w:t>Fecha Aceptación:</w:t>
      </w:r>
      <w:r w:rsidRPr="00433DD5">
        <w:rPr>
          <w:rFonts w:ascii="Times New Roman" w:hAnsi="Times New Roman"/>
          <w:color w:val="000000"/>
          <w:sz w:val="24"/>
          <w:lang w:val="es-MX"/>
        </w:rPr>
        <w:t xml:space="preserve"> </w:t>
      </w:r>
      <w:proofErr w:type="gramStart"/>
      <w:r w:rsidRPr="00433DD5">
        <w:rPr>
          <w:rFonts w:ascii="Times New Roman" w:hAnsi="Times New Roman"/>
          <w:color w:val="000000"/>
          <w:sz w:val="24"/>
          <w:lang w:val="es-MX"/>
        </w:rPr>
        <w:t>Diciembre</w:t>
      </w:r>
      <w:proofErr w:type="gramEnd"/>
      <w:r w:rsidRPr="00433DD5">
        <w:rPr>
          <w:rFonts w:ascii="Times New Roman" w:hAnsi="Times New Roman"/>
          <w:color w:val="000000"/>
          <w:sz w:val="24"/>
          <w:lang w:val="es-MX"/>
        </w:rPr>
        <w:t xml:space="preserve"> 2022</w:t>
      </w:r>
    </w:p>
    <w:p w14:paraId="45EBB47B" w14:textId="77777777" w:rsidR="005E0AC3" w:rsidRPr="00433DD5" w:rsidRDefault="00000000" w:rsidP="005E0AC3">
      <w:pPr>
        <w:spacing w:before="100" w:after="100" w:line="360" w:lineRule="auto"/>
        <w:rPr>
          <w:b/>
          <w:sz w:val="28"/>
          <w:szCs w:val="28"/>
        </w:rPr>
      </w:pPr>
      <w:r>
        <w:rPr>
          <w:noProof/>
        </w:rPr>
        <w:pict w14:anchorId="25C0B6BD">
          <v:rect id="_x0000_i1025" style="width:441.9pt;height:.05pt" o:hralign="center" o:hrstd="t" o:hr="t" fillcolor="#a0a0a0" stroked="f"/>
        </w:pict>
      </w:r>
    </w:p>
    <w:p w14:paraId="6FC014C6" w14:textId="1AF40F3E" w:rsidR="0086175A" w:rsidRPr="00433DD5" w:rsidRDefault="00B917C1" w:rsidP="005E0AC3">
      <w:pPr>
        <w:autoSpaceDE w:val="0"/>
        <w:autoSpaceDN w:val="0"/>
        <w:adjustRightInd w:val="0"/>
        <w:spacing w:line="360" w:lineRule="auto"/>
        <w:jc w:val="center"/>
        <w:rPr>
          <w:b/>
          <w:sz w:val="32"/>
          <w:szCs w:val="32"/>
          <w:lang w:val="es-ES_tradnl"/>
        </w:rPr>
      </w:pPr>
      <w:r w:rsidRPr="00433DD5">
        <w:rPr>
          <w:b/>
          <w:sz w:val="32"/>
          <w:szCs w:val="32"/>
          <w:lang w:val="es-ES_tradnl"/>
        </w:rPr>
        <w:t>I</w:t>
      </w:r>
      <w:r w:rsidR="0047435D" w:rsidRPr="00433DD5">
        <w:rPr>
          <w:b/>
          <w:sz w:val="32"/>
          <w:szCs w:val="32"/>
          <w:lang w:val="es-ES_tradnl"/>
        </w:rPr>
        <w:t>ntroducción</w:t>
      </w:r>
    </w:p>
    <w:p w14:paraId="20D539F5" w14:textId="5A7D9C84" w:rsidR="00B0153B" w:rsidRPr="00433DD5" w:rsidRDefault="00B0153B" w:rsidP="001A0378">
      <w:pPr>
        <w:autoSpaceDE w:val="0"/>
        <w:autoSpaceDN w:val="0"/>
        <w:adjustRightInd w:val="0"/>
        <w:spacing w:line="360" w:lineRule="auto"/>
        <w:ind w:firstLine="708"/>
        <w:jc w:val="both"/>
        <w:rPr>
          <w:rFonts w:asciiTheme="majorBidi" w:hAnsiTheme="majorBidi" w:cstheme="majorBidi"/>
        </w:rPr>
      </w:pPr>
      <w:r w:rsidRPr="00433DD5">
        <w:rPr>
          <w:rFonts w:asciiTheme="majorBidi" w:hAnsiTheme="majorBidi" w:cstheme="majorBidi"/>
        </w:rPr>
        <w:t xml:space="preserve">En su devenir histórico, las </w:t>
      </w:r>
      <w:r w:rsidR="001A0378" w:rsidRPr="00433DD5">
        <w:rPr>
          <w:rFonts w:asciiTheme="majorBidi" w:hAnsiTheme="majorBidi" w:cstheme="majorBidi"/>
        </w:rPr>
        <w:t>u</w:t>
      </w:r>
      <w:r w:rsidRPr="00433DD5">
        <w:rPr>
          <w:rFonts w:asciiTheme="majorBidi" w:hAnsiTheme="majorBidi" w:cstheme="majorBidi"/>
        </w:rPr>
        <w:t xml:space="preserve">niversidades han jugado un papel relevante en la sociedad, su figura como formadoras y generadoras de conocimiento las incluye dentro de las instituciones que </w:t>
      </w:r>
      <w:r w:rsidR="00C50279" w:rsidRPr="00433DD5">
        <w:rPr>
          <w:rFonts w:asciiTheme="majorBidi" w:hAnsiTheme="majorBidi" w:cstheme="majorBidi"/>
        </w:rPr>
        <w:t>favorecen el</w:t>
      </w:r>
      <w:r w:rsidRPr="00433DD5">
        <w:rPr>
          <w:rFonts w:asciiTheme="majorBidi" w:hAnsiTheme="majorBidi" w:cstheme="majorBidi"/>
        </w:rPr>
        <w:t xml:space="preserve"> desarrollo del entorno. Históricamente</w:t>
      </w:r>
      <w:r w:rsidR="00507247" w:rsidRPr="00433DD5">
        <w:rPr>
          <w:rFonts w:asciiTheme="majorBidi" w:hAnsiTheme="majorBidi" w:cstheme="majorBidi"/>
        </w:rPr>
        <w:t>,</w:t>
      </w:r>
      <w:r w:rsidRPr="00433DD5">
        <w:rPr>
          <w:rFonts w:asciiTheme="majorBidi" w:hAnsiTheme="majorBidi" w:cstheme="majorBidi"/>
        </w:rPr>
        <w:t xml:space="preserve"> se les atribuye como funciones sustantivas la docencia, la investigación y la extensión de los servicios. </w:t>
      </w:r>
    </w:p>
    <w:p w14:paraId="6B26F0C5" w14:textId="798D4019" w:rsidR="0047179E" w:rsidRPr="00433DD5" w:rsidRDefault="0086175A" w:rsidP="001A0378">
      <w:pPr>
        <w:spacing w:line="360" w:lineRule="auto"/>
        <w:jc w:val="both"/>
        <w:rPr>
          <w:rFonts w:asciiTheme="majorBidi" w:hAnsiTheme="majorBidi" w:cstheme="majorBidi"/>
        </w:rPr>
      </w:pPr>
      <w:r w:rsidRPr="00433DD5">
        <w:rPr>
          <w:b/>
          <w:lang w:val="es-ES_tradnl"/>
        </w:rPr>
        <w:tab/>
      </w:r>
      <w:r w:rsidR="00B0153B" w:rsidRPr="00433DD5">
        <w:rPr>
          <w:rFonts w:asciiTheme="majorBidi" w:hAnsiTheme="majorBidi" w:cstheme="majorBidi"/>
        </w:rPr>
        <w:t xml:space="preserve">La aceleración de los cambios y las profundas transformaciones sociales acontecidas en los últimos 20 años han llevado a reinventar el papel </w:t>
      </w:r>
      <w:r w:rsidR="00C8286A" w:rsidRPr="00433DD5">
        <w:rPr>
          <w:rFonts w:asciiTheme="majorBidi" w:hAnsiTheme="majorBidi" w:cstheme="majorBidi"/>
        </w:rPr>
        <w:t xml:space="preserve">de </w:t>
      </w:r>
      <w:r w:rsidR="00C50279" w:rsidRPr="00433DD5">
        <w:rPr>
          <w:rFonts w:asciiTheme="majorBidi" w:hAnsiTheme="majorBidi" w:cstheme="majorBidi"/>
        </w:rPr>
        <w:t xml:space="preserve">las </w:t>
      </w:r>
      <w:r w:rsidR="001A0378" w:rsidRPr="00433DD5">
        <w:rPr>
          <w:rFonts w:asciiTheme="majorBidi" w:hAnsiTheme="majorBidi" w:cstheme="majorBidi"/>
        </w:rPr>
        <w:t>instituciones de educación superior</w:t>
      </w:r>
      <w:r w:rsidR="00C50279" w:rsidRPr="00433DD5">
        <w:rPr>
          <w:rFonts w:asciiTheme="majorBidi" w:hAnsiTheme="majorBidi" w:cstheme="majorBidi"/>
        </w:rPr>
        <w:t xml:space="preserve"> </w:t>
      </w:r>
      <w:r w:rsidR="007C7D3F" w:rsidRPr="00433DD5">
        <w:rPr>
          <w:rFonts w:asciiTheme="majorBidi" w:hAnsiTheme="majorBidi" w:cstheme="majorBidi"/>
        </w:rPr>
        <w:t xml:space="preserve">(IES) </w:t>
      </w:r>
      <w:r w:rsidR="00B0153B" w:rsidRPr="00433DD5">
        <w:rPr>
          <w:rFonts w:asciiTheme="majorBidi" w:hAnsiTheme="majorBidi" w:cstheme="majorBidi"/>
        </w:rPr>
        <w:t xml:space="preserve">y la forma en cómo se desarrollan para lograr sus objetivos formativos y de contribución social, </w:t>
      </w:r>
      <w:r w:rsidR="00AC32F9" w:rsidRPr="00433DD5">
        <w:rPr>
          <w:rFonts w:asciiTheme="majorBidi" w:hAnsiTheme="majorBidi" w:cstheme="majorBidi"/>
        </w:rPr>
        <w:t xml:space="preserve">razones que </w:t>
      </w:r>
      <w:r w:rsidR="00C50279" w:rsidRPr="00433DD5">
        <w:rPr>
          <w:rFonts w:asciiTheme="majorBidi" w:hAnsiTheme="majorBidi" w:cstheme="majorBidi"/>
        </w:rPr>
        <w:t xml:space="preserve">las </w:t>
      </w:r>
      <w:r w:rsidR="00B0153B" w:rsidRPr="00433DD5">
        <w:rPr>
          <w:rFonts w:asciiTheme="majorBidi" w:hAnsiTheme="majorBidi" w:cstheme="majorBidi"/>
        </w:rPr>
        <w:t>ha</w:t>
      </w:r>
      <w:r w:rsidR="00AC32F9" w:rsidRPr="00433DD5">
        <w:rPr>
          <w:rFonts w:asciiTheme="majorBidi" w:hAnsiTheme="majorBidi" w:cstheme="majorBidi"/>
        </w:rPr>
        <w:t>n</w:t>
      </w:r>
      <w:r w:rsidR="00B0153B" w:rsidRPr="00433DD5">
        <w:rPr>
          <w:rFonts w:asciiTheme="majorBidi" w:hAnsiTheme="majorBidi" w:cstheme="majorBidi"/>
        </w:rPr>
        <w:t xml:space="preserve"> obligado a reorientar sus reformas, sobre todo en el </w:t>
      </w:r>
      <w:r w:rsidR="00B0153B" w:rsidRPr="00433DD5">
        <w:rPr>
          <w:rFonts w:asciiTheme="majorBidi" w:hAnsiTheme="majorBidi" w:cstheme="majorBidi"/>
        </w:rPr>
        <w:lastRenderedPageBreak/>
        <w:t xml:space="preserve">replanteamiento de sus estrategias para lograr los fines propuestos. </w:t>
      </w:r>
      <w:r w:rsidR="00E01076" w:rsidRPr="00433DD5">
        <w:rPr>
          <w:rFonts w:asciiTheme="majorBidi" w:hAnsiTheme="majorBidi" w:cstheme="majorBidi"/>
        </w:rPr>
        <w:t xml:space="preserve">Esto en un entorno financiero cada vez más complejo. </w:t>
      </w:r>
      <w:r w:rsidR="00B0153B" w:rsidRPr="00433DD5">
        <w:rPr>
          <w:rFonts w:asciiTheme="majorBidi" w:hAnsiTheme="majorBidi" w:cstheme="majorBidi"/>
        </w:rPr>
        <w:t xml:space="preserve">Aunado a ello, la pandemia del </w:t>
      </w:r>
      <w:r w:rsidR="00516DBB" w:rsidRPr="00433DD5">
        <w:rPr>
          <w:rFonts w:asciiTheme="majorBidi" w:hAnsiTheme="majorBidi" w:cstheme="majorBidi"/>
        </w:rPr>
        <w:t>coronavirus de tipo 2 causante del síndrome respiratorio agudo severo (</w:t>
      </w:r>
      <w:r w:rsidR="00B0153B" w:rsidRPr="00433DD5">
        <w:rPr>
          <w:rFonts w:asciiTheme="majorBidi" w:hAnsiTheme="majorBidi" w:cstheme="majorBidi"/>
        </w:rPr>
        <w:t>SARS</w:t>
      </w:r>
      <w:r w:rsidR="00AC32F9" w:rsidRPr="00433DD5">
        <w:rPr>
          <w:rFonts w:asciiTheme="majorBidi" w:hAnsiTheme="majorBidi" w:cstheme="majorBidi"/>
        </w:rPr>
        <w:t>-</w:t>
      </w:r>
      <w:r w:rsidR="00B0153B" w:rsidRPr="00433DD5">
        <w:rPr>
          <w:rFonts w:asciiTheme="majorBidi" w:hAnsiTheme="majorBidi" w:cstheme="majorBidi"/>
        </w:rPr>
        <w:t>C</w:t>
      </w:r>
      <w:r w:rsidR="00AC32F9" w:rsidRPr="00433DD5">
        <w:rPr>
          <w:rFonts w:asciiTheme="majorBidi" w:hAnsiTheme="majorBidi" w:cstheme="majorBidi"/>
        </w:rPr>
        <w:t>o</w:t>
      </w:r>
      <w:r w:rsidR="00B0153B" w:rsidRPr="00433DD5">
        <w:rPr>
          <w:rFonts w:asciiTheme="majorBidi" w:hAnsiTheme="majorBidi" w:cstheme="majorBidi"/>
        </w:rPr>
        <w:t>V</w:t>
      </w:r>
      <w:r w:rsidR="00AC32F9" w:rsidRPr="00433DD5">
        <w:rPr>
          <w:rFonts w:asciiTheme="majorBidi" w:hAnsiTheme="majorBidi" w:cstheme="majorBidi"/>
        </w:rPr>
        <w:t>-2</w:t>
      </w:r>
      <w:r w:rsidR="00516DBB" w:rsidRPr="00433DD5">
        <w:rPr>
          <w:rFonts w:asciiTheme="majorBidi" w:hAnsiTheme="majorBidi" w:cstheme="majorBidi"/>
        </w:rPr>
        <w:t>)</w:t>
      </w:r>
      <w:r w:rsidR="00B0153B" w:rsidRPr="00433DD5">
        <w:rPr>
          <w:rFonts w:asciiTheme="majorBidi" w:hAnsiTheme="majorBidi" w:cstheme="majorBidi"/>
        </w:rPr>
        <w:t xml:space="preserve"> motivó diversas acciones en las instituciones para enfrentar las vicisitudes</w:t>
      </w:r>
      <w:r w:rsidR="00E01076" w:rsidRPr="00433DD5">
        <w:rPr>
          <w:rFonts w:asciiTheme="majorBidi" w:hAnsiTheme="majorBidi" w:cstheme="majorBidi"/>
        </w:rPr>
        <w:t>, desde reflexiones</w:t>
      </w:r>
      <w:r w:rsidR="00AE52B2" w:rsidRPr="00433DD5">
        <w:rPr>
          <w:rFonts w:asciiTheme="majorBidi" w:hAnsiTheme="majorBidi" w:cstheme="majorBidi"/>
        </w:rPr>
        <w:t xml:space="preserve"> acerca del sentido de la </w:t>
      </w:r>
      <w:r w:rsidR="00516DBB" w:rsidRPr="00433DD5">
        <w:rPr>
          <w:rFonts w:asciiTheme="majorBidi" w:hAnsiTheme="majorBidi" w:cstheme="majorBidi"/>
        </w:rPr>
        <w:t>universidad</w:t>
      </w:r>
      <w:r w:rsidR="008F4A8F" w:rsidRPr="00433DD5">
        <w:rPr>
          <w:rFonts w:asciiTheme="majorBidi" w:hAnsiTheme="majorBidi" w:cstheme="majorBidi"/>
        </w:rPr>
        <w:t xml:space="preserve">, </w:t>
      </w:r>
      <w:r w:rsidR="00AC32F9" w:rsidRPr="00433DD5">
        <w:rPr>
          <w:rFonts w:asciiTheme="majorBidi" w:hAnsiTheme="majorBidi" w:cstheme="majorBidi"/>
        </w:rPr>
        <w:t xml:space="preserve">la formulación </w:t>
      </w:r>
      <w:r w:rsidR="008F4A8F" w:rsidRPr="00433DD5">
        <w:rPr>
          <w:rFonts w:asciiTheme="majorBidi" w:hAnsiTheme="majorBidi" w:cstheme="majorBidi"/>
        </w:rPr>
        <w:t>de estrategias de enseñanza y aprendizaje al explorar</w:t>
      </w:r>
      <w:r w:rsidR="00040AFA" w:rsidRPr="00433DD5">
        <w:rPr>
          <w:rFonts w:asciiTheme="majorBidi" w:hAnsiTheme="majorBidi" w:cstheme="majorBidi"/>
        </w:rPr>
        <w:t>,</w:t>
      </w:r>
      <w:r w:rsidR="008F4A8F" w:rsidRPr="00433DD5">
        <w:rPr>
          <w:rFonts w:asciiTheme="majorBidi" w:hAnsiTheme="majorBidi" w:cstheme="majorBidi"/>
        </w:rPr>
        <w:t xml:space="preserve"> de forma abrupta</w:t>
      </w:r>
      <w:r w:rsidR="00040AFA" w:rsidRPr="00433DD5">
        <w:rPr>
          <w:rFonts w:asciiTheme="majorBidi" w:hAnsiTheme="majorBidi" w:cstheme="majorBidi"/>
        </w:rPr>
        <w:t>,</w:t>
      </w:r>
      <w:r w:rsidR="008F4A8F" w:rsidRPr="00433DD5">
        <w:rPr>
          <w:rFonts w:asciiTheme="majorBidi" w:hAnsiTheme="majorBidi" w:cstheme="majorBidi"/>
        </w:rPr>
        <w:t xml:space="preserve"> modalidades de educaci</w:t>
      </w:r>
      <w:r w:rsidR="00791F8D" w:rsidRPr="00433DD5">
        <w:rPr>
          <w:rFonts w:asciiTheme="majorBidi" w:hAnsiTheme="majorBidi" w:cstheme="majorBidi"/>
        </w:rPr>
        <w:t>ó</w:t>
      </w:r>
      <w:r w:rsidR="008F4A8F" w:rsidRPr="00433DD5">
        <w:rPr>
          <w:rFonts w:asciiTheme="majorBidi" w:hAnsiTheme="majorBidi" w:cstheme="majorBidi"/>
        </w:rPr>
        <w:t>n mixtas,</w:t>
      </w:r>
      <w:r w:rsidRPr="00433DD5">
        <w:rPr>
          <w:rFonts w:asciiTheme="majorBidi" w:hAnsiTheme="majorBidi" w:cstheme="majorBidi"/>
        </w:rPr>
        <w:t xml:space="preserve"> </w:t>
      </w:r>
      <w:r w:rsidR="00AE52B2" w:rsidRPr="00433DD5">
        <w:rPr>
          <w:rFonts w:asciiTheme="majorBidi" w:hAnsiTheme="majorBidi" w:cstheme="majorBidi"/>
        </w:rPr>
        <w:t xml:space="preserve">hasta </w:t>
      </w:r>
      <w:r w:rsidR="008F4A8F" w:rsidRPr="00433DD5">
        <w:rPr>
          <w:rFonts w:asciiTheme="majorBidi" w:hAnsiTheme="majorBidi" w:cstheme="majorBidi"/>
        </w:rPr>
        <w:t xml:space="preserve">repensar </w:t>
      </w:r>
      <w:r w:rsidR="00AE52B2" w:rsidRPr="00433DD5">
        <w:rPr>
          <w:rFonts w:asciiTheme="majorBidi" w:hAnsiTheme="majorBidi" w:cstheme="majorBidi"/>
        </w:rPr>
        <w:t>las necesidades de equipamiento y de infraestructura para continuar con las clases y asesor</w:t>
      </w:r>
      <w:r w:rsidR="008F4A8F" w:rsidRPr="00433DD5">
        <w:rPr>
          <w:rFonts w:asciiTheme="majorBidi" w:hAnsiTheme="majorBidi" w:cstheme="majorBidi"/>
        </w:rPr>
        <w:t>ía</w:t>
      </w:r>
      <w:r w:rsidR="00AE52B2" w:rsidRPr="00433DD5">
        <w:rPr>
          <w:rFonts w:asciiTheme="majorBidi" w:hAnsiTheme="majorBidi" w:cstheme="majorBidi"/>
        </w:rPr>
        <w:t>s a través de las plataformas virtuales.</w:t>
      </w:r>
      <w:r w:rsidR="00C77C75" w:rsidRPr="00433DD5">
        <w:rPr>
          <w:rFonts w:asciiTheme="majorBidi" w:hAnsiTheme="majorBidi" w:cstheme="majorBidi"/>
        </w:rPr>
        <w:t xml:space="preserve"> </w:t>
      </w:r>
      <w:r w:rsidR="0047179E" w:rsidRPr="00433DD5">
        <w:rPr>
          <w:rFonts w:asciiTheme="majorBidi" w:hAnsiTheme="majorBidi" w:cstheme="majorBidi"/>
        </w:rPr>
        <w:t xml:space="preserve">Si bien los conflictos financieros situados al interior de las instituciones no emergieron con la pandemia, </w:t>
      </w:r>
      <w:r w:rsidR="00F74A98" w:rsidRPr="00433DD5">
        <w:rPr>
          <w:rFonts w:asciiTheme="majorBidi" w:hAnsiTheme="majorBidi" w:cstheme="majorBidi"/>
        </w:rPr>
        <w:t>e</w:t>
      </w:r>
      <w:r w:rsidR="0047179E" w:rsidRPr="00433DD5">
        <w:rPr>
          <w:rFonts w:asciiTheme="majorBidi" w:hAnsiTheme="majorBidi" w:cstheme="majorBidi"/>
        </w:rPr>
        <w:t xml:space="preserve">stos se han </w:t>
      </w:r>
      <w:r w:rsidR="008F4A8F" w:rsidRPr="00433DD5">
        <w:rPr>
          <w:rFonts w:asciiTheme="majorBidi" w:hAnsiTheme="majorBidi" w:cstheme="majorBidi"/>
        </w:rPr>
        <w:t>recrudecid</w:t>
      </w:r>
      <w:r w:rsidR="0047179E" w:rsidRPr="00433DD5">
        <w:rPr>
          <w:rFonts w:asciiTheme="majorBidi" w:hAnsiTheme="majorBidi" w:cstheme="majorBidi"/>
        </w:rPr>
        <w:t xml:space="preserve">o. </w:t>
      </w:r>
      <w:r w:rsidR="00192360" w:rsidRPr="00433DD5">
        <w:rPr>
          <w:rFonts w:asciiTheme="majorBidi" w:hAnsiTheme="majorBidi" w:cstheme="majorBidi"/>
        </w:rPr>
        <w:t>“</w:t>
      </w:r>
      <w:r w:rsidR="0047179E" w:rsidRPr="00433DD5">
        <w:rPr>
          <w:rFonts w:asciiTheme="majorBidi" w:hAnsiTheme="majorBidi" w:cstheme="majorBidi"/>
        </w:rPr>
        <w:t>En este sentido, existen diversos factores económicos, políticos, institucionales, y sociales que demuestran la falta de compromiso normativo por parte del Estado hacia las universidades en relación a los subsidios gubernamentales</w:t>
      </w:r>
      <w:r w:rsidR="00192360" w:rsidRPr="00433DD5">
        <w:rPr>
          <w:rFonts w:asciiTheme="majorBidi" w:hAnsiTheme="majorBidi" w:cstheme="majorBidi"/>
        </w:rPr>
        <w:t xml:space="preserve">” </w:t>
      </w:r>
      <w:r w:rsidR="0047179E" w:rsidRPr="00433DD5">
        <w:rPr>
          <w:rFonts w:asciiTheme="majorBidi" w:hAnsiTheme="majorBidi" w:cstheme="majorBidi"/>
        </w:rPr>
        <w:t>(</w:t>
      </w:r>
      <w:r w:rsidR="00192360" w:rsidRPr="00433DD5">
        <w:rPr>
          <w:rFonts w:asciiTheme="majorBidi" w:hAnsiTheme="majorBidi" w:cstheme="majorBidi"/>
        </w:rPr>
        <w:t>Fuentes, 2021, p.</w:t>
      </w:r>
      <w:r w:rsidR="008D6E43" w:rsidRPr="00433DD5">
        <w:rPr>
          <w:rFonts w:asciiTheme="majorBidi" w:hAnsiTheme="majorBidi" w:cstheme="majorBidi"/>
        </w:rPr>
        <w:t xml:space="preserve"> </w:t>
      </w:r>
      <w:r w:rsidR="00192360" w:rsidRPr="00433DD5">
        <w:rPr>
          <w:rFonts w:asciiTheme="majorBidi" w:hAnsiTheme="majorBidi" w:cstheme="majorBidi"/>
        </w:rPr>
        <w:t>4)</w:t>
      </w:r>
      <w:r w:rsidR="00201EF5" w:rsidRPr="00433DD5">
        <w:rPr>
          <w:rFonts w:asciiTheme="majorBidi" w:hAnsiTheme="majorBidi" w:cstheme="majorBidi"/>
        </w:rPr>
        <w:t>.</w:t>
      </w:r>
      <w:r w:rsidR="00C77C75" w:rsidRPr="00433DD5">
        <w:rPr>
          <w:rFonts w:asciiTheme="majorBidi" w:hAnsiTheme="majorBidi" w:cstheme="majorBidi"/>
        </w:rPr>
        <w:t xml:space="preserve"> </w:t>
      </w:r>
    </w:p>
    <w:p w14:paraId="7243D0EE" w14:textId="0F896750" w:rsidR="00CD0224" w:rsidRPr="00433DD5" w:rsidRDefault="0086175A" w:rsidP="001A0378">
      <w:pPr>
        <w:spacing w:line="360" w:lineRule="auto"/>
        <w:contextualSpacing/>
        <w:jc w:val="both"/>
        <w:rPr>
          <w:rFonts w:asciiTheme="majorBidi" w:hAnsiTheme="majorBidi" w:cstheme="majorBidi"/>
        </w:rPr>
      </w:pPr>
      <w:r w:rsidRPr="00433DD5">
        <w:rPr>
          <w:rFonts w:asciiTheme="majorBidi" w:hAnsiTheme="majorBidi" w:cstheme="majorBidi"/>
        </w:rPr>
        <w:tab/>
      </w:r>
      <w:r w:rsidR="00B93035" w:rsidRPr="00433DD5">
        <w:rPr>
          <w:rFonts w:asciiTheme="majorBidi" w:hAnsiTheme="majorBidi" w:cstheme="majorBidi"/>
        </w:rPr>
        <w:t>En México, e</w:t>
      </w:r>
      <w:r w:rsidR="00A72249" w:rsidRPr="00433DD5">
        <w:rPr>
          <w:rFonts w:asciiTheme="majorBidi" w:hAnsiTheme="majorBidi" w:cstheme="majorBidi"/>
        </w:rPr>
        <w:t xml:space="preserve">l panorama </w:t>
      </w:r>
      <w:r w:rsidR="003D1C47" w:rsidRPr="00433DD5">
        <w:rPr>
          <w:rFonts w:asciiTheme="majorBidi" w:hAnsiTheme="majorBidi" w:cstheme="majorBidi"/>
        </w:rPr>
        <w:t xml:space="preserve">de la educación superior </w:t>
      </w:r>
      <w:r w:rsidR="00A72249" w:rsidRPr="00433DD5">
        <w:rPr>
          <w:rFonts w:asciiTheme="majorBidi" w:hAnsiTheme="majorBidi" w:cstheme="majorBidi"/>
        </w:rPr>
        <w:t>se complejiza por</w:t>
      </w:r>
      <w:r w:rsidR="003D1C47" w:rsidRPr="00433DD5">
        <w:rPr>
          <w:rFonts w:asciiTheme="majorBidi" w:hAnsiTheme="majorBidi" w:cstheme="majorBidi"/>
        </w:rPr>
        <w:t>que</w:t>
      </w:r>
      <w:r w:rsidR="008D6E43" w:rsidRPr="00433DD5">
        <w:rPr>
          <w:rFonts w:asciiTheme="majorBidi" w:hAnsiTheme="majorBidi" w:cstheme="majorBidi"/>
        </w:rPr>
        <w:t>,</w:t>
      </w:r>
      <w:r w:rsidR="003D1C47" w:rsidRPr="00433DD5">
        <w:rPr>
          <w:rFonts w:asciiTheme="majorBidi" w:hAnsiTheme="majorBidi" w:cstheme="majorBidi"/>
        </w:rPr>
        <w:t xml:space="preserve"> a las grandes responsabilidades de ampliación de la cobertura</w:t>
      </w:r>
      <w:r w:rsidR="00F93E54" w:rsidRPr="00433DD5">
        <w:rPr>
          <w:rFonts w:asciiTheme="majorBidi" w:hAnsiTheme="majorBidi" w:cstheme="majorBidi"/>
        </w:rPr>
        <w:t xml:space="preserve">, </w:t>
      </w:r>
      <w:r w:rsidR="004F1057" w:rsidRPr="00433DD5">
        <w:rPr>
          <w:rFonts w:asciiTheme="majorBidi" w:hAnsiTheme="majorBidi" w:cstheme="majorBidi"/>
        </w:rPr>
        <w:t xml:space="preserve">como </w:t>
      </w:r>
      <w:r w:rsidR="00F93E54" w:rsidRPr="00433DD5">
        <w:rPr>
          <w:rFonts w:asciiTheme="majorBidi" w:hAnsiTheme="majorBidi" w:cstheme="majorBidi"/>
        </w:rPr>
        <w:t xml:space="preserve">la consigna de ofrecer una educación de calidad, se le adhiere el tema de la gratuidad, </w:t>
      </w:r>
      <w:r w:rsidR="00B93035" w:rsidRPr="00433DD5">
        <w:rPr>
          <w:rFonts w:asciiTheme="majorBidi" w:hAnsiTheme="majorBidi" w:cstheme="majorBidi"/>
        </w:rPr>
        <w:t xml:space="preserve">lo cual sitúa </w:t>
      </w:r>
      <w:r w:rsidR="00FF5A19" w:rsidRPr="00433DD5">
        <w:rPr>
          <w:rFonts w:asciiTheme="majorBidi" w:hAnsiTheme="majorBidi" w:cstheme="majorBidi"/>
        </w:rPr>
        <w:t xml:space="preserve">a las universidades </w:t>
      </w:r>
      <w:r w:rsidR="00897BBD" w:rsidRPr="00433DD5">
        <w:rPr>
          <w:rFonts w:asciiTheme="majorBidi" w:hAnsiTheme="majorBidi" w:cstheme="majorBidi"/>
        </w:rPr>
        <w:t xml:space="preserve">en condiciones </w:t>
      </w:r>
      <w:r w:rsidR="008A4A72" w:rsidRPr="00433DD5">
        <w:rPr>
          <w:rFonts w:asciiTheme="majorBidi" w:hAnsiTheme="majorBidi" w:cstheme="majorBidi"/>
        </w:rPr>
        <w:t>de emergencia por la búsqueda de recursos</w:t>
      </w:r>
      <w:r w:rsidR="00BE239F" w:rsidRPr="00433DD5">
        <w:rPr>
          <w:rFonts w:asciiTheme="majorBidi" w:hAnsiTheme="majorBidi" w:cstheme="majorBidi"/>
        </w:rPr>
        <w:t xml:space="preserve"> ext</w:t>
      </w:r>
      <w:r w:rsidR="006C570D" w:rsidRPr="00433DD5">
        <w:rPr>
          <w:rFonts w:asciiTheme="majorBidi" w:hAnsiTheme="majorBidi" w:cstheme="majorBidi"/>
        </w:rPr>
        <w:t>ernos. Al contar únicamente con el presupuesto ordinario</w:t>
      </w:r>
      <w:r w:rsidR="00644981" w:rsidRPr="00433DD5">
        <w:rPr>
          <w:rFonts w:asciiTheme="majorBidi" w:hAnsiTheme="majorBidi" w:cstheme="majorBidi"/>
        </w:rPr>
        <w:t>,</w:t>
      </w:r>
      <w:r w:rsidR="006C570D" w:rsidRPr="00433DD5">
        <w:rPr>
          <w:rFonts w:asciiTheme="majorBidi" w:hAnsiTheme="majorBidi" w:cstheme="majorBidi"/>
        </w:rPr>
        <w:t xml:space="preserve"> </w:t>
      </w:r>
      <w:r w:rsidR="0021306F" w:rsidRPr="00433DD5">
        <w:rPr>
          <w:rFonts w:asciiTheme="majorBidi" w:hAnsiTheme="majorBidi" w:cstheme="majorBidi"/>
        </w:rPr>
        <w:t xml:space="preserve">es difícil mejorar de manera </w:t>
      </w:r>
      <w:r w:rsidR="006839E6" w:rsidRPr="00433DD5">
        <w:rPr>
          <w:rFonts w:asciiTheme="majorBidi" w:hAnsiTheme="majorBidi" w:cstheme="majorBidi"/>
        </w:rPr>
        <w:t xml:space="preserve">sustancial </w:t>
      </w:r>
      <w:r w:rsidR="0021306F" w:rsidRPr="00433DD5">
        <w:rPr>
          <w:rFonts w:asciiTheme="majorBidi" w:hAnsiTheme="majorBidi" w:cstheme="majorBidi"/>
        </w:rPr>
        <w:t xml:space="preserve">sus </w:t>
      </w:r>
      <w:r w:rsidR="006C570D" w:rsidRPr="00433DD5">
        <w:rPr>
          <w:rFonts w:asciiTheme="majorBidi" w:hAnsiTheme="majorBidi" w:cstheme="majorBidi"/>
        </w:rPr>
        <w:t xml:space="preserve">principales indicadores de calidad. </w:t>
      </w:r>
      <w:r w:rsidR="00F608B3" w:rsidRPr="00433DD5">
        <w:rPr>
          <w:rFonts w:asciiTheme="majorBidi" w:hAnsiTheme="majorBidi" w:cstheme="majorBidi"/>
        </w:rPr>
        <w:t>P</w:t>
      </w:r>
      <w:r w:rsidR="006C570D" w:rsidRPr="00433DD5">
        <w:rPr>
          <w:rFonts w:asciiTheme="majorBidi" w:hAnsiTheme="majorBidi" w:cstheme="majorBidi"/>
        </w:rPr>
        <w:t>or ello</w:t>
      </w:r>
      <w:r w:rsidR="007C7D3F" w:rsidRPr="00433DD5">
        <w:rPr>
          <w:rFonts w:asciiTheme="majorBidi" w:hAnsiTheme="majorBidi" w:cstheme="majorBidi"/>
        </w:rPr>
        <w:t>,</w:t>
      </w:r>
      <w:r w:rsidR="006C570D" w:rsidRPr="00433DD5">
        <w:rPr>
          <w:rFonts w:asciiTheme="majorBidi" w:hAnsiTheme="majorBidi" w:cstheme="majorBidi"/>
        </w:rPr>
        <w:t xml:space="preserve"> </w:t>
      </w:r>
      <w:r w:rsidR="00B80C65" w:rsidRPr="00433DD5">
        <w:rPr>
          <w:rFonts w:asciiTheme="majorBidi" w:hAnsiTheme="majorBidi" w:cstheme="majorBidi"/>
        </w:rPr>
        <w:t xml:space="preserve">se advierte que </w:t>
      </w:r>
      <w:r w:rsidR="006C570D" w:rsidRPr="00433DD5">
        <w:rPr>
          <w:rFonts w:asciiTheme="majorBidi" w:hAnsiTheme="majorBidi" w:cstheme="majorBidi"/>
        </w:rPr>
        <w:t>“</w:t>
      </w:r>
      <w:r w:rsidR="00644981" w:rsidRPr="00433DD5">
        <w:rPr>
          <w:rFonts w:asciiTheme="majorBidi" w:hAnsiTheme="majorBidi" w:cstheme="majorBidi"/>
        </w:rPr>
        <w:t>e</w:t>
      </w:r>
      <w:r w:rsidR="006C570D" w:rsidRPr="00433DD5">
        <w:rPr>
          <w:rFonts w:asciiTheme="majorBidi" w:hAnsiTheme="majorBidi" w:cstheme="majorBidi"/>
        </w:rPr>
        <w:t>l problema de la calidad va de la mano de la masificación en un contexto de restricciones financieras” (Licandro y Yepes, 2018, p. 3)</w:t>
      </w:r>
      <w:r w:rsidR="00FF341D" w:rsidRPr="00433DD5">
        <w:rPr>
          <w:rFonts w:asciiTheme="majorBidi" w:hAnsiTheme="majorBidi" w:cstheme="majorBidi"/>
        </w:rPr>
        <w:t>.</w:t>
      </w:r>
    </w:p>
    <w:p w14:paraId="3ED1A6E1" w14:textId="316BA932" w:rsidR="00497A26" w:rsidRPr="00433DD5" w:rsidRDefault="00EB3C3F" w:rsidP="001A0378">
      <w:pPr>
        <w:spacing w:line="360" w:lineRule="auto"/>
        <w:ind w:firstLine="709"/>
        <w:contextualSpacing/>
        <w:jc w:val="both"/>
        <w:rPr>
          <w:rFonts w:asciiTheme="majorBidi" w:hAnsiTheme="majorBidi" w:cstheme="majorBidi"/>
        </w:rPr>
      </w:pPr>
      <w:r w:rsidRPr="00433DD5">
        <w:rPr>
          <w:rFonts w:asciiTheme="majorBidi" w:hAnsiTheme="majorBidi" w:cstheme="majorBidi"/>
        </w:rPr>
        <w:t xml:space="preserve">La </w:t>
      </w:r>
      <w:r w:rsidR="006D2D4C" w:rsidRPr="00433DD5">
        <w:rPr>
          <w:rFonts w:asciiTheme="majorBidi" w:hAnsiTheme="majorBidi" w:cstheme="majorBidi"/>
        </w:rPr>
        <w:t>e</w:t>
      </w:r>
      <w:r w:rsidRPr="00433DD5">
        <w:rPr>
          <w:rFonts w:asciiTheme="majorBidi" w:hAnsiTheme="majorBidi" w:cstheme="majorBidi"/>
        </w:rPr>
        <w:t>ducación en México es vista como uno de los factores de desarrollo, pieza clave para la definición de políticas públicas</w:t>
      </w:r>
      <w:r w:rsidR="00BE41DE" w:rsidRPr="00433DD5">
        <w:rPr>
          <w:rFonts w:asciiTheme="majorBidi" w:hAnsiTheme="majorBidi" w:cstheme="majorBidi"/>
        </w:rPr>
        <w:t xml:space="preserve">. De hecho, </w:t>
      </w:r>
      <w:r w:rsidR="00EB39D1" w:rsidRPr="00433DD5">
        <w:rPr>
          <w:rFonts w:asciiTheme="majorBidi" w:hAnsiTheme="majorBidi" w:cstheme="majorBidi"/>
        </w:rPr>
        <w:t>se ha traducido en</w:t>
      </w:r>
      <w:r w:rsidR="00E70031" w:rsidRPr="00433DD5">
        <w:rPr>
          <w:rFonts w:asciiTheme="majorBidi" w:hAnsiTheme="majorBidi" w:cstheme="majorBidi"/>
        </w:rPr>
        <w:t xml:space="preserve"> </w:t>
      </w:r>
      <w:r w:rsidRPr="00433DD5">
        <w:rPr>
          <w:rFonts w:asciiTheme="majorBidi" w:hAnsiTheme="majorBidi" w:cstheme="majorBidi"/>
        </w:rPr>
        <w:t xml:space="preserve">un gasto creciente en el </w:t>
      </w:r>
      <w:r w:rsidR="00391299" w:rsidRPr="00433DD5">
        <w:rPr>
          <w:rFonts w:asciiTheme="majorBidi" w:hAnsiTheme="majorBidi" w:cstheme="majorBidi"/>
        </w:rPr>
        <w:t xml:space="preserve">producto interno bruto </w:t>
      </w:r>
      <w:r w:rsidR="00053219" w:rsidRPr="00433DD5">
        <w:rPr>
          <w:rFonts w:asciiTheme="majorBidi" w:hAnsiTheme="majorBidi" w:cstheme="majorBidi"/>
        </w:rPr>
        <w:t>(</w:t>
      </w:r>
      <w:r w:rsidRPr="00433DD5">
        <w:rPr>
          <w:rFonts w:asciiTheme="majorBidi" w:hAnsiTheme="majorBidi" w:cstheme="majorBidi"/>
        </w:rPr>
        <w:t>PIB</w:t>
      </w:r>
      <w:r w:rsidR="00053219" w:rsidRPr="00433DD5">
        <w:rPr>
          <w:rFonts w:asciiTheme="majorBidi" w:hAnsiTheme="majorBidi" w:cstheme="majorBidi"/>
        </w:rPr>
        <w:t>)</w:t>
      </w:r>
      <w:r w:rsidRPr="00433DD5">
        <w:rPr>
          <w:rFonts w:asciiTheme="majorBidi" w:hAnsiTheme="majorBidi" w:cstheme="majorBidi"/>
        </w:rPr>
        <w:t xml:space="preserve"> </w:t>
      </w:r>
      <w:r w:rsidR="0003494D" w:rsidRPr="00433DD5">
        <w:rPr>
          <w:rFonts w:asciiTheme="majorBidi" w:hAnsiTheme="majorBidi" w:cstheme="majorBidi"/>
        </w:rPr>
        <w:t>d</w:t>
      </w:r>
      <w:r w:rsidRPr="00433DD5">
        <w:rPr>
          <w:rFonts w:asciiTheme="majorBidi" w:hAnsiTheme="majorBidi" w:cstheme="majorBidi"/>
        </w:rPr>
        <w:t>e los últimos 20 años. S</w:t>
      </w:r>
      <w:r w:rsidR="0086628D" w:rsidRPr="00433DD5">
        <w:rPr>
          <w:rFonts w:asciiTheme="majorBidi" w:hAnsiTheme="majorBidi" w:cstheme="majorBidi"/>
        </w:rPr>
        <w:t xml:space="preserve">egún datos de la Organización para la Cooperación y el Desarrollo Económicos </w:t>
      </w:r>
      <w:r w:rsidR="00F65B1E" w:rsidRPr="00433DD5">
        <w:rPr>
          <w:rFonts w:asciiTheme="majorBidi" w:hAnsiTheme="majorBidi" w:cstheme="majorBidi"/>
        </w:rPr>
        <w:t>(</w:t>
      </w:r>
      <w:r w:rsidR="0086628D" w:rsidRPr="00433DD5">
        <w:rPr>
          <w:rFonts w:asciiTheme="majorBidi" w:hAnsiTheme="majorBidi" w:cstheme="majorBidi"/>
        </w:rPr>
        <w:t>OCDE</w:t>
      </w:r>
      <w:r w:rsidR="00F65B1E" w:rsidRPr="00433DD5">
        <w:rPr>
          <w:rFonts w:asciiTheme="majorBidi" w:hAnsiTheme="majorBidi" w:cstheme="majorBidi"/>
        </w:rPr>
        <w:t>)</w:t>
      </w:r>
      <w:r w:rsidR="003A4FC1" w:rsidRPr="00433DD5">
        <w:rPr>
          <w:rFonts w:asciiTheme="majorBidi" w:hAnsiTheme="majorBidi" w:cstheme="majorBidi"/>
        </w:rPr>
        <w:t>,</w:t>
      </w:r>
      <w:r w:rsidR="001B5434" w:rsidRPr="00433DD5">
        <w:rPr>
          <w:rFonts w:asciiTheme="majorBidi" w:hAnsiTheme="majorBidi" w:cstheme="majorBidi"/>
        </w:rPr>
        <w:t xml:space="preserve"> </w:t>
      </w:r>
      <w:r w:rsidR="003B5E7C" w:rsidRPr="00433DD5">
        <w:rPr>
          <w:rFonts w:asciiTheme="majorBidi" w:hAnsiTheme="majorBidi" w:cstheme="majorBidi"/>
        </w:rPr>
        <w:t xml:space="preserve">incluso comparado </w:t>
      </w:r>
      <w:r w:rsidR="001B5434" w:rsidRPr="00433DD5">
        <w:rPr>
          <w:rFonts w:asciiTheme="majorBidi" w:hAnsiTheme="majorBidi" w:cstheme="majorBidi"/>
        </w:rPr>
        <w:t>con otros países,</w:t>
      </w:r>
      <w:r w:rsidR="003A4FC1" w:rsidRPr="00433DD5">
        <w:rPr>
          <w:rFonts w:asciiTheme="majorBidi" w:hAnsiTheme="majorBidi" w:cstheme="majorBidi"/>
        </w:rPr>
        <w:t xml:space="preserve"> México </w:t>
      </w:r>
      <w:r w:rsidRPr="00433DD5">
        <w:rPr>
          <w:rFonts w:asciiTheme="majorBidi" w:hAnsiTheme="majorBidi" w:cstheme="majorBidi"/>
          <w:iCs/>
        </w:rPr>
        <w:t xml:space="preserve">destina </w:t>
      </w:r>
      <w:r w:rsidR="00AC1A84" w:rsidRPr="00433DD5">
        <w:rPr>
          <w:rFonts w:asciiTheme="majorBidi" w:hAnsiTheme="majorBidi" w:cstheme="majorBidi"/>
          <w:iCs/>
        </w:rPr>
        <w:t xml:space="preserve">una </w:t>
      </w:r>
      <w:r w:rsidRPr="00433DD5">
        <w:rPr>
          <w:rFonts w:asciiTheme="majorBidi" w:hAnsiTheme="majorBidi" w:cstheme="majorBidi"/>
          <w:iCs/>
        </w:rPr>
        <w:t>gran</w:t>
      </w:r>
      <w:r w:rsidR="0086628D" w:rsidRPr="00433DD5">
        <w:rPr>
          <w:rFonts w:asciiTheme="majorBidi" w:hAnsiTheme="majorBidi" w:cstheme="majorBidi"/>
          <w:iCs/>
        </w:rPr>
        <w:t xml:space="preserve"> parte de su gasto </w:t>
      </w:r>
      <w:r w:rsidR="00AC1A84" w:rsidRPr="00433DD5">
        <w:rPr>
          <w:rFonts w:asciiTheme="majorBidi" w:hAnsiTheme="majorBidi" w:cstheme="majorBidi"/>
          <w:iCs/>
        </w:rPr>
        <w:t xml:space="preserve">educativo </w:t>
      </w:r>
      <w:r w:rsidR="0086628D" w:rsidRPr="00433DD5">
        <w:rPr>
          <w:rFonts w:asciiTheme="majorBidi" w:hAnsiTheme="majorBidi" w:cstheme="majorBidi"/>
          <w:iCs/>
        </w:rPr>
        <w:t xml:space="preserve">al </w:t>
      </w:r>
      <w:r w:rsidRPr="00433DD5">
        <w:rPr>
          <w:rFonts w:asciiTheme="majorBidi" w:hAnsiTheme="majorBidi" w:cstheme="majorBidi"/>
          <w:iCs/>
        </w:rPr>
        <w:t xml:space="preserve">gasto corriente, </w:t>
      </w:r>
      <w:r w:rsidR="003B5E7C" w:rsidRPr="00433DD5">
        <w:rPr>
          <w:rFonts w:asciiTheme="majorBidi" w:hAnsiTheme="majorBidi" w:cstheme="majorBidi"/>
          <w:iCs/>
        </w:rPr>
        <w:t xml:space="preserve">lo que deja </w:t>
      </w:r>
      <w:r w:rsidRPr="00433DD5">
        <w:rPr>
          <w:rFonts w:asciiTheme="majorBidi" w:hAnsiTheme="majorBidi" w:cstheme="majorBidi"/>
          <w:iCs/>
        </w:rPr>
        <w:t>pocos recursos para atender aspectos no-sala</w:t>
      </w:r>
      <w:r w:rsidR="0086628D" w:rsidRPr="00433DD5">
        <w:rPr>
          <w:rFonts w:asciiTheme="majorBidi" w:hAnsiTheme="majorBidi" w:cstheme="majorBidi"/>
          <w:iCs/>
        </w:rPr>
        <w:t>riales</w:t>
      </w:r>
      <w:r w:rsidR="00497A26" w:rsidRPr="00433DD5">
        <w:rPr>
          <w:rFonts w:asciiTheme="majorBidi" w:hAnsiTheme="majorBidi" w:cstheme="majorBidi"/>
          <w:iCs/>
        </w:rPr>
        <w:t>”</w:t>
      </w:r>
      <w:r w:rsidR="00BC6362" w:rsidRPr="00433DD5">
        <w:rPr>
          <w:rFonts w:asciiTheme="majorBidi" w:hAnsiTheme="majorBidi" w:cstheme="majorBidi"/>
        </w:rPr>
        <w:t xml:space="preserve"> (</w:t>
      </w:r>
      <w:r w:rsidR="00630E75" w:rsidRPr="00433DD5">
        <w:rPr>
          <w:rFonts w:asciiTheme="majorBidi" w:hAnsiTheme="majorBidi" w:cstheme="majorBidi"/>
        </w:rPr>
        <w:t>México Evalúa, 2011</w:t>
      </w:r>
      <w:r w:rsidR="005B5E7B" w:rsidRPr="00433DD5">
        <w:rPr>
          <w:rFonts w:asciiTheme="majorBidi" w:hAnsiTheme="majorBidi" w:cstheme="majorBidi"/>
        </w:rPr>
        <w:t>, p.</w:t>
      </w:r>
      <w:r w:rsidR="002B3808" w:rsidRPr="00433DD5">
        <w:rPr>
          <w:rFonts w:asciiTheme="majorBidi" w:hAnsiTheme="majorBidi" w:cstheme="majorBidi"/>
        </w:rPr>
        <w:t xml:space="preserve"> </w:t>
      </w:r>
      <w:r w:rsidR="00115201" w:rsidRPr="00433DD5">
        <w:rPr>
          <w:rFonts w:asciiTheme="majorBidi" w:hAnsiTheme="majorBidi" w:cstheme="majorBidi"/>
        </w:rPr>
        <w:t>7</w:t>
      </w:r>
      <w:r w:rsidR="00BC6362" w:rsidRPr="00433DD5">
        <w:rPr>
          <w:rFonts w:asciiTheme="majorBidi" w:hAnsiTheme="majorBidi" w:cstheme="majorBidi"/>
        </w:rPr>
        <w:t>)</w:t>
      </w:r>
      <w:r w:rsidR="0086628D" w:rsidRPr="00433DD5">
        <w:rPr>
          <w:rFonts w:asciiTheme="majorBidi" w:hAnsiTheme="majorBidi" w:cstheme="majorBidi"/>
        </w:rPr>
        <w:t>. Esta</w:t>
      </w:r>
      <w:r w:rsidRPr="00433DD5">
        <w:rPr>
          <w:rFonts w:asciiTheme="majorBidi" w:hAnsiTheme="majorBidi" w:cstheme="majorBidi"/>
        </w:rPr>
        <w:t xml:space="preserve"> realidad </w:t>
      </w:r>
      <w:r w:rsidR="0086628D" w:rsidRPr="00433DD5">
        <w:rPr>
          <w:rFonts w:asciiTheme="majorBidi" w:hAnsiTheme="majorBidi" w:cstheme="majorBidi"/>
        </w:rPr>
        <w:t>no s</w:t>
      </w:r>
      <w:r w:rsidR="00D00773" w:rsidRPr="00433DD5">
        <w:rPr>
          <w:rFonts w:asciiTheme="majorBidi" w:hAnsiTheme="majorBidi" w:cstheme="majorBidi"/>
        </w:rPr>
        <w:t>o</w:t>
      </w:r>
      <w:r w:rsidR="0086628D" w:rsidRPr="00433DD5">
        <w:rPr>
          <w:rFonts w:asciiTheme="majorBidi" w:hAnsiTheme="majorBidi" w:cstheme="majorBidi"/>
        </w:rPr>
        <w:t xml:space="preserve">lo se encuentra presente en los niveles básicos o medios, </w:t>
      </w:r>
      <w:r w:rsidRPr="00433DD5">
        <w:rPr>
          <w:rFonts w:asciiTheme="majorBidi" w:hAnsiTheme="majorBidi" w:cstheme="majorBidi"/>
        </w:rPr>
        <w:t xml:space="preserve">también se ve reflejada en la educación superior. </w:t>
      </w:r>
    </w:p>
    <w:p w14:paraId="2D6E96B1" w14:textId="0E9564DD" w:rsidR="007124CA" w:rsidRPr="00433DD5" w:rsidRDefault="00497A26" w:rsidP="001A0378">
      <w:pPr>
        <w:autoSpaceDE w:val="0"/>
        <w:autoSpaceDN w:val="0"/>
        <w:adjustRightInd w:val="0"/>
        <w:spacing w:line="360" w:lineRule="auto"/>
        <w:ind w:firstLine="284"/>
        <w:jc w:val="both"/>
        <w:rPr>
          <w:rFonts w:asciiTheme="majorBidi" w:hAnsiTheme="majorBidi" w:cstheme="majorBidi"/>
        </w:rPr>
      </w:pPr>
      <w:r w:rsidRPr="00433DD5">
        <w:rPr>
          <w:rFonts w:asciiTheme="majorBidi" w:hAnsiTheme="majorBidi" w:cstheme="majorBidi"/>
          <w:lang w:val="es-ES_tradnl"/>
        </w:rPr>
        <w:tab/>
      </w:r>
      <w:r w:rsidR="0086628D" w:rsidRPr="00433DD5">
        <w:rPr>
          <w:rFonts w:asciiTheme="majorBidi" w:hAnsiTheme="majorBidi" w:cstheme="majorBidi"/>
          <w:lang w:val="es-ES_tradnl"/>
        </w:rPr>
        <w:t>Por lo anterior</w:t>
      </w:r>
      <w:r w:rsidR="00821F8E" w:rsidRPr="00433DD5">
        <w:rPr>
          <w:rFonts w:asciiTheme="majorBidi" w:hAnsiTheme="majorBidi" w:cstheme="majorBidi"/>
          <w:lang w:val="es-ES_tradnl"/>
        </w:rPr>
        <w:t xml:space="preserve">, es importante </w:t>
      </w:r>
      <w:r w:rsidR="0082549C" w:rsidRPr="00433DD5">
        <w:rPr>
          <w:rFonts w:asciiTheme="majorBidi" w:hAnsiTheme="majorBidi" w:cstheme="majorBidi"/>
          <w:lang w:val="es-ES_tradnl"/>
        </w:rPr>
        <w:t>analizar</w:t>
      </w:r>
      <w:r w:rsidR="00E70DB7" w:rsidRPr="00433DD5">
        <w:rPr>
          <w:rFonts w:asciiTheme="majorBidi" w:hAnsiTheme="majorBidi" w:cstheme="majorBidi"/>
          <w:lang w:val="es-ES_tradnl"/>
        </w:rPr>
        <w:t xml:space="preserve"> </w:t>
      </w:r>
      <w:r w:rsidR="00B80C65" w:rsidRPr="00433DD5">
        <w:rPr>
          <w:rFonts w:asciiTheme="majorBidi" w:hAnsiTheme="majorBidi" w:cstheme="majorBidi"/>
          <w:lang w:val="es-ES_tradnl"/>
        </w:rPr>
        <w:t xml:space="preserve">cómo las universidades participan de fondos externos para alcanzar sus metas, </w:t>
      </w:r>
      <w:r w:rsidR="00115201" w:rsidRPr="00433DD5">
        <w:rPr>
          <w:rFonts w:asciiTheme="majorBidi" w:hAnsiTheme="majorBidi" w:cstheme="majorBidi"/>
          <w:lang w:val="es-ES_tradnl"/>
        </w:rPr>
        <w:t xml:space="preserve">y </w:t>
      </w:r>
      <w:r w:rsidR="00B80C65" w:rsidRPr="00433DD5">
        <w:rPr>
          <w:rFonts w:asciiTheme="majorBidi" w:hAnsiTheme="majorBidi" w:cstheme="majorBidi"/>
          <w:lang w:val="es-ES_tradnl"/>
        </w:rPr>
        <w:t xml:space="preserve">en este caso </w:t>
      </w:r>
      <w:r w:rsidR="00AC32F9" w:rsidRPr="00433DD5">
        <w:rPr>
          <w:rFonts w:asciiTheme="majorBidi" w:hAnsiTheme="majorBidi" w:cstheme="majorBidi"/>
          <w:lang w:val="es-ES_tradnl"/>
        </w:rPr>
        <w:t xml:space="preserve">se analizó </w:t>
      </w:r>
      <w:r w:rsidR="00B80C65" w:rsidRPr="00433DD5">
        <w:rPr>
          <w:rFonts w:asciiTheme="majorBidi" w:hAnsiTheme="majorBidi" w:cstheme="majorBidi"/>
          <w:lang w:val="es-ES_tradnl"/>
        </w:rPr>
        <w:t xml:space="preserve">uno de los programas que </w:t>
      </w:r>
      <w:r w:rsidR="00366082" w:rsidRPr="00433DD5">
        <w:rPr>
          <w:rFonts w:asciiTheme="majorBidi" w:hAnsiTheme="majorBidi" w:cstheme="majorBidi"/>
          <w:lang w:val="es-ES_tradnl"/>
        </w:rPr>
        <w:t xml:space="preserve">surgió </w:t>
      </w:r>
      <w:r w:rsidR="00A801CB" w:rsidRPr="00433DD5">
        <w:rPr>
          <w:rFonts w:asciiTheme="majorBidi" w:hAnsiTheme="majorBidi" w:cstheme="majorBidi"/>
          <w:lang w:val="es-ES_tradnl"/>
        </w:rPr>
        <w:t>desde</w:t>
      </w:r>
      <w:r w:rsidR="00AC32F9" w:rsidRPr="00433DD5">
        <w:rPr>
          <w:rFonts w:asciiTheme="majorBidi" w:hAnsiTheme="majorBidi" w:cstheme="majorBidi"/>
          <w:lang w:val="es-ES_tradnl"/>
        </w:rPr>
        <w:t xml:space="preserve"> el</w:t>
      </w:r>
      <w:r w:rsidR="00366082" w:rsidRPr="00433DD5">
        <w:rPr>
          <w:rFonts w:asciiTheme="majorBidi" w:hAnsiTheme="majorBidi" w:cstheme="majorBidi"/>
          <w:lang w:val="es-ES_tradnl"/>
        </w:rPr>
        <w:t xml:space="preserve"> año 2001</w:t>
      </w:r>
      <w:r w:rsidR="00AC32F9" w:rsidRPr="00433DD5">
        <w:rPr>
          <w:rFonts w:asciiTheme="majorBidi" w:hAnsiTheme="majorBidi" w:cstheme="majorBidi"/>
          <w:lang w:val="es-ES_tradnl"/>
        </w:rPr>
        <w:t>.</w:t>
      </w:r>
      <w:r w:rsidR="00A15C16" w:rsidRPr="00433DD5">
        <w:rPr>
          <w:rFonts w:asciiTheme="majorBidi" w:hAnsiTheme="majorBidi" w:cstheme="majorBidi"/>
          <w:lang w:val="es-ES_tradnl"/>
        </w:rPr>
        <w:t xml:space="preserve"> </w:t>
      </w:r>
      <w:r w:rsidR="00AC32F9" w:rsidRPr="00433DD5">
        <w:rPr>
          <w:rFonts w:asciiTheme="majorBidi" w:hAnsiTheme="majorBidi" w:cstheme="majorBidi"/>
          <w:lang w:val="es-ES_tradnl"/>
        </w:rPr>
        <w:t>A</w:t>
      </w:r>
      <w:r w:rsidR="00A15C16" w:rsidRPr="00433DD5">
        <w:rPr>
          <w:rFonts w:asciiTheme="majorBidi" w:hAnsiTheme="majorBidi" w:cstheme="majorBidi"/>
          <w:lang w:val="es-ES_tradnl"/>
        </w:rPr>
        <w:t xml:space="preserve"> lo largo de su historia</w:t>
      </w:r>
      <w:r w:rsidR="0021306F" w:rsidRPr="00433DD5">
        <w:rPr>
          <w:rFonts w:asciiTheme="majorBidi" w:hAnsiTheme="majorBidi" w:cstheme="majorBidi"/>
          <w:lang w:val="es-ES_tradnl"/>
        </w:rPr>
        <w:t>,</w:t>
      </w:r>
      <w:r w:rsidR="00A15C16" w:rsidRPr="00433DD5">
        <w:rPr>
          <w:rFonts w:asciiTheme="majorBidi" w:hAnsiTheme="majorBidi" w:cstheme="majorBidi"/>
          <w:lang w:val="es-ES_tradnl"/>
        </w:rPr>
        <w:t xml:space="preserve"> </w:t>
      </w:r>
      <w:r w:rsidR="008F4464" w:rsidRPr="00433DD5">
        <w:rPr>
          <w:rFonts w:asciiTheme="majorBidi" w:hAnsiTheme="majorBidi" w:cstheme="majorBidi"/>
          <w:lang w:val="es-ES_tradnl"/>
        </w:rPr>
        <w:t xml:space="preserve">el </w:t>
      </w:r>
      <w:r w:rsidR="00AC32F9" w:rsidRPr="00433DD5">
        <w:rPr>
          <w:rFonts w:asciiTheme="majorBidi" w:hAnsiTheme="majorBidi" w:cstheme="majorBidi"/>
          <w:lang w:val="es-ES_tradnl"/>
        </w:rPr>
        <w:t xml:space="preserve">programa </w:t>
      </w:r>
      <w:r w:rsidR="00A15C16" w:rsidRPr="00433DD5">
        <w:rPr>
          <w:rFonts w:asciiTheme="majorBidi" w:hAnsiTheme="majorBidi" w:cstheme="majorBidi"/>
          <w:lang w:val="es-ES_tradnl"/>
        </w:rPr>
        <w:t>ha tenido variantes en su denominación</w:t>
      </w:r>
      <w:r w:rsidR="00AF5D32" w:rsidRPr="00433DD5">
        <w:rPr>
          <w:rFonts w:asciiTheme="majorBidi" w:hAnsiTheme="majorBidi" w:cstheme="majorBidi"/>
          <w:lang w:val="es-ES_tradnl"/>
        </w:rPr>
        <w:t>:</w:t>
      </w:r>
      <w:r w:rsidR="00A15C16" w:rsidRPr="00433DD5">
        <w:rPr>
          <w:rFonts w:asciiTheme="majorBidi" w:hAnsiTheme="majorBidi" w:cstheme="majorBidi"/>
          <w:lang w:val="es-ES_tradnl"/>
        </w:rPr>
        <w:t xml:space="preserve"> </w:t>
      </w:r>
      <w:r w:rsidR="00AC32F9" w:rsidRPr="00433DD5">
        <w:rPr>
          <w:rFonts w:asciiTheme="majorBidi" w:hAnsiTheme="majorBidi" w:cstheme="majorBidi"/>
          <w:lang w:val="es-ES_tradnl"/>
        </w:rPr>
        <w:t xml:space="preserve">de 2001 a 2013 </w:t>
      </w:r>
      <w:r w:rsidR="00115201" w:rsidRPr="00433DD5">
        <w:rPr>
          <w:rFonts w:asciiTheme="majorBidi" w:hAnsiTheme="majorBidi" w:cstheme="majorBidi"/>
          <w:lang w:val="es-ES_tradnl"/>
        </w:rPr>
        <w:t xml:space="preserve">se llamó </w:t>
      </w:r>
      <w:r w:rsidR="00A15C16" w:rsidRPr="00433DD5">
        <w:rPr>
          <w:rFonts w:asciiTheme="majorBidi" w:hAnsiTheme="majorBidi" w:cstheme="majorBidi"/>
          <w:i/>
          <w:iCs/>
          <w:lang w:val="es-ES_tradnl"/>
        </w:rPr>
        <w:t>Programa Integral de Fortalecimiento Institucional</w:t>
      </w:r>
      <w:r w:rsidR="00A15C16" w:rsidRPr="00433DD5">
        <w:rPr>
          <w:rFonts w:asciiTheme="majorBidi" w:hAnsiTheme="majorBidi" w:cstheme="majorBidi"/>
          <w:lang w:val="es-ES_tradnl"/>
        </w:rPr>
        <w:t xml:space="preserve"> (PIFI)</w:t>
      </w:r>
      <w:r w:rsidR="00E51D6E" w:rsidRPr="00433DD5">
        <w:rPr>
          <w:rFonts w:asciiTheme="majorBidi" w:hAnsiTheme="majorBidi" w:cstheme="majorBidi"/>
          <w:lang w:val="es-ES_tradnl"/>
        </w:rPr>
        <w:t>,</w:t>
      </w:r>
      <w:r w:rsidR="00A15C16" w:rsidRPr="00433DD5">
        <w:rPr>
          <w:rFonts w:asciiTheme="majorBidi" w:hAnsiTheme="majorBidi" w:cstheme="majorBidi"/>
          <w:lang w:val="es-ES_tradnl"/>
        </w:rPr>
        <w:t xml:space="preserve"> </w:t>
      </w:r>
      <w:r w:rsidR="00AF5D32" w:rsidRPr="00433DD5">
        <w:rPr>
          <w:rFonts w:asciiTheme="majorBidi" w:hAnsiTheme="majorBidi" w:cstheme="majorBidi"/>
          <w:lang w:val="es-ES_tradnl"/>
        </w:rPr>
        <w:t>de 2014 a 2015</w:t>
      </w:r>
      <w:r w:rsidR="000220B6" w:rsidRPr="00433DD5">
        <w:rPr>
          <w:rFonts w:asciiTheme="majorBidi" w:hAnsiTheme="majorBidi" w:cstheme="majorBidi"/>
          <w:lang w:val="es-ES_tradnl"/>
        </w:rPr>
        <w:t>,</w:t>
      </w:r>
      <w:r w:rsidR="00AF5D32" w:rsidRPr="00433DD5">
        <w:rPr>
          <w:rFonts w:asciiTheme="majorBidi" w:hAnsiTheme="majorBidi" w:cstheme="majorBidi"/>
          <w:lang w:val="es-ES_tradnl"/>
        </w:rPr>
        <w:t xml:space="preserve"> </w:t>
      </w:r>
      <w:r w:rsidR="00686D31" w:rsidRPr="00433DD5">
        <w:rPr>
          <w:rFonts w:asciiTheme="majorBidi" w:hAnsiTheme="majorBidi" w:cstheme="majorBidi"/>
          <w:i/>
          <w:iCs/>
          <w:lang w:val="es-ES_tradnl"/>
        </w:rPr>
        <w:t>Programa de Fortalecimiento de la Calidad de Instituciones Educativas</w:t>
      </w:r>
      <w:r w:rsidR="00686D31" w:rsidRPr="00433DD5">
        <w:rPr>
          <w:rFonts w:asciiTheme="majorBidi" w:hAnsiTheme="majorBidi" w:cstheme="majorBidi"/>
          <w:lang w:val="es-ES_tradnl"/>
        </w:rPr>
        <w:t xml:space="preserve"> (</w:t>
      </w:r>
      <w:r w:rsidR="000220B6" w:rsidRPr="00433DD5">
        <w:rPr>
          <w:rFonts w:asciiTheme="majorBidi" w:hAnsiTheme="majorBidi" w:cstheme="majorBidi"/>
          <w:lang w:val="es-ES_tradnl"/>
        </w:rPr>
        <w:t>Profocie</w:t>
      </w:r>
      <w:r w:rsidR="00686D31" w:rsidRPr="00433DD5">
        <w:rPr>
          <w:rFonts w:asciiTheme="majorBidi" w:hAnsiTheme="majorBidi" w:cstheme="majorBidi"/>
          <w:lang w:val="es-ES_tradnl"/>
        </w:rPr>
        <w:t>)</w:t>
      </w:r>
      <w:r w:rsidR="00E51D6E" w:rsidRPr="00433DD5">
        <w:rPr>
          <w:rFonts w:asciiTheme="majorBidi" w:hAnsiTheme="majorBidi" w:cstheme="majorBidi"/>
          <w:lang w:val="es-ES_tradnl"/>
        </w:rPr>
        <w:t>,</w:t>
      </w:r>
      <w:r w:rsidR="00AF5D32" w:rsidRPr="00433DD5">
        <w:rPr>
          <w:rFonts w:asciiTheme="majorBidi" w:hAnsiTheme="majorBidi" w:cstheme="majorBidi"/>
          <w:lang w:val="es-ES_tradnl"/>
        </w:rPr>
        <w:t xml:space="preserve"> de 2016 a 2019</w:t>
      </w:r>
      <w:r w:rsidR="000220B6" w:rsidRPr="00433DD5">
        <w:rPr>
          <w:rFonts w:asciiTheme="majorBidi" w:hAnsiTheme="majorBidi" w:cstheme="majorBidi"/>
          <w:lang w:val="es-ES_tradnl"/>
        </w:rPr>
        <w:t>,</w:t>
      </w:r>
      <w:r w:rsidR="00AF5D32" w:rsidRPr="00433DD5">
        <w:rPr>
          <w:rFonts w:asciiTheme="majorBidi" w:hAnsiTheme="majorBidi" w:cstheme="majorBidi"/>
          <w:lang w:val="es-ES_tradnl"/>
        </w:rPr>
        <w:t xml:space="preserve"> </w:t>
      </w:r>
      <w:r w:rsidR="00686D31" w:rsidRPr="00433DD5">
        <w:rPr>
          <w:rFonts w:asciiTheme="majorBidi" w:hAnsiTheme="majorBidi" w:cstheme="majorBidi"/>
          <w:i/>
          <w:iCs/>
          <w:lang w:val="es-ES_tradnl"/>
        </w:rPr>
        <w:t xml:space="preserve">Programa de Fortalecimiento de la Calidad </w:t>
      </w:r>
      <w:r w:rsidR="00686D31" w:rsidRPr="00433DD5">
        <w:rPr>
          <w:rFonts w:asciiTheme="majorBidi" w:hAnsiTheme="majorBidi" w:cstheme="majorBidi"/>
          <w:i/>
          <w:iCs/>
          <w:lang w:val="es-ES_tradnl"/>
        </w:rPr>
        <w:lastRenderedPageBreak/>
        <w:t>Educativa</w:t>
      </w:r>
      <w:r w:rsidR="00686D31" w:rsidRPr="00433DD5">
        <w:rPr>
          <w:rFonts w:asciiTheme="majorBidi" w:hAnsiTheme="majorBidi" w:cstheme="majorBidi"/>
          <w:lang w:val="es-ES_tradnl"/>
        </w:rPr>
        <w:t xml:space="preserve"> (PFCE)</w:t>
      </w:r>
      <w:r w:rsidR="00AF5D32" w:rsidRPr="00433DD5">
        <w:rPr>
          <w:rFonts w:asciiTheme="majorBidi" w:hAnsiTheme="majorBidi" w:cstheme="majorBidi"/>
          <w:lang w:val="es-ES_tradnl"/>
        </w:rPr>
        <w:t xml:space="preserve"> y de 2020 a 2021</w:t>
      </w:r>
      <w:r w:rsidR="000220B6" w:rsidRPr="00433DD5">
        <w:rPr>
          <w:rFonts w:asciiTheme="majorBidi" w:hAnsiTheme="majorBidi" w:cstheme="majorBidi"/>
          <w:lang w:val="es-ES_tradnl"/>
        </w:rPr>
        <w:t>,</w:t>
      </w:r>
      <w:r w:rsidR="00AF5D32" w:rsidRPr="00433DD5">
        <w:rPr>
          <w:rFonts w:asciiTheme="majorBidi" w:hAnsiTheme="majorBidi" w:cstheme="majorBidi"/>
          <w:lang w:val="es-ES_tradnl"/>
        </w:rPr>
        <w:t xml:space="preserve"> </w:t>
      </w:r>
      <w:r w:rsidR="00AF5D32" w:rsidRPr="00433DD5">
        <w:rPr>
          <w:i/>
          <w:iCs/>
          <w:lang w:val="es-ES_tradnl"/>
        </w:rPr>
        <w:t>Programa de Fortalecimiento a la Calidad Educativa</w:t>
      </w:r>
      <w:r w:rsidR="00E51D6E" w:rsidRPr="00433DD5">
        <w:rPr>
          <w:lang w:val="es-ES_tradnl"/>
        </w:rPr>
        <w:t xml:space="preserve"> (</w:t>
      </w:r>
      <w:r w:rsidR="001A0378" w:rsidRPr="00433DD5">
        <w:rPr>
          <w:lang w:val="es-ES_tradnl"/>
        </w:rPr>
        <w:t>Profexce</w:t>
      </w:r>
      <w:r w:rsidR="00E51D6E" w:rsidRPr="00433DD5">
        <w:rPr>
          <w:lang w:val="es-ES_tradnl"/>
        </w:rPr>
        <w:t>)</w:t>
      </w:r>
      <w:r w:rsidR="00AF5D32" w:rsidRPr="00433DD5">
        <w:rPr>
          <w:lang w:val="es-ES_tradnl"/>
        </w:rPr>
        <w:t>.</w:t>
      </w:r>
      <w:r w:rsidR="00686D31" w:rsidRPr="00433DD5">
        <w:rPr>
          <w:rFonts w:asciiTheme="majorBidi" w:hAnsiTheme="majorBidi" w:cstheme="majorBidi"/>
          <w:lang w:val="es-ES_tradnl"/>
        </w:rPr>
        <w:t xml:space="preserve"> De esta </w:t>
      </w:r>
      <w:r w:rsidR="00E70DB7" w:rsidRPr="00433DD5">
        <w:rPr>
          <w:rFonts w:asciiTheme="majorBidi" w:hAnsiTheme="majorBidi" w:cstheme="majorBidi"/>
          <w:lang w:val="es-ES_tradnl"/>
        </w:rPr>
        <w:t>manera</w:t>
      </w:r>
      <w:r w:rsidR="004E4C3B" w:rsidRPr="00433DD5">
        <w:rPr>
          <w:rFonts w:asciiTheme="majorBidi" w:hAnsiTheme="majorBidi" w:cstheme="majorBidi"/>
          <w:lang w:val="es-ES_tradnl"/>
        </w:rPr>
        <w:t>,</w:t>
      </w:r>
      <w:r w:rsidR="00E70DB7" w:rsidRPr="00433DD5">
        <w:rPr>
          <w:rFonts w:asciiTheme="majorBidi" w:hAnsiTheme="majorBidi" w:cstheme="majorBidi"/>
          <w:lang w:val="es-ES_tradnl"/>
        </w:rPr>
        <w:t xml:space="preserve"> </w:t>
      </w:r>
      <w:r w:rsidR="00D16968" w:rsidRPr="00433DD5">
        <w:rPr>
          <w:rFonts w:asciiTheme="majorBidi" w:hAnsiTheme="majorBidi" w:cstheme="majorBidi"/>
          <w:lang w:val="es-ES_tradnl"/>
        </w:rPr>
        <w:t xml:space="preserve">se </w:t>
      </w:r>
      <w:r w:rsidR="00686D31" w:rsidRPr="00433DD5">
        <w:rPr>
          <w:rFonts w:asciiTheme="majorBidi" w:hAnsiTheme="majorBidi" w:cstheme="majorBidi"/>
          <w:lang w:val="es-ES_tradnl"/>
        </w:rPr>
        <w:t>propus</w:t>
      </w:r>
      <w:r w:rsidR="00D16968" w:rsidRPr="00433DD5">
        <w:rPr>
          <w:rFonts w:asciiTheme="majorBidi" w:hAnsiTheme="majorBidi" w:cstheme="majorBidi"/>
          <w:lang w:val="es-ES_tradnl"/>
        </w:rPr>
        <w:t>o</w:t>
      </w:r>
      <w:r w:rsidR="00686D31" w:rsidRPr="00433DD5">
        <w:rPr>
          <w:rFonts w:asciiTheme="majorBidi" w:hAnsiTheme="majorBidi" w:cstheme="majorBidi"/>
          <w:lang w:val="es-ES_tradnl"/>
        </w:rPr>
        <w:t xml:space="preserve"> revisar la forma en </w:t>
      </w:r>
      <w:r w:rsidR="00E70DB7" w:rsidRPr="00433DD5">
        <w:rPr>
          <w:rFonts w:asciiTheme="majorBidi" w:hAnsiTheme="majorBidi" w:cstheme="majorBidi"/>
          <w:lang w:val="es-ES_tradnl"/>
        </w:rPr>
        <w:t>que opera</w:t>
      </w:r>
      <w:r w:rsidR="00686D31" w:rsidRPr="00433DD5">
        <w:rPr>
          <w:rFonts w:asciiTheme="majorBidi" w:hAnsiTheme="majorBidi" w:cstheme="majorBidi"/>
          <w:lang w:val="es-ES_tradnl"/>
        </w:rPr>
        <w:t xml:space="preserve"> particularmente</w:t>
      </w:r>
      <w:r w:rsidR="00E70DB7" w:rsidRPr="00433DD5">
        <w:rPr>
          <w:rFonts w:asciiTheme="majorBidi" w:hAnsiTheme="majorBidi" w:cstheme="majorBidi"/>
          <w:lang w:val="es-ES_tradnl"/>
        </w:rPr>
        <w:t xml:space="preserve"> en la Universidad Veracruzana</w:t>
      </w:r>
      <w:r w:rsidR="008A2F92" w:rsidRPr="00433DD5">
        <w:rPr>
          <w:rFonts w:asciiTheme="majorBidi" w:hAnsiTheme="majorBidi" w:cstheme="majorBidi"/>
          <w:lang w:val="es-ES_tradnl"/>
        </w:rPr>
        <w:t xml:space="preserve"> (UV)</w:t>
      </w:r>
      <w:r w:rsidR="00D16968" w:rsidRPr="00433DD5">
        <w:rPr>
          <w:rFonts w:asciiTheme="majorBidi" w:hAnsiTheme="majorBidi" w:cstheme="majorBidi"/>
          <w:lang w:val="es-ES_tradnl"/>
        </w:rPr>
        <w:t>, tomando en cuenta el</w:t>
      </w:r>
      <w:r w:rsidR="00A22979" w:rsidRPr="00433DD5">
        <w:rPr>
          <w:rFonts w:asciiTheme="majorBidi" w:hAnsiTheme="majorBidi" w:cstheme="majorBidi"/>
          <w:lang w:val="es-ES_tradnl"/>
        </w:rPr>
        <w:t xml:space="preserve"> </w:t>
      </w:r>
      <w:r w:rsidR="00E51D6E" w:rsidRPr="00433DD5">
        <w:rPr>
          <w:rFonts w:asciiTheme="majorBidi" w:hAnsiTheme="majorBidi" w:cstheme="majorBidi"/>
          <w:lang w:val="es-ES_tradnl"/>
        </w:rPr>
        <w:t xml:space="preserve">estudio </w:t>
      </w:r>
      <w:r w:rsidR="00A22979" w:rsidRPr="00433DD5">
        <w:rPr>
          <w:rFonts w:asciiTheme="majorBidi" w:hAnsiTheme="majorBidi" w:cstheme="majorBidi"/>
          <w:lang w:val="es-ES_tradnl"/>
        </w:rPr>
        <w:t>de t</w:t>
      </w:r>
      <w:r w:rsidR="006C570D" w:rsidRPr="00433DD5">
        <w:rPr>
          <w:rFonts w:asciiTheme="majorBidi" w:hAnsiTheme="majorBidi" w:cstheme="majorBidi"/>
          <w:lang w:val="es-ES_tradnl"/>
        </w:rPr>
        <w:t>r</w:t>
      </w:r>
      <w:r w:rsidR="00A22979" w:rsidRPr="00433DD5">
        <w:rPr>
          <w:rFonts w:asciiTheme="majorBidi" w:hAnsiTheme="majorBidi" w:cstheme="majorBidi"/>
          <w:lang w:val="es-ES_tradnl"/>
        </w:rPr>
        <w:t xml:space="preserve">es </w:t>
      </w:r>
      <w:r w:rsidR="008A2F92" w:rsidRPr="00433DD5">
        <w:rPr>
          <w:rFonts w:asciiTheme="majorBidi" w:hAnsiTheme="majorBidi" w:cstheme="majorBidi"/>
          <w:lang w:val="es-ES_tradnl"/>
        </w:rPr>
        <w:t xml:space="preserve">dependencias de educación superior </w:t>
      </w:r>
      <w:r w:rsidR="00AE452E" w:rsidRPr="00433DD5">
        <w:rPr>
          <w:rFonts w:asciiTheme="majorBidi" w:hAnsiTheme="majorBidi" w:cstheme="majorBidi"/>
          <w:lang w:val="es-ES_tradnl"/>
        </w:rPr>
        <w:t xml:space="preserve">(DES) </w:t>
      </w:r>
      <w:r w:rsidR="007D7D0B" w:rsidRPr="00433DD5">
        <w:rPr>
          <w:rFonts w:asciiTheme="majorBidi" w:hAnsiTheme="majorBidi" w:cstheme="majorBidi"/>
          <w:lang w:val="es-ES_tradnl"/>
        </w:rPr>
        <w:t>de la UV</w:t>
      </w:r>
      <w:r w:rsidR="007C7D3F" w:rsidRPr="00433DD5">
        <w:rPr>
          <w:rFonts w:asciiTheme="majorBidi" w:hAnsiTheme="majorBidi" w:cstheme="majorBidi"/>
          <w:lang w:val="es-ES_tradnl"/>
        </w:rPr>
        <w:t>,</w:t>
      </w:r>
      <w:r w:rsidR="00A22979" w:rsidRPr="00433DD5">
        <w:rPr>
          <w:rFonts w:asciiTheme="majorBidi" w:hAnsiTheme="majorBidi" w:cstheme="majorBidi"/>
          <w:lang w:val="es-ES_tradnl"/>
        </w:rPr>
        <w:t xml:space="preserve"> la forma en cómo fueron evaluadas y la asignación de recursos para cumplir con los objetivos y metas de los proyectos</w:t>
      </w:r>
      <w:r w:rsidR="00336DA7" w:rsidRPr="00433DD5">
        <w:rPr>
          <w:rFonts w:asciiTheme="majorBidi" w:hAnsiTheme="majorBidi" w:cstheme="majorBidi"/>
          <w:lang w:val="es-ES_tradnl"/>
        </w:rPr>
        <w:t xml:space="preserve"> planteados</w:t>
      </w:r>
      <w:r w:rsidR="00A22979" w:rsidRPr="00433DD5">
        <w:rPr>
          <w:rFonts w:asciiTheme="majorBidi" w:hAnsiTheme="majorBidi" w:cstheme="majorBidi"/>
          <w:lang w:val="es-ES_tradnl"/>
        </w:rPr>
        <w:t xml:space="preserve">. </w:t>
      </w:r>
      <w:r w:rsidR="008676FE" w:rsidRPr="00433DD5">
        <w:rPr>
          <w:rFonts w:asciiTheme="majorBidi" w:hAnsiTheme="majorBidi" w:cstheme="majorBidi"/>
          <w:lang w:val="es-ES_tradnl"/>
        </w:rPr>
        <w:t>A partir de ello</w:t>
      </w:r>
      <w:r w:rsidR="0011152D" w:rsidRPr="00433DD5">
        <w:rPr>
          <w:rFonts w:asciiTheme="majorBidi" w:hAnsiTheme="majorBidi" w:cstheme="majorBidi"/>
          <w:lang w:val="es-ES_tradnl"/>
        </w:rPr>
        <w:t xml:space="preserve">, se </w:t>
      </w:r>
      <w:r w:rsidR="00E51D6E" w:rsidRPr="00433DD5">
        <w:rPr>
          <w:rFonts w:asciiTheme="majorBidi" w:hAnsiTheme="majorBidi" w:cstheme="majorBidi"/>
          <w:lang w:val="es-ES_tradnl"/>
        </w:rPr>
        <w:t xml:space="preserve">analizó </w:t>
      </w:r>
      <w:r w:rsidR="008676FE" w:rsidRPr="00433DD5">
        <w:rPr>
          <w:rFonts w:asciiTheme="majorBidi" w:hAnsiTheme="majorBidi" w:cstheme="majorBidi"/>
          <w:lang w:val="es-ES_tradnl"/>
        </w:rPr>
        <w:t xml:space="preserve">cómo ocurren estos procesos y </w:t>
      </w:r>
      <w:r w:rsidR="00D16968" w:rsidRPr="00433DD5">
        <w:rPr>
          <w:rFonts w:asciiTheme="majorBidi" w:hAnsiTheme="majorBidi" w:cstheme="majorBidi"/>
          <w:lang w:val="es-ES_tradnl"/>
        </w:rPr>
        <w:t>de qué forma</w:t>
      </w:r>
      <w:r w:rsidR="008676FE" w:rsidRPr="00433DD5">
        <w:rPr>
          <w:rFonts w:asciiTheme="majorBidi" w:hAnsiTheme="majorBidi" w:cstheme="majorBidi"/>
          <w:lang w:val="es-ES_tradnl"/>
        </w:rPr>
        <w:t xml:space="preserve"> el establecimiento </w:t>
      </w:r>
      <w:r w:rsidR="00E70DB7" w:rsidRPr="00433DD5">
        <w:rPr>
          <w:rFonts w:asciiTheme="majorBidi" w:hAnsiTheme="majorBidi" w:cstheme="majorBidi"/>
          <w:lang w:val="es-ES_tradnl"/>
        </w:rPr>
        <w:t xml:space="preserve">de prioridades a nivel federal orienta ciertas tendencias en las </w:t>
      </w:r>
      <w:r w:rsidR="00E559F7" w:rsidRPr="00433DD5">
        <w:rPr>
          <w:rFonts w:asciiTheme="majorBidi" w:hAnsiTheme="majorBidi" w:cstheme="majorBidi"/>
          <w:lang w:val="es-ES_tradnl"/>
        </w:rPr>
        <w:t>IES</w:t>
      </w:r>
      <w:r w:rsidR="0062505F" w:rsidRPr="00433DD5">
        <w:rPr>
          <w:rFonts w:asciiTheme="majorBidi" w:hAnsiTheme="majorBidi" w:cstheme="majorBidi"/>
          <w:lang w:val="es-ES_tradnl"/>
        </w:rPr>
        <w:t xml:space="preserve">. Así mismo, </w:t>
      </w:r>
      <w:r w:rsidR="00E51D6E" w:rsidRPr="00433DD5">
        <w:rPr>
          <w:rFonts w:asciiTheme="majorBidi" w:hAnsiTheme="majorBidi" w:cstheme="majorBidi"/>
          <w:lang w:val="es-ES_tradnl"/>
        </w:rPr>
        <w:t xml:space="preserve">se identificó </w:t>
      </w:r>
      <w:r w:rsidR="0062505F" w:rsidRPr="00433DD5">
        <w:rPr>
          <w:rFonts w:asciiTheme="majorBidi" w:hAnsiTheme="majorBidi" w:cstheme="majorBidi"/>
          <w:lang w:val="es-ES_tradnl"/>
        </w:rPr>
        <w:t xml:space="preserve">cómo </w:t>
      </w:r>
      <w:r w:rsidR="008816AF" w:rsidRPr="00433DD5">
        <w:rPr>
          <w:rFonts w:asciiTheme="majorBidi" w:hAnsiTheme="majorBidi" w:cstheme="majorBidi"/>
          <w:lang w:val="es-ES_tradnl"/>
        </w:rPr>
        <w:t>distintas</w:t>
      </w:r>
      <w:r w:rsidR="0031576B" w:rsidRPr="00433DD5">
        <w:rPr>
          <w:rFonts w:asciiTheme="majorBidi" w:hAnsiTheme="majorBidi" w:cstheme="majorBidi"/>
          <w:lang w:val="es-ES_tradnl"/>
        </w:rPr>
        <w:t xml:space="preserve"> actividades de naturaleza académica </w:t>
      </w:r>
      <w:r w:rsidR="0062505F" w:rsidRPr="00433DD5">
        <w:rPr>
          <w:rFonts w:asciiTheme="majorBidi" w:hAnsiTheme="majorBidi" w:cstheme="majorBidi"/>
          <w:lang w:val="es-ES_tradnl"/>
        </w:rPr>
        <w:t>están circunscritas a ciertas asignaciones de fina</w:t>
      </w:r>
      <w:r w:rsidR="008816AF" w:rsidRPr="00433DD5">
        <w:rPr>
          <w:rFonts w:asciiTheme="majorBidi" w:hAnsiTheme="majorBidi" w:cstheme="majorBidi"/>
          <w:lang w:val="es-ES_tradnl"/>
        </w:rPr>
        <w:t>n</w:t>
      </w:r>
      <w:r w:rsidR="0062505F" w:rsidRPr="00433DD5">
        <w:rPr>
          <w:rFonts w:asciiTheme="majorBidi" w:hAnsiTheme="majorBidi" w:cstheme="majorBidi"/>
          <w:lang w:val="es-ES_tradnl"/>
        </w:rPr>
        <w:t>ci</w:t>
      </w:r>
      <w:r w:rsidR="008816AF" w:rsidRPr="00433DD5">
        <w:rPr>
          <w:rFonts w:asciiTheme="majorBidi" w:hAnsiTheme="majorBidi" w:cstheme="majorBidi"/>
          <w:lang w:val="es-ES_tradnl"/>
        </w:rPr>
        <w:t>a</w:t>
      </w:r>
      <w:r w:rsidR="0062505F" w:rsidRPr="00433DD5">
        <w:rPr>
          <w:rFonts w:asciiTheme="majorBidi" w:hAnsiTheme="majorBidi" w:cstheme="majorBidi"/>
          <w:lang w:val="es-ES_tradnl"/>
        </w:rPr>
        <w:t>miento</w:t>
      </w:r>
      <w:r w:rsidR="008816AF" w:rsidRPr="00433DD5">
        <w:rPr>
          <w:rFonts w:asciiTheme="majorBidi" w:hAnsiTheme="majorBidi" w:cstheme="majorBidi"/>
          <w:lang w:val="es-ES_tradnl"/>
        </w:rPr>
        <w:t xml:space="preserve"> y a las tendencias nacionales y globales de lo que se entiende por </w:t>
      </w:r>
      <w:r w:rsidR="008816AF" w:rsidRPr="00433DD5">
        <w:rPr>
          <w:rFonts w:asciiTheme="majorBidi" w:hAnsiTheme="majorBidi" w:cstheme="majorBidi"/>
          <w:i/>
          <w:iCs/>
          <w:lang w:val="es-ES_tradnl"/>
        </w:rPr>
        <w:t>calidad educativa</w:t>
      </w:r>
      <w:r w:rsidR="008816AF" w:rsidRPr="00433DD5">
        <w:rPr>
          <w:rFonts w:asciiTheme="majorBidi" w:hAnsiTheme="majorBidi" w:cstheme="majorBidi"/>
          <w:lang w:val="es-ES_tradnl"/>
        </w:rPr>
        <w:t>.</w:t>
      </w:r>
      <w:r w:rsidR="0062505F" w:rsidRPr="00433DD5">
        <w:rPr>
          <w:rFonts w:asciiTheme="majorBidi" w:hAnsiTheme="majorBidi" w:cstheme="majorBidi"/>
          <w:lang w:val="es-ES_tradnl"/>
        </w:rPr>
        <w:t xml:space="preserve"> </w:t>
      </w:r>
    </w:p>
    <w:p w14:paraId="613D5C88" w14:textId="60CB573E" w:rsidR="0086175A" w:rsidRPr="00433DD5" w:rsidRDefault="00137160"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lang w:val="es-ES_tradnl"/>
        </w:rPr>
        <w:t xml:space="preserve"> </w:t>
      </w:r>
      <w:r w:rsidR="00497A26" w:rsidRPr="00433DD5">
        <w:rPr>
          <w:rFonts w:asciiTheme="majorBidi" w:hAnsiTheme="majorBidi" w:cstheme="majorBidi"/>
          <w:lang w:val="es-ES_tradnl"/>
        </w:rPr>
        <w:tab/>
      </w:r>
      <w:r w:rsidR="00332B5C" w:rsidRPr="00433DD5">
        <w:rPr>
          <w:rFonts w:asciiTheme="majorBidi" w:hAnsiTheme="majorBidi" w:cstheme="majorBidi"/>
        </w:rPr>
        <w:t xml:space="preserve">La educación superior tiene como </w:t>
      </w:r>
      <w:r w:rsidR="00D61CE2" w:rsidRPr="00433DD5">
        <w:rPr>
          <w:rFonts w:asciiTheme="majorBidi" w:hAnsiTheme="majorBidi" w:cstheme="majorBidi"/>
        </w:rPr>
        <w:t>objetivo primoridal</w:t>
      </w:r>
      <w:r w:rsidR="00C77C75" w:rsidRPr="00433DD5">
        <w:rPr>
          <w:rFonts w:asciiTheme="majorBidi" w:hAnsiTheme="majorBidi" w:cstheme="majorBidi"/>
        </w:rPr>
        <w:t xml:space="preserve"> </w:t>
      </w:r>
      <w:r w:rsidR="00332B5C" w:rsidRPr="00433DD5">
        <w:rPr>
          <w:rFonts w:asciiTheme="majorBidi" w:hAnsiTheme="majorBidi" w:cstheme="majorBidi"/>
        </w:rPr>
        <w:t>la formación de l</w:t>
      </w:r>
      <w:r w:rsidR="00D30726" w:rsidRPr="00433DD5">
        <w:rPr>
          <w:rFonts w:asciiTheme="majorBidi" w:hAnsiTheme="majorBidi" w:cstheme="majorBidi"/>
        </w:rPr>
        <w:t>o</w:t>
      </w:r>
      <w:r w:rsidR="00332B5C" w:rsidRPr="00433DD5">
        <w:rPr>
          <w:rFonts w:asciiTheme="majorBidi" w:hAnsiTheme="majorBidi" w:cstheme="majorBidi"/>
        </w:rPr>
        <w:t xml:space="preserve">s </w:t>
      </w:r>
      <w:r w:rsidR="00D30726" w:rsidRPr="00433DD5">
        <w:rPr>
          <w:rFonts w:asciiTheme="majorBidi" w:hAnsiTheme="majorBidi" w:cstheme="majorBidi"/>
        </w:rPr>
        <w:t>estudiantes</w:t>
      </w:r>
      <w:r w:rsidR="00332B5C" w:rsidRPr="00433DD5">
        <w:rPr>
          <w:rFonts w:asciiTheme="majorBidi" w:hAnsiTheme="majorBidi" w:cstheme="majorBidi"/>
        </w:rPr>
        <w:t xml:space="preserve"> desde una perspectiva </w:t>
      </w:r>
      <w:r w:rsidR="00D61CE2" w:rsidRPr="00433DD5">
        <w:rPr>
          <w:rFonts w:asciiTheme="majorBidi" w:hAnsiTheme="majorBidi" w:cstheme="majorBidi"/>
        </w:rPr>
        <w:t>integral y transdisciplinaria</w:t>
      </w:r>
      <w:r w:rsidR="00332B5C" w:rsidRPr="00433DD5">
        <w:rPr>
          <w:rFonts w:asciiTheme="majorBidi" w:hAnsiTheme="majorBidi" w:cstheme="majorBidi"/>
        </w:rPr>
        <w:t xml:space="preserve"> que favorezca el aprendizaje</w:t>
      </w:r>
      <w:r w:rsidR="00D61CE2" w:rsidRPr="00433DD5">
        <w:rPr>
          <w:rFonts w:asciiTheme="majorBidi" w:hAnsiTheme="majorBidi" w:cstheme="majorBidi"/>
        </w:rPr>
        <w:t xml:space="preserve"> </w:t>
      </w:r>
      <w:r w:rsidR="00C77C75" w:rsidRPr="00433DD5">
        <w:rPr>
          <w:rFonts w:asciiTheme="majorBidi" w:hAnsiTheme="majorBidi" w:cstheme="majorBidi"/>
        </w:rPr>
        <w:t xml:space="preserve">por medio de </w:t>
      </w:r>
      <w:r w:rsidR="00D30726" w:rsidRPr="00433DD5">
        <w:rPr>
          <w:rFonts w:asciiTheme="majorBidi" w:hAnsiTheme="majorBidi" w:cstheme="majorBidi"/>
        </w:rPr>
        <w:t>distintas</w:t>
      </w:r>
      <w:r w:rsidR="00C77C75" w:rsidRPr="00433DD5">
        <w:rPr>
          <w:rFonts w:asciiTheme="majorBidi" w:hAnsiTheme="majorBidi" w:cstheme="majorBidi"/>
        </w:rPr>
        <w:t xml:space="preserve"> </w:t>
      </w:r>
      <w:r w:rsidR="00332B5C" w:rsidRPr="00433DD5">
        <w:rPr>
          <w:rFonts w:asciiTheme="majorBidi" w:hAnsiTheme="majorBidi" w:cstheme="majorBidi"/>
        </w:rPr>
        <w:t xml:space="preserve">formas de </w:t>
      </w:r>
      <w:r w:rsidR="00D30726" w:rsidRPr="00433DD5">
        <w:rPr>
          <w:rFonts w:asciiTheme="majorBidi" w:hAnsiTheme="majorBidi" w:cstheme="majorBidi"/>
        </w:rPr>
        <w:t>constru</w:t>
      </w:r>
      <w:r w:rsidR="00332B5C" w:rsidRPr="00433DD5">
        <w:rPr>
          <w:rFonts w:asciiTheme="majorBidi" w:hAnsiTheme="majorBidi" w:cstheme="majorBidi"/>
        </w:rPr>
        <w:t>ir</w:t>
      </w:r>
      <w:r w:rsidR="00AC1D28" w:rsidRPr="00433DD5">
        <w:rPr>
          <w:rFonts w:asciiTheme="majorBidi" w:hAnsiTheme="majorBidi" w:cstheme="majorBidi"/>
        </w:rPr>
        <w:t xml:space="preserve"> </w:t>
      </w:r>
      <w:r w:rsidR="00332B5C" w:rsidRPr="00433DD5">
        <w:rPr>
          <w:rFonts w:asciiTheme="majorBidi" w:hAnsiTheme="majorBidi" w:cstheme="majorBidi"/>
        </w:rPr>
        <w:t xml:space="preserve">el conocimiento, </w:t>
      </w:r>
      <w:r w:rsidR="00AC1D28" w:rsidRPr="00433DD5">
        <w:rPr>
          <w:rFonts w:asciiTheme="majorBidi" w:hAnsiTheme="majorBidi" w:cstheme="majorBidi"/>
        </w:rPr>
        <w:t xml:space="preserve">promover </w:t>
      </w:r>
      <w:r w:rsidR="00332B5C" w:rsidRPr="00433DD5">
        <w:rPr>
          <w:rFonts w:asciiTheme="majorBidi" w:hAnsiTheme="majorBidi" w:cstheme="majorBidi"/>
        </w:rPr>
        <w:t>las culturas, ciencias, lengua</w:t>
      </w:r>
      <w:r w:rsidR="0031576B" w:rsidRPr="00433DD5">
        <w:rPr>
          <w:rFonts w:asciiTheme="majorBidi" w:hAnsiTheme="majorBidi" w:cstheme="majorBidi"/>
        </w:rPr>
        <w:t xml:space="preserve">jes, </w:t>
      </w:r>
      <w:r w:rsidR="00C95F39" w:rsidRPr="00433DD5">
        <w:rPr>
          <w:rFonts w:asciiTheme="majorBidi" w:hAnsiTheme="majorBidi" w:cstheme="majorBidi"/>
        </w:rPr>
        <w:t>tecnologías</w:t>
      </w:r>
      <w:r w:rsidR="0031576B" w:rsidRPr="00433DD5">
        <w:rPr>
          <w:rFonts w:asciiTheme="majorBidi" w:hAnsiTheme="majorBidi" w:cstheme="majorBidi"/>
        </w:rPr>
        <w:t xml:space="preserve">, considerando </w:t>
      </w:r>
      <w:r w:rsidR="005C5A8F" w:rsidRPr="00433DD5">
        <w:rPr>
          <w:rFonts w:asciiTheme="majorBidi" w:hAnsiTheme="majorBidi" w:cstheme="majorBidi"/>
        </w:rPr>
        <w:t>elementos emergentes y necesarios en la sociedad actual</w:t>
      </w:r>
      <w:r w:rsidR="0031576B" w:rsidRPr="00433DD5">
        <w:rPr>
          <w:rFonts w:asciiTheme="majorBidi" w:hAnsiTheme="majorBidi" w:cstheme="majorBidi"/>
        </w:rPr>
        <w:t xml:space="preserve"> como </w:t>
      </w:r>
      <w:r w:rsidR="005C5A8F" w:rsidRPr="00433DD5">
        <w:rPr>
          <w:rFonts w:asciiTheme="majorBidi" w:hAnsiTheme="majorBidi" w:cstheme="majorBidi"/>
        </w:rPr>
        <w:t xml:space="preserve">los derechos humanos, </w:t>
      </w:r>
      <w:r w:rsidR="0031576B" w:rsidRPr="00433DD5">
        <w:rPr>
          <w:rFonts w:asciiTheme="majorBidi" w:hAnsiTheme="majorBidi" w:cstheme="majorBidi"/>
        </w:rPr>
        <w:t xml:space="preserve">la interculturalidad, </w:t>
      </w:r>
      <w:r w:rsidR="00AC1D28" w:rsidRPr="00433DD5">
        <w:rPr>
          <w:rFonts w:asciiTheme="majorBidi" w:hAnsiTheme="majorBidi" w:cstheme="majorBidi"/>
        </w:rPr>
        <w:t>el diálogo de saberes</w:t>
      </w:r>
      <w:r w:rsidR="0031576B" w:rsidRPr="00433DD5">
        <w:rPr>
          <w:rFonts w:asciiTheme="majorBidi" w:hAnsiTheme="majorBidi" w:cstheme="majorBidi"/>
        </w:rPr>
        <w:t xml:space="preserve">, </w:t>
      </w:r>
      <w:r w:rsidR="00332B5C" w:rsidRPr="00433DD5">
        <w:rPr>
          <w:rFonts w:asciiTheme="majorBidi" w:hAnsiTheme="majorBidi" w:cstheme="majorBidi"/>
        </w:rPr>
        <w:t>el trabajo inter</w:t>
      </w:r>
      <w:r w:rsidR="00AC1D28" w:rsidRPr="00433DD5">
        <w:rPr>
          <w:rFonts w:asciiTheme="majorBidi" w:hAnsiTheme="majorBidi" w:cstheme="majorBidi"/>
        </w:rPr>
        <w:t xml:space="preserve"> y multi</w:t>
      </w:r>
      <w:r w:rsidR="00332B5C" w:rsidRPr="00433DD5">
        <w:rPr>
          <w:rFonts w:asciiTheme="majorBidi" w:hAnsiTheme="majorBidi" w:cstheme="majorBidi"/>
        </w:rPr>
        <w:t xml:space="preserve">disciplinario, </w:t>
      </w:r>
      <w:r w:rsidR="005C5A8F" w:rsidRPr="00433DD5">
        <w:rPr>
          <w:rFonts w:asciiTheme="majorBidi" w:hAnsiTheme="majorBidi" w:cstheme="majorBidi"/>
        </w:rPr>
        <w:t xml:space="preserve">el enfoque inclusivo, </w:t>
      </w:r>
      <w:r w:rsidR="00AC1D28" w:rsidRPr="00433DD5">
        <w:rPr>
          <w:rFonts w:asciiTheme="majorBidi" w:hAnsiTheme="majorBidi" w:cstheme="majorBidi"/>
        </w:rPr>
        <w:t xml:space="preserve">la equidad de género, </w:t>
      </w:r>
      <w:r w:rsidR="00332B5C" w:rsidRPr="00433DD5">
        <w:rPr>
          <w:rFonts w:asciiTheme="majorBidi" w:hAnsiTheme="majorBidi" w:cstheme="majorBidi"/>
        </w:rPr>
        <w:t>la internacionalización y el bienestar social</w:t>
      </w:r>
      <w:r w:rsidR="005625FE" w:rsidRPr="00433DD5">
        <w:rPr>
          <w:rFonts w:asciiTheme="majorBidi" w:hAnsiTheme="majorBidi" w:cstheme="majorBidi"/>
        </w:rPr>
        <w:t>.</w:t>
      </w:r>
    </w:p>
    <w:p w14:paraId="74C8142E" w14:textId="29EE061E" w:rsidR="0086175A" w:rsidRPr="00433DD5" w:rsidRDefault="0086175A"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rPr>
        <w:tab/>
      </w:r>
      <w:r w:rsidR="005625FE" w:rsidRPr="00433DD5">
        <w:rPr>
          <w:rFonts w:asciiTheme="majorBidi" w:hAnsiTheme="majorBidi" w:cstheme="majorBidi"/>
        </w:rPr>
        <w:t xml:space="preserve">En este marco, desde la política educativa nacional, </w:t>
      </w:r>
      <w:r w:rsidR="00332B5C" w:rsidRPr="00433DD5">
        <w:rPr>
          <w:rFonts w:asciiTheme="majorBidi" w:hAnsiTheme="majorBidi" w:cstheme="majorBidi"/>
        </w:rPr>
        <w:t xml:space="preserve">se plantea </w:t>
      </w:r>
      <w:r w:rsidR="006E5FB5" w:rsidRPr="00433DD5">
        <w:rPr>
          <w:rFonts w:asciiTheme="majorBidi" w:hAnsiTheme="majorBidi" w:cstheme="majorBidi"/>
        </w:rPr>
        <w:t>“</w:t>
      </w:r>
      <w:r w:rsidR="00332B5C" w:rsidRPr="00433DD5">
        <w:rPr>
          <w:rFonts w:asciiTheme="majorBidi" w:hAnsiTheme="majorBidi" w:cstheme="majorBidi"/>
          <w:iCs/>
        </w:rPr>
        <w:t>mejorar las condiciones de vida y de estudio de las/os jóvenes y adultos, desarrollando su capacidad de comprenderse a sí m</w:t>
      </w:r>
      <w:r w:rsidR="0031576B" w:rsidRPr="00433DD5">
        <w:rPr>
          <w:rFonts w:asciiTheme="majorBidi" w:hAnsiTheme="majorBidi" w:cstheme="majorBidi"/>
          <w:iCs/>
        </w:rPr>
        <w:t xml:space="preserve">ismos como sujetos de derechos, </w:t>
      </w:r>
      <w:r w:rsidR="00332B5C" w:rsidRPr="00433DD5">
        <w:rPr>
          <w:rFonts w:asciiTheme="majorBidi" w:hAnsiTheme="majorBidi" w:cstheme="majorBidi"/>
          <w:iCs/>
        </w:rPr>
        <w:t xml:space="preserve">como actores de </w:t>
      </w:r>
      <w:r w:rsidR="0031576B" w:rsidRPr="00433DD5">
        <w:rPr>
          <w:rFonts w:asciiTheme="majorBidi" w:hAnsiTheme="majorBidi" w:cstheme="majorBidi"/>
          <w:iCs/>
        </w:rPr>
        <w:t>transformación</w:t>
      </w:r>
      <w:r w:rsidR="00332B5C" w:rsidRPr="00433DD5">
        <w:rPr>
          <w:rFonts w:asciiTheme="majorBidi" w:hAnsiTheme="majorBidi" w:cstheme="majorBidi"/>
          <w:iCs/>
        </w:rPr>
        <w:t xml:space="preserve"> de las realidades y como sujetos sociales integrantes de una </w:t>
      </w:r>
      <w:r w:rsidR="003207F0" w:rsidRPr="00433DD5">
        <w:rPr>
          <w:rFonts w:asciiTheme="majorBidi" w:hAnsiTheme="majorBidi" w:cstheme="majorBidi"/>
          <w:iCs/>
        </w:rPr>
        <w:t>nación</w:t>
      </w:r>
      <w:r w:rsidR="006E5FB5" w:rsidRPr="00433DD5">
        <w:rPr>
          <w:rFonts w:asciiTheme="majorBidi" w:hAnsiTheme="majorBidi" w:cstheme="majorBidi"/>
          <w:iCs/>
        </w:rPr>
        <w:t>”</w:t>
      </w:r>
      <w:r w:rsidR="003207F0" w:rsidRPr="00433DD5">
        <w:rPr>
          <w:rFonts w:asciiTheme="majorBidi" w:hAnsiTheme="majorBidi" w:cstheme="majorBidi"/>
          <w:iCs/>
        </w:rPr>
        <w:t xml:space="preserve"> </w:t>
      </w:r>
      <w:r w:rsidR="003207F0" w:rsidRPr="00433DD5">
        <w:rPr>
          <w:rFonts w:asciiTheme="majorBidi" w:hAnsiTheme="majorBidi" w:cstheme="majorBidi"/>
        </w:rPr>
        <w:t>(</w:t>
      </w:r>
      <w:r w:rsidR="0075532A" w:rsidRPr="00433DD5">
        <w:rPr>
          <w:rFonts w:asciiTheme="majorBidi" w:hAnsiTheme="majorBidi" w:cstheme="majorBidi"/>
        </w:rPr>
        <w:t>Secretaría de Educación Pública</w:t>
      </w:r>
      <w:r w:rsidR="00C77C75" w:rsidRPr="00433DD5">
        <w:rPr>
          <w:rFonts w:asciiTheme="majorBidi" w:hAnsiTheme="majorBidi" w:cstheme="majorBidi"/>
        </w:rPr>
        <w:t xml:space="preserve"> [SEP]</w:t>
      </w:r>
      <w:r w:rsidR="003207F0" w:rsidRPr="00433DD5">
        <w:rPr>
          <w:rFonts w:asciiTheme="majorBidi" w:hAnsiTheme="majorBidi" w:cstheme="majorBidi"/>
        </w:rPr>
        <w:t>, 2019</w:t>
      </w:r>
      <w:r w:rsidR="007957C7" w:rsidRPr="00433DD5">
        <w:rPr>
          <w:rFonts w:asciiTheme="majorBidi" w:hAnsiTheme="majorBidi" w:cstheme="majorBidi"/>
        </w:rPr>
        <w:t>b</w:t>
      </w:r>
      <w:r w:rsidR="00625FB4" w:rsidRPr="00433DD5">
        <w:rPr>
          <w:rFonts w:asciiTheme="majorBidi" w:hAnsiTheme="majorBidi" w:cstheme="majorBidi"/>
        </w:rPr>
        <w:t>, p.</w:t>
      </w:r>
      <w:r w:rsidR="00C77C75" w:rsidRPr="00433DD5">
        <w:rPr>
          <w:rFonts w:asciiTheme="majorBidi" w:hAnsiTheme="majorBidi" w:cstheme="majorBidi"/>
        </w:rPr>
        <w:t xml:space="preserve"> </w:t>
      </w:r>
      <w:r w:rsidR="00625FB4" w:rsidRPr="00433DD5">
        <w:rPr>
          <w:rFonts w:asciiTheme="majorBidi" w:hAnsiTheme="majorBidi" w:cstheme="majorBidi"/>
        </w:rPr>
        <w:t>3</w:t>
      </w:r>
      <w:r w:rsidR="003207F0" w:rsidRPr="00433DD5">
        <w:rPr>
          <w:rFonts w:asciiTheme="majorBidi" w:hAnsiTheme="majorBidi" w:cstheme="majorBidi"/>
        </w:rPr>
        <w:t>)</w:t>
      </w:r>
      <w:r w:rsidR="00332B5C" w:rsidRPr="00433DD5">
        <w:rPr>
          <w:rFonts w:asciiTheme="majorBidi" w:hAnsiTheme="majorBidi" w:cstheme="majorBidi"/>
        </w:rPr>
        <w:t xml:space="preserve">. </w:t>
      </w:r>
    </w:p>
    <w:p w14:paraId="1BD597DA" w14:textId="78427A3A" w:rsidR="0086175A" w:rsidRPr="00433DD5" w:rsidRDefault="0086175A"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rPr>
        <w:tab/>
      </w:r>
      <w:r w:rsidR="005C5A8F" w:rsidRPr="00433DD5">
        <w:rPr>
          <w:rFonts w:asciiTheme="majorBidi" w:hAnsiTheme="majorBidi" w:cstheme="majorBidi"/>
        </w:rPr>
        <w:t>Con base en las atrib</w:t>
      </w:r>
      <w:r w:rsidR="00CA5E00" w:rsidRPr="00433DD5">
        <w:rPr>
          <w:rFonts w:asciiTheme="majorBidi" w:hAnsiTheme="majorBidi" w:cstheme="majorBidi"/>
        </w:rPr>
        <w:t>u</w:t>
      </w:r>
      <w:r w:rsidR="005C5A8F" w:rsidRPr="00433DD5">
        <w:rPr>
          <w:rFonts w:asciiTheme="majorBidi" w:hAnsiTheme="majorBidi" w:cstheme="majorBidi"/>
        </w:rPr>
        <w:t xml:space="preserve">ciones que confiere la </w:t>
      </w:r>
      <w:bookmarkStart w:id="2" w:name="OLE_LINK1"/>
      <w:bookmarkStart w:id="3" w:name="OLE_LINK2"/>
      <w:r w:rsidR="00CC3958" w:rsidRPr="00433DD5">
        <w:rPr>
          <w:rFonts w:asciiTheme="majorBidi" w:hAnsiTheme="majorBidi" w:cstheme="majorBidi"/>
        </w:rPr>
        <w:t xml:space="preserve">Constitución </w:t>
      </w:r>
      <w:r w:rsidR="000C6A94" w:rsidRPr="00433DD5">
        <w:rPr>
          <w:rFonts w:asciiTheme="majorBidi" w:hAnsiTheme="majorBidi" w:cstheme="majorBidi"/>
        </w:rPr>
        <w:t>política</w:t>
      </w:r>
      <w:bookmarkEnd w:id="2"/>
      <w:bookmarkEnd w:id="3"/>
      <w:r w:rsidR="00E559F7" w:rsidRPr="00433DD5">
        <w:rPr>
          <w:rFonts w:asciiTheme="majorBidi" w:hAnsiTheme="majorBidi" w:cstheme="majorBidi"/>
        </w:rPr>
        <w:t>,</w:t>
      </w:r>
      <w:r w:rsidR="000C6A94" w:rsidRPr="00433DD5">
        <w:rPr>
          <w:rFonts w:asciiTheme="majorBidi" w:hAnsiTheme="majorBidi" w:cstheme="majorBidi"/>
        </w:rPr>
        <w:t xml:space="preserve"> el Estado </w:t>
      </w:r>
      <w:r w:rsidR="00332B5C" w:rsidRPr="00433DD5">
        <w:rPr>
          <w:rFonts w:asciiTheme="majorBidi" w:hAnsiTheme="majorBidi" w:cstheme="majorBidi"/>
        </w:rPr>
        <w:t xml:space="preserve">mexicano debe garantizar una educación de calidad </w:t>
      </w:r>
      <w:r w:rsidR="00843CF5" w:rsidRPr="00433DD5">
        <w:rPr>
          <w:rFonts w:asciiTheme="majorBidi" w:hAnsiTheme="majorBidi" w:cstheme="majorBidi"/>
        </w:rPr>
        <w:t>“</w:t>
      </w:r>
      <w:r w:rsidR="00332B5C" w:rsidRPr="00433DD5">
        <w:rPr>
          <w:rFonts w:asciiTheme="majorBidi" w:hAnsiTheme="majorBidi" w:cstheme="majorBidi"/>
        </w:rPr>
        <w:t>bajo los principios de laic</w:t>
      </w:r>
      <w:r w:rsidR="0031576B" w:rsidRPr="00433DD5">
        <w:rPr>
          <w:rFonts w:asciiTheme="majorBidi" w:hAnsiTheme="majorBidi" w:cstheme="majorBidi"/>
        </w:rPr>
        <w:t>idad, unive</w:t>
      </w:r>
      <w:r w:rsidR="0050764A" w:rsidRPr="00433DD5">
        <w:rPr>
          <w:rFonts w:asciiTheme="majorBidi" w:hAnsiTheme="majorBidi" w:cstheme="majorBidi"/>
        </w:rPr>
        <w:t xml:space="preserve">rsalidad, gratuidad, </w:t>
      </w:r>
      <w:r w:rsidR="00332B5C" w:rsidRPr="00433DD5">
        <w:rPr>
          <w:rFonts w:asciiTheme="majorBidi" w:hAnsiTheme="majorBidi" w:cstheme="majorBidi"/>
        </w:rPr>
        <w:t>obligatoriedad, igualdad, democracia e integralidad; que desarrolle armónicamente todas las facultades y habilidades del ser humano y que promueva logros intelectuales y afectivos fundamentales para la vida en sociedad</w:t>
      </w:r>
      <w:r w:rsidR="00843CF5" w:rsidRPr="00433DD5">
        <w:rPr>
          <w:rFonts w:asciiTheme="majorBidi" w:hAnsiTheme="majorBidi" w:cstheme="majorBidi"/>
        </w:rPr>
        <w:t>”</w:t>
      </w:r>
      <w:r w:rsidR="00332B5C" w:rsidRPr="00433DD5">
        <w:rPr>
          <w:rFonts w:asciiTheme="majorBidi" w:hAnsiTheme="majorBidi" w:cstheme="majorBidi"/>
        </w:rPr>
        <w:t xml:space="preserve"> </w:t>
      </w:r>
      <w:r w:rsidR="0077163A" w:rsidRPr="00433DD5">
        <w:rPr>
          <w:rFonts w:asciiTheme="majorBidi" w:hAnsiTheme="majorBidi" w:cstheme="majorBidi"/>
        </w:rPr>
        <w:t>(</w:t>
      </w:r>
      <w:r w:rsidR="002F0CB9" w:rsidRPr="00433DD5">
        <w:rPr>
          <w:rFonts w:asciiTheme="majorBidi" w:hAnsiTheme="majorBidi" w:cstheme="majorBidi"/>
        </w:rPr>
        <w:t>SEP</w:t>
      </w:r>
      <w:r w:rsidR="00843CF5" w:rsidRPr="00433DD5">
        <w:rPr>
          <w:rFonts w:asciiTheme="majorBidi" w:hAnsiTheme="majorBidi" w:cstheme="majorBidi"/>
        </w:rPr>
        <w:t>, 2022</w:t>
      </w:r>
      <w:r w:rsidR="00625FB4" w:rsidRPr="00433DD5">
        <w:rPr>
          <w:rFonts w:asciiTheme="majorBidi" w:hAnsiTheme="majorBidi" w:cstheme="majorBidi"/>
        </w:rPr>
        <w:t>, p.</w:t>
      </w:r>
      <w:r w:rsidR="00F30BE6" w:rsidRPr="00433DD5">
        <w:rPr>
          <w:rFonts w:asciiTheme="majorBidi" w:hAnsiTheme="majorBidi" w:cstheme="majorBidi"/>
        </w:rPr>
        <w:t xml:space="preserve"> </w:t>
      </w:r>
      <w:r w:rsidR="00625FB4" w:rsidRPr="00433DD5">
        <w:rPr>
          <w:rFonts w:asciiTheme="majorBidi" w:hAnsiTheme="majorBidi" w:cstheme="majorBidi"/>
        </w:rPr>
        <w:t>5</w:t>
      </w:r>
      <w:r w:rsidR="00843CF5" w:rsidRPr="00433DD5">
        <w:rPr>
          <w:rFonts w:asciiTheme="majorBidi" w:hAnsiTheme="majorBidi" w:cstheme="majorBidi"/>
        </w:rPr>
        <w:t>)</w:t>
      </w:r>
      <w:r w:rsidR="00E559F7" w:rsidRPr="00433DD5">
        <w:rPr>
          <w:rFonts w:asciiTheme="majorBidi" w:hAnsiTheme="majorBidi" w:cstheme="majorBidi"/>
        </w:rPr>
        <w:t>.</w:t>
      </w:r>
    </w:p>
    <w:p w14:paraId="069924D9" w14:textId="2CBC91A2" w:rsidR="0086175A" w:rsidRPr="00433DD5" w:rsidRDefault="0086175A"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rPr>
        <w:tab/>
      </w:r>
      <w:r w:rsidR="00332B5C" w:rsidRPr="00433DD5">
        <w:rPr>
          <w:rFonts w:asciiTheme="majorBidi" w:hAnsiTheme="majorBidi" w:cstheme="majorBidi"/>
        </w:rPr>
        <w:t>Por otro lado, la política educativa</w:t>
      </w:r>
      <w:r w:rsidR="00043FDD" w:rsidRPr="00433DD5">
        <w:rPr>
          <w:rFonts w:asciiTheme="majorBidi" w:hAnsiTheme="majorBidi" w:cstheme="majorBidi"/>
        </w:rPr>
        <w:t xml:space="preserve"> constituye</w:t>
      </w:r>
      <w:r w:rsidR="00332B5C" w:rsidRPr="00433DD5">
        <w:rPr>
          <w:rFonts w:asciiTheme="majorBidi" w:hAnsiTheme="majorBidi" w:cstheme="majorBidi"/>
        </w:rPr>
        <w:t xml:space="preserve"> </w:t>
      </w:r>
      <w:r w:rsidR="00332B5C" w:rsidRPr="00433DD5">
        <w:rPr>
          <w:rFonts w:asciiTheme="majorBidi" w:hAnsiTheme="majorBidi" w:cstheme="majorBidi"/>
          <w:iCs/>
        </w:rPr>
        <w:t>la herramienta que tiene el potencial de realizar aportaciones significativas a cada uno de los Objetivos de Desarrollo Sostenible</w:t>
      </w:r>
      <w:r w:rsidR="000104F0" w:rsidRPr="00433DD5">
        <w:rPr>
          <w:rFonts w:asciiTheme="majorBidi" w:hAnsiTheme="majorBidi" w:cstheme="majorBidi"/>
          <w:iCs/>
        </w:rPr>
        <w:t xml:space="preserve"> (ODS)</w:t>
      </w:r>
      <w:r w:rsidR="00332B5C" w:rsidRPr="00433DD5">
        <w:rPr>
          <w:rFonts w:asciiTheme="majorBidi" w:hAnsiTheme="majorBidi" w:cstheme="majorBidi"/>
          <w:iCs/>
        </w:rPr>
        <w:t xml:space="preserve"> que conforman la Agenda 2030</w:t>
      </w:r>
      <w:r w:rsidR="0050764A" w:rsidRPr="00433DD5">
        <w:rPr>
          <w:rFonts w:asciiTheme="majorBidi" w:hAnsiTheme="majorBidi" w:cstheme="majorBidi"/>
        </w:rPr>
        <w:t xml:space="preserve">, </w:t>
      </w:r>
      <w:r w:rsidR="00332B5C" w:rsidRPr="00433DD5">
        <w:rPr>
          <w:rFonts w:asciiTheme="majorBidi" w:hAnsiTheme="majorBidi" w:cstheme="majorBidi"/>
        </w:rPr>
        <w:t>aprobada en 2015 por los países miembros de la Organi</w:t>
      </w:r>
      <w:r w:rsidR="00C95F39" w:rsidRPr="00433DD5">
        <w:rPr>
          <w:rFonts w:asciiTheme="majorBidi" w:hAnsiTheme="majorBidi" w:cstheme="majorBidi"/>
        </w:rPr>
        <w:t>zación de las Naciones Unidas</w:t>
      </w:r>
      <w:r w:rsidR="00481731" w:rsidRPr="00433DD5">
        <w:rPr>
          <w:rFonts w:asciiTheme="majorBidi" w:hAnsiTheme="majorBidi" w:cstheme="majorBidi"/>
        </w:rPr>
        <w:t xml:space="preserve"> </w:t>
      </w:r>
      <w:r w:rsidR="00A801CB" w:rsidRPr="00433DD5">
        <w:rPr>
          <w:rFonts w:asciiTheme="majorBidi" w:hAnsiTheme="majorBidi" w:cstheme="majorBidi"/>
        </w:rPr>
        <w:t>(</w:t>
      </w:r>
      <w:r w:rsidR="00C95F39" w:rsidRPr="00433DD5">
        <w:rPr>
          <w:rFonts w:asciiTheme="majorBidi" w:hAnsiTheme="majorBidi" w:cstheme="majorBidi"/>
        </w:rPr>
        <w:t>ONU</w:t>
      </w:r>
      <w:r w:rsidR="00A801CB" w:rsidRPr="00433DD5">
        <w:rPr>
          <w:rFonts w:asciiTheme="majorBidi" w:hAnsiTheme="majorBidi" w:cstheme="majorBidi"/>
        </w:rPr>
        <w:t>)</w:t>
      </w:r>
      <w:r w:rsidR="0026135E" w:rsidRPr="00433DD5">
        <w:rPr>
          <w:rFonts w:asciiTheme="majorBidi" w:hAnsiTheme="majorBidi" w:cstheme="majorBidi"/>
        </w:rPr>
        <w:t xml:space="preserve"> (Asamblea General, 31 de octubre de 2015)</w:t>
      </w:r>
      <w:r w:rsidR="0050764A" w:rsidRPr="00433DD5">
        <w:rPr>
          <w:rFonts w:asciiTheme="majorBidi" w:hAnsiTheme="majorBidi" w:cstheme="majorBidi"/>
        </w:rPr>
        <w:t>.</w:t>
      </w:r>
    </w:p>
    <w:p w14:paraId="0F43C2D9" w14:textId="709C4916" w:rsidR="00332B5C" w:rsidRPr="00433DD5" w:rsidRDefault="0086175A"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rPr>
        <w:tab/>
      </w:r>
      <w:r w:rsidR="00332B5C" w:rsidRPr="00433DD5">
        <w:rPr>
          <w:rFonts w:asciiTheme="majorBidi" w:hAnsiTheme="majorBidi" w:cstheme="majorBidi"/>
        </w:rPr>
        <w:t xml:space="preserve">En </w:t>
      </w:r>
      <w:r w:rsidR="000B3AC7" w:rsidRPr="00433DD5">
        <w:rPr>
          <w:rFonts w:asciiTheme="majorBidi" w:hAnsiTheme="majorBidi" w:cstheme="majorBidi"/>
        </w:rPr>
        <w:t>este escenario</w:t>
      </w:r>
      <w:r w:rsidR="000401B4" w:rsidRPr="00433DD5">
        <w:rPr>
          <w:rFonts w:asciiTheme="majorBidi" w:hAnsiTheme="majorBidi" w:cstheme="majorBidi"/>
        </w:rPr>
        <w:t>,</w:t>
      </w:r>
      <w:r w:rsidR="000B3AC7" w:rsidRPr="00433DD5">
        <w:rPr>
          <w:rFonts w:asciiTheme="majorBidi" w:hAnsiTheme="majorBidi" w:cstheme="majorBidi"/>
        </w:rPr>
        <w:t xml:space="preserve"> </w:t>
      </w:r>
      <w:r w:rsidR="006B4242" w:rsidRPr="00433DD5">
        <w:rPr>
          <w:rFonts w:asciiTheme="majorBidi" w:hAnsiTheme="majorBidi" w:cstheme="majorBidi"/>
        </w:rPr>
        <w:t xml:space="preserve">el </w:t>
      </w:r>
      <w:r w:rsidR="001A0378" w:rsidRPr="00433DD5">
        <w:rPr>
          <w:rFonts w:asciiTheme="majorBidi" w:hAnsiTheme="majorBidi" w:cstheme="majorBidi"/>
        </w:rPr>
        <w:t>Profexce</w:t>
      </w:r>
      <w:r w:rsidR="00332B5C" w:rsidRPr="00433DD5">
        <w:rPr>
          <w:rFonts w:asciiTheme="majorBidi" w:hAnsiTheme="majorBidi" w:cstheme="majorBidi"/>
        </w:rPr>
        <w:t xml:space="preserve"> </w:t>
      </w:r>
      <w:r w:rsidR="006C570D" w:rsidRPr="00433DD5">
        <w:rPr>
          <w:rFonts w:asciiTheme="majorBidi" w:hAnsiTheme="majorBidi" w:cstheme="majorBidi"/>
        </w:rPr>
        <w:t xml:space="preserve">ha </w:t>
      </w:r>
      <w:r w:rsidR="000B3AC7" w:rsidRPr="00433DD5">
        <w:rPr>
          <w:rFonts w:asciiTheme="majorBidi" w:hAnsiTheme="majorBidi" w:cstheme="majorBidi"/>
        </w:rPr>
        <w:t>constituido</w:t>
      </w:r>
      <w:r w:rsidR="00332B5C" w:rsidRPr="00433DD5">
        <w:rPr>
          <w:rFonts w:asciiTheme="majorBidi" w:hAnsiTheme="majorBidi" w:cstheme="majorBidi"/>
        </w:rPr>
        <w:t xml:space="preserve"> una estrategia para promover en las </w:t>
      </w:r>
      <w:r w:rsidR="0026135E" w:rsidRPr="00433DD5">
        <w:rPr>
          <w:rFonts w:asciiTheme="majorBidi" w:hAnsiTheme="majorBidi" w:cstheme="majorBidi"/>
        </w:rPr>
        <w:t xml:space="preserve">universidades públicas estatales </w:t>
      </w:r>
      <w:r w:rsidR="00332B5C" w:rsidRPr="00433DD5">
        <w:rPr>
          <w:rFonts w:asciiTheme="majorBidi" w:hAnsiTheme="majorBidi" w:cstheme="majorBidi"/>
        </w:rPr>
        <w:t xml:space="preserve">la </w:t>
      </w:r>
      <w:r w:rsidR="000B3AC7" w:rsidRPr="00433DD5">
        <w:rPr>
          <w:rFonts w:asciiTheme="majorBidi" w:hAnsiTheme="majorBidi" w:cstheme="majorBidi"/>
        </w:rPr>
        <w:t xml:space="preserve">calidad y la </w:t>
      </w:r>
      <w:r w:rsidR="00332B5C" w:rsidRPr="00433DD5">
        <w:rPr>
          <w:rFonts w:asciiTheme="majorBidi" w:hAnsiTheme="majorBidi" w:cstheme="majorBidi"/>
        </w:rPr>
        <w:t xml:space="preserve">excelencia de toda su oferta educativa y </w:t>
      </w:r>
      <w:r w:rsidR="00E8571B" w:rsidRPr="00433DD5">
        <w:rPr>
          <w:rFonts w:asciiTheme="majorBidi" w:hAnsiTheme="majorBidi" w:cstheme="majorBidi"/>
        </w:rPr>
        <w:t xml:space="preserve">para </w:t>
      </w:r>
      <w:r w:rsidR="000B3AC7" w:rsidRPr="00433DD5">
        <w:rPr>
          <w:rFonts w:asciiTheme="majorBidi" w:hAnsiTheme="majorBidi" w:cstheme="majorBidi"/>
        </w:rPr>
        <w:lastRenderedPageBreak/>
        <w:t>aportar alternativas de sol</w:t>
      </w:r>
      <w:r w:rsidR="00D75C10" w:rsidRPr="00433DD5">
        <w:rPr>
          <w:rFonts w:asciiTheme="majorBidi" w:hAnsiTheme="majorBidi" w:cstheme="majorBidi"/>
        </w:rPr>
        <w:t>u</w:t>
      </w:r>
      <w:r w:rsidR="000B3AC7" w:rsidRPr="00433DD5">
        <w:rPr>
          <w:rFonts w:asciiTheme="majorBidi" w:hAnsiTheme="majorBidi" w:cstheme="majorBidi"/>
        </w:rPr>
        <w:t>ción a las problemáticas planteadas en</w:t>
      </w:r>
      <w:r w:rsidR="00C77C75" w:rsidRPr="00433DD5">
        <w:rPr>
          <w:rFonts w:asciiTheme="majorBidi" w:hAnsiTheme="majorBidi" w:cstheme="majorBidi"/>
        </w:rPr>
        <w:t xml:space="preserve"> </w:t>
      </w:r>
      <w:r w:rsidR="00332B5C" w:rsidRPr="00433DD5">
        <w:rPr>
          <w:rFonts w:asciiTheme="majorBidi" w:hAnsiTheme="majorBidi" w:cstheme="majorBidi"/>
        </w:rPr>
        <w:t xml:space="preserve">la Agenda 2030 en su </w:t>
      </w:r>
      <w:r w:rsidR="00332B5C" w:rsidRPr="00433DD5">
        <w:rPr>
          <w:rFonts w:asciiTheme="majorBidi" w:hAnsiTheme="majorBidi" w:cstheme="majorBidi"/>
          <w:iCs/>
        </w:rPr>
        <w:t>Objetivo 4</w:t>
      </w:r>
      <w:r w:rsidR="00164D4B" w:rsidRPr="00433DD5">
        <w:rPr>
          <w:rFonts w:asciiTheme="majorBidi" w:hAnsiTheme="majorBidi" w:cstheme="majorBidi"/>
          <w:iCs/>
        </w:rPr>
        <w:t>, “</w:t>
      </w:r>
      <w:r w:rsidR="00332B5C" w:rsidRPr="00433DD5">
        <w:rPr>
          <w:rFonts w:asciiTheme="majorBidi" w:hAnsiTheme="majorBidi" w:cstheme="majorBidi"/>
          <w:iCs/>
        </w:rPr>
        <w:t xml:space="preserve">Garantizar una </w:t>
      </w:r>
      <w:r w:rsidR="00FA7B8C" w:rsidRPr="00433DD5">
        <w:rPr>
          <w:rFonts w:asciiTheme="majorBidi" w:hAnsiTheme="majorBidi" w:cstheme="majorBidi"/>
          <w:iCs/>
        </w:rPr>
        <w:t>educación</w:t>
      </w:r>
      <w:r w:rsidR="00332B5C" w:rsidRPr="00433DD5">
        <w:rPr>
          <w:rFonts w:asciiTheme="majorBidi" w:hAnsiTheme="majorBidi" w:cstheme="majorBidi"/>
          <w:iCs/>
        </w:rPr>
        <w:t xml:space="preserve"> inclusiva, equitativa y de calidad y promover oportunidades de aprendizaje durante toda la vida para todos</w:t>
      </w:r>
      <w:r w:rsidR="00164D4B" w:rsidRPr="00433DD5">
        <w:rPr>
          <w:rFonts w:asciiTheme="majorBidi" w:hAnsiTheme="majorBidi" w:cstheme="majorBidi"/>
          <w:iCs/>
        </w:rPr>
        <w:t>”</w:t>
      </w:r>
      <w:r w:rsidR="00A54EC8" w:rsidRPr="00433DD5">
        <w:rPr>
          <w:rFonts w:asciiTheme="majorBidi" w:hAnsiTheme="majorBidi" w:cstheme="majorBidi"/>
          <w:i/>
        </w:rPr>
        <w:t xml:space="preserve"> </w:t>
      </w:r>
      <w:r w:rsidR="00A54EC8" w:rsidRPr="00433DD5">
        <w:rPr>
          <w:rFonts w:asciiTheme="majorBidi" w:hAnsiTheme="majorBidi" w:cstheme="majorBidi"/>
        </w:rPr>
        <w:t>(</w:t>
      </w:r>
      <w:r w:rsidR="0026135E" w:rsidRPr="00433DD5">
        <w:rPr>
          <w:rFonts w:asciiTheme="majorBidi" w:hAnsiTheme="majorBidi" w:cstheme="majorBidi"/>
        </w:rPr>
        <w:t>Asamblea General</w:t>
      </w:r>
      <w:r w:rsidR="00A54EC8" w:rsidRPr="00433DD5">
        <w:rPr>
          <w:rFonts w:asciiTheme="majorBidi" w:hAnsiTheme="majorBidi" w:cstheme="majorBidi"/>
        </w:rPr>
        <w:t>, 2015</w:t>
      </w:r>
      <w:r w:rsidR="002767C6" w:rsidRPr="00433DD5">
        <w:rPr>
          <w:rFonts w:asciiTheme="majorBidi" w:hAnsiTheme="majorBidi" w:cstheme="majorBidi"/>
        </w:rPr>
        <w:t>, p. 19</w:t>
      </w:r>
      <w:r w:rsidR="00A54EC8" w:rsidRPr="00433DD5">
        <w:rPr>
          <w:rFonts w:asciiTheme="majorBidi" w:hAnsiTheme="majorBidi" w:cstheme="majorBidi"/>
        </w:rPr>
        <w:t>)</w:t>
      </w:r>
      <w:r w:rsidR="00332B5C" w:rsidRPr="00433DD5">
        <w:rPr>
          <w:rFonts w:asciiTheme="majorBidi" w:hAnsiTheme="majorBidi" w:cstheme="majorBidi"/>
        </w:rPr>
        <w:t xml:space="preserve">, </w:t>
      </w:r>
      <w:r w:rsidR="00A54EC8" w:rsidRPr="00433DD5">
        <w:rPr>
          <w:rFonts w:asciiTheme="majorBidi" w:hAnsiTheme="majorBidi" w:cstheme="majorBidi"/>
        </w:rPr>
        <w:t>específicamente</w:t>
      </w:r>
      <w:r w:rsidR="00332B5C" w:rsidRPr="00433DD5">
        <w:rPr>
          <w:rFonts w:asciiTheme="majorBidi" w:hAnsiTheme="majorBidi" w:cstheme="majorBidi"/>
        </w:rPr>
        <w:t xml:space="preserve"> con las metas: </w:t>
      </w:r>
    </w:p>
    <w:p w14:paraId="3596BFF2" w14:textId="6648BDED" w:rsidR="00693BEE" w:rsidRPr="00433DD5" w:rsidRDefault="00390B95" w:rsidP="005E0AC3">
      <w:pPr>
        <w:pStyle w:val="Prrafodelista"/>
        <w:numPr>
          <w:ilvl w:val="0"/>
          <w:numId w:val="1"/>
        </w:numPr>
        <w:spacing w:line="360" w:lineRule="auto"/>
        <w:ind w:left="1418" w:firstLine="0"/>
        <w:jc w:val="both"/>
        <w:rPr>
          <w:rFonts w:asciiTheme="majorBidi" w:eastAsia="Times New Roman" w:hAnsiTheme="majorBidi" w:cstheme="majorBidi"/>
          <w:iCs/>
          <w:lang w:eastAsia="es-ES_tradnl"/>
        </w:rPr>
      </w:pPr>
      <w:r w:rsidRPr="00433DD5">
        <w:rPr>
          <w:rFonts w:asciiTheme="majorBidi" w:eastAsia="Times New Roman" w:hAnsiTheme="majorBidi" w:cstheme="majorBidi"/>
          <w:iCs/>
          <w:lang w:eastAsia="es-ES_tradnl"/>
        </w:rPr>
        <w:t>A</w:t>
      </w:r>
      <w:r w:rsidR="00332B5C" w:rsidRPr="00433DD5">
        <w:rPr>
          <w:rFonts w:asciiTheme="majorBidi" w:eastAsia="Times New Roman" w:hAnsiTheme="majorBidi" w:cstheme="majorBidi"/>
          <w:iCs/>
          <w:lang w:eastAsia="es-ES_tradnl"/>
        </w:rPr>
        <w:t>segurar el acceso igualitario de todos los hombres y las mujeres a una formación</w:t>
      </w:r>
      <w:r w:rsidR="0086175A" w:rsidRPr="00433DD5">
        <w:rPr>
          <w:rFonts w:asciiTheme="majorBidi" w:eastAsia="Times New Roman" w:hAnsiTheme="majorBidi" w:cstheme="majorBidi"/>
          <w:iCs/>
          <w:lang w:eastAsia="es-ES_tradnl"/>
        </w:rPr>
        <w:t xml:space="preserve"> </w:t>
      </w:r>
      <w:r w:rsidR="00332B5C" w:rsidRPr="00433DD5">
        <w:rPr>
          <w:rFonts w:asciiTheme="majorBidi" w:eastAsia="Times New Roman" w:hAnsiTheme="majorBidi" w:cstheme="majorBidi"/>
          <w:iCs/>
          <w:lang w:eastAsia="es-ES_tradnl"/>
        </w:rPr>
        <w:t xml:space="preserve">técnica, profesional y superior de calidad, incluida la </w:t>
      </w:r>
      <w:r w:rsidR="00693BEE" w:rsidRPr="00433DD5">
        <w:rPr>
          <w:rFonts w:asciiTheme="majorBidi" w:eastAsia="Times New Roman" w:hAnsiTheme="majorBidi" w:cstheme="majorBidi"/>
          <w:iCs/>
          <w:lang w:eastAsia="es-ES_tradnl"/>
        </w:rPr>
        <w:t>enseñanza</w:t>
      </w:r>
      <w:r w:rsidR="00332B5C" w:rsidRPr="00433DD5">
        <w:rPr>
          <w:rFonts w:asciiTheme="majorBidi" w:eastAsia="Times New Roman" w:hAnsiTheme="majorBidi" w:cstheme="majorBidi"/>
          <w:iCs/>
          <w:lang w:eastAsia="es-ES_tradnl"/>
        </w:rPr>
        <w:t xml:space="preserve"> universitaria.</w:t>
      </w:r>
    </w:p>
    <w:p w14:paraId="734E7AD5" w14:textId="6B4EE971" w:rsidR="00332B5C" w:rsidRPr="00433DD5" w:rsidRDefault="00390B95" w:rsidP="005E0AC3">
      <w:pPr>
        <w:pStyle w:val="Prrafodelista"/>
        <w:numPr>
          <w:ilvl w:val="0"/>
          <w:numId w:val="1"/>
        </w:numPr>
        <w:spacing w:line="360" w:lineRule="auto"/>
        <w:ind w:left="1418" w:firstLine="0"/>
        <w:jc w:val="both"/>
        <w:rPr>
          <w:rFonts w:asciiTheme="majorBidi" w:eastAsia="Times New Roman" w:hAnsiTheme="majorBidi" w:cstheme="majorBidi"/>
          <w:iCs/>
          <w:lang w:eastAsia="es-ES_tradnl"/>
        </w:rPr>
      </w:pPr>
      <w:r w:rsidRPr="00433DD5">
        <w:rPr>
          <w:rFonts w:asciiTheme="majorBidi" w:eastAsia="Times New Roman" w:hAnsiTheme="majorBidi" w:cstheme="majorBidi"/>
          <w:iCs/>
          <w:lang w:eastAsia="es-ES_tradnl"/>
        </w:rPr>
        <w:t>A</w:t>
      </w:r>
      <w:r w:rsidR="007A2015" w:rsidRPr="00433DD5">
        <w:rPr>
          <w:rFonts w:asciiTheme="majorBidi" w:eastAsia="Times New Roman" w:hAnsiTheme="majorBidi" w:cstheme="majorBidi"/>
          <w:iCs/>
          <w:lang w:eastAsia="es-ES_tradnl"/>
        </w:rPr>
        <w:t xml:space="preserve">umentar </w:t>
      </w:r>
      <w:r w:rsidR="00332B5C" w:rsidRPr="00433DD5">
        <w:rPr>
          <w:rFonts w:asciiTheme="majorBidi" w:eastAsia="Times New Roman" w:hAnsiTheme="majorBidi" w:cstheme="majorBidi"/>
          <w:iCs/>
          <w:lang w:eastAsia="es-ES_tradnl"/>
        </w:rPr>
        <w:t xml:space="preserve">sustancialmente el número de jóvenes y adultos que tienen las competencias necesarias, en particular técnicas y profesionales, para acceder al empleo, el trabajo decente y el emprendimiento. </w:t>
      </w:r>
    </w:p>
    <w:p w14:paraId="37E63D43" w14:textId="1F9FF461" w:rsidR="006D46D7" w:rsidRPr="00433DD5" w:rsidRDefault="00390B95" w:rsidP="005E0AC3">
      <w:pPr>
        <w:pStyle w:val="Prrafodelista"/>
        <w:numPr>
          <w:ilvl w:val="0"/>
          <w:numId w:val="1"/>
        </w:numPr>
        <w:spacing w:line="360" w:lineRule="auto"/>
        <w:ind w:left="1418" w:firstLine="0"/>
        <w:jc w:val="both"/>
        <w:rPr>
          <w:rFonts w:asciiTheme="majorBidi" w:eastAsia="Times New Roman" w:hAnsiTheme="majorBidi" w:cstheme="majorBidi"/>
          <w:iCs/>
          <w:lang w:eastAsia="es-ES_tradnl"/>
        </w:rPr>
      </w:pPr>
      <w:r w:rsidRPr="00433DD5">
        <w:rPr>
          <w:rFonts w:asciiTheme="majorBidi" w:eastAsia="Times New Roman" w:hAnsiTheme="majorBidi" w:cstheme="majorBidi"/>
          <w:iCs/>
          <w:lang w:eastAsia="es-ES_tradnl"/>
        </w:rPr>
        <w:t>G</w:t>
      </w:r>
      <w:r w:rsidR="00332B5C" w:rsidRPr="00433DD5">
        <w:rPr>
          <w:rFonts w:asciiTheme="majorBidi" w:eastAsia="Times New Roman" w:hAnsiTheme="majorBidi" w:cstheme="majorBidi"/>
          <w:iCs/>
          <w:lang w:eastAsia="es-ES_tradnl"/>
        </w:rPr>
        <w:t xml:space="preserve">arantizar que todos los alumnos adquieran los conocimientos teóricos y prácticos necesarios para promover </w:t>
      </w:r>
      <w:r w:rsidR="007A2015" w:rsidRPr="00433DD5">
        <w:rPr>
          <w:rFonts w:asciiTheme="majorBidi" w:eastAsia="Times New Roman" w:hAnsiTheme="majorBidi" w:cstheme="majorBidi"/>
          <w:iCs/>
          <w:lang w:eastAsia="es-ES_tradnl"/>
        </w:rPr>
        <w:t xml:space="preserve">la educación para el desarrollo sostenible </w:t>
      </w:r>
      <w:r w:rsidR="00332B5C" w:rsidRPr="00433DD5">
        <w:rPr>
          <w:rFonts w:asciiTheme="majorBidi" w:eastAsia="Times New Roman" w:hAnsiTheme="majorBidi" w:cstheme="majorBidi"/>
          <w:iCs/>
          <w:lang w:eastAsia="es-ES_tradnl"/>
        </w:rPr>
        <w:t>y la adopción de estilos de vida sostenibles, los derechos humanos, la igualdad entre los géneros, la promoción de una cultura de paz y no violencia, la ciudadanía mundial y la valora</w:t>
      </w:r>
      <w:r w:rsidR="007A2015" w:rsidRPr="00433DD5">
        <w:rPr>
          <w:rFonts w:asciiTheme="majorBidi" w:eastAsia="Times New Roman" w:hAnsiTheme="majorBidi" w:cstheme="majorBidi"/>
          <w:iCs/>
          <w:lang w:eastAsia="es-ES_tradnl"/>
        </w:rPr>
        <w:t xml:space="preserve">ción de </w:t>
      </w:r>
      <w:r w:rsidR="00314AE0" w:rsidRPr="00433DD5">
        <w:rPr>
          <w:rFonts w:asciiTheme="majorBidi" w:eastAsia="Times New Roman" w:hAnsiTheme="majorBidi" w:cstheme="majorBidi"/>
          <w:iCs/>
          <w:lang w:eastAsia="es-ES_tradnl"/>
        </w:rPr>
        <w:t>l</w:t>
      </w:r>
      <w:r w:rsidR="007A2015" w:rsidRPr="00433DD5">
        <w:rPr>
          <w:rFonts w:asciiTheme="majorBidi" w:eastAsia="Times New Roman" w:hAnsiTheme="majorBidi" w:cstheme="majorBidi"/>
          <w:iCs/>
          <w:lang w:eastAsia="es-ES_tradnl"/>
        </w:rPr>
        <w:t xml:space="preserve">a diversidad cultural </w:t>
      </w:r>
      <w:r w:rsidR="003207F0" w:rsidRPr="00433DD5">
        <w:rPr>
          <w:rFonts w:asciiTheme="majorBidi" w:eastAsia="Times New Roman" w:hAnsiTheme="majorBidi" w:cstheme="majorBidi"/>
          <w:iCs/>
          <w:lang w:eastAsia="es-ES_tradnl"/>
        </w:rPr>
        <w:t>(</w:t>
      </w:r>
      <w:r w:rsidR="00170CC3" w:rsidRPr="00433DD5">
        <w:rPr>
          <w:rFonts w:asciiTheme="majorBidi" w:hAnsiTheme="majorBidi" w:cstheme="majorBidi"/>
          <w:iCs/>
        </w:rPr>
        <w:t>SEP</w:t>
      </w:r>
      <w:r w:rsidR="003207F0" w:rsidRPr="00433DD5">
        <w:rPr>
          <w:rFonts w:asciiTheme="majorBidi" w:hAnsiTheme="majorBidi" w:cstheme="majorBidi"/>
          <w:iCs/>
        </w:rPr>
        <w:t>, 2019</w:t>
      </w:r>
      <w:r w:rsidR="007957C7" w:rsidRPr="00433DD5">
        <w:rPr>
          <w:rFonts w:asciiTheme="majorBidi" w:hAnsiTheme="majorBidi" w:cstheme="majorBidi"/>
          <w:iCs/>
        </w:rPr>
        <w:t>b</w:t>
      </w:r>
      <w:r w:rsidR="00AE32FA" w:rsidRPr="00433DD5">
        <w:rPr>
          <w:rFonts w:asciiTheme="majorBidi" w:hAnsiTheme="majorBidi" w:cstheme="majorBidi"/>
          <w:iCs/>
        </w:rPr>
        <w:t>, p.</w:t>
      </w:r>
      <w:r w:rsidR="002767C6" w:rsidRPr="00433DD5">
        <w:rPr>
          <w:rFonts w:asciiTheme="majorBidi" w:hAnsiTheme="majorBidi" w:cstheme="majorBidi"/>
          <w:iCs/>
        </w:rPr>
        <w:t xml:space="preserve"> </w:t>
      </w:r>
      <w:r w:rsidR="00AE32FA" w:rsidRPr="00433DD5">
        <w:rPr>
          <w:rFonts w:asciiTheme="majorBidi" w:hAnsiTheme="majorBidi" w:cstheme="majorBidi"/>
          <w:iCs/>
        </w:rPr>
        <w:t>3</w:t>
      </w:r>
      <w:r w:rsidR="003207F0" w:rsidRPr="00433DD5">
        <w:rPr>
          <w:rFonts w:asciiTheme="majorBidi" w:eastAsia="Times New Roman" w:hAnsiTheme="majorBidi" w:cstheme="majorBidi"/>
          <w:iCs/>
          <w:lang w:eastAsia="es-ES_tradnl"/>
        </w:rPr>
        <w:t>)</w:t>
      </w:r>
      <w:r w:rsidR="00AE32FA" w:rsidRPr="00433DD5">
        <w:rPr>
          <w:rFonts w:asciiTheme="majorBidi" w:eastAsia="Times New Roman" w:hAnsiTheme="majorBidi" w:cstheme="majorBidi"/>
          <w:iCs/>
          <w:lang w:eastAsia="es-ES_tradnl"/>
        </w:rPr>
        <w:t>.</w:t>
      </w:r>
    </w:p>
    <w:p w14:paraId="3831AB17" w14:textId="52BF4DF7" w:rsidR="006D46D7" w:rsidRPr="00433DD5" w:rsidRDefault="006D46D7" w:rsidP="001A0378">
      <w:pPr>
        <w:autoSpaceDE w:val="0"/>
        <w:autoSpaceDN w:val="0"/>
        <w:adjustRightInd w:val="0"/>
        <w:spacing w:line="360" w:lineRule="auto"/>
        <w:ind w:firstLine="708"/>
        <w:jc w:val="both"/>
        <w:rPr>
          <w:bCs/>
          <w:lang w:val="es-ES_tradnl"/>
        </w:rPr>
      </w:pPr>
      <w:r w:rsidRPr="00433DD5">
        <w:rPr>
          <w:bCs/>
          <w:lang w:val="es-ES_tradnl"/>
        </w:rPr>
        <w:t xml:space="preserve">Desde esta perspectiva, </w:t>
      </w:r>
      <w:r w:rsidR="00C07FC8" w:rsidRPr="00433DD5">
        <w:rPr>
          <w:bCs/>
          <w:lang w:val="es-ES_tradnl"/>
        </w:rPr>
        <w:t>result</w:t>
      </w:r>
      <w:r w:rsidR="00D26DE3" w:rsidRPr="00433DD5">
        <w:rPr>
          <w:bCs/>
          <w:lang w:val="es-ES_tradnl"/>
        </w:rPr>
        <w:t xml:space="preserve">a necesario analizar </w:t>
      </w:r>
      <w:r w:rsidR="009716CC" w:rsidRPr="00433DD5">
        <w:rPr>
          <w:bCs/>
          <w:lang w:val="es-ES_tradnl"/>
        </w:rPr>
        <w:t xml:space="preserve">cómo </w:t>
      </w:r>
      <w:r w:rsidR="00E001A4" w:rsidRPr="00433DD5">
        <w:rPr>
          <w:bCs/>
          <w:lang w:val="es-ES_tradnl"/>
        </w:rPr>
        <w:t xml:space="preserve">en </w:t>
      </w:r>
      <w:r w:rsidR="009716CC" w:rsidRPr="00433DD5">
        <w:rPr>
          <w:bCs/>
          <w:lang w:val="es-ES_tradnl"/>
        </w:rPr>
        <w:t xml:space="preserve">la evaluación que realizan los comités de pares </w:t>
      </w:r>
      <w:r w:rsidR="003E3F1B" w:rsidRPr="00433DD5">
        <w:rPr>
          <w:bCs/>
          <w:lang w:val="es-ES_tradnl"/>
        </w:rPr>
        <w:t xml:space="preserve">se </w:t>
      </w:r>
      <w:r w:rsidR="00E001A4" w:rsidRPr="00433DD5">
        <w:rPr>
          <w:bCs/>
          <w:lang w:val="es-ES_tradnl"/>
        </w:rPr>
        <w:t>priorizan</w:t>
      </w:r>
      <w:r w:rsidR="009716CC" w:rsidRPr="00433DD5">
        <w:rPr>
          <w:bCs/>
          <w:lang w:val="es-ES_tradnl"/>
        </w:rPr>
        <w:t xml:space="preserve"> estos aspectos </w:t>
      </w:r>
      <w:r w:rsidR="00BA15F0" w:rsidRPr="00433DD5">
        <w:rPr>
          <w:bCs/>
          <w:lang w:val="es-ES_tradnl"/>
        </w:rPr>
        <w:t xml:space="preserve">que son de alta </w:t>
      </w:r>
      <w:r w:rsidR="009716CC" w:rsidRPr="00433DD5">
        <w:rPr>
          <w:bCs/>
          <w:lang w:val="es-ES_tradnl"/>
        </w:rPr>
        <w:t>relevancia para orientar el quehacer institucional de las universidades</w:t>
      </w:r>
      <w:r w:rsidR="003E3F1B" w:rsidRPr="00433DD5">
        <w:rPr>
          <w:bCs/>
          <w:lang w:val="es-ES_tradnl"/>
        </w:rPr>
        <w:t xml:space="preserve">, </w:t>
      </w:r>
      <w:r w:rsidR="00871F93" w:rsidRPr="00433DD5">
        <w:rPr>
          <w:bCs/>
          <w:lang w:val="es-ES_tradnl"/>
        </w:rPr>
        <w:t>y si realmente</w:t>
      </w:r>
      <w:r w:rsidR="003E3F1B" w:rsidRPr="00433DD5">
        <w:rPr>
          <w:bCs/>
          <w:lang w:val="es-ES_tradnl"/>
        </w:rPr>
        <w:t xml:space="preserve"> </w:t>
      </w:r>
      <w:r w:rsidR="00871F93" w:rsidRPr="00433DD5">
        <w:rPr>
          <w:bCs/>
          <w:lang w:val="es-ES_tradnl"/>
        </w:rPr>
        <w:t xml:space="preserve">la ponderación satisfactoria en estos ámbitos decide </w:t>
      </w:r>
      <w:r w:rsidR="00111CC4" w:rsidRPr="00433DD5">
        <w:rPr>
          <w:bCs/>
          <w:lang w:val="es-ES_tradnl"/>
        </w:rPr>
        <w:t>la asignación de los montos presupuestales extraordinarios.</w:t>
      </w:r>
    </w:p>
    <w:p w14:paraId="73E8FBA1" w14:textId="77777777" w:rsidR="001A0378" w:rsidRPr="00433DD5" w:rsidRDefault="001A0378" w:rsidP="001A0378">
      <w:pPr>
        <w:autoSpaceDE w:val="0"/>
        <w:autoSpaceDN w:val="0"/>
        <w:adjustRightInd w:val="0"/>
        <w:spacing w:line="360" w:lineRule="auto"/>
        <w:ind w:firstLine="708"/>
        <w:jc w:val="both"/>
        <w:rPr>
          <w:bCs/>
          <w:lang w:val="es-ES_tradnl"/>
        </w:rPr>
      </w:pPr>
    </w:p>
    <w:p w14:paraId="545623D0" w14:textId="3BF9694A" w:rsidR="00D90986" w:rsidRPr="00433DD5" w:rsidRDefault="00E51D6E" w:rsidP="008B457E">
      <w:pPr>
        <w:autoSpaceDE w:val="0"/>
        <w:autoSpaceDN w:val="0"/>
        <w:adjustRightInd w:val="0"/>
        <w:spacing w:line="360" w:lineRule="auto"/>
        <w:jc w:val="center"/>
        <w:rPr>
          <w:b/>
          <w:sz w:val="28"/>
          <w:szCs w:val="28"/>
          <w:lang w:val="es-ES_tradnl"/>
        </w:rPr>
      </w:pPr>
      <w:r w:rsidRPr="00433DD5">
        <w:rPr>
          <w:b/>
          <w:sz w:val="28"/>
          <w:szCs w:val="28"/>
          <w:lang w:val="es-ES_tradnl"/>
        </w:rPr>
        <w:t xml:space="preserve">Tendencias y énfasis </w:t>
      </w:r>
      <w:r w:rsidR="00C80E2E" w:rsidRPr="00433DD5">
        <w:rPr>
          <w:b/>
          <w:sz w:val="28"/>
          <w:szCs w:val="28"/>
          <w:lang w:val="es-ES_tradnl"/>
        </w:rPr>
        <w:t xml:space="preserve">del </w:t>
      </w:r>
      <w:r w:rsidR="001A0378" w:rsidRPr="00433DD5">
        <w:rPr>
          <w:b/>
          <w:sz w:val="28"/>
          <w:szCs w:val="28"/>
          <w:lang w:val="es-ES_tradnl"/>
        </w:rPr>
        <w:t>Profexce</w:t>
      </w:r>
    </w:p>
    <w:p w14:paraId="040F4CE0" w14:textId="772578D9" w:rsidR="00D90986" w:rsidRPr="00433DD5" w:rsidRDefault="00137160" w:rsidP="001A0378">
      <w:pPr>
        <w:autoSpaceDE w:val="0"/>
        <w:autoSpaceDN w:val="0"/>
        <w:adjustRightInd w:val="0"/>
        <w:spacing w:line="360" w:lineRule="auto"/>
        <w:ind w:firstLine="708"/>
        <w:jc w:val="both"/>
        <w:rPr>
          <w:b/>
          <w:lang w:val="es-ES_tradnl"/>
        </w:rPr>
      </w:pPr>
      <w:r w:rsidRPr="00433DD5">
        <w:rPr>
          <w:rFonts w:asciiTheme="majorBidi" w:hAnsiTheme="majorBidi" w:cstheme="majorBidi"/>
          <w:lang w:val="es-ES_tradnl"/>
        </w:rPr>
        <w:t xml:space="preserve">La </w:t>
      </w:r>
      <w:r w:rsidR="00103D6B" w:rsidRPr="00433DD5">
        <w:rPr>
          <w:rFonts w:asciiTheme="majorBidi" w:hAnsiTheme="majorBidi" w:cstheme="majorBidi"/>
          <w:lang w:val="es-ES_tradnl"/>
        </w:rPr>
        <w:t xml:space="preserve">participación en el </w:t>
      </w:r>
      <w:r w:rsidR="000A1F26" w:rsidRPr="00433DD5">
        <w:rPr>
          <w:rFonts w:asciiTheme="majorBidi" w:hAnsiTheme="majorBidi" w:cstheme="majorBidi"/>
          <w:lang w:val="es-ES_tradnl"/>
        </w:rPr>
        <w:t>fina</w:t>
      </w:r>
      <w:r w:rsidR="003B6618" w:rsidRPr="00433DD5">
        <w:rPr>
          <w:rFonts w:asciiTheme="majorBidi" w:hAnsiTheme="majorBidi" w:cstheme="majorBidi"/>
          <w:lang w:val="es-ES_tradnl"/>
        </w:rPr>
        <w:t>n</w:t>
      </w:r>
      <w:r w:rsidR="000A1F26" w:rsidRPr="00433DD5">
        <w:rPr>
          <w:rFonts w:asciiTheme="majorBidi" w:hAnsiTheme="majorBidi" w:cstheme="majorBidi"/>
          <w:lang w:val="es-ES_tradnl"/>
        </w:rPr>
        <w:t>ci</w:t>
      </w:r>
      <w:r w:rsidR="003B6618" w:rsidRPr="00433DD5">
        <w:rPr>
          <w:rFonts w:asciiTheme="majorBidi" w:hAnsiTheme="majorBidi" w:cstheme="majorBidi"/>
          <w:lang w:val="es-ES_tradnl"/>
        </w:rPr>
        <w:t>a</w:t>
      </w:r>
      <w:r w:rsidR="000A1F26" w:rsidRPr="00433DD5">
        <w:rPr>
          <w:rFonts w:asciiTheme="majorBidi" w:hAnsiTheme="majorBidi" w:cstheme="majorBidi"/>
          <w:lang w:val="es-ES_tradnl"/>
        </w:rPr>
        <w:t xml:space="preserve">miento a través de proyectos </w:t>
      </w:r>
      <w:r w:rsidRPr="00433DD5">
        <w:rPr>
          <w:rFonts w:asciiTheme="majorBidi" w:hAnsiTheme="majorBidi" w:cstheme="majorBidi"/>
          <w:lang w:val="es-ES_tradnl"/>
        </w:rPr>
        <w:t xml:space="preserve">en el marco del </w:t>
      </w:r>
      <w:r w:rsidR="001A0378" w:rsidRPr="00433DD5">
        <w:rPr>
          <w:rFonts w:asciiTheme="majorBidi" w:hAnsiTheme="majorBidi" w:cstheme="majorBidi"/>
          <w:lang w:val="es-ES_tradnl"/>
        </w:rPr>
        <w:t>Profexce</w:t>
      </w:r>
      <w:r w:rsidR="004D1241" w:rsidRPr="00433DD5">
        <w:rPr>
          <w:rFonts w:asciiTheme="majorBidi" w:hAnsiTheme="majorBidi" w:cstheme="majorBidi"/>
          <w:lang w:val="es-ES_tradnl"/>
        </w:rPr>
        <w:t xml:space="preserve">, </w:t>
      </w:r>
      <w:r w:rsidRPr="00433DD5">
        <w:rPr>
          <w:rFonts w:asciiTheme="majorBidi" w:hAnsiTheme="majorBidi" w:cstheme="majorBidi"/>
          <w:lang w:val="es-ES_tradnl"/>
        </w:rPr>
        <w:t xml:space="preserve">refiere a </w:t>
      </w:r>
      <w:r w:rsidR="003A10E6" w:rsidRPr="00433DD5">
        <w:rPr>
          <w:rFonts w:asciiTheme="majorBidi" w:hAnsiTheme="majorBidi" w:cstheme="majorBidi"/>
          <w:lang w:val="es-ES_tradnl"/>
        </w:rPr>
        <w:t xml:space="preserve">programas </w:t>
      </w:r>
      <w:r w:rsidR="00777998" w:rsidRPr="00433DD5">
        <w:rPr>
          <w:rFonts w:asciiTheme="majorBidi" w:hAnsiTheme="majorBidi" w:cstheme="majorBidi"/>
          <w:lang w:val="es-ES_tradnl"/>
        </w:rPr>
        <w:t xml:space="preserve">de carácter integrador que implican </w:t>
      </w:r>
      <w:r w:rsidR="003875FC" w:rsidRPr="00433DD5">
        <w:rPr>
          <w:rFonts w:asciiTheme="majorBidi" w:hAnsiTheme="majorBidi" w:cstheme="majorBidi"/>
          <w:lang w:val="es-ES_tradnl"/>
        </w:rPr>
        <w:t xml:space="preserve">diversos </w:t>
      </w:r>
      <w:r w:rsidR="00C04210" w:rsidRPr="00433DD5">
        <w:rPr>
          <w:rFonts w:asciiTheme="majorBidi" w:hAnsiTheme="majorBidi" w:cstheme="majorBidi"/>
          <w:lang w:val="es-ES_tradnl"/>
        </w:rPr>
        <w:t>rubros</w:t>
      </w:r>
      <w:r w:rsidR="003875FC" w:rsidRPr="00433DD5">
        <w:rPr>
          <w:rFonts w:asciiTheme="majorBidi" w:hAnsiTheme="majorBidi" w:cstheme="majorBidi"/>
          <w:lang w:val="es-ES_tradnl"/>
        </w:rPr>
        <w:t>.</w:t>
      </w:r>
      <w:r w:rsidR="00777998" w:rsidRPr="00433DD5">
        <w:rPr>
          <w:rFonts w:asciiTheme="majorBidi" w:hAnsiTheme="majorBidi" w:cstheme="majorBidi"/>
          <w:lang w:val="es-ES_tradnl"/>
        </w:rPr>
        <w:t xml:space="preserve"> </w:t>
      </w:r>
      <w:r w:rsidR="00E51D6E" w:rsidRPr="00433DD5">
        <w:rPr>
          <w:rFonts w:asciiTheme="majorBidi" w:hAnsiTheme="majorBidi" w:cstheme="majorBidi"/>
          <w:lang w:val="es-ES_tradnl"/>
        </w:rPr>
        <w:t>D</w:t>
      </w:r>
      <w:r w:rsidR="003875FC" w:rsidRPr="00433DD5">
        <w:rPr>
          <w:rFonts w:asciiTheme="majorBidi" w:hAnsiTheme="majorBidi" w:cstheme="majorBidi"/>
          <w:lang w:val="es-ES_tradnl"/>
        </w:rPr>
        <w:t>e manera resumida</w:t>
      </w:r>
      <w:r w:rsidR="00D16968" w:rsidRPr="00433DD5">
        <w:rPr>
          <w:rFonts w:asciiTheme="majorBidi" w:hAnsiTheme="majorBidi" w:cstheme="majorBidi"/>
          <w:lang w:val="es-ES_tradnl"/>
        </w:rPr>
        <w:t>,</w:t>
      </w:r>
      <w:r w:rsidR="003875FC" w:rsidRPr="00433DD5">
        <w:rPr>
          <w:rFonts w:asciiTheme="majorBidi" w:hAnsiTheme="majorBidi" w:cstheme="majorBidi"/>
          <w:lang w:val="es-ES_tradnl"/>
        </w:rPr>
        <w:t xml:space="preserve"> se integra por tres elementos fundamentales: </w:t>
      </w:r>
      <w:r w:rsidR="00D16968" w:rsidRPr="00433DD5">
        <w:rPr>
          <w:rFonts w:asciiTheme="majorBidi" w:hAnsiTheme="majorBidi" w:cstheme="majorBidi"/>
          <w:lang w:val="es-ES_tradnl"/>
        </w:rPr>
        <w:t>l</w:t>
      </w:r>
      <w:r w:rsidR="003875FC" w:rsidRPr="00433DD5">
        <w:rPr>
          <w:rFonts w:asciiTheme="majorBidi" w:hAnsiTheme="majorBidi" w:cstheme="majorBidi"/>
          <w:lang w:val="es-ES_tradnl"/>
        </w:rPr>
        <w:t xml:space="preserve">a autoevaluación, la planeación estratégica y el proyecto integral. </w:t>
      </w:r>
      <w:r w:rsidR="00E51D6E" w:rsidRPr="00433DD5">
        <w:rPr>
          <w:rFonts w:asciiTheme="majorBidi" w:hAnsiTheme="majorBidi" w:cstheme="majorBidi"/>
          <w:lang w:val="es-ES_tradnl"/>
        </w:rPr>
        <w:t xml:space="preserve">El primero </w:t>
      </w:r>
      <w:r w:rsidRPr="00433DD5">
        <w:rPr>
          <w:rFonts w:asciiTheme="majorBidi" w:hAnsiTheme="majorBidi" w:cstheme="majorBidi"/>
          <w:lang w:val="es-ES_tradnl"/>
        </w:rPr>
        <w:t xml:space="preserve">sirve </w:t>
      </w:r>
      <w:r w:rsidR="00103D6B" w:rsidRPr="00433DD5">
        <w:rPr>
          <w:rFonts w:asciiTheme="majorBidi" w:hAnsiTheme="majorBidi" w:cstheme="majorBidi"/>
          <w:lang w:val="es-ES_tradnl"/>
        </w:rPr>
        <w:t>como diagnóstico</w:t>
      </w:r>
      <w:r w:rsidRPr="00433DD5">
        <w:rPr>
          <w:rFonts w:asciiTheme="majorBidi" w:hAnsiTheme="majorBidi" w:cstheme="majorBidi"/>
          <w:lang w:val="es-ES_tradnl"/>
        </w:rPr>
        <w:t xml:space="preserve"> para</w:t>
      </w:r>
      <w:r w:rsidR="003875FC" w:rsidRPr="00433DD5">
        <w:rPr>
          <w:rFonts w:asciiTheme="majorBidi" w:hAnsiTheme="majorBidi" w:cstheme="majorBidi"/>
          <w:lang w:val="es-ES_tradnl"/>
        </w:rPr>
        <w:t xml:space="preserve"> identificar problemas y fortalezas</w:t>
      </w:r>
      <w:r w:rsidR="00014217" w:rsidRPr="00433DD5">
        <w:rPr>
          <w:rFonts w:asciiTheme="majorBidi" w:hAnsiTheme="majorBidi" w:cstheme="majorBidi"/>
          <w:lang w:val="es-ES_tradnl"/>
        </w:rPr>
        <w:t xml:space="preserve">; </w:t>
      </w:r>
      <w:r w:rsidR="003875FC" w:rsidRPr="00433DD5">
        <w:rPr>
          <w:rFonts w:asciiTheme="majorBidi" w:hAnsiTheme="majorBidi" w:cstheme="majorBidi"/>
          <w:lang w:val="es-ES_tradnl"/>
        </w:rPr>
        <w:t xml:space="preserve">en </w:t>
      </w:r>
      <w:r w:rsidR="00E51D6E" w:rsidRPr="00433DD5">
        <w:rPr>
          <w:rFonts w:asciiTheme="majorBidi" w:hAnsiTheme="majorBidi" w:cstheme="majorBidi"/>
          <w:lang w:val="es-ES_tradnl"/>
        </w:rPr>
        <w:t xml:space="preserve">el segundo </w:t>
      </w:r>
      <w:r w:rsidR="003875FC" w:rsidRPr="00433DD5">
        <w:rPr>
          <w:rFonts w:asciiTheme="majorBidi" w:hAnsiTheme="majorBidi" w:cstheme="majorBidi"/>
          <w:lang w:val="es-ES_tradnl"/>
        </w:rPr>
        <w:t>se diseña el conjunto de políticas y estrategias que habrán de emprenderse o fortalece</w:t>
      </w:r>
      <w:r w:rsidR="002928C7" w:rsidRPr="00433DD5">
        <w:rPr>
          <w:rFonts w:asciiTheme="majorBidi" w:hAnsiTheme="majorBidi" w:cstheme="majorBidi"/>
          <w:lang w:val="es-ES_tradnl"/>
        </w:rPr>
        <w:t>r</w:t>
      </w:r>
      <w:r w:rsidR="003875FC" w:rsidRPr="00433DD5">
        <w:rPr>
          <w:rFonts w:asciiTheme="majorBidi" w:hAnsiTheme="majorBidi" w:cstheme="majorBidi"/>
          <w:lang w:val="es-ES_tradnl"/>
        </w:rPr>
        <w:t>se para atender las problemáticas</w:t>
      </w:r>
      <w:r w:rsidR="00014217" w:rsidRPr="00433DD5">
        <w:rPr>
          <w:rFonts w:asciiTheme="majorBidi" w:hAnsiTheme="majorBidi" w:cstheme="majorBidi"/>
          <w:lang w:val="es-ES_tradnl"/>
        </w:rPr>
        <w:t>,</w:t>
      </w:r>
      <w:r w:rsidR="003875FC" w:rsidRPr="00433DD5">
        <w:rPr>
          <w:rFonts w:asciiTheme="majorBidi" w:hAnsiTheme="majorBidi" w:cstheme="majorBidi"/>
          <w:lang w:val="es-ES_tradnl"/>
        </w:rPr>
        <w:t xml:space="preserve"> y</w:t>
      </w:r>
      <w:r w:rsidR="006E5FB5" w:rsidRPr="00433DD5">
        <w:rPr>
          <w:rFonts w:asciiTheme="majorBidi" w:hAnsiTheme="majorBidi" w:cstheme="majorBidi"/>
          <w:lang w:val="es-ES_tradnl"/>
        </w:rPr>
        <w:t>,</w:t>
      </w:r>
      <w:r w:rsidR="003875FC" w:rsidRPr="00433DD5">
        <w:rPr>
          <w:rFonts w:asciiTheme="majorBidi" w:hAnsiTheme="majorBidi" w:cstheme="majorBidi"/>
          <w:lang w:val="es-ES_tradnl"/>
        </w:rPr>
        <w:t xml:space="preserve"> por último</w:t>
      </w:r>
      <w:r w:rsidR="002928C7" w:rsidRPr="00433DD5">
        <w:rPr>
          <w:rFonts w:asciiTheme="majorBidi" w:hAnsiTheme="majorBidi" w:cstheme="majorBidi"/>
          <w:lang w:val="es-ES_tradnl"/>
        </w:rPr>
        <w:t>,</w:t>
      </w:r>
      <w:r w:rsidR="003875FC" w:rsidRPr="00433DD5">
        <w:rPr>
          <w:rFonts w:asciiTheme="majorBidi" w:hAnsiTheme="majorBidi" w:cstheme="majorBidi"/>
          <w:lang w:val="es-ES_tradnl"/>
        </w:rPr>
        <w:t xml:space="preserve"> el proyecto integral </w:t>
      </w:r>
      <w:r w:rsidR="000158E1" w:rsidRPr="00433DD5">
        <w:rPr>
          <w:rFonts w:asciiTheme="majorBidi" w:hAnsiTheme="majorBidi" w:cstheme="majorBidi"/>
          <w:lang w:val="es-ES_tradnl"/>
        </w:rPr>
        <w:t>aborda las</w:t>
      </w:r>
      <w:r w:rsidR="003875FC" w:rsidRPr="00433DD5">
        <w:rPr>
          <w:rFonts w:asciiTheme="majorBidi" w:hAnsiTheme="majorBidi" w:cstheme="majorBidi"/>
          <w:lang w:val="es-ES_tradnl"/>
        </w:rPr>
        <w:t xml:space="preserve"> necesidades detectadas</w:t>
      </w:r>
      <w:r w:rsidR="002928C7" w:rsidRPr="00433DD5">
        <w:rPr>
          <w:rFonts w:asciiTheme="majorBidi" w:hAnsiTheme="majorBidi" w:cstheme="majorBidi"/>
          <w:lang w:val="es-ES_tradnl"/>
        </w:rPr>
        <w:t>,</w:t>
      </w:r>
      <w:r w:rsidR="003875FC" w:rsidRPr="00433DD5">
        <w:rPr>
          <w:rFonts w:asciiTheme="majorBidi" w:hAnsiTheme="majorBidi" w:cstheme="majorBidi"/>
          <w:lang w:val="es-ES_tradnl"/>
        </w:rPr>
        <w:t xml:space="preserve"> </w:t>
      </w:r>
      <w:r w:rsidR="00E51D6E" w:rsidRPr="00433DD5">
        <w:rPr>
          <w:rFonts w:asciiTheme="majorBidi" w:hAnsiTheme="majorBidi" w:cstheme="majorBidi"/>
          <w:lang w:val="es-ES_tradnl"/>
        </w:rPr>
        <w:t>el</w:t>
      </w:r>
      <w:r w:rsidR="003875FC" w:rsidRPr="00433DD5">
        <w:rPr>
          <w:rFonts w:asciiTheme="majorBidi" w:hAnsiTheme="majorBidi" w:cstheme="majorBidi"/>
          <w:lang w:val="es-ES_tradnl"/>
        </w:rPr>
        <w:t xml:space="preserve"> planteamiento de objetivos, metas, acciones y recursos. </w:t>
      </w:r>
    </w:p>
    <w:p w14:paraId="7ACF7850" w14:textId="3614B736" w:rsidR="003A10E6" w:rsidRPr="00433DD5" w:rsidRDefault="00D90986" w:rsidP="001A0378">
      <w:pPr>
        <w:autoSpaceDE w:val="0"/>
        <w:autoSpaceDN w:val="0"/>
        <w:adjustRightInd w:val="0"/>
        <w:spacing w:line="360" w:lineRule="auto"/>
        <w:jc w:val="both"/>
        <w:rPr>
          <w:rFonts w:asciiTheme="majorBidi" w:hAnsiTheme="majorBidi" w:cstheme="majorBidi"/>
        </w:rPr>
      </w:pPr>
      <w:r w:rsidRPr="00433DD5">
        <w:rPr>
          <w:b/>
          <w:lang w:val="es-ES_tradnl"/>
        </w:rPr>
        <w:tab/>
      </w:r>
      <w:r w:rsidR="00E14552" w:rsidRPr="00433DD5">
        <w:rPr>
          <w:bCs/>
          <w:lang w:val="es-ES_tradnl"/>
        </w:rPr>
        <w:t xml:space="preserve">La existencia de este programa, expuesto aquí de manera sucinta, se ha basado, </w:t>
      </w:r>
      <w:r w:rsidR="006F1EC1" w:rsidRPr="00433DD5">
        <w:rPr>
          <w:bCs/>
          <w:lang w:val="es-ES_tradnl"/>
        </w:rPr>
        <w:t>esencialmente</w:t>
      </w:r>
      <w:r w:rsidR="00E14552" w:rsidRPr="00433DD5">
        <w:rPr>
          <w:bCs/>
          <w:lang w:val="es-ES_tradnl"/>
        </w:rPr>
        <w:t xml:space="preserve">, </w:t>
      </w:r>
      <w:r w:rsidR="002928C7" w:rsidRPr="00433DD5">
        <w:rPr>
          <w:rFonts w:asciiTheme="majorBidi" w:hAnsiTheme="majorBidi" w:cstheme="majorBidi"/>
          <w:lang w:val="es-ES_tradnl"/>
        </w:rPr>
        <w:t>en la atención a cuatro a</w:t>
      </w:r>
      <w:r w:rsidR="00E14552" w:rsidRPr="00433DD5">
        <w:rPr>
          <w:rFonts w:asciiTheme="majorBidi" w:hAnsiTheme="majorBidi" w:cstheme="majorBidi"/>
          <w:lang w:val="es-ES_tradnl"/>
        </w:rPr>
        <w:t>s</w:t>
      </w:r>
      <w:r w:rsidR="002928C7" w:rsidRPr="00433DD5">
        <w:rPr>
          <w:rFonts w:asciiTheme="majorBidi" w:hAnsiTheme="majorBidi" w:cstheme="majorBidi"/>
          <w:lang w:val="es-ES_tradnl"/>
        </w:rPr>
        <w:t xml:space="preserve">untos fundamentales: </w:t>
      </w:r>
      <w:r w:rsidR="006F1EC1" w:rsidRPr="00433DD5">
        <w:rPr>
          <w:rFonts w:asciiTheme="majorBidi" w:hAnsiTheme="majorBidi" w:cstheme="majorBidi"/>
          <w:lang w:val="es-ES_tradnl"/>
        </w:rPr>
        <w:t xml:space="preserve">consolidación de </w:t>
      </w:r>
      <w:r w:rsidR="002928C7" w:rsidRPr="00433DD5">
        <w:rPr>
          <w:rFonts w:asciiTheme="majorBidi" w:hAnsiTheme="majorBidi" w:cstheme="majorBidi"/>
          <w:lang w:val="es-ES_tradnl"/>
        </w:rPr>
        <w:t xml:space="preserve">la capacidad </w:t>
      </w:r>
      <w:r w:rsidR="002928C7" w:rsidRPr="00433DD5">
        <w:rPr>
          <w:rFonts w:asciiTheme="majorBidi" w:hAnsiTheme="majorBidi" w:cstheme="majorBidi"/>
          <w:lang w:val="es-ES_tradnl"/>
        </w:rPr>
        <w:lastRenderedPageBreak/>
        <w:t xml:space="preserve">y competitividad académica, formación integral de los estudiantes </w:t>
      </w:r>
      <w:r w:rsidR="00137160" w:rsidRPr="00433DD5">
        <w:rPr>
          <w:rFonts w:asciiTheme="majorBidi" w:hAnsiTheme="majorBidi" w:cstheme="majorBidi"/>
          <w:lang w:val="es-ES_tradnl"/>
        </w:rPr>
        <w:t xml:space="preserve">y </w:t>
      </w:r>
      <w:r w:rsidR="002928C7" w:rsidRPr="00433DD5">
        <w:rPr>
          <w:rFonts w:asciiTheme="majorBidi" w:hAnsiTheme="majorBidi" w:cstheme="majorBidi"/>
          <w:lang w:val="es-ES_tradnl"/>
        </w:rPr>
        <w:t xml:space="preserve">en los últimos años al </w:t>
      </w:r>
      <w:r w:rsidR="003E5273" w:rsidRPr="00433DD5">
        <w:rPr>
          <w:rFonts w:asciiTheme="majorBidi" w:hAnsiTheme="majorBidi" w:cstheme="majorBidi"/>
          <w:lang w:val="es-ES_tradnl"/>
        </w:rPr>
        <w:t xml:space="preserve">fortalecimiento de los </w:t>
      </w:r>
      <w:r w:rsidR="00137160" w:rsidRPr="00433DD5">
        <w:rPr>
          <w:rFonts w:asciiTheme="majorBidi" w:hAnsiTheme="majorBidi" w:cstheme="majorBidi"/>
          <w:lang w:val="es-ES_tradnl"/>
        </w:rPr>
        <w:t xml:space="preserve">posgrados. </w:t>
      </w:r>
      <w:r w:rsidR="00B508A4" w:rsidRPr="00433DD5">
        <w:rPr>
          <w:rFonts w:asciiTheme="majorBidi" w:hAnsiTheme="majorBidi" w:cstheme="majorBidi"/>
          <w:lang w:val="es-ES_tradnl"/>
        </w:rPr>
        <w:t xml:space="preserve">De acuerdo con la </w:t>
      </w:r>
      <w:r w:rsidR="002F0CB9" w:rsidRPr="00433DD5">
        <w:rPr>
          <w:rFonts w:asciiTheme="majorBidi" w:hAnsiTheme="majorBidi" w:cstheme="majorBidi"/>
          <w:lang w:val="es-ES_tradnl"/>
        </w:rPr>
        <w:t>SEP</w:t>
      </w:r>
      <w:r w:rsidR="00B508A4" w:rsidRPr="00433DD5">
        <w:rPr>
          <w:rFonts w:asciiTheme="majorBidi" w:hAnsiTheme="majorBidi" w:cstheme="majorBidi"/>
          <w:lang w:val="es-ES_tradnl"/>
        </w:rPr>
        <w:t xml:space="preserve"> (2019</w:t>
      </w:r>
      <w:r w:rsidR="004F15F2" w:rsidRPr="00433DD5">
        <w:rPr>
          <w:rFonts w:asciiTheme="majorBidi" w:hAnsiTheme="majorBidi" w:cstheme="majorBidi"/>
          <w:lang w:val="es-ES_tradnl"/>
        </w:rPr>
        <w:t>ª</w:t>
      </w:r>
      <w:r w:rsidR="00B508A4" w:rsidRPr="00433DD5">
        <w:rPr>
          <w:rFonts w:asciiTheme="majorBidi" w:hAnsiTheme="majorBidi" w:cstheme="majorBidi"/>
          <w:lang w:val="es-ES_tradnl"/>
        </w:rPr>
        <w:t>), s</w:t>
      </w:r>
      <w:r w:rsidR="002928C7" w:rsidRPr="00433DD5">
        <w:rPr>
          <w:rFonts w:asciiTheme="majorBidi" w:hAnsiTheme="majorBidi" w:cstheme="majorBidi"/>
          <w:lang w:val="es-ES_tradnl"/>
        </w:rPr>
        <w:t>e entiende por</w:t>
      </w:r>
      <w:r w:rsidR="0065622E" w:rsidRPr="00433DD5">
        <w:rPr>
          <w:rFonts w:asciiTheme="majorBidi" w:hAnsiTheme="majorBidi" w:cstheme="majorBidi"/>
          <w:lang w:val="es-ES_tradnl"/>
        </w:rPr>
        <w:t xml:space="preserve"> </w:t>
      </w:r>
      <w:r w:rsidR="0065622E" w:rsidRPr="00433DD5">
        <w:rPr>
          <w:rFonts w:asciiTheme="majorBidi" w:hAnsiTheme="majorBidi" w:cstheme="majorBidi"/>
          <w:i/>
          <w:iCs/>
          <w:lang w:val="es-ES_tradnl"/>
        </w:rPr>
        <w:t>capacidad académica</w:t>
      </w:r>
      <w:r w:rsidR="002928C7" w:rsidRPr="00433DD5">
        <w:rPr>
          <w:rFonts w:asciiTheme="majorBidi" w:hAnsiTheme="majorBidi" w:cstheme="majorBidi"/>
          <w:lang w:val="es-ES_tradnl"/>
        </w:rPr>
        <w:t xml:space="preserve"> </w:t>
      </w:r>
      <w:r w:rsidR="0065622E" w:rsidRPr="00433DD5">
        <w:rPr>
          <w:rFonts w:asciiTheme="majorBidi" w:hAnsiTheme="majorBidi" w:cstheme="majorBidi"/>
          <w:lang w:val="es-ES_tradnl"/>
        </w:rPr>
        <w:t xml:space="preserve">a los datos de la planta académica y </w:t>
      </w:r>
      <w:r w:rsidR="0065622E" w:rsidRPr="00433DD5">
        <w:rPr>
          <w:rFonts w:asciiTheme="majorBidi" w:hAnsiTheme="majorBidi" w:cstheme="majorBidi"/>
        </w:rPr>
        <w:t>del grado de consolidación de sus cuerpos académicos (CA), es decir</w:t>
      </w:r>
      <w:r w:rsidR="00AF6972" w:rsidRPr="00433DD5">
        <w:rPr>
          <w:rFonts w:asciiTheme="majorBidi" w:hAnsiTheme="majorBidi" w:cstheme="majorBidi"/>
        </w:rPr>
        <w:t>,</w:t>
      </w:r>
      <w:r w:rsidR="0065622E" w:rsidRPr="00433DD5">
        <w:rPr>
          <w:rFonts w:asciiTheme="majorBidi" w:hAnsiTheme="majorBidi" w:cstheme="majorBidi"/>
        </w:rPr>
        <w:t xml:space="preserve"> al nivel de desarrollo y habilitación de los profesores de tiempo completo (PTC) con perfil deseable, y a la pertenencia de sus miembros al S</w:t>
      </w:r>
      <w:r w:rsidR="00727BD1" w:rsidRPr="00433DD5">
        <w:rPr>
          <w:rFonts w:asciiTheme="majorBidi" w:hAnsiTheme="majorBidi" w:cstheme="majorBidi"/>
        </w:rPr>
        <w:t>istema Nacional de Investigadores</w:t>
      </w:r>
      <w:r w:rsidR="00DA7DD2" w:rsidRPr="00433DD5">
        <w:rPr>
          <w:rFonts w:asciiTheme="majorBidi" w:hAnsiTheme="majorBidi" w:cstheme="majorBidi"/>
        </w:rPr>
        <w:t xml:space="preserve"> (</w:t>
      </w:r>
      <w:r w:rsidR="007B14F3" w:rsidRPr="00433DD5">
        <w:rPr>
          <w:rFonts w:asciiTheme="majorBidi" w:hAnsiTheme="majorBidi" w:cstheme="majorBidi"/>
        </w:rPr>
        <w:t>SNI</w:t>
      </w:r>
      <w:r w:rsidR="00DA7DD2" w:rsidRPr="00433DD5">
        <w:rPr>
          <w:rFonts w:asciiTheme="majorBidi" w:hAnsiTheme="majorBidi" w:cstheme="majorBidi"/>
        </w:rPr>
        <w:t>)</w:t>
      </w:r>
      <w:r w:rsidR="0065622E" w:rsidRPr="00433DD5">
        <w:rPr>
          <w:rFonts w:asciiTheme="majorBidi" w:hAnsiTheme="majorBidi" w:cstheme="majorBidi"/>
        </w:rPr>
        <w:t xml:space="preserve">. </w:t>
      </w:r>
    </w:p>
    <w:p w14:paraId="0051C40C" w14:textId="15F7CF5D" w:rsidR="0065622E" w:rsidRPr="00433DD5" w:rsidRDefault="003A10E6" w:rsidP="001A0378">
      <w:pPr>
        <w:autoSpaceDE w:val="0"/>
        <w:autoSpaceDN w:val="0"/>
        <w:adjustRightInd w:val="0"/>
        <w:spacing w:line="360" w:lineRule="auto"/>
        <w:jc w:val="both"/>
        <w:rPr>
          <w:bCs/>
          <w:lang w:val="es-ES_tradnl"/>
        </w:rPr>
      </w:pPr>
      <w:r w:rsidRPr="00433DD5">
        <w:rPr>
          <w:rFonts w:asciiTheme="majorBidi" w:hAnsiTheme="majorBidi" w:cstheme="majorBidi"/>
        </w:rPr>
        <w:tab/>
      </w:r>
      <w:r w:rsidR="006E40ED" w:rsidRPr="00433DD5">
        <w:rPr>
          <w:rFonts w:asciiTheme="majorBidi" w:hAnsiTheme="majorBidi" w:cstheme="majorBidi"/>
        </w:rPr>
        <w:t>Por otro lado,</w:t>
      </w:r>
      <w:r w:rsidR="00C8763B" w:rsidRPr="00433DD5">
        <w:rPr>
          <w:rFonts w:asciiTheme="majorBidi" w:hAnsiTheme="majorBidi" w:cstheme="majorBidi"/>
        </w:rPr>
        <w:t xml:space="preserve"> siguiendo lo descrito por la </w:t>
      </w:r>
      <w:r w:rsidR="00952E85" w:rsidRPr="00433DD5">
        <w:rPr>
          <w:rFonts w:asciiTheme="majorBidi" w:hAnsiTheme="majorBidi" w:cstheme="majorBidi"/>
        </w:rPr>
        <w:t>SEP</w:t>
      </w:r>
      <w:r w:rsidR="0008726A" w:rsidRPr="00433DD5">
        <w:rPr>
          <w:rFonts w:asciiTheme="majorBidi" w:hAnsiTheme="majorBidi" w:cstheme="majorBidi"/>
        </w:rPr>
        <w:t xml:space="preserve"> (</w:t>
      </w:r>
      <w:r w:rsidR="0008726A" w:rsidRPr="00433DD5">
        <w:rPr>
          <w:rFonts w:asciiTheme="majorBidi" w:hAnsiTheme="majorBidi" w:cstheme="majorBidi"/>
          <w:lang w:val="es-ES_tradnl"/>
        </w:rPr>
        <w:t>2</w:t>
      </w:r>
      <w:r w:rsidR="004F15F2" w:rsidRPr="00433DD5">
        <w:rPr>
          <w:rFonts w:asciiTheme="majorBidi" w:hAnsiTheme="majorBidi" w:cstheme="majorBidi"/>
          <w:lang w:val="es-ES_tradnl"/>
        </w:rPr>
        <w:t>ª</w:t>
      </w:r>
      <w:r w:rsidR="0008726A" w:rsidRPr="00433DD5">
        <w:rPr>
          <w:rFonts w:asciiTheme="majorBidi" w:hAnsiTheme="majorBidi" w:cstheme="majorBidi"/>
          <w:lang w:val="es-ES_tradnl"/>
        </w:rPr>
        <w:t>19a)</w:t>
      </w:r>
      <w:r w:rsidR="00C8763B" w:rsidRPr="00433DD5">
        <w:rPr>
          <w:rFonts w:asciiTheme="majorBidi" w:hAnsiTheme="majorBidi" w:cstheme="majorBidi"/>
        </w:rPr>
        <w:t>,</w:t>
      </w:r>
      <w:r w:rsidR="006E40ED" w:rsidRPr="00433DD5">
        <w:rPr>
          <w:rFonts w:asciiTheme="majorBidi" w:hAnsiTheme="majorBidi" w:cstheme="majorBidi"/>
        </w:rPr>
        <w:t xml:space="preserve"> </w:t>
      </w:r>
      <w:r w:rsidR="0065622E" w:rsidRPr="00433DD5">
        <w:rPr>
          <w:rFonts w:asciiTheme="majorBidi" w:hAnsiTheme="majorBidi" w:cstheme="majorBidi"/>
          <w:lang w:val="es-ES_tradnl"/>
        </w:rPr>
        <w:t>la competitividad académica</w:t>
      </w:r>
      <w:r w:rsidR="0065622E" w:rsidRPr="00433DD5">
        <w:rPr>
          <w:rFonts w:asciiTheme="majorBidi" w:hAnsiTheme="majorBidi" w:cstheme="majorBidi"/>
          <w:b/>
          <w:bCs/>
          <w:lang w:val="es-ES_tradnl"/>
        </w:rPr>
        <w:t xml:space="preserve"> </w:t>
      </w:r>
      <w:r w:rsidR="0065622E" w:rsidRPr="00433DD5">
        <w:rPr>
          <w:rFonts w:asciiTheme="majorBidi" w:hAnsiTheme="majorBidi" w:cstheme="majorBidi"/>
          <w:lang w:val="es-ES_tradnl"/>
        </w:rPr>
        <w:t xml:space="preserve">representa </w:t>
      </w:r>
      <w:r w:rsidR="0065622E" w:rsidRPr="00433DD5">
        <w:rPr>
          <w:rFonts w:asciiTheme="majorBidi" w:hAnsiTheme="majorBidi" w:cstheme="majorBidi"/>
          <w:lang w:eastAsia="es-MX"/>
        </w:rPr>
        <w:t>el resultado del desempeño de una institución o una DES medida en términos de indicadores</w:t>
      </w:r>
      <w:r w:rsidR="0076232B" w:rsidRPr="00433DD5">
        <w:rPr>
          <w:rFonts w:asciiTheme="majorBidi" w:hAnsiTheme="majorBidi" w:cstheme="majorBidi"/>
          <w:lang w:eastAsia="es-MX"/>
        </w:rPr>
        <w:t>, tal y</w:t>
      </w:r>
      <w:r w:rsidR="0065622E" w:rsidRPr="00433DD5">
        <w:rPr>
          <w:rFonts w:asciiTheme="majorBidi" w:hAnsiTheme="majorBidi" w:cstheme="majorBidi"/>
          <w:lang w:eastAsia="es-MX"/>
        </w:rPr>
        <w:t xml:space="preserve"> como el número de programas educativos acreditados o transitoriamente en el nivel 1 del </w:t>
      </w:r>
      <w:r w:rsidR="008347FE" w:rsidRPr="00433DD5">
        <w:rPr>
          <w:rFonts w:asciiTheme="majorBidi" w:hAnsiTheme="majorBidi" w:cstheme="majorBidi"/>
          <w:lang w:eastAsia="es-MX"/>
        </w:rPr>
        <w:t xml:space="preserve">padrón </w:t>
      </w:r>
      <w:r w:rsidR="0065622E" w:rsidRPr="00433DD5">
        <w:rPr>
          <w:rFonts w:asciiTheme="majorBidi" w:hAnsiTheme="majorBidi" w:cstheme="majorBidi"/>
          <w:lang w:eastAsia="es-MX"/>
        </w:rPr>
        <w:t xml:space="preserve">de </w:t>
      </w:r>
      <w:r w:rsidR="0029253D" w:rsidRPr="00433DD5">
        <w:rPr>
          <w:rFonts w:asciiTheme="majorBidi" w:hAnsiTheme="majorBidi" w:cstheme="majorBidi"/>
          <w:lang w:eastAsia="es-MX"/>
        </w:rPr>
        <w:t>p</w:t>
      </w:r>
      <w:r w:rsidR="0065622E" w:rsidRPr="00433DD5">
        <w:rPr>
          <w:rFonts w:asciiTheme="majorBidi" w:hAnsiTheme="majorBidi" w:cstheme="majorBidi"/>
          <w:lang w:eastAsia="es-MX"/>
        </w:rPr>
        <w:t xml:space="preserve">rogramas </w:t>
      </w:r>
      <w:r w:rsidR="0029253D" w:rsidRPr="00433DD5">
        <w:rPr>
          <w:rFonts w:asciiTheme="majorBidi" w:hAnsiTheme="majorBidi" w:cstheme="majorBidi"/>
          <w:lang w:eastAsia="es-MX"/>
        </w:rPr>
        <w:t>e</w:t>
      </w:r>
      <w:r w:rsidR="0065622E" w:rsidRPr="00433DD5">
        <w:rPr>
          <w:rFonts w:asciiTheme="majorBidi" w:hAnsiTheme="majorBidi" w:cstheme="majorBidi"/>
          <w:lang w:eastAsia="es-MX"/>
        </w:rPr>
        <w:t>valuados por los C</w:t>
      </w:r>
      <w:r w:rsidR="00107F8C" w:rsidRPr="00433DD5">
        <w:rPr>
          <w:rFonts w:asciiTheme="majorBidi" w:hAnsiTheme="majorBidi" w:cstheme="majorBidi"/>
          <w:lang w:eastAsia="es-MX"/>
        </w:rPr>
        <w:t xml:space="preserve">omités </w:t>
      </w:r>
      <w:r w:rsidR="0065622E" w:rsidRPr="00433DD5">
        <w:rPr>
          <w:rFonts w:asciiTheme="majorBidi" w:hAnsiTheme="majorBidi" w:cstheme="majorBidi"/>
          <w:lang w:eastAsia="es-MX"/>
        </w:rPr>
        <w:t>I</w:t>
      </w:r>
      <w:r w:rsidR="00107F8C" w:rsidRPr="00433DD5">
        <w:rPr>
          <w:rFonts w:asciiTheme="majorBidi" w:hAnsiTheme="majorBidi" w:cstheme="majorBidi"/>
          <w:lang w:eastAsia="es-MX"/>
        </w:rPr>
        <w:t>nterinstitucionales para la Evaluación de la Educación Superior (CI</w:t>
      </w:r>
      <w:r w:rsidR="0065622E" w:rsidRPr="00433DD5">
        <w:rPr>
          <w:rFonts w:asciiTheme="majorBidi" w:hAnsiTheme="majorBidi" w:cstheme="majorBidi"/>
          <w:lang w:eastAsia="es-MX"/>
        </w:rPr>
        <w:t>EES</w:t>
      </w:r>
      <w:r w:rsidR="00107F8C" w:rsidRPr="00433DD5">
        <w:rPr>
          <w:rFonts w:asciiTheme="majorBidi" w:hAnsiTheme="majorBidi" w:cstheme="majorBidi"/>
          <w:lang w:eastAsia="es-MX"/>
        </w:rPr>
        <w:t>)</w:t>
      </w:r>
      <w:r w:rsidR="0065622E" w:rsidRPr="00433DD5">
        <w:rPr>
          <w:rFonts w:asciiTheme="majorBidi" w:hAnsiTheme="majorBidi" w:cstheme="majorBidi"/>
          <w:lang w:eastAsia="es-MX"/>
        </w:rPr>
        <w:t>; el número de programas registrados en el Padrón Nacional de Posgrado</w:t>
      </w:r>
      <w:r w:rsidR="006D46D7" w:rsidRPr="00433DD5">
        <w:rPr>
          <w:rFonts w:asciiTheme="majorBidi" w:hAnsiTheme="majorBidi" w:cstheme="majorBidi"/>
          <w:lang w:eastAsia="es-MX"/>
        </w:rPr>
        <w:t>s</w:t>
      </w:r>
      <w:r w:rsidR="003203B0" w:rsidRPr="00433DD5">
        <w:rPr>
          <w:rFonts w:asciiTheme="majorBidi" w:hAnsiTheme="majorBidi" w:cstheme="majorBidi"/>
          <w:lang w:eastAsia="es-MX"/>
        </w:rPr>
        <w:t xml:space="preserve"> de Calidad (PNPC)</w:t>
      </w:r>
      <w:r w:rsidR="0065622E" w:rsidRPr="00433DD5">
        <w:rPr>
          <w:rFonts w:asciiTheme="majorBidi" w:hAnsiTheme="majorBidi" w:cstheme="majorBidi"/>
          <w:lang w:eastAsia="es-MX"/>
        </w:rPr>
        <w:t xml:space="preserve"> </w:t>
      </w:r>
      <w:r w:rsidR="003203B0" w:rsidRPr="00433DD5">
        <w:rPr>
          <w:rFonts w:asciiTheme="majorBidi" w:hAnsiTheme="majorBidi" w:cstheme="majorBidi"/>
          <w:lang w:eastAsia="es-MX"/>
        </w:rPr>
        <w:t xml:space="preserve">de la </w:t>
      </w:r>
      <w:r w:rsidR="0065622E" w:rsidRPr="00433DD5">
        <w:rPr>
          <w:rFonts w:asciiTheme="majorBidi" w:hAnsiTheme="majorBidi" w:cstheme="majorBidi"/>
          <w:lang w:eastAsia="es-MX"/>
        </w:rPr>
        <w:t>SEP</w:t>
      </w:r>
      <w:r w:rsidR="003203B0" w:rsidRPr="00433DD5">
        <w:rPr>
          <w:rFonts w:asciiTheme="majorBidi" w:hAnsiTheme="majorBidi" w:cstheme="majorBidi"/>
          <w:lang w:eastAsia="es-MX"/>
        </w:rPr>
        <w:t xml:space="preserve"> y el </w:t>
      </w:r>
      <w:r w:rsidR="000C1FFE" w:rsidRPr="00433DD5">
        <w:rPr>
          <w:rFonts w:asciiTheme="majorBidi" w:hAnsiTheme="majorBidi" w:cstheme="majorBidi"/>
          <w:lang w:eastAsia="es-MX"/>
        </w:rPr>
        <w:t>Consejo Nacional de Ciencia y Tecnología (Conacyt)</w:t>
      </w:r>
      <w:r w:rsidR="0065622E" w:rsidRPr="00433DD5">
        <w:rPr>
          <w:rFonts w:asciiTheme="majorBidi" w:hAnsiTheme="majorBidi" w:cstheme="majorBidi"/>
          <w:lang w:eastAsia="es-MX"/>
        </w:rPr>
        <w:t>; la eficiencia terminal; los egresados titulados que obtienen empleo en los primeros seis meses después de su egreso, entre otros. La competitividad académica está relacionada íntimamente con la capacidad académica y da cuenta de</w:t>
      </w:r>
      <w:r w:rsidR="0065622E" w:rsidRPr="00433DD5">
        <w:rPr>
          <w:rFonts w:asciiTheme="majorBidi" w:hAnsiTheme="majorBidi" w:cstheme="majorBidi"/>
          <w:b/>
          <w:bCs/>
        </w:rPr>
        <w:t xml:space="preserve"> </w:t>
      </w:r>
      <w:r w:rsidR="0065622E" w:rsidRPr="00433DD5">
        <w:rPr>
          <w:rFonts w:asciiTheme="majorBidi" w:hAnsiTheme="majorBidi" w:cstheme="majorBidi"/>
        </w:rPr>
        <w:t>f</w:t>
      </w:r>
      <w:r w:rsidR="0065622E" w:rsidRPr="00433DD5">
        <w:rPr>
          <w:rFonts w:asciiTheme="majorBidi" w:hAnsiTheme="majorBidi" w:cstheme="majorBidi"/>
          <w:lang w:eastAsia="es-MX"/>
        </w:rPr>
        <w:t>orma directa de la calidad de los servicios que ofrece la institución</w:t>
      </w:r>
      <w:r w:rsidR="00954257" w:rsidRPr="00433DD5">
        <w:rPr>
          <w:rFonts w:asciiTheme="majorBidi" w:hAnsiTheme="majorBidi" w:cstheme="majorBidi"/>
          <w:lang w:eastAsia="es-MX"/>
        </w:rPr>
        <w:t xml:space="preserve"> </w:t>
      </w:r>
      <w:r w:rsidR="00954257" w:rsidRPr="00433DD5">
        <w:rPr>
          <w:rFonts w:asciiTheme="majorBidi" w:hAnsiTheme="majorBidi" w:cstheme="majorBidi"/>
          <w:lang w:val="es-ES_tradnl"/>
        </w:rPr>
        <w:t>(</w:t>
      </w:r>
      <w:r w:rsidR="0008726A" w:rsidRPr="00433DD5">
        <w:rPr>
          <w:rFonts w:asciiTheme="majorBidi" w:hAnsiTheme="majorBidi" w:cstheme="majorBidi"/>
          <w:lang w:val="es-ES_tradnl"/>
        </w:rPr>
        <w:t xml:space="preserve">SEP, </w:t>
      </w:r>
      <w:r w:rsidR="00954257" w:rsidRPr="00433DD5">
        <w:rPr>
          <w:rFonts w:asciiTheme="majorBidi" w:hAnsiTheme="majorBidi" w:cstheme="majorBidi"/>
          <w:lang w:val="es-ES_tradnl"/>
        </w:rPr>
        <w:t>2</w:t>
      </w:r>
      <w:r w:rsidR="004F15F2" w:rsidRPr="00433DD5">
        <w:rPr>
          <w:rFonts w:asciiTheme="majorBidi" w:hAnsiTheme="majorBidi" w:cstheme="majorBidi"/>
          <w:lang w:val="es-ES_tradnl"/>
        </w:rPr>
        <w:t>ª</w:t>
      </w:r>
      <w:r w:rsidR="00954257" w:rsidRPr="00433DD5">
        <w:rPr>
          <w:rFonts w:asciiTheme="majorBidi" w:hAnsiTheme="majorBidi" w:cstheme="majorBidi"/>
          <w:lang w:val="es-ES_tradnl"/>
        </w:rPr>
        <w:t>19a)</w:t>
      </w:r>
      <w:r w:rsidR="0065622E" w:rsidRPr="00433DD5">
        <w:rPr>
          <w:rFonts w:asciiTheme="majorBidi" w:hAnsiTheme="majorBidi" w:cstheme="majorBidi"/>
          <w:lang w:eastAsia="es-MX"/>
        </w:rPr>
        <w:t xml:space="preserve">. </w:t>
      </w:r>
    </w:p>
    <w:p w14:paraId="7537381E" w14:textId="1E2A4C58" w:rsidR="003B6FAF" w:rsidRPr="00433DD5" w:rsidRDefault="00137160" w:rsidP="001A0378">
      <w:pPr>
        <w:autoSpaceDE w:val="0"/>
        <w:autoSpaceDN w:val="0"/>
        <w:adjustRightInd w:val="0"/>
        <w:spacing w:line="360" w:lineRule="auto"/>
        <w:ind w:firstLine="567"/>
        <w:jc w:val="both"/>
        <w:rPr>
          <w:rFonts w:asciiTheme="majorBidi" w:hAnsiTheme="majorBidi" w:cstheme="majorBidi"/>
          <w:lang w:val="es-ES_tradnl"/>
        </w:rPr>
      </w:pPr>
      <w:r w:rsidRPr="00433DD5">
        <w:rPr>
          <w:rFonts w:asciiTheme="majorBidi" w:hAnsiTheme="majorBidi" w:cstheme="majorBidi"/>
          <w:lang w:val="es-ES_tradnl"/>
        </w:rPr>
        <w:t xml:space="preserve">Para la </w:t>
      </w:r>
      <w:r w:rsidR="00493822" w:rsidRPr="00433DD5">
        <w:rPr>
          <w:rFonts w:asciiTheme="majorBidi" w:hAnsiTheme="majorBidi" w:cstheme="majorBidi"/>
          <w:lang w:val="es-ES_tradnl"/>
        </w:rPr>
        <w:t>participación en un proyecto de esta naturaleza</w:t>
      </w:r>
      <w:r w:rsidRPr="00433DD5">
        <w:rPr>
          <w:rFonts w:asciiTheme="majorBidi" w:hAnsiTheme="majorBidi" w:cstheme="majorBidi"/>
          <w:lang w:val="es-ES_tradnl"/>
        </w:rPr>
        <w:t xml:space="preserve">, se considera a las DES como un </w:t>
      </w:r>
      <w:r w:rsidR="00483FFA" w:rsidRPr="00433DD5">
        <w:rPr>
          <w:rFonts w:asciiTheme="majorBidi" w:hAnsiTheme="majorBidi" w:cstheme="majorBidi"/>
          <w:lang w:val="es-ES_tradnl"/>
        </w:rPr>
        <w:t>“</w:t>
      </w:r>
      <w:r w:rsidRPr="00433DD5">
        <w:rPr>
          <w:rFonts w:asciiTheme="majorBidi" w:hAnsiTheme="majorBidi" w:cstheme="majorBidi"/>
          <w:lang w:val="es-ES_tradnl"/>
        </w:rPr>
        <w:t>conjunto de departamentos, escuelas,</w:t>
      </w:r>
      <w:r w:rsidR="00DF000D" w:rsidRPr="00433DD5">
        <w:rPr>
          <w:rFonts w:asciiTheme="majorBidi" w:hAnsiTheme="majorBidi" w:cstheme="majorBidi"/>
          <w:lang w:val="es-ES_tradnl"/>
        </w:rPr>
        <w:t xml:space="preserve"> </w:t>
      </w:r>
      <w:r w:rsidRPr="00433DD5">
        <w:rPr>
          <w:rFonts w:asciiTheme="majorBidi" w:hAnsiTheme="majorBidi" w:cstheme="majorBidi"/>
          <w:lang w:val="es-ES_tradnl"/>
        </w:rPr>
        <w:t>facultades y/o unidades académicas con afinidad temática o disciplinaria, que se asocian para el óptimo uso de</w:t>
      </w:r>
      <w:r w:rsidR="004D1241" w:rsidRPr="00433DD5">
        <w:rPr>
          <w:rFonts w:asciiTheme="majorBidi" w:hAnsiTheme="majorBidi" w:cstheme="majorBidi"/>
          <w:lang w:val="es-ES_tradnl"/>
        </w:rPr>
        <w:t xml:space="preserve"> </w:t>
      </w:r>
      <w:r w:rsidRPr="00433DD5">
        <w:rPr>
          <w:rFonts w:asciiTheme="majorBidi" w:hAnsiTheme="majorBidi" w:cstheme="majorBidi"/>
          <w:lang w:val="es-ES_tradnl"/>
        </w:rPr>
        <w:t>recursos humanos y materiales</w:t>
      </w:r>
      <w:r w:rsidR="00954257" w:rsidRPr="00433DD5">
        <w:rPr>
          <w:rFonts w:asciiTheme="majorBidi" w:hAnsiTheme="majorBidi" w:cstheme="majorBidi"/>
          <w:lang w:val="es-ES_tradnl"/>
        </w:rPr>
        <w:t>” (</w:t>
      </w:r>
      <w:r w:rsidR="00BB00B8" w:rsidRPr="00433DD5">
        <w:rPr>
          <w:rFonts w:asciiTheme="majorBidi" w:hAnsiTheme="majorBidi" w:cstheme="majorBidi"/>
          <w:lang w:val="es-ES_tradnl"/>
        </w:rPr>
        <w:t>SEP</w:t>
      </w:r>
      <w:r w:rsidR="00863CE5" w:rsidRPr="00433DD5">
        <w:rPr>
          <w:rFonts w:asciiTheme="majorBidi" w:hAnsiTheme="majorBidi" w:cstheme="majorBidi"/>
          <w:lang w:val="es-ES_tradnl"/>
        </w:rPr>
        <w:t xml:space="preserve">, </w:t>
      </w:r>
      <w:r w:rsidR="00BB00B8" w:rsidRPr="00433DD5">
        <w:rPr>
          <w:rFonts w:asciiTheme="majorBidi" w:hAnsiTheme="majorBidi" w:cstheme="majorBidi"/>
          <w:lang w:val="es-ES_tradnl"/>
        </w:rPr>
        <w:t>30 de diciembre de 2021</w:t>
      </w:r>
      <w:r w:rsidR="00AE32FA" w:rsidRPr="00433DD5">
        <w:rPr>
          <w:rFonts w:asciiTheme="majorBidi" w:hAnsiTheme="majorBidi" w:cstheme="majorBidi"/>
          <w:lang w:val="es-ES_tradnl"/>
        </w:rPr>
        <w:t>,</w:t>
      </w:r>
      <w:r w:rsidR="00F30BE6" w:rsidRPr="00433DD5">
        <w:rPr>
          <w:rFonts w:asciiTheme="majorBidi" w:hAnsiTheme="majorBidi" w:cstheme="majorBidi"/>
          <w:lang w:val="es-ES_tradnl"/>
        </w:rPr>
        <w:t xml:space="preserve"> Anexo,</w:t>
      </w:r>
      <w:r w:rsidR="00E856F4" w:rsidRPr="00433DD5">
        <w:rPr>
          <w:rFonts w:asciiTheme="majorBidi" w:hAnsiTheme="majorBidi" w:cstheme="majorBidi"/>
          <w:lang w:val="es-ES_tradnl"/>
        </w:rPr>
        <w:t xml:space="preserve"> p. 9</w:t>
      </w:r>
      <w:r w:rsidR="00954257" w:rsidRPr="00433DD5">
        <w:rPr>
          <w:rFonts w:asciiTheme="majorBidi" w:hAnsiTheme="majorBidi" w:cstheme="majorBidi"/>
          <w:lang w:val="es-ES_tradnl"/>
        </w:rPr>
        <w:t>)</w:t>
      </w:r>
      <w:r w:rsidRPr="00433DD5">
        <w:rPr>
          <w:rFonts w:asciiTheme="majorBidi" w:hAnsiTheme="majorBidi" w:cstheme="majorBidi"/>
          <w:lang w:val="es-ES_tradnl"/>
        </w:rPr>
        <w:t>.</w:t>
      </w:r>
      <w:r w:rsidR="00493822" w:rsidRPr="00433DD5">
        <w:rPr>
          <w:rFonts w:asciiTheme="majorBidi" w:hAnsiTheme="majorBidi" w:cstheme="majorBidi"/>
          <w:lang w:val="es-ES_tradnl"/>
        </w:rPr>
        <w:t xml:space="preserve"> Para fines de este estudio </w:t>
      </w:r>
      <w:r w:rsidR="00843CF5" w:rsidRPr="00433DD5">
        <w:rPr>
          <w:rFonts w:asciiTheme="majorBidi" w:hAnsiTheme="majorBidi" w:cstheme="majorBidi"/>
          <w:lang w:val="es-ES_tradnl"/>
        </w:rPr>
        <w:t xml:space="preserve">se consideran </w:t>
      </w:r>
      <w:r w:rsidR="00493822" w:rsidRPr="00433DD5">
        <w:rPr>
          <w:rFonts w:asciiTheme="majorBidi" w:hAnsiTheme="majorBidi" w:cstheme="majorBidi"/>
          <w:lang w:val="es-ES_tradnl"/>
        </w:rPr>
        <w:t>tres DES que</w:t>
      </w:r>
      <w:r w:rsidR="00534C1D" w:rsidRPr="00433DD5">
        <w:rPr>
          <w:rFonts w:asciiTheme="majorBidi" w:hAnsiTheme="majorBidi" w:cstheme="majorBidi"/>
          <w:lang w:val="es-ES_tradnl"/>
        </w:rPr>
        <w:t>,</w:t>
      </w:r>
      <w:r w:rsidR="00493822" w:rsidRPr="00433DD5">
        <w:rPr>
          <w:rFonts w:asciiTheme="majorBidi" w:hAnsiTheme="majorBidi" w:cstheme="majorBidi"/>
          <w:lang w:val="es-ES_tradnl"/>
        </w:rPr>
        <w:t xml:space="preserve"> </w:t>
      </w:r>
      <w:r w:rsidR="00AF6CFA" w:rsidRPr="00433DD5">
        <w:rPr>
          <w:rFonts w:asciiTheme="majorBidi" w:hAnsiTheme="majorBidi" w:cstheme="majorBidi"/>
          <w:lang w:val="es-ES_tradnl"/>
        </w:rPr>
        <w:t>en los bienios comprendido</w:t>
      </w:r>
      <w:r w:rsidR="00534C1D" w:rsidRPr="00433DD5">
        <w:rPr>
          <w:rFonts w:asciiTheme="majorBidi" w:hAnsiTheme="majorBidi" w:cstheme="majorBidi"/>
          <w:lang w:val="es-ES_tradnl"/>
        </w:rPr>
        <w:t>s</w:t>
      </w:r>
      <w:r w:rsidR="00AF6CFA" w:rsidRPr="00433DD5">
        <w:rPr>
          <w:rFonts w:asciiTheme="majorBidi" w:hAnsiTheme="majorBidi" w:cstheme="majorBidi"/>
          <w:lang w:val="es-ES_tradnl"/>
        </w:rPr>
        <w:t xml:space="preserve"> entre 2016 y 2021</w:t>
      </w:r>
      <w:r w:rsidR="00534C1D" w:rsidRPr="00433DD5">
        <w:rPr>
          <w:rFonts w:asciiTheme="majorBidi" w:hAnsiTheme="majorBidi" w:cstheme="majorBidi"/>
          <w:lang w:val="es-ES_tradnl"/>
        </w:rPr>
        <w:t>,</w:t>
      </w:r>
      <w:r w:rsidR="00493822" w:rsidRPr="00433DD5">
        <w:rPr>
          <w:rFonts w:asciiTheme="majorBidi" w:hAnsiTheme="majorBidi" w:cstheme="majorBidi"/>
          <w:lang w:val="es-ES_tradnl"/>
        </w:rPr>
        <w:t xml:space="preserve"> mantuv</w:t>
      </w:r>
      <w:r w:rsidR="00AF6CFA" w:rsidRPr="00433DD5">
        <w:rPr>
          <w:rFonts w:asciiTheme="majorBidi" w:hAnsiTheme="majorBidi" w:cstheme="majorBidi"/>
          <w:lang w:val="es-ES_tradnl"/>
        </w:rPr>
        <w:t xml:space="preserve">ieron </w:t>
      </w:r>
      <w:r w:rsidR="0008726A" w:rsidRPr="00433DD5">
        <w:rPr>
          <w:rFonts w:asciiTheme="majorBidi" w:hAnsiTheme="majorBidi" w:cstheme="majorBidi"/>
          <w:lang w:val="es-ES_tradnl"/>
        </w:rPr>
        <w:t xml:space="preserve">un </w:t>
      </w:r>
      <w:r w:rsidR="004172E8" w:rsidRPr="00433DD5">
        <w:rPr>
          <w:rFonts w:asciiTheme="majorBidi" w:hAnsiTheme="majorBidi" w:cstheme="majorBidi"/>
          <w:lang w:val="es-ES_tradnl"/>
        </w:rPr>
        <w:t>increment</w:t>
      </w:r>
      <w:r w:rsidR="00AF6CFA" w:rsidRPr="00433DD5">
        <w:rPr>
          <w:rFonts w:asciiTheme="majorBidi" w:hAnsiTheme="majorBidi" w:cstheme="majorBidi"/>
          <w:lang w:val="es-ES_tradnl"/>
        </w:rPr>
        <w:t xml:space="preserve">o en </w:t>
      </w:r>
      <w:r w:rsidR="00493822" w:rsidRPr="00433DD5">
        <w:rPr>
          <w:rFonts w:asciiTheme="majorBidi" w:hAnsiTheme="majorBidi" w:cstheme="majorBidi"/>
          <w:lang w:val="es-ES_tradnl"/>
        </w:rPr>
        <w:t>sus indicadores principales</w:t>
      </w:r>
      <w:r w:rsidR="00AF6CFA" w:rsidRPr="00433DD5">
        <w:rPr>
          <w:rFonts w:asciiTheme="majorBidi" w:hAnsiTheme="majorBidi" w:cstheme="majorBidi"/>
          <w:lang w:val="es-ES_tradnl"/>
        </w:rPr>
        <w:t xml:space="preserve"> y recibieron una calificación satisfactoria</w:t>
      </w:r>
      <w:r w:rsidR="004172E8" w:rsidRPr="00433DD5">
        <w:rPr>
          <w:rFonts w:asciiTheme="majorBidi" w:hAnsiTheme="majorBidi" w:cstheme="majorBidi"/>
          <w:lang w:val="es-ES_tradnl"/>
        </w:rPr>
        <w:t>.</w:t>
      </w:r>
    </w:p>
    <w:p w14:paraId="70910D74" w14:textId="77777777" w:rsidR="001A0378" w:rsidRPr="00433DD5" w:rsidRDefault="001A0378" w:rsidP="001A0378">
      <w:pPr>
        <w:autoSpaceDE w:val="0"/>
        <w:autoSpaceDN w:val="0"/>
        <w:adjustRightInd w:val="0"/>
        <w:spacing w:line="360" w:lineRule="auto"/>
        <w:ind w:firstLine="567"/>
        <w:jc w:val="both"/>
        <w:rPr>
          <w:rFonts w:asciiTheme="majorBidi" w:hAnsiTheme="majorBidi" w:cstheme="majorBidi"/>
          <w:lang w:val="es-ES_tradnl"/>
        </w:rPr>
      </w:pPr>
    </w:p>
    <w:p w14:paraId="144DE0BD" w14:textId="53DDB94E" w:rsidR="00E27E52" w:rsidRPr="00433DD5" w:rsidRDefault="00E27E52" w:rsidP="008B457E">
      <w:pPr>
        <w:autoSpaceDE w:val="0"/>
        <w:autoSpaceDN w:val="0"/>
        <w:adjustRightInd w:val="0"/>
        <w:spacing w:line="360" w:lineRule="auto"/>
        <w:jc w:val="center"/>
        <w:rPr>
          <w:b/>
          <w:bCs/>
          <w:sz w:val="28"/>
          <w:szCs w:val="28"/>
          <w:lang w:val="es-ES_tradnl"/>
        </w:rPr>
      </w:pPr>
      <w:r w:rsidRPr="00433DD5">
        <w:rPr>
          <w:b/>
          <w:bCs/>
          <w:sz w:val="28"/>
          <w:szCs w:val="28"/>
          <w:lang w:val="es-ES_tradnl"/>
        </w:rPr>
        <w:t xml:space="preserve">Formulación del </w:t>
      </w:r>
      <w:r w:rsidR="001A0378" w:rsidRPr="00433DD5">
        <w:rPr>
          <w:b/>
          <w:bCs/>
          <w:sz w:val="28"/>
          <w:szCs w:val="28"/>
          <w:lang w:val="es-ES_tradnl"/>
        </w:rPr>
        <w:t>Profexce</w:t>
      </w:r>
      <w:r w:rsidRPr="00433DD5">
        <w:rPr>
          <w:b/>
          <w:bCs/>
          <w:sz w:val="28"/>
          <w:szCs w:val="28"/>
          <w:lang w:val="es-ES_tradnl"/>
        </w:rPr>
        <w:t xml:space="preserve"> en la UV</w:t>
      </w:r>
    </w:p>
    <w:p w14:paraId="51B21FAA" w14:textId="136EE3EB" w:rsidR="00D90986" w:rsidRPr="00433DD5" w:rsidRDefault="00D75C10" w:rsidP="001A0378">
      <w:pPr>
        <w:autoSpaceDE w:val="0"/>
        <w:autoSpaceDN w:val="0"/>
        <w:adjustRightInd w:val="0"/>
        <w:spacing w:line="360" w:lineRule="auto"/>
        <w:ind w:firstLine="709"/>
        <w:jc w:val="both"/>
        <w:rPr>
          <w:b/>
          <w:bCs/>
          <w:lang w:val="es-ES_tradnl"/>
        </w:rPr>
      </w:pPr>
      <w:r w:rsidRPr="00433DD5">
        <w:rPr>
          <w:lang w:val="es-ES_tradnl"/>
        </w:rPr>
        <w:t xml:space="preserve">Dada la dispersión geográfica del </w:t>
      </w:r>
      <w:r w:rsidR="00377277" w:rsidRPr="00433DD5">
        <w:rPr>
          <w:lang w:val="es-ES_tradnl"/>
        </w:rPr>
        <w:t>territorio veracruzano</w:t>
      </w:r>
      <w:r w:rsidR="00714D7A" w:rsidRPr="00433DD5">
        <w:rPr>
          <w:lang w:val="es-ES_tradnl"/>
        </w:rPr>
        <w:t xml:space="preserve">, la UV </w:t>
      </w:r>
      <w:r w:rsidR="00DA13DA" w:rsidRPr="00433DD5">
        <w:rPr>
          <w:lang w:val="es-ES_tradnl"/>
        </w:rPr>
        <w:t xml:space="preserve">se divide en cinco regiones universitarias </w:t>
      </w:r>
      <w:r w:rsidR="00714D7A" w:rsidRPr="00433DD5">
        <w:rPr>
          <w:lang w:val="es-ES_tradnl"/>
        </w:rPr>
        <w:t xml:space="preserve">para optimizar los servicios y </w:t>
      </w:r>
      <w:r w:rsidR="00377277" w:rsidRPr="00433DD5">
        <w:rPr>
          <w:lang w:val="es-ES_tradnl"/>
        </w:rPr>
        <w:t>atender las necesidades de demanda de educación superior a lo largo del estado</w:t>
      </w:r>
      <w:r w:rsidR="00E27E52" w:rsidRPr="00433DD5">
        <w:rPr>
          <w:lang w:val="es-ES_tradnl"/>
        </w:rPr>
        <w:t xml:space="preserve">. </w:t>
      </w:r>
      <w:r w:rsidR="00403135" w:rsidRPr="00433DD5">
        <w:rPr>
          <w:lang w:val="es-ES_tradnl"/>
        </w:rPr>
        <w:t>Al ser la región Xalapa la unidad central</w:t>
      </w:r>
      <w:r w:rsidR="00246A29" w:rsidRPr="00433DD5">
        <w:rPr>
          <w:lang w:val="es-ES_tradnl"/>
        </w:rPr>
        <w:t>,</w:t>
      </w:r>
      <w:r w:rsidR="00403135" w:rsidRPr="00433DD5">
        <w:rPr>
          <w:lang w:val="es-ES_tradnl"/>
        </w:rPr>
        <w:t xml:space="preserve"> en ella se ha mantenido la concentración de las actividades administrativas </w:t>
      </w:r>
      <w:r w:rsidR="00714D7A" w:rsidRPr="00433DD5">
        <w:rPr>
          <w:lang w:val="es-ES_tradnl"/>
        </w:rPr>
        <w:t xml:space="preserve">y </w:t>
      </w:r>
      <w:r w:rsidR="00246A29" w:rsidRPr="00433DD5">
        <w:rPr>
          <w:lang w:val="es-ES_tradnl"/>
        </w:rPr>
        <w:t xml:space="preserve">con ello </w:t>
      </w:r>
      <w:r w:rsidR="00714D7A" w:rsidRPr="00433DD5">
        <w:rPr>
          <w:lang w:val="es-ES_tradnl"/>
        </w:rPr>
        <w:t>el control sobre las demás regiones</w:t>
      </w:r>
      <w:r w:rsidR="00403135" w:rsidRPr="00433DD5">
        <w:rPr>
          <w:lang w:val="es-ES_tradnl"/>
        </w:rPr>
        <w:t>, así como</w:t>
      </w:r>
      <w:r w:rsidR="00714D7A" w:rsidRPr="00433DD5">
        <w:rPr>
          <w:lang w:val="es-ES_tradnl"/>
        </w:rPr>
        <w:t xml:space="preserve"> las priorizaciones en cada uno de los proyectos. Paulatinamente</w:t>
      </w:r>
      <w:r w:rsidR="00686096" w:rsidRPr="00433DD5">
        <w:rPr>
          <w:lang w:val="es-ES_tradnl"/>
        </w:rPr>
        <w:t>,</w:t>
      </w:r>
      <w:r w:rsidR="00714D7A" w:rsidRPr="00433DD5">
        <w:rPr>
          <w:lang w:val="es-ES_tradnl"/>
        </w:rPr>
        <w:t xml:space="preserve"> se ha dado lugar a la descentralización a través de la implementación de sistemas administrativos y </w:t>
      </w:r>
      <w:r w:rsidR="00403135" w:rsidRPr="00433DD5">
        <w:rPr>
          <w:lang w:val="es-ES_tradnl"/>
        </w:rPr>
        <w:t xml:space="preserve">el </w:t>
      </w:r>
      <w:r w:rsidR="00714D7A" w:rsidRPr="00433DD5">
        <w:rPr>
          <w:lang w:val="es-ES_tradnl"/>
        </w:rPr>
        <w:t xml:space="preserve">replanteamiento de los manuales </w:t>
      </w:r>
      <w:r w:rsidR="00403135" w:rsidRPr="00433DD5">
        <w:rPr>
          <w:lang w:val="es-ES_tradnl"/>
        </w:rPr>
        <w:t xml:space="preserve">de operación </w:t>
      </w:r>
      <w:r w:rsidR="00B16F1F" w:rsidRPr="00433DD5">
        <w:rPr>
          <w:lang w:val="es-ES_tradnl"/>
        </w:rPr>
        <w:t xml:space="preserve">que </w:t>
      </w:r>
      <w:r w:rsidR="00714D7A" w:rsidRPr="00433DD5">
        <w:rPr>
          <w:lang w:val="es-ES_tradnl"/>
        </w:rPr>
        <w:t xml:space="preserve">han permitido cierta autonomía a las regiones. En cada </w:t>
      </w:r>
      <w:r w:rsidR="00403135" w:rsidRPr="00433DD5">
        <w:rPr>
          <w:lang w:val="es-ES_tradnl"/>
        </w:rPr>
        <w:t>una de</w:t>
      </w:r>
      <w:r w:rsidR="00686096" w:rsidRPr="00433DD5">
        <w:rPr>
          <w:lang w:val="es-ES_tradnl"/>
        </w:rPr>
        <w:t xml:space="preserve"> estas</w:t>
      </w:r>
      <w:r w:rsidR="004E3913" w:rsidRPr="00433DD5">
        <w:rPr>
          <w:lang w:val="es-ES_tradnl"/>
        </w:rPr>
        <w:t>,</w:t>
      </w:r>
      <w:r w:rsidR="00403135" w:rsidRPr="00433DD5">
        <w:rPr>
          <w:lang w:val="es-ES_tradnl"/>
        </w:rPr>
        <w:t xml:space="preserve"> la UV</w:t>
      </w:r>
      <w:r w:rsidR="00714D7A" w:rsidRPr="00433DD5">
        <w:rPr>
          <w:lang w:val="es-ES_tradnl"/>
        </w:rPr>
        <w:t xml:space="preserve"> </w:t>
      </w:r>
      <w:r w:rsidR="00403135" w:rsidRPr="00433DD5">
        <w:rPr>
          <w:lang w:val="es-ES_tradnl"/>
        </w:rPr>
        <w:t xml:space="preserve">cuenta con </w:t>
      </w:r>
      <w:r w:rsidR="00405650" w:rsidRPr="00433DD5">
        <w:rPr>
          <w:lang w:val="es-ES_tradnl"/>
        </w:rPr>
        <w:t xml:space="preserve">centros, facultades e </w:t>
      </w:r>
      <w:r w:rsidR="00405650" w:rsidRPr="00433DD5">
        <w:rPr>
          <w:lang w:val="es-ES_tradnl"/>
        </w:rPr>
        <w:lastRenderedPageBreak/>
        <w:t xml:space="preserve">institutos </w:t>
      </w:r>
      <w:r w:rsidR="00E51D6E" w:rsidRPr="00433DD5">
        <w:rPr>
          <w:lang w:val="es-ES_tradnl"/>
        </w:rPr>
        <w:t xml:space="preserve">que, </w:t>
      </w:r>
      <w:r w:rsidR="00714D7A" w:rsidRPr="00433DD5">
        <w:rPr>
          <w:lang w:val="es-ES_tradnl"/>
        </w:rPr>
        <w:t xml:space="preserve">para participar en el </w:t>
      </w:r>
      <w:r w:rsidR="001A0378" w:rsidRPr="00433DD5">
        <w:rPr>
          <w:lang w:val="es-ES_tradnl"/>
        </w:rPr>
        <w:t>Profexce</w:t>
      </w:r>
      <w:r w:rsidR="00714D7A" w:rsidRPr="00433DD5">
        <w:rPr>
          <w:lang w:val="es-ES_tradnl"/>
        </w:rPr>
        <w:t xml:space="preserve">, deben integrarse como DES. Lo anterior conlleva a una de las principales limitantes cuando se realiza el ejercicio de planeación, pues no en todos los casos las entidades funcionan de manera articulada, </w:t>
      </w:r>
      <w:r w:rsidR="00B16F1F" w:rsidRPr="00433DD5">
        <w:rPr>
          <w:lang w:val="es-ES_tradnl"/>
        </w:rPr>
        <w:t xml:space="preserve">y eso genera ciertas complicaciones tanto al momento de formular el proyecto como </w:t>
      </w:r>
      <w:r w:rsidR="009F0717" w:rsidRPr="00433DD5">
        <w:rPr>
          <w:lang w:val="es-ES_tradnl"/>
        </w:rPr>
        <w:t xml:space="preserve">en el propio </w:t>
      </w:r>
      <w:r w:rsidR="00686096" w:rsidRPr="00433DD5">
        <w:rPr>
          <w:lang w:val="es-ES_tradnl"/>
        </w:rPr>
        <w:t>ejerc</w:t>
      </w:r>
      <w:r w:rsidR="009F0717" w:rsidRPr="00433DD5">
        <w:rPr>
          <w:lang w:val="es-ES_tradnl"/>
        </w:rPr>
        <w:t>icio</w:t>
      </w:r>
      <w:r w:rsidR="00686096" w:rsidRPr="00433DD5">
        <w:rPr>
          <w:lang w:val="es-ES_tradnl"/>
        </w:rPr>
        <w:t xml:space="preserve"> </w:t>
      </w:r>
      <w:r w:rsidR="009F0717" w:rsidRPr="00433DD5">
        <w:rPr>
          <w:lang w:val="es-ES_tradnl"/>
        </w:rPr>
        <w:t>d</w:t>
      </w:r>
      <w:r w:rsidR="00686096" w:rsidRPr="00433DD5">
        <w:rPr>
          <w:lang w:val="es-ES_tradnl"/>
        </w:rPr>
        <w:t xml:space="preserve">el </w:t>
      </w:r>
      <w:r w:rsidR="00B16F1F" w:rsidRPr="00433DD5">
        <w:rPr>
          <w:lang w:val="es-ES_tradnl"/>
        </w:rPr>
        <w:t xml:space="preserve">recurso. </w:t>
      </w:r>
    </w:p>
    <w:p w14:paraId="6E039291" w14:textId="3B169E20" w:rsidR="00596933" w:rsidRPr="00433DD5" w:rsidRDefault="00D90986" w:rsidP="001A0378">
      <w:pPr>
        <w:autoSpaceDE w:val="0"/>
        <w:autoSpaceDN w:val="0"/>
        <w:adjustRightInd w:val="0"/>
        <w:spacing w:line="360" w:lineRule="auto"/>
        <w:jc w:val="both"/>
        <w:rPr>
          <w:lang w:val="es-ES_tradnl"/>
        </w:rPr>
      </w:pPr>
      <w:r w:rsidRPr="00433DD5">
        <w:rPr>
          <w:b/>
          <w:bCs/>
          <w:lang w:val="es-ES_tradnl"/>
        </w:rPr>
        <w:tab/>
      </w:r>
      <w:r w:rsidR="00714D7A" w:rsidRPr="00433DD5">
        <w:rPr>
          <w:lang w:val="es-ES_tradnl"/>
        </w:rPr>
        <w:t xml:space="preserve">El presupuesto por DES asignado a la UV se ha </w:t>
      </w:r>
      <w:r w:rsidR="00F836F3" w:rsidRPr="00433DD5">
        <w:rPr>
          <w:lang w:val="es-ES_tradnl"/>
        </w:rPr>
        <w:t xml:space="preserve">formulado y </w:t>
      </w:r>
      <w:r w:rsidR="00714D7A" w:rsidRPr="00433DD5">
        <w:rPr>
          <w:lang w:val="es-ES_tradnl"/>
        </w:rPr>
        <w:t xml:space="preserve">administrado a través de las </w:t>
      </w:r>
      <w:r w:rsidR="00405650" w:rsidRPr="00433DD5">
        <w:rPr>
          <w:lang w:val="es-ES_tradnl"/>
        </w:rPr>
        <w:t>direcciones generales de área y las vicerrectorías</w:t>
      </w:r>
      <w:r w:rsidR="00714D7A" w:rsidRPr="00433DD5">
        <w:rPr>
          <w:lang w:val="es-ES_tradnl"/>
        </w:rPr>
        <w:t xml:space="preserve">, manteniendo vínculos con los responsables de proyectos y </w:t>
      </w:r>
      <w:r w:rsidR="00534C1D" w:rsidRPr="00433DD5">
        <w:rPr>
          <w:lang w:val="es-ES_tradnl"/>
        </w:rPr>
        <w:t>l</w:t>
      </w:r>
      <w:r w:rsidR="00512C05" w:rsidRPr="00433DD5">
        <w:rPr>
          <w:lang w:val="es-ES_tradnl"/>
        </w:rPr>
        <w:t xml:space="preserve">os directivos de las </w:t>
      </w:r>
      <w:r w:rsidR="00714D7A" w:rsidRPr="00433DD5">
        <w:rPr>
          <w:lang w:val="es-ES_tradnl"/>
        </w:rPr>
        <w:t>DES en las distintas regiones.</w:t>
      </w:r>
      <w:r w:rsidR="007309D3" w:rsidRPr="00433DD5">
        <w:rPr>
          <w:lang w:val="es-ES_tradnl"/>
        </w:rPr>
        <w:t xml:space="preserve"> </w:t>
      </w:r>
      <w:r w:rsidR="004118BE" w:rsidRPr="00433DD5">
        <w:rPr>
          <w:lang w:val="es-ES_tradnl"/>
        </w:rPr>
        <w:t>A través de la Dirección de Planeación Institucional</w:t>
      </w:r>
      <w:r w:rsidR="00686096" w:rsidRPr="00433DD5">
        <w:rPr>
          <w:lang w:val="es-ES_tradnl"/>
        </w:rPr>
        <w:t>,</w:t>
      </w:r>
      <w:r w:rsidR="004118BE" w:rsidRPr="00433DD5">
        <w:rPr>
          <w:lang w:val="es-ES_tradnl"/>
        </w:rPr>
        <w:t xml:space="preserve"> se realiza formalmente la labor de gestión</w:t>
      </w:r>
      <w:r w:rsidR="00557ED8" w:rsidRPr="00433DD5">
        <w:rPr>
          <w:lang w:val="es-ES_tradnl"/>
        </w:rPr>
        <w:t xml:space="preserve"> </w:t>
      </w:r>
      <w:r w:rsidR="00686096" w:rsidRPr="00433DD5">
        <w:rPr>
          <w:lang w:val="es-ES_tradnl"/>
        </w:rPr>
        <w:t xml:space="preserve">por medio </w:t>
      </w:r>
      <w:r w:rsidR="00557ED8" w:rsidRPr="00433DD5">
        <w:rPr>
          <w:lang w:val="es-ES_tradnl"/>
        </w:rPr>
        <w:t>de una planeación participativa en la que se involucra tanto a la comunidad académica como</w:t>
      </w:r>
      <w:r w:rsidR="004F15F2" w:rsidRPr="00433DD5">
        <w:rPr>
          <w:lang w:val="es-ES_tradnl"/>
        </w:rPr>
        <w:t xml:space="preserve"> a</w:t>
      </w:r>
      <w:r w:rsidR="00557ED8" w:rsidRPr="00433DD5">
        <w:rPr>
          <w:lang w:val="es-ES_tradnl"/>
        </w:rPr>
        <w:t xml:space="preserve"> la</w:t>
      </w:r>
      <w:r w:rsidR="00686096" w:rsidRPr="00433DD5">
        <w:rPr>
          <w:lang w:val="es-ES_tradnl"/>
        </w:rPr>
        <w:t>s</w:t>
      </w:r>
      <w:r w:rsidR="00557ED8" w:rsidRPr="00433DD5">
        <w:rPr>
          <w:lang w:val="es-ES_tradnl"/>
        </w:rPr>
        <w:t xml:space="preserve"> autoridades</w:t>
      </w:r>
      <w:r w:rsidR="004118BE" w:rsidRPr="00433DD5">
        <w:rPr>
          <w:lang w:val="es-ES_tradnl"/>
        </w:rPr>
        <w:t xml:space="preserve">. Para efectos del </w:t>
      </w:r>
      <w:r w:rsidR="001A0378" w:rsidRPr="00433DD5">
        <w:rPr>
          <w:lang w:val="es-ES_tradnl"/>
        </w:rPr>
        <w:t>Profexce</w:t>
      </w:r>
      <w:r w:rsidR="004118BE" w:rsidRPr="00433DD5">
        <w:rPr>
          <w:lang w:val="es-ES_tradnl"/>
        </w:rPr>
        <w:t xml:space="preserve">, se llevan a cabo las tareas de difusión y construcción de los documentos académicos y </w:t>
      </w:r>
      <w:r w:rsidR="00E37008" w:rsidRPr="00433DD5">
        <w:rPr>
          <w:lang w:val="es-ES_tradnl"/>
        </w:rPr>
        <w:t xml:space="preserve">del </w:t>
      </w:r>
      <w:r w:rsidR="004118BE" w:rsidRPr="00433DD5">
        <w:rPr>
          <w:lang w:val="es-ES_tradnl"/>
        </w:rPr>
        <w:t>proyecto integral</w:t>
      </w:r>
      <w:r w:rsidR="00686096" w:rsidRPr="00433DD5">
        <w:rPr>
          <w:lang w:val="es-ES_tradnl"/>
        </w:rPr>
        <w:t>,</w:t>
      </w:r>
      <w:r w:rsidR="004118BE" w:rsidRPr="00433DD5">
        <w:rPr>
          <w:lang w:val="es-ES_tradnl"/>
        </w:rPr>
        <w:t xml:space="preserve"> de acuerdo </w:t>
      </w:r>
      <w:r w:rsidR="000158E1" w:rsidRPr="00433DD5">
        <w:rPr>
          <w:lang w:val="es-ES_tradnl"/>
        </w:rPr>
        <w:t>con</w:t>
      </w:r>
      <w:r w:rsidR="004118BE" w:rsidRPr="00433DD5">
        <w:rPr>
          <w:lang w:val="es-ES_tradnl"/>
        </w:rPr>
        <w:t xml:space="preserve"> las políticas institucionales y las reglas de operación propuestas por la </w:t>
      </w:r>
      <w:r w:rsidR="00371A45" w:rsidRPr="00433DD5">
        <w:rPr>
          <w:lang w:val="es-ES_tradnl"/>
        </w:rPr>
        <w:t>Subsecretaría de Educación Superior (</w:t>
      </w:r>
      <w:r w:rsidR="004118BE" w:rsidRPr="00433DD5">
        <w:rPr>
          <w:lang w:val="es-ES_tradnl"/>
        </w:rPr>
        <w:t>SES</w:t>
      </w:r>
      <w:r w:rsidR="00371A45" w:rsidRPr="00433DD5">
        <w:rPr>
          <w:lang w:val="es-ES_tradnl"/>
        </w:rPr>
        <w:t>)</w:t>
      </w:r>
      <w:r w:rsidR="004118BE" w:rsidRPr="00433DD5">
        <w:rPr>
          <w:lang w:val="es-ES_tradnl"/>
        </w:rPr>
        <w:t>.</w:t>
      </w:r>
    </w:p>
    <w:p w14:paraId="6DBD0BB0" w14:textId="07690721" w:rsidR="00025211" w:rsidRPr="00433DD5" w:rsidRDefault="00025211" w:rsidP="00025211">
      <w:pPr>
        <w:autoSpaceDE w:val="0"/>
        <w:autoSpaceDN w:val="0"/>
        <w:adjustRightInd w:val="0"/>
        <w:spacing w:line="360" w:lineRule="auto"/>
        <w:ind w:firstLine="708"/>
        <w:jc w:val="both"/>
        <w:rPr>
          <w:b/>
          <w:bCs/>
          <w:lang w:val="es-ES_tradnl"/>
        </w:rPr>
      </w:pPr>
      <w:r w:rsidRPr="00433DD5">
        <w:rPr>
          <w:lang w:val="es-ES_tradnl"/>
        </w:rPr>
        <w:t>De manera gráfica pueden ilustrarse las diferentes etapas</w:t>
      </w:r>
      <w:r w:rsidR="009223EB" w:rsidRPr="00433DD5">
        <w:rPr>
          <w:lang w:val="es-ES_tradnl"/>
        </w:rPr>
        <w:t xml:space="preserve"> del procedimiento</w:t>
      </w:r>
      <w:r w:rsidRPr="00433DD5">
        <w:rPr>
          <w:lang w:val="es-ES_tradnl"/>
        </w:rPr>
        <w:t xml:space="preserve"> en la siguiente figura:</w:t>
      </w:r>
    </w:p>
    <w:p w14:paraId="0F16E80A" w14:textId="4C0EFFC0" w:rsidR="00596933" w:rsidRPr="00433DD5" w:rsidRDefault="00596933" w:rsidP="001A0378">
      <w:pPr>
        <w:autoSpaceDE w:val="0"/>
        <w:autoSpaceDN w:val="0"/>
        <w:adjustRightInd w:val="0"/>
        <w:spacing w:line="360" w:lineRule="auto"/>
        <w:jc w:val="both"/>
        <w:rPr>
          <w:lang w:val="es-ES_tradnl"/>
        </w:rPr>
      </w:pPr>
    </w:p>
    <w:p w14:paraId="340B6E7B" w14:textId="11B3F7FC" w:rsidR="00AE14C3" w:rsidRPr="00433DD5" w:rsidRDefault="00AE14C3" w:rsidP="005E0AC3">
      <w:pPr>
        <w:autoSpaceDE w:val="0"/>
        <w:autoSpaceDN w:val="0"/>
        <w:adjustRightInd w:val="0"/>
        <w:spacing w:line="360" w:lineRule="auto"/>
        <w:jc w:val="center"/>
      </w:pPr>
      <w:r w:rsidRPr="00433DD5">
        <w:rPr>
          <w:b/>
        </w:rPr>
        <w:t xml:space="preserve">Figura </w:t>
      </w:r>
      <w:r w:rsidR="008C047B" w:rsidRPr="00433DD5">
        <w:rPr>
          <w:b/>
        </w:rPr>
        <w:t>1</w:t>
      </w:r>
      <w:r w:rsidRPr="00433DD5">
        <w:rPr>
          <w:b/>
        </w:rPr>
        <w:t>.</w:t>
      </w:r>
      <w:r w:rsidR="00C77C75" w:rsidRPr="00433DD5">
        <w:t xml:space="preserve"> </w:t>
      </w:r>
      <w:r w:rsidRPr="00433DD5">
        <w:rPr>
          <w:lang w:val="es-ES_tradnl"/>
        </w:rPr>
        <w:t xml:space="preserve">Procedimientos externos para la labor de gestión en el marco del </w:t>
      </w:r>
      <w:r w:rsidR="001A0378" w:rsidRPr="00433DD5">
        <w:rPr>
          <w:lang w:val="es-ES_tradnl"/>
        </w:rPr>
        <w:t>Profexce</w:t>
      </w:r>
    </w:p>
    <w:p w14:paraId="4BBB8B75" w14:textId="2090E328" w:rsidR="005E7B11" w:rsidRPr="00433DD5" w:rsidRDefault="008F5BE2" w:rsidP="001A0378">
      <w:pPr>
        <w:autoSpaceDE w:val="0"/>
        <w:autoSpaceDN w:val="0"/>
        <w:adjustRightInd w:val="0"/>
        <w:spacing w:line="360" w:lineRule="auto"/>
        <w:jc w:val="both"/>
        <w:rPr>
          <w:lang w:val="es-ES_tradnl"/>
        </w:rPr>
      </w:pPr>
      <w:r w:rsidRPr="00433DD5">
        <w:rPr>
          <w:noProof/>
          <w:lang w:val="es-ES_tradnl"/>
        </w:rPr>
        <w:drawing>
          <wp:inline distT="0" distB="0" distL="0" distR="0" wp14:anchorId="71373B3B" wp14:editId="4BC88C86">
            <wp:extent cx="5417820" cy="3001645"/>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8">
                      <a:extLst>
                        <a:ext uri="{28A0092B-C50C-407E-A947-70E740481C1C}">
                          <a14:useLocalDpi xmlns:a14="http://schemas.microsoft.com/office/drawing/2010/main" val="0"/>
                        </a:ext>
                      </a:extLst>
                    </a:blip>
                    <a:stretch>
                      <a:fillRect/>
                    </a:stretch>
                  </pic:blipFill>
                  <pic:spPr>
                    <a:xfrm>
                      <a:off x="0" y="0"/>
                      <a:ext cx="5417820" cy="3001645"/>
                    </a:xfrm>
                    <a:prstGeom prst="rect">
                      <a:avLst/>
                    </a:prstGeom>
                  </pic:spPr>
                </pic:pic>
              </a:graphicData>
            </a:graphic>
          </wp:inline>
        </w:drawing>
      </w:r>
    </w:p>
    <w:p w14:paraId="717F0420" w14:textId="294E476B" w:rsidR="00A166D5" w:rsidRPr="00433DD5" w:rsidRDefault="00AE14C3" w:rsidP="001A0378">
      <w:pPr>
        <w:autoSpaceDE w:val="0"/>
        <w:autoSpaceDN w:val="0"/>
        <w:adjustRightInd w:val="0"/>
        <w:spacing w:line="360" w:lineRule="auto"/>
        <w:jc w:val="center"/>
        <w:rPr>
          <w:lang w:val="es-ES_tradnl"/>
        </w:rPr>
      </w:pPr>
      <w:r w:rsidRPr="00433DD5">
        <w:rPr>
          <w:bCs/>
          <w:lang w:val="es-ES_tradnl"/>
        </w:rPr>
        <w:t>Fuente:</w:t>
      </w:r>
      <w:r w:rsidRPr="00433DD5">
        <w:rPr>
          <w:b/>
          <w:lang w:val="es-ES_tradnl"/>
        </w:rPr>
        <w:t xml:space="preserve"> </w:t>
      </w:r>
      <w:r w:rsidRPr="00433DD5">
        <w:rPr>
          <w:lang w:val="es-ES_tradnl"/>
        </w:rPr>
        <w:t>Santiago</w:t>
      </w:r>
      <w:r w:rsidR="00347140" w:rsidRPr="00433DD5">
        <w:rPr>
          <w:lang w:val="es-ES_tradnl"/>
        </w:rPr>
        <w:t xml:space="preserve">, </w:t>
      </w:r>
      <w:r w:rsidR="00347140" w:rsidRPr="00433DD5">
        <w:t>Xilot, Viveros, Hernández y Medina</w:t>
      </w:r>
      <w:r w:rsidR="004D6302" w:rsidRPr="00433DD5">
        <w:rPr>
          <w:lang w:val="es-ES_tradnl"/>
        </w:rPr>
        <w:t xml:space="preserve"> </w:t>
      </w:r>
      <w:r w:rsidRPr="00433DD5">
        <w:rPr>
          <w:lang w:val="es-ES_tradnl"/>
        </w:rPr>
        <w:t>(2015)</w:t>
      </w:r>
    </w:p>
    <w:p w14:paraId="6A1E86CC" w14:textId="77777777" w:rsidR="00A166D5" w:rsidRPr="00433DD5" w:rsidRDefault="00A166D5" w:rsidP="001A0378">
      <w:pPr>
        <w:autoSpaceDE w:val="0"/>
        <w:autoSpaceDN w:val="0"/>
        <w:adjustRightInd w:val="0"/>
        <w:spacing w:line="360" w:lineRule="auto"/>
        <w:jc w:val="center"/>
        <w:rPr>
          <w:lang w:val="es-ES_tradnl"/>
        </w:rPr>
      </w:pPr>
    </w:p>
    <w:p w14:paraId="6AE738BA" w14:textId="5BBAE7B6" w:rsidR="00AE14C3" w:rsidRPr="00433DD5" w:rsidRDefault="00AE14C3" w:rsidP="001A0378">
      <w:pPr>
        <w:autoSpaceDE w:val="0"/>
        <w:autoSpaceDN w:val="0"/>
        <w:adjustRightInd w:val="0"/>
        <w:spacing w:line="360" w:lineRule="auto"/>
        <w:ind w:firstLine="708"/>
        <w:jc w:val="both"/>
        <w:rPr>
          <w:lang w:val="es-ES_tradnl"/>
        </w:rPr>
      </w:pPr>
      <w:r w:rsidRPr="00433DD5">
        <w:rPr>
          <w:rFonts w:asciiTheme="majorBidi" w:hAnsiTheme="majorBidi" w:cstheme="majorBidi"/>
          <w:lang w:val="es-ES_tradnl"/>
        </w:rPr>
        <w:lastRenderedPageBreak/>
        <w:t xml:space="preserve">La autoevaluación de la DES permite identificar los principales problemas y fortalezas en los indicadores </w:t>
      </w:r>
      <w:r w:rsidR="00A166D5" w:rsidRPr="00433DD5">
        <w:rPr>
          <w:rFonts w:asciiTheme="majorBidi" w:hAnsiTheme="majorBidi" w:cstheme="majorBidi"/>
          <w:lang w:val="es-ES_tradnl"/>
        </w:rPr>
        <w:t xml:space="preserve">más relevantes </w:t>
      </w:r>
      <w:r w:rsidRPr="00433DD5">
        <w:rPr>
          <w:rFonts w:asciiTheme="majorBidi" w:hAnsiTheme="majorBidi" w:cstheme="majorBidi"/>
          <w:lang w:val="es-ES_tradnl"/>
        </w:rPr>
        <w:t xml:space="preserve">de la capacidad y competitividad académica, así como en los temas prioritarios </w:t>
      </w:r>
      <w:r w:rsidR="0066045A" w:rsidRPr="00433DD5">
        <w:rPr>
          <w:rFonts w:asciiTheme="majorBidi" w:hAnsiTheme="majorBidi" w:cstheme="majorBidi"/>
          <w:lang w:val="es-ES_tradnl"/>
        </w:rPr>
        <w:t xml:space="preserve">señalados en </w:t>
      </w:r>
      <w:r w:rsidRPr="00433DD5">
        <w:rPr>
          <w:rFonts w:asciiTheme="majorBidi" w:hAnsiTheme="majorBidi" w:cstheme="majorBidi"/>
          <w:lang w:val="es-ES_tradnl"/>
        </w:rPr>
        <w:t xml:space="preserve">la guía del </w:t>
      </w:r>
      <w:r w:rsidR="001A0378" w:rsidRPr="00433DD5">
        <w:rPr>
          <w:rFonts w:asciiTheme="majorBidi" w:hAnsiTheme="majorBidi" w:cstheme="majorBidi"/>
          <w:lang w:val="es-ES_tradnl"/>
        </w:rPr>
        <w:t>Profexce</w:t>
      </w:r>
      <w:r w:rsidRPr="00433DD5">
        <w:rPr>
          <w:rFonts w:asciiTheme="majorBidi" w:hAnsiTheme="majorBidi" w:cstheme="majorBidi"/>
          <w:lang w:val="es-ES_tradnl"/>
        </w:rPr>
        <w:t>. A partir de la identificación de dichos elementos, se enuncian políticas, objetivos y estrategias para atender las áreas de oportunidad, y finalmente se pla</w:t>
      </w:r>
      <w:r w:rsidR="00E27E52" w:rsidRPr="00433DD5">
        <w:rPr>
          <w:rFonts w:asciiTheme="majorBidi" w:hAnsiTheme="majorBidi" w:cstheme="majorBidi"/>
          <w:lang w:val="es-ES_tradnl"/>
        </w:rPr>
        <w:t>nte</w:t>
      </w:r>
      <w:r w:rsidRPr="00433DD5">
        <w:rPr>
          <w:rFonts w:asciiTheme="majorBidi" w:hAnsiTheme="majorBidi" w:cstheme="majorBidi"/>
          <w:lang w:val="es-ES_tradnl"/>
        </w:rPr>
        <w:t>a el proyecto integral con metas, objetivos, acciones y costos que debe</w:t>
      </w:r>
      <w:r w:rsidR="00E37008" w:rsidRPr="00433DD5">
        <w:rPr>
          <w:rFonts w:asciiTheme="majorBidi" w:hAnsiTheme="majorBidi" w:cstheme="majorBidi"/>
          <w:lang w:val="es-ES_tradnl"/>
        </w:rPr>
        <w:t>n</w:t>
      </w:r>
      <w:r w:rsidRPr="00433DD5">
        <w:rPr>
          <w:rFonts w:asciiTheme="majorBidi" w:hAnsiTheme="majorBidi" w:cstheme="majorBidi"/>
          <w:lang w:val="es-ES_tradnl"/>
        </w:rPr>
        <w:t xml:space="preserve"> estar en concordancia con los ámbitos identificados en la autoevaluación. </w:t>
      </w:r>
    </w:p>
    <w:p w14:paraId="6AE625E7" w14:textId="3A314A8D" w:rsidR="00666689" w:rsidRPr="00433DD5" w:rsidRDefault="00A166D5"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lang w:val="es-ES_tradnl"/>
        </w:rPr>
        <w:tab/>
      </w:r>
      <w:r w:rsidR="004F02D5" w:rsidRPr="00433DD5">
        <w:rPr>
          <w:rFonts w:asciiTheme="majorBidi" w:hAnsiTheme="majorBidi" w:cstheme="majorBidi"/>
          <w:lang w:val="es-ES_tradnl"/>
        </w:rPr>
        <w:t xml:space="preserve">De acuerdo con la </w:t>
      </w:r>
      <w:r w:rsidR="007928B2" w:rsidRPr="00433DD5">
        <w:rPr>
          <w:rFonts w:asciiTheme="majorBidi" w:hAnsiTheme="majorBidi" w:cstheme="majorBidi"/>
          <w:lang w:val="es-ES_tradnl"/>
        </w:rPr>
        <w:t xml:space="preserve">“Guía </w:t>
      </w:r>
      <w:r w:rsidR="004F02D5" w:rsidRPr="00433DD5">
        <w:rPr>
          <w:rFonts w:asciiTheme="majorBidi" w:hAnsiTheme="majorBidi" w:cstheme="majorBidi"/>
          <w:lang w:val="es-ES_tradnl"/>
        </w:rPr>
        <w:t>para la formulación de la planeación estratégica académica y de la gestión institucional</w:t>
      </w:r>
      <w:r w:rsidR="007928B2" w:rsidRPr="00433DD5">
        <w:rPr>
          <w:rFonts w:asciiTheme="majorBidi" w:hAnsiTheme="majorBidi" w:cstheme="majorBidi"/>
          <w:lang w:val="es-ES_tradnl"/>
        </w:rPr>
        <w:t>”</w:t>
      </w:r>
      <w:r w:rsidR="004F02D5" w:rsidRPr="00433DD5">
        <w:rPr>
          <w:rFonts w:asciiTheme="majorBidi" w:hAnsiTheme="majorBidi" w:cstheme="majorBidi"/>
          <w:lang w:val="es-ES_tradnl"/>
        </w:rPr>
        <w:t xml:space="preserve"> (</w:t>
      </w:r>
      <w:r w:rsidR="007928B2" w:rsidRPr="00433DD5">
        <w:rPr>
          <w:rFonts w:asciiTheme="majorBidi" w:hAnsiTheme="majorBidi" w:cstheme="majorBidi"/>
          <w:lang w:val="es-ES_tradnl"/>
        </w:rPr>
        <w:t xml:space="preserve">SEP, </w:t>
      </w:r>
      <w:r w:rsidR="004F02D5" w:rsidRPr="00433DD5">
        <w:rPr>
          <w:rFonts w:asciiTheme="majorBidi" w:hAnsiTheme="majorBidi" w:cstheme="majorBidi"/>
          <w:lang w:val="es-ES_tradnl"/>
        </w:rPr>
        <w:t>2019</w:t>
      </w:r>
      <w:r w:rsidR="00DF7812" w:rsidRPr="00433DD5">
        <w:rPr>
          <w:rFonts w:asciiTheme="majorBidi" w:hAnsiTheme="majorBidi" w:cstheme="majorBidi"/>
          <w:lang w:val="es-ES_tradnl"/>
        </w:rPr>
        <w:t>b</w:t>
      </w:r>
      <w:r w:rsidR="004F02D5" w:rsidRPr="00433DD5">
        <w:rPr>
          <w:rFonts w:asciiTheme="majorBidi" w:hAnsiTheme="majorBidi" w:cstheme="majorBidi"/>
          <w:lang w:val="es-ES_tradnl"/>
        </w:rPr>
        <w:t xml:space="preserve">), </w:t>
      </w:r>
      <w:r w:rsidR="003B5B60" w:rsidRPr="00433DD5">
        <w:rPr>
          <w:rFonts w:asciiTheme="majorBidi" w:hAnsiTheme="majorBidi" w:cstheme="majorBidi"/>
          <w:lang w:val="es-ES_tradnl"/>
        </w:rPr>
        <w:t xml:space="preserve">en </w:t>
      </w:r>
      <w:r w:rsidR="00E86556" w:rsidRPr="00433DD5">
        <w:rPr>
          <w:rFonts w:asciiTheme="majorBidi" w:hAnsiTheme="majorBidi" w:cstheme="majorBidi"/>
          <w:lang w:val="es-ES_tradnl"/>
        </w:rPr>
        <w:t>el apartado correspondiente</w:t>
      </w:r>
      <w:r w:rsidR="00666689" w:rsidRPr="00433DD5">
        <w:rPr>
          <w:rFonts w:asciiTheme="majorBidi" w:hAnsiTheme="majorBidi" w:cstheme="majorBidi"/>
          <w:lang w:val="es-ES_tradnl"/>
        </w:rPr>
        <w:t xml:space="preserve"> a la autoevaluación se realiza el análisis de los siguientes </w:t>
      </w:r>
      <w:r w:rsidR="003B5B60" w:rsidRPr="00433DD5">
        <w:rPr>
          <w:rFonts w:asciiTheme="majorBidi" w:hAnsiTheme="majorBidi" w:cstheme="majorBidi"/>
          <w:lang w:val="es-ES_tradnl"/>
        </w:rPr>
        <w:t>rubros</w:t>
      </w:r>
      <w:r w:rsidR="00666689" w:rsidRPr="00433DD5">
        <w:rPr>
          <w:rFonts w:asciiTheme="majorBidi" w:hAnsiTheme="majorBidi" w:cstheme="majorBidi"/>
          <w:lang w:val="es-ES_tradnl"/>
        </w:rPr>
        <w:t>:</w:t>
      </w:r>
    </w:p>
    <w:p w14:paraId="1A48F606"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Mejorar la cobertura con equidad.</w:t>
      </w:r>
    </w:p>
    <w:p w14:paraId="7C12F541" w14:textId="7EE87EF9"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Contar con programas de estudio flexibles e integrales</w:t>
      </w:r>
      <w:r w:rsidR="00470263" w:rsidRPr="00433DD5">
        <w:rPr>
          <w:rFonts w:asciiTheme="majorBidi" w:hAnsiTheme="majorBidi" w:cstheme="majorBidi"/>
        </w:rPr>
        <w:t>.</w:t>
      </w:r>
    </w:p>
    <w:p w14:paraId="7E57BDD7"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Impulsar enseñanzas pertinentes y en contextos reales.</w:t>
      </w:r>
    </w:p>
    <w:p w14:paraId="071ACB6F"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Impulsar el uso de las Tecnologías de la Información y Comunicación.</w:t>
      </w:r>
    </w:p>
    <w:p w14:paraId="29FB0B36"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Impulsar la internacionalización solidaria. </w:t>
      </w:r>
    </w:p>
    <w:p w14:paraId="1EE9DEB3"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Mejorar la atención y formación integral del estudiante. </w:t>
      </w:r>
    </w:p>
    <w:p w14:paraId="0D1148D4" w14:textId="1005C3D0"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Mejorar o fortalecer la vinculación académica y social. </w:t>
      </w:r>
    </w:p>
    <w:p w14:paraId="6B23B1A6"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Fomentar la igualdad de género universitaria. </w:t>
      </w:r>
    </w:p>
    <w:p w14:paraId="536315D4" w14:textId="4835CC11"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Mejorar o fortalecer la capacidad y competitividad académica.</w:t>
      </w:r>
    </w:p>
    <w:p w14:paraId="1B494ED8"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Fortalecer la evaluación de la gestión institucional. </w:t>
      </w:r>
    </w:p>
    <w:p w14:paraId="66626C5D" w14:textId="77777777" w:rsidR="00666689"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rPr>
      </w:pPr>
      <w:r w:rsidRPr="00433DD5">
        <w:rPr>
          <w:rFonts w:asciiTheme="majorBidi" w:hAnsiTheme="majorBidi" w:cstheme="majorBidi"/>
        </w:rPr>
        <w:t xml:space="preserve">Atender los problemas estructurales. </w:t>
      </w:r>
    </w:p>
    <w:p w14:paraId="1E5D90AC" w14:textId="29219726" w:rsidR="00D90986" w:rsidRPr="00433DD5" w:rsidRDefault="00666689" w:rsidP="005E0AC3">
      <w:pPr>
        <w:pStyle w:val="Prrafodelista"/>
        <w:numPr>
          <w:ilvl w:val="0"/>
          <w:numId w:val="3"/>
        </w:numPr>
        <w:autoSpaceDE w:val="0"/>
        <w:autoSpaceDN w:val="0"/>
        <w:adjustRightInd w:val="0"/>
        <w:spacing w:line="360" w:lineRule="auto"/>
        <w:ind w:left="0" w:firstLine="709"/>
        <w:jc w:val="both"/>
        <w:rPr>
          <w:rFonts w:asciiTheme="majorBidi" w:hAnsiTheme="majorBidi" w:cstheme="majorBidi"/>
          <w:lang w:val="es-ES_tradnl"/>
        </w:rPr>
      </w:pPr>
      <w:r w:rsidRPr="00433DD5">
        <w:rPr>
          <w:rFonts w:asciiTheme="majorBidi" w:hAnsiTheme="majorBidi" w:cstheme="majorBidi"/>
        </w:rPr>
        <w:t>Aprovechar la capacidad física instalada y la consolidación de los espacios ya existentes</w:t>
      </w:r>
      <w:r w:rsidR="00470263" w:rsidRPr="00433DD5">
        <w:rPr>
          <w:rFonts w:asciiTheme="majorBidi" w:hAnsiTheme="majorBidi" w:cstheme="majorBidi"/>
        </w:rPr>
        <w:t>.</w:t>
      </w:r>
    </w:p>
    <w:p w14:paraId="587702D4" w14:textId="57B97894" w:rsidR="00A166D5" w:rsidRPr="00433DD5" w:rsidRDefault="00666689" w:rsidP="001A0378">
      <w:pPr>
        <w:autoSpaceDE w:val="0"/>
        <w:autoSpaceDN w:val="0"/>
        <w:adjustRightInd w:val="0"/>
        <w:spacing w:line="360" w:lineRule="auto"/>
        <w:ind w:firstLine="708"/>
        <w:jc w:val="both"/>
        <w:rPr>
          <w:b/>
          <w:lang w:val="es-ES_tradnl"/>
        </w:rPr>
      </w:pPr>
      <w:r w:rsidRPr="00433DD5">
        <w:rPr>
          <w:lang w:val="es-ES_tradnl"/>
        </w:rPr>
        <w:t>La formulación de los proyectos se realiza de manera bienal, por lo que con esa periodicidad se someten a evaluación</w:t>
      </w:r>
      <w:r w:rsidR="00D26597" w:rsidRPr="00433DD5">
        <w:rPr>
          <w:lang w:val="es-ES_tradnl"/>
        </w:rPr>
        <w:t xml:space="preserve">. Para </w:t>
      </w:r>
      <w:r w:rsidRPr="00433DD5">
        <w:rPr>
          <w:lang w:val="es-ES_tradnl"/>
        </w:rPr>
        <w:t>ello</w:t>
      </w:r>
      <w:r w:rsidR="00D26597" w:rsidRPr="00433DD5">
        <w:rPr>
          <w:lang w:val="es-ES_tradnl"/>
        </w:rPr>
        <w:t>,</w:t>
      </w:r>
      <w:r w:rsidRPr="00433DD5">
        <w:rPr>
          <w:lang w:val="es-ES_tradnl"/>
        </w:rPr>
        <w:t xml:space="preserve"> la SES evalúa </w:t>
      </w:r>
      <w:r w:rsidR="00A166D5" w:rsidRPr="00433DD5">
        <w:rPr>
          <w:lang w:val="es-ES_tradnl"/>
        </w:rPr>
        <w:t xml:space="preserve">su </w:t>
      </w:r>
      <w:r w:rsidRPr="00433DD5">
        <w:rPr>
          <w:lang w:val="es-ES_tradnl"/>
        </w:rPr>
        <w:t xml:space="preserve">contenido a través de comités de pares, conformados por académicos e investigadores de reconocida trayectoria que emiten un dictamen respecto a los logros, avances, pertinencia y factibilidad de </w:t>
      </w:r>
      <w:r w:rsidR="00D00773" w:rsidRPr="00433DD5">
        <w:rPr>
          <w:lang w:val="es-ES_tradnl"/>
        </w:rPr>
        <w:t>e</w:t>
      </w:r>
      <w:r w:rsidR="00025613" w:rsidRPr="00433DD5">
        <w:rPr>
          <w:lang w:val="es-ES_tradnl"/>
        </w:rPr>
        <w:t>stos</w:t>
      </w:r>
      <w:r w:rsidRPr="00433DD5">
        <w:rPr>
          <w:lang w:val="es-ES_tradnl"/>
        </w:rPr>
        <w:t xml:space="preserve">. El dictamen emitido se acompaña de recomendaciones y se otorga un puntaje a cada DES que valora el nivel de solidez del proyecto. </w:t>
      </w:r>
      <w:r w:rsidR="00E75D76" w:rsidRPr="00433DD5">
        <w:rPr>
          <w:lang w:val="es-ES_tradnl"/>
        </w:rPr>
        <w:t>Dicho organismo</w:t>
      </w:r>
      <w:r w:rsidR="001D6CE8" w:rsidRPr="00433DD5">
        <w:rPr>
          <w:lang w:val="es-ES_tradnl"/>
        </w:rPr>
        <w:t xml:space="preserve"> emite un </w:t>
      </w:r>
      <w:r w:rsidRPr="00433DD5">
        <w:rPr>
          <w:lang w:val="es-ES_tradnl"/>
        </w:rPr>
        <w:t>colorama</w:t>
      </w:r>
      <w:r w:rsidR="001D6CE8" w:rsidRPr="00433DD5">
        <w:rPr>
          <w:lang w:val="es-ES_tradnl"/>
        </w:rPr>
        <w:t xml:space="preserve"> en el cual </w:t>
      </w:r>
      <w:r w:rsidR="004B013E" w:rsidRPr="00433DD5">
        <w:rPr>
          <w:lang w:val="es-ES_tradnl"/>
        </w:rPr>
        <w:t xml:space="preserve">el color verde significa excelente, el amarillo bueno, el naranja regular y el rojo deficiente. </w:t>
      </w:r>
    </w:p>
    <w:p w14:paraId="62890781" w14:textId="68B46B49" w:rsidR="000F7486" w:rsidRPr="00433DD5" w:rsidRDefault="00A166D5" w:rsidP="001A0378">
      <w:pPr>
        <w:autoSpaceDE w:val="0"/>
        <w:autoSpaceDN w:val="0"/>
        <w:adjustRightInd w:val="0"/>
        <w:spacing w:line="360" w:lineRule="auto"/>
        <w:jc w:val="both"/>
        <w:rPr>
          <w:b/>
          <w:lang w:val="es-ES_tradnl"/>
        </w:rPr>
      </w:pPr>
      <w:r w:rsidRPr="00433DD5">
        <w:rPr>
          <w:b/>
          <w:lang w:val="es-ES_tradnl"/>
        </w:rPr>
        <w:tab/>
      </w:r>
      <w:r w:rsidR="000F7486" w:rsidRPr="00433DD5">
        <w:rPr>
          <w:lang w:val="es-ES_tradnl"/>
        </w:rPr>
        <w:t>Como puede advertirse, los colores representan el nivel de progreso de cada dependencia y la forma en cómo los pares evaluadores asumen que se han tenido avances significativos</w:t>
      </w:r>
      <w:r w:rsidR="00025613" w:rsidRPr="00433DD5">
        <w:rPr>
          <w:lang w:val="es-ES_tradnl"/>
        </w:rPr>
        <w:t xml:space="preserve"> </w:t>
      </w:r>
      <w:r w:rsidR="00E2441C" w:rsidRPr="00433DD5">
        <w:rPr>
          <w:lang w:val="es-ES_tradnl"/>
        </w:rPr>
        <w:t>e</w:t>
      </w:r>
      <w:r w:rsidR="000F7486" w:rsidRPr="00433DD5">
        <w:rPr>
          <w:lang w:val="es-ES_tradnl"/>
        </w:rPr>
        <w:t xml:space="preserve">n el cumplimiento de las metas y objetivos, así como </w:t>
      </w:r>
      <w:r w:rsidR="00E2441C" w:rsidRPr="00433DD5">
        <w:rPr>
          <w:lang w:val="es-ES_tradnl"/>
        </w:rPr>
        <w:t>evidencias de</w:t>
      </w:r>
      <w:r w:rsidR="000F7486" w:rsidRPr="00433DD5">
        <w:rPr>
          <w:lang w:val="es-ES_tradnl"/>
        </w:rPr>
        <w:t xml:space="preserve"> que se han </w:t>
      </w:r>
      <w:r w:rsidR="00025613" w:rsidRPr="00433DD5">
        <w:rPr>
          <w:lang w:val="es-ES_tradnl"/>
        </w:rPr>
        <w:lastRenderedPageBreak/>
        <w:t>formulado</w:t>
      </w:r>
      <w:r w:rsidR="000F7486" w:rsidRPr="00433DD5">
        <w:rPr>
          <w:lang w:val="es-ES_tradnl"/>
        </w:rPr>
        <w:t xml:space="preserve"> estrategias apropiadas para el planteamiento de alternativas de solución ante los problemas detectados en la autoevaluación y potencializar las fortalezas. </w:t>
      </w:r>
    </w:p>
    <w:p w14:paraId="4646760C" w14:textId="77777777" w:rsidR="00987D78" w:rsidRPr="00433DD5" w:rsidRDefault="00987D78" w:rsidP="001A0378">
      <w:pPr>
        <w:tabs>
          <w:tab w:val="left" w:pos="2840"/>
        </w:tabs>
        <w:spacing w:line="360" w:lineRule="auto"/>
        <w:contextualSpacing/>
        <w:jc w:val="center"/>
        <w:rPr>
          <w:b/>
          <w:sz w:val="32"/>
          <w:szCs w:val="32"/>
        </w:rPr>
      </w:pPr>
    </w:p>
    <w:p w14:paraId="4F23546D" w14:textId="77777777" w:rsidR="008262A2" w:rsidRPr="00433DD5" w:rsidRDefault="00987D78" w:rsidP="008B457E">
      <w:pPr>
        <w:tabs>
          <w:tab w:val="left" w:pos="2840"/>
        </w:tabs>
        <w:spacing w:line="360" w:lineRule="auto"/>
        <w:contextualSpacing/>
        <w:jc w:val="center"/>
        <w:rPr>
          <w:b/>
          <w:sz w:val="32"/>
          <w:szCs w:val="32"/>
        </w:rPr>
      </w:pPr>
      <w:r w:rsidRPr="00433DD5">
        <w:rPr>
          <w:b/>
          <w:sz w:val="32"/>
          <w:szCs w:val="32"/>
        </w:rPr>
        <w:t>M</w:t>
      </w:r>
      <w:r w:rsidR="0082549C" w:rsidRPr="00433DD5">
        <w:rPr>
          <w:b/>
          <w:sz w:val="32"/>
          <w:szCs w:val="32"/>
        </w:rPr>
        <w:t>étodo</w:t>
      </w:r>
    </w:p>
    <w:p w14:paraId="5CB7AEC6" w14:textId="0153B56A" w:rsidR="008262A2" w:rsidRPr="00433DD5" w:rsidRDefault="004A71E2" w:rsidP="001A0378">
      <w:pPr>
        <w:tabs>
          <w:tab w:val="left" w:pos="2840"/>
        </w:tabs>
        <w:spacing w:line="360" w:lineRule="auto"/>
        <w:ind w:firstLine="709"/>
        <w:contextualSpacing/>
        <w:jc w:val="both"/>
        <w:rPr>
          <w:rFonts w:eastAsiaTheme="minorHAnsi"/>
          <w:lang w:val="es-ES_tradnl" w:eastAsia="en-US"/>
        </w:rPr>
      </w:pPr>
      <w:r w:rsidRPr="00433DD5">
        <w:rPr>
          <w:rFonts w:eastAsiaTheme="minorHAnsi"/>
          <w:lang w:val="es-ES_tradnl" w:eastAsia="en-US"/>
        </w:rPr>
        <w:t xml:space="preserve">Se realizó una investigación de </w:t>
      </w:r>
      <w:r w:rsidR="00BF490B" w:rsidRPr="00433DD5">
        <w:rPr>
          <w:rFonts w:eastAsiaTheme="minorHAnsi"/>
          <w:lang w:val="es-ES_tradnl" w:eastAsia="en-US"/>
        </w:rPr>
        <w:t xml:space="preserve">carácter exploratorio y de </w:t>
      </w:r>
      <w:r w:rsidRPr="00433DD5">
        <w:rPr>
          <w:rFonts w:eastAsiaTheme="minorHAnsi"/>
          <w:lang w:val="es-ES_tradnl" w:eastAsia="en-US"/>
        </w:rPr>
        <w:t>tipo cualitativo</w:t>
      </w:r>
      <w:r w:rsidR="00F1606F" w:rsidRPr="00433DD5">
        <w:rPr>
          <w:rFonts w:eastAsiaTheme="minorHAnsi"/>
          <w:lang w:val="es-ES_tradnl" w:eastAsia="en-US"/>
        </w:rPr>
        <w:t xml:space="preserve">, ya que </w:t>
      </w:r>
      <w:r w:rsidR="00D00773" w:rsidRPr="00433DD5">
        <w:rPr>
          <w:rFonts w:eastAsiaTheme="minorHAnsi"/>
          <w:lang w:val="es-ES_tradnl" w:eastAsia="en-US"/>
        </w:rPr>
        <w:t>e</w:t>
      </w:r>
      <w:r w:rsidR="00F1606F" w:rsidRPr="00433DD5">
        <w:rPr>
          <w:rFonts w:eastAsiaTheme="minorHAnsi"/>
          <w:lang w:val="es-ES_tradnl" w:eastAsia="en-US"/>
        </w:rPr>
        <w:t xml:space="preserve">ste apela a una observación próxima y detallada del contexto para lograr aproximarse lo más posible a la </w:t>
      </w:r>
      <w:r w:rsidR="000158E1" w:rsidRPr="00433DD5">
        <w:rPr>
          <w:rFonts w:eastAsiaTheme="minorHAnsi"/>
          <w:lang w:val="es-ES_tradnl" w:eastAsia="en-US"/>
        </w:rPr>
        <w:t>significación</w:t>
      </w:r>
      <w:r w:rsidR="00F1606F" w:rsidRPr="00433DD5">
        <w:rPr>
          <w:rFonts w:eastAsiaTheme="minorHAnsi"/>
          <w:lang w:val="es-ES_tradnl" w:eastAsia="en-US"/>
        </w:rPr>
        <w:t xml:space="preserve"> de los </w:t>
      </w:r>
      <w:r w:rsidR="000158E1" w:rsidRPr="00433DD5">
        <w:rPr>
          <w:rFonts w:eastAsiaTheme="minorHAnsi"/>
          <w:lang w:val="es-ES_tradnl" w:eastAsia="en-US"/>
        </w:rPr>
        <w:t>fenómenos</w:t>
      </w:r>
      <w:r w:rsidR="00466E89" w:rsidRPr="00433DD5">
        <w:rPr>
          <w:rFonts w:eastAsiaTheme="minorHAnsi"/>
          <w:lang w:val="es-ES_tradnl" w:eastAsia="en-US"/>
        </w:rPr>
        <w:t xml:space="preserve"> (Díaz, 2018)</w:t>
      </w:r>
      <w:r w:rsidR="007B2825" w:rsidRPr="00433DD5">
        <w:rPr>
          <w:rFonts w:eastAsiaTheme="minorHAnsi"/>
          <w:lang w:val="es-ES_tradnl" w:eastAsia="en-US"/>
        </w:rPr>
        <w:t>.</w:t>
      </w:r>
      <w:r w:rsidR="00466E89" w:rsidRPr="00433DD5">
        <w:rPr>
          <w:rFonts w:eastAsiaTheme="minorHAnsi"/>
          <w:lang w:val="es-ES_tradnl" w:eastAsia="en-US"/>
        </w:rPr>
        <w:t xml:space="preserve"> </w:t>
      </w:r>
      <w:r w:rsidR="007B2825" w:rsidRPr="00433DD5">
        <w:rPr>
          <w:rFonts w:eastAsiaTheme="minorHAnsi"/>
          <w:lang w:val="es-ES_tradnl" w:eastAsia="en-US"/>
        </w:rPr>
        <w:t>C</w:t>
      </w:r>
      <w:r w:rsidR="001941D0" w:rsidRPr="00433DD5">
        <w:rPr>
          <w:rFonts w:eastAsiaTheme="minorHAnsi"/>
          <w:lang w:val="es-ES_tradnl" w:eastAsia="en-US"/>
        </w:rPr>
        <w:t xml:space="preserve">omo orientación </w:t>
      </w:r>
      <w:r w:rsidR="000158E1" w:rsidRPr="00433DD5">
        <w:rPr>
          <w:rFonts w:eastAsiaTheme="minorHAnsi"/>
          <w:lang w:val="es-ES_tradnl" w:eastAsia="en-US"/>
        </w:rPr>
        <w:t>principal y</w:t>
      </w:r>
      <w:r w:rsidR="005605D9" w:rsidRPr="00433DD5">
        <w:rPr>
          <w:rFonts w:eastAsiaTheme="minorHAnsi"/>
          <w:lang w:val="es-ES_tradnl" w:eastAsia="en-US"/>
        </w:rPr>
        <w:t xml:space="preserve"> de</w:t>
      </w:r>
      <w:r w:rsidR="00BF490B" w:rsidRPr="00433DD5">
        <w:rPr>
          <w:rFonts w:eastAsiaTheme="minorHAnsi"/>
          <w:lang w:val="es-ES_tradnl" w:eastAsia="en-US"/>
        </w:rPr>
        <w:t xml:space="preserve"> acercamiento al objeto de estudio</w:t>
      </w:r>
      <w:r w:rsidR="00C7530C" w:rsidRPr="00433DD5">
        <w:rPr>
          <w:rFonts w:eastAsiaTheme="minorHAnsi"/>
          <w:lang w:val="es-ES_tradnl" w:eastAsia="en-US"/>
        </w:rPr>
        <w:t xml:space="preserve">, </w:t>
      </w:r>
      <w:r w:rsidR="005605D9" w:rsidRPr="00433DD5">
        <w:rPr>
          <w:rFonts w:eastAsiaTheme="minorHAnsi"/>
          <w:lang w:val="es-ES_tradnl" w:eastAsia="en-US"/>
        </w:rPr>
        <w:t xml:space="preserve">se tomó </w:t>
      </w:r>
      <w:r w:rsidR="00C7530C" w:rsidRPr="00433DD5">
        <w:rPr>
          <w:rFonts w:eastAsiaTheme="minorHAnsi"/>
          <w:lang w:val="es-ES_tradnl" w:eastAsia="en-US"/>
        </w:rPr>
        <w:t>co</w:t>
      </w:r>
      <w:r w:rsidR="005605D9" w:rsidRPr="00433DD5">
        <w:rPr>
          <w:rFonts w:eastAsiaTheme="minorHAnsi"/>
          <w:lang w:val="es-ES_tradnl" w:eastAsia="en-US"/>
        </w:rPr>
        <w:t>mo</w:t>
      </w:r>
      <w:r w:rsidR="00C7530C" w:rsidRPr="00433DD5">
        <w:rPr>
          <w:rFonts w:eastAsiaTheme="minorHAnsi"/>
          <w:lang w:val="es-ES_tradnl" w:eastAsia="en-US"/>
        </w:rPr>
        <w:t xml:space="preserve"> base el modelo por pasos del desarrollo deductiv</w:t>
      </w:r>
      <w:r w:rsidR="001941D0" w:rsidRPr="00433DD5">
        <w:rPr>
          <w:rFonts w:eastAsiaTheme="minorHAnsi"/>
          <w:lang w:val="es-ES_tradnl" w:eastAsia="en-US"/>
        </w:rPr>
        <w:t>o-</w:t>
      </w:r>
      <w:r w:rsidR="00C7530C" w:rsidRPr="00433DD5">
        <w:rPr>
          <w:rFonts w:eastAsiaTheme="minorHAnsi"/>
          <w:lang w:val="es-ES_tradnl" w:eastAsia="en-US"/>
        </w:rPr>
        <w:t>inductivo del análisis del contenido propuesto por Mayring (2000).</w:t>
      </w:r>
      <w:r w:rsidR="001941D0" w:rsidRPr="00433DD5">
        <w:rPr>
          <w:rFonts w:eastAsiaTheme="minorHAnsi"/>
          <w:lang w:val="es-ES_tradnl" w:eastAsia="en-US"/>
        </w:rPr>
        <w:t xml:space="preserve"> En este sentido</w:t>
      </w:r>
      <w:r w:rsidR="0041741B" w:rsidRPr="00433DD5">
        <w:rPr>
          <w:rFonts w:eastAsiaTheme="minorHAnsi"/>
          <w:lang w:val="es-ES_tradnl" w:eastAsia="en-US"/>
        </w:rPr>
        <w:t>,</w:t>
      </w:r>
      <w:r w:rsidR="001941D0" w:rsidRPr="00433DD5">
        <w:rPr>
          <w:rFonts w:eastAsiaTheme="minorHAnsi"/>
          <w:lang w:val="es-ES_tradnl" w:eastAsia="en-US"/>
        </w:rPr>
        <w:t xml:space="preserve"> la organización del material simbólico se sintetizó en cuatro dimensiones de análisis: </w:t>
      </w:r>
      <w:r w:rsidR="00D92B76" w:rsidRPr="00433DD5">
        <w:rPr>
          <w:rFonts w:eastAsiaTheme="minorHAnsi"/>
          <w:i/>
          <w:iCs/>
          <w:lang w:val="es-ES_tradnl" w:eastAsia="en-US"/>
        </w:rPr>
        <w:t>1)</w:t>
      </w:r>
      <w:r w:rsidR="00D92B76" w:rsidRPr="00433DD5">
        <w:rPr>
          <w:rFonts w:eastAsiaTheme="minorHAnsi"/>
          <w:lang w:val="es-ES_tradnl" w:eastAsia="en-US"/>
        </w:rPr>
        <w:t xml:space="preserve"> </w:t>
      </w:r>
      <w:r w:rsidR="007B2825" w:rsidRPr="00433DD5">
        <w:rPr>
          <w:rFonts w:eastAsiaTheme="minorHAnsi"/>
          <w:lang w:val="es-ES_tradnl" w:eastAsia="en-US"/>
        </w:rPr>
        <w:t>e</w:t>
      </w:r>
      <w:r w:rsidR="00C71F90" w:rsidRPr="00433DD5">
        <w:rPr>
          <w:rFonts w:eastAsiaTheme="minorHAnsi"/>
          <w:lang w:val="es-ES_tradnl" w:eastAsia="en-US"/>
        </w:rPr>
        <w:t>volución de los i</w:t>
      </w:r>
      <w:r w:rsidR="00D92B76" w:rsidRPr="00433DD5">
        <w:rPr>
          <w:rFonts w:eastAsiaTheme="minorHAnsi"/>
          <w:lang w:val="es-ES_tradnl" w:eastAsia="en-US"/>
        </w:rPr>
        <w:t>ndicadores</w:t>
      </w:r>
      <w:r w:rsidR="00C71F90" w:rsidRPr="00433DD5">
        <w:rPr>
          <w:rFonts w:eastAsiaTheme="minorHAnsi"/>
          <w:lang w:val="es-ES_tradnl" w:eastAsia="en-US"/>
        </w:rPr>
        <w:t xml:space="preserve"> de capacidad y competitividad académica</w:t>
      </w:r>
      <w:r w:rsidR="00D92B76" w:rsidRPr="00433DD5">
        <w:rPr>
          <w:rFonts w:eastAsiaTheme="minorHAnsi"/>
          <w:lang w:val="es-ES_tradnl" w:eastAsia="en-US"/>
        </w:rPr>
        <w:t xml:space="preserve">, </w:t>
      </w:r>
      <w:r w:rsidR="00D92B76" w:rsidRPr="00433DD5">
        <w:rPr>
          <w:rFonts w:eastAsiaTheme="minorHAnsi"/>
          <w:i/>
          <w:iCs/>
          <w:lang w:val="es-ES_tradnl" w:eastAsia="en-US"/>
        </w:rPr>
        <w:t>2)</w:t>
      </w:r>
      <w:r w:rsidR="00D92B76" w:rsidRPr="00433DD5">
        <w:rPr>
          <w:rFonts w:eastAsiaTheme="minorHAnsi"/>
          <w:lang w:val="es-ES_tradnl" w:eastAsia="en-US"/>
        </w:rPr>
        <w:t xml:space="preserve"> </w:t>
      </w:r>
      <w:r w:rsidR="007B2825" w:rsidRPr="00433DD5">
        <w:rPr>
          <w:rFonts w:eastAsiaTheme="minorHAnsi"/>
          <w:lang w:val="es-ES_tradnl" w:eastAsia="en-US"/>
        </w:rPr>
        <w:t>d</w:t>
      </w:r>
      <w:r w:rsidR="00C71F90" w:rsidRPr="00433DD5">
        <w:rPr>
          <w:rFonts w:eastAsiaTheme="minorHAnsi"/>
          <w:lang w:val="es-ES_tradnl" w:eastAsia="en-US"/>
        </w:rPr>
        <w:t>ictámenes de la evaluación em</w:t>
      </w:r>
      <w:r w:rsidR="00383C60" w:rsidRPr="00433DD5">
        <w:rPr>
          <w:rFonts w:eastAsiaTheme="minorHAnsi"/>
          <w:lang w:val="es-ES_tradnl" w:eastAsia="en-US"/>
        </w:rPr>
        <w:t>i</w:t>
      </w:r>
      <w:r w:rsidR="00C71F90" w:rsidRPr="00433DD5">
        <w:rPr>
          <w:rFonts w:eastAsiaTheme="minorHAnsi"/>
          <w:lang w:val="es-ES_tradnl" w:eastAsia="en-US"/>
        </w:rPr>
        <w:t xml:space="preserve">tidos por la SES, </w:t>
      </w:r>
      <w:r w:rsidR="00C71F90" w:rsidRPr="00433DD5">
        <w:rPr>
          <w:rFonts w:eastAsiaTheme="minorHAnsi"/>
          <w:i/>
          <w:iCs/>
          <w:lang w:val="es-ES_tradnl" w:eastAsia="en-US"/>
        </w:rPr>
        <w:t>3)</w:t>
      </w:r>
      <w:r w:rsidR="00C71F90" w:rsidRPr="00433DD5">
        <w:rPr>
          <w:rFonts w:eastAsiaTheme="minorHAnsi"/>
          <w:lang w:val="es-ES_tradnl" w:eastAsia="en-US"/>
        </w:rPr>
        <w:t xml:space="preserve"> </w:t>
      </w:r>
      <w:r w:rsidR="00383C60" w:rsidRPr="00433DD5">
        <w:rPr>
          <w:rFonts w:eastAsiaTheme="minorHAnsi"/>
          <w:lang w:val="es-ES_tradnl" w:eastAsia="en-US"/>
        </w:rPr>
        <w:t xml:space="preserve">puntajes </w:t>
      </w:r>
      <w:r w:rsidR="00F64115" w:rsidRPr="00433DD5">
        <w:rPr>
          <w:rFonts w:eastAsiaTheme="minorHAnsi"/>
          <w:lang w:val="es-ES_tradnl" w:eastAsia="en-US"/>
        </w:rPr>
        <w:t xml:space="preserve">y valoraciones cualitativas </w:t>
      </w:r>
      <w:r w:rsidR="00C07AEE" w:rsidRPr="00433DD5">
        <w:rPr>
          <w:rFonts w:eastAsiaTheme="minorHAnsi"/>
          <w:lang w:val="es-ES_tradnl" w:eastAsia="en-US"/>
        </w:rPr>
        <w:t xml:space="preserve">de los reportes </w:t>
      </w:r>
      <w:r w:rsidR="00383C60" w:rsidRPr="00433DD5">
        <w:rPr>
          <w:rFonts w:eastAsiaTheme="minorHAnsi"/>
          <w:lang w:val="es-ES_tradnl" w:eastAsia="en-US"/>
        </w:rPr>
        <w:t xml:space="preserve">y </w:t>
      </w:r>
      <w:r w:rsidR="00383C60" w:rsidRPr="00433DD5">
        <w:rPr>
          <w:rFonts w:eastAsiaTheme="minorHAnsi"/>
          <w:i/>
          <w:iCs/>
          <w:lang w:val="es-ES_tradnl" w:eastAsia="en-US"/>
        </w:rPr>
        <w:t>4)</w:t>
      </w:r>
      <w:r w:rsidR="00383C60" w:rsidRPr="00433DD5">
        <w:rPr>
          <w:rFonts w:eastAsiaTheme="minorHAnsi"/>
          <w:lang w:val="es-ES_tradnl" w:eastAsia="en-US"/>
        </w:rPr>
        <w:t xml:space="preserve"> </w:t>
      </w:r>
      <w:r w:rsidR="007B2825" w:rsidRPr="00433DD5">
        <w:rPr>
          <w:rFonts w:eastAsiaTheme="minorHAnsi"/>
          <w:lang w:val="es-ES_tradnl" w:eastAsia="en-US"/>
        </w:rPr>
        <w:t>l</w:t>
      </w:r>
      <w:r w:rsidR="00466E89" w:rsidRPr="00433DD5">
        <w:rPr>
          <w:rFonts w:eastAsiaTheme="minorHAnsi"/>
          <w:lang w:val="es-ES_tradnl" w:eastAsia="en-US"/>
        </w:rPr>
        <w:t xml:space="preserve">íneas de correspondencia entre el ámbito de la evaluación y </w:t>
      </w:r>
      <w:r w:rsidR="00C07AEE" w:rsidRPr="00433DD5">
        <w:rPr>
          <w:rFonts w:eastAsiaTheme="minorHAnsi"/>
          <w:lang w:val="es-ES_tradnl" w:eastAsia="en-US"/>
        </w:rPr>
        <w:t>la asignación d</w:t>
      </w:r>
      <w:r w:rsidR="00466E89" w:rsidRPr="00433DD5">
        <w:rPr>
          <w:rFonts w:eastAsiaTheme="minorHAnsi"/>
          <w:lang w:val="es-ES_tradnl" w:eastAsia="en-US"/>
        </w:rPr>
        <w:t xml:space="preserve">el presupuesto. </w:t>
      </w:r>
    </w:p>
    <w:p w14:paraId="7E3CBC62" w14:textId="48092715" w:rsidR="00433DD5" w:rsidRPr="00433DD5" w:rsidRDefault="009F3AAB" w:rsidP="00433DD5">
      <w:pPr>
        <w:tabs>
          <w:tab w:val="left" w:pos="2840"/>
        </w:tabs>
        <w:spacing w:line="360" w:lineRule="auto"/>
        <w:ind w:firstLine="709"/>
        <w:contextualSpacing/>
        <w:jc w:val="both"/>
        <w:rPr>
          <w:bCs/>
        </w:rPr>
      </w:pPr>
      <w:r w:rsidRPr="00433DD5">
        <w:rPr>
          <w:bCs/>
        </w:rPr>
        <w:t xml:space="preserve">Para realizar el análisis sobre la asignación de los recursos del </w:t>
      </w:r>
      <w:r w:rsidR="001A0378" w:rsidRPr="00433DD5">
        <w:rPr>
          <w:bCs/>
        </w:rPr>
        <w:t>Profexce</w:t>
      </w:r>
      <w:r w:rsidR="00470263" w:rsidRPr="00433DD5">
        <w:rPr>
          <w:bCs/>
        </w:rPr>
        <w:t xml:space="preserve">, </w:t>
      </w:r>
      <w:r w:rsidR="00C734E7" w:rsidRPr="00433DD5">
        <w:rPr>
          <w:bCs/>
        </w:rPr>
        <w:t>se eligió una muestra</w:t>
      </w:r>
      <w:r w:rsidR="00C734E7" w:rsidRPr="00433DD5">
        <w:rPr>
          <w:lang w:eastAsia="es-MX"/>
        </w:rPr>
        <w:t xml:space="preserve"> no probabilística</w:t>
      </w:r>
      <w:r w:rsidR="00AF4DA6" w:rsidRPr="00433DD5">
        <w:rPr>
          <w:lang w:eastAsia="es-MX"/>
        </w:rPr>
        <w:t xml:space="preserve"> e intencional</w:t>
      </w:r>
      <w:r w:rsidR="00C734E7" w:rsidRPr="00433DD5">
        <w:rPr>
          <w:lang w:eastAsia="es-MX"/>
        </w:rPr>
        <w:t xml:space="preserve">, ya que </w:t>
      </w:r>
      <w:r w:rsidR="00950A14" w:rsidRPr="00433DD5">
        <w:rPr>
          <w:lang w:eastAsia="es-MX"/>
        </w:rPr>
        <w:t>“</w:t>
      </w:r>
      <w:r w:rsidR="00C734E7" w:rsidRPr="00433DD5">
        <w:rPr>
          <w:lang w:eastAsia="es-MX"/>
        </w:rPr>
        <w:t>la elección de los elementos no depende de</w:t>
      </w:r>
      <w:r w:rsidR="00C77C75" w:rsidRPr="00433DD5">
        <w:rPr>
          <w:lang w:eastAsia="es-MX"/>
        </w:rPr>
        <w:t xml:space="preserve"> </w:t>
      </w:r>
      <w:r w:rsidR="00C734E7" w:rsidRPr="00433DD5">
        <w:rPr>
          <w:lang w:eastAsia="es-MX"/>
        </w:rPr>
        <w:t>la probabilidad, sino de causas relacionadas con las características de la investigación</w:t>
      </w:r>
      <w:r w:rsidR="00950A14" w:rsidRPr="00433DD5">
        <w:rPr>
          <w:lang w:eastAsia="es-MX"/>
        </w:rPr>
        <w:t>”</w:t>
      </w:r>
      <w:r w:rsidR="00C734E7" w:rsidRPr="00433DD5">
        <w:rPr>
          <w:lang w:eastAsia="es-MX"/>
        </w:rPr>
        <w:t xml:space="preserve"> (</w:t>
      </w:r>
      <w:r w:rsidR="00D4396B" w:rsidRPr="00433DD5">
        <w:rPr>
          <w:lang w:eastAsia="es-MX"/>
        </w:rPr>
        <w:t xml:space="preserve">Battaglia, 2008, citado en Hernández, Fernández y Baptista, 2014, p. 176; </w:t>
      </w:r>
      <w:r w:rsidR="00C734E7" w:rsidRPr="00433DD5">
        <w:rPr>
          <w:lang w:eastAsia="es-MX"/>
        </w:rPr>
        <w:t xml:space="preserve">Hernández </w:t>
      </w:r>
      <w:r w:rsidR="00C734E7" w:rsidRPr="00433DD5">
        <w:rPr>
          <w:i/>
          <w:iCs/>
          <w:lang w:eastAsia="es-MX"/>
        </w:rPr>
        <w:t xml:space="preserve">et al., </w:t>
      </w:r>
      <w:r w:rsidR="00D4396B" w:rsidRPr="00433DD5">
        <w:rPr>
          <w:lang w:eastAsia="es-MX"/>
        </w:rPr>
        <w:t>2014</w:t>
      </w:r>
      <w:r w:rsidR="00C734E7" w:rsidRPr="00433DD5">
        <w:rPr>
          <w:lang w:eastAsia="es-MX"/>
        </w:rPr>
        <w:t xml:space="preserve">). </w:t>
      </w:r>
      <w:r w:rsidR="00C734E7" w:rsidRPr="00433DD5">
        <w:rPr>
          <w:bCs/>
        </w:rPr>
        <w:t>S</w:t>
      </w:r>
      <w:r w:rsidR="00470263" w:rsidRPr="00433DD5">
        <w:rPr>
          <w:bCs/>
        </w:rPr>
        <w:t>e toma</w:t>
      </w:r>
      <w:r w:rsidR="0066045A" w:rsidRPr="00433DD5">
        <w:rPr>
          <w:bCs/>
        </w:rPr>
        <w:t>ron</w:t>
      </w:r>
      <w:r w:rsidR="00470263" w:rsidRPr="00433DD5">
        <w:rPr>
          <w:bCs/>
        </w:rPr>
        <w:t xml:space="preserve"> </w:t>
      </w:r>
      <w:r w:rsidR="0014393C" w:rsidRPr="00433DD5">
        <w:rPr>
          <w:bCs/>
        </w:rPr>
        <w:t xml:space="preserve">como referencia tres DES </w:t>
      </w:r>
      <w:r w:rsidR="001846EC" w:rsidRPr="00433DD5">
        <w:rPr>
          <w:bCs/>
        </w:rPr>
        <w:t xml:space="preserve">de la </w:t>
      </w:r>
      <w:r w:rsidR="002B6985" w:rsidRPr="00433DD5">
        <w:rPr>
          <w:bCs/>
        </w:rPr>
        <w:t>UV</w:t>
      </w:r>
      <w:r w:rsidR="001846EC" w:rsidRPr="00433DD5">
        <w:rPr>
          <w:bCs/>
        </w:rPr>
        <w:t xml:space="preserve"> </w:t>
      </w:r>
      <w:r w:rsidR="0014393C" w:rsidRPr="00433DD5">
        <w:rPr>
          <w:bCs/>
        </w:rPr>
        <w:t xml:space="preserve">que </w:t>
      </w:r>
      <w:r w:rsidR="00470263" w:rsidRPr="00433DD5">
        <w:rPr>
          <w:bCs/>
        </w:rPr>
        <w:t xml:space="preserve">incrementaron </w:t>
      </w:r>
      <w:r w:rsidR="0014393C" w:rsidRPr="00433DD5">
        <w:rPr>
          <w:bCs/>
        </w:rPr>
        <w:t xml:space="preserve">sus indicadores </w:t>
      </w:r>
      <w:r w:rsidR="00714D7A" w:rsidRPr="00433DD5">
        <w:rPr>
          <w:bCs/>
        </w:rPr>
        <w:t xml:space="preserve">de capacidad y competitividad académica </w:t>
      </w:r>
      <w:r w:rsidR="0014393C" w:rsidRPr="00433DD5">
        <w:rPr>
          <w:bCs/>
        </w:rPr>
        <w:t xml:space="preserve">durante </w:t>
      </w:r>
      <w:r w:rsidR="00025613" w:rsidRPr="00433DD5">
        <w:rPr>
          <w:bCs/>
        </w:rPr>
        <w:t xml:space="preserve">los bienios </w:t>
      </w:r>
      <w:r w:rsidR="00025613" w:rsidRPr="00433DD5">
        <w:rPr>
          <w:lang w:val="es-ES_tradnl"/>
        </w:rPr>
        <w:t>2016-2017, 2018-2019, 2020-2021</w:t>
      </w:r>
      <w:r w:rsidR="002B6985" w:rsidRPr="00433DD5">
        <w:rPr>
          <w:bCs/>
        </w:rPr>
        <w:t>. Asi</w:t>
      </w:r>
      <w:r w:rsidR="0014393C" w:rsidRPr="00433DD5">
        <w:rPr>
          <w:bCs/>
        </w:rPr>
        <w:t>mismo</w:t>
      </w:r>
      <w:r w:rsidR="0066045A" w:rsidRPr="00433DD5">
        <w:rPr>
          <w:bCs/>
        </w:rPr>
        <w:t>,</w:t>
      </w:r>
      <w:r w:rsidR="0014393C" w:rsidRPr="00433DD5">
        <w:rPr>
          <w:bCs/>
        </w:rPr>
        <w:t xml:space="preserve"> dichas</w:t>
      </w:r>
      <w:r w:rsidR="00C77C75" w:rsidRPr="00433DD5">
        <w:rPr>
          <w:bCs/>
        </w:rPr>
        <w:t xml:space="preserve"> </w:t>
      </w:r>
      <w:r w:rsidR="002B6985" w:rsidRPr="00433DD5">
        <w:rPr>
          <w:bCs/>
        </w:rPr>
        <w:t xml:space="preserve">dependencias </w:t>
      </w:r>
      <w:r w:rsidR="007B2825" w:rsidRPr="00433DD5">
        <w:rPr>
          <w:bCs/>
        </w:rPr>
        <w:t xml:space="preserve">se eligieron </w:t>
      </w:r>
      <w:r w:rsidR="008A5E27" w:rsidRPr="00433DD5">
        <w:rPr>
          <w:bCs/>
        </w:rPr>
        <w:t xml:space="preserve">de manera </w:t>
      </w:r>
      <w:r w:rsidR="00847243" w:rsidRPr="00433DD5">
        <w:rPr>
          <w:bCs/>
        </w:rPr>
        <w:t>deliberada</w:t>
      </w:r>
      <w:r w:rsidR="008A5E27" w:rsidRPr="00433DD5">
        <w:rPr>
          <w:bCs/>
        </w:rPr>
        <w:t xml:space="preserve"> ya que fueron</w:t>
      </w:r>
      <w:r w:rsidR="00C77C75" w:rsidRPr="00433DD5">
        <w:rPr>
          <w:bCs/>
        </w:rPr>
        <w:t xml:space="preserve"> </w:t>
      </w:r>
      <w:r w:rsidR="0014393C" w:rsidRPr="00433DD5">
        <w:rPr>
          <w:bCs/>
        </w:rPr>
        <w:t>evaluadas con puntajes altos de acuerdo al dictamen emitido por los comités de pares de la SES</w:t>
      </w:r>
      <w:r w:rsidR="00714D7A" w:rsidRPr="00433DD5">
        <w:rPr>
          <w:bCs/>
        </w:rPr>
        <w:t xml:space="preserve"> durante los tres </w:t>
      </w:r>
      <w:r w:rsidR="00BE3054" w:rsidRPr="00433DD5">
        <w:rPr>
          <w:bCs/>
        </w:rPr>
        <w:t>bienios</w:t>
      </w:r>
      <w:r w:rsidR="00F30B3C" w:rsidRPr="00433DD5">
        <w:rPr>
          <w:bCs/>
        </w:rPr>
        <w:t xml:space="preserve"> y se muestran en la tabla siguiente:</w:t>
      </w:r>
    </w:p>
    <w:p w14:paraId="222D39E8" w14:textId="3C1334A0" w:rsidR="00433DD5" w:rsidRPr="00433DD5" w:rsidRDefault="00433DD5" w:rsidP="00433DD5">
      <w:pPr>
        <w:tabs>
          <w:tab w:val="left" w:pos="2840"/>
        </w:tabs>
        <w:spacing w:line="360" w:lineRule="auto"/>
        <w:ind w:firstLine="709"/>
        <w:contextualSpacing/>
        <w:jc w:val="both"/>
        <w:rPr>
          <w:bCs/>
        </w:rPr>
      </w:pPr>
    </w:p>
    <w:p w14:paraId="47D6B292" w14:textId="128D59B8" w:rsidR="00433DD5" w:rsidRPr="00433DD5" w:rsidRDefault="00433DD5" w:rsidP="00433DD5">
      <w:pPr>
        <w:tabs>
          <w:tab w:val="left" w:pos="2840"/>
        </w:tabs>
        <w:spacing w:line="360" w:lineRule="auto"/>
        <w:ind w:firstLine="709"/>
        <w:contextualSpacing/>
        <w:jc w:val="both"/>
        <w:rPr>
          <w:bCs/>
        </w:rPr>
      </w:pPr>
    </w:p>
    <w:p w14:paraId="53B790AE" w14:textId="44363CD3" w:rsidR="00433DD5" w:rsidRPr="00433DD5" w:rsidRDefault="00433DD5" w:rsidP="00433DD5">
      <w:pPr>
        <w:tabs>
          <w:tab w:val="left" w:pos="2840"/>
        </w:tabs>
        <w:spacing w:line="360" w:lineRule="auto"/>
        <w:ind w:firstLine="709"/>
        <w:contextualSpacing/>
        <w:jc w:val="both"/>
        <w:rPr>
          <w:bCs/>
        </w:rPr>
      </w:pPr>
    </w:p>
    <w:p w14:paraId="6FC84DC8" w14:textId="725CD768" w:rsidR="00433DD5" w:rsidRPr="00433DD5" w:rsidRDefault="00433DD5" w:rsidP="00433DD5">
      <w:pPr>
        <w:tabs>
          <w:tab w:val="left" w:pos="2840"/>
        </w:tabs>
        <w:spacing w:line="360" w:lineRule="auto"/>
        <w:ind w:firstLine="709"/>
        <w:contextualSpacing/>
        <w:jc w:val="both"/>
        <w:rPr>
          <w:bCs/>
        </w:rPr>
      </w:pPr>
    </w:p>
    <w:p w14:paraId="6EC0A465" w14:textId="6F6F9B05" w:rsidR="00433DD5" w:rsidRPr="00433DD5" w:rsidRDefault="00433DD5" w:rsidP="00433DD5">
      <w:pPr>
        <w:tabs>
          <w:tab w:val="left" w:pos="2840"/>
        </w:tabs>
        <w:spacing w:line="360" w:lineRule="auto"/>
        <w:ind w:firstLine="709"/>
        <w:contextualSpacing/>
        <w:jc w:val="both"/>
        <w:rPr>
          <w:b/>
          <w:sz w:val="32"/>
          <w:szCs w:val="32"/>
        </w:rPr>
      </w:pPr>
    </w:p>
    <w:p w14:paraId="279AF10D" w14:textId="7E1E384A" w:rsidR="00433DD5" w:rsidRPr="00433DD5" w:rsidRDefault="00433DD5" w:rsidP="00433DD5">
      <w:pPr>
        <w:tabs>
          <w:tab w:val="left" w:pos="2840"/>
        </w:tabs>
        <w:spacing w:line="360" w:lineRule="auto"/>
        <w:ind w:firstLine="709"/>
        <w:contextualSpacing/>
        <w:jc w:val="both"/>
        <w:rPr>
          <w:b/>
          <w:sz w:val="32"/>
          <w:szCs w:val="32"/>
        </w:rPr>
      </w:pPr>
    </w:p>
    <w:p w14:paraId="68627467" w14:textId="241887A2" w:rsidR="00433DD5" w:rsidRPr="00433DD5" w:rsidRDefault="00433DD5" w:rsidP="00433DD5">
      <w:pPr>
        <w:tabs>
          <w:tab w:val="left" w:pos="2840"/>
        </w:tabs>
        <w:spacing w:line="360" w:lineRule="auto"/>
        <w:ind w:firstLine="709"/>
        <w:contextualSpacing/>
        <w:jc w:val="both"/>
        <w:rPr>
          <w:b/>
          <w:sz w:val="32"/>
          <w:szCs w:val="32"/>
        </w:rPr>
      </w:pPr>
    </w:p>
    <w:p w14:paraId="5C182120" w14:textId="24BBA936" w:rsidR="00433DD5" w:rsidRPr="00433DD5" w:rsidRDefault="00433DD5" w:rsidP="00433DD5">
      <w:pPr>
        <w:tabs>
          <w:tab w:val="left" w:pos="2840"/>
        </w:tabs>
        <w:spacing w:line="360" w:lineRule="auto"/>
        <w:ind w:firstLine="709"/>
        <w:contextualSpacing/>
        <w:jc w:val="both"/>
        <w:rPr>
          <w:b/>
          <w:sz w:val="32"/>
          <w:szCs w:val="32"/>
        </w:rPr>
      </w:pPr>
    </w:p>
    <w:p w14:paraId="49AD922C" w14:textId="77777777" w:rsidR="00433DD5" w:rsidRPr="00433DD5" w:rsidRDefault="00433DD5" w:rsidP="005E0AC3">
      <w:pPr>
        <w:spacing w:line="360" w:lineRule="auto"/>
        <w:jc w:val="center"/>
        <w:rPr>
          <w:b/>
        </w:rPr>
      </w:pPr>
    </w:p>
    <w:p w14:paraId="5A7D9C8A" w14:textId="02A33179" w:rsidR="00DF000D" w:rsidRPr="00433DD5" w:rsidRDefault="007167D1" w:rsidP="005E0AC3">
      <w:pPr>
        <w:spacing w:line="360" w:lineRule="auto"/>
        <w:jc w:val="center"/>
        <w:rPr>
          <w:lang w:val="es-ES_tradnl"/>
        </w:rPr>
      </w:pPr>
      <w:r w:rsidRPr="00433DD5">
        <w:rPr>
          <w:b/>
        </w:rPr>
        <w:lastRenderedPageBreak/>
        <w:t>Tabla 1.</w:t>
      </w:r>
      <w:r w:rsidR="00693BEE" w:rsidRPr="00433DD5">
        <w:t xml:space="preserve"> DES </w:t>
      </w:r>
      <w:r w:rsidR="00EE552D" w:rsidRPr="00433DD5">
        <w:t xml:space="preserve">de la UV </w:t>
      </w:r>
      <w:r w:rsidR="0014393C" w:rsidRPr="00433DD5">
        <w:t xml:space="preserve">consideradas para el estudio en el marco del </w:t>
      </w:r>
      <w:r w:rsidR="001A0378" w:rsidRPr="00433DD5">
        <w:t>Profexce</w:t>
      </w:r>
    </w:p>
    <w:tbl>
      <w:tblPr>
        <w:tblW w:w="8076" w:type="dxa"/>
        <w:jc w:val="center"/>
        <w:tblCellMar>
          <w:left w:w="70" w:type="dxa"/>
          <w:right w:w="70" w:type="dxa"/>
        </w:tblCellMar>
        <w:tblLook w:val="04A0" w:firstRow="1" w:lastRow="0" w:firstColumn="1" w:lastColumn="0" w:noHBand="0" w:noVBand="1"/>
      </w:tblPr>
      <w:tblGrid>
        <w:gridCol w:w="3256"/>
        <w:gridCol w:w="4820"/>
      </w:tblGrid>
      <w:tr w:rsidR="00A31D6E" w:rsidRPr="00433DD5" w14:paraId="21E73313" w14:textId="21ADE484" w:rsidTr="004860A0">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534B" w14:textId="77777777" w:rsidR="00C541DE" w:rsidRPr="00433DD5" w:rsidRDefault="00C541DE" w:rsidP="001A0378">
            <w:pPr>
              <w:spacing w:line="360" w:lineRule="auto"/>
              <w:contextualSpacing/>
              <w:jc w:val="center"/>
              <w:rPr>
                <w:bCs/>
                <w:lang w:eastAsia="es-ES"/>
              </w:rPr>
            </w:pPr>
            <w:r w:rsidRPr="00433DD5">
              <w:rPr>
                <w:bCs/>
                <w:lang w:eastAsia="es-ES"/>
              </w:rPr>
              <w:t>Área Biológico Agropecuaria</w:t>
            </w:r>
          </w:p>
        </w:tc>
        <w:tc>
          <w:tcPr>
            <w:tcW w:w="4820" w:type="dxa"/>
            <w:tcBorders>
              <w:top w:val="single" w:sz="4" w:space="0" w:color="auto"/>
              <w:left w:val="single" w:sz="4" w:space="0" w:color="auto"/>
              <w:bottom w:val="single" w:sz="4" w:space="0" w:color="auto"/>
              <w:right w:val="single" w:sz="4" w:space="0" w:color="auto"/>
            </w:tcBorders>
          </w:tcPr>
          <w:p w14:paraId="2724665C" w14:textId="7279FE5B" w:rsidR="00C541DE" w:rsidRPr="00433DD5" w:rsidRDefault="00C541DE" w:rsidP="001A0378">
            <w:pPr>
              <w:spacing w:line="360" w:lineRule="auto"/>
              <w:contextualSpacing/>
              <w:jc w:val="center"/>
              <w:rPr>
                <w:bCs/>
                <w:lang w:eastAsia="es-ES"/>
              </w:rPr>
            </w:pPr>
            <w:r w:rsidRPr="00433DD5">
              <w:rPr>
                <w:bCs/>
                <w:lang w:eastAsia="es-ES"/>
              </w:rPr>
              <w:t xml:space="preserve">Entidades adscritas a la DES </w:t>
            </w:r>
          </w:p>
        </w:tc>
      </w:tr>
      <w:tr w:rsidR="00A31D6E" w:rsidRPr="00433DD5" w14:paraId="1B35BC39" w14:textId="3A77990F" w:rsidTr="004860A0">
        <w:trPr>
          <w:trHeight w:val="722"/>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D9F16AD" w14:textId="6F769ED9" w:rsidR="00C541DE" w:rsidRPr="00433DD5" w:rsidRDefault="00C541DE" w:rsidP="001A0378">
            <w:pPr>
              <w:spacing w:line="360" w:lineRule="auto"/>
              <w:contextualSpacing/>
              <w:jc w:val="both"/>
              <w:rPr>
                <w:bCs/>
                <w:lang w:eastAsia="es-ES"/>
              </w:rPr>
            </w:pPr>
            <w:r w:rsidRPr="00433DD5">
              <w:rPr>
                <w:bCs/>
                <w:lang w:eastAsia="es-ES"/>
              </w:rPr>
              <w:t>DES 386</w:t>
            </w:r>
            <w:r w:rsidR="005B2543" w:rsidRPr="00433DD5">
              <w:rPr>
                <w:bCs/>
                <w:lang w:eastAsia="es-ES"/>
              </w:rPr>
              <w:t>:</w:t>
            </w:r>
            <w:r w:rsidRPr="00433DD5">
              <w:rPr>
                <w:bCs/>
                <w:lang w:eastAsia="es-ES"/>
              </w:rPr>
              <w:t xml:space="preserve"> Área Académica Biológico Agropecuaria Veracruz</w:t>
            </w:r>
          </w:p>
        </w:tc>
        <w:tc>
          <w:tcPr>
            <w:tcW w:w="4820" w:type="dxa"/>
            <w:tcBorders>
              <w:top w:val="nil"/>
              <w:left w:val="single" w:sz="4" w:space="0" w:color="auto"/>
              <w:bottom w:val="single" w:sz="4" w:space="0" w:color="auto"/>
              <w:right w:val="single" w:sz="4" w:space="0" w:color="auto"/>
            </w:tcBorders>
          </w:tcPr>
          <w:p w14:paraId="5A8BA616" w14:textId="77777777" w:rsidR="00C541DE" w:rsidRPr="00433DD5" w:rsidRDefault="00C541DE" w:rsidP="001A0378">
            <w:pPr>
              <w:spacing w:line="360" w:lineRule="auto"/>
              <w:contextualSpacing/>
              <w:jc w:val="both"/>
              <w:rPr>
                <w:bCs/>
                <w:lang w:eastAsia="es-ES"/>
              </w:rPr>
            </w:pPr>
            <w:r w:rsidRPr="00433DD5">
              <w:rPr>
                <w:bCs/>
                <w:lang w:eastAsia="es-ES"/>
              </w:rPr>
              <w:t xml:space="preserve">Facultad de Medicina Veterinaria y Zootecnia </w:t>
            </w:r>
          </w:p>
          <w:p w14:paraId="1937B2C9" w14:textId="360C435C" w:rsidR="00C541DE" w:rsidRPr="00433DD5" w:rsidRDefault="00C541DE" w:rsidP="001A0378">
            <w:pPr>
              <w:spacing w:line="360" w:lineRule="auto"/>
              <w:contextualSpacing/>
              <w:jc w:val="both"/>
              <w:rPr>
                <w:bCs/>
                <w:lang w:eastAsia="es-ES"/>
              </w:rPr>
            </w:pPr>
            <w:r w:rsidRPr="00433DD5">
              <w:rPr>
                <w:bCs/>
                <w:lang w:eastAsia="es-ES"/>
              </w:rPr>
              <w:t xml:space="preserve">Instituto de Ciencias Marinas y Pesquerías </w:t>
            </w:r>
          </w:p>
        </w:tc>
      </w:tr>
      <w:tr w:rsidR="00A31D6E" w:rsidRPr="00433DD5" w14:paraId="677D2D6A" w14:textId="08D296CC" w:rsidTr="004860A0">
        <w:trPr>
          <w:trHeight w:val="2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829438" w14:textId="4B27036A" w:rsidR="00C541DE" w:rsidRPr="00433DD5" w:rsidRDefault="00C541DE" w:rsidP="001A0378">
            <w:pPr>
              <w:spacing w:line="360" w:lineRule="auto"/>
              <w:contextualSpacing/>
              <w:jc w:val="both"/>
              <w:rPr>
                <w:bCs/>
                <w:lang w:eastAsia="es-ES"/>
              </w:rPr>
            </w:pPr>
            <w:r w:rsidRPr="00433DD5">
              <w:rPr>
                <w:bCs/>
                <w:lang w:eastAsia="es-ES"/>
              </w:rPr>
              <w:t>DES 387</w:t>
            </w:r>
            <w:r w:rsidR="005B2543" w:rsidRPr="00433DD5">
              <w:rPr>
                <w:bCs/>
                <w:lang w:eastAsia="es-ES"/>
              </w:rPr>
              <w:t>:</w:t>
            </w:r>
            <w:r w:rsidRPr="00433DD5">
              <w:rPr>
                <w:bCs/>
                <w:lang w:eastAsia="es-ES"/>
              </w:rPr>
              <w:t xml:space="preserve"> Área Académica Biológico Agropecuaria Xalapa</w:t>
            </w:r>
          </w:p>
        </w:tc>
        <w:tc>
          <w:tcPr>
            <w:tcW w:w="4820" w:type="dxa"/>
            <w:tcBorders>
              <w:top w:val="nil"/>
              <w:left w:val="single" w:sz="4" w:space="0" w:color="auto"/>
              <w:bottom w:val="single" w:sz="4" w:space="0" w:color="auto"/>
              <w:right w:val="single" w:sz="4" w:space="0" w:color="auto"/>
            </w:tcBorders>
          </w:tcPr>
          <w:p w14:paraId="0DF317D3" w14:textId="77777777" w:rsidR="00C541DE" w:rsidRPr="00433DD5" w:rsidRDefault="00C541DE" w:rsidP="001A0378">
            <w:pPr>
              <w:spacing w:line="360" w:lineRule="auto"/>
              <w:contextualSpacing/>
              <w:jc w:val="both"/>
              <w:rPr>
                <w:bCs/>
                <w:lang w:eastAsia="es-ES"/>
              </w:rPr>
            </w:pPr>
            <w:r w:rsidRPr="00433DD5">
              <w:rPr>
                <w:bCs/>
                <w:lang w:eastAsia="es-ES"/>
              </w:rPr>
              <w:t xml:space="preserve">Facultad de Biología </w:t>
            </w:r>
          </w:p>
          <w:p w14:paraId="08E9782B" w14:textId="77777777" w:rsidR="00C541DE" w:rsidRPr="00433DD5" w:rsidRDefault="00C541DE" w:rsidP="001A0378">
            <w:pPr>
              <w:spacing w:line="360" w:lineRule="auto"/>
              <w:contextualSpacing/>
              <w:jc w:val="both"/>
              <w:rPr>
                <w:bCs/>
                <w:lang w:eastAsia="es-ES"/>
              </w:rPr>
            </w:pPr>
            <w:r w:rsidRPr="00433DD5">
              <w:rPr>
                <w:bCs/>
                <w:lang w:eastAsia="es-ES"/>
              </w:rPr>
              <w:t>Facultad de Ciencias Agrícolas</w:t>
            </w:r>
          </w:p>
          <w:p w14:paraId="66378EC6" w14:textId="257926F1" w:rsidR="00C541DE" w:rsidRPr="00433DD5" w:rsidRDefault="00C541DE" w:rsidP="001A0378">
            <w:pPr>
              <w:spacing w:line="360" w:lineRule="auto"/>
              <w:contextualSpacing/>
              <w:jc w:val="both"/>
              <w:rPr>
                <w:bCs/>
                <w:lang w:eastAsia="es-ES"/>
              </w:rPr>
            </w:pPr>
            <w:r w:rsidRPr="00433DD5">
              <w:rPr>
                <w:bCs/>
                <w:lang w:eastAsia="es-ES"/>
              </w:rPr>
              <w:t>Centro de Ecoalfabeti</w:t>
            </w:r>
            <w:r w:rsidR="005B7D5D" w:rsidRPr="00433DD5">
              <w:rPr>
                <w:bCs/>
                <w:lang w:eastAsia="es-ES"/>
              </w:rPr>
              <w:t>z</w:t>
            </w:r>
            <w:r w:rsidRPr="00433DD5">
              <w:rPr>
                <w:bCs/>
                <w:lang w:eastAsia="es-ES"/>
              </w:rPr>
              <w:t>ación y Diálogo de Saberes</w:t>
            </w:r>
          </w:p>
          <w:p w14:paraId="4268D8F0" w14:textId="77777777" w:rsidR="00C541DE" w:rsidRPr="00433DD5" w:rsidRDefault="00C541DE" w:rsidP="001A0378">
            <w:pPr>
              <w:spacing w:line="360" w:lineRule="auto"/>
              <w:contextualSpacing/>
              <w:jc w:val="both"/>
              <w:rPr>
                <w:bCs/>
                <w:lang w:eastAsia="es-ES"/>
              </w:rPr>
            </w:pPr>
            <w:r w:rsidRPr="00433DD5">
              <w:rPr>
                <w:bCs/>
                <w:lang w:eastAsia="es-ES"/>
              </w:rPr>
              <w:t>Centro de Investigaciones Biomédicas</w:t>
            </w:r>
          </w:p>
          <w:p w14:paraId="14CD98CB" w14:textId="3D599D19" w:rsidR="00C541DE" w:rsidRPr="00433DD5" w:rsidRDefault="00C541DE" w:rsidP="001A0378">
            <w:pPr>
              <w:spacing w:line="360" w:lineRule="auto"/>
              <w:contextualSpacing/>
              <w:jc w:val="both"/>
              <w:rPr>
                <w:bCs/>
                <w:lang w:eastAsia="es-ES"/>
              </w:rPr>
            </w:pPr>
            <w:r w:rsidRPr="00433DD5">
              <w:rPr>
                <w:bCs/>
                <w:lang w:eastAsia="es-ES"/>
              </w:rPr>
              <w:t xml:space="preserve">Centro de Investigaciones Tropicales </w:t>
            </w:r>
          </w:p>
          <w:p w14:paraId="31EC915D" w14:textId="16D6ABC7" w:rsidR="00C541DE" w:rsidRPr="00433DD5" w:rsidRDefault="00C541DE" w:rsidP="001A0378">
            <w:pPr>
              <w:spacing w:line="360" w:lineRule="auto"/>
              <w:contextualSpacing/>
              <w:jc w:val="both"/>
              <w:rPr>
                <w:bCs/>
                <w:lang w:eastAsia="es-ES"/>
              </w:rPr>
            </w:pPr>
            <w:r w:rsidRPr="00433DD5">
              <w:rPr>
                <w:bCs/>
                <w:lang w:eastAsia="es-ES"/>
              </w:rPr>
              <w:t xml:space="preserve">Instituto de Neuroetología </w:t>
            </w:r>
          </w:p>
          <w:p w14:paraId="4488AF2F" w14:textId="21A2790B" w:rsidR="00C541DE" w:rsidRPr="00433DD5" w:rsidRDefault="00C541DE" w:rsidP="001A0378">
            <w:pPr>
              <w:spacing w:line="360" w:lineRule="auto"/>
              <w:contextualSpacing/>
              <w:jc w:val="both"/>
              <w:rPr>
                <w:bCs/>
                <w:lang w:eastAsia="es-ES"/>
              </w:rPr>
            </w:pPr>
            <w:r w:rsidRPr="00433DD5">
              <w:rPr>
                <w:bCs/>
                <w:lang w:eastAsia="es-ES"/>
              </w:rPr>
              <w:t>Instituto de Biotecnología y Ecología Aplicada</w:t>
            </w:r>
          </w:p>
          <w:p w14:paraId="55A5613E" w14:textId="11D6B6E3" w:rsidR="00572918" w:rsidRPr="00433DD5" w:rsidRDefault="00572918" w:rsidP="001A0378">
            <w:pPr>
              <w:spacing w:line="360" w:lineRule="auto"/>
              <w:contextualSpacing/>
              <w:jc w:val="both"/>
              <w:rPr>
                <w:bCs/>
                <w:lang w:eastAsia="es-ES"/>
              </w:rPr>
            </w:pPr>
            <w:r w:rsidRPr="00433DD5">
              <w:rPr>
                <w:bCs/>
                <w:lang w:eastAsia="es-ES"/>
              </w:rPr>
              <w:t>Instituto de Investigaciones Biológicas</w:t>
            </w:r>
          </w:p>
          <w:p w14:paraId="11EFD86B" w14:textId="50A3084A" w:rsidR="00C541DE" w:rsidRPr="00433DD5" w:rsidRDefault="00EE552D" w:rsidP="001A0378">
            <w:pPr>
              <w:spacing w:line="360" w:lineRule="auto"/>
              <w:contextualSpacing/>
              <w:jc w:val="both"/>
              <w:rPr>
                <w:bCs/>
                <w:lang w:eastAsia="es-ES"/>
              </w:rPr>
            </w:pPr>
            <w:r w:rsidRPr="00433DD5">
              <w:rPr>
                <w:bCs/>
                <w:lang w:eastAsia="es-ES"/>
              </w:rPr>
              <w:t>Instituto de Investigaciones Forestales</w:t>
            </w:r>
          </w:p>
        </w:tc>
      </w:tr>
      <w:tr w:rsidR="00A31D6E" w:rsidRPr="00433DD5" w14:paraId="4747D1B8" w14:textId="394E3F36" w:rsidTr="004860A0">
        <w:trPr>
          <w:trHeight w:val="2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232B7B" w14:textId="63173ED7" w:rsidR="00C541DE" w:rsidRPr="00433DD5" w:rsidRDefault="00C541DE" w:rsidP="001A0378">
            <w:pPr>
              <w:spacing w:line="360" w:lineRule="auto"/>
              <w:contextualSpacing/>
              <w:jc w:val="both"/>
              <w:rPr>
                <w:bCs/>
                <w:lang w:eastAsia="es-ES"/>
              </w:rPr>
            </w:pPr>
            <w:r w:rsidRPr="00433DD5">
              <w:rPr>
                <w:bCs/>
                <w:lang w:eastAsia="es-ES"/>
              </w:rPr>
              <w:t>DES 566</w:t>
            </w:r>
            <w:r w:rsidR="005B2543" w:rsidRPr="00433DD5">
              <w:rPr>
                <w:bCs/>
                <w:lang w:eastAsia="es-ES"/>
              </w:rPr>
              <w:t>:</w:t>
            </w:r>
            <w:r w:rsidRPr="00433DD5">
              <w:rPr>
                <w:bCs/>
                <w:lang w:eastAsia="es-ES"/>
              </w:rPr>
              <w:t xml:space="preserve"> Área Académica Biológico Agropecuaria </w:t>
            </w:r>
            <w:r w:rsidR="00545F31" w:rsidRPr="00433DD5">
              <w:rPr>
                <w:bCs/>
                <w:lang w:eastAsia="es-ES"/>
              </w:rPr>
              <w:t>Coatzacoalcos-</w:t>
            </w:r>
            <w:r w:rsidRPr="00433DD5">
              <w:rPr>
                <w:bCs/>
                <w:lang w:eastAsia="es-ES"/>
              </w:rPr>
              <w:t>Acayucan</w:t>
            </w:r>
          </w:p>
        </w:tc>
        <w:tc>
          <w:tcPr>
            <w:tcW w:w="4820" w:type="dxa"/>
            <w:tcBorders>
              <w:top w:val="nil"/>
              <w:left w:val="single" w:sz="4" w:space="0" w:color="auto"/>
              <w:bottom w:val="single" w:sz="4" w:space="0" w:color="auto"/>
              <w:right w:val="single" w:sz="4" w:space="0" w:color="auto"/>
            </w:tcBorders>
          </w:tcPr>
          <w:p w14:paraId="5F6ABBD8" w14:textId="77777777" w:rsidR="00C541DE" w:rsidRPr="00433DD5" w:rsidRDefault="00572918" w:rsidP="001A0378">
            <w:pPr>
              <w:spacing w:line="360" w:lineRule="auto"/>
              <w:contextualSpacing/>
              <w:jc w:val="both"/>
              <w:rPr>
                <w:bCs/>
                <w:lang w:eastAsia="es-ES"/>
              </w:rPr>
            </w:pPr>
            <w:r w:rsidRPr="00433DD5">
              <w:rPr>
                <w:bCs/>
                <w:lang w:eastAsia="es-ES"/>
              </w:rPr>
              <w:t>Facultad de Ingeniería en Sistemas de Producción Agropecuaria</w:t>
            </w:r>
          </w:p>
          <w:p w14:paraId="09DBD941" w14:textId="1981EF81" w:rsidR="00EE552D" w:rsidRPr="00433DD5" w:rsidRDefault="00572918" w:rsidP="001A0378">
            <w:pPr>
              <w:spacing w:line="360" w:lineRule="auto"/>
              <w:contextualSpacing/>
              <w:jc w:val="both"/>
              <w:rPr>
                <w:bCs/>
                <w:lang w:eastAsia="es-ES"/>
              </w:rPr>
            </w:pPr>
            <w:r w:rsidRPr="00433DD5">
              <w:rPr>
                <w:bCs/>
                <w:lang w:eastAsia="es-ES"/>
              </w:rPr>
              <w:t>Centro de Estudios Interdisciplinarios en Agrobiodiversidad</w:t>
            </w:r>
          </w:p>
        </w:tc>
      </w:tr>
    </w:tbl>
    <w:p w14:paraId="04A66B54" w14:textId="54FFEAFE" w:rsidR="003F3038" w:rsidRPr="00433DD5" w:rsidRDefault="0057741B" w:rsidP="001A0378">
      <w:pPr>
        <w:autoSpaceDE w:val="0"/>
        <w:autoSpaceDN w:val="0"/>
        <w:adjustRightInd w:val="0"/>
        <w:spacing w:line="360" w:lineRule="auto"/>
        <w:jc w:val="both"/>
        <w:rPr>
          <w:lang w:val="es-ES_tradnl"/>
        </w:rPr>
      </w:pPr>
      <w:r w:rsidRPr="00433DD5">
        <w:rPr>
          <w:lang w:val="es-ES_tradnl"/>
        </w:rPr>
        <w:t>Fuente:</w:t>
      </w:r>
      <w:r w:rsidRPr="00433DD5">
        <w:rPr>
          <w:b/>
          <w:bCs/>
          <w:lang w:val="es-ES_tradnl"/>
        </w:rPr>
        <w:t xml:space="preserve"> </w:t>
      </w:r>
      <w:r w:rsidR="00200299" w:rsidRPr="00433DD5">
        <w:rPr>
          <w:lang w:val="es-ES_tradnl"/>
        </w:rPr>
        <w:t xml:space="preserve">Elaboración </w:t>
      </w:r>
      <w:r w:rsidRPr="00433DD5">
        <w:rPr>
          <w:lang w:val="es-ES_tradnl"/>
        </w:rPr>
        <w:t xml:space="preserve">propia a partir </w:t>
      </w:r>
      <w:r w:rsidR="00596933" w:rsidRPr="00433DD5">
        <w:rPr>
          <w:lang w:val="es-ES_tradnl"/>
        </w:rPr>
        <w:t>de información de los programas educativos de la UV</w:t>
      </w:r>
    </w:p>
    <w:p w14:paraId="65D33A80" w14:textId="22CD8A10" w:rsidR="00596933" w:rsidRPr="00433DD5" w:rsidRDefault="004118BE" w:rsidP="00433DD5">
      <w:pPr>
        <w:autoSpaceDE w:val="0"/>
        <w:autoSpaceDN w:val="0"/>
        <w:adjustRightInd w:val="0"/>
        <w:spacing w:line="360" w:lineRule="auto"/>
        <w:jc w:val="both"/>
        <w:rPr>
          <w:lang w:val="es-ES_tradnl"/>
        </w:rPr>
      </w:pPr>
      <w:r w:rsidRPr="00433DD5">
        <w:rPr>
          <w:lang w:val="es-ES_tradnl"/>
        </w:rPr>
        <w:t>Como puede observarse</w:t>
      </w:r>
      <w:r w:rsidR="00714D7A" w:rsidRPr="00433DD5">
        <w:rPr>
          <w:lang w:val="es-ES_tradnl"/>
        </w:rPr>
        <w:t>, adem</w:t>
      </w:r>
      <w:r w:rsidRPr="00433DD5">
        <w:rPr>
          <w:lang w:val="es-ES_tradnl"/>
        </w:rPr>
        <w:t>á</w:t>
      </w:r>
      <w:r w:rsidR="00714D7A" w:rsidRPr="00433DD5">
        <w:rPr>
          <w:lang w:val="es-ES_tradnl"/>
        </w:rPr>
        <w:t xml:space="preserve">s </w:t>
      </w:r>
      <w:r w:rsidRPr="00433DD5">
        <w:rPr>
          <w:lang w:val="es-ES_tradnl"/>
        </w:rPr>
        <w:t xml:space="preserve">de la DES perteneciente a la región Xalapa, </w:t>
      </w:r>
      <w:r w:rsidR="002B6985" w:rsidRPr="00433DD5">
        <w:rPr>
          <w:lang w:val="es-ES_tradnl"/>
        </w:rPr>
        <w:t xml:space="preserve">se añadieron </w:t>
      </w:r>
      <w:r w:rsidRPr="00433DD5">
        <w:rPr>
          <w:lang w:val="es-ES_tradnl"/>
        </w:rPr>
        <w:t>dos más</w:t>
      </w:r>
      <w:r w:rsidR="00545F31" w:rsidRPr="00433DD5">
        <w:rPr>
          <w:lang w:val="es-ES_tradnl"/>
        </w:rPr>
        <w:t xml:space="preserve">, </w:t>
      </w:r>
      <w:r w:rsidRPr="00433DD5">
        <w:rPr>
          <w:lang w:val="es-ES_tradnl"/>
        </w:rPr>
        <w:t>la región</w:t>
      </w:r>
      <w:r w:rsidR="00545F31" w:rsidRPr="00433DD5">
        <w:rPr>
          <w:lang w:val="es-ES_tradnl"/>
        </w:rPr>
        <w:t xml:space="preserve"> de</w:t>
      </w:r>
      <w:r w:rsidRPr="00433DD5">
        <w:rPr>
          <w:lang w:val="es-ES_tradnl"/>
        </w:rPr>
        <w:t xml:space="preserve"> Veracruz y </w:t>
      </w:r>
      <w:r w:rsidR="00545F31" w:rsidRPr="00433DD5">
        <w:rPr>
          <w:lang w:val="es-ES_tradnl"/>
        </w:rPr>
        <w:t xml:space="preserve">la </w:t>
      </w:r>
      <w:r w:rsidRPr="00433DD5">
        <w:rPr>
          <w:lang w:val="es-ES_tradnl"/>
        </w:rPr>
        <w:t xml:space="preserve">de </w:t>
      </w:r>
      <w:r w:rsidR="00545F31" w:rsidRPr="00433DD5">
        <w:rPr>
          <w:lang w:val="es-ES_tradnl"/>
        </w:rPr>
        <w:t>Coatzacoalcos-</w:t>
      </w:r>
      <w:r w:rsidRPr="00433DD5">
        <w:rPr>
          <w:lang w:val="es-ES_tradnl"/>
        </w:rPr>
        <w:t>Acayucan</w:t>
      </w:r>
      <w:r w:rsidR="002B6985" w:rsidRPr="00433DD5">
        <w:rPr>
          <w:lang w:val="es-ES_tradnl"/>
        </w:rPr>
        <w:t>,</w:t>
      </w:r>
      <w:r w:rsidRPr="00433DD5">
        <w:rPr>
          <w:lang w:val="es-ES_tradnl"/>
        </w:rPr>
        <w:t xml:space="preserve"> para representar</w:t>
      </w:r>
      <w:r w:rsidR="00025613" w:rsidRPr="00433DD5">
        <w:rPr>
          <w:lang w:val="es-ES_tradnl"/>
        </w:rPr>
        <w:t xml:space="preserve"> </w:t>
      </w:r>
      <w:r w:rsidRPr="00433DD5">
        <w:rPr>
          <w:lang w:val="es-ES_tradnl"/>
        </w:rPr>
        <w:t xml:space="preserve">la dispersión geográfica de la </w:t>
      </w:r>
      <w:r w:rsidR="002B6985" w:rsidRPr="00433DD5">
        <w:rPr>
          <w:lang w:val="es-ES_tradnl"/>
        </w:rPr>
        <w:t>universidad</w:t>
      </w:r>
      <w:r w:rsidR="00025613" w:rsidRPr="00433DD5">
        <w:rPr>
          <w:lang w:val="es-ES_tradnl"/>
        </w:rPr>
        <w:t xml:space="preserve">. </w:t>
      </w:r>
      <w:r w:rsidR="00720D18" w:rsidRPr="00433DD5">
        <w:rPr>
          <w:lang w:val="es-ES_tradnl"/>
        </w:rPr>
        <w:t>La siguiente figura ejemplifica la conformación de las regiones que integran a la UV</w:t>
      </w:r>
      <w:r w:rsidR="003E0041" w:rsidRPr="00433DD5">
        <w:rPr>
          <w:lang w:val="es-ES_tradnl"/>
        </w:rPr>
        <w:t xml:space="preserve"> y las que formaron parte del estudio.</w:t>
      </w:r>
    </w:p>
    <w:p w14:paraId="4654AD4F" w14:textId="3AB79C11" w:rsidR="00596933" w:rsidRDefault="00596933" w:rsidP="001A0378">
      <w:pPr>
        <w:spacing w:line="360" w:lineRule="auto"/>
        <w:jc w:val="both"/>
        <w:rPr>
          <w:b/>
          <w:sz w:val="22"/>
          <w:szCs w:val="22"/>
          <w:lang w:val="es-ES_tradnl"/>
        </w:rPr>
      </w:pPr>
    </w:p>
    <w:p w14:paraId="30EB01AF" w14:textId="42AC5151" w:rsidR="00433DD5" w:rsidRDefault="00433DD5" w:rsidP="001A0378">
      <w:pPr>
        <w:spacing w:line="360" w:lineRule="auto"/>
        <w:jc w:val="both"/>
        <w:rPr>
          <w:b/>
          <w:sz w:val="22"/>
          <w:szCs w:val="22"/>
          <w:lang w:val="es-ES_tradnl"/>
        </w:rPr>
      </w:pPr>
    </w:p>
    <w:p w14:paraId="67B879D9" w14:textId="2B27697A" w:rsidR="00433DD5" w:rsidRDefault="00433DD5" w:rsidP="001A0378">
      <w:pPr>
        <w:spacing w:line="360" w:lineRule="auto"/>
        <w:jc w:val="both"/>
        <w:rPr>
          <w:b/>
          <w:sz w:val="22"/>
          <w:szCs w:val="22"/>
          <w:lang w:val="es-ES_tradnl"/>
        </w:rPr>
      </w:pPr>
    </w:p>
    <w:p w14:paraId="22063986" w14:textId="63D9991A" w:rsidR="00433DD5" w:rsidRDefault="00433DD5" w:rsidP="001A0378">
      <w:pPr>
        <w:spacing w:line="360" w:lineRule="auto"/>
        <w:jc w:val="both"/>
        <w:rPr>
          <w:b/>
          <w:sz w:val="22"/>
          <w:szCs w:val="22"/>
          <w:lang w:val="es-ES_tradnl"/>
        </w:rPr>
      </w:pPr>
    </w:p>
    <w:p w14:paraId="2DD368F7" w14:textId="226EA280" w:rsidR="00433DD5" w:rsidRDefault="00433DD5" w:rsidP="001A0378">
      <w:pPr>
        <w:spacing w:line="360" w:lineRule="auto"/>
        <w:jc w:val="both"/>
        <w:rPr>
          <w:b/>
          <w:sz w:val="22"/>
          <w:szCs w:val="22"/>
          <w:lang w:val="es-ES_tradnl"/>
        </w:rPr>
      </w:pPr>
    </w:p>
    <w:p w14:paraId="095CC904" w14:textId="479860FD" w:rsidR="00433DD5" w:rsidRDefault="00433DD5" w:rsidP="001A0378">
      <w:pPr>
        <w:spacing w:line="360" w:lineRule="auto"/>
        <w:jc w:val="both"/>
        <w:rPr>
          <w:b/>
          <w:sz w:val="22"/>
          <w:szCs w:val="22"/>
          <w:lang w:val="es-ES_tradnl"/>
        </w:rPr>
      </w:pPr>
    </w:p>
    <w:p w14:paraId="3BCDAF24" w14:textId="5CC4BAC3" w:rsidR="00433DD5" w:rsidRDefault="00433DD5" w:rsidP="001A0378">
      <w:pPr>
        <w:spacing w:line="360" w:lineRule="auto"/>
        <w:jc w:val="both"/>
        <w:rPr>
          <w:b/>
          <w:sz w:val="22"/>
          <w:szCs w:val="22"/>
          <w:lang w:val="es-ES_tradnl"/>
        </w:rPr>
      </w:pPr>
    </w:p>
    <w:p w14:paraId="023DBE02" w14:textId="15AF0D2C" w:rsidR="00433DD5" w:rsidRDefault="00433DD5" w:rsidP="001A0378">
      <w:pPr>
        <w:spacing w:line="360" w:lineRule="auto"/>
        <w:jc w:val="both"/>
        <w:rPr>
          <w:b/>
          <w:sz w:val="22"/>
          <w:szCs w:val="22"/>
          <w:lang w:val="es-ES_tradnl"/>
        </w:rPr>
      </w:pPr>
    </w:p>
    <w:p w14:paraId="77991E89" w14:textId="77777777" w:rsidR="00433DD5" w:rsidRPr="00433DD5" w:rsidRDefault="00433DD5" w:rsidP="001A0378">
      <w:pPr>
        <w:spacing w:line="360" w:lineRule="auto"/>
        <w:jc w:val="both"/>
        <w:rPr>
          <w:b/>
          <w:sz w:val="22"/>
          <w:szCs w:val="22"/>
          <w:lang w:val="es-ES_tradnl"/>
        </w:rPr>
      </w:pPr>
    </w:p>
    <w:p w14:paraId="5CD794C5" w14:textId="4EA01012" w:rsidR="002E6E46" w:rsidRPr="00433DD5" w:rsidRDefault="00545870" w:rsidP="001A0378">
      <w:pPr>
        <w:spacing w:line="360" w:lineRule="auto"/>
        <w:jc w:val="center"/>
      </w:pPr>
      <w:r w:rsidRPr="00433DD5">
        <w:rPr>
          <w:b/>
        </w:rPr>
        <w:lastRenderedPageBreak/>
        <w:t xml:space="preserve">Figura </w:t>
      </w:r>
      <w:r w:rsidR="009D51F4" w:rsidRPr="00433DD5">
        <w:rPr>
          <w:b/>
        </w:rPr>
        <w:t>2</w:t>
      </w:r>
      <w:r w:rsidRPr="00433DD5">
        <w:rPr>
          <w:b/>
        </w:rPr>
        <w:t>.</w:t>
      </w:r>
      <w:r w:rsidRPr="00433DD5">
        <w:t xml:space="preserve"> Regiones </w:t>
      </w:r>
      <w:r w:rsidR="004118BE" w:rsidRPr="00433DD5">
        <w:t>del Área Biológico Agropecuaria analizadas</w:t>
      </w:r>
    </w:p>
    <w:p w14:paraId="415AEDD4" w14:textId="365A9B85" w:rsidR="002E6E46" w:rsidRPr="00433DD5" w:rsidRDefault="008F5BE2" w:rsidP="001A0378">
      <w:pPr>
        <w:spacing w:line="360" w:lineRule="auto"/>
        <w:jc w:val="center"/>
        <w:rPr>
          <w:lang w:val="es-ES_tradnl"/>
        </w:rPr>
      </w:pPr>
      <w:r w:rsidRPr="00433DD5">
        <w:rPr>
          <w:noProof/>
          <w:lang w:val="es-ES_tradnl"/>
        </w:rPr>
        <w:drawing>
          <wp:inline distT="0" distB="0" distL="0" distR="0" wp14:anchorId="4D0D1FC6" wp14:editId="13A3D4AC">
            <wp:extent cx="3956050" cy="3400108"/>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4642" cy="3433277"/>
                    </a:xfrm>
                    <a:prstGeom prst="rect">
                      <a:avLst/>
                    </a:prstGeom>
                  </pic:spPr>
                </pic:pic>
              </a:graphicData>
            </a:graphic>
          </wp:inline>
        </w:drawing>
      </w:r>
    </w:p>
    <w:p w14:paraId="5B66D2F6" w14:textId="4978D76F" w:rsidR="00374893" w:rsidRPr="00433DD5" w:rsidRDefault="0086175A" w:rsidP="001A0378">
      <w:pPr>
        <w:autoSpaceDE w:val="0"/>
        <w:autoSpaceDN w:val="0"/>
        <w:adjustRightInd w:val="0"/>
        <w:spacing w:line="360" w:lineRule="auto"/>
        <w:jc w:val="center"/>
        <w:rPr>
          <w:lang w:val="es-ES_tradnl"/>
        </w:rPr>
      </w:pPr>
      <w:r w:rsidRPr="00433DD5">
        <w:rPr>
          <w:lang w:val="es-ES_tradnl"/>
        </w:rPr>
        <w:t>Fuente:</w:t>
      </w:r>
      <w:r w:rsidR="003F3038" w:rsidRPr="00433DD5">
        <w:rPr>
          <w:lang w:val="es-ES_tradnl"/>
        </w:rPr>
        <w:t xml:space="preserve"> </w:t>
      </w:r>
      <w:r w:rsidR="00200299" w:rsidRPr="00433DD5">
        <w:rPr>
          <w:lang w:val="es-ES_tradnl"/>
        </w:rPr>
        <w:t xml:space="preserve">Elaboración </w:t>
      </w:r>
      <w:r w:rsidR="003F3038" w:rsidRPr="00433DD5">
        <w:rPr>
          <w:lang w:val="es-ES_tradnl"/>
        </w:rPr>
        <w:t>propia</w:t>
      </w:r>
    </w:p>
    <w:p w14:paraId="4E45F55A" w14:textId="5C5D4A7F" w:rsidR="004303C1" w:rsidRPr="00433DD5" w:rsidRDefault="00200299" w:rsidP="001A0378">
      <w:pPr>
        <w:autoSpaceDE w:val="0"/>
        <w:autoSpaceDN w:val="0"/>
        <w:adjustRightInd w:val="0"/>
        <w:spacing w:line="360" w:lineRule="auto"/>
        <w:ind w:firstLine="708"/>
        <w:jc w:val="both"/>
        <w:rPr>
          <w:lang w:val="es-ES_tradnl"/>
        </w:rPr>
      </w:pPr>
      <w:r w:rsidRPr="00433DD5">
        <w:rPr>
          <w:lang w:val="es-ES_tradnl"/>
        </w:rPr>
        <w:t>En suma</w:t>
      </w:r>
      <w:r w:rsidR="001F6AF2" w:rsidRPr="00433DD5">
        <w:rPr>
          <w:lang w:val="es-ES_tradnl"/>
        </w:rPr>
        <w:t>,</w:t>
      </w:r>
      <w:r w:rsidR="00AE14C3" w:rsidRPr="00433DD5">
        <w:rPr>
          <w:lang w:val="es-ES_tradnl"/>
        </w:rPr>
        <w:t xml:space="preserve"> se realizó una investigación </w:t>
      </w:r>
      <w:r w:rsidR="002E2124" w:rsidRPr="00433DD5">
        <w:rPr>
          <w:lang w:val="es-ES_tradnl"/>
        </w:rPr>
        <w:t xml:space="preserve">que implicó </w:t>
      </w:r>
      <w:r w:rsidR="00455A59" w:rsidRPr="00433DD5">
        <w:rPr>
          <w:lang w:val="es-ES_tradnl"/>
        </w:rPr>
        <w:t xml:space="preserve">la revisión </w:t>
      </w:r>
      <w:r w:rsidR="00AE14C3" w:rsidRPr="00433DD5">
        <w:rPr>
          <w:lang w:val="es-ES_tradnl"/>
        </w:rPr>
        <w:t xml:space="preserve">bibliográfica </w:t>
      </w:r>
      <w:r w:rsidR="00EA3A4E" w:rsidRPr="00433DD5">
        <w:rPr>
          <w:lang w:val="es-ES_tradnl"/>
        </w:rPr>
        <w:t xml:space="preserve">y </w:t>
      </w:r>
      <w:r w:rsidR="00666689" w:rsidRPr="00433DD5">
        <w:rPr>
          <w:lang w:val="es-ES_tradnl"/>
        </w:rPr>
        <w:t xml:space="preserve">la </w:t>
      </w:r>
      <w:r w:rsidR="004B67BC" w:rsidRPr="00433DD5">
        <w:rPr>
          <w:lang w:val="es-ES_tradnl"/>
        </w:rPr>
        <w:t>exploración</w:t>
      </w:r>
      <w:r w:rsidR="00666689" w:rsidRPr="00433DD5">
        <w:rPr>
          <w:lang w:val="es-ES_tradnl"/>
        </w:rPr>
        <w:t xml:space="preserve"> de </w:t>
      </w:r>
      <w:r w:rsidR="00AE14C3" w:rsidRPr="00433DD5">
        <w:rPr>
          <w:lang w:val="es-ES_tradnl"/>
        </w:rPr>
        <w:t xml:space="preserve">datos cuantitativos correspondientes a las evaluaciones </w:t>
      </w:r>
      <w:r w:rsidR="004B67BC" w:rsidRPr="00433DD5">
        <w:rPr>
          <w:lang w:val="es-ES_tradnl"/>
        </w:rPr>
        <w:t>y al comportamiento d</w:t>
      </w:r>
      <w:r w:rsidR="004C1908" w:rsidRPr="00433DD5">
        <w:rPr>
          <w:lang w:val="es-ES_tradnl"/>
        </w:rPr>
        <w:t xml:space="preserve">e </w:t>
      </w:r>
      <w:r w:rsidR="004B67BC" w:rsidRPr="00433DD5">
        <w:rPr>
          <w:lang w:val="es-ES_tradnl"/>
        </w:rPr>
        <w:t xml:space="preserve">los principales </w:t>
      </w:r>
      <w:r w:rsidR="004C1908" w:rsidRPr="00433DD5">
        <w:rPr>
          <w:lang w:val="es-ES_tradnl"/>
        </w:rPr>
        <w:t>indicadores</w:t>
      </w:r>
      <w:r w:rsidR="00666689" w:rsidRPr="00433DD5">
        <w:rPr>
          <w:lang w:val="es-ES_tradnl"/>
        </w:rPr>
        <w:t xml:space="preserve"> de los proyectos</w:t>
      </w:r>
      <w:r w:rsidRPr="00433DD5">
        <w:rPr>
          <w:lang w:val="es-ES_tradnl"/>
        </w:rPr>
        <w:t xml:space="preserve">. Además, </w:t>
      </w:r>
      <w:r w:rsidR="004B67BC" w:rsidRPr="00433DD5">
        <w:rPr>
          <w:lang w:val="es-ES_tradnl"/>
        </w:rPr>
        <w:t>desde la perspe</w:t>
      </w:r>
      <w:r w:rsidR="00EA3A4E" w:rsidRPr="00433DD5">
        <w:rPr>
          <w:lang w:val="es-ES_tradnl"/>
        </w:rPr>
        <w:t>c</w:t>
      </w:r>
      <w:r w:rsidR="004B67BC" w:rsidRPr="00433DD5">
        <w:rPr>
          <w:lang w:val="es-ES_tradnl"/>
        </w:rPr>
        <w:t>tiva</w:t>
      </w:r>
      <w:r w:rsidR="004C1908" w:rsidRPr="00433DD5">
        <w:rPr>
          <w:lang w:val="es-ES_tradnl"/>
        </w:rPr>
        <w:t xml:space="preserve"> cualitativa</w:t>
      </w:r>
      <w:r w:rsidR="004B48F6" w:rsidRPr="00433DD5">
        <w:rPr>
          <w:lang w:val="es-ES_tradnl"/>
        </w:rPr>
        <w:t>,</w:t>
      </w:r>
      <w:r w:rsidR="004C1908" w:rsidRPr="00433DD5">
        <w:rPr>
          <w:lang w:val="es-ES_tradnl"/>
        </w:rPr>
        <w:t xml:space="preserve"> </w:t>
      </w:r>
      <w:r w:rsidR="004B48F6" w:rsidRPr="00433DD5">
        <w:rPr>
          <w:lang w:val="es-ES_tradnl"/>
        </w:rPr>
        <w:t>se empleó</w:t>
      </w:r>
      <w:r w:rsidR="002E2124" w:rsidRPr="00433DD5">
        <w:rPr>
          <w:lang w:val="es-ES_tradnl"/>
        </w:rPr>
        <w:t xml:space="preserve"> la metodología de análisis de contenido para el estudio </w:t>
      </w:r>
      <w:r w:rsidR="004C1908" w:rsidRPr="00433DD5">
        <w:rPr>
          <w:lang w:val="es-ES_tradnl"/>
        </w:rPr>
        <w:t>de la información y la interpretación de los resultados</w:t>
      </w:r>
      <w:r w:rsidR="00A166D5" w:rsidRPr="00433DD5">
        <w:rPr>
          <w:lang w:val="es-ES_tradnl"/>
        </w:rPr>
        <w:t>.</w:t>
      </w:r>
      <w:r w:rsidR="004303C1" w:rsidRPr="00433DD5">
        <w:rPr>
          <w:lang w:val="es-ES_tradnl"/>
        </w:rPr>
        <w:t xml:space="preserve"> Se utilizó como instrumento de recolección de información una guía propia para un estudio de contenido que comprendió la formulación de dimensiones de análisis, categorías, indicadores, asignaciones presupuestales y reglas de codificación.</w:t>
      </w:r>
      <w:r w:rsidR="00C77C75" w:rsidRPr="00433DD5">
        <w:rPr>
          <w:lang w:val="es-ES_tradnl"/>
        </w:rPr>
        <w:t xml:space="preserve"> </w:t>
      </w:r>
    </w:p>
    <w:p w14:paraId="3EDE49B8" w14:textId="01C3C414" w:rsidR="00470263" w:rsidRPr="00433DD5" w:rsidRDefault="00470263" w:rsidP="001A0378">
      <w:pPr>
        <w:autoSpaceDE w:val="0"/>
        <w:autoSpaceDN w:val="0"/>
        <w:adjustRightInd w:val="0"/>
        <w:spacing w:line="360" w:lineRule="auto"/>
        <w:ind w:firstLine="708"/>
        <w:jc w:val="both"/>
        <w:rPr>
          <w:lang w:val="es-ES_tradnl"/>
        </w:rPr>
      </w:pPr>
    </w:p>
    <w:p w14:paraId="74348D62" w14:textId="6A491E90" w:rsidR="00E45E97" w:rsidRPr="00433DD5" w:rsidRDefault="0013389E" w:rsidP="008B457E">
      <w:pPr>
        <w:autoSpaceDE w:val="0"/>
        <w:autoSpaceDN w:val="0"/>
        <w:adjustRightInd w:val="0"/>
        <w:spacing w:line="360" w:lineRule="auto"/>
        <w:jc w:val="center"/>
        <w:rPr>
          <w:rFonts w:asciiTheme="majorBidi" w:hAnsiTheme="majorBidi" w:cstheme="majorBidi"/>
          <w:b/>
          <w:bCs/>
          <w:sz w:val="32"/>
          <w:szCs w:val="32"/>
          <w:lang w:val="es-ES_tradnl"/>
        </w:rPr>
      </w:pPr>
      <w:r w:rsidRPr="00433DD5">
        <w:rPr>
          <w:rFonts w:asciiTheme="majorBidi" w:hAnsiTheme="majorBidi" w:cstheme="majorBidi"/>
          <w:b/>
          <w:bCs/>
          <w:sz w:val="32"/>
          <w:szCs w:val="32"/>
          <w:lang w:val="es-ES_tradnl"/>
        </w:rPr>
        <w:t>Resultados</w:t>
      </w:r>
    </w:p>
    <w:p w14:paraId="25B3A235" w14:textId="01FFD391" w:rsidR="00E45E97" w:rsidRPr="00433DD5" w:rsidRDefault="00AC161D" w:rsidP="001A0378">
      <w:pPr>
        <w:autoSpaceDE w:val="0"/>
        <w:autoSpaceDN w:val="0"/>
        <w:adjustRightInd w:val="0"/>
        <w:spacing w:line="360" w:lineRule="auto"/>
        <w:ind w:firstLine="708"/>
        <w:jc w:val="both"/>
        <w:rPr>
          <w:rFonts w:asciiTheme="majorBidi" w:hAnsiTheme="majorBidi" w:cstheme="majorBidi"/>
          <w:lang w:val="es-ES_tradnl"/>
        </w:rPr>
      </w:pPr>
      <w:r w:rsidRPr="00433DD5">
        <w:rPr>
          <w:rFonts w:asciiTheme="majorBidi" w:hAnsiTheme="majorBidi" w:cstheme="majorBidi"/>
          <w:lang w:val="es-ES_tradnl"/>
        </w:rPr>
        <w:t xml:space="preserve">Siguiendo la Guía </w:t>
      </w:r>
      <w:r w:rsidR="001A0378" w:rsidRPr="00433DD5">
        <w:rPr>
          <w:rFonts w:asciiTheme="majorBidi" w:hAnsiTheme="majorBidi" w:cstheme="majorBidi"/>
          <w:lang w:val="es-ES_tradnl"/>
        </w:rPr>
        <w:t>Profexce</w:t>
      </w:r>
      <w:r w:rsidRPr="00433DD5">
        <w:rPr>
          <w:rFonts w:asciiTheme="majorBidi" w:hAnsiTheme="majorBidi" w:cstheme="majorBidi"/>
          <w:lang w:val="es-ES_tradnl"/>
        </w:rPr>
        <w:t xml:space="preserve"> 2020-2021</w:t>
      </w:r>
      <w:r w:rsidR="00596933" w:rsidRPr="00433DD5">
        <w:rPr>
          <w:rFonts w:asciiTheme="majorBidi" w:hAnsiTheme="majorBidi" w:cstheme="majorBidi"/>
          <w:lang w:val="es-ES_tradnl"/>
        </w:rPr>
        <w:t xml:space="preserve"> (</w:t>
      </w:r>
      <w:r w:rsidR="004B48F6" w:rsidRPr="00433DD5">
        <w:rPr>
          <w:rFonts w:asciiTheme="majorBidi" w:hAnsiTheme="majorBidi" w:cstheme="majorBidi"/>
          <w:lang w:val="es-ES_tradnl"/>
        </w:rPr>
        <w:t>SEP</w:t>
      </w:r>
      <w:r w:rsidR="00CA2860" w:rsidRPr="00433DD5">
        <w:rPr>
          <w:rFonts w:asciiTheme="majorBidi" w:hAnsiTheme="majorBidi" w:cstheme="majorBidi"/>
          <w:lang w:val="es-ES_tradnl"/>
        </w:rPr>
        <w:t xml:space="preserve">, </w:t>
      </w:r>
      <w:r w:rsidR="00596933" w:rsidRPr="00433DD5">
        <w:rPr>
          <w:rFonts w:asciiTheme="majorBidi" w:hAnsiTheme="majorBidi" w:cstheme="majorBidi"/>
          <w:lang w:val="es-ES_tradnl"/>
        </w:rPr>
        <w:t>2019</w:t>
      </w:r>
      <w:r w:rsidR="0066045A" w:rsidRPr="00433DD5">
        <w:rPr>
          <w:rFonts w:asciiTheme="majorBidi" w:hAnsiTheme="majorBidi" w:cstheme="majorBidi"/>
          <w:lang w:val="es-ES_tradnl"/>
        </w:rPr>
        <w:t>b</w:t>
      </w:r>
      <w:r w:rsidR="00596933" w:rsidRPr="00433DD5">
        <w:rPr>
          <w:rFonts w:asciiTheme="majorBidi" w:hAnsiTheme="majorBidi" w:cstheme="majorBidi"/>
          <w:lang w:val="es-ES_tradnl"/>
        </w:rPr>
        <w:t>)</w:t>
      </w:r>
      <w:r w:rsidRPr="00433DD5">
        <w:rPr>
          <w:rFonts w:asciiTheme="majorBidi" w:hAnsiTheme="majorBidi" w:cstheme="majorBidi"/>
          <w:lang w:val="es-ES_tradnl"/>
        </w:rPr>
        <w:t>, p</w:t>
      </w:r>
      <w:r w:rsidR="00E45E97" w:rsidRPr="00433DD5">
        <w:rPr>
          <w:rFonts w:asciiTheme="majorBidi" w:hAnsiTheme="majorBidi" w:cstheme="majorBidi"/>
          <w:lang w:val="es-ES_tradnl"/>
        </w:rPr>
        <w:t xml:space="preserve">ara que un proyecto </w:t>
      </w:r>
      <w:r w:rsidR="0087212F" w:rsidRPr="00433DD5">
        <w:rPr>
          <w:rFonts w:asciiTheme="majorBidi" w:hAnsiTheme="majorBidi" w:cstheme="majorBidi"/>
          <w:lang w:val="es-ES_tradnl"/>
        </w:rPr>
        <w:t xml:space="preserve">integral </w:t>
      </w:r>
      <w:r w:rsidR="00E45E97" w:rsidRPr="00433DD5">
        <w:rPr>
          <w:rFonts w:asciiTheme="majorBidi" w:hAnsiTheme="majorBidi" w:cstheme="majorBidi"/>
          <w:lang w:val="es-ES_tradnl"/>
        </w:rPr>
        <w:t xml:space="preserve">tenga solidez debe contener </w:t>
      </w:r>
      <w:r w:rsidR="00987D78" w:rsidRPr="00433DD5">
        <w:rPr>
          <w:rFonts w:asciiTheme="majorBidi" w:hAnsiTheme="majorBidi" w:cstheme="majorBidi"/>
          <w:lang w:val="es-ES_tradnl"/>
        </w:rPr>
        <w:t>a</w:t>
      </w:r>
      <w:r w:rsidR="0087212F" w:rsidRPr="00433DD5">
        <w:rPr>
          <w:rFonts w:asciiTheme="majorBidi" w:hAnsiTheme="majorBidi" w:cstheme="majorBidi"/>
          <w:lang w:val="es-ES_tradnl"/>
        </w:rPr>
        <w:t>l menos</w:t>
      </w:r>
      <w:r w:rsidR="001122A8" w:rsidRPr="00433DD5">
        <w:rPr>
          <w:rFonts w:asciiTheme="majorBidi" w:hAnsiTheme="majorBidi" w:cstheme="majorBidi"/>
          <w:lang w:val="es-ES_tradnl"/>
        </w:rPr>
        <w:t xml:space="preserve"> </w:t>
      </w:r>
      <w:r w:rsidR="00E45E97" w:rsidRPr="00433DD5">
        <w:rPr>
          <w:rFonts w:asciiTheme="majorBidi" w:hAnsiTheme="majorBidi" w:cstheme="majorBidi"/>
          <w:lang w:val="es-ES_tradnl"/>
        </w:rPr>
        <w:t>los siguientes aspectos:</w:t>
      </w:r>
    </w:p>
    <w:p w14:paraId="7C72A999" w14:textId="57E15B93" w:rsidR="00E45E97"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t xml:space="preserve">Incidir significativamente en el fortalecimiento de la capacidad y competitividad académicas a partir de los énfasis que se incorporan en este proceso de planeación. </w:t>
      </w:r>
    </w:p>
    <w:p w14:paraId="4211C53E" w14:textId="6C66683E" w:rsidR="00E45E97"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t xml:space="preserve">Consolidar las fortalezas y aprovecharlas en la solución de los problemas identificados en el ámbito de la institución. </w:t>
      </w:r>
    </w:p>
    <w:p w14:paraId="3741072C" w14:textId="0B657542" w:rsidR="00E45E97"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lastRenderedPageBreak/>
        <w:t xml:space="preserve">Contribuir de manera significativa al cumplimiento de los indicadores de calidad institucionales. </w:t>
      </w:r>
    </w:p>
    <w:p w14:paraId="6D568933" w14:textId="7378F848" w:rsidR="00E45E97"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t>Mostrar que sus metas sean congruentes, con la misión, visión, objetivos y las políticas de la institución, así como la factibilidad de su realización.</w:t>
      </w:r>
    </w:p>
    <w:p w14:paraId="70DB4D82" w14:textId="08027B0C" w:rsidR="00E45E97"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t>Contener de manera explícita la priorización de metas, acciones y recursos asociados</w:t>
      </w:r>
      <w:r w:rsidR="007B2825" w:rsidRPr="00433DD5">
        <w:rPr>
          <w:rFonts w:asciiTheme="majorBidi" w:hAnsiTheme="majorBidi" w:cstheme="majorBidi"/>
        </w:rPr>
        <w:t>, así como</w:t>
      </w:r>
      <w:r w:rsidRPr="00433DD5">
        <w:rPr>
          <w:rFonts w:asciiTheme="majorBidi" w:hAnsiTheme="majorBidi" w:cstheme="majorBidi"/>
        </w:rPr>
        <w:t xml:space="preserve"> su calendarización. </w:t>
      </w:r>
    </w:p>
    <w:p w14:paraId="4153D552" w14:textId="76A15658" w:rsidR="007D6BE5" w:rsidRPr="00433DD5" w:rsidRDefault="00E45E97" w:rsidP="005E0AC3">
      <w:pPr>
        <w:pStyle w:val="Prrafodelista"/>
        <w:numPr>
          <w:ilvl w:val="0"/>
          <w:numId w:val="6"/>
        </w:numPr>
        <w:autoSpaceDE w:val="0"/>
        <w:autoSpaceDN w:val="0"/>
        <w:adjustRightInd w:val="0"/>
        <w:spacing w:line="360" w:lineRule="auto"/>
        <w:ind w:hanging="10"/>
        <w:jc w:val="both"/>
        <w:rPr>
          <w:rFonts w:asciiTheme="majorBidi" w:hAnsiTheme="majorBidi" w:cstheme="majorBidi"/>
        </w:rPr>
      </w:pPr>
      <w:r w:rsidRPr="00433DD5">
        <w:rPr>
          <w:rFonts w:asciiTheme="majorBidi" w:hAnsiTheme="majorBidi" w:cstheme="majorBidi"/>
        </w:rPr>
        <w:t>Contener objetivos particulares que estén justificados con base en los resultados de un diagnóstico objetivo de la capacidad académica y su relación con la competitividad respectiva y la gestión institucional, realizada en la fase de autoevaluación</w:t>
      </w:r>
      <w:r w:rsidR="00770636" w:rsidRPr="00433DD5">
        <w:rPr>
          <w:rFonts w:asciiTheme="majorBidi" w:hAnsiTheme="majorBidi" w:cstheme="majorBidi"/>
        </w:rPr>
        <w:t xml:space="preserve"> (p. 30).</w:t>
      </w:r>
    </w:p>
    <w:p w14:paraId="13557E8D" w14:textId="411C160F" w:rsidR="000D3314" w:rsidRPr="00433DD5" w:rsidRDefault="00596933" w:rsidP="001A0378">
      <w:pPr>
        <w:autoSpaceDE w:val="0"/>
        <w:autoSpaceDN w:val="0"/>
        <w:adjustRightInd w:val="0"/>
        <w:spacing w:line="360" w:lineRule="auto"/>
        <w:jc w:val="both"/>
        <w:rPr>
          <w:rFonts w:asciiTheme="majorBidi" w:hAnsiTheme="majorBidi" w:cstheme="majorBidi"/>
        </w:rPr>
      </w:pPr>
      <w:r w:rsidRPr="00433DD5">
        <w:tab/>
      </w:r>
      <w:r w:rsidR="0013389E" w:rsidRPr="00433DD5">
        <w:rPr>
          <w:rFonts w:asciiTheme="majorBidi" w:hAnsiTheme="majorBidi" w:cstheme="majorBidi"/>
        </w:rPr>
        <w:t xml:space="preserve">Como </w:t>
      </w:r>
      <w:r w:rsidR="00A25634" w:rsidRPr="00433DD5">
        <w:rPr>
          <w:rFonts w:asciiTheme="majorBidi" w:hAnsiTheme="majorBidi" w:cstheme="majorBidi"/>
        </w:rPr>
        <w:t>se puede advertir</w:t>
      </w:r>
      <w:r w:rsidR="00377218" w:rsidRPr="00433DD5">
        <w:rPr>
          <w:rFonts w:asciiTheme="majorBidi" w:hAnsiTheme="majorBidi" w:cstheme="majorBidi"/>
        </w:rPr>
        <w:t>,</w:t>
      </w:r>
      <w:r w:rsidR="00A25634" w:rsidRPr="00433DD5">
        <w:rPr>
          <w:rFonts w:asciiTheme="majorBidi" w:hAnsiTheme="majorBidi" w:cstheme="majorBidi"/>
        </w:rPr>
        <w:t xml:space="preserve"> </w:t>
      </w:r>
      <w:r w:rsidR="0013389E" w:rsidRPr="00433DD5">
        <w:rPr>
          <w:rFonts w:asciiTheme="majorBidi" w:hAnsiTheme="majorBidi" w:cstheme="majorBidi"/>
        </w:rPr>
        <w:t>e</w:t>
      </w:r>
      <w:r w:rsidR="00E45E97" w:rsidRPr="00433DD5">
        <w:rPr>
          <w:rFonts w:asciiTheme="majorBidi" w:hAnsiTheme="majorBidi" w:cstheme="majorBidi"/>
        </w:rPr>
        <w:t>n el proceso de evaluación se considera</w:t>
      </w:r>
      <w:r w:rsidR="001617B2" w:rsidRPr="00433DD5">
        <w:rPr>
          <w:rFonts w:asciiTheme="majorBidi" w:hAnsiTheme="majorBidi" w:cstheme="majorBidi"/>
        </w:rPr>
        <w:t>,</w:t>
      </w:r>
      <w:r w:rsidR="00E45E97" w:rsidRPr="00433DD5">
        <w:rPr>
          <w:rFonts w:asciiTheme="majorBidi" w:hAnsiTheme="majorBidi" w:cstheme="majorBidi"/>
        </w:rPr>
        <w:t xml:space="preserve"> de manera importante</w:t>
      </w:r>
      <w:r w:rsidR="001617B2" w:rsidRPr="00433DD5">
        <w:rPr>
          <w:rFonts w:asciiTheme="majorBidi" w:hAnsiTheme="majorBidi" w:cstheme="majorBidi"/>
        </w:rPr>
        <w:t>,</w:t>
      </w:r>
      <w:r w:rsidR="00E45E97" w:rsidRPr="00433DD5">
        <w:rPr>
          <w:rFonts w:asciiTheme="majorBidi" w:hAnsiTheme="majorBidi" w:cstheme="majorBidi"/>
        </w:rPr>
        <w:t xml:space="preserve"> </w:t>
      </w:r>
      <w:r w:rsidR="0013389E" w:rsidRPr="00433DD5">
        <w:rPr>
          <w:rFonts w:asciiTheme="majorBidi" w:hAnsiTheme="majorBidi" w:cstheme="majorBidi"/>
        </w:rPr>
        <w:t>el</w:t>
      </w:r>
      <w:r w:rsidR="00E45E97" w:rsidRPr="00433DD5">
        <w:rPr>
          <w:rFonts w:asciiTheme="majorBidi" w:hAnsiTheme="majorBidi" w:cstheme="majorBidi"/>
        </w:rPr>
        <w:t xml:space="preserve"> carácter integral</w:t>
      </w:r>
      <w:r w:rsidR="0013389E" w:rsidRPr="00433DD5">
        <w:rPr>
          <w:rFonts w:asciiTheme="majorBidi" w:hAnsiTheme="majorBidi" w:cstheme="majorBidi"/>
        </w:rPr>
        <w:t xml:space="preserve"> de los proyectos</w:t>
      </w:r>
      <w:r w:rsidR="000D3314" w:rsidRPr="00433DD5">
        <w:rPr>
          <w:rFonts w:asciiTheme="majorBidi" w:hAnsiTheme="majorBidi" w:cstheme="majorBidi"/>
        </w:rPr>
        <w:t xml:space="preserve">, la perspectiva </w:t>
      </w:r>
      <w:r w:rsidR="00E45E97" w:rsidRPr="00433DD5">
        <w:rPr>
          <w:rFonts w:asciiTheme="majorBidi" w:hAnsiTheme="majorBidi" w:cstheme="majorBidi"/>
        </w:rPr>
        <w:t>holística de</w:t>
      </w:r>
      <w:r w:rsidR="000D3314" w:rsidRPr="00433DD5">
        <w:rPr>
          <w:rFonts w:asciiTheme="majorBidi" w:hAnsiTheme="majorBidi" w:cstheme="majorBidi"/>
        </w:rPr>
        <w:t xml:space="preserve">sde la cual se visualizan las áreas de oportunidad y que el planteamiento de objetivos, metas, estrategias y acciones sean factibles y contribuyan a mejorar la calidad de los programas educativos adscritos a las </w:t>
      </w:r>
      <w:r w:rsidR="00E45E97" w:rsidRPr="00433DD5">
        <w:rPr>
          <w:rFonts w:asciiTheme="majorBidi" w:hAnsiTheme="majorBidi" w:cstheme="majorBidi"/>
        </w:rPr>
        <w:t xml:space="preserve">DES. </w:t>
      </w:r>
    </w:p>
    <w:p w14:paraId="1260F047" w14:textId="366F84EC" w:rsidR="00AC161D" w:rsidRPr="00433DD5" w:rsidRDefault="00D90986" w:rsidP="001A0378">
      <w:pPr>
        <w:autoSpaceDE w:val="0"/>
        <w:autoSpaceDN w:val="0"/>
        <w:adjustRightInd w:val="0"/>
        <w:spacing w:line="360" w:lineRule="auto"/>
        <w:jc w:val="both"/>
        <w:rPr>
          <w:rFonts w:asciiTheme="majorBidi" w:hAnsiTheme="majorBidi" w:cstheme="majorBidi"/>
          <w:lang w:val="es-ES_tradnl"/>
        </w:rPr>
      </w:pPr>
      <w:r w:rsidRPr="00433DD5">
        <w:rPr>
          <w:rFonts w:asciiTheme="majorBidi" w:hAnsiTheme="majorBidi" w:cstheme="majorBidi"/>
          <w:lang w:val="es-ES_tradnl"/>
        </w:rPr>
        <w:tab/>
      </w:r>
      <w:r w:rsidR="000D3314" w:rsidRPr="00433DD5">
        <w:rPr>
          <w:rFonts w:asciiTheme="majorBidi" w:hAnsiTheme="majorBidi" w:cstheme="majorBidi"/>
          <w:lang w:val="es-ES_tradnl"/>
        </w:rPr>
        <w:t>En este marco</w:t>
      </w:r>
      <w:r w:rsidR="00727BD1" w:rsidRPr="00433DD5">
        <w:rPr>
          <w:rFonts w:asciiTheme="majorBidi" w:hAnsiTheme="majorBidi" w:cstheme="majorBidi"/>
          <w:lang w:val="es-ES_tradnl"/>
        </w:rPr>
        <w:t>,</w:t>
      </w:r>
      <w:r w:rsidR="00A70167" w:rsidRPr="00433DD5">
        <w:rPr>
          <w:rFonts w:asciiTheme="majorBidi" w:hAnsiTheme="majorBidi" w:cstheme="majorBidi"/>
          <w:lang w:val="es-ES_tradnl"/>
        </w:rPr>
        <w:t xml:space="preserve"> se analiza</w:t>
      </w:r>
      <w:r w:rsidR="00377218" w:rsidRPr="00433DD5">
        <w:rPr>
          <w:rFonts w:asciiTheme="majorBidi" w:hAnsiTheme="majorBidi" w:cstheme="majorBidi"/>
          <w:lang w:val="es-ES_tradnl"/>
        </w:rPr>
        <w:t>ron</w:t>
      </w:r>
      <w:r w:rsidR="000D3314" w:rsidRPr="00433DD5">
        <w:rPr>
          <w:rFonts w:asciiTheme="majorBidi" w:hAnsiTheme="majorBidi" w:cstheme="majorBidi"/>
          <w:lang w:val="es-ES_tradnl"/>
        </w:rPr>
        <w:t xml:space="preserve"> las calificaciones otorgadas a los proyectos de las tres DES en cuestión</w:t>
      </w:r>
      <w:r w:rsidR="006C5F33" w:rsidRPr="00433DD5">
        <w:rPr>
          <w:rFonts w:asciiTheme="majorBidi" w:hAnsiTheme="majorBidi" w:cstheme="majorBidi"/>
          <w:lang w:val="es-ES_tradnl"/>
        </w:rPr>
        <w:t xml:space="preserve">. </w:t>
      </w:r>
      <w:r w:rsidR="00A47DCF" w:rsidRPr="00433DD5">
        <w:rPr>
          <w:rFonts w:asciiTheme="majorBidi" w:hAnsiTheme="majorBidi" w:cstheme="majorBidi"/>
          <w:lang w:val="es-ES_tradnl"/>
        </w:rPr>
        <w:t xml:space="preserve">Primeramente, como se muestra en la figura 3, se revisó </w:t>
      </w:r>
      <w:r w:rsidR="006C5F33" w:rsidRPr="00433DD5">
        <w:rPr>
          <w:rFonts w:asciiTheme="majorBidi" w:hAnsiTheme="majorBidi" w:cstheme="majorBidi"/>
          <w:lang w:val="es-ES_tradnl"/>
        </w:rPr>
        <w:t xml:space="preserve">el dictamen basado en el colorama para la Región Xalapa y después la evolución de sus principales indicadores durante los bienios en que fue evaluada en el marco del </w:t>
      </w:r>
      <w:r w:rsidR="001A0378" w:rsidRPr="00433DD5">
        <w:rPr>
          <w:rFonts w:asciiTheme="majorBidi" w:hAnsiTheme="majorBidi" w:cstheme="majorBidi"/>
          <w:lang w:val="es-ES_tradnl"/>
        </w:rPr>
        <w:t>Profexce</w:t>
      </w:r>
      <w:r w:rsidR="001617B2" w:rsidRPr="00433DD5">
        <w:rPr>
          <w:rFonts w:asciiTheme="majorBidi" w:hAnsiTheme="majorBidi" w:cstheme="majorBidi"/>
          <w:lang w:val="es-ES_tradnl"/>
        </w:rPr>
        <w:t>.</w:t>
      </w:r>
    </w:p>
    <w:p w14:paraId="78E7F2CA" w14:textId="48355E89" w:rsidR="006F1EC1" w:rsidRDefault="006F1EC1" w:rsidP="001A0378">
      <w:pPr>
        <w:spacing w:line="360" w:lineRule="auto"/>
        <w:jc w:val="center"/>
        <w:rPr>
          <w:rFonts w:asciiTheme="majorBidi" w:hAnsiTheme="majorBidi" w:cstheme="majorBidi"/>
        </w:rPr>
      </w:pPr>
    </w:p>
    <w:p w14:paraId="427895D8" w14:textId="271964C6" w:rsidR="00433DD5" w:rsidRDefault="00433DD5" w:rsidP="001A0378">
      <w:pPr>
        <w:spacing w:line="360" w:lineRule="auto"/>
        <w:jc w:val="center"/>
        <w:rPr>
          <w:rFonts w:asciiTheme="majorBidi" w:hAnsiTheme="majorBidi" w:cstheme="majorBidi"/>
        </w:rPr>
      </w:pPr>
    </w:p>
    <w:p w14:paraId="143BC996" w14:textId="54B1482C" w:rsidR="00433DD5" w:rsidRDefault="00433DD5" w:rsidP="001A0378">
      <w:pPr>
        <w:spacing w:line="360" w:lineRule="auto"/>
        <w:jc w:val="center"/>
        <w:rPr>
          <w:rFonts w:asciiTheme="majorBidi" w:hAnsiTheme="majorBidi" w:cstheme="majorBidi"/>
        </w:rPr>
      </w:pPr>
    </w:p>
    <w:p w14:paraId="302AA12B" w14:textId="6E75B8A6" w:rsidR="00433DD5" w:rsidRDefault="00433DD5" w:rsidP="001A0378">
      <w:pPr>
        <w:spacing w:line="360" w:lineRule="auto"/>
        <w:jc w:val="center"/>
        <w:rPr>
          <w:rFonts w:asciiTheme="majorBidi" w:hAnsiTheme="majorBidi" w:cstheme="majorBidi"/>
        </w:rPr>
      </w:pPr>
    </w:p>
    <w:p w14:paraId="3539A3D4" w14:textId="7F4EC8AA" w:rsidR="00433DD5" w:rsidRDefault="00433DD5" w:rsidP="001A0378">
      <w:pPr>
        <w:spacing w:line="360" w:lineRule="auto"/>
        <w:jc w:val="center"/>
        <w:rPr>
          <w:rFonts w:asciiTheme="majorBidi" w:hAnsiTheme="majorBidi" w:cstheme="majorBidi"/>
        </w:rPr>
      </w:pPr>
    </w:p>
    <w:p w14:paraId="0C751AFF" w14:textId="03995838" w:rsidR="00433DD5" w:rsidRDefault="00433DD5" w:rsidP="001A0378">
      <w:pPr>
        <w:spacing w:line="360" w:lineRule="auto"/>
        <w:jc w:val="center"/>
        <w:rPr>
          <w:rFonts w:asciiTheme="majorBidi" w:hAnsiTheme="majorBidi" w:cstheme="majorBidi"/>
        </w:rPr>
      </w:pPr>
    </w:p>
    <w:p w14:paraId="2CDA1CEF" w14:textId="4694C654" w:rsidR="00433DD5" w:rsidRDefault="00433DD5" w:rsidP="001A0378">
      <w:pPr>
        <w:spacing w:line="360" w:lineRule="auto"/>
        <w:jc w:val="center"/>
        <w:rPr>
          <w:rFonts w:asciiTheme="majorBidi" w:hAnsiTheme="majorBidi" w:cstheme="majorBidi"/>
        </w:rPr>
      </w:pPr>
    </w:p>
    <w:p w14:paraId="5489659F" w14:textId="360C6E30" w:rsidR="00433DD5" w:rsidRDefault="00433DD5" w:rsidP="001A0378">
      <w:pPr>
        <w:spacing w:line="360" w:lineRule="auto"/>
        <w:jc w:val="center"/>
        <w:rPr>
          <w:rFonts w:asciiTheme="majorBidi" w:hAnsiTheme="majorBidi" w:cstheme="majorBidi"/>
        </w:rPr>
      </w:pPr>
    </w:p>
    <w:p w14:paraId="15EBF0B8" w14:textId="177E8F0C" w:rsidR="00433DD5" w:rsidRDefault="00433DD5" w:rsidP="001A0378">
      <w:pPr>
        <w:spacing w:line="360" w:lineRule="auto"/>
        <w:jc w:val="center"/>
        <w:rPr>
          <w:rFonts w:asciiTheme="majorBidi" w:hAnsiTheme="majorBidi" w:cstheme="majorBidi"/>
        </w:rPr>
      </w:pPr>
    </w:p>
    <w:p w14:paraId="6D428EC8" w14:textId="2D6C7D2D" w:rsidR="00433DD5" w:rsidRDefault="00433DD5" w:rsidP="001A0378">
      <w:pPr>
        <w:spacing w:line="360" w:lineRule="auto"/>
        <w:jc w:val="center"/>
        <w:rPr>
          <w:rFonts w:asciiTheme="majorBidi" w:hAnsiTheme="majorBidi" w:cstheme="majorBidi"/>
        </w:rPr>
      </w:pPr>
    </w:p>
    <w:p w14:paraId="360AFE31" w14:textId="5EC66548" w:rsidR="00433DD5" w:rsidRDefault="00433DD5" w:rsidP="001A0378">
      <w:pPr>
        <w:spacing w:line="360" w:lineRule="auto"/>
        <w:jc w:val="center"/>
        <w:rPr>
          <w:rFonts w:asciiTheme="majorBidi" w:hAnsiTheme="majorBidi" w:cstheme="majorBidi"/>
        </w:rPr>
      </w:pPr>
    </w:p>
    <w:p w14:paraId="61A8F020" w14:textId="77777777" w:rsidR="00433DD5" w:rsidRPr="00433DD5" w:rsidRDefault="00433DD5" w:rsidP="001A0378">
      <w:pPr>
        <w:spacing w:line="360" w:lineRule="auto"/>
        <w:jc w:val="center"/>
        <w:rPr>
          <w:rFonts w:asciiTheme="majorBidi" w:hAnsiTheme="majorBidi" w:cstheme="majorBidi"/>
        </w:rPr>
      </w:pPr>
    </w:p>
    <w:p w14:paraId="5305187D" w14:textId="1E56A0AA" w:rsidR="00596933" w:rsidRPr="00433DD5" w:rsidRDefault="008C047B" w:rsidP="001A0378">
      <w:pPr>
        <w:spacing w:line="360" w:lineRule="auto"/>
        <w:jc w:val="center"/>
        <w:rPr>
          <w:rFonts w:asciiTheme="majorBidi" w:hAnsiTheme="majorBidi" w:cstheme="majorBidi"/>
        </w:rPr>
      </w:pPr>
      <w:r w:rsidRPr="00433DD5">
        <w:rPr>
          <w:rFonts w:asciiTheme="majorBidi" w:hAnsiTheme="majorBidi" w:cstheme="majorBidi"/>
          <w:b/>
          <w:bCs/>
        </w:rPr>
        <w:lastRenderedPageBreak/>
        <w:t xml:space="preserve">Figura </w:t>
      </w:r>
      <w:r w:rsidR="009D51F4" w:rsidRPr="00433DD5">
        <w:rPr>
          <w:rFonts w:asciiTheme="majorBidi" w:hAnsiTheme="majorBidi" w:cstheme="majorBidi"/>
          <w:b/>
          <w:bCs/>
        </w:rPr>
        <w:t>3</w:t>
      </w:r>
      <w:r w:rsidRPr="00433DD5">
        <w:rPr>
          <w:rFonts w:asciiTheme="majorBidi" w:hAnsiTheme="majorBidi" w:cstheme="majorBidi"/>
          <w:b/>
          <w:bCs/>
        </w:rPr>
        <w:t>.</w:t>
      </w:r>
      <w:r w:rsidR="003F3038" w:rsidRPr="00433DD5">
        <w:rPr>
          <w:rFonts w:asciiTheme="majorBidi" w:hAnsiTheme="majorBidi" w:cstheme="majorBidi"/>
          <w:b/>
          <w:bCs/>
        </w:rPr>
        <w:t xml:space="preserve"> </w:t>
      </w:r>
      <w:r w:rsidR="003F3038" w:rsidRPr="00433DD5">
        <w:rPr>
          <w:rFonts w:asciiTheme="majorBidi" w:hAnsiTheme="majorBidi" w:cstheme="majorBidi"/>
        </w:rPr>
        <w:t xml:space="preserve">Evaluación de la DES 387: </w:t>
      </w:r>
      <w:r w:rsidR="005B2543" w:rsidRPr="00433DD5">
        <w:rPr>
          <w:lang w:eastAsia="es-ES"/>
        </w:rPr>
        <w:t>Área Académica Biológico Agropecuaria Xalapa</w:t>
      </w:r>
    </w:p>
    <w:p w14:paraId="6A4DD9DD" w14:textId="1DC8D061" w:rsidR="006C5F33" w:rsidRPr="00433DD5" w:rsidRDefault="008F5BE2" w:rsidP="001A0378">
      <w:pPr>
        <w:spacing w:line="360" w:lineRule="auto"/>
        <w:jc w:val="center"/>
        <w:rPr>
          <w:rFonts w:asciiTheme="majorBidi" w:hAnsiTheme="majorBidi" w:cstheme="majorBidi"/>
        </w:rPr>
      </w:pPr>
      <w:r w:rsidRPr="00433DD5">
        <w:rPr>
          <w:rFonts w:asciiTheme="majorBidi" w:hAnsiTheme="majorBidi" w:cstheme="majorBidi"/>
          <w:noProof/>
        </w:rPr>
        <w:drawing>
          <wp:inline distT="0" distB="0" distL="0" distR="0" wp14:anchorId="3BEEDFF9" wp14:editId="049EED3A">
            <wp:extent cx="4717116" cy="2487930"/>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10">
                      <a:extLst>
                        <a:ext uri="{28A0092B-C50C-407E-A947-70E740481C1C}">
                          <a14:useLocalDpi xmlns:a14="http://schemas.microsoft.com/office/drawing/2010/main" val="0"/>
                        </a:ext>
                      </a:extLst>
                    </a:blip>
                    <a:stretch>
                      <a:fillRect/>
                    </a:stretch>
                  </pic:blipFill>
                  <pic:spPr>
                    <a:xfrm>
                      <a:off x="0" y="0"/>
                      <a:ext cx="4734808" cy="2497261"/>
                    </a:xfrm>
                    <a:prstGeom prst="rect">
                      <a:avLst/>
                    </a:prstGeom>
                  </pic:spPr>
                </pic:pic>
              </a:graphicData>
            </a:graphic>
          </wp:inline>
        </w:drawing>
      </w:r>
    </w:p>
    <w:p w14:paraId="3D68CD57" w14:textId="4A86344B" w:rsidR="007309D3" w:rsidRPr="00433DD5" w:rsidRDefault="000C27EE" w:rsidP="001A0378">
      <w:pPr>
        <w:spacing w:line="360" w:lineRule="auto"/>
        <w:jc w:val="center"/>
        <w:rPr>
          <w:lang w:val="es-ES_tradnl"/>
        </w:rPr>
      </w:pPr>
      <w:r w:rsidRPr="00433DD5">
        <w:rPr>
          <w:lang w:val="es-ES_tradnl"/>
        </w:rPr>
        <w:t xml:space="preserve">Fuente: </w:t>
      </w:r>
      <w:r w:rsidR="005B2543" w:rsidRPr="00433DD5">
        <w:rPr>
          <w:lang w:val="es-ES_tradnl"/>
        </w:rPr>
        <w:t xml:space="preserve">Elaboración </w:t>
      </w:r>
      <w:r w:rsidRPr="00433DD5">
        <w:rPr>
          <w:lang w:val="es-ES_tradnl"/>
        </w:rPr>
        <w:t>propia</w:t>
      </w:r>
      <w:r w:rsidR="00172D18" w:rsidRPr="00433DD5">
        <w:rPr>
          <w:lang w:val="es-ES_tradnl"/>
        </w:rPr>
        <w:t xml:space="preserve"> a partir de las evaluaciones emitidas por los programas PFCE y </w:t>
      </w:r>
      <w:r w:rsidR="001A0378" w:rsidRPr="00433DD5">
        <w:rPr>
          <w:lang w:val="es-ES_tradnl"/>
        </w:rPr>
        <w:t>Profexce</w:t>
      </w:r>
    </w:p>
    <w:p w14:paraId="0722F742" w14:textId="63E345CC" w:rsidR="000E0C98" w:rsidRPr="00433DD5" w:rsidRDefault="00337056" w:rsidP="001A0378">
      <w:pPr>
        <w:spacing w:line="360" w:lineRule="auto"/>
        <w:ind w:firstLine="708"/>
        <w:jc w:val="both"/>
        <w:rPr>
          <w:rFonts w:asciiTheme="majorBidi" w:hAnsiTheme="majorBidi" w:cstheme="majorBidi"/>
          <w:lang w:val="es-ES_tradnl"/>
        </w:rPr>
      </w:pPr>
      <w:r w:rsidRPr="00433DD5">
        <w:rPr>
          <w:rFonts w:asciiTheme="majorBidi" w:hAnsiTheme="majorBidi" w:cstheme="majorBidi"/>
          <w:lang w:val="es-ES_tradnl"/>
        </w:rPr>
        <w:t xml:space="preserve">Como se muestra en el colorama, </w:t>
      </w:r>
      <w:r w:rsidR="007720B3" w:rsidRPr="00433DD5">
        <w:rPr>
          <w:rFonts w:asciiTheme="majorBidi" w:hAnsiTheme="majorBidi" w:cstheme="majorBidi"/>
          <w:lang w:val="es-ES_tradnl"/>
        </w:rPr>
        <w:t>en la evaluación del</w:t>
      </w:r>
      <w:r w:rsidR="000E0C98" w:rsidRPr="00433DD5">
        <w:rPr>
          <w:rFonts w:asciiTheme="majorBidi" w:hAnsiTheme="majorBidi" w:cstheme="majorBidi"/>
          <w:lang w:val="es-ES_tradnl"/>
        </w:rPr>
        <w:t xml:space="preserve"> bienio 2016-2017</w:t>
      </w:r>
      <w:r w:rsidR="00377218" w:rsidRPr="00433DD5">
        <w:rPr>
          <w:rFonts w:asciiTheme="majorBidi" w:hAnsiTheme="majorBidi" w:cstheme="majorBidi"/>
          <w:lang w:val="es-ES_tradnl"/>
        </w:rPr>
        <w:t xml:space="preserve"> </w:t>
      </w:r>
      <w:r w:rsidR="000E0C98" w:rsidRPr="00433DD5">
        <w:rPr>
          <w:rFonts w:asciiTheme="majorBidi" w:hAnsiTheme="majorBidi" w:cstheme="majorBidi"/>
          <w:lang w:val="es-ES_tradnl"/>
        </w:rPr>
        <w:t>se obt</w:t>
      </w:r>
      <w:r w:rsidR="00842854" w:rsidRPr="00433DD5">
        <w:rPr>
          <w:rFonts w:asciiTheme="majorBidi" w:hAnsiTheme="majorBidi" w:cstheme="majorBidi"/>
          <w:lang w:val="es-ES_tradnl"/>
        </w:rPr>
        <w:t xml:space="preserve">uvieron </w:t>
      </w:r>
      <w:r w:rsidR="000E0C98" w:rsidRPr="00433DD5">
        <w:rPr>
          <w:rFonts w:asciiTheme="majorBidi" w:hAnsiTheme="majorBidi" w:cstheme="majorBidi"/>
          <w:lang w:val="es-ES_tradnl"/>
        </w:rPr>
        <w:t xml:space="preserve">colores amarillos y mayoritariamente verdes, </w:t>
      </w:r>
      <w:r w:rsidR="00513993" w:rsidRPr="00433DD5">
        <w:rPr>
          <w:rFonts w:asciiTheme="majorBidi" w:hAnsiTheme="majorBidi" w:cstheme="majorBidi"/>
          <w:lang w:val="es-ES_tradnl"/>
        </w:rPr>
        <w:t xml:space="preserve">lo que evidencia </w:t>
      </w:r>
      <w:r w:rsidR="000E0C98" w:rsidRPr="00433DD5">
        <w:rPr>
          <w:rFonts w:asciiTheme="majorBidi" w:hAnsiTheme="majorBidi" w:cstheme="majorBidi"/>
          <w:lang w:val="es-ES_tradnl"/>
        </w:rPr>
        <w:t xml:space="preserve">una atención integral a </w:t>
      </w:r>
      <w:r w:rsidR="001C3182" w:rsidRPr="00433DD5">
        <w:rPr>
          <w:rFonts w:asciiTheme="majorBidi" w:hAnsiTheme="majorBidi" w:cstheme="majorBidi"/>
          <w:lang w:val="es-ES_tradnl"/>
        </w:rPr>
        <w:t xml:space="preserve">los obstáculos </w:t>
      </w:r>
      <w:r w:rsidR="000E0C98" w:rsidRPr="00433DD5">
        <w:rPr>
          <w:rFonts w:asciiTheme="majorBidi" w:hAnsiTheme="majorBidi" w:cstheme="majorBidi"/>
          <w:lang w:val="es-ES_tradnl"/>
        </w:rPr>
        <w:t>detectad</w:t>
      </w:r>
      <w:r w:rsidR="001C3182" w:rsidRPr="00433DD5">
        <w:rPr>
          <w:rFonts w:asciiTheme="majorBidi" w:hAnsiTheme="majorBidi" w:cstheme="majorBidi"/>
          <w:lang w:val="es-ES_tradnl"/>
        </w:rPr>
        <w:t>o</w:t>
      </w:r>
      <w:r w:rsidR="000E0C98" w:rsidRPr="00433DD5">
        <w:rPr>
          <w:rFonts w:asciiTheme="majorBidi" w:hAnsiTheme="majorBidi" w:cstheme="majorBidi"/>
          <w:lang w:val="es-ES_tradnl"/>
        </w:rPr>
        <w:t xml:space="preserve">s, atención a los objetivos particulares del proyecto, estrategias para el </w:t>
      </w:r>
      <w:r w:rsidR="001C3182" w:rsidRPr="00433DD5">
        <w:rPr>
          <w:rFonts w:asciiTheme="majorBidi" w:hAnsiTheme="majorBidi" w:cstheme="majorBidi"/>
          <w:lang w:val="es-ES_tradnl"/>
        </w:rPr>
        <w:t>reforzamiento</w:t>
      </w:r>
      <w:r w:rsidR="000E0C98" w:rsidRPr="00433DD5">
        <w:rPr>
          <w:rFonts w:asciiTheme="majorBidi" w:hAnsiTheme="majorBidi" w:cstheme="majorBidi"/>
          <w:lang w:val="es-ES_tradnl"/>
        </w:rPr>
        <w:t xml:space="preserve"> de la calidad académica institucional, la congruencia de las metas propuestas con la atención a las pr</w:t>
      </w:r>
      <w:r w:rsidR="00842854" w:rsidRPr="00433DD5">
        <w:rPr>
          <w:rFonts w:asciiTheme="majorBidi" w:hAnsiTheme="majorBidi" w:cstheme="majorBidi"/>
          <w:lang w:val="es-ES_tradnl"/>
        </w:rPr>
        <w:t>oblemáticas prioritarias, así como la factibilidad para su realización. En general</w:t>
      </w:r>
      <w:r w:rsidR="001617B2" w:rsidRPr="00433DD5">
        <w:rPr>
          <w:rFonts w:asciiTheme="majorBidi" w:hAnsiTheme="majorBidi" w:cstheme="majorBidi"/>
          <w:lang w:val="es-ES_tradnl"/>
        </w:rPr>
        <w:t>,</w:t>
      </w:r>
      <w:r w:rsidR="00842854" w:rsidRPr="00433DD5">
        <w:rPr>
          <w:rFonts w:asciiTheme="majorBidi" w:hAnsiTheme="majorBidi" w:cstheme="majorBidi"/>
          <w:lang w:val="es-ES_tradnl"/>
        </w:rPr>
        <w:t xml:space="preserve"> se observó que el proyecto integral contribuye </w:t>
      </w:r>
      <w:r w:rsidR="000E0C98" w:rsidRPr="00433DD5">
        <w:rPr>
          <w:rFonts w:asciiTheme="majorBidi" w:hAnsiTheme="majorBidi" w:cstheme="majorBidi"/>
        </w:rPr>
        <w:t xml:space="preserve">al fortalecimiento de la capacidad y competitividad académicas y al logro de los </w:t>
      </w:r>
      <w:r w:rsidR="00CA2860" w:rsidRPr="00433DD5">
        <w:rPr>
          <w:rFonts w:asciiTheme="majorBidi" w:hAnsiTheme="majorBidi" w:cstheme="majorBidi"/>
        </w:rPr>
        <w:t>i</w:t>
      </w:r>
      <w:r w:rsidR="000E0C98" w:rsidRPr="00433DD5">
        <w:rPr>
          <w:rFonts w:asciiTheme="majorBidi" w:hAnsiTheme="majorBidi" w:cstheme="majorBidi"/>
        </w:rPr>
        <w:t xml:space="preserve">ndicadores de </w:t>
      </w:r>
      <w:r w:rsidR="00CA2860" w:rsidRPr="00433DD5">
        <w:rPr>
          <w:rFonts w:asciiTheme="majorBidi" w:hAnsiTheme="majorBidi" w:cstheme="majorBidi"/>
        </w:rPr>
        <w:t>c</w:t>
      </w:r>
      <w:r w:rsidR="000E0C98" w:rsidRPr="00433DD5">
        <w:rPr>
          <w:rFonts w:asciiTheme="majorBidi" w:hAnsiTheme="majorBidi" w:cstheme="majorBidi"/>
        </w:rPr>
        <w:t>alidad establecidos.</w:t>
      </w:r>
      <w:r w:rsidR="00842854" w:rsidRPr="00433DD5">
        <w:rPr>
          <w:rFonts w:asciiTheme="majorBidi" w:hAnsiTheme="majorBidi" w:cstheme="majorBidi"/>
        </w:rPr>
        <w:t xml:space="preserve"> </w:t>
      </w:r>
    </w:p>
    <w:p w14:paraId="71BE1A39" w14:textId="6DDEF9CE" w:rsidR="00740335" w:rsidRPr="00433DD5" w:rsidRDefault="00D90986" w:rsidP="001A0378">
      <w:pPr>
        <w:spacing w:line="360" w:lineRule="auto"/>
        <w:jc w:val="both"/>
        <w:rPr>
          <w:rFonts w:asciiTheme="majorBidi" w:hAnsiTheme="majorBidi" w:cstheme="majorBidi"/>
          <w:lang w:val="es-ES_tradnl"/>
        </w:rPr>
      </w:pPr>
      <w:r w:rsidRPr="00433DD5">
        <w:rPr>
          <w:rFonts w:asciiTheme="majorBidi" w:hAnsiTheme="majorBidi" w:cstheme="majorBidi"/>
          <w:lang w:val="es-ES_tradnl"/>
        </w:rPr>
        <w:tab/>
      </w:r>
      <w:r w:rsidR="001C40D0" w:rsidRPr="00433DD5">
        <w:rPr>
          <w:rFonts w:asciiTheme="majorBidi" w:hAnsiTheme="majorBidi" w:cstheme="majorBidi"/>
          <w:lang w:val="es-ES_tradnl"/>
        </w:rPr>
        <w:t>En el bienio 20</w:t>
      </w:r>
      <w:r w:rsidR="00740335" w:rsidRPr="00433DD5">
        <w:rPr>
          <w:rFonts w:asciiTheme="majorBidi" w:hAnsiTheme="majorBidi" w:cstheme="majorBidi"/>
          <w:lang w:val="es-ES_tradnl"/>
        </w:rPr>
        <w:t>18</w:t>
      </w:r>
      <w:r w:rsidR="001C40D0" w:rsidRPr="00433DD5">
        <w:rPr>
          <w:rFonts w:asciiTheme="majorBidi" w:hAnsiTheme="majorBidi" w:cstheme="majorBidi"/>
          <w:lang w:val="es-ES_tradnl"/>
        </w:rPr>
        <w:t>-20</w:t>
      </w:r>
      <w:r w:rsidR="00740335" w:rsidRPr="00433DD5">
        <w:rPr>
          <w:rFonts w:asciiTheme="majorBidi" w:hAnsiTheme="majorBidi" w:cstheme="majorBidi"/>
          <w:lang w:val="es-ES_tradnl"/>
        </w:rPr>
        <w:t>19, la evaluación especifica tres dimensiones</w:t>
      </w:r>
      <w:r w:rsidR="0064540C" w:rsidRPr="00433DD5">
        <w:rPr>
          <w:rFonts w:asciiTheme="majorBidi" w:hAnsiTheme="majorBidi" w:cstheme="majorBidi"/>
          <w:lang w:val="es-ES_tradnl"/>
        </w:rPr>
        <w:t xml:space="preserve">: </w:t>
      </w:r>
      <w:r w:rsidR="0064540C" w:rsidRPr="00433DD5">
        <w:rPr>
          <w:rFonts w:asciiTheme="majorBidi" w:hAnsiTheme="majorBidi" w:cstheme="majorBidi"/>
          <w:i/>
          <w:iCs/>
          <w:lang w:val="es-ES_tradnl"/>
        </w:rPr>
        <w:t>1)</w:t>
      </w:r>
      <w:r w:rsidR="00C77C75" w:rsidRPr="00433DD5">
        <w:rPr>
          <w:rFonts w:asciiTheme="majorBidi" w:hAnsiTheme="majorBidi" w:cstheme="majorBidi"/>
          <w:lang w:val="es-ES_tradnl"/>
        </w:rPr>
        <w:t xml:space="preserve"> </w:t>
      </w:r>
      <w:r w:rsidR="00740335" w:rsidRPr="00433DD5">
        <w:rPr>
          <w:rFonts w:asciiTheme="majorBidi" w:hAnsiTheme="majorBidi" w:cstheme="majorBidi"/>
          <w:lang w:val="es-ES_tradnl"/>
        </w:rPr>
        <w:t>Autoevaluación Académica</w:t>
      </w:r>
      <w:r w:rsidR="00DE5685" w:rsidRPr="00433DD5">
        <w:rPr>
          <w:rFonts w:asciiTheme="majorBidi" w:hAnsiTheme="majorBidi" w:cstheme="majorBidi"/>
          <w:lang w:val="es-ES_tradnl"/>
        </w:rPr>
        <w:t>,</w:t>
      </w:r>
      <w:r w:rsidR="00740335" w:rsidRPr="00433DD5">
        <w:rPr>
          <w:rFonts w:asciiTheme="majorBidi" w:hAnsiTheme="majorBidi" w:cstheme="majorBidi"/>
          <w:lang w:val="es-ES_tradnl"/>
        </w:rPr>
        <w:t xml:space="preserve"> </w:t>
      </w:r>
      <w:r w:rsidR="00F21DC2" w:rsidRPr="00433DD5">
        <w:rPr>
          <w:rFonts w:asciiTheme="majorBidi" w:hAnsiTheme="majorBidi" w:cstheme="majorBidi"/>
          <w:lang w:val="es-ES_tradnl"/>
        </w:rPr>
        <w:t>asociada</w:t>
      </w:r>
      <w:r w:rsidR="00740335" w:rsidRPr="00433DD5">
        <w:rPr>
          <w:rFonts w:asciiTheme="majorBidi" w:hAnsiTheme="majorBidi" w:cstheme="majorBidi"/>
          <w:lang w:val="es-ES_tradnl"/>
        </w:rPr>
        <w:t xml:space="preserve"> a los distintos análisis para identificar principales problemas y fortalezas, en la que se califica </w:t>
      </w:r>
      <w:r w:rsidR="0064540C" w:rsidRPr="00433DD5">
        <w:rPr>
          <w:rFonts w:asciiTheme="majorBidi" w:hAnsiTheme="majorBidi" w:cstheme="majorBidi"/>
          <w:lang w:val="es-ES_tradnl"/>
        </w:rPr>
        <w:t>mayormente con color amarillo y que refiere a que la claridad sobre la identificación de los problemas fue</w:t>
      </w:r>
      <w:r w:rsidR="001C3182" w:rsidRPr="00433DD5">
        <w:rPr>
          <w:rFonts w:asciiTheme="majorBidi" w:hAnsiTheme="majorBidi" w:cstheme="majorBidi"/>
          <w:lang w:val="es-ES_tradnl"/>
        </w:rPr>
        <w:t xml:space="preserve"> </w:t>
      </w:r>
      <w:r w:rsidR="0064540C" w:rsidRPr="00433DD5">
        <w:rPr>
          <w:rFonts w:asciiTheme="majorBidi" w:hAnsiTheme="majorBidi" w:cstheme="majorBidi"/>
          <w:lang w:val="es-ES_tradnl"/>
        </w:rPr>
        <w:t xml:space="preserve">buena, </w:t>
      </w:r>
      <w:r w:rsidR="0064540C" w:rsidRPr="00433DD5">
        <w:rPr>
          <w:rFonts w:asciiTheme="majorBidi" w:hAnsiTheme="majorBidi" w:cstheme="majorBidi"/>
          <w:i/>
          <w:iCs/>
          <w:lang w:val="es-ES_tradnl"/>
        </w:rPr>
        <w:t>2)</w:t>
      </w:r>
      <w:r w:rsidR="0064540C" w:rsidRPr="00433DD5">
        <w:rPr>
          <w:rFonts w:asciiTheme="majorBidi" w:hAnsiTheme="majorBidi" w:cstheme="majorBidi"/>
          <w:lang w:val="es-ES_tradnl"/>
        </w:rPr>
        <w:t xml:space="preserve"> Capacidad y Competitividad, que refiere a los principales indicadores de PTC con posgrado, SNI y perfil</w:t>
      </w:r>
      <w:r w:rsidR="00A37ED1" w:rsidRPr="00433DD5">
        <w:rPr>
          <w:rFonts w:asciiTheme="majorBidi" w:hAnsiTheme="majorBidi" w:cstheme="majorBidi"/>
          <w:lang w:val="es-ES_tradnl"/>
        </w:rPr>
        <w:t xml:space="preserve"> validado por el</w:t>
      </w:r>
      <w:r w:rsidR="0064540C" w:rsidRPr="00433DD5">
        <w:rPr>
          <w:rFonts w:asciiTheme="majorBidi" w:hAnsiTheme="majorBidi" w:cstheme="majorBidi"/>
          <w:lang w:val="es-ES_tradnl"/>
        </w:rPr>
        <w:t xml:space="preserve"> </w:t>
      </w:r>
      <w:r w:rsidR="00A37ED1" w:rsidRPr="00433DD5">
        <w:rPr>
          <w:rFonts w:asciiTheme="majorBidi" w:hAnsiTheme="majorBidi" w:cstheme="majorBidi"/>
          <w:lang w:val="es-ES_tradnl"/>
        </w:rPr>
        <w:t>Programa para el Desarrollo Profesional Docente, para el Tipo Superior (</w:t>
      </w:r>
      <w:r w:rsidR="00BB1B90" w:rsidRPr="00433DD5">
        <w:rPr>
          <w:rFonts w:asciiTheme="majorBidi" w:hAnsiTheme="majorBidi" w:cstheme="majorBidi"/>
          <w:lang w:val="es-ES_tradnl"/>
        </w:rPr>
        <w:t>Prodep</w:t>
      </w:r>
      <w:r w:rsidR="00A37ED1" w:rsidRPr="00433DD5">
        <w:rPr>
          <w:rFonts w:asciiTheme="majorBidi" w:hAnsiTheme="majorBidi" w:cstheme="majorBidi"/>
          <w:lang w:val="es-ES_tradnl"/>
        </w:rPr>
        <w:t>)</w:t>
      </w:r>
      <w:r w:rsidR="0064540C" w:rsidRPr="00433DD5">
        <w:rPr>
          <w:rFonts w:asciiTheme="majorBidi" w:hAnsiTheme="majorBidi" w:cstheme="majorBidi"/>
          <w:lang w:val="es-ES_tradnl"/>
        </w:rPr>
        <w:t xml:space="preserve">, </w:t>
      </w:r>
      <w:r w:rsidR="00A37ED1" w:rsidRPr="00433DD5">
        <w:rPr>
          <w:rFonts w:asciiTheme="majorBidi" w:hAnsiTheme="majorBidi" w:cstheme="majorBidi"/>
          <w:lang w:val="es-ES_tradnl"/>
        </w:rPr>
        <w:t xml:space="preserve">programas </w:t>
      </w:r>
      <w:r w:rsidR="0064540C" w:rsidRPr="00433DD5">
        <w:rPr>
          <w:rFonts w:asciiTheme="majorBidi" w:hAnsiTheme="majorBidi" w:cstheme="majorBidi"/>
          <w:lang w:val="es-ES_tradnl"/>
        </w:rPr>
        <w:t>educativos de calidad</w:t>
      </w:r>
      <w:r w:rsidR="007D64AB" w:rsidRPr="00433DD5">
        <w:rPr>
          <w:rFonts w:asciiTheme="majorBidi" w:hAnsiTheme="majorBidi" w:cstheme="majorBidi"/>
          <w:lang w:val="es-ES_tradnl"/>
        </w:rPr>
        <w:t xml:space="preserve"> de </w:t>
      </w:r>
      <w:r w:rsidR="00A37ED1" w:rsidRPr="00433DD5">
        <w:rPr>
          <w:rFonts w:asciiTheme="majorBidi" w:hAnsiTheme="majorBidi" w:cstheme="majorBidi"/>
          <w:lang w:val="es-ES_tradnl"/>
        </w:rPr>
        <w:t xml:space="preserve">licenciatura </w:t>
      </w:r>
      <w:r w:rsidR="007D64AB" w:rsidRPr="00433DD5">
        <w:rPr>
          <w:rFonts w:asciiTheme="majorBidi" w:hAnsiTheme="majorBidi" w:cstheme="majorBidi"/>
          <w:lang w:val="es-ES_tradnl"/>
        </w:rPr>
        <w:t xml:space="preserve">y </w:t>
      </w:r>
      <w:r w:rsidR="00A37ED1" w:rsidRPr="00433DD5">
        <w:rPr>
          <w:rFonts w:asciiTheme="majorBidi" w:hAnsiTheme="majorBidi" w:cstheme="majorBidi"/>
          <w:lang w:val="es-ES_tradnl"/>
        </w:rPr>
        <w:t xml:space="preserve">posgrado </w:t>
      </w:r>
      <w:r w:rsidR="007D64AB" w:rsidRPr="00433DD5">
        <w:rPr>
          <w:rFonts w:asciiTheme="majorBidi" w:hAnsiTheme="majorBidi" w:cstheme="majorBidi"/>
          <w:lang w:val="es-ES_tradnl"/>
        </w:rPr>
        <w:t xml:space="preserve">y evolución en la eficiencia terminal, y </w:t>
      </w:r>
      <w:r w:rsidR="007D64AB" w:rsidRPr="00433DD5">
        <w:rPr>
          <w:rFonts w:asciiTheme="majorBidi" w:hAnsiTheme="majorBidi" w:cstheme="majorBidi"/>
          <w:i/>
          <w:iCs/>
          <w:lang w:val="es-ES_tradnl"/>
        </w:rPr>
        <w:t>3)</w:t>
      </w:r>
      <w:r w:rsidR="007D64AB" w:rsidRPr="00433DD5">
        <w:rPr>
          <w:rFonts w:asciiTheme="majorBidi" w:hAnsiTheme="majorBidi" w:cstheme="majorBidi"/>
          <w:lang w:val="es-ES_tradnl"/>
        </w:rPr>
        <w:t xml:space="preserve"> </w:t>
      </w:r>
      <w:r w:rsidR="000635D9" w:rsidRPr="00433DD5">
        <w:rPr>
          <w:rFonts w:asciiTheme="majorBidi" w:hAnsiTheme="majorBidi" w:cstheme="majorBidi"/>
          <w:lang w:val="es-ES_tradnl"/>
        </w:rPr>
        <w:t>Consistencia y Contribución</w:t>
      </w:r>
      <w:r w:rsidR="00DE5685" w:rsidRPr="00433DD5">
        <w:rPr>
          <w:rFonts w:asciiTheme="majorBidi" w:hAnsiTheme="majorBidi" w:cstheme="majorBidi"/>
          <w:lang w:val="es-ES_tradnl"/>
        </w:rPr>
        <w:t>,</w:t>
      </w:r>
      <w:r w:rsidR="000635D9" w:rsidRPr="00433DD5">
        <w:rPr>
          <w:rFonts w:asciiTheme="majorBidi" w:hAnsiTheme="majorBidi" w:cstheme="majorBidi"/>
          <w:lang w:val="es-ES_tradnl"/>
        </w:rPr>
        <w:t xml:space="preserve"> que hace alusión a </w:t>
      </w:r>
      <w:r w:rsidR="00576FF8" w:rsidRPr="00433DD5">
        <w:rPr>
          <w:rFonts w:asciiTheme="majorBidi" w:hAnsiTheme="majorBidi" w:cstheme="majorBidi"/>
          <w:lang w:val="es-ES_tradnl"/>
        </w:rPr>
        <w:t xml:space="preserve">la </w:t>
      </w:r>
      <w:r w:rsidR="00A25634" w:rsidRPr="00433DD5">
        <w:rPr>
          <w:rFonts w:asciiTheme="majorBidi" w:hAnsiTheme="majorBidi" w:cstheme="majorBidi"/>
          <w:lang w:val="es-ES_tradnl"/>
        </w:rPr>
        <w:t xml:space="preserve">colaboración </w:t>
      </w:r>
      <w:r w:rsidR="00576FF8" w:rsidRPr="00433DD5">
        <w:rPr>
          <w:rFonts w:asciiTheme="majorBidi" w:hAnsiTheme="majorBidi" w:cstheme="majorBidi"/>
          <w:lang w:val="es-ES_tradnl"/>
        </w:rPr>
        <w:t xml:space="preserve">del proyecto integral, a la articulación y congruencia de las metas, estrategias y acciones con los problemas y fortalezas detectadas en el diagnóstico y que buscan la mejora continua de los programas educativos. </w:t>
      </w:r>
    </w:p>
    <w:p w14:paraId="041F0671" w14:textId="1E22570A" w:rsidR="00052839" w:rsidRPr="00433DD5" w:rsidRDefault="00D90986" w:rsidP="001A0378">
      <w:pPr>
        <w:spacing w:line="360" w:lineRule="auto"/>
        <w:jc w:val="both"/>
        <w:rPr>
          <w:rFonts w:asciiTheme="majorBidi" w:hAnsiTheme="majorBidi" w:cstheme="majorBidi"/>
        </w:rPr>
      </w:pPr>
      <w:r w:rsidRPr="00433DD5">
        <w:rPr>
          <w:rFonts w:asciiTheme="majorBidi" w:hAnsiTheme="majorBidi" w:cstheme="majorBidi"/>
        </w:rPr>
        <w:tab/>
      </w:r>
      <w:r w:rsidR="00832D28" w:rsidRPr="00433DD5">
        <w:rPr>
          <w:rFonts w:asciiTheme="majorBidi" w:hAnsiTheme="majorBidi" w:cstheme="majorBidi"/>
        </w:rPr>
        <w:t xml:space="preserve">Como puede </w:t>
      </w:r>
      <w:r w:rsidR="00F21DC2" w:rsidRPr="00433DD5">
        <w:rPr>
          <w:rFonts w:asciiTheme="majorBidi" w:hAnsiTheme="majorBidi" w:cstheme="majorBidi"/>
        </w:rPr>
        <w:t>adverti</w:t>
      </w:r>
      <w:r w:rsidR="00832D28" w:rsidRPr="00433DD5">
        <w:rPr>
          <w:rFonts w:asciiTheme="majorBidi" w:hAnsiTheme="majorBidi" w:cstheme="majorBidi"/>
        </w:rPr>
        <w:t>rse</w:t>
      </w:r>
      <w:r w:rsidR="00E5283D" w:rsidRPr="00433DD5">
        <w:rPr>
          <w:rFonts w:asciiTheme="majorBidi" w:hAnsiTheme="majorBidi" w:cstheme="majorBidi"/>
        </w:rPr>
        <w:t>,</w:t>
      </w:r>
      <w:r w:rsidR="00832D28" w:rsidRPr="00433DD5">
        <w:rPr>
          <w:rFonts w:asciiTheme="majorBidi" w:hAnsiTheme="majorBidi" w:cstheme="majorBidi"/>
        </w:rPr>
        <w:t xml:space="preserve"> existen dos</w:t>
      </w:r>
      <w:r w:rsidR="001F6AF2" w:rsidRPr="00433DD5">
        <w:rPr>
          <w:rFonts w:asciiTheme="majorBidi" w:hAnsiTheme="majorBidi" w:cstheme="majorBidi"/>
        </w:rPr>
        <w:t xml:space="preserve"> puntajes bajos (marcados en </w:t>
      </w:r>
      <w:r w:rsidR="00832D28" w:rsidRPr="00433DD5">
        <w:rPr>
          <w:rFonts w:asciiTheme="majorBidi" w:hAnsiTheme="majorBidi" w:cstheme="majorBidi"/>
        </w:rPr>
        <w:t>color naranja</w:t>
      </w:r>
      <w:r w:rsidR="001F6AF2" w:rsidRPr="00433DD5">
        <w:rPr>
          <w:rFonts w:asciiTheme="majorBidi" w:hAnsiTheme="majorBidi" w:cstheme="majorBidi"/>
        </w:rPr>
        <w:t>)</w:t>
      </w:r>
      <w:r w:rsidR="00832D28" w:rsidRPr="00433DD5">
        <w:rPr>
          <w:rFonts w:asciiTheme="majorBidi" w:hAnsiTheme="majorBidi" w:cstheme="majorBidi"/>
        </w:rPr>
        <w:t xml:space="preserve"> que refiere</w:t>
      </w:r>
      <w:r w:rsidR="001F6AF2" w:rsidRPr="00433DD5">
        <w:rPr>
          <w:rFonts w:asciiTheme="majorBidi" w:hAnsiTheme="majorBidi" w:cstheme="majorBidi"/>
        </w:rPr>
        <w:t>n</w:t>
      </w:r>
      <w:r w:rsidR="00CC7F99" w:rsidRPr="00433DD5">
        <w:rPr>
          <w:rFonts w:asciiTheme="majorBidi" w:hAnsiTheme="majorBidi" w:cstheme="majorBidi"/>
        </w:rPr>
        <w:t xml:space="preserve"> a los programas educativos de calidad</w:t>
      </w:r>
      <w:r w:rsidR="001F6AF2" w:rsidRPr="00433DD5">
        <w:rPr>
          <w:rFonts w:asciiTheme="majorBidi" w:hAnsiTheme="majorBidi" w:cstheme="majorBidi"/>
        </w:rPr>
        <w:t>,</w:t>
      </w:r>
      <w:r w:rsidR="00CC7F99" w:rsidRPr="00433DD5">
        <w:rPr>
          <w:rFonts w:asciiTheme="majorBidi" w:hAnsiTheme="majorBidi" w:cstheme="majorBidi"/>
        </w:rPr>
        <w:t xml:space="preserve"> ya que no todos contaban con reconocimiento</w:t>
      </w:r>
      <w:r w:rsidR="007B2825" w:rsidRPr="00433DD5">
        <w:rPr>
          <w:rFonts w:asciiTheme="majorBidi" w:hAnsiTheme="majorBidi" w:cstheme="majorBidi"/>
        </w:rPr>
        <w:t>,</w:t>
      </w:r>
      <w:r w:rsidR="00CC7F99" w:rsidRPr="00433DD5">
        <w:rPr>
          <w:rFonts w:asciiTheme="majorBidi" w:hAnsiTheme="majorBidi" w:cstheme="majorBidi"/>
        </w:rPr>
        <w:t xml:space="preserve"> </w:t>
      </w:r>
      <w:r w:rsidR="00CC7F99" w:rsidRPr="00433DD5">
        <w:rPr>
          <w:rFonts w:asciiTheme="majorBidi" w:hAnsiTheme="majorBidi" w:cstheme="majorBidi"/>
        </w:rPr>
        <w:lastRenderedPageBreak/>
        <w:t xml:space="preserve">y el otro rubro </w:t>
      </w:r>
      <w:r w:rsidR="0019256A" w:rsidRPr="00433DD5">
        <w:rPr>
          <w:rFonts w:asciiTheme="majorBidi" w:hAnsiTheme="majorBidi" w:cstheme="majorBidi"/>
        </w:rPr>
        <w:t xml:space="preserve">asociado </w:t>
      </w:r>
      <w:r w:rsidR="00052839" w:rsidRPr="00433DD5">
        <w:rPr>
          <w:rFonts w:asciiTheme="majorBidi" w:hAnsiTheme="majorBidi" w:cstheme="majorBidi"/>
        </w:rPr>
        <w:t>al monto total solicitado del proyecto</w:t>
      </w:r>
      <w:r w:rsidR="001F6AF2" w:rsidRPr="00433DD5">
        <w:rPr>
          <w:rFonts w:asciiTheme="majorBidi" w:hAnsiTheme="majorBidi" w:cstheme="majorBidi"/>
        </w:rPr>
        <w:t>, consider</w:t>
      </w:r>
      <w:r w:rsidR="00637228" w:rsidRPr="00433DD5">
        <w:rPr>
          <w:rFonts w:asciiTheme="majorBidi" w:hAnsiTheme="majorBidi" w:cstheme="majorBidi"/>
        </w:rPr>
        <w:t xml:space="preserve">ado </w:t>
      </w:r>
      <w:r w:rsidR="001F6AF2" w:rsidRPr="00433DD5">
        <w:rPr>
          <w:rFonts w:asciiTheme="majorBidi" w:hAnsiTheme="majorBidi" w:cstheme="majorBidi"/>
        </w:rPr>
        <w:t xml:space="preserve">excesivo de acuerdo </w:t>
      </w:r>
      <w:r w:rsidR="002A3227" w:rsidRPr="00433DD5">
        <w:rPr>
          <w:rFonts w:asciiTheme="majorBidi" w:hAnsiTheme="majorBidi" w:cstheme="majorBidi"/>
        </w:rPr>
        <w:t xml:space="preserve">con </w:t>
      </w:r>
      <w:r w:rsidR="001F6AF2" w:rsidRPr="00433DD5">
        <w:rPr>
          <w:rFonts w:asciiTheme="majorBidi" w:hAnsiTheme="majorBidi" w:cstheme="majorBidi"/>
        </w:rPr>
        <w:t>las necesidades declaradas.</w:t>
      </w:r>
      <w:r w:rsidR="00052839" w:rsidRPr="00433DD5">
        <w:rPr>
          <w:rFonts w:asciiTheme="majorBidi" w:hAnsiTheme="majorBidi" w:cstheme="majorBidi"/>
        </w:rPr>
        <w:t xml:space="preserve"> </w:t>
      </w:r>
    </w:p>
    <w:p w14:paraId="78B3AD9A" w14:textId="152EC847" w:rsidR="00596933" w:rsidRPr="00433DD5" w:rsidRDefault="00D90986" w:rsidP="001A0378">
      <w:pPr>
        <w:spacing w:line="360" w:lineRule="auto"/>
        <w:jc w:val="both"/>
        <w:rPr>
          <w:rFonts w:asciiTheme="majorBidi" w:hAnsiTheme="majorBidi" w:cstheme="majorBidi"/>
        </w:rPr>
      </w:pPr>
      <w:r w:rsidRPr="00433DD5">
        <w:rPr>
          <w:rFonts w:asciiTheme="majorBidi" w:hAnsiTheme="majorBidi" w:cstheme="majorBidi"/>
        </w:rPr>
        <w:tab/>
      </w:r>
      <w:r w:rsidR="00052839" w:rsidRPr="00433DD5">
        <w:rPr>
          <w:rFonts w:asciiTheme="majorBidi" w:hAnsiTheme="majorBidi" w:cstheme="majorBidi"/>
        </w:rPr>
        <w:t>En los años 2020-2021, la DES mejoró sustancialmente la evaluación</w:t>
      </w:r>
      <w:r w:rsidR="002A3227" w:rsidRPr="00433DD5">
        <w:rPr>
          <w:rFonts w:asciiTheme="majorBidi" w:hAnsiTheme="majorBidi" w:cstheme="majorBidi"/>
        </w:rPr>
        <w:t xml:space="preserve">: obtuvo </w:t>
      </w:r>
      <w:r w:rsidR="00052839" w:rsidRPr="00433DD5">
        <w:rPr>
          <w:rFonts w:asciiTheme="majorBidi" w:hAnsiTheme="majorBidi" w:cstheme="majorBidi"/>
        </w:rPr>
        <w:t>solo dos puntajes en calificación regular</w:t>
      </w:r>
      <w:r w:rsidR="002A3227" w:rsidRPr="00433DD5">
        <w:rPr>
          <w:rFonts w:asciiTheme="majorBidi" w:hAnsiTheme="majorBidi" w:cstheme="majorBidi"/>
        </w:rPr>
        <w:t>,</w:t>
      </w:r>
      <w:r w:rsidR="00052839" w:rsidRPr="00433DD5">
        <w:rPr>
          <w:rFonts w:asciiTheme="majorBidi" w:hAnsiTheme="majorBidi" w:cstheme="majorBidi"/>
        </w:rPr>
        <w:t xml:space="preserve"> referidos a la eficiencia terminal y a</w:t>
      </w:r>
      <w:r w:rsidR="000B125A" w:rsidRPr="00433DD5">
        <w:rPr>
          <w:rFonts w:asciiTheme="majorBidi" w:hAnsiTheme="majorBidi" w:cstheme="majorBidi"/>
        </w:rPr>
        <w:t>l por</w:t>
      </w:r>
      <w:r w:rsidR="007620EA" w:rsidRPr="00433DD5">
        <w:rPr>
          <w:rFonts w:asciiTheme="majorBidi" w:hAnsiTheme="majorBidi" w:cstheme="majorBidi"/>
        </w:rPr>
        <w:t>c</w:t>
      </w:r>
      <w:r w:rsidR="000B125A" w:rsidRPr="00433DD5">
        <w:rPr>
          <w:rFonts w:asciiTheme="majorBidi" w:hAnsiTheme="majorBidi" w:cstheme="majorBidi"/>
        </w:rPr>
        <w:t>entaje de programas de posgrados de calidad. Sin embargo</w:t>
      </w:r>
      <w:r w:rsidR="007B2825" w:rsidRPr="00433DD5">
        <w:rPr>
          <w:rFonts w:asciiTheme="majorBidi" w:hAnsiTheme="majorBidi" w:cstheme="majorBidi"/>
        </w:rPr>
        <w:t>,</w:t>
      </w:r>
      <w:r w:rsidR="000B125A" w:rsidRPr="00433DD5">
        <w:rPr>
          <w:rFonts w:asciiTheme="majorBidi" w:hAnsiTheme="majorBidi" w:cstheme="majorBidi"/>
        </w:rPr>
        <w:t xml:space="preserve"> en todos los demás rubros tiene una calif</w:t>
      </w:r>
      <w:r w:rsidR="00987D78" w:rsidRPr="00433DD5">
        <w:rPr>
          <w:rFonts w:asciiTheme="majorBidi" w:hAnsiTheme="majorBidi" w:cstheme="majorBidi"/>
        </w:rPr>
        <w:t>i</w:t>
      </w:r>
      <w:r w:rsidR="000B125A" w:rsidRPr="00433DD5">
        <w:rPr>
          <w:rFonts w:asciiTheme="majorBidi" w:hAnsiTheme="majorBidi" w:cstheme="majorBidi"/>
        </w:rPr>
        <w:t>cación aceptable.</w:t>
      </w:r>
      <w:r w:rsidR="00FE62A1" w:rsidRPr="00433DD5">
        <w:rPr>
          <w:rFonts w:asciiTheme="majorBidi" w:hAnsiTheme="majorBidi" w:cstheme="majorBidi"/>
        </w:rPr>
        <w:t xml:space="preserve"> La segunda DES analizada perteneciente a la región Veracruz se muestra a continuación:</w:t>
      </w:r>
    </w:p>
    <w:p w14:paraId="5C4E78FE" w14:textId="5FFF72C1" w:rsidR="00596933" w:rsidRPr="00433DD5" w:rsidRDefault="00596933" w:rsidP="001A0378">
      <w:pPr>
        <w:spacing w:line="360" w:lineRule="auto"/>
        <w:jc w:val="center"/>
        <w:rPr>
          <w:rFonts w:asciiTheme="majorBidi" w:hAnsiTheme="majorBidi" w:cstheme="majorBidi"/>
          <w:b/>
          <w:bCs/>
        </w:rPr>
      </w:pPr>
    </w:p>
    <w:p w14:paraId="5E74B70D" w14:textId="6CF1A1CB" w:rsidR="004E37AF" w:rsidRPr="00433DD5" w:rsidRDefault="008C047B" w:rsidP="001A0378">
      <w:pPr>
        <w:spacing w:line="360" w:lineRule="auto"/>
        <w:jc w:val="center"/>
        <w:rPr>
          <w:rFonts w:asciiTheme="majorBidi" w:hAnsiTheme="majorBidi" w:cstheme="majorBidi"/>
        </w:rPr>
      </w:pPr>
      <w:r w:rsidRPr="00433DD5">
        <w:rPr>
          <w:rFonts w:asciiTheme="majorBidi" w:hAnsiTheme="majorBidi" w:cstheme="majorBidi"/>
          <w:b/>
          <w:bCs/>
        </w:rPr>
        <w:t xml:space="preserve">Figura </w:t>
      </w:r>
      <w:r w:rsidR="009D51F4" w:rsidRPr="00433DD5">
        <w:rPr>
          <w:rFonts w:asciiTheme="majorBidi" w:hAnsiTheme="majorBidi" w:cstheme="majorBidi"/>
          <w:b/>
          <w:bCs/>
        </w:rPr>
        <w:t>4</w:t>
      </w:r>
      <w:r w:rsidRPr="00433DD5">
        <w:rPr>
          <w:rFonts w:asciiTheme="majorBidi" w:hAnsiTheme="majorBidi" w:cstheme="majorBidi"/>
          <w:b/>
          <w:bCs/>
        </w:rPr>
        <w:t>.</w:t>
      </w:r>
      <w:r w:rsidR="003F3038" w:rsidRPr="00433DD5">
        <w:rPr>
          <w:rFonts w:asciiTheme="majorBidi" w:hAnsiTheme="majorBidi" w:cstheme="majorBidi"/>
          <w:b/>
          <w:bCs/>
        </w:rPr>
        <w:t xml:space="preserve"> </w:t>
      </w:r>
      <w:r w:rsidR="003F3038" w:rsidRPr="00433DD5">
        <w:rPr>
          <w:rFonts w:asciiTheme="majorBidi" w:hAnsiTheme="majorBidi" w:cstheme="majorBidi"/>
        </w:rPr>
        <w:t xml:space="preserve">Evaluación de la DES 386: </w:t>
      </w:r>
      <w:r w:rsidR="00212D02" w:rsidRPr="00433DD5">
        <w:rPr>
          <w:lang w:eastAsia="es-ES"/>
        </w:rPr>
        <w:t>Área Académica Biológico Agropecuaria Veracruz</w:t>
      </w:r>
    </w:p>
    <w:p w14:paraId="3E9F502E" w14:textId="72662B7C" w:rsidR="004E37AF" w:rsidRPr="00433DD5" w:rsidRDefault="004860A0" w:rsidP="001A0378">
      <w:pPr>
        <w:spacing w:line="360" w:lineRule="auto"/>
        <w:jc w:val="center"/>
        <w:rPr>
          <w:lang w:val="es-ES_tradnl"/>
        </w:rPr>
      </w:pPr>
      <w:r w:rsidRPr="00433DD5">
        <w:rPr>
          <w:noProof/>
          <w:lang w:val="es-ES_tradnl"/>
        </w:rPr>
        <w:drawing>
          <wp:inline distT="0" distB="0" distL="0" distR="0" wp14:anchorId="549F208B" wp14:editId="7250D912">
            <wp:extent cx="4719600" cy="2513027"/>
            <wp:effectExtent l="0" t="0" r="5080"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11">
                      <a:extLst>
                        <a:ext uri="{28A0092B-C50C-407E-A947-70E740481C1C}">
                          <a14:useLocalDpi xmlns:a14="http://schemas.microsoft.com/office/drawing/2010/main" val="0"/>
                        </a:ext>
                      </a:extLst>
                    </a:blip>
                    <a:stretch>
                      <a:fillRect/>
                    </a:stretch>
                  </pic:blipFill>
                  <pic:spPr>
                    <a:xfrm>
                      <a:off x="0" y="0"/>
                      <a:ext cx="4719600" cy="2513027"/>
                    </a:xfrm>
                    <a:prstGeom prst="rect">
                      <a:avLst/>
                    </a:prstGeom>
                  </pic:spPr>
                </pic:pic>
              </a:graphicData>
            </a:graphic>
          </wp:inline>
        </w:drawing>
      </w:r>
    </w:p>
    <w:p w14:paraId="065475B1" w14:textId="784545D5" w:rsidR="00172D18" w:rsidRPr="00433DD5" w:rsidRDefault="00172D18" w:rsidP="001A0378">
      <w:pPr>
        <w:spacing w:line="360" w:lineRule="auto"/>
        <w:jc w:val="center"/>
        <w:rPr>
          <w:lang w:val="es-ES_tradnl"/>
        </w:rPr>
      </w:pPr>
      <w:r w:rsidRPr="00433DD5">
        <w:rPr>
          <w:lang w:val="es-ES_tradnl"/>
        </w:rPr>
        <w:t xml:space="preserve">Fuente: </w:t>
      </w:r>
      <w:r w:rsidR="00212D02" w:rsidRPr="00433DD5">
        <w:rPr>
          <w:lang w:val="es-ES_tradnl"/>
        </w:rPr>
        <w:t xml:space="preserve">Elaboración </w:t>
      </w:r>
      <w:r w:rsidRPr="00433DD5">
        <w:rPr>
          <w:lang w:val="es-ES_tradnl"/>
        </w:rPr>
        <w:t xml:space="preserve">propia a partir de las evaluaciones emitidas por los programas PFCE y </w:t>
      </w:r>
      <w:r w:rsidR="001A0378" w:rsidRPr="00433DD5">
        <w:rPr>
          <w:lang w:val="es-ES_tradnl"/>
        </w:rPr>
        <w:t>Profexce</w:t>
      </w:r>
    </w:p>
    <w:p w14:paraId="432D47AD" w14:textId="3FC34818" w:rsidR="00596933" w:rsidRPr="00433DD5" w:rsidRDefault="00E5283D" w:rsidP="00433DD5">
      <w:pPr>
        <w:spacing w:line="360" w:lineRule="auto"/>
        <w:jc w:val="both"/>
        <w:rPr>
          <w:lang w:val="es-ES_tradnl"/>
        </w:rPr>
      </w:pPr>
      <w:r w:rsidRPr="00433DD5">
        <w:rPr>
          <w:lang w:val="es-ES_tradnl"/>
        </w:rPr>
        <w:t>En general, como</w:t>
      </w:r>
      <w:r w:rsidR="004E37AF" w:rsidRPr="00433DD5">
        <w:rPr>
          <w:lang w:val="es-ES_tradnl"/>
        </w:rPr>
        <w:t xml:space="preserve"> puede advertirse</w:t>
      </w:r>
      <w:r w:rsidRPr="00433DD5">
        <w:rPr>
          <w:lang w:val="es-ES_tradnl"/>
        </w:rPr>
        <w:t>,</w:t>
      </w:r>
      <w:r w:rsidR="004E37AF" w:rsidRPr="00433DD5">
        <w:rPr>
          <w:lang w:val="es-ES_tradnl"/>
        </w:rPr>
        <w:t xml:space="preserve"> los tres bienios </w:t>
      </w:r>
      <w:r w:rsidR="008304DA" w:rsidRPr="00433DD5">
        <w:rPr>
          <w:lang w:val="es-ES_tradnl"/>
        </w:rPr>
        <w:t>analizados</w:t>
      </w:r>
      <w:r w:rsidRPr="00433DD5">
        <w:rPr>
          <w:lang w:val="es-ES_tradnl"/>
        </w:rPr>
        <w:t xml:space="preserve"> de esta DES</w:t>
      </w:r>
      <w:r w:rsidR="008304DA" w:rsidRPr="00433DD5">
        <w:rPr>
          <w:lang w:val="es-ES_tradnl"/>
        </w:rPr>
        <w:t xml:space="preserve"> </w:t>
      </w:r>
      <w:r w:rsidR="004E37AF" w:rsidRPr="00433DD5">
        <w:rPr>
          <w:lang w:val="es-ES_tradnl"/>
        </w:rPr>
        <w:t xml:space="preserve">mantienen una evaluación aceptable </w:t>
      </w:r>
      <w:r w:rsidR="00957206" w:rsidRPr="00433DD5">
        <w:rPr>
          <w:lang w:val="es-ES_tradnl"/>
        </w:rPr>
        <w:t>e</w:t>
      </w:r>
      <w:r w:rsidR="004E37AF" w:rsidRPr="00433DD5">
        <w:rPr>
          <w:lang w:val="es-ES_tradnl"/>
        </w:rPr>
        <w:t xml:space="preserve">n casi todos los </w:t>
      </w:r>
      <w:r w:rsidR="005D4ACE" w:rsidRPr="00433DD5">
        <w:rPr>
          <w:lang w:val="es-ES_tradnl"/>
        </w:rPr>
        <w:t>ámbitos</w:t>
      </w:r>
      <w:r w:rsidR="0038578F" w:rsidRPr="00433DD5">
        <w:rPr>
          <w:lang w:val="es-ES_tradnl"/>
        </w:rPr>
        <w:t>,</w:t>
      </w:r>
      <w:r w:rsidR="004E37AF" w:rsidRPr="00433DD5">
        <w:rPr>
          <w:lang w:val="es-ES_tradnl"/>
        </w:rPr>
        <w:t xml:space="preserve"> evaluados como excelentes y un número muy bajo como buenos, ello evidencia </w:t>
      </w:r>
      <w:r w:rsidR="001C0288" w:rsidRPr="00433DD5">
        <w:rPr>
          <w:lang w:val="es-ES_tradnl"/>
        </w:rPr>
        <w:t>la mejora de la calidad continua en la capacidad y competitividad académica</w:t>
      </w:r>
      <w:r w:rsidR="00957206" w:rsidRPr="00433DD5">
        <w:rPr>
          <w:lang w:val="es-ES_tradnl"/>
        </w:rPr>
        <w:t>, la formación integral de los estudiantes y el fortalecimiento del posgrado.</w:t>
      </w:r>
      <w:r w:rsidR="00FE62A1" w:rsidRPr="00433DD5">
        <w:rPr>
          <w:lang w:val="es-ES_tradnl"/>
        </w:rPr>
        <w:t xml:space="preserve"> </w:t>
      </w:r>
      <w:r w:rsidR="00B83F8D" w:rsidRPr="00433DD5">
        <w:rPr>
          <w:lang w:val="es-ES_tradnl"/>
        </w:rPr>
        <w:t xml:space="preserve">Por último, </w:t>
      </w:r>
      <w:r w:rsidR="00FE62A1" w:rsidRPr="00433DD5">
        <w:rPr>
          <w:lang w:val="es-ES_tradnl"/>
        </w:rPr>
        <w:t>se muestra en la figura 5</w:t>
      </w:r>
      <w:r w:rsidR="00B83F8D" w:rsidRPr="00433DD5">
        <w:rPr>
          <w:lang w:val="es-ES_tradnl"/>
        </w:rPr>
        <w:t xml:space="preserve"> la DES </w:t>
      </w:r>
      <w:r w:rsidR="00FE62A1" w:rsidRPr="00433DD5">
        <w:rPr>
          <w:lang w:val="es-ES_tradnl"/>
        </w:rPr>
        <w:t>correspond</w:t>
      </w:r>
      <w:r w:rsidR="00B83F8D" w:rsidRPr="00433DD5">
        <w:rPr>
          <w:lang w:val="es-ES_tradnl"/>
        </w:rPr>
        <w:t>iente</w:t>
      </w:r>
      <w:r w:rsidR="00FE62A1" w:rsidRPr="00433DD5">
        <w:rPr>
          <w:lang w:val="es-ES_tradnl"/>
        </w:rPr>
        <w:t xml:space="preserve"> a la región de Coatzacoalcos-Minatitlán</w:t>
      </w:r>
    </w:p>
    <w:p w14:paraId="5005A247" w14:textId="77777777" w:rsidR="007720B3" w:rsidRPr="00433DD5" w:rsidRDefault="007720B3" w:rsidP="001A0378">
      <w:pPr>
        <w:spacing w:line="360" w:lineRule="auto"/>
        <w:jc w:val="center"/>
        <w:rPr>
          <w:rFonts w:asciiTheme="majorBidi" w:hAnsiTheme="majorBidi" w:cstheme="majorBidi"/>
          <w:b/>
          <w:bCs/>
        </w:rPr>
      </w:pPr>
    </w:p>
    <w:p w14:paraId="673BB681" w14:textId="1C579193" w:rsidR="008304DA" w:rsidRPr="00433DD5" w:rsidRDefault="003F3038" w:rsidP="001A0378">
      <w:pPr>
        <w:spacing w:line="360" w:lineRule="auto"/>
        <w:jc w:val="center"/>
        <w:rPr>
          <w:lang w:val="es-ES_tradnl"/>
        </w:rPr>
      </w:pPr>
      <w:r w:rsidRPr="00433DD5">
        <w:rPr>
          <w:rFonts w:asciiTheme="majorBidi" w:hAnsiTheme="majorBidi" w:cstheme="majorBidi"/>
          <w:b/>
          <w:bCs/>
        </w:rPr>
        <w:lastRenderedPageBreak/>
        <w:t xml:space="preserve">Figura </w:t>
      </w:r>
      <w:r w:rsidR="009D51F4" w:rsidRPr="00433DD5">
        <w:rPr>
          <w:rFonts w:asciiTheme="majorBidi" w:hAnsiTheme="majorBidi" w:cstheme="majorBidi"/>
          <w:b/>
          <w:bCs/>
        </w:rPr>
        <w:t>5</w:t>
      </w:r>
      <w:r w:rsidRPr="00433DD5">
        <w:rPr>
          <w:rFonts w:asciiTheme="majorBidi" w:hAnsiTheme="majorBidi" w:cstheme="majorBidi"/>
          <w:b/>
          <w:bCs/>
        </w:rPr>
        <w:t xml:space="preserve">. </w:t>
      </w:r>
      <w:r w:rsidRPr="00433DD5">
        <w:rPr>
          <w:rFonts w:asciiTheme="majorBidi" w:hAnsiTheme="majorBidi" w:cstheme="majorBidi"/>
        </w:rPr>
        <w:t xml:space="preserve">Evaluación de la DES 566: </w:t>
      </w:r>
      <w:r w:rsidR="00525604" w:rsidRPr="00433DD5">
        <w:rPr>
          <w:lang w:eastAsia="es-ES"/>
        </w:rPr>
        <w:t>Área Académica Biológico Agropecuaria Coatzacoalcos-Acayucan</w:t>
      </w:r>
      <w:r w:rsidR="004860A0" w:rsidRPr="00433DD5">
        <w:rPr>
          <w:noProof/>
          <w:lang w:val="es-ES_tradnl"/>
        </w:rPr>
        <w:drawing>
          <wp:inline distT="0" distB="0" distL="0" distR="0" wp14:anchorId="62F2BC71" wp14:editId="439C607B">
            <wp:extent cx="4719600" cy="2415116"/>
            <wp:effectExtent l="0" t="0" r="5080"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2">
                      <a:extLst>
                        <a:ext uri="{28A0092B-C50C-407E-A947-70E740481C1C}">
                          <a14:useLocalDpi xmlns:a14="http://schemas.microsoft.com/office/drawing/2010/main" val="0"/>
                        </a:ext>
                      </a:extLst>
                    </a:blip>
                    <a:stretch>
                      <a:fillRect/>
                    </a:stretch>
                  </pic:blipFill>
                  <pic:spPr>
                    <a:xfrm>
                      <a:off x="0" y="0"/>
                      <a:ext cx="4719600" cy="2415116"/>
                    </a:xfrm>
                    <a:prstGeom prst="rect">
                      <a:avLst/>
                    </a:prstGeom>
                  </pic:spPr>
                </pic:pic>
              </a:graphicData>
            </a:graphic>
          </wp:inline>
        </w:drawing>
      </w:r>
    </w:p>
    <w:p w14:paraId="7133A831" w14:textId="34611279" w:rsidR="00172D18" w:rsidRPr="00433DD5" w:rsidRDefault="00172D18" w:rsidP="001A0378">
      <w:pPr>
        <w:spacing w:line="360" w:lineRule="auto"/>
        <w:jc w:val="center"/>
        <w:rPr>
          <w:lang w:val="es-ES_tradnl"/>
        </w:rPr>
      </w:pPr>
      <w:r w:rsidRPr="00433DD5">
        <w:rPr>
          <w:lang w:val="es-ES_tradnl"/>
        </w:rPr>
        <w:t xml:space="preserve">Fuente: </w:t>
      </w:r>
      <w:r w:rsidR="00525604" w:rsidRPr="00433DD5">
        <w:rPr>
          <w:lang w:val="es-ES_tradnl"/>
        </w:rPr>
        <w:t xml:space="preserve">Elaboración </w:t>
      </w:r>
      <w:r w:rsidRPr="00433DD5">
        <w:rPr>
          <w:lang w:val="es-ES_tradnl"/>
        </w:rPr>
        <w:t xml:space="preserve">propia a partir de las evaluaciones emitidas por los programas PFCE y </w:t>
      </w:r>
      <w:r w:rsidR="001A0378" w:rsidRPr="00433DD5">
        <w:rPr>
          <w:lang w:val="es-ES_tradnl"/>
        </w:rPr>
        <w:t>Profexce</w:t>
      </w:r>
    </w:p>
    <w:p w14:paraId="26EE51F4" w14:textId="2910DA30" w:rsidR="00F21129" w:rsidRPr="00433DD5" w:rsidRDefault="00D90986" w:rsidP="00433DD5">
      <w:pPr>
        <w:spacing w:line="360" w:lineRule="auto"/>
        <w:jc w:val="both"/>
        <w:rPr>
          <w:lang w:val="es-ES_tradnl"/>
        </w:rPr>
      </w:pPr>
      <w:r w:rsidRPr="00433DD5">
        <w:rPr>
          <w:lang w:val="es-ES_tradnl"/>
        </w:rPr>
        <w:tab/>
      </w:r>
      <w:r w:rsidR="00E57459" w:rsidRPr="00433DD5">
        <w:rPr>
          <w:lang w:val="es-ES_tradnl"/>
        </w:rPr>
        <w:t xml:space="preserve">En esta DES </w:t>
      </w:r>
      <w:r w:rsidR="007720B3" w:rsidRPr="00433DD5">
        <w:rPr>
          <w:lang w:val="es-ES_tradnl"/>
        </w:rPr>
        <w:t xml:space="preserve">se observan </w:t>
      </w:r>
      <w:r w:rsidR="00E57459" w:rsidRPr="00433DD5">
        <w:rPr>
          <w:lang w:val="es-ES_tradnl"/>
        </w:rPr>
        <w:t>dos puntajes en rojo</w:t>
      </w:r>
      <w:r w:rsidR="007B2825" w:rsidRPr="00433DD5">
        <w:rPr>
          <w:lang w:val="es-ES_tradnl"/>
        </w:rPr>
        <w:t>,</w:t>
      </w:r>
      <w:r w:rsidR="00E57459" w:rsidRPr="00433DD5">
        <w:rPr>
          <w:lang w:val="es-ES_tradnl"/>
        </w:rPr>
        <w:t xml:space="preserve"> </w:t>
      </w:r>
      <w:r w:rsidR="00665669" w:rsidRPr="00433DD5">
        <w:rPr>
          <w:lang w:val="es-ES_tradnl"/>
        </w:rPr>
        <w:t xml:space="preserve">en el bienio 2018-2019 </w:t>
      </w:r>
      <w:r w:rsidR="003D563F" w:rsidRPr="00433DD5">
        <w:rPr>
          <w:lang w:val="es-ES_tradnl"/>
        </w:rPr>
        <w:t>y 2020-2021</w:t>
      </w:r>
      <w:r w:rsidR="006E35E2" w:rsidRPr="00433DD5">
        <w:rPr>
          <w:lang w:val="es-ES_tradnl"/>
        </w:rPr>
        <w:t>,</w:t>
      </w:r>
      <w:r w:rsidR="003D563F" w:rsidRPr="00433DD5">
        <w:rPr>
          <w:lang w:val="es-ES_tradnl"/>
        </w:rPr>
        <w:t xml:space="preserve"> </w:t>
      </w:r>
      <w:r w:rsidR="00665669" w:rsidRPr="00433DD5">
        <w:rPr>
          <w:lang w:val="es-ES_tradnl"/>
        </w:rPr>
        <w:t>referid</w:t>
      </w:r>
      <w:r w:rsidR="006E35E2" w:rsidRPr="00433DD5">
        <w:rPr>
          <w:lang w:val="es-ES_tradnl"/>
        </w:rPr>
        <w:t>os</w:t>
      </w:r>
      <w:r w:rsidR="00665669" w:rsidRPr="00433DD5">
        <w:rPr>
          <w:lang w:val="es-ES_tradnl"/>
        </w:rPr>
        <w:t xml:space="preserve"> a </w:t>
      </w:r>
      <w:r w:rsidR="00B653C1" w:rsidRPr="00433DD5">
        <w:rPr>
          <w:lang w:val="es-ES_tradnl"/>
        </w:rPr>
        <w:t xml:space="preserve">datos no favorables en la evolución del porcentaje de </w:t>
      </w:r>
      <w:r w:rsidR="00665669" w:rsidRPr="00433DD5">
        <w:rPr>
          <w:lang w:val="es-ES_tradnl"/>
        </w:rPr>
        <w:t xml:space="preserve">investigadores miembros del </w:t>
      </w:r>
      <w:r w:rsidR="00F71CD7" w:rsidRPr="00433DD5">
        <w:rPr>
          <w:lang w:val="es-ES_tradnl"/>
        </w:rPr>
        <w:t xml:space="preserve">SNI. </w:t>
      </w:r>
      <w:r w:rsidR="007453A4" w:rsidRPr="00433DD5">
        <w:rPr>
          <w:lang w:val="es-ES_tradnl"/>
        </w:rPr>
        <w:t xml:space="preserve">En los demás rubros </w:t>
      </w:r>
      <w:r w:rsidR="004454BE" w:rsidRPr="00433DD5">
        <w:rPr>
          <w:lang w:val="es-ES_tradnl"/>
        </w:rPr>
        <w:t xml:space="preserve">es notoria </w:t>
      </w:r>
      <w:r w:rsidR="00F21129" w:rsidRPr="00433DD5">
        <w:rPr>
          <w:lang w:val="es-ES_tradnl"/>
        </w:rPr>
        <w:t xml:space="preserve">una evaluación satisfactoria en lo general. </w:t>
      </w:r>
    </w:p>
    <w:p w14:paraId="40F465FD" w14:textId="0B0E6DE6" w:rsidR="00194E21" w:rsidRPr="00433DD5" w:rsidRDefault="00D90986" w:rsidP="001A0378">
      <w:pPr>
        <w:spacing w:line="360" w:lineRule="auto"/>
        <w:jc w:val="both"/>
        <w:rPr>
          <w:lang w:val="es-ES_tradnl"/>
        </w:rPr>
      </w:pPr>
      <w:r w:rsidRPr="00433DD5">
        <w:rPr>
          <w:lang w:val="es-ES_tradnl"/>
        </w:rPr>
        <w:tab/>
      </w:r>
      <w:r w:rsidR="006E35E2" w:rsidRPr="00433DD5">
        <w:rPr>
          <w:lang w:val="es-ES_tradnl"/>
        </w:rPr>
        <w:t>Es i</w:t>
      </w:r>
      <w:r w:rsidR="00F21129" w:rsidRPr="00433DD5">
        <w:rPr>
          <w:lang w:val="es-ES_tradnl"/>
        </w:rPr>
        <w:t>mportante mencionar que</w:t>
      </w:r>
      <w:r w:rsidR="006E35E2" w:rsidRPr="00433DD5">
        <w:rPr>
          <w:lang w:val="es-ES_tradnl"/>
        </w:rPr>
        <w:t>,</w:t>
      </w:r>
      <w:r w:rsidR="00F21129" w:rsidRPr="00433DD5">
        <w:rPr>
          <w:lang w:val="es-ES_tradnl"/>
        </w:rPr>
        <w:t xml:space="preserve"> desde el </w:t>
      </w:r>
      <w:r w:rsidR="00B653C1" w:rsidRPr="00433DD5">
        <w:rPr>
          <w:lang w:val="es-ES_tradnl"/>
        </w:rPr>
        <w:t xml:space="preserve">bienio </w:t>
      </w:r>
      <w:r w:rsidR="00F21129" w:rsidRPr="00433DD5">
        <w:rPr>
          <w:lang w:val="es-ES_tradnl"/>
        </w:rPr>
        <w:t>2016</w:t>
      </w:r>
      <w:r w:rsidR="00B653C1" w:rsidRPr="00433DD5">
        <w:rPr>
          <w:lang w:val="es-ES_tradnl"/>
        </w:rPr>
        <w:t>-2017</w:t>
      </w:r>
      <w:r w:rsidR="006E35E2" w:rsidRPr="00433DD5">
        <w:rPr>
          <w:lang w:val="es-ES_tradnl"/>
        </w:rPr>
        <w:t>,</w:t>
      </w:r>
      <w:r w:rsidR="00B653C1" w:rsidRPr="00433DD5">
        <w:rPr>
          <w:lang w:val="es-ES_tradnl"/>
        </w:rPr>
        <w:t xml:space="preserve"> </w:t>
      </w:r>
      <w:r w:rsidR="00F21129" w:rsidRPr="00433DD5">
        <w:rPr>
          <w:lang w:val="es-ES_tradnl"/>
        </w:rPr>
        <w:t xml:space="preserve">si </w:t>
      </w:r>
      <w:r w:rsidR="004454BE" w:rsidRPr="00433DD5">
        <w:rPr>
          <w:lang w:val="es-ES_tradnl"/>
        </w:rPr>
        <w:t xml:space="preserve">se valora </w:t>
      </w:r>
      <w:r w:rsidR="00F21129" w:rsidRPr="00433DD5">
        <w:rPr>
          <w:lang w:val="es-ES_tradnl"/>
        </w:rPr>
        <w:t>el aumento de los puntajes como excelente</w:t>
      </w:r>
      <w:r w:rsidR="00627737" w:rsidRPr="00433DD5">
        <w:rPr>
          <w:lang w:val="es-ES_tradnl"/>
        </w:rPr>
        <w:t>s</w:t>
      </w:r>
      <w:r w:rsidR="00F21129" w:rsidRPr="00433DD5">
        <w:rPr>
          <w:lang w:val="es-ES_tradnl"/>
        </w:rPr>
        <w:t xml:space="preserve"> en las tres DES analizadas</w:t>
      </w:r>
      <w:r w:rsidR="006E35E2" w:rsidRPr="00433DD5">
        <w:rPr>
          <w:lang w:val="es-ES_tradnl"/>
        </w:rPr>
        <w:t>,</w:t>
      </w:r>
      <w:r w:rsidR="00F21129" w:rsidRPr="00433DD5">
        <w:rPr>
          <w:lang w:val="es-ES_tradnl"/>
        </w:rPr>
        <w:t xml:space="preserve"> </w:t>
      </w:r>
      <w:r w:rsidR="006E35E2" w:rsidRPr="00433DD5">
        <w:rPr>
          <w:lang w:val="es-ES_tradnl"/>
        </w:rPr>
        <w:t xml:space="preserve">existe </w:t>
      </w:r>
      <w:r w:rsidR="00F21129" w:rsidRPr="00433DD5">
        <w:rPr>
          <w:lang w:val="es-ES_tradnl"/>
        </w:rPr>
        <w:t xml:space="preserve">una evolución favorable de los indicadores </w:t>
      </w:r>
      <w:r w:rsidR="00194E21" w:rsidRPr="00433DD5">
        <w:rPr>
          <w:lang w:val="es-ES_tradnl"/>
        </w:rPr>
        <w:t>en todas ellas y en general los proyectos integrales contribuyen significativamente a la mejora de su calidad.</w:t>
      </w:r>
      <w:r w:rsidR="00C77C75" w:rsidRPr="00433DD5">
        <w:rPr>
          <w:lang w:val="es-ES_tradnl"/>
        </w:rPr>
        <w:t xml:space="preserve"> </w:t>
      </w:r>
    </w:p>
    <w:p w14:paraId="4FC0CA3D" w14:textId="244BBC89" w:rsidR="006F1EC1" w:rsidRPr="00433DD5" w:rsidRDefault="00D90986" w:rsidP="001A0378">
      <w:pPr>
        <w:spacing w:line="360" w:lineRule="auto"/>
        <w:jc w:val="both"/>
        <w:rPr>
          <w:lang w:val="es-ES_tradnl"/>
        </w:rPr>
      </w:pPr>
      <w:r w:rsidRPr="00433DD5">
        <w:rPr>
          <w:lang w:val="es-ES_tradnl"/>
        </w:rPr>
        <w:tab/>
      </w:r>
      <w:r w:rsidR="006E35E2" w:rsidRPr="00433DD5">
        <w:rPr>
          <w:lang w:val="es-ES_tradnl"/>
        </w:rPr>
        <w:t xml:space="preserve">Resulta necesario </w:t>
      </w:r>
      <w:r w:rsidR="00194E21" w:rsidRPr="00433DD5">
        <w:rPr>
          <w:lang w:val="es-ES_tradnl"/>
        </w:rPr>
        <w:t>resaltar que</w:t>
      </w:r>
      <w:r w:rsidR="00257BC7" w:rsidRPr="00433DD5">
        <w:rPr>
          <w:lang w:val="es-ES_tradnl"/>
        </w:rPr>
        <w:t>,</w:t>
      </w:r>
      <w:r w:rsidR="00194E21" w:rsidRPr="00433DD5">
        <w:rPr>
          <w:lang w:val="es-ES_tradnl"/>
        </w:rPr>
        <w:t xml:space="preserve"> dados estos resultados</w:t>
      </w:r>
      <w:r w:rsidR="00257BC7" w:rsidRPr="00433DD5">
        <w:rPr>
          <w:lang w:val="es-ES_tradnl"/>
        </w:rPr>
        <w:t>,</w:t>
      </w:r>
      <w:r w:rsidR="00194E21" w:rsidRPr="00433DD5">
        <w:rPr>
          <w:lang w:val="es-ES_tradnl"/>
        </w:rPr>
        <w:t xml:space="preserve"> </w:t>
      </w:r>
      <w:r w:rsidR="006010C4" w:rsidRPr="00433DD5">
        <w:rPr>
          <w:lang w:val="es-ES_tradnl"/>
        </w:rPr>
        <w:t xml:space="preserve">se esperaría cierta correspondencia de las evaluaciones con </w:t>
      </w:r>
      <w:r w:rsidR="00194E21" w:rsidRPr="00433DD5">
        <w:rPr>
          <w:lang w:val="es-ES_tradnl"/>
        </w:rPr>
        <w:t>la asignación del presupuesto</w:t>
      </w:r>
      <w:r w:rsidR="00C96A37" w:rsidRPr="00433DD5">
        <w:rPr>
          <w:lang w:val="es-ES_tradnl"/>
        </w:rPr>
        <w:t xml:space="preserve">. </w:t>
      </w:r>
      <w:r w:rsidR="002977FC" w:rsidRPr="00433DD5">
        <w:rPr>
          <w:lang w:val="es-ES_tradnl"/>
        </w:rPr>
        <w:t xml:space="preserve">Al respecto, para observar la correspondencia de la evaluación con el monto obtenido en cada uno de ellos, </w:t>
      </w:r>
      <w:r w:rsidR="004454BE" w:rsidRPr="00433DD5">
        <w:rPr>
          <w:lang w:val="es-ES_tradnl"/>
        </w:rPr>
        <w:t>se suma</w:t>
      </w:r>
      <w:r w:rsidR="002977FC" w:rsidRPr="00433DD5">
        <w:rPr>
          <w:lang w:val="es-ES_tradnl"/>
        </w:rPr>
        <w:t>ron</w:t>
      </w:r>
      <w:r w:rsidR="004454BE" w:rsidRPr="00433DD5">
        <w:rPr>
          <w:lang w:val="es-ES_tradnl"/>
        </w:rPr>
        <w:t xml:space="preserve"> </w:t>
      </w:r>
      <w:r w:rsidR="006010C4" w:rsidRPr="00433DD5">
        <w:rPr>
          <w:lang w:val="es-ES_tradnl"/>
        </w:rPr>
        <w:t>los puntajes obtenidos en cada una de las D</w:t>
      </w:r>
      <w:r w:rsidR="00A008AF" w:rsidRPr="00433DD5">
        <w:rPr>
          <w:lang w:val="es-ES_tradnl"/>
        </w:rPr>
        <w:t xml:space="preserve">ES </w:t>
      </w:r>
      <w:r w:rsidR="00E00165" w:rsidRPr="00433DD5">
        <w:rPr>
          <w:lang w:val="es-ES_tradnl"/>
        </w:rPr>
        <w:t xml:space="preserve">en </w:t>
      </w:r>
      <w:r w:rsidR="00DD6B22" w:rsidRPr="00433DD5">
        <w:rPr>
          <w:lang w:val="es-ES_tradnl"/>
        </w:rPr>
        <w:t xml:space="preserve">cada bienio </w:t>
      </w:r>
      <w:r w:rsidR="006010C4" w:rsidRPr="00433DD5">
        <w:rPr>
          <w:lang w:val="es-ES_tradnl"/>
        </w:rPr>
        <w:t xml:space="preserve">y </w:t>
      </w:r>
      <w:r w:rsidR="004454BE" w:rsidRPr="00433DD5">
        <w:rPr>
          <w:lang w:val="es-ES_tradnl"/>
        </w:rPr>
        <w:t>se compara</w:t>
      </w:r>
      <w:r w:rsidR="00E00165" w:rsidRPr="00433DD5">
        <w:rPr>
          <w:lang w:val="es-ES_tradnl"/>
        </w:rPr>
        <w:t>ro</w:t>
      </w:r>
      <w:r w:rsidR="004454BE" w:rsidRPr="00433DD5">
        <w:rPr>
          <w:lang w:val="es-ES_tradnl"/>
        </w:rPr>
        <w:t xml:space="preserve">n </w:t>
      </w:r>
      <w:r w:rsidR="006010C4" w:rsidRPr="00433DD5">
        <w:rPr>
          <w:lang w:val="es-ES_tradnl"/>
        </w:rPr>
        <w:t xml:space="preserve">con los </w:t>
      </w:r>
      <w:r w:rsidR="00DD6B22" w:rsidRPr="00433DD5">
        <w:rPr>
          <w:lang w:val="es-ES_tradnl"/>
        </w:rPr>
        <w:t>montos obtenidos</w:t>
      </w:r>
      <w:r w:rsidR="002977FC" w:rsidRPr="00433DD5">
        <w:rPr>
          <w:lang w:val="es-ES_tradnl"/>
        </w:rPr>
        <w:t>.</w:t>
      </w:r>
      <w:r w:rsidR="00DD6B22" w:rsidRPr="00433DD5">
        <w:rPr>
          <w:lang w:val="es-ES_tradnl"/>
        </w:rPr>
        <w:t xml:space="preserve"> </w:t>
      </w:r>
      <w:r w:rsidR="00F4007A" w:rsidRPr="00433DD5">
        <w:rPr>
          <w:lang w:val="es-ES_tradnl"/>
        </w:rPr>
        <w:t xml:space="preserve">La figura </w:t>
      </w:r>
      <w:r w:rsidR="005A13E6" w:rsidRPr="00433DD5">
        <w:rPr>
          <w:lang w:val="es-ES_tradnl"/>
        </w:rPr>
        <w:t>resultante se muestra a continuación</w:t>
      </w:r>
      <w:r w:rsidR="00F23FAB" w:rsidRPr="00433DD5">
        <w:rPr>
          <w:lang w:val="es-ES_tradnl"/>
        </w:rPr>
        <w:t xml:space="preserve">. </w:t>
      </w:r>
    </w:p>
    <w:p w14:paraId="0BE48B6F" w14:textId="068F1FC2" w:rsidR="005E7B11" w:rsidRDefault="005E7B11" w:rsidP="001A0378">
      <w:pPr>
        <w:spacing w:line="360" w:lineRule="auto"/>
        <w:jc w:val="both"/>
        <w:rPr>
          <w:lang w:val="es-ES_tradnl"/>
        </w:rPr>
      </w:pPr>
    </w:p>
    <w:p w14:paraId="3BC2116B" w14:textId="1F231BB3" w:rsidR="00433DD5" w:rsidRDefault="00433DD5" w:rsidP="001A0378">
      <w:pPr>
        <w:spacing w:line="360" w:lineRule="auto"/>
        <w:jc w:val="both"/>
        <w:rPr>
          <w:lang w:val="es-ES_tradnl"/>
        </w:rPr>
      </w:pPr>
    </w:p>
    <w:p w14:paraId="20EA7619" w14:textId="5DC16F47" w:rsidR="00433DD5" w:rsidRDefault="00433DD5" w:rsidP="001A0378">
      <w:pPr>
        <w:spacing w:line="360" w:lineRule="auto"/>
        <w:jc w:val="both"/>
        <w:rPr>
          <w:lang w:val="es-ES_tradnl"/>
        </w:rPr>
      </w:pPr>
    </w:p>
    <w:p w14:paraId="60D6DA99" w14:textId="2D8CF753" w:rsidR="00433DD5" w:rsidRDefault="00433DD5" w:rsidP="001A0378">
      <w:pPr>
        <w:spacing w:line="360" w:lineRule="auto"/>
        <w:jc w:val="both"/>
        <w:rPr>
          <w:lang w:val="es-ES_tradnl"/>
        </w:rPr>
      </w:pPr>
    </w:p>
    <w:p w14:paraId="13F8F988" w14:textId="518989BB" w:rsidR="00433DD5" w:rsidRDefault="00433DD5" w:rsidP="001A0378">
      <w:pPr>
        <w:spacing w:line="360" w:lineRule="auto"/>
        <w:jc w:val="both"/>
        <w:rPr>
          <w:lang w:val="es-ES_tradnl"/>
        </w:rPr>
      </w:pPr>
    </w:p>
    <w:p w14:paraId="2475B509" w14:textId="52AED589" w:rsidR="00433DD5" w:rsidRDefault="00433DD5" w:rsidP="001A0378">
      <w:pPr>
        <w:spacing w:line="360" w:lineRule="auto"/>
        <w:jc w:val="both"/>
        <w:rPr>
          <w:lang w:val="es-ES_tradnl"/>
        </w:rPr>
      </w:pPr>
    </w:p>
    <w:p w14:paraId="1842DC9D" w14:textId="77777777" w:rsidR="00433DD5" w:rsidRPr="00433DD5" w:rsidRDefault="00433DD5" w:rsidP="001A0378">
      <w:pPr>
        <w:spacing w:line="360" w:lineRule="auto"/>
        <w:jc w:val="both"/>
        <w:rPr>
          <w:lang w:val="es-ES_tradnl"/>
        </w:rPr>
      </w:pPr>
    </w:p>
    <w:p w14:paraId="1C136940" w14:textId="6AC48900" w:rsidR="00914C6B" w:rsidRPr="00433DD5" w:rsidRDefault="00914C6B" w:rsidP="005E0AC3">
      <w:pPr>
        <w:spacing w:line="360" w:lineRule="auto"/>
        <w:jc w:val="center"/>
      </w:pPr>
      <w:r w:rsidRPr="00433DD5">
        <w:rPr>
          <w:b/>
        </w:rPr>
        <w:lastRenderedPageBreak/>
        <w:t xml:space="preserve">Figura </w:t>
      </w:r>
      <w:r w:rsidR="009D51F4" w:rsidRPr="00433DD5">
        <w:rPr>
          <w:b/>
        </w:rPr>
        <w:t>6</w:t>
      </w:r>
      <w:r w:rsidRPr="00433DD5">
        <w:rPr>
          <w:b/>
        </w:rPr>
        <w:t>.</w:t>
      </w:r>
      <w:r w:rsidRPr="00433DD5">
        <w:t xml:space="preserve"> </w:t>
      </w:r>
      <w:r w:rsidRPr="00433DD5">
        <w:rPr>
          <w:bCs/>
        </w:rPr>
        <w:t>DES Biológico-Agropecuaria</w:t>
      </w:r>
      <w:r w:rsidR="00C056F1" w:rsidRPr="00433DD5">
        <w:t xml:space="preserve"> incluidas en este estudio</w:t>
      </w:r>
    </w:p>
    <w:p w14:paraId="2FB98289" w14:textId="5C0ADFAB" w:rsidR="00805F61" w:rsidRPr="00433DD5" w:rsidRDefault="00AA2B63" w:rsidP="001A0378">
      <w:pPr>
        <w:autoSpaceDE w:val="0"/>
        <w:autoSpaceDN w:val="0"/>
        <w:adjustRightInd w:val="0"/>
        <w:spacing w:line="360" w:lineRule="auto"/>
        <w:jc w:val="both"/>
        <w:rPr>
          <w:lang w:val="es-ES_tradnl"/>
        </w:rPr>
      </w:pPr>
      <w:r w:rsidRPr="00433DD5">
        <w:rPr>
          <w:noProof/>
          <w:lang w:val="es-ES_tradnl"/>
        </w:rPr>
        <w:drawing>
          <wp:inline distT="0" distB="0" distL="0" distR="0" wp14:anchorId="283384E7" wp14:editId="3187D36E">
            <wp:extent cx="5879214" cy="2840379"/>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ración de la evaluación.png"/>
                    <pic:cNvPicPr/>
                  </pic:nvPicPr>
                  <pic:blipFill>
                    <a:blip r:embed="rId13">
                      <a:extLst>
                        <a:ext uri="{28A0092B-C50C-407E-A947-70E740481C1C}">
                          <a14:useLocalDpi xmlns:a14="http://schemas.microsoft.com/office/drawing/2010/main" val="0"/>
                        </a:ext>
                      </a:extLst>
                    </a:blip>
                    <a:stretch>
                      <a:fillRect/>
                    </a:stretch>
                  </pic:blipFill>
                  <pic:spPr>
                    <a:xfrm>
                      <a:off x="0" y="0"/>
                      <a:ext cx="5889720" cy="2845455"/>
                    </a:xfrm>
                    <a:prstGeom prst="rect">
                      <a:avLst/>
                    </a:prstGeom>
                  </pic:spPr>
                </pic:pic>
              </a:graphicData>
            </a:graphic>
          </wp:inline>
        </w:drawing>
      </w:r>
    </w:p>
    <w:p w14:paraId="3B396DC2" w14:textId="794D2338" w:rsidR="0086175A" w:rsidRPr="00433DD5" w:rsidRDefault="00D012C9" w:rsidP="00433DD5">
      <w:pPr>
        <w:spacing w:line="360" w:lineRule="auto"/>
        <w:jc w:val="center"/>
        <w:rPr>
          <w:rFonts w:asciiTheme="majorBidi" w:hAnsiTheme="majorBidi" w:cstheme="majorBidi"/>
          <w:lang w:eastAsia="zh-CN"/>
        </w:rPr>
      </w:pPr>
      <w:r w:rsidRPr="00433DD5">
        <w:rPr>
          <w:rFonts w:asciiTheme="majorBidi" w:hAnsiTheme="majorBidi" w:cstheme="majorBidi"/>
          <w:b/>
          <w:lang w:val="es-ES_tradnl"/>
        </w:rPr>
        <w:t xml:space="preserve">Fuente: </w:t>
      </w:r>
      <w:r w:rsidR="00F23FAB" w:rsidRPr="00433DD5">
        <w:rPr>
          <w:rFonts w:asciiTheme="majorBidi" w:hAnsiTheme="majorBidi" w:cstheme="majorBidi"/>
          <w:lang w:val="es-ES_tradnl"/>
        </w:rPr>
        <w:t xml:space="preserve">Elaboración </w:t>
      </w:r>
      <w:r w:rsidRPr="00433DD5">
        <w:rPr>
          <w:rFonts w:asciiTheme="majorBidi" w:hAnsiTheme="majorBidi" w:cstheme="majorBidi"/>
          <w:lang w:val="es-ES_tradnl"/>
        </w:rPr>
        <w:t>propia</w:t>
      </w:r>
      <w:r w:rsidR="00805166" w:rsidRPr="00433DD5">
        <w:rPr>
          <w:rFonts w:asciiTheme="majorBidi" w:hAnsiTheme="majorBidi" w:cstheme="majorBidi"/>
          <w:lang w:val="es-ES_tradnl"/>
        </w:rPr>
        <w:t xml:space="preserve"> con </w:t>
      </w:r>
      <w:r w:rsidR="0086175A" w:rsidRPr="00433DD5">
        <w:rPr>
          <w:rFonts w:asciiTheme="majorBidi" w:hAnsiTheme="majorBidi" w:cstheme="majorBidi"/>
          <w:lang w:val="es-ES_tradnl"/>
        </w:rPr>
        <w:t xml:space="preserve">datos </w:t>
      </w:r>
      <w:r w:rsidR="0086175A" w:rsidRPr="00433DD5">
        <w:rPr>
          <w:rFonts w:asciiTheme="majorBidi" w:hAnsiTheme="majorBidi" w:cstheme="majorBidi"/>
          <w:shd w:val="clear" w:color="auto" w:fill="FFFFFF"/>
          <w:lang w:eastAsia="zh-CN"/>
        </w:rPr>
        <w:t xml:space="preserve">de informes financieros de los </w:t>
      </w:r>
      <w:r w:rsidR="00F23FAB" w:rsidRPr="00433DD5">
        <w:rPr>
          <w:rFonts w:asciiTheme="majorBidi" w:hAnsiTheme="majorBidi" w:cstheme="majorBidi"/>
          <w:shd w:val="clear" w:color="auto" w:fill="FFFFFF"/>
          <w:lang w:eastAsia="zh-CN"/>
        </w:rPr>
        <w:t>proyectos</w:t>
      </w:r>
      <w:r w:rsidR="0086175A" w:rsidRPr="00433DD5">
        <w:rPr>
          <w:rFonts w:asciiTheme="majorBidi" w:hAnsiTheme="majorBidi" w:cstheme="majorBidi"/>
          <w:shd w:val="clear" w:color="auto" w:fill="FFFFFF"/>
          <w:lang w:eastAsia="zh-CN"/>
        </w:rPr>
        <w:t xml:space="preserve">: PFCE 2016-2017 (30MSU0940B-05, 30MSU0940B-06, 30MSU0940B-26), PFCE 2018-2019 (30MSU0940B-04, 30MSU0940B-05, 30MSU0940B-25) </w:t>
      </w:r>
      <w:r w:rsidR="00F23FAB" w:rsidRPr="00433DD5">
        <w:rPr>
          <w:rFonts w:asciiTheme="majorBidi" w:hAnsiTheme="majorBidi" w:cstheme="majorBidi"/>
          <w:shd w:val="clear" w:color="auto" w:fill="FFFFFF"/>
          <w:lang w:eastAsia="zh-CN"/>
        </w:rPr>
        <w:t xml:space="preserve">y </w:t>
      </w:r>
      <w:r w:rsidR="001A0378" w:rsidRPr="00433DD5">
        <w:rPr>
          <w:rFonts w:asciiTheme="majorBidi" w:hAnsiTheme="majorBidi" w:cstheme="majorBidi"/>
          <w:shd w:val="clear" w:color="auto" w:fill="FFFFFF"/>
          <w:lang w:eastAsia="zh-CN"/>
        </w:rPr>
        <w:t>Profexce</w:t>
      </w:r>
      <w:r w:rsidR="0086175A" w:rsidRPr="00433DD5">
        <w:rPr>
          <w:rFonts w:asciiTheme="majorBidi" w:hAnsiTheme="majorBidi" w:cstheme="majorBidi"/>
          <w:shd w:val="clear" w:color="auto" w:fill="FFFFFF"/>
          <w:lang w:eastAsia="zh-CN"/>
        </w:rPr>
        <w:t xml:space="preserve"> 2020-2021 (30MSU0940B-04, 30MSU0940B-05, 30MSU0940B-25).</w:t>
      </w:r>
    </w:p>
    <w:p w14:paraId="701FBFE5" w14:textId="0A85EE53" w:rsidR="00CD00E2" w:rsidRPr="00433DD5" w:rsidRDefault="00BA4828" w:rsidP="001A0378">
      <w:pPr>
        <w:autoSpaceDE w:val="0"/>
        <w:autoSpaceDN w:val="0"/>
        <w:adjustRightInd w:val="0"/>
        <w:spacing w:line="360" w:lineRule="auto"/>
        <w:jc w:val="both"/>
        <w:rPr>
          <w:rFonts w:asciiTheme="majorBidi" w:hAnsiTheme="majorBidi" w:cstheme="majorBidi"/>
          <w:bCs/>
          <w:lang w:val="es-ES_tradnl"/>
        </w:rPr>
      </w:pPr>
      <w:r w:rsidRPr="00433DD5">
        <w:rPr>
          <w:rFonts w:asciiTheme="majorBidi" w:hAnsiTheme="majorBidi" w:cstheme="majorBidi"/>
          <w:bCs/>
          <w:lang w:val="es-ES_tradnl"/>
        </w:rPr>
        <w:tab/>
      </w:r>
      <w:r w:rsidR="00BD1034" w:rsidRPr="00433DD5">
        <w:rPr>
          <w:rFonts w:asciiTheme="majorBidi" w:hAnsiTheme="majorBidi" w:cstheme="majorBidi"/>
          <w:bCs/>
          <w:lang w:val="es-ES_tradnl"/>
        </w:rPr>
        <w:t>Como puede aprecia</w:t>
      </w:r>
      <w:r w:rsidR="00CD25EC" w:rsidRPr="00433DD5">
        <w:rPr>
          <w:rFonts w:asciiTheme="majorBidi" w:hAnsiTheme="majorBidi" w:cstheme="majorBidi"/>
          <w:bCs/>
          <w:lang w:val="es-ES_tradnl"/>
        </w:rPr>
        <w:t>r</w:t>
      </w:r>
      <w:r w:rsidR="00BD1034" w:rsidRPr="00433DD5">
        <w:rPr>
          <w:rFonts w:asciiTheme="majorBidi" w:hAnsiTheme="majorBidi" w:cstheme="majorBidi"/>
          <w:bCs/>
          <w:lang w:val="es-ES_tradnl"/>
        </w:rPr>
        <w:t xml:space="preserve">se en la </w:t>
      </w:r>
      <w:r w:rsidR="003A444E" w:rsidRPr="00433DD5">
        <w:rPr>
          <w:rFonts w:asciiTheme="majorBidi" w:hAnsiTheme="majorBidi" w:cstheme="majorBidi"/>
          <w:bCs/>
          <w:lang w:val="es-ES_tradnl"/>
        </w:rPr>
        <w:t>figura 6</w:t>
      </w:r>
      <w:r w:rsidR="004454BE" w:rsidRPr="00433DD5">
        <w:rPr>
          <w:rFonts w:asciiTheme="majorBidi" w:hAnsiTheme="majorBidi" w:cstheme="majorBidi"/>
          <w:bCs/>
          <w:lang w:val="es-ES_tradnl"/>
        </w:rPr>
        <w:t>,</w:t>
      </w:r>
      <w:r w:rsidR="00BD1034" w:rsidRPr="00433DD5">
        <w:rPr>
          <w:rFonts w:asciiTheme="majorBidi" w:hAnsiTheme="majorBidi" w:cstheme="majorBidi"/>
          <w:bCs/>
          <w:lang w:val="es-ES_tradnl"/>
        </w:rPr>
        <w:t xml:space="preserve"> la distribución de los puntajes</w:t>
      </w:r>
      <w:r w:rsidRPr="00433DD5">
        <w:rPr>
          <w:rFonts w:asciiTheme="majorBidi" w:hAnsiTheme="majorBidi" w:cstheme="majorBidi"/>
          <w:bCs/>
          <w:lang w:val="es-ES_tradnl"/>
        </w:rPr>
        <w:t>,</w:t>
      </w:r>
      <w:r w:rsidR="00BD1034" w:rsidRPr="00433DD5">
        <w:rPr>
          <w:rFonts w:asciiTheme="majorBidi" w:hAnsiTheme="majorBidi" w:cstheme="majorBidi"/>
          <w:bCs/>
          <w:lang w:val="es-ES_tradnl"/>
        </w:rPr>
        <w:t xml:space="preserve"> de acuerdo </w:t>
      </w:r>
      <w:r w:rsidR="00C84E45" w:rsidRPr="00433DD5">
        <w:rPr>
          <w:rFonts w:asciiTheme="majorBidi" w:hAnsiTheme="majorBidi" w:cstheme="majorBidi"/>
          <w:bCs/>
          <w:lang w:val="es-ES_tradnl"/>
        </w:rPr>
        <w:t xml:space="preserve">con el </w:t>
      </w:r>
      <w:r w:rsidR="00BD1034" w:rsidRPr="00433DD5">
        <w:rPr>
          <w:rFonts w:asciiTheme="majorBidi" w:hAnsiTheme="majorBidi" w:cstheme="majorBidi"/>
          <w:bCs/>
          <w:lang w:val="es-ES_tradnl"/>
        </w:rPr>
        <w:t>colorama de evaluación</w:t>
      </w:r>
      <w:r w:rsidRPr="00433DD5">
        <w:rPr>
          <w:rFonts w:asciiTheme="majorBidi" w:hAnsiTheme="majorBidi" w:cstheme="majorBidi"/>
          <w:bCs/>
          <w:lang w:val="es-ES_tradnl"/>
        </w:rPr>
        <w:t>,</w:t>
      </w:r>
      <w:r w:rsidR="00BD1034" w:rsidRPr="00433DD5">
        <w:rPr>
          <w:rFonts w:asciiTheme="majorBidi" w:hAnsiTheme="majorBidi" w:cstheme="majorBidi"/>
          <w:bCs/>
          <w:lang w:val="es-ES_tradnl"/>
        </w:rPr>
        <w:t xml:space="preserve"> va incrementa</w:t>
      </w:r>
      <w:r w:rsidR="00FB0607" w:rsidRPr="00433DD5">
        <w:rPr>
          <w:rFonts w:asciiTheme="majorBidi" w:hAnsiTheme="majorBidi" w:cstheme="majorBidi"/>
          <w:bCs/>
          <w:lang w:val="es-ES_tradnl"/>
        </w:rPr>
        <w:t>n</w:t>
      </w:r>
      <w:r w:rsidR="00BD1034" w:rsidRPr="00433DD5">
        <w:rPr>
          <w:rFonts w:asciiTheme="majorBidi" w:hAnsiTheme="majorBidi" w:cstheme="majorBidi"/>
          <w:bCs/>
          <w:lang w:val="es-ES_tradnl"/>
        </w:rPr>
        <w:t>do en los bienios analizados en las tres DES</w:t>
      </w:r>
      <w:r w:rsidR="00E2444E" w:rsidRPr="00433DD5">
        <w:rPr>
          <w:rFonts w:asciiTheme="majorBidi" w:hAnsiTheme="majorBidi" w:cstheme="majorBidi"/>
          <w:bCs/>
          <w:lang w:val="es-ES_tradnl"/>
        </w:rPr>
        <w:t>, ello visib</w:t>
      </w:r>
      <w:r w:rsidR="00CD00E2" w:rsidRPr="00433DD5">
        <w:rPr>
          <w:rFonts w:asciiTheme="majorBidi" w:hAnsiTheme="majorBidi" w:cstheme="majorBidi"/>
          <w:bCs/>
          <w:lang w:val="es-ES_tradnl"/>
        </w:rPr>
        <w:t>i</w:t>
      </w:r>
      <w:r w:rsidR="00E2444E" w:rsidRPr="00433DD5">
        <w:rPr>
          <w:rFonts w:asciiTheme="majorBidi" w:hAnsiTheme="majorBidi" w:cstheme="majorBidi"/>
          <w:bCs/>
          <w:lang w:val="es-ES_tradnl"/>
        </w:rPr>
        <w:t xml:space="preserve">liza los logros obtenidos en los principales indicadores de calidad y la efectividad </w:t>
      </w:r>
      <w:r w:rsidRPr="00433DD5">
        <w:rPr>
          <w:rFonts w:asciiTheme="majorBidi" w:hAnsiTheme="majorBidi" w:cstheme="majorBidi"/>
          <w:bCs/>
          <w:lang w:val="es-ES_tradnl"/>
        </w:rPr>
        <w:t xml:space="preserve">de </w:t>
      </w:r>
      <w:r w:rsidR="00E2444E" w:rsidRPr="00433DD5">
        <w:rPr>
          <w:rFonts w:asciiTheme="majorBidi" w:hAnsiTheme="majorBidi" w:cstheme="majorBidi"/>
          <w:bCs/>
          <w:lang w:val="es-ES_tradnl"/>
        </w:rPr>
        <w:t>la planeación estratégica implementada</w:t>
      </w:r>
      <w:r w:rsidR="00CD00E2" w:rsidRPr="00433DD5">
        <w:rPr>
          <w:rFonts w:asciiTheme="majorBidi" w:hAnsiTheme="majorBidi" w:cstheme="majorBidi"/>
          <w:bCs/>
          <w:lang w:val="es-ES_tradnl"/>
        </w:rPr>
        <w:t xml:space="preserve">. De esta </w:t>
      </w:r>
      <w:r w:rsidR="004454BE" w:rsidRPr="00433DD5">
        <w:rPr>
          <w:rFonts w:asciiTheme="majorBidi" w:hAnsiTheme="majorBidi" w:cstheme="majorBidi"/>
          <w:bCs/>
          <w:lang w:val="es-ES_tradnl"/>
        </w:rPr>
        <w:t>forma</w:t>
      </w:r>
      <w:r w:rsidR="00F71CD7" w:rsidRPr="00433DD5">
        <w:rPr>
          <w:rFonts w:asciiTheme="majorBidi" w:hAnsiTheme="majorBidi" w:cstheme="majorBidi"/>
          <w:bCs/>
          <w:lang w:val="es-ES_tradnl"/>
        </w:rPr>
        <w:t>,</w:t>
      </w:r>
      <w:r w:rsidR="004454BE" w:rsidRPr="00433DD5">
        <w:rPr>
          <w:rFonts w:asciiTheme="majorBidi" w:hAnsiTheme="majorBidi" w:cstheme="majorBidi"/>
          <w:bCs/>
          <w:lang w:val="es-ES_tradnl"/>
        </w:rPr>
        <w:t xml:space="preserve"> </w:t>
      </w:r>
      <w:r w:rsidR="00CD00E2" w:rsidRPr="00433DD5">
        <w:rPr>
          <w:rFonts w:asciiTheme="majorBidi" w:hAnsiTheme="majorBidi" w:cstheme="majorBidi"/>
          <w:bCs/>
          <w:lang w:val="es-ES_tradnl"/>
        </w:rPr>
        <w:t>la DES Xalapa obtiene 25 puntos en el primer bienio, 64 en el segundo y 79 en el tercero. La DES Veracruz</w:t>
      </w:r>
      <w:r w:rsidR="00A711C8" w:rsidRPr="00433DD5">
        <w:rPr>
          <w:rFonts w:asciiTheme="majorBidi" w:hAnsiTheme="majorBidi" w:cstheme="majorBidi"/>
          <w:bCs/>
          <w:lang w:val="es-ES_tradnl"/>
        </w:rPr>
        <w:t>,</w:t>
      </w:r>
      <w:r w:rsidR="00CD00E2" w:rsidRPr="00433DD5">
        <w:rPr>
          <w:rFonts w:asciiTheme="majorBidi" w:hAnsiTheme="majorBidi" w:cstheme="majorBidi"/>
          <w:bCs/>
          <w:lang w:val="es-ES_tradnl"/>
        </w:rPr>
        <w:t xml:space="preserve"> por su parte, inicia con 22, en el segundo bienio con 72, para elevar </w:t>
      </w:r>
      <w:r w:rsidR="00257BC7" w:rsidRPr="00433DD5">
        <w:rPr>
          <w:rFonts w:asciiTheme="majorBidi" w:hAnsiTheme="majorBidi" w:cstheme="majorBidi"/>
          <w:bCs/>
          <w:lang w:val="es-ES_tradnl"/>
        </w:rPr>
        <w:t xml:space="preserve">la </w:t>
      </w:r>
      <w:r w:rsidR="00CD00E2" w:rsidRPr="00433DD5">
        <w:rPr>
          <w:rFonts w:asciiTheme="majorBidi" w:hAnsiTheme="majorBidi" w:cstheme="majorBidi"/>
          <w:bCs/>
          <w:lang w:val="es-ES_tradnl"/>
        </w:rPr>
        <w:t>calificación</w:t>
      </w:r>
      <w:r w:rsidR="00257BC7" w:rsidRPr="00433DD5">
        <w:rPr>
          <w:rFonts w:asciiTheme="majorBidi" w:hAnsiTheme="majorBidi" w:cstheme="majorBidi"/>
          <w:bCs/>
          <w:lang w:val="es-ES_tradnl"/>
        </w:rPr>
        <w:t xml:space="preserve"> a 81 </w:t>
      </w:r>
      <w:r w:rsidR="00CD00E2" w:rsidRPr="00433DD5">
        <w:rPr>
          <w:rFonts w:asciiTheme="majorBidi" w:hAnsiTheme="majorBidi" w:cstheme="majorBidi"/>
          <w:bCs/>
          <w:lang w:val="es-ES_tradnl"/>
        </w:rPr>
        <w:t>en el tercer bienio. Por último, la DES Acayucan obtiene un puntaje de 26 en el primer bienio, seguido por 63 y 72 en el últim</w:t>
      </w:r>
      <w:r w:rsidR="001506AC" w:rsidRPr="00433DD5">
        <w:rPr>
          <w:rFonts w:asciiTheme="majorBidi" w:hAnsiTheme="majorBidi" w:cstheme="majorBidi"/>
          <w:bCs/>
          <w:lang w:val="es-ES_tradnl"/>
        </w:rPr>
        <w:t>o</w:t>
      </w:r>
      <w:r w:rsidR="00CD00E2" w:rsidRPr="00433DD5">
        <w:rPr>
          <w:rFonts w:asciiTheme="majorBidi" w:hAnsiTheme="majorBidi" w:cstheme="majorBidi"/>
          <w:bCs/>
          <w:lang w:val="es-ES_tradnl"/>
        </w:rPr>
        <w:t xml:space="preserve">. Todas ellas con calificaciones aceptables y tendencias de crecimiento favorables en sus logros. </w:t>
      </w:r>
    </w:p>
    <w:p w14:paraId="20B15ED8" w14:textId="4F14AE02" w:rsidR="00D90986" w:rsidRPr="00433DD5" w:rsidRDefault="00D90986" w:rsidP="001A0378">
      <w:pPr>
        <w:autoSpaceDE w:val="0"/>
        <w:autoSpaceDN w:val="0"/>
        <w:adjustRightInd w:val="0"/>
        <w:spacing w:line="360" w:lineRule="auto"/>
        <w:jc w:val="both"/>
        <w:rPr>
          <w:rFonts w:asciiTheme="majorBidi" w:hAnsiTheme="majorBidi" w:cstheme="majorBidi"/>
          <w:b/>
          <w:lang w:val="es-ES_tradnl"/>
        </w:rPr>
      </w:pPr>
      <w:r w:rsidRPr="00433DD5">
        <w:rPr>
          <w:rFonts w:asciiTheme="majorBidi" w:hAnsiTheme="majorBidi" w:cstheme="majorBidi"/>
          <w:bCs/>
          <w:lang w:val="es-ES_tradnl"/>
        </w:rPr>
        <w:tab/>
      </w:r>
      <w:r w:rsidR="00CD00E2" w:rsidRPr="00433DD5">
        <w:rPr>
          <w:rFonts w:asciiTheme="majorBidi" w:hAnsiTheme="majorBidi" w:cstheme="majorBidi"/>
          <w:bCs/>
          <w:lang w:val="es-ES_tradnl"/>
        </w:rPr>
        <w:t xml:space="preserve">Sin embargo, cuando </w:t>
      </w:r>
      <w:r w:rsidR="004454BE" w:rsidRPr="00433DD5">
        <w:rPr>
          <w:rFonts w:asciiTheme="majorBidi" w:hAnsiTheme="majorBidi" w:cstheme="majorBidi"/>
          <w:bCs/>
          <w:lang w:val="es-ES_tradnl"/>
        </w:rPr>
        <w:t xml:space="preserve">se analiza </w:t>
      </w:r>
      <w:r w:rsidR="00C54A68" w:rsidRPr="00433DD5">
        <w:rPr>
          <w:rFonts w:asciiTheme="majorBidi" w:hAnsiTheme="majorBidi" w:cstheme="majorBidi"/>
          <w:bCs/>
          <w:lang w:val="es-ES_tradnl"/>
        </w:rPr>
        <w:t xml:space="preserve">la distribución </w:t>
      </w:r>
      <w:r w:rsidR="00CD00E2" w:rsidRPr="00433DD5">
        <w:rPr>
          <w:rFonts w:asciiTheme="majorBidi" w:hAnsiTheme="majorBidi" w:cstheme="majorBidi"/>
          <w:bCs/>
          <w:lang w:val="es-ES_tradnl"/>
        </w:rPr>
        <w:t xml:space="preserve">presupuestal, </w:t>
      </w:r>
      <w:r w:rsidR="004454BE" w:rsidRPr="00433DD5">
        <w:rPr>
          <w:rFonts w:asciiTheme="majorBidi" w:hAnsiTheme="majorBidi" w:cstheme="majorBidi"/>
          <w:bCs/>
          <w:lang w:val="es-ES_tradnl"/>
        </w:rPr>
        <w:t>es posible percatarse</w:t>
      </w:r>
      <w:r w:rsidR="00BA4828" w:rsidRPr="00433DD5">
        <w:rPr>
          <w:rFonts w:asciiTheme="majorBidi" w:hAnsiTheme="majorBidi" w:cstheme="majorBidi"/>
          <w:bCs/>
          <w:lang w:val="es-ES_tradnl"/>
        </w:rPr>
        <w:t>,</w:t>
      </w:r>
      <w:r w:rsidR="00CD00E2" w:rsidRPr="00433DD5">
        <w:rPr>
          <w:rFonts w:asciiTheme="majorBidi" w:hAnsiTheme="majorBidi" w:cstheme="majorBidi"/>
          <w:bCs/>
          <w:lang w:val="es-ES_tradnl"/>
        </w:rPr>
        <w:t xml:space="preserve"> en las primeras tres barras referidas al bienio </w:t>
      </w:r>
      <w:r w:rsidR="00C54A68" w:rsidRPr="00433DD5">
        <w:rPr>
          <w:rFonts w:asciiTheme="majorBidi" w:hAnsiTheme="majorBidi" w:cstheme="majorBidi"/>
          <w:bCs/>
          <w:lang w:val="es-ES_tradnl"/>
        </w:rPr>
        <w:t>2016-2017</w:t>
      </w:r>
      <w:r w:rsidR="00BA4828" w:rsidRPr="00433DD5">
        <w:rPr>
          <w:rFonts w:asciiTheme="majorBidi" w:hAnsiTheme="majorBidi" w:cstheme="majorBidi"/>
          <w:bCs/>
          <w:lang w:val="es-ES_tradnl"/>
        </w:rPr>
        <w:t>,</w:t>
      </w:r>
      <w:r w:rsidR="00C54A68" w:rsidRPr="00433DD5">
        <w:rPr>
          <w:rFonts w:asciiTheme="majorBidi" w:hAnsiTheme="majorBidi" w:cstheme="majorBidi"/>
          <w:bCs/>
          <w:lang w:val="es-ES_tradnl"/>
        </w:rPr>
        <w:t xml:space="preserve"> </w:t>
      </w:r>
      <w:r w:rsidR="009F2E9E" w:rsidRPr="00433DD5">
        <w:rPr>
          <w:rFonts w:asciiTheme="majorBidi" w:hAnsiTheme="majorBidi" w:cstheme="majorBidi"/>
          <w:bCs/>
          <w:lang w:val="es-ES_tradnl"/>
        </w:rPr>
        <w:t xml:space="preserve">de </w:t>
      </w:r>
      <w:r w:rsidR="00C54A68" w:rsidRPr="00433DD5">
        <w:rPr>
          <w:rFonts w:asciiTheme="majorBidi" w:hAnsiTheme="majorBidi" w:cstheme="majorBidi"/>
          <w:bCs/>
          <w:lang w:val="es-ES_tradnl"/>
        </w:rPr>
        <w:t xml:space="preserve">un aporte sustancial de recursos </w:t>
      </w:r>
      <w:r w:rsidR="00B848BE" w:rsidRPr="00433DD5">
        <w:rPr>
          <w:rFonts w:asciiTheme="majorBidi" w:hAnsiTheme="majorBidi" w:cstheme="majorBidi"/>
          <w:bCs/>
          <w:lang w:val="es-ES_tradnl"/>
        </w:rPr>
        <w:t>en comparación</w:t>
      </w:r>
      <w:r w:rsidR="00C54A68" w:rsidRPr="00433DD5">
        <w:rPr>
          <w:rFonts w:asciiTheme="majorBidi" w:hAnsiTheme="majorBidi" w:cstheme="majorBidi"/>
          <w:bCs/>
          <w:lang w:val="es-ES_tradnl"/>
        </w:rPr>
        <w:t xml:space="preserve"> con los bienios siguientes, los cuales presentan una reducción en la asignación </w:t>
      </w:r>
      <w:r w:rsidR="004454BE" w:rsidRPr="00433DD5">
        <w:rPr>
          <w:rFonts w:asciiTheme="majorBidi" w:hAnsiTheme="majorBidi" w:cstheme="majorBidi"/>
          <w:bCs/>
          <w:lang w:val="es-ES_tradnl"/>
        </w:rPr>
        <w:t xml:space="preserve">del presupuesto </w:t>
      </w:r>
      <w:r w:rsidR="00C54A68" w:rsidRPr="00433DD5">
        <w:rPr>
          <w:rFonts w:asciiTheme="majorBidi" w:hAnsiTheme="majorBidi" w:cstheme="majorBidi"/>
          <w:bCs/>
          <w:lang w:val="es-ES_tradnl"/>
        </w:rPr>
        <w:t xml:space="preserve">casi por mitad para el bienio 2018-2019, </w:t>
      </w:r>
      <w:r w:rsidR="00C84E45" w:rsidRPr="00433DD5">
        <w:rPr>
          <w:rFonts w:asciiTheme="majorBidi" w:hAnsiTheme="majorBidi" w:cstheme="majorBidi"/>
          <w:bCs/>
          <w:lang w:val="es-ES_tradnl"/>
        </w:rPr>
        <w:t xml:space="preserve">y </w:t>
      </w:r>
      <w:r w:rsidR="00C54A68" w:rsidRPr="00433DD5">
        <w:rPr>
          <w:rFonts w:asciiTheme="majorBidi" w:hAnsiTheme="majorBidi" w:cstheme="majorBidi"/>
          <w:bCs/>
          <w:lang w:val="es-ES_tradnl"/>
        </w:rPr>
        <w:t xml:space="preserve">un recorte similar </w:t>
      </w:r>
      <w:r w:rsidR="00AA1362" w:rsidRPr="00433DD5">
        <w:rPr>
          <w:rFonts w:asciiTheme="majorBidi" w:hAnsiTheme="majorBidi" w:cstheme="majorBidi"/>
          <w:bCs/>
          <w:lang w:val="es-ES_tradnl"/>
        </w:rPr>
        <w:t xml:space="preserve">para el último bienio de operación del </w:t>
      </w:r>
      <w:r w:rsidR="001A0378" w:rsidRPr="00433DD5">
        <w:rPr>
          <w:rFonts w:asciiTheme="majorBidi" w:hAnsiTheme="majorBidi" w:cstheme="majorBidi"/>
          <w:bCs/>
          <w:lang w:val="es-ES_tradnl"/>
        </w:rPr>
        <w:t>Profexce</w:t>
      </w:r>
      <w:r w:rsidR="00AA1362" w:rsidRPr="00433DD5">
        <w:rPr>
          <w:rFonts w:asciiTheme="majorBidi" w:hAnsiTheme="majorBidi" w:cstheme="majorBidi"/>
          <w:bCs/>
          <w:lang w:val="es-ES_tradnl"/>
        </w:rPr>
        <w:t xml:space="preserve"> 2020-2021. Tal parece que la asignación </w:t>
      </w:r>
      <w:r w:rsidR="001506AC" w:rsidRPr="00433DD5">
        <w:rPr>
          <w:rFonts w:asciiTheme="majorBidi" w:hAnsiTheme="majorBidi" w:cstheme="majorBidi"/>
          <w:bCs/>
          <w:lang w:val="es-ES_tradnl"/>
        </w:rPr>
        <w:t xml:space="preserve">del recurso financiero </w:t>
      </w:r>
      <w:r w:rsidR="00AA1362" w:rsidRPr="00433DD5">
        <w:rPr>
          <w:rFonts w:asciiTheme="majorBidi" w:hAnsiTheme="majorBidi" w:cstheme="majorBidi"/>
          <w:bCs/>
          <w:lang w:val="es-ES_tradnl"/>
        </w:rPr>
        <w:t>obedeció</w:t>
      </w:r>
      <w:r w:rsidR="001506AC" w:rsidRPr="00433DD5">
        <w:rPr>
          <w:rFonts w:asciiTheme="majorBidi" w:hAnsiTheme="majorBidi" w:cstheme="majorBidi"/>
          <w:bCs/>
          <w:lang w:val="es-ES_tradnl"/>
        </w:rPr>
        <w:t>, mayormente,</w:t>
      </w:r>
      <w:r w:rsidR="00AA1362" w:rsidRPr="00433DD5">
        <w:rPr>
          <w:rFonts w:asciiTheme="majorBidi" w:hAnsiTheme="majorBidi" w:cstheme="majorBidi"/>
          <w:bCs/>
          <w:lang w:val="es-ES_tradnl"/>
        </w:rPr>
        <w:t xml:space="preserve"> a la aplicación de un algoritmo</w:t>
      </w:r>
      <w:r w:rsidR="001506AC" w:rsidRPr="00433DD5">
        <w:rPr>
          <w:rFonts w:asciiTheme="majorBidi" w:hAnsiTheme="majorBidi" w:cstheme="majorBidi"/>
          <w:bCs/>
          <w:lang w:val="es-ES_tradnl"/>
        </w:rPr>
        <w:t xml:space="preserve"> más que</w:t>
      </w:r>
      <w:r w:rsidR="00637228" w:rsidRPr="00433DD5">
        <w:rPr>
          <w:rFonts w:asciiTheme="majorBidi" w:hAnsiTheme="majorBidi" w:cstheme="majorBidi"/>
          <w:bCs/>
          <w:lang w:val="es-ES_tradnl"/>
        </w:rPr>
        <w:t xml:space="preserve"> a la evaluación en sí misma </w:t>
      </w:r>
      <w:r w:rsidR="00AA1362" w:rsidRPr="00433DD5">
        <w:rPr>
          <w:rFonts w:asciiTheme="majorBidi" w:hAnsiTheme="majorBidi" w:cstheme="majorBidi"/>
          <w:bCs/>
          <w:lang w:val="es-ES_tradnl"/>
        </w:rPr>
        <w:t xml:space="preserve">de cada proyecto. </w:t>
      </w:r>
    </w:p>
    <w:p w14:paraId="76FEDDA6" w14:textId="36DCF922" w:rsidR="00AA6503" w:rsidRPr="00433DD5" w:rsidRDefault="00AA6503" w:rsidP="008B457E">
      <w:pPr>
        <w:autoSpaceDE w:val="0"/>
        <w:autoSpaceDN w:val="0"/>
        <w:adjustRightInd w:val="0"/>
        <w:spacing w:line="360" w:lineRule="auto"/>
        <w:jc w:val="center"/>
        <w:rPr>
          <w:rFonts w:asciiTheme="majorBidi" w:hAnsiTheme="majorBidi" w:cstheme="majorBidi"/>
          <w:b/>
          <w:lang w:val="es-ES_tradnl"/>
        </w:rPr>
      </w:pPr>
      <w:r w:rsidRPr="00433DD5">
        <w:rPr>
          <w:rFonts w:asciiTheme="majorBidi" w:hAnsiTheme="majorBidi" w:cstheme="majorBidi"/>
          <w:b/>
          <w:bCs/>
          <w:sz w:val="32"/>
          <w:szCs w:val="32"/>
          <w:lang w:val="es-ES_tradnl"/>
        </w:rPr>
        <w:lastRenderedPageBreak/>
        <w:t>Discusión</w:t>
      </w:r>
    </w:p>
    <w:p w14:paraId="238DA44A" w14:textId="217A5682" w:rsidR="00D90986" w:rsidRPr="00433DD5" w:rsidRDefault="00BF114A" w:rsidP="005E0AC3">
      <w:pPr>
        <w:autoSpaceDE w:val="0"/>
        <w:autoSpaceDN w:val="0"/>
        <w:adjustRightInd w:val="0"/>
        <w:spacing w:line="360" w:lineRule="auto"/>
        <w:ind w:firstLine="708"/>
        <w:jc w:val="both"/>
        <w:rPr>
          <w:rFonts w:asciiTheme="majorBidi" w:hAnsiTheme="majorBidi" w:cstheme="majorBidi"/>
        </w:rPr>
      </w:pPr>
      <w:r w:rsidRPr="00433DD5">
        <w:rPr>
          <w:rFonts w:asciiTheme="majorBidi" w:hAnsiTheme="majorBidi" w:cstheme="majorBidi"/>
        </w:rPr>
        <w:t>En este sentido</w:t>
      </w:r>
      <w:r w:rsidR="00902586" w:rsidRPr="00433DD5">
        <w:rPr>
          <w:rFonts w:asciiTheme="majorBidi" w:hAnsiTheme="majorBidi" w:cstheme="majorBidi"/>
        </w:rPr>
        <w:t>,</w:t>
      </w:r>
      <w:r w:rsidRPr="00433DD5">
        <w:rPr>
          <w:rFonts w:asciiTheme="majorBidi" w:hAnsiTheme="majorBidi" w:cstheme="majorBidi"/>
        </w:rPr>
        <w:t xml:space="preserve"> y tomando en cuenta los valores del modelo costo/beneficio al asignar recursos</w:t>
      </w:r>
      <w:r w:rsidR="00A711C8" w:rsidRPr="00433DD5">
        <w:rPr>
          <w:rFonts w:asciiTheme="majorBidi" w:hAnsiTheme="majorBidi" w:cstheme="majorBidi"/>
        </w:rPr>
        <w:t xml:space="preserve">, </w:t>
      </w:r>
      <w:r w:rsidRPr="00433DD5">
        <w:rPr>
          <w:rFonts w:asciiTheme="majorBidi" w:hAnsiTheme="majorBidi" w:cstheme="majorBidi"/>
        </w:rPr>
        <w:t xml:space="preserve">en el caso del </w:t>
      </w:r>
      <w:r w:rsidR="001A0378" w:rsidRPr="00433DD5">
        <w:rPr>
          <w:rFonts w:asciiTheme="majorBidi" w:hAnsiTheme="majorBidi" w:cstheme="majorBidi"/>
        </w:rPr>
        <w:t>Profexce</w:t>
      </w:r>
      <w:r w:rsidRPr="00433DD5">
        <w:rPr>
          <w:rFonts w:asciiTheme="majorBidi" w:hAnsiTheme="majorBidi" w:cstheme="majorBidi"/>
        </w:rPr>
        <w:t xml:space="preserve">, </w:t>
      </w:r>
      <w:r w:rsidR="00EC6388" w:rsidRPr="00433DD5">
        <w:rPr>
          <w:rFonts w:asciiTheme="majorBidi" w:hAnsiTheme="majorBidi" w:cstheme="majorBidi"/>
        </w:rPr>
        <w:t>como mencionan Villalobos y Pedroza</w:t>
      </w:r>
      <w:r w:rsidR="001574EB" w:rsidRPr="00433DD5">
        <w:rPr>
          <w:rFonts w:asciiTheme="majorBidi" w:hAnsiTheme="majorBidi" w:cstheme="majorBidi"/>
        </w:rPr>
        <w:t xml:space="preserve"> (2009)</w:t>
      </w:r>
      <w:r w:rsidR="00EC6388" w:rsidRPr="00433DD5">
        <w:rPr>
          <w:rFonts w:asciiTheme="majorBidi" w:hAnsiTheme="majorBidi" w:cstheme="majorBidi"/>
        </w:rPr>
        <w:t xml:space="preserve">, </w:t>
      </w:r>
      <w:r w:rsidRPr="00433DD5">
        <w:rPr>
          <w:rFonts w:asciiTheme="majorBidi" w:hAnsiTheme="majorBidi" w:cstheme="majorBidi"/>
        </w:rPr>
        <w:t xml:space="preserve">se podría observar que </w:t>
      </w:r>
      <w:r w:rsidRPr="00433DD5">
        <w:rPr>
          <w:rFonts w:asciiTheme="majorBidi" w:hAnsiTheme="majorBidi" w:cstheme="majorBidi"/>
          <w:iCs/>
        </w:rPr>
        <w:t xml:space="preserve">a mayor inversión en educación se genera un incremento en el crecimiento económico y </w:t>
      </w:r>
      <w:r w:rsidR="00EC6388" w:rsidRPr="00433DD5">
        <w:rPr>
          <w:rFonts w:asciiTheme="majorBidi" w:hAnsiTheme="majorBidi" w:cstheme="majorBidi"/>
          <w:iCs/>
        </w:rPr>
        <w:t>como resultado</w:t>
      </w:r>
      <w:r w:rsidR="00AB556B" w:rsidRPr="00433DD5">
        <w:rPr>
          <w:rFonts w:asciiTheme="majorBidi" w:hAnsiTheme="majorBidi" w:cstheme="majorBidi"/>
          <w:iCs/>
        </w:rPr>
        <w:t>,</w:t>
      </w:r>
      <w:r w:rsidR="00EC6388" w:rsidRPr="00433DD5">
        <w:rPr>
          <w:rFonts w:asciiTheme="majorBidi" w:hAnsiTheme="majorBidi" w:cstheme="majorBidi"/>
          <w:iCs/>
        </w:rPr>
        <w:t xml:space="preserve"> </w:t>
      </w:r>
      <w:r w:rsidRPr="00433DD5">
        <w:rPr>
          <w:rFonts w:asciiTheme="majorBidi" w:hAnsiTheme="majorBidi" w:cstheme="majorBidi"/>
          <w:iCs/>
        </w:rPr>
        <w:t xml:space="preserve">mayores rendimientos colaterales en el desarrollo tecnológico de las IES, </w:t>
      </w:r>
      <w:r w:rsidR="00902586" w:rsidRPr="00433DD5">
        <w:rPr>
          <w:rFonts w:asciiTheme="majorBidi" w:hAnsiTheme="majorBidi" w:cstheme="majorBidi"/>
          <w:iCs/>
        </w:rPr>
        <w:t xml:space="preserve">lo que genera </w:t>
      </w:r>
      <w:r w:rsidRPr="00433DD5">
        <w:rPr>
          <w:rFonts w:asciiTheme="majorBidi" w:hAnsiTheme="majorBidi" w:cstheme="majorBidi"/>
          <w:iCs/>
        </w:rPr>
        <w:t>una relación directa entre la calidad de la educación y su productividad</w:t>
      </w:r>
      <w:r w:rsidR="001574EB" w:rsidRPr="00433DD5">
        <w:rPr>
          <w:rFonts w:asciiTheme="majorBidi" w:hAnsiTheme="majorBidi" w:cstheme="majorBidi"/>
          <w:iCs/>
        </w:rPr>
        <w:t>.</w:t>
      </w:r>
      <w:r w:rsidRPr="00433DD5">
        <w:rPr>
          <w:rFonts w:asciiTheme="majorBidi" w:hAnsiTheme="majorBidi" w:cstheme="majorBidi"/>
          <w:i/>
        </w:rPr>
        <w:t xml:space="preserve"> </w:t>
      </w:r>
      <w:r w:rsidRPr="00433DD5">
        <w:rPr>
          <w:rFonts w:asciiTheme="majorBidi" w:hAnsiTheme="majorBidi" w:cstheme="majorBidi"/>
        </w:rPr>
        <w:t xml:space="preserve">Si bien </w:t>
      </w:r>
      <w:r w:rsidR="00756349" w:rsidRPr="00433DD5">
        <w:rPr>
          <w:rFonts w:asciiTheme="majorBidi" w:hAnsiTheme="majorBidi" w:cstheme="majorBidi"/>
        </w:rPr>
        <w:t>es evidente l</w:t>
      </w:r>
      <w:r w:rsidRPr="00433DD5">
        <w:rPr>
          <w:rFonts w:asciiTheme="majorBidi" w:hAnsiTheme="majorBidi" w:cstheme="majorBidi"/>
        </w:rPr>
        <w:t xml:space="preserve">a intencionalidad de mejorar la calidad de las instituciones con </w:t>
      </w:r>
      <w:r w:rsidR="00EE2680" w:rsidRPr="00433DD5">
        <w:rPr>
          <w:rFonts w:asciiTheme="majorBidi" w:hAnsiTheme="majorBidi" w:cstheme="majorBidi"/>
        </w:rPr>
        <w:t>este tipo de programas,</w:t>
      </w:r>
      <w:r w:rsidRPr="00433DD5">
        <w:rPr>
          <w:rFonts w:asciiTheme="majorBidi" w:hAnsiTheme="majorBidi" w:cstheme="majorBidi"/>
        </w:rPr>
        <w:t xml:space="preserve"> no parecen quedar claras las políticas de</w:t>
      </w:r>
      <w:r w:rsidR="00C77C75" w:rsidRPr="00433DD5">
        <w:rPr>
          <w:rFonts w:asciiTheme="majorBidi" w:hAnsiTheme="majorBidi" w:cstheme="majorBidi"/>
        </w:rPr>
        <w:t xml:space="preserve"> </w:t>
      </w:r>
      <w:r w:rsidRPr="00433DD5">
        <w:rPr>
          <w:rFonts w:asciiTheme="majorBidi" w:hAnsiTheme="majorBidi" w:cstheme="majorBidi"/>
        </w:rPr>
        <w:t>asignación.</w:t>
      </w:r>
    </w:p>
    <w:p w14:paraId="77417104" w14:textId="39DF9B7E" w:rsidR="00D90986" w:rsidRPr="00433DD5" w:rsidRDefault="004A5BFF" w:rsidP="005E0AC3">
      <w:pPr>
        <w:autoSpaceDE w:val="0"/>
        <w:autoSpaceDN w:val="0"/>
        <w:adjustRightInd w:val="0"/>
        <w:spacing w:line="360" w:lineRule="auto"/>
        <w:jc w:val="both"/>
        <w:rPr>
          <w:rFonts w:asciiTheme="majorBidi" w:hAnsiTheme="majorBidi" w:cstheme="majorBidi"/>
          <w:b/>
          <w:lang w:val="es-ES"/>
        </w:rPr>
      </w:pPr>
      <w:r w:rsidRPr="00433DD5">
        <w:rPr>
          <w:rFonts w:asciiTheme="majorBidi" w:hAnsiTheme="majorBidi" w:cstheme="majorBidi"/>
          <w:b/>
        </w:rPr>
        <w:tab/>
      </w:r>
      <w:r w:rsidR="00602EF1" w:rsidRPr="00433DD5">
        <w:rPr>
          <w:rFonts w:asciiTheme="majorBidi" w:hAnsiTheme="majorBidi" w:cstheme="majorBidi"/>
          <w:lang w:val="es-ES"/>
        </w:rPr>
        <w:t>Observando estos resultados</w:t>
      </w:r>
      <w:r w:rsidR="00627737" w:rsidRPr="00433DD5">
        <w:rPr>
          <w:rFonts w:asciiTheme="majorBidi" w:hAnsiTheme="majorBidi" w:cstheme="majorBidi"/>
          <w:lang w:val="es-ES"/>
        </w:rPr>
        <w:t>, es complejo identificar los criterios que se usan en cada entidad e incluso en cada institución educativa para la asignación de los recursos. En esta tarea, como se sabe, participa</w:t>
      </w:r>
      <w:r w:rsidR="00BF114A" w:rsidRPr="00433DD5">
        <w:rPr>
          <w:rFonts w:asciiTheme="majorBidi" w:hAnsiTheme="majorBidi" w:cstheme="majorBidi"/>
          <w:lang w:val="es-ES"/>
        </w:rPr>
        <w:t xml:space="preserve"> la SES con los comités de pares evaluadores</w:t>
      </w:r>
      <w:r w:rsidR="00AF5EE2" w:rsidRPr="00433DD5">
        <w:rPr>
          <w:rFonts w:asciiTheme="majorBidi" w:hAnsiTheme="majorBidi" w:cstheme="majorBidi"/>
          <w:lang w:val="es-ES"/>
        </w:rPr>
        <w:t>,</w:t>
      </w:r>
      <w:r w:rsidR="00BF114A" w:rsidRPr="00433DD5">
        <w:rPr>
          <w:rFonts w:asciiTheme="majorBidi" w:hAnsiTheme="majorBidi" w:cstheme="majorBidi"/>
          <w:lang w:val="es-ES"/>
        </w:rPr>
        <w:t xml:space="preserve"> pero la asignación del recurso</w:t>
      </w:r>
      <w:r w:rsidR="00AB556B" w:rsidRPr="00433DD5">
        <w:rPr>
          <w:rFonts w:asciiTheme="majorBidi" w:hAnsiTheme="majorBidi" w:cstheme="majorBidi"/>
          <w:lang w:val="es-ES"/>
        </w:rPr>
        <w:t>,</w:t>
      </w:r>
      <w:r w:rsidR="00BF114A" w:rsidRPr="00433DD5">
        <w:rPr>
          <w:rFonts w:asciiTheme="majorBidi" w:hAnsiTheme="majorBidi" w:cstheme="majorBidi"/>
          <w:lang w:val="es-ES"/>
        </w:rPr>
        <w:t xml:space="preserve"> al no corresponderse con la evaluación ni la evolución favorable de los indicadores de las DES, </w:t>
      </w:r>
      <w:r w:rsidR="00627737" w:rsidRPr="00433DD5">
        <w:rPr>
          <w:rFonts w:asciiTheme="majorBidi" w:hAnsiTheme="majorBidi" w:cstheme="majorBidi"/>
          <w:lang w:val="es-ES"/>
        </w:rPr>
        <w:t xml:space="preserve">más bien pareciera obedecer a las gestiones que realizan las autoridades en turno. </w:t>
      </w:r>
      <w:r w:rsidR="00AB556B" w:rsidRPr="00433DD5">
        <w:rPr>
          <w:rFonts w:asciiTheme="majorBidi" w:hAnsiTheme="majorBidi" w:cstheme="majorBidi"/>
          <w:lang w:val="es-ES"/>
        </w:rPr>
        <w:t>De igual forma</w:t>
      </w:r>
      <w:r w:rsidR="00627737" w:rsidRPr="00433DD5">
        <w:rPr>
          <w:rFonts w:asciiTheme="majorBidi" w:hAnsiTheme="majorBidi" w:cstheme="majorBidi"/>
          <w:lang w:val="es-ES"/>
        </w:rPr>
        <w:t xml:space="preserve">, </w:t>
      </w:r>
      <w:r w:rsidR="00B67D34" w:rsidRPr="00433DD5">
        <w:rPr>
          <w:rFonts w:asciiTheme="majorBidi" w:hAnsiTheme="majorBidi" w:cstheme="majorBidi"/>
          <w:lang w:val="es-ES"/>
        </w:rPr>
        <w:t xml:space="preserve">también </w:t>
      </w:r>
      <w:r w:rsidR="00627737" w:rsidRPr="00433DD5">
        <w:rPr>
          <w:rFonts w:asciiTheme="majorBidi" w:hAnsiTheme="majorBidi" w:cstheme="majorBidi"/>
          <w:lang w:val="es-ES"/>
        </w:rPr>
        <w:t>cuesta trabajo</w:t>
      </w:r>
      <w:r w:rsidR="001506AC" w:rsidRPr="00433DD5">
        <w:rPr>
          <w:rFonts w:asciiTheme="majorBidi" w:hAnsiTheme="majorBidi" w:cstheme="majorBidi"/>
          <w:lang w:val="es-ES"/>
        </w:rPr>
        <w:t xml:space="preserve"> </w:t>
      </w:r>
      <w:r w:rsidR="00627737" w:rsidRPr="00433DD5">
        <w:rPr>
          <w:rFonts w:asciiTheme="majorBidi" w:hAnsiTheme="majorBidi" w:cstheme="majorBidi"/>
          <w:lang w:val="es-ES"/>
        </w:rPr>
        <w:t>identificar el uso específico del recurso, así como los posibles destinatarios.</w:t>
      </w:r>
      <w:r w:rsidR="00C77C75" w:rsidRPr="00433DD5">
        <w:rPr>
          <w:rFonts w:asciiTheme="majorBidi" w:hAnsiTheme="majorBidi" w:cstheme="majorBidi"/>
          <w:lang w:val="es-ES"/>
        </w:rPr>
        <w:t xml:space="preserve"> </w:t>
      </w:r>
    </w:p>
    <w:p w14:paraId="67169AC8" w14:textId="525D02BF" w:rsidR="00627737" w:rsidRPr="00433DD5" w:rsidRDefault="004A5BFF" w:rsidP="001A0378">
      <w:pPr>
        <w:autoSpaceDE w:val="0"/>
        <w:autoSpaceDN w:val="0"/>
        <w:adjustRightInd w:val="0"/>
        <w:spacing w:line="360" w:lineRule="auto"/>
        <w:jc w:val="both"/>
        <w:rPr>
          <w:rFonts w:asciiTheme="majorBidi" w:hAnsiTheme="majorBidi" w:cstheme="majorBidi"/>
          <w:b/>
          <w:lang w:val="es-ES_tradnl"/>
        </w:rPr>
      </w:pPr>
      <w:r w:rsidRPr="00433DD5">
        <w:rPr>
          <w:rFonts w:asciiTheme="majorBidi" w:hAnsiTheme="majorBidi" w:cstheme="majorBidi"/>
          <w:b/>
          <w:lang w:val="es-ES"/>
        </w:rPr>
        <w:tab/>
      </w:r>
      <w:r w:rsidR="0094505A" w:rsidRPr="00433DD5">
        <w:rPr>
          <w:rFonts w:asciiTheme="majorBidi" w:hAnsiTheme="majorBidi" w:cstheme="majorBidi"/>
          <w:lang w:val="es-ES_tradnl"/>
        </w:rPr>
        <w:t xml:space="preserve">De acuerdo </w:t>
      </w:r>
      <w:r w:rsidR="00160955" w:rsidRPr="00433DD5">
        <w:rPr>
          <w:rFonts w:asciiTheme="majorBidi" w:hAnsiTheme="majorBidi" w:cstheme="majorBidi"/>
          <w:lang w:val="es-ES_tradnl"/>
        </w:rPr>
        <w:t xml:space="preserve">con el </w:t>
      </w:r>
      <w:r w:rsidR="00627737" w:rsidRPr="00433DD5">
        <w:rPr>
          <w:rFonts w:asciiTheme="majorBidi" w:hAnsiTheme="majorBidi" w:cstheme="majorBidi"/>
          <w:lang w:val="es-ES_tradnl"/>
        </w:rPr>
        <w:t>apartado anterior</w:t>
      </w:r>
      <w:r w:rsidR="0003261D" w:rsidRPr="00433DD5">
        <w:rPr>
          <w:rFonts w:asciiTheme="majorBidi" w:hAnsiTheme="majorBidi" w:cstheme="majorBidi"/>
          <w:lang w:val="es-ES_tradnl"/>
        </w:rPr>
        <w:t xml:space="preserve">, </w:t>
      </w:r>
      <w:r w:rsidR="00627737" w:rsidRPr="00433DD5">
        <w:rPr>
          <w:rFonts w:asciiTheme="majorBidi" w:hAnsiTheme="majorBidi" w:cstheme="majorBidi"/>
          <w:lang w:val="es-ES_tradnl"/>
        </w:rPr>
        <w:t>no se tiene certeza de que una evaluación apropiada conlleve a una mejor asignación del presupuesto</w:t>
      </w:r>
      <w:r w:rsidR="00126A40" w:rsidRPr="00433DD5">
        <w:rPr>
          <w:rFonts w:asciiTheme="majorBidi" w:hAnsiTheme="majorBidi" w:cstheme="majorBidi"/>
          <w:lang w:val="es-ES_tradnl"/>
        </w:rPr>
        <w:t>,</w:t>
      </w:r>
      <w:r w:rsidR="00627737" w:rsidRPr="00433DD5">
        <w:rPr>
          <w:rFonts w:asciiTheme="majorBidi" w:hAnsiTheme="majorBidi" w:cstheme="majorBidi"/>
          <w:lang w:val="es-ES_tradnl"/>
        </w:rPr>
        <w:t xml:space="preserve"> tal como </w:t>
      </w:r>
      <w:r w:rsidR="00126A40" w:rsidRPr="00433DD5">
        <w:rPr>
          <w:rFonts w:asciiTheme="majorBidi" w:hAnsiTheme="majorBidi" w:cstheme="majorBidi"/>
          <w:lang w:val="es-ES_tradnl"/>
        </w:rPr>
        <w:t xml:space="preserve">lo menciona </w:t>
      </w:r>
      <w:r w:rsidR="00627737" w:rsidRPr="00433DD5">
        <w:rPr>
          <w:rFonts w:asciiTheme="majorBidi" w:hAnsiTheme="majorBidi" w:cstheme="majorBidi"/>
          <w:lang w:val="es-ES_tradnl"/>
        </w:rPr>
        <w:t>Márquez (2012):</w:t>
      </w:r>
    </w:p>
    <w:p w14:paraId="67C9BE90" w14:textId="542B538A" w:rsidR="00D90986" w:rsidRPr="00433DD5" w:rsidRDefault="00627737" w:rsidP="005E0AC3">
      <w:pPr>
        <w:autoSpaceDE w:val="0"/>
        <w:autoSpaceDN w:val="0"/>
        <w:adjustRightInd w:val="0"/>
        <w:spacing w:line="360" w:lineRule="auto"/>
        <w:ind w:left="1418"/>
        <w:jc w:val="both"/>
        <w:rPr>
          <w:rFonts w:asciiTheme="majorBidi" w:hAnsiTheme="majorBidi" w:cstheme="majorBidi"/>
          <w:iCs/>
          <w:lang w:val="es-ES_tradnl"/>
        </w:rPr>
      </w:pPr>
      <w:r w:rsidRPr="00433DD5">
        <w:rPr>
          <w:rFonts w:asciiTheme="majorBidi" w:hAnsiTheme="majorBidi" w:cstheme="majorBidi"/>
          <w:iCs/>
          <w:lang w:val="es-ES_tradnl"/>
        </w:rPr>
        <w:t>Para realizar una buena planeación y administración de los recursos que se destinan al sector educativo se requiere tener una visión integral y precisa sobre la forma en que participan los gobiernos federal, estatal y municipal en el gasto educativo, así como sobre la manera en que se distribuyen los recursos entre los diferentes niveles, modalidades y programas educativos, hasta llegar al plano de dependencias e instituciones concretas. Sin embargo, este tipo de información no existe en nuestro país</w:t>
      </w:r>
      <w:r w:rsidR="00433412" w:rsidRPr="00433DD5">
        <w:rPr>
          <w:rFonts w:asciiTheme="majorBidi" w:hAnsiTheme="majorBidi" w:cstheme="majorBidi"/>
          <w:iCs/>
          <w:lang w:val="es-ES_tradnl"/>
        </w:rPr>
        <w:t xml:space="preserve"> (p. 110)</w:t>
      </w:r>
      <w:r w:rsidRPr="00433DD5">
        <w:rPr>
          <w:rFonts w:asciiTheme="majorBidi" w:hAnsiTheme="majorBidi" w:cstheme="majorBidi"/>
          <w:iCs/>
          <w:lang w:val="es-ES_tradnl"/>
        </w:rPr>
        <w:t xml:space="preserve">. </w:t>
      </w:r>
    </w:p>
    <w:p w14:paraId="41FADE32" w14:textId="2EDFC7DF" w:rsidR="00D90986" w:rsidRPr="00433DD5" w:rsidRDefault="00627737" w:rsidP="005E0AC3">
      <w:pPr>
        <w:autoSpaceDE w:val="0"/>
        <w:autoSpaceDN w:val="0"/>
        <w:adjustRightInd w:val="0"/>
        <w:spacing w:line="360" w:lineRule="auto"/>
        <w:ind w:firstLine="708"/>
        <w:jc w:val="both"/>
        <w:rPr>
          <w:rFonts w:asciiTheme="majorBidi" w:hAnsiTheme="majorBidi" w:cstheme="majorBidi"/>
          <w:iCs/>
          <w:sz w:val="22"/>
          <w:szCs w:val="22"/>
          <w:lang w:val="es-ES_tradnl"/>
        </w:rPr>
      </w:pPr>
      <w:r w:rsidRPr="00433DD5">
        <w:rPr>
          <w:rFonts w:asciiTheme="majorBidi" w:hAnsiTheme="majorBidi" w:cstheme="majorBidi"/>
          <w:lang w:val="es-ES_tradnl"/>
        </w:rPr>
        <w:t xml:space="preserve">En </w:t>
      </w:r>
      <w:r w:rsidR="00106AC8" w:rsidRPr="00433DD5">
        <w:rPr>
          <w:rFonts w:asciiTheme="majorBidi" w:hAnsiTheme="majorBidi" w:cstheme="majorBidi"/>
          <w:lang w:val="es-ES_tradnl"/>
        </w:rPr>
        <w:t>síntesis</w:t>
      </w:r>
      <w:r w:rsidR="008D7B08" w:rsidRPr="00433DD5">
        <w:rPr>
          <w:rFonts w:asciiTheme="majorBidi" w:hAnsiTheme="majorBidi" w:cstheme="majorBidi"/>
          <w:lang w:val="es-ES_tradnl"/>
        </w:rPr>
        <w:t>,</w:t>
      </w:r>
      <w:r w:rsidR="00701AB3" w:rsidRPr="00433DD5">
        <w:rPr>
          <w:rFonts w:asciiTheme="majorBidi" w:hAnsiTheme="majorBidi" w:cstheme="majorBidi"/>
          <w:lang w:val="es-ES_tradnl"/>
        </w:rPr>
        <w:t xml:space="preserve"> la SES </w:t>
      </w:r>
      <w:r w:rsidRPr="00433DD5">
        <w:rPr>
          <w:rFonts w:asciiTheme="majorBidi" w:hAnsiTheme="majorBidi" w:cstheme="majorBidi"/>
          <w:lang w:val="es-ES_tradnl"/>
        </w:rPr>
        <w:t xml:space="preserve">no </w:t>
      </w:r>
      <w:r w:rsidR="00701AB3" w:rsidRPr="00433DD5">
        <w:rPr>
          <w:rFonts w:asciiTheme="majorBidi" w:hAnsiTheme="majorBidi" w:cstheme="majorBidi"/>
          <w:lang w:val="es-ES_tradnl"/>
        </w:rPr>
        <w:t>cuenta con</w:t>
      </w:r>
      <w:r w:rsidRPr="00433DD5">
        <w:rPr>
          <w:rFonts w:asciiTheme="majorBidi" w:hAnsiTheme="majorBidi" w:cstheme="majorBidi"/>
          <w:lang w:val="es-ES_tradnl"/>
        </w:rPr>
        <w:t xml:space="preserve"> reglas claras sobre la asignación del presupuesto</w:t>
      </w:r>
      <w:r w:rsidR="00A711C8" w:rsidRPr="00433DD5">
        <w:rPr>
          <w:rFonts w:asciiTheme="majorBidi" w:hAnsiTheme="majorBidi" w:cstheme="majorBidi"/>
          <w:lang w:val="es-ES_tradnl"/>
        </w:rPr>
        <w:t xml:space="preserve">, </w:t>
      </w:r>
      <w:r w:rsidRPr="00433DD5">
        <w:rPr>
          <w:rFonts w:asciiTheme="majorBidi" w:hAnsiTheme="majorBidi" w:cstheme="majorBidi"/>
          <w:lang w:val="es-ES_tradnl"/>
        </w:rPr>
        <w:t>no se tienen fuentes de información confiable, transparente y oportuna</w:t>
      </w:r>
      <w:r w:rsidR="000E5FBB" w:rsidRPr="00433DD5">
        <w:rPr>
          <w:rFonts w:asciiTheme="majorBidi" w:hAnsiTheme="majorBidi" w:cstheme="majorBidi"/>
          <w:lang w:val="es-ES_tradnl"/>
        </w:rPr>
        <w:t>;</w:t>
      </w:r>
      <w:r w:rsidR="00A711C8" w:rsidRPr="00433DD5">
        <w:rPr>
          <w:rFonts w:asciiTheme="majorBidi" w:hAnsiTheme="majorBidi" w:cstheme="majorBidi"/>
          <w:lang w:val="es-ES_tradnl"/>
        </w:rPr>
        <w:t xml:space="preserve"> </w:t>
      </w:r>
      <w:r w:rsidR="00E503EB" w:rsidRPr="00433DD5">
        <w:rPr>
          <w:rFonts w:asciiTheme="majorBidi" w:hAnsiTheme="majorBidi" w:cstheme="majorBidi"/>
          <w:lang w:val="es-ES_tradnl"/>
        </w:rPr>
        <w:t xml:space="preserve">el que los resultados de la evaluación a los proyectos sean, en su mayoría, de color verde representaría </w:t>
      </w:r>
      <w:r w:rsidRPr="00433DD5">
        <w:rPr>
          <w:rFonts w:asciiTheme="majorBidi" w:hAnsiTheme="majorBidi" w:cstheme="majorBidi"/>
          <w:lang w:val="es-ES_tradnl"/>
        </w:rPr>
        <w:t xml:space="preserve">que las universidades avanzan en la orientación correcta hacia la calidad </w:t>
      </w:r>
      <w:r w:rsidR="00A711C8" w:rsidRPr="00433DD5">
        <w:rPr>
          <w:rFonts w:asciiTheme="majorBidi" w:hAnsiTheme="majorBidi" w:cstheme="majorBidi"/>
          <w:lang w:val="es-ES_tradnl"/>
        </w:rPr>
        <w:t xml:space="preserve">y excelencia </w:t>
      </w:r>
      <w:r w:rsidRPr="00433DD5">
        <w:rPr>
          <w:rFonts w:asciiTheme="majorBidi" w:hAnsiTheme="majorBidi" w:cstheme="majorBidi"/>
          <w:lang w:val="es-ES_tradnl"/>
        </w:rPr>
        <w:t>educativa, y</w:t>
      </w:r>
      <w:r w:rsidR="00E503EB" w:rsidRPr="00433DD5">
        <w:rPr>
          <w:rFonts w:asciiTheme="majorBidi" w:hAnsiTheme="majorBidi" w:cstheme="majorBidi"/>
          <w:lang w:val="es-ES_tradnl"/>
        </w:rPr>
        <w:t>,</w:t>
      </w:r>
      <w:r w:rsidRPr="00433DD5">
        <w:rPr>
          <w:rFonts w:asciiTheme="majorBidi" w:hAnsiTheme="majorBidi" w:cstheme="majorBidi"/>
          <w:lang w:val="es-ES_tradnl"/>
        </w:rPr>
        <w:t xml:space="preserve"> por tanto</w:t>
      </w:r>
      <w:r w:rsidR="00E503EB" w:rsidRPr="00433DD5">
        <w:rPr>
          <w:rFonts w:asciiTheme="majorBidi" w:hAnsiTheme="majorBidi" w:cstheme="majorBidi"/>
          <w:lang w:val="es-ES_tradnl"/>
        </w:rPr>
        <w:t>,</w:t>
      </w:r>
      <w:r w:rsidRPr="00433DD5">
        <w:rPr>
          <w:rFonts w:asciiTheme="majorBidi" w:hAnsiTheme="majorBidi" w:cstheme="majorBidi"/>
          <w:lang w:val="es-ES_tradnl"/>
        </w:rPr>
        <w:t xml:space="preserve"> deberían de ser fortalecidas</w:t>
      </w:r>
      <w:r w:rsidR="00E503EB" w:rsidRPr="00433DD5">
        <w:rPr>
          <w:rFonts w:asciiTheme="majorBidi" w:hAnsiTheme="majorBidi" w:cstheme="majorBidi"/>
          <w:lang w:val="es-ES_tradnl"/>
        </w:rPr>
        <w:t xml:space="preserve">, lo que </w:t>
      </w:r>
      <w:r w:rsidR="00FB0607" w:rsidRPr="00433DD5">
        <w:rPr>
          <w:rFonts w:asciiTheme="majorBidi" w:hAnsiTheme="majorBidi" w:cstheme="majorBidi"/>
          <w:lang w:val="es-ES_tradnl"/>
        </w:rPr>
        <w:t>sería congruente con l</w:t>
      </w:r>
      <w:r w:rsidR="009A6CE9" w:rsidRPr="00433DD5">
        <w:rPr>
          <w:rFonts w:asciiTheme="majorBidi" w:hAnsiTheme="majorBidi" w:cstheme="majorBidi"/>
          <w:lang w:val="es-ES_tradnl"/>
        </w:rPr>
        <w:t xml:space="preserve">os objetivos </w:t>
      </w:r>
      <w:r w:rsidR="00FB0607" w:rsidRPr="00433DD5">
        <w:rPr>
          <w:rFonts w:asciiTheme="majorBidi" w:hAnsiTheme="majorBidi" w:cstheme="majorBidi"/>
          <w:lang w:val="es-ES_tradnl"/>
        </w:rPr>
        <w:t>de dicho programa</w:t>
      </w:r>
      <w:r w:rsidR="00126A40" w:rsidRPr="00433DD5">
        <w:rPr>
          <w:rFonts w:asciiTheme="majorBidi" w:hAnsiTheme="majorBidi" w:cstheme="majorBidi"/>
          <w:lang w:val="es-ES_tradnl"/>
        </w:rPr>
        <w:t>.</w:t>
      </w:r>
      <w:r w:rsidRPr="00433DD5">
        <w:rPr>
          <w:rFonts w:asciiTheme="majorBidi" w:hAnsiTheme="majorBidi" w:cstheme="majorBidi"/>
          <w:lang w:val="es-ES_tradnl"/>
        </w:rPr>
        <w:t xml:space="preserve"> </w:t>
      </w:r>
      <w:r w:rsidR="00126A40" w:rsidRPr="00433DD5">
        <w:rPr>
          <w:rFonts w:asciiTheme="majorBidi" w:hAnsiTheme="majorBidi" w:cstheme="majorBidi"/>
          <w:lang w:val="es-ES_tradnl"/>
        </w:rPr>
        <w:t>S</w:t>
      </w:r>
      <w:r w:rsidRPr="00433DD5">
        <w:rPr>
          <w:rFonts w:asciiTheme="majorBidi" w:hAnsiTheme="majorBidi" w:cstheme="majorBidi"/>
          <w:lang w:val="es-ES_tradnl"/>
        </w:rPr>
        <w:t>in embargo</w:t>
      </w:r>
      <w:r w:rsidR="002365CF" w:rsidRPr="00433DD5">
        <w:rPr>
          <w:rFonts w:asciiTheme="majorBidi" w:hAnsiTheme="majorBidi" w:cstheme="majorBidi"/>
          <w:lang w:val="es-ES_tradnl"/>
        </w:rPr>
        <w:t>,</w:t>
      </w:r>
      <w:r w:rsidRPr="00433DD5">
        <w:rPr>
          <w:rFonts w:asciiTheme="majorBidi" w:hAnsiTheme="majorBidi" w:cstheme="majorBidi"/>
          <w:lang w:val="es-ES_tradnl"/>
        </w:rPr>
        <w:t xml:space="preserve"> </w:t>
      </w:r>
      <w:r w:rsidR="00D66E73" w:rsidRPr="00433DD5">
        <w:rPr>
          <w:rFonts w:asciiTheme="majorBidi" w:hAnsiTheme="majorBidi" w:cstheme="majorBidi"/>
          <w:lang w:val="es-ES_tradnl"/>
        </w:rPr>
        <w:t xml:space="preserve">dichas </w:t>
      </w:r>
      <w:r w:rsidRPr="00433DD5">
        <w:rPr>
          <w:rFonts w:asciiTheme="majorBidi" w:hAnsiTheme="majorBidi" w:cstheme="majorBidi"/>
          <w:lang w:val="es-ES_tradnl"/>
        </w:rPr>
        <w:t xml:space="preserve">asignaciones </w:t>
      </w:r>
      <w:r w:rsidR="00906D40" w:rsidRPr="00433DD5">
        <w:rPr>
          <w:rFonts w:asciiTheme="majorBidi" w:hAnsiTheme="majorBidi" w:cstheme="majorBidi"/>
          <w:lang w:val="es-ES_tradnl"/>
        </w:rPr>
        <w:t xml:space="preserve">muestran un decremento </w:t>
      </w:r>
      <w:r w:rsidRPr="00433DD5">
        <w:rPr>
          <w:rFonts w:asciiTheme="majorBidi" w:hAnsiTheme="majorBidi" w:cstheme="majorBidi"/>
          <w:lang w:val="es-ES_tradnl"/>
        </w:rPr>
        <w:t>y no queda claro con base en qué</w:t>
      </w:r>
      <w:r w:rsidR="009958CF" w:rsidRPr="00433DD5">
        <w:rPr>
          <w:rFonts w:asciiTheme="majorBidi" w:hAnsiTheme="majorBidi" w:cstheme="majorBidi"/>
          <w:lang w:val="es-ES_tradnl"/>
        </w:rPr>
        <w:t xml:space="preserve"> marcos de </w:t>
      </w:r>
      <w:r w:rsidRPr="00433DD5">
        <w:rPr>
          <w:rFonts w:asciiTheme="majorBidi" w:hAnsiTheme="majorBidi" w:cstheme="majorBidi"/>
          <w:lang w:val="es-ES_tradnl"/>
        </w:rPr>
        <w:t>referen</w:t>
      </w:r>
      <w:r w:rsidR="009958CF" w:rsidRPr="00433DD5">
        <w:rPr>
          <w:rFonts w:asciiTheme="majorBidi" w:hAnsiTheme="majorBidi" w:cstheme="majorBidi"/>
          <w:lang w:val="es-ES_tradnl"/>
        </w:rPr>
        <w:t>cia</w:t>
      </w:r>
      <w:r w:rsidRPr="00433DD5">
        <w:rPr>
          <w:rFonts w:asciiTheme="majorBidi" w:hAnsiTheme="majorBidi" w:cstheme="majorBidi"/>
          <w:lang w:val="es-ES_tradnl"/>
        </w:rPr>
        <w:t xml:space="preserve"> se realiza el financiamiento, si obedece a la cantidad de </w:t>
      </w:r>
      <w:r w:rsidRPr="00433DD5">
        <w:rPr>
          <w:rFonts w:asciiTheme="majorBidi" w:hAnsiTheme="majorBidi" w:cstheme="majorBidi"/>
          <w:lang w:val="es-ES_tradnl"/>
        </w:rPr>
        <w:lastRenderedPageBreak/>
        <w:t>matrícula atendida, cantidad de profesores, espacios o</w:t>
      </w:r>
      <w:r w:rsidR="002365CF" w:rsidRPr="00433DD5">
        <w:rPr>
          <w:rFonts w:asciiTheme="majorBidi" w:hAnsiTheme="majorBidi" w:cstheme="majorBidi"/>
          <w:lang w:val="es-ES_tradnl"/>
        </w:rPr>
        <w:t>,</w:t>
      </w:r>
      <w:r w:rsidRPr="00433DD5">
        <w:rPr>
          <w:rFonts w:asciiTheme="majorBidi" w:hAnsiTheme="majorBidi" w:cstheme="majorBidi"/>
          <w:lang w:val="es-ES_tradnl"/>
        </w:rPr>
        <w:t xml:space="preserve"> mejor aún</w:t>
      </w:r>
      <w:r w:rsidR="002365CF" w:rsidRPr="00433DD5">
        <w:rPr>
          <w:rFonts w:asciiTheme="majorBidi" w:hAnsiTheme="majorBidi" w:cstheme="majorBidi"/>
          <w:lang w:val="es-ES_tradnl"/>
        </w:rPr>
        <w:t>,</w:t>
      </w:r>
      <w:r w:rsidRPr="00433DD5">
        <w:rPr>
          <w:rFonts w:asciiTheme="majorBidi" w:hAnsiTheme="majorBidi" w:cstheme="majorBidi"/>
          <w:lang w:val="es-ES_tradnl"/>
        </w:rPr>
        <w:t xml:space="preserve"> si obedeciera a estudios profundos del impacto que tienen los recursos en la formación de los estudiantes, </w:t>
      </w:r>
      <w:r w:rsidR="00E503EB" w:rsidRPr="00433DD5">
        <w:rPr>
          <w:rFonts w:asciiTheme="majorBidi" w:hAnsiTheme="majorBidi" w:cstheme="majorBidi"/>
          <w:lang w:val="es-ES_tradnl"/>
        </w:rPr>
        <w:t xml:space="preserve">actualmente </w:t>
      </w:r>
      <w:r w:rsidRPr="00433DD5">
        <w:rPr>
          <w:rFonts w:asciiTheme="majorBidi" w:hAnsiTheme="majorBidi" w:cstheme="majorBidi"/>
          <w:lang w:val="es-ES_tradnl"/>
        </w:rPr>
        <w:t xml:space="preserve">no se tiene evidencia de que </w:t>
      </w:r>
      <w:r w:rsidR="008D2F49" w:rsidRPr="00433DD5">
        <w:rPr>
          <w:rFonts w:asciiTheme="majorBidi" w:hAnsiTheme="majorBidi" w:cstheme="majorBidi"/>
          <w:lang w:val="es-ES_tradnl"/>
        </w:rPr>
        <w:t>e</w:t>
      </w:r>
      <w:r w:rsidR="00E3125B" w:rsidRPr="00433DD5">
        <w:rPr>
          <w:rFonts w:asciiTheme="majorBidi" w:hAnsiTheme="majorBidi" w:cstheme="majorBidi"/>
          <w:lang w:val="es-ES_tradnl"/>
        </w:rPr>
        <w:t>sto</w:t>
      </w:r>
      <w:r w:rsidR="008D2F49" w:rsidRPr="00433DD5">
        <w:rPr>
          <w:rFonts w:asciiTheme="majorBidi" w:hAnsiTheme="majorBidi" w:cstheme="majorBidi"/>
          <w:lang w:val="es-ES_tradnl"/>
        </w:rPr>
        <w:t xml:space="preserve"> </w:t>
      </w:r>
      <w:r w:rsidRPr="00433DD5">
        <w:rPr>
          <w:rFonts w:asciiTheme="majorBidi" w:hAnsiTheme="majorBidi" w:cstheme="majorBidi"/>
          <w:lang w:val="es-ES_tradnl"/>
        </w:rPr>
        <w:t xml:space="preserve">sea así. </w:t>
      </w:r>
    </w:p>
    <w:p w14:paraId="003229F5" w14:textId="1D30C0CF" w:rsidR="00627737" w:rsidRPr="00433DD5" w:rsidRDefault="0029253D" w:rsidP="005E0AC3">
      <w:pPr>
        <w:autoSpaceDE w:val="0"/>
        <w:autoSpaceDN w:val="0"/>
        <w:adjustRightInd w:val="0"/>
        <w:spacing w:line="360" w:lineRule="auto"/>
        <w:ind w:firstLine="708"/>
        <w:jc w:val="both"/>
        <w:rPr>
          <w:rFonts w:asciiTheme="majorBidi" w:hAnsiTheme="majorBidi" w:cstheme="majorBidi"/>
          <w:iCs/>
          <w:sz w:val="22"/>
          <w:szCs w:val="22"/>
          <w:lang w:val="es-ES_tradnl"/>
        </w:rPr>
      </w:pPr>
      <w:r w:rsidRPr="00433DD5">
        <w:rPr>
          <w:rFonts w:asciiTheme="majorBidi" w:hAnsiTheme="majorBidi" w:cstheme="majorBidi"/>
          <w:lang w:val="es-ES"/>
        </w:rPr>
        <w:t>Respecto a este</w:t>
      </w:r>
      <w:r w:rsidR="00627737" w:rsidRPr="00433DD5">
        <w:rPr>
          <w:rFonts w:asciiTheme="majorBidi" w:hAnsiTheme="majorBidi" w:cstheme="majorBidi"/>
          <w:lang w:val="es-ES"/>
        </w:rPr>
        <w:t xml:space="preserve"> hecho</w:t>
      </w:r>
      <w:r w:rsidR="002365CF" w:rsidRPr="00433DD5">
        <w:rPr>
          <w:rFonts w:asciiTheme="majorBidi" w:hAnsiTheme="majorBidi" w:cstheme="majorBidi"/>
          <w:lang w:val="es-ES"/>
        </w:rPr>
        <w:t>,</w:t>
      </w:r>
      <w:r w:rsidR="00627737" w:rsidRPr="00433DD5">
        <w:rPr>
          <w:rFonts w:asciiTheme="majorBidi" w:hAnsiTheme="majorBidi" w:cstheme="majorBidi"/>
          <w:lang w:val="es-ES"/>
        </w:rPr>
        <w:t xml:space="preserve"> es necesario e impostergable replantear las estructuras normativas</w:t>
      </w:r>
      <w:r w:rsidR="009A6CE9" w:rsidRPr="00433DD5">
        <w:rPr>
          <w:rFonts w:asciiTheme="majorBidi" w:hAnsiTheme="majorBidi" w:cstheme="majorBidi"/>
          <w:lang w:val="es-ES"/>
        </w:rPr>
        <w:t xml:space="preserve"> para</w:t>
      </w:r>
      <w:r w:rsidR="00627737" w:rsidRPr="00433DD5">
        <w:rPr>
          <w:rFonts w:asciiTheme="majorBidi" w:hAnsiTheme="majorBidi" w:cstheme="majorBidi"/>
          <w:lang w:val="es-ES"/>
        </w:rPr>
        <w:t xml:space="preserve"> que permitan clarificar tanto la asignación de los recursos como el ejercicio mismo del gasto, de tal manera que se brinde mayor seguimiento al impacto académico, pero también </w:t>
      </w:r>
      <w:r w:rsidR="009A6CE9" w:rsidRPr="00433DD5">
        <w:rPr>
          <w:rFonts w:asciiTheme="majorBidi" w:hAnsiTheme="majorBidi" w:cstheme="majorBidi"/>
          <w:lang w:val="es-ES"/>
        </w:rPr>
        <w:t xml:space="preserve">para </w:t>
      </w:r>
      <w:r w:rsidR="00627737" w:rsidRPr="00433DD5">
        <w:rPr>
          <w:rFonts w:asciiTheme="majorBidi" w:hAnsiTheme="majorBidi" w:cstheme="majorBidi"/>
          <w:lang w:val="es-ES"/>
        </w:rPr>
        <w:t xml:space="preserve">disminuir los manejos discrecionales en las instituciones que pueden dar lugar a actos de </w:t>
      </w:r>
      <w:r w:rsidR="002947F2" w:rsidRPr="00433DD5">
        <w:rPr>
          <w:rFonts w:asciiTheme="majorBidi" w:hAnsiTheme="majorBidi" w:cstheme="majorBidi"/>
          <w:lang w:val="es-ES"/>
        </w:rPr>
        <w:t xml:space="preserve">incongruencia que desalienten el camino de </w:t>
      </w:r>
      <w:r w:rsidR="00200419" w:rsidRPr="00433DD5">
        <w:rPr>
          <w:rFonts w:asciiTheme="majorBidi" w:hAnsiTheme="majorBidi" w:cstheme="majorBidi"/>
          <w:lang w:val="es-ES"/>
        </w:rPr>
        <w:t>desarrollo</w:t>
      </w:r>
      <w:r w:rsidR="002947F2" w:rsidRPr="00433DD5">
        <w:rPr>
          <w:rFonts w:asciiTheme="majorBidi" w:hAnsiTheme="majorBidi" w:cstheme="majorBidi"/>
          <w:lang w:val="es-ES"/>
        </w:rPr>
        <w:t xml:space="preserve"> de las universidades</w:t>
      </w:r>
      <w:r w:rsidR="00627737" w:rsidRPr="00433DD5">
        <w:rPr>
          <w:rFonts w:asciiTheme="majorBidi" w:hAnsiTheme="majorBidi" w:cstheme="majorBidi"/>
          <w:lang w:val="es-ES"/>
        </w:rPr>
        <w:t xml:space="preserve">. </w:t>
      </w:r>
    </w:p>
    <w:p w14:paraId="78582869" w14:textId="479FCDD0" w:rsidR="004A5BFF" w:rsidRPr="00433DD5" w:rsidRDefault="00627737" w:rsidP="004A5BFF">
      <w:pPr>
        <w:autoSpaceDE w:val="0"/>
        <w:autoSpaceDN w:val="0"/>
        <w:adjustRightInd w:val="0"/>
        <w:spacing w:line="360" w:lineRule="auto"/>
        <w:ind w:firstLine="708"/>
        <w:jc w:val="both"/>
        <w:rPr>
          <w:rFonts w:asciiTheme="majorBidi" w:hAnsiTheme="majorBidi" w:cstheme="majorBidi"/>
          <w:lang w:val="es-ES_tradnl"/>
        </w:rPr>
      </w:pPr>
      <w:r w:rsidRPr="00433DD5">
        <w:rPr>
          <w:rFonts w:asciiTheme="majorBidi" w:hAnsiTheme="majorBidi" w:cstheme="majorBidi"/>
          <w:lang w:val="es-ES_tradnl"/>
        </w:rPr>
        <w:t xml:space="preserve">Digno de mencionar es el enfoque desigual que existe con las </w:t>
      </w:r>
      <w:r w:rsidR="004A5BFF" w:rsidRPr="00433DD5">
        <w:rPr>
          <w:rFonts w:asciiTheme="majorBidi" w:hAnsiTheme="majorBidi" w:cstheme="majorBidi"/>
          <w:lang w:val="es-ES_tradnl"/>
        </w:rPr>
        <w:t xml:space="preserve">universidades </w:t>
      </w:r>
      <w:r w:rsidRPr="00433DD5">
        <w:rPr>
          <w:rFonts w:asciiTheme="majorBidi" w:hAnsiTheme="majorBidi" w:cstheme="majorBidi"/>
          <w:lang w:val="es-ES_tradnl"/>
        </w:rPr>
        <w:t>en el país</w:t>
      </w:r>
      <w:r w:rsidR="002365CF" w:rsidRPr="00433DD5">
        <w:rPr>
          <w:rFonts w:asciiTheme="majorBidi" w:hAnsiTheme="majorBidi" w:cstheme="majorBidi"/>
          <w:lang w:val="es-ES_tradnl"/>
        </w:rPr>
        <w:t>,</w:t>
      </w:r>
      <w:r w:rsidRPr="00433DD5">
        <w:rPr>
          <w:rFonts w:asciiTheme="majorBidi" w:hAnsiTheme="majorBidi" w:cstheme="majorBidi"/>
          <w:lang w:val="es-ES_tradnl"/>
        </w:rPr>
        <w:t xml:space="preserve"> pues para acceder a recursos del </w:t>
      </w:r>
      <w:r w:rsidR="001A0378" w:rsidRPr="00433DD5">
        <w:rPr>
          <w:rFonts w:asciiTheme="majorBidi" w:hAnsiTheme="majorBidi" w:cstheme="majorBidi"/>
          <w:lang w:val="es-ES_tradnl"/>
        </w:rPr>
        <w:t>Profexce</w:t>
      </w:r>
      <w:r w:rsidRPr="00433DD5">
        <w:rPr>
          <w:rFonts w:asciiTheme="majorBidi" w:hAnsiTheme="majorBidi" w:cstheme="majorBidi"/>
          <w:lang w:val="es-ES_tradnl"/>
        </w:rPr>
        <w:t xml:space="preserve"> es necesario evaluarse, y no s</w:t>
      </w:r>
      <w:r w:rsidR="00D00773" w:rsidRPr="00433DD5">
        <w:rPr>
          <w:rFonts w:asciiTheme="majorBidi" w:hAnsiTheme="majorBidi" w:cstheme="majorBidi"/>
          <w:lang w:val="es-ES_tradnl"/>
        </w:rPr>
        <w:t>o</w:t>
      </w:r>
      <w:r w:rsidRPr="00433DD5">
        <w:rPr>
          <w:rFonts w:asciiTheme="majorBidi" w:hAnsiTheme="majorBidi" w:cstheme="majorBidi"/>
          <w:lang w:val="es-ES_tradnl"/>
        </w:rPr>
        <w:t>lo por esta instancia</w:t>
      </w:r>
      <w:r w:rsidR="00906D40" w:rsidRPr="00433DD5">
        <w:rPr>
          <w:rFonts w:asciiTheme="majorBidi" w:hAnsiTheme="majorBidi" w:cstheme="majorBidi"/>
          <w:lang w:val="es-ES_tradnl"/>
        </w:rPr>
        <w:t>,</w:t>
      </w:r>
      <w:r w:rsidRPr="00433DD5">
        <w:rPr>
          <w:rFonts w:asciiTheme="majorBidi" w:hAnsiTheme="majorBidi" w:cstheme="majorBidi"/>
          <w:lang w:val="es-ES_tradnl"/>
        </w:rPr>
        <w:t xml:space="preserve"> también por los organismos reconocidos por </w:t>
      </w:r>
      <w:r w:rsidR="00E3125B" w:rsidRPr="00433DD5">
        <w:rPr>
          <w:rFonts w:asciiTheme="majorBidi" w:hAnsiTheme="majorBidi" w:cstheme="majorBidi"/>
          <w:lang w:val="es-ES_tradnl"/>
        </w:rPr>
        <w:t>el Consejo para la Acreditación de la Educación Superior</w:t>
      </w:r>
      <w:r w:rsidR="00C04707" w:rsidRPr="00433DD5">
        <w:rPr>
          <w:rFonts w:asciiTheme="majorBidi" w:hAnsiTheme="majorBidi" w:cstheme="majorBidi"/>
          <w:lang w:val="es-ES_tradnl"/>
        </w:rPr>
        <w:t xml:space="preserve"> (</w:t>
      </w:r>
      <w:r w:rsidR="004A5BFF" w:rsidRPr="00433DD5">
        <w:rPr>
          <w:rFonts w:asciiTheme="majorBidi" w:hAnsiTheme="majorBidi" w:cstheme="majorBidi"/>
          <w:lang w:val="es-ES_tradnl"/>
        </w:rPr>
        <w:t>Copaes</w:t>
      </w:r>
      <w:r w:rsidR="00C04707" w:rsidRPr="00433DD5">
        <w:rPr>
          <w:rFonts w:asciiTheme="majorBidi" w:hAnsiTheme="majorBidi" w:cstheme="majorBidi"/>
          <w:lang w:val="es-ES_tradnl"/>
        </w:rPr>
        <w:t>)</w:t>
      </w:r>
      <w:r w:rsidR="000347D7" w:rsidRPr="00433DD5">
        <w:rPr>
          <w:rFonts w:asciiTheme="majorBidi" w:hAnsiTheme="majorBidi" w:cstheme="majorBidi"/>
          <w:lang w:val="es-ES_tradnl"/>
        </w:rPr>
        <w:t xml:space="preserve">. Lo anterior debido </w:t>
      </w:r>
      <w:r w:rsidRPr="00433DD5">
        <w:rPr>
          <w:rFonts w:asciiTheme="majorBidi" w:hAnsiTheme="majorBidi" w:cstheme="majorBidi"/>
          <w:lang w:val="es-ES_tradnl"/>
        </w:rPr>
        <w:t>a</w:t>
      </w:r>
      <w:r w:rsidR="000347D7" w:rsidRPr="00433DD5">
        <w:rPr>
          <w:rFonts w:asciiTheme="majorBidi" w:hAnsiTheme="majorBidi" w:cstheme="majorBidi"/>
          <w:lang w:val="es-ES_tradnl"/>
        </w:rPr>
        <w:t xml:space="preserve"> que</w:t>
      </w:r>
      <w:r w:rsidR="00C04707" w:rsidRPr="00433DD5">
        <w:rPr>
          <w:rFonts w:asciiTheme="majorBidi" w:hAnsiTheme="majorBidi" w:cstheme="majorBidi"/>
          <w:lang w:val="es-ES_tradnl"/>
        </w:rPr>
        <w:t xml:space="preserve"> a </w:t>
      </w:r>
      <w:r w:rsidRPr="00433DD5">
        <w:rPr>
          <w:rFonts w:asciiTheme="majorBidi" w:hAnsiTheme="majorBidi" w:cstheme="majorBidi"/>
          <w:lang w:val="es-ES_tradnl"/>
        </w:rPr>
        <w:t>través de ellos se pretende legitimar el discurso de calidad educativa</w:t>
      </w:r>
      <w:r w:rsidR="004A5BFF" w:rsidRPr="00433DD5">
        <w:rPr>
          <w:rFonts w:asciiTheme="majorBidi" w:hAnsiTheme="majorBidi" w:cstheme="majorBidi"/>
          <w:lang w:val="es-ES_tradnl"/>
        </w:rPr>
        <w:t xml:space="preserve">. Tal </w:t>
      </w:r>
      <w:r w:rsidRPr="00433DD5">
        <w:rPr>
          <w:rFonts w:asciiTheme="majorBidi" w:hAnsiTheme="majorBidi" w:cstheme="majorBidi"/>
          <w:lang w:val="es-ES_tradnl"/>
        </w:rPr>
        <w:t>como lo señala</w:t>
      </w:r>
      <w:r w:rsidR="00103A8F" w:rsidRPr="00433DD5">
        <w:rPr>
          <w:rFonts w:asciiTheme="majorBidi" w:hAnsiTheme="majorBidi" w:cstheme="majorBidi"/>
          <w:lang w:val="es-ES_tradnl"/>
        </w:rPr>
        <w:t xml:space="preserve"> </w:t>
      </w:r>
      <w:r w:rsidR="00E8675D" w:rsidRPr="00433DD5">
        <w:rPr>
          <w:rFonts w:asciiTheme="majorBidi" w:hAnsiTheme="majorBidi" w:cstheme="majorBidi"/>
          <w:lang w:val="es-ES_tradnl"/>
        </w:rPr>
        <w:t>López</w:t>
      </w:r>
      <w:r w:rsidR="00DD6877" w:rsidRPr="00433DD5">
        <w:rPr>
          <w:rFonts w:asciiTheme="majorBidi" w:hAnsiTheme="majorBidi" w:cstheme="majorBidi"/>
          <w:lang w:val="es-ES_tradnl"/>
        </w:rPr>
        <w:t xml:space="preserve"> (2009)</w:t>
      </w:r>
      <w:r w:rsidR="004A5BFF" w:rsidRPr="00433DD5">
        <w:rPr>
          <w:rFonts w:asciiTheme="majorBidi" w:hAnsiTheme="majorBidi" w:cstheme="majorBidi"/>
          <w:lang w:val="es-ES_tradnl"/>
        </w:rPr>
        <w:t>:</w:t>
      </w:r>
      <w:r w:rsidR="00244D89" w:rsidRPr="00433DD5">
        <w:rPr>
          <w:rFonts w:asciiTheme="majorBidi" w:hAnsiTheme="majorBidi" w:cstheme="majorBidi"/>
          <w:lang w:val="es-ES_tradnl"/>
        </w:rPr>
        <w:t xml:space="preserve"> </w:t>
      </w:r>
    </w:p>
    <w:p w14:paraId="1B7622DE" w14:textId="2B5B9618" w:rsidR="00627737" w:rsidRPr="00433DD5" w:rsidRDefault="00627737" w:rsidP="005E0AC3">
      <w:pPr>
        <w:autoSpaceDE w:val="0"/>
        <w:autoSpaceDN w:val="0"/>
        <w:adjustRightInd w:val="0"/>
        <w:spacing w:line="360" w:lineRule="auto"/>
        <w:ind w:left="1418"/>
        <w:jc w:val="both"/>
        <w:rPr>
          <w:rFonts w:asciiTheme="majorBidi" w:hAnsiTheme="majorBidi" w:cstheme="majorBidi"/>
          <w:lang w:val="es-ES_tradnl"/>
        </w:rPr>
      </w:pPr>
      <w:r w:rsidRPr="00433DD5">
        <w:rPr>
          <w:rFonts w:asciiTheme="majorBidi" w:hAnsiTheme="majorBidi" w:cstheme="majorBidi"/>
          <w:iCs/>
        </w:rPr>
        <w:t>La característica de adscripción voluntaria al programa deja de serlo cuando es la única manera de acceder a recursos indispensables para el desarrollo de la institución, a menos que se cuente con un poder y autoridad política y académica para acceder por otras vías al recurso público extraordinario</w:t>
      </w:r>
      <w:r w:rsidR="00244D89" w:rsidRPr="00433DD5">
        <w:rPr>
          <w:rFonts w:asciiTheme="majorBidi" w:hAnsiTheme="majorBidi" w:cstheme="majorBidi"/>
          <w:i/>
        </w:rPr>
        <w:t xml:space="preserve"> </w:t>
      </w:r>
      <w:r w:rsidR="00244D89" w:rsidRPr="00433DD5">
        <w:rPr>
          <w:rFonts w:asciiTheme="majorBidi" w:hAnsiTheme="majorBidi" w:cstheme="majorBidi"/>
          <w:lang w:val="es-ES_tradnl"/>
        </w:rPr>
        <w:t>(</w:t>
      </w:r>
      <w:r w:rsidR="00F96950" w:rsidRPr="00433DD5">
        <w:rPr>
          <w:rFonts w:asciiTheme="majorBidi" w:hAnsiTheme="majorBidi" w:cstheme="majorBidi"/>
          <w:lang w:val="es-ES_tradnl"/>
        </w:rPr>
        <w:t>p. 121</w:t>
      </w:r>
      <w:r w:rsidR="00244D89" w:rsidRPr="00433DD5">
        <w:rPr>
          <w:rFonts w:asciiTheme="majorBidi" w:hAnsiTheme="majorBidi" w:cstheme="majorBidi"/>
          <w:lang w:val="es-ES_tradnl"/>
        </w:rPr>
        <w:t>).</w:t>
      </w:r>
    </w:p>
    <w:p w14:paraId="508D25AF" w14:textId="0C6C5AFD" w:rsidR="00627737" w:rsidRPr="00433DD5" w:rsidRDefault="00C04707" w:rsidP="005E0AC3">
      <w:pPr>
        <w:snapToGrid w:val="0"/>
        <w:spacing w:line="360" w:lineRule="auto"/>
        <w:ind w:firstLine="708"/>
        <w:contextualSpacing/>
        <w:jc w:val="both"/>
        <w:rPr>
          <w:rFonts w:asciiTheme="majorBidi" w:hAnsiTheme="majorBidi" w:cstheme="majorBidi"/>
        </w:rPr>
      </w:pPr>
      <w:r w:rsidRPr="00433DD5">
        <w:rPr>
          <w:rFonts w:asciiTheme="majorBidi" w:hAnsiTheme="majorBidi" w:cstheme="majorBidi"/>
        </w:rPr>
        <w:t>Ante este escenario</w:t>
      </w:r>
      <w:r w:rsidR="00627737" w:rsidRPr="00433DD5">
        <w:rPr>
          <w:rFonts w:asciiTheme="majorBidi" w:hAnsiTheme="majorBidi" w:cstheme="majorBidi"/>
        </w:rPr>
        <w:t xml:space="preserve">, </w:t>
      </w:r>
      <w:r w:rsidR="006346C9" w:rsidRPr="00433DD5">
        <w:rPr>
          <w:rFonts w:asciiTheme="majorBidi" w:hAnsiTheme="majorBidi" w:cstheme="majorBidi"/>
        </w:rPr>
        <w:t>se observan</w:t>
      </w:r>
      <w:r w:rsidR="00627737" w:rsidRPr="00433DD5">
        <w:rPr>
          <w:rFonts w:asciiTheme="majorBidi" w:hAnsiTheme="majorBidi" w:cstheme="majorBidi"/>
        </w:rPr>
        <w:t xml:space="preserve"> distribuciones inequitativas entre las instituciones, véa</w:t>
      </w:r>
      <w:r w:rsidR="002365CF" w:rsidRPr="00433DD5">
        <w:rPr>
          <w:rFonts w:asciiTheme="majorBidi" w:hAnsiTheme="majorBidi" w:cstheme="majorBidi"/>
        </w:rPr>
        <w:t>n</w:t>
      </w:r>
      <w:r w:rsidR="00627737" w:rsidRPr="00433DD5">
        <w:rPr>
          <w:rFonts w:asciiTheme="majorBidi" w:hAnsiTheme="majorBidi" w:cstheme="majorBidi"/>
        </w:rPr>
        <w:t>se</w:t>
      </w:r>
      <w:r w:rsidR="002365CF" w:rsidRPr="00433DD5">
        <w:rPr>
          <w:rFonts w:asciiTheme="majorBidi" w:hAnsiTheme="majorBidi" w:cstheme="majorBidi"/>
        </w:rPr>
        <w:t>,</w:t>
      </w:r>
      <w:r w:rsidR="00627737" w:rsidRPr="00433DD5">
        <w:rPr>
          <w:rFonts w:asciiTheme="majorBidi" w:hAnsiTheme="majorBidi" w:cstheme="majorBidi"/>
        </w:rPr>
        <w:t xml:space="preserve"> por ejemplo</w:t>
      </w:r>
      <w:r w:rsidR="002365CF" w:rsidRPr="00433DD5">
        <w:rPr>
          <w:rFonts w:asciiTheme="majorBidi" w:hAnsiTheme="majorBidi" w:cstheme="majorBidi"/>
        </w:rPr>
        <w:t>,</w:t>
      </w:r>
      <w:r w:rsidR="00627737" w:rsidRPr="00433DD5">
        <w:rPr>
          <w:rFonts w:asciiTheme="majorBidi" w:hAnsiTheme="majorBidi" w:cstheme="majorBidi"/>
        </w:rPr>
        <w:t xml:space="preserve"> los estudios realizados por Mendoza (2017) en </w:t>
      </w:r>
      <w:r w:rsidR="00244D89" w:rsidRPr="00433DD5">
        <w:rPr>
          <w:rFonts w:asciiTheme="majorBidi" w:hAnsiTheme="majorBidi" w:cstheme="majorBidi"/>
        </w:rPr>
        <w:t>los</w:t>
      </w:r>
      <w:r w:rsidR="00627737" w:rsidRPr="00433DD5">
        <w:rPr>
          <w:rFonts w:asciiTheme="majorBidi" w:hAnsiTheme="majorBidi" w:cstheme="majorBidi"/>
        </w:rPr>
        <w:t xml:space="preserve"> que</w:t>
      </w:r>
      <w:r w:rsidR="002365CF" w:rsidRPr="00433DD5">
        <w:rPr>
          <w:rFonts w:asciiTheme="majorBidi" w:hAnsiTheme="majorBidi" w:cstheme="majorBidi"/>
        </w:rPr>
        <w:t>,</w:t>
      </w:r>
      <w:r w:rsidR="00627737" w:rsidRPr="00433DD5">
        <w:rPr>
          <w:rFonts w:asciiTheme="majorBidi" w:hAnsiTheme="majorBidi" w:cstheme="majorBidi"/>
        </w:rPr>
        <w:t xml:space="preserve"> en el periodo comprendido del 2012 a</w:t>
      </w:r>
      <w:r w:rsidR="002365CF" w:rsidRPr="00433DD5">
        <w:rPr>
          <w:rFonts w:asciiTheme="majorBidi" w:hAnsiTheme="majorBidi" w:cstheme="majorBidi"/>
        </w:rPr>
        <w:t>l</w:t>
      </w:r>
      <w:r w:rsidR="00627737" w:rsidRPr="00433DD5">
        <w:rPr>
          <w:rFonts w:asciiTheme="majorBidi" w:hAnsiTheme="majorBidi" w:cstheme="majorBidi"/>
        </w:rPr>
        <w:t xml:space="preserve"> 2015</w:t>
      </w:r>
      <w:r w:rsidR="002365CF" w:rsidRPr="00433DD5">
        <w:rPr>
          <w:rFonts w:asciiTheme="majorBidi" w:hAnsiTheme="majorBidi" w:cstheme="majorBidi"/>
        </w:rPr>
        <w:t>,</w:t>
      </w:r>
      <w:r w:rsidR="00627737" w:rsidRPr="00433DD5">
        <w:rPr>
          <w:rFonts w:asciiTheme="majorBidi" w:hAnsiTheme="majorBidi" w:cstheme="majorBidi"/>
        </w:rPr>
        <w:t xml:space="preserve"> el comportamiento del presupuesto de las </w:t>
      </w:r>
      <w:r w:rsidR="004A5BFF" w:rsidRPr="00433DD5">
        <w:rPr>
          <w:rFonts w:asciiTheme="majorBidi" w:hAnsiTheme="majorBidi" w:cstheme="majorBidi"/>
        </w:rPr>
        <w:t xml:space="preserve">IES públicas </w:t>
      </w:r>
      <w:r w:rsidR="00627737" w:rsidRPr="00433DD5">
        <w:rPr>
          <w:rFonts w:asciiTheme="majorBidi" w:hAnsiTheme="majorBidi" w:cstheme="majorBidi"/>
        </w:rPr>
        <w:t xml:space="preserve">fue distinto: el </w:t>
      </w:r>
      <w:r w:rsidR="000150C2" w:rsidRPr="00433DD5">
        <w:rPr>
          <w:rFonts w:asciiTheme="majorBidi" w:hAnsiTheme="majorBidi" w:cstheme="majorBidi"/>
        </w:rPr>
        <w:t>Instituto Politécnico Nacional (</w:t>
      </w:r>
      <w:r w:rsidR="00627737" w:rsidRPr="00433DD5">
        <w:rPr>
          <w:rFonts w:asciiTheme="majorBidi" w:hAnsiTheme="majorBidi" w:cstheme="majorBidi"/>
        </w:rPr>
        <w:t>IPN</w:t>
      </w:r>
      <w:r w:rsidR="000150C2" w:rsidRPr="00433DD5">
        <w:rPr>
          <w:rFonts w:asciiTheme="majorBidi" w:hAnsiTheme="majorBidi" w:cstheme="majorBidi"/>
        </w:rPr>
        <w:t>)</w:t>
      </w:r>
      <w:r w:rsidR="00627737" w:rsidRPr="00433DD5">
        <w:rPr>
          <w:rFonts w:asciiTheme="majorBidi" w:hAnsiTheme="majorBidi" w:cstheme="majorBidi"/>
        </w:rPr>
        <w:t xml:space="preserve">, la </w:t>
      </w:r>
      <w:r w:rsidR="000150C2" w:rsidRPr="00433DD5">
        <w:rPr>
          <w:rFonts w:asciiTheme="majorBidi" w:hAnsiTheme="majorBidi" w:cstheme="majorBidi"/>
        </w:rPr>
        <w:t>Universidad Nacional Autónoma de México (</w:t>
      </w:r>
      <w:r w:rsidR="00627737" w:rsidRPr="00433DD5">
        <w:rPr>
          <w:rFonts w:asciiTheme="majorBidi" w:hAnsiTheme="majorBidi" w:cstheme="majorBidi"/>
        </w:rPr>
        <w:t>UNAM</w:t>
      </w:r>
      <w:r w:rsidR="000150C2" w:rsidRPr="00433DD5">
        <w:rPr>
          <w:rFonts w:asciiTheme="majorBidi" w:hAnsiTheme="majorBidi" w:cstheme="majorBidi"/>
        </w:rPr>
        <w:t>)</w:t>
      </w:r>
      <w:r w:rsidR="00627737" w:rsidRPr="00433DD5">
        <w:rPr>
          <w:rFonts w:asciiTheme="majorBidi" w:hAnsiTheme="majorBidi" w:cstheme="majorBidi"/>
        </w:rPr>
        <w:t xml:space="preserve"> y el </w:t>
      </w:r>
      <w:r w:rsidR="000150C2" w:rsidRPr="00433DD5">
        <w:rPr>
          <w:rFonts w:asciiTheme="majorBidi" w:hAnsiTheme="majorBidi" w:cstheme="majorBidi"/>
        </w:rPr>
        <w:t xml:space="preserve">Colegio de México (Colmex) </w:t>
      </w:r>
      <w:r w:rsidR="00627737" w:rsidRPr="00433DD5">
        <w:rPr>
          <w:rFonts w:asciiTheme="majorBidi" w:hAnsiTheme="majorBidi" w:cstheme="majorBidi"/>
        </w:rPr>
        <w:t xml:space="preserve">obtuvieron los mayores crecimientos anuales en comparación con las demás instituciones. Una </w:t>
      </w:r>
      <w:r w:rsidRPr="00433DD5">
        <w:rPr>
          <w:rFonts w:asciiTheme="majorBidi" w:hAnsiTheme="majorBidi" w:cstheme="majorBidi"/>
        </w:rPr>
        <w:t>situación</w:t>
      </w:r>
      <w:r w:rsidR="00627737" w:rsidRPr="00433DD5">
        <w:rPr>
          <w:rFonts w:asciiTheme="majorBidi" w:hAnsiTheme="majorBidi" w:cstheme="majorBidi"/>
        </w:rPr>
        <w:t xml:space="preserve"> similar suce</w:t>
      </w:r>
      <w:r w:rsidR="0097670C" w:rsidRPr="00433DD5">
        <w:rPr>
          <w:rFonts w:asciiTheme="majorBidi" w:hAnsiTheme="majorBidi" w:cstheme="majorBidi"/>
        </w:rPr>
        <w:t>d</w:t>
      </w:r>
      <w:r w:rsidR="00627737" w:rsidRPr="00433DD5">
        <w:rPr>
          <w:rFonts w:asciiTheme="majorBidi" w:hAnsiTheme="majorBidi" w:cstheme="majorBidi"/>
        </w:rPr>
        <w:t xml:space="preserve">e con el subsidio federal ordinario a las universidades públicas estatales. </w:t>
      </w:r>
    </w:p>
    <w:p w14:paraId="2BAD2C44" w14:textId="6500DE42" w:rsidR="006316D7" w:rsidRPr="00433DD5" w:rsidRDefault="006316D7" w:rsidP="005E0AC3">
      <w:pPr>
        <w:pStyle w:val="NormalWeb"/>
        <w:snapToGrid w:val="0"/>
        <w:spacing w:before="0" w:beforeAutospacing="0" w:after="0" w:afterAutospacing="0" w:line="360" w:lineRule="auto"/>
        <w:ind w:firstLine="708"/>
        <w:contextualSpacing/>
        <w:jc w:val="both"/>
        <w:rPr>
          <w:rFonts w:asciiTheme="majorBidi" w:hAnsiTheme="majorBidi" w:cstheme="majorBidi"/>
        </w:rPr>
      </w:pPr>
      <w:r w:rsidRPr="00433DD5">
        <w:rPr>
          <w:rFonts w:asciiTheme="majorBidi" w:hAnsiTheme="majorBidi" w:cstheme="majorBidi"/>
        </w:rPr>
        <w:t>De acuerdo con</w:t>
      </w:r>
      <w:r w:rsidR="00C77C75" w:rsidRPr="00433DD5">
        <w:rPr>
          <w:rFonts w:asciiTheme="majorBidi" w:hAnsiTheme="majorBidi" w:cstheme="majorBidi"/>
        </w:rPr>
        <w:t xml:space="preserve"> </w:t>
      </w:r>
      <w:r w:rsidRPr="00433DD5">
        <w:rPr>
          <w:rFonts w:asciiTheme="majorBidi" w:hAnsiTheme="majorBidi" w:cstheme="majorBidi"/>
        </w:rPr>
        <w:t>Sánchez (</w:t>
      </w:r>
      <w:r w:rsidR="001B1579" w:rsidRPr="00433DD5">
        <w:rPr>
          <w:rFonts w:asciiTheme="majorBidi" w:hAnsiTheme="majorBidi" w:cstheme="majorBidi"/>
        </w:rPr>
        <w:t xml:space="preserve">29 de julio de </w:t>
      </w:r>
      <w:r w:rsidRPr="00433DD5">
        <w:rPr>
          <w:rFonts w:asciiTheme="majorBidi" w:hAnsiTheme="majorBidi" w:cstheme="majorBidi"/>
        </w:rPr>
        <w:t xml:space="preserve">2020): </w:t>
      </w:r>
    </w:p>
    <w:p w14:paraId="634570BD" w14:textId="519D82B4" w:rsidR="00E47601" w:rsidRPr="00433DD5" w:rsidRDefault="00627737" w:rsidP="005E0AC3">
      <w:pPr>
        <w:pStyle w:val="NormalWeb"/>
        <w:snapToGrid w:val="0"/>
        <w:spacing w:before="0" w:beforeAutospacing="0" w:after="0" w:afterAutospacing="0" w:line="360" w:lineRule="auto"/>
        <w:ind w:left="1418"/>
        <w:contextualSpacing/>
        <w:jc w:val="both"/>
        <w:rPr>
          <w:rStyle w:val="Hipervnculo"/>
          <w:rFonts w:asciiTheme="majorBidi" w:hAnsiTheme="majorBidi" w:cstheme="majorBidi"/>
          <w:color w:val="auto"/>
          <w:u w:val="none"/>
        </w:rPr>
      </w:pPr>
      <w:r w:rsidRPr="00433DD5">
        <w:rPr>
          <w:rFonts w:asciiTheme="majorBidi" w:hAnsiTheme="majorBidi" w:cstheme="majorBidi"/>
        </w:rPr>
        <w:t>Es por ello que no existen razones objetivas para estas disparidades entre estados: los porcentajes no están ordenados en función de la capacidad económica de las entidades, de las matrículas o la calidad de las universidades. En realidad, la determinación</w:t>
      </w:r>
      <w:r w:rsidR="00267C76" w:rsidRPr="00433DD5">
        <w:rPr>
          <w:rFonts w:asciiTheme="majorBidi" w:hAnsiTheme="majorBidi" w:cstheme="majorBidi"/>
        </w:rPr>
        <w:t xml:space="preserve"> </w:t>
      </w:r>
      <w:r w:rsidRPr="00433DD5">
        <w:rPr>
          <w:rFonts w:asciiTheme="majorBidi" w:hAnsiTheme="majorBidi" w:cstheme="majorBidi"/>
        </w:rPr>
        <w:t xml:space="preserve">de los porcentajes ha sido producto de negociaciones entre autoridades federales, locales y las propias universidades </w:t>
      </w:r>
      <w:r w:rsidR="00267C76" w:rsidRPr="00433DD5">
        <w:rPr>
          <w:rFonts w:asciiTheme="majorBidi" w:hAnsiTheme="majorBidi" w:cstheme="majorBidi"/>
        </w:rPr>
        <w:t>—</w:t>
      </w:r>
      <w:r w:rsidRPr="00433DD5">
        <w:rPr>
          <w:rFonts w:asciiTheme="majorBidi" w:hAnsiTheme="majorBidi" w:cstheme="majorBidi"/>
        </w:rPr>
        <w:t xml:space="preserve">en algunos casos se obtuvieron condiciones más favorables que otras </w:t>
      </w:r>
      <w:r w:rsidR="001E4B38" w:rsidRPr="00433DD5">
        <w:rPr>
          <w:rFonts w:asciiTheme="majorBidi" w:hAnsiTheme="majorBidi" w:cstheme="majorBidi"/>
        </w:rPr>
        <w:t>(</w:t>
      </w:r>
      <w:r w:rsidR="00267C76" w:rsidRPr="00433DD5">
        <w:rPr>
          <w:rFonts w:asciiTheme="majorBidi" w:hAnsiTheme="majorBidi" w:cstheme="majorBidi"/>
        </w:rPr>
        <w:t xml:space="preserve">párr. </w:t>
      </w:r>
      <w:r w:rsidR="001E4B38" w:rsidRPr="00433DD5">
        <w:rPr>
          <w:rFonts w:asciiTheme="majorBidi" w:hAnsiTheme="majorBidi" w:cstheme="majorBidi"/>
        </w:rPr>
        <w:t>7).</w:t>
      </w:r>
    </w:p>
    <w:p w14:paraId="2E2E04CC" w14:textId="29E3D7B5" w:rsidR="00AC161D" w:rsidRPr="00433DD5" w:rsidRDefault="00627737" w:rsidP="001A0378">
      <w:pPr>
        <w:pStyle w:val="NormalWeb"/>
        <w:snapToGrid w:val="0"/>
        <w:spacing w:before="0" w:beforeAutospacing="0" w:after="0" w:afterAutospacing="0" w:line="360" w:lineRule="auto"/>
        <w:ind w:firstLine="708"/>
        <w:contextualSpacing/>
        <w:jc w:val="both"/>
        <w:rPr>
          <w:rFonts w:asciiTheme="majorBidi" w:hAnsiTheme="majorBidi" w:cstheme="majorBidi"/>
          <w:u w:val="single"/>
        </w:rPr>
      </w:pPr>
      <w:r w:rsidRPr="00433DD5">
        <w:rPr>
          <w:rFonts w:asciiTheme="majorBidi" w:hAnsiTheme="majorBidi" w:cstheme="majorBidi"/>
        </w:rPr>
        <w:lastRenderedPageBreak/>
        <w:t xml:space="preserve">La educación superior no escapa a estos efectos de la globalización, pues </w:t>
      </w:r>
      <w:r w:rsidR="00190DDD" w:rsidRPr="00433DD5">
        <w:rPr>
          <w:rFonts w:asciiTheme="majorBidi" w:hAnsiTheme="majorBidi" w:cstheme="majorBidi"/>
        </w:rPr>
        <w:t>“</w:t>
      </w:r>
      <w:r w:rsidRPr="00433DD5">
        <w:rPr>
          <w:rFonts w:asciiTheme="majorBidi" w:hAnsiTheme="majorBidi" w:cstheme="majorBidi"/>
          <w:iCs/>
        </w:rPr>
        <w:t xml:space="preserve">está montada de un acoplamiento </w:t>
      </w:r>
      <w:r w:rsidR="001B1579" w:rsidRPr="00433DD5">
        <w:rPr>
          <w:rFonts w:asciiTheme="majorBidi" w:hAnsiTheme="majorBidi" w:cstheme="majorBidi"/>
          <w:iCs/>
        </w:rPr>
        <w:t>—</w:t>
      </w:r>
      <w:r w:rsidRPr="00433DD5">
        <w:rPr>
          <w:rFonts w:asciiTheme="majorBidi" w:hAnsiTheme="majorBidi" w:cstheme="majorBidi"/>
          <w:iCs/>
        </w:rPr>
        <w:t>es decir, con infinidad de ret</w:t>
      </w:r>
      <w:r w:rsidR="009A6CE9" w:rsidRPr="00433DD5">
        <w:rPr>
          <w:rFonts w:asciiTheme="majorBidi" w:hAnsiTheme="majorBidi" w:cstheme="majorBidi"/>
          <w:iCs/>
        </w:rPr>
        <w:t>r</w:t>
      </w:r>
      <w:r w:rsidRPr="00433DD5">
        <w:rPr>
          <w:rFonts w:asciiTheme="majorBidi" w:hAnsiTheme="majorBidi" w:cstheme="majorBidi"/>
          <w:iCs/>
        </w:rPr>
        <w:t>oacciones mutuas</w:t>
      </w:r>
      <w:r w:rsidR="001B1579" w:rsidRPr="00433DD5">
        <w:rPr>
          <w:rFonts w:asciiTheme="majorBidi" w:hAnsiTheme="majorBidi" w:cstheme="majorBidi"/>
          <w:iCs/>
        </w:rPr>
        <w:t xml:space="preserve">— </w:t>
      </w:r>
      <w:r w:rsidRPr="00433DD5">
        <w:rPr>
          <w:rFonts w:asciiTheme="majorBidi" w:hAnsiTheme="majorBidi" w:cstheme="majorBidi"/>
          <w:iCs/>
        </w:rPr>
        <w:t xml:space="preserve">entre ciencia/tecnología/industria/interés económico, lo que podemos llamar el </w:t>
      </w:r>
      <w:r w:rsidR="001B1579" w:rsidRPr="00433DD5">
        <w:rPr>
          <w:rFonts w:asciiTheme="majorBidi" w:hAnsiTheme="majorBidi" w:cstheme="majorBidi"/>
          <w:iCs/>
        </w:rPr>
        <w:t>—</w:t>
      </w:r>
      <w:r w:rsidRPr="00433DD5">
        <w:rPr>
          <w:rFonts w:asciiTheme="majorBidi" w:hAnsiTheme="majorBidi" w:cstheme="majorBidi"/>
          <w:iCs/>
        </w:rPr>
        <w:t>tetramotor</w:t>
      </w:r>
      <w:r w:rsidR="001B1579" w:rsidRPr="00433DD5">
        <w:rPr>
          <w:rFonts w:asciiTheme="majorBidi" w:hAnsiTheme="majorBidi" w:cstheme="majorBidi"/>
          <w:iCs/>
        </w:rPr>
        <w:t xml:space="preserve">— </w:t>
      </w:r>
      <w:r w:rsidRPr="00433DD5">
        <w:rPr>
          <w:rFonts w:asciiTheme="majorBidi" w:hAnsiTheme="majorBidi" w:cstheme="majorBidi"/>
          <w:iCs/>
        </w:rPr>
        <w:t>del desarrollo</w:t>
      </w:r>
      <w:r w:rsidR="00190DDD" w:rsidRPr="00433DD5">
        <w:rPr>
          <w:rFonts w:asciiTheme="majorBidi" w:hAnsiTheme="majorBidi" w:cstheme="majorBidi"/>
          <w:iCs/>
        </w:rPr>
        <w:t>”</w:t>
      </w:r>
      <w:r w:rsidR="00190DDD" w:rsidRPr="00433DD5">
        <w:rPr>
          <w:rFonts w:asciiTheme="majorBidi" w:hAnsiTheme="majorBidi" w:cstheme="majorBidi"/>
        </w:rPr>
        <w:t xml:space="preserve"> </w:t>
      </w:r>
      <w:r w:rsidRPr="00433DD5">
        <w:rPr>
          <w:rFonts w:asciiTheme="majorBidi" w:hAnsiTheme="majorBidi" w:cstheme="majorBidi"/>
        </w:rPr>
        <w:t>(Morin</w:t>
      </w:r>
      <w:r w:rsidR="004E4EB8" w:rsidRPr="00433DD5">
        <w:rPr>
          <w:rFonts w:asciiTheme="majorBidi" w:hAnsiTheme="majorBidi" w:cstheme="majorBidi"/>
        </w:rPr>
        <w:t xml:space="preserve"> y Kern</w:t>
      </w:r>
      <w:r w:rsidRPr="00433DD5">
        <w:rPr>
          <w:rFonts w:asciiTheme="majorBidi" w:hAnsiTheme="majorBidi" w:cstheme="majorBidi"/>
        </w:rPr>
        <w:t>, 1993</w:t>
      </w:r>
      <w:r w:rsidR="00040AFA" w:rsidRPr="00433DD5">
        <w:rPr>
          <w:rFonts w:asciiTheme="majorBidi" w:hAnsiTheme="majorBidi" w:cstheme="majorBidi"/>
        </w:rPr>
        <w:t>, p. 105</w:t>
      </w:r>
      <w:r w:rsidRPr="00433DD5">
        <w:rPr>
          <w:rFonts w:asciiTheme="majorBidi" w:hAnsiTheme="majorBidi" w:cstheme="majorBidi"/>
        </w:rPr>
        <w:t xml:space="preserve">). Lo que este complejo sistema produce es, precisamente, lo contrario a lo que el discurso del desarrollo ha prometido desde hace mucho tiempo: bienestar, salud, estabilidad, seguridad, felicidad. Eso que los economistas llaman </w:t>
      </w:r>
      <w:r w:rsidRPr="00433DD5">
        <w:rPr>
          <w:rFonts w:asciiTheme="majorBidi" w:hAnsiTheme="majorBidi" w:cstheme="majorBidi"/>
          <w:i/>
          <w:iCs/>
        </w:rPr>
        <w:t>nueva economía</w:t>
      </w:r>
      <w:r w:rsidR="00C70D49" w:rsidRPr="00433DD5">
        <w:rPr>
          <w:rFonts w:asciiTheme="majorBidi" w:hAnsiTheme="majorBidi" w:cstheme="majorBidi"/>
        </w:rPr>
        <w:t xml:space="preserve"> </w:t>
      </w:r>
      <w:r w:rsidRPr="00433DD5">
        <w:rPr>
          <w:rFonts w:asciiTheme="majorBidi" w:hAnsiTheme="majorBidi" w:cstheme="majorBidi"/>
        </w:rPr>
        <w:t xml:space="preserve">en realidad está fundada en la misma ideología y supuestos del siglo XVIII. Es decir, </w:t>
      </w:r>
      <w:r w:rsidR="00190DDD" w:rsidRPr="00433DD5">
        <w:rPr>
          <w:rFonts w:asciiTheme="majorBidi" w:hAnsiTheme="majorBidi" w:cstheme="majorBidi"/>
        </w:rPr>
        <w:t>“</w:t>
      </w:r>
      <w:r w:rsidRPr="00433DD5">
        <w:rPr>
          <w:rFonts w:asciiTheme="majorBidi" w:hAnsiTheme="majorBidi" w:cstheme="majorBidi"/>
          <w:iCs/>
        </w:rPr>
        <w:t xml:space="preserve">la condición de </w:t>
      </w:r>
      <w:r w:rsidR="00D46282" w:rsidRPr="00433DD5">
        <w:rPr>
          <w:rFonts w:asciiTheme="majorBidi" w:hAnsiTheme="majorBidi" w:cstheme="majorBidi"/>
          <w:iCs/>
        </w:rPr>
        <w:t>—</w:t>
      </w:r>
      <w:r w:rsidRPr="00433DD5">
        <w:rPr>
          <w:rFonts w:asciiTheme="majorBidi" w:hAnsiTheme="majorBidi" w:cstheme="majorBidi"/>
          <w:iCs/>
        </w:rPr>
        <w:t>novedad</w:t>
      </w:r>
      <w:r w:rsidR="00D46282" w:rsidRPr="00433DD5">
        <w:rPr>
          <w:rFonts w:asciiTheme="majorBidi" w:hAnsiTheme="majorBidi" w:cstheme="majorBidi"/>
          <w:iCs/>
        </w:rPr>
        <w:t xml:space="preserve">— </w:t>
      </w:r>
      <w:r w:rsidRPr="00433DD5">
        <w:rPr>
          <w:rFonts w:asciiTheme="majorBidi" w:hAnsiTheme="majorBidi" w:cstheme="majorBidi"/>
          <w:iCs/>
        </w:rPr>
        <w:t>reside básicamente en el increíble poder que le han otorgado la ciencia y las nuevas tecnologías para penetrar hasta el rincón de los territorios, las sociedades, la cultura, las psique</w:t>
      </w:r>
      <w:r w:rsidR="00190DDD" w:rsidRPr="00433DD5">
        <w:rPr>
          <w:rFonts w:asciiTheme="majorBidi" w:hAnsiTheme="majorBidi" w:cstheme="majorBidi"/>
        </w:rPr>
        <w:t xml:space="preserve">” </w:t>
      </w:r>
      <w:r w:rsidRPr="00433DD5">
        <w:rPr>
          <w:rFonts w:asciiTheme="majorBidi" w:hAnsiTheme="majorBidi" w:cstheme="majorBidi"/>
        </w:rPr>
        <w:t>(Hernanz y Fabre, 2017</w:t>
      </w:r>
      <w:r w:rsidR="00F96950" w:rsidRPr="00433DD5">
        <w:rPr>
          <w:rFonts w:asciiTheme="majorBidi" w:hAnsiTheme="majorBidi" w:cstheme="majorBidi"/>
        </w:rPr>
        <w:t>, p.</w:t>
      </w:r>
      <w:r w:rsidR="00D46282" w:rsidRPr="00433DD5">
        <w:rPr>
          <w:rFonts w:asciiTheme="majorBidi" w:hAnsiTheme="majorBidi" w:cstheme="majorBidi"/>
        </w:rPr>
        <w:t xml:space="preserve"> </w:t>
      </w:r>
      <w:r w:rsidR="00F96950" w:rsidRPr="00433DD5">
        <w:rPr>
          <w:rFonts w:asciiTheme="majorBidi" w:hAnsiTheme="majorBidi" w:cstheme="majorBidi"/>
        </w:rPr>
        <w:t>39</w:t>
      </w:r>
      <w:r w:rsidRPr="00433DD5">
        <w:rPr>
          <w:rFonts w:asciiTheme="majorBidi" w:hAnsiTheme="majorBidi" w:cstheme="majorBidi"/>
        </w:rPr>
        <w:t>)</w:t>
      </w:r>
      <w:r w:rsidR="00AC161D" w:rsidRPr="00433DD5">
        <w:rPr>
          <w:rFonts w:asciiTheme="majorBidi" w:hAnsiTheme="majorBidi" w:cstheme="majorBidi"/>
        </w:rPr>
        <w:t>.</w:t>
      </w:r>
    </w:p>
    <w:p w14:paraId="7E6B362C" w14:textId="29D1DA31" w:rsidR="00AC161D" w:rsidRPr="00433DD5" w:rsidRDefault="00AC161D" w:rsidP="001A0378">
      <w:pPr>
        <w:pStyle w:val="NormalWeb"/>
        <w:snapToGrid w:val="0"/>
        <w:spacing w:before="0" w:beforeAutospacing="0" w:after="0" w:afterAutospacing="0" w:line="360" w:lineRule="auto"/>
        <w:contextualSpacing/>
        <w:jc w:val="both"/>
        <w:rPr>
          <w:rFonts w:asciiTheme="majorBidi" w:hAnsiTheme="majorBidi" w:cstheme="majorBidi"/>
          <w:lang w:val="es-ES_tradnl"/>
        </w:rPr>
      </w:pPr>
      <w:r w:rsidRPr="00433DD5">
        <w:rPr>
          <w:rFonts w:asciiTheme="majorBidi" w:hAnsiTheme="majorBidi" w:cstheme="majorBidi"/>
        </w:rPr>
        <w:tab/>
      </w:r>
      <w:r w:rsidR="00627737" w:rsidRPr="00433DD5">
        <w:rPr>
          <w:rFonts w:asciiTheme="majorBidi" w:hAnsiTheme="majorBidi" w:cstheme="majorBidi"/>
          <w:lang w:val="es-ES_tradnl"/>
        </w:rPr>
        <w:t>Es paradójico</w:t>
      </w:r>
      <w:r w:rsidR="00BC3572" w:rsidRPr="00433DD5">
        <w:rPr>
          <w:rFonts w:asciiTheme="majorBidi" w:hAnsiTheme="majorBidi" w:cstheme="majorBidi"/>
          <w:lang w:val="es-ES_tradnl"/>
        </w:rPr>
        <w:t>,</w:t>
      </w:r>
      <w:r w:rsidR="00627737" w:rsidRPr="00433DD5">
        <w:rPr>
          <w:rFonts w:asciiTheme="majorBidi" w:hAnsiTheme="majorBidi" w:cstheme="majorBidi"/>
          <w:lang w:val="es-ES_tradnl"/>
        </w:rPr>
        <w:t xml:space="preserve"> desde esta perspectiva, </w:t>
      </w:r>
      <w:r w:rsidR="00BC3572" w:rsidRPr="00433DD5">
        <w:rPr>
          <w:rFonts w:asciiTheme="majorBidi" w:hAnsiTheme="majorBidi" w:cstheme="majorBidi"/>
          <w:lang w:val="es-ES_tradnl"/>
        </w:rPr>
        <w:t xml:space="preserve">que mientras </w:t>
      </w:r>
      <w:r w:rsidR="00627737" w:rsidRPr="00433DD5">
        <w:rPr>
          <w:rFonts w:asciiTheme="majorBidi" w:hAnsiTheme="majorBidi" w:cstheme="majorBidi"/>
          <w:lang w:val="es-ES_tradnl"/>
        </w:rPr>
        <w:t xml:space="preserve">el discurso que sustenta las políticas educativas actuales, sobre todo cuando enfatiza el concepto de </w:t>
      </w:r>
      <w:r w:rsidR="00627737" w:rsidRPr="00433DD5">
        <w:rPr>
          <w:rFonts w:asciiTheme="majorBidi" w:hAnsiTheme="majorBidi" w:cstheme="majorBidi"/>
          <w:i/>
          <w:iCs/>
          <w:lang w:val="es-ES_tradnl"/>
        </w:rPr>
        <w:t>calidad educativa</w:t>
      </w:r>
      <w:r w:rsidR="00627737" w:rsidRPr="00433DD5">
        <w:rPr>
          <w:rFonts w:asciiTheme="majorBidi" w:hAnsiTheme="majorBidi" w:cstheme="majorBidi"/>
          <w:lang w:val="es-ES_tradnl"/>
        </w:rPr>
        <w:t>, parec</w:t>
      </w:r>
      <w:r w:rsidR="00BC3572" w:rsidRPr="00433DD5">
        <w:rPr>
          <w:rFonts w:asciiTheme="majorBidi" w:hAnsiTheme="majorBidi" w:cstheme="majorBidi"/>
          <w:lang w:val="es-ES_tradnl"/>
        </w:rPr>
        <w:t>iera</w:t>
      </w:r>
      <w:r w:rsidR="00627737" w:rsidRPr="00433DD5">
        <w:rPr>
          <w:rFonts w:asciiTheme="majorBidi" w:hAnsiTheme="majorBidi" w:cstheme="majorBidi"/>
          <w:lang w:val="es-ES_tradnl"/>
        </w:rPr>
        <w:t xml:space="preserve"> enunciar condiciones de mejora de los procesos académicos e institucionales en las </w:t>
      </w:r>
      <w:r w:rsidR="00D46282" w:rsidRPr="00433DD5">
        <w:rPr>
          <w:rFonts w:asciiTheme="majorBidi" w:hAnsiTheme="majorBidi" w:cstheme="majorBidi"/>
          <w:lang w:val="es-ES_tradnl"/>
        </w:rPr>
        <w:t>universidades</w:t>
      </w:r>
      <w:r w:rsidR="00627737" w:rsidRPr="00433DD5">
        <w:rPr>
          <w:rFonts w:asciiTheme="majorBidi" w:hAnsiTheme="majorBidi" w:cstheme="majorBidi"/>
          <w:lang w:val="es-ES_tradnl"/>
        </w:rPr>
        <w:t xml:space="preserve">, </w:t>
      </w:r>
      <w:r w:rsidR="00891220" w:rsidRPr="00433DD5">
        <w:rPr>
          <w:rFonts w:asciiTheme="majorBidi" w:hAnsiTheme="majorBidi" w:cstheme="majorBidi"/>
          <w:lang w:val="es-ES_tradnl"/>
        </w:rPr>
        <w:t xml:space="preserve">se mantengan </w:t>
      </w:r>
      <w:r w:rsidR="00627737" w:rsidRPr="00433DD5">
        <w:rPr>
          <w:rFonts w:asciiTheme="majorBidi" w:hAnsiTheme="majorBidi" w:cstheme="majorBidi"/>
          <w:lang w:val="es-ES_tradnl"/>
        </w:rPr>
        <w:t xml:space="preserve">expectativas alineadas con las tendencias neoliberales. La asignación de los recursos está anclada </w:t>
      </w:r>
      <w:r w:rsidR="00BC3572" w:rsidRPr="00433DD5">
        <w:rPr>
          <w:rFonts w:asciiTheme="majorBidi" w:hAnsiTheme="majorBidi" w:cstheme="majorBidi"/>
          <w:lang w:val="es-ES_tradnl"/>
        </w:rPr>
        <w:t xml:space="preserve">a </w:t>
      </w:r>
      <w:r w:rsidR="00627737" w:rsidRPr="00433DD5">
        <w:rPr>
          <w:rFonts w:asciiTheme="majorBidi" w:hAnsiTheme="majorBidi" w:cstheme="majorBidi"/>
          <w:lang w:val="es-ES_tradnl"/>
        </w:rPr>
        <w:t xml:space="preserve">procesos de evaluación estandarizados que siguen pautas que favorecen las propuestas políticas del </w:t>
      </w:r>
      <w:r w:rsidR="00083F3A" w:rsidRPr="00433DD5">
        <w:rPr>
          <w:rFonts w:asciiTheme="majorBidi" w:hAnsiTheme="majorBidi" w:cstheme="majorBidi"/>
          <w:lang w:val="es-ES_tradnl"/>
        </w:rPr>
        <w:t>Gobierno</w:t>
      </w:r>
      <w:r w:rsidR="00BC3572" w:rsidRPr="00433DD5">
        <w:rPr>
          <w:rFonts w:asciiTheme="majorBidi" w:hAnsiTheme="majorBidi" w:cstheme="majorBidi"/>
          <w:lang w:val="es-ES_tradnl"/>
        </w:rPr>
        <w:t>,</w:t>
      </w:r>
      <w:r w:rsidR="00627737" w:rsidRPr="00433DD5">
        <w:rPr>
          <w:rFonts w:asciiTheme="majorBidi" w:hAnsiTheme="majorBidi" w:cstheme="majorBidi"/>
          <w:lang w:val="es-ES_tradnl"/>
        </w:rPr>
        <w:t xml:space="preserve"> matizadas por discursos neoliberales y soportadas en tendencias internacionales</w:t>
      </w:r>
      <w:r w:rsidRPr="00433DD5">
        <w:rPr>
          <w:rFonts w:asciiTheme="majorBidi" w:hAnsiTheme="majorBidi" w:cstheme="majorBidi"/>
          <w:lang w:val="es-ES_tradnl"/>
        </w:rPr>
        <w:t>.</w:t>
      </w:r>
    </w:p>
    <w:p w14:paraId="1B0F9C42" w14:textId="2AE25804" w:rsidR="00AC161D" w:rsidRPr="00433DD5" w:rsidRDefault="00BA2A51" w:rsidP="001A0378">
      <w:pPr>
        <w:pStyle w:val="NormalWeb"/>
        <w:snapToGrid w:val="0"/>
        <w:spacing w:before="0" w:beforeAutospacing="0" w:after="0" w:afterAutospacing="0" w:line="360" w:lineRule="auto"/>
        <w:contextualSpacing/>
        <w:jc w:val="both"/>
        <w:rPr>
          <w:rFonts w:asciiTheme="majorBidi" w:hAnsiTheme="majorBidi" w:cstheme="majorBidi"/>
          <w:lang w:eastAsia="es-MX"/>
        </w:rPr>
      </w:pPr>
      <w:r w:rsidRPr="00433DD5">
        <w:rPr>
          <w:rFonts w:asciiTheme="majorBidi" w:hAnsiTheme="majorBidi" w:cstheme="majorBidi"/>
          <w:lang w:val="es-ES_tradnl"/>
        </w:rPr>
        <w:tab/>
      </w:r>
      <w:r w:rsidR="00C854BB" w:rsidRPr="00433DD5">
        <w:rPr>
          <w:rFonts w:asciiTheme="majorBidi" w:hAnsiTheme="majorBidi" w:cstheme="majorBidi"/>
          <w:lang w:val="es-ES_tradnl"/>
        </w:rPr>
        <w:t>Cuando se revisan las reglas de operación</w:t>
      </w:r>
      <w:r w:rsidR="00846B70" w:rsidRPr="00433DD5">
        <w:rPr>
          <w:rFonts w:asciiTheme="majorBidi" w:hAnsiTheme="majorBidi" w:cstheme="majorBidi"/>
          <w:lang w:val="es-ES_tradnl"/>
        </w:rPr>
        <w:t xml:space="preserve"> se detallan los siguientes aspectos:</w:t>
      </w:r>
      <w:r w:rsidR="005608BE" w:rsidRPr="00433DD5">
        <w:rPr>
          <w:rFonts w:asciiTheme="majorBidi" w:hAnsiTheme="majorBidi" w:cstheme="majorBidi"/>
          <w:lang w:val="es-ES_tradnl"/>
        </w:rPr>
        <w:t xml:space="preserve"> c</w:t>
      </w:r>
      <w:r w:rsidR="00DF772F" w:rsidRPr="00433DD5">
        <w:rPr>
          <w:rFonts w:asciiTheme="majorBidi" w:hAnsiTheme="majorBidi" w:cstheme="majorBidi"/>
          <w:lang w:val="es-ES_tradnl"/>
        </w:rPr>
        <w:t xml:space="preserve">omo objetivo general se plantea </w:t>
      </w:r>
      <w:r w:rsidR="00402123" w:rsidRPr="00433DD5">
        <w:rPr>
          <w:rFonts w:asciiTheme="majorBidi" w:hAnsiTheme="majorBidi" w:cstheme="majorBidi"/>
          <w:lang w:val="es-ES_tradnl"/>
        </w:rPr>
        <w:t xml:space="preserve">el apoyo </w:t>
      </w:r>
      <w:r w:rsidR="00822E0C" w:rsidRPr="00433DD5">
        <w:rPr>
          <w:rFonts w:asciiTheme="majorBidi" w:hAnsiTheme="majorBidi" w:cstheme="majorBidi"/>
          <w:iCs/>
          <w:lang w:eastAsia="es-MX"/>
        </w:rPr>
        <w:t xml:space="preserve">a las </w:t>
      </w:r>
      <w:r w:rsidR="00083F3A" w:rsidRPr="00433DD5">
        <w:rPr>
          <w:rFonts w:asciiTheme="majorBidi" w:hAnsiTheme="majorBidi" w:cstheme="majorBidi"/>
          <w:iCs/>
          <w:lang w:eastAsia="es-MX"/>
        </w:rPr>
        <w:t>IES</w:t>
      </w:r>
      <w:r w:rsidR="00822E0C" w:rsidRPr="00433DD5">
        <w:rPr>
          <w:rFonts w:asciiTheme="majorBidi" w:hAnsiTheme="majorBidi" w:cstheme="majorBidi"/>
          <w:iCs/>
          <w:lang w:eastAsia="es-MX"/>
        </w:rPr>
        <w:t xml:space="preserve"> </w:t>
      </w:r>
      <w:r w:rsidR="00083F3A" w:rsidRPr="00433DD5">
        <w:rPr>
          <w:rFonts w:asciiTheme="majorBidi" w:hAnsiTheme="majorBidi" w:cstheme="majorBidi"/>
          <w:iCs/>
          <w:lang w:eastAsia="es-MX"/>
        </w:rPr>
        <w:t xml:space="preserve">públicas </w:t>
      </w:r>
      <w:r w:rsidR="00822E0C" w:rsidRPr="00433DD5">
        <w:rPr>
          <w:rFonts w:asciiTheme="majorBidi" w:hAnsiTheme="majorBidi" w:cstheme="majorBidi"/>
          <w:iCs/>
          <w:lang w:eastAsia="es-MX"/>
        </w:rPr>
        <w:t>con</w:t>
      </w:r>
      <w:r w:rsidR="00DF772F" w:rsidRPr="00433DD5">
        <w:rPr>
          <w:rFonts w:asciiTheme="majorBidi" w:hAnsiTheme="majorBidi" w:cstheme="majorBidi"/>
          <w:iCs/>
          <w:lang w:eastAsia="es-MX"/>
        </w:rPr>
        <w:t xml:space="preserve"> recursos financieros</w:t>
      </w:r>
      <w:r w:rsidR="00822E0C" w:rsidRPr="00433DD5">
        <w:rPr>
          <w:rFonts w:asciiTheme="majorBidi" w:hAnsiTheme="majorBidi" w:cstheme="majorBidi"/>
          <w:iCs/>
          <w:lang w:eastAsia="es-MX"/>
        </w:rPr>
        <w:t xml:space="preserve"> para desarrollar sus capacidades académicas y de gestión, a fin de contar con programas educativos evaluables de técnico superior universitario y licenciatura, co</w:t>
      </w:r>
      <w:r w:rsidR="005608BE" w:rsidRPr="00433DD5">
        <w:rPr>
          <w:rFonts w:asciiTheme="majorBidi" w:hAnsiTheme="majorBidi" w:cstheme="majorBidi"/>
          <w:iCs/>
          <w:lang w:eastAsia="es-MX"/>
        </w:rPr>
        <w:t>n calidad reconocida</w:t>
      </w:r>
      <w:r w:rsidR="005608BE" w:rsidRPr="00433DD5">
        <w:rPr>
          <w:rFonts w:asciiTheme="majorBidi" w:hAnsiTheme="majorBidi" w:cstheme="majorBidi"/>
          <w:i/>
          <w:lang w:eastAsia="es-MX"/>
        </w:rPr>
        <w:t xml:space="preserve"> </w:t>
      </w:r>
      <w:r w:rsidR="005608BE" w:rsidRPr="00433DD5">
        <w:rPr>
          <w:rFonts w:asciiTheme="majorBidi" w:hAnsiTheme="majorBidi" w:cstheme="majorBidi"/>
          <w:lang w:eastAsia="es-MX"/>
        </w:rPr>
        <w:t>(</w:t>
      </w:r>
      <w:r w:rsidR="00AB7BD3" w:rsidRPr="00433DD5">
        <w:rPr>
          <w:rFonts w:asciiTheme="majorBidi" w:hAnsiTheme="majorBidi" w:cstheme="majorBidi"/>
          <w:lang w:eastAsia="es-MX"/>
        </w:rPr>
        <w:t>SEP</w:t>
      </w:r>
      <w:r w:rsidR="0007723A" w:rsidRPr="00433DD5">
        <w:rPr>
          <w:rFonts w:asciiTheme="majorBidi" w:hAnsiTheme="majorBidi" w:cstheme="majorBidi"/>
          <w:lang w:eastAsia="es-MX"/>
        </w:rPr>
        <w:t xml:space="preserve">, </w:t>
      </w:r>
      <w:r w:rsidR="00AB7BD3" w:rsidRPr="00433DD5">
        <w:rPr>
          <w:rFonts w:asciiTheme="majorBidi" w:hAnsiTheme="majorBidi" w:cstheme="majorBidi"/>
          <w:lang w:eastAsia="es-MX"/>
        </w:rPr>
        <w:t xml:space="preserve">13 de enero de </w:t>
      </w:r>
      <w:r w:rsidR="0007723A" w:rsidRPr="00433DD5">
        <w:rPr>
          <w:rFonts w:asciiTheme="majorBidi" w:hAnsiTheme="majorBidi" w:cstheme="majorBidi"/>
          <w:lang w:eastAsia="es-MX"/>
        </w:rPr>
        <w:t>2020</w:t>
      </w:r>
      <w:r w:rsidR="005608BE" w:rsidRPr="00433DD5">
        <w:rPr>
          <w:rFonts w:asciiTheme="majorBidi" w:hAnsiTheme="majorBidi" w:cstheme="majorBidi"/>
          <w:lang w:eastAsia="es-MX"/>
        </w:rPr>
        <w:t>)</w:t>
      </w:r>
      <w:r w:rsidR="00AC161D" w:rsidRPr="00433DD5">
        <w:rPr>
          <w:rFonts w:asciiTheme="majorBidi" w:hAnsiTheme="majorBidi" w:cstheme="majorBidi"/>
          <w:lang w:eastAsia="es-MX"/>
        </w:rPr>
        <w:t>.</w:t>
      </w:r>
    </w:p>
    <w:p w14:paraId="7595ADD9" w14:textId="642A02FC" w:rsidR="00AC161D" w:rsidRPr="00433DD5" w:rsidRDefault="003F659D" w:rsidP="005E0AC3">
      <w:pPr>
        <w:pStyle w:val="NormalWeb"/>
        <w:snapToGrid w:val="0"/>
        <w:spacing w:before="0" w:beforeAutospacing="0" w:after="0" w:afterAutospacing="0" w:line="360" w:lineRule="auto"/>
        <w:ind w:firstLine="708"/>
        <w:contextualSpacing/>
        <w:jc w:val="both"/>
        <w:rPr>
          <w:rFonts w:asciiTheme="majorBidi" w:hAnsiTheme="majorBidi" w:cstheme="majorBidi"/>
          <w:lang w:val="es-ES"/>
        </w:rPr>
      </w:pPr>
      <w:r w:rsidRPr="00433DD5">
        <w:rPr>
          <w:rFonts w:asciiTheme="majorBidi" w:hAnsiTheme="majorBidi" w:cstheme="majorBidi"/>
          <w:lang w:val="es-ES_tradnl"/>
        </w:rPr>
        <w:t>De manera que</w:t>
      </w:r>
      <w:r w:rsidR="00822E0C" w:rsidRPr="00433DD5">
        <w:rPr>
          <w:rFonts w:asciiTheme="majorBidi" w:hAnsiTheme="majorBidi" w:cstheme="majorBidi"/>
          <w:lang w:val="es-ES_tradnl"/>
        </w:rPr>
        <w:t xml:space="preserve"> el programa resalta la capacidad de acceder a recursos siempre </w:t>
      </w:r>
      <w:r w:rsidR="00914C6B" w:rsidRPr="00433DD5">
        <w:rPr>
          <w:rFonts w:asciiTheme="majorBidi" w:hAnsiTheme="majorBidi" w:cstheme="majorBidi"/>
          <w:lang w:val="es-ES_tradnl"/>
        </w:rPr>
        <w:t xml:space="preserve">y cuando las </w:t>
      </w:r>
      <w:r w:rsidR="00822E0C" w:rsidRPr="00433DD5">
        <w:rPr>
          <w:rFonts w:asciiTheme="majorBidi" w:hAnsiTheme="majorBidi" w:cstheme="majorBidi"/>
          <w:lang w:val="es-ES_tradnl"/>
        </w:rPr>
        <w:t>universidad</w:t>
      </w:r>
      <w:r w:rsidR="00DF772F" w:rsidRPr="00433DD5">
        <w:rPr>
          <w:rFonts w:asciiTheme="majorBidi" w:hAnsiTheme="majorBidi" w:cstheme="majorBidi"/>
          <w:lang w:val="es-ES_tradnl"/>
        </w:rPr>
        <w:t>es</w:t>
      </w:r>
      <w:r w:rsidR="00914C6B" w:rsidRPr="00433DD5">
        <w:rPr>
          <w:rFonts w:asciiTheme="majorBidi" w:hAnsiTheme="majorBidi" w:cstheme="majorBidi"/>
          <w:lang w:val="es-ES_tradnl"/>
        </w:rPr>
        <w:t xml:space="preserve"> </w:t>
      </w:r>
      <w:r w:rsidR="00C30A52" w:rsidRPr="00433DD5">
        <w:rPr>
          <w:rFonts w:asciiTheme="majorBidi" w:hAnsiTheme="majorBidi" w:cstheme="majorBidi"/>
          <w:lang w:val="es-ES_tradnl"/>
        </w:rPr>
        <w:t xml:space="preserve">se sometan </w:t>
      </w:r>
      <w:r w:rsidR="00822E0C" w:rsidRPr="00433DD5">
        <w:rPr>
          <w:rFonts w:asciiTheme="majorBidi" w:hAnsiTheme="majorBidi" w:cstheme="majorBidi"/>
          <w:lang w:val="es-ES_tradnl"/>
        </w:rPr>
        <w:t>a</w:t>
      </w:r>
      <w:r w:rsidR="00914C6B" w:rsidRPr="00433DD5">
        <w:rPr>
          <w:rFonts w:asciiTheme="majorBidi" w:hAnsiTheme="majorBidi" w:cstheme="majorBidi"/>
          <w:lang w:val="es-ES_tradnl"/>
        </w:rPr>
        <w:t xml:space="preserve"> </w:t>
      </w:r>
      <w:r w:rsidR="00822E0C" w:rsidRPr="00433DD5">
        <w:rPr>
          <w:rFonts w:asciiTheme="majorBidi" w:hAnsiTheme="majorBidi" w:cstheme="majorBidi"/>
          <w:lang w:val="es-ES_tradnl"/>
        </w:rPr>
        <w:t xml:space="preserve">procesos de evaluación, los cuales </w:t>
      </w:r>
      <w:r w:rsidR="00DF772F" w:rsidRPr="00433DD5">
        <w:rPr>
          <w:rFonts w:asciiTheme="majorBidi" w:hAnsiTheme="majorBidi" w:cstheme="majorBidi"/>
          <w:lang w:val="es-ES_tradnl"/>
        </w:rPr>
        <w:t>están diseñados con base en instrumentos estandarizados que suelen obedecer</w:t>
      </w:r>
      <w:r w:rsidR="00C30A52" w:rsidRPr="00433DD5">
        <w:rPr>
          <w:rFonts w:asciiTheme="majorBidi" w:hAnsiTheme="majorBidi" w:cstheme="majorBidi"/>
          <w:lang w:val="es-ES_tradnl"/>
        </w:rPr>
        <w:t>,</w:t>
      </w:r>
      <w:r w:rsidR="00DF772F" w:rsidRPr="00433DD5">
        <w:rPr>
          <w:rFonts w:asciiTheme="majorBidi" w:hAnsiTheme="majorBidi" w:cstheme="majorBidi"/>
          <w:lang w:val="es-ES_tradnl"/>
        </w:rPr>
        <w:t xml:space="preserve"> de mayor manera</w:t>
      </w:r>
      <w:r w:rsidR="00C30A52" w:rsidRPr="00433DD5">
        <w:rPr>
          <w:rFonts w:asciiTheme="majorBidi" w:hAnsiTheme="majorBidi" w:cstheme="majorBidi"/>
          <w:lang w:val="es-ES_tradnl"/>
        </w:rPr>
        <w:t>,</w:t>
      </w:r>
      <w:r w:rsidR="00DF772F" w:rsidRPr="00433DD5">
        <w:rPr>
          <w:rFonts w:asciiTheme="majorBidi" w:hAnsiTheme="majorBidi" w:cstheme="majorBidi"/>
          <w:lang w:val="es-ES_tradnl"/>
        </w:rPr>
        <w:t xml:space="preserve"> a aspectos </w:t>
      </w:r>
      <w:r w:rsidR="00846B70" w:rsidRPr="00433DD5">
        <w:rPr>
          <w:rFonts w:asciiTheme="majorBidi" w:hAnsiTheme="majorBidi" w:cstheme="majorBidi"/>
          <w:lang w:val="es-ES_tradnl"/>
        </w:rPr>
        <w:t>administrativo</w:t>
      </w:r>
      <w:r w:rsidR="00914C6B" w:rsidRPr="00433DD5">
        <w:rPr>
          <w:rFonts w:asciiTheme="majorBidi" w:hAnsiTheme="majorBidi" w:cstheme="majorBidi"/>
          <w:lang w:val="es-ES_tradnl"/>
        </w:rPr>
        <w:t>s</w:t>
      </w:r>
      <w:r w:rsidR="00846B70" w:rsidRPr="00433DD5">
        <w:rPr>
          <w:rFonts w:asciiTheme="majorBidi" w:hAnsiTheme="majorBidi" w:cstheme="majorBidi"/>
          <w:lang w:val="es-ES_tradnl"/>
        </w:rPr>
        <w:t xml:space="preserve"> y normativo</w:t>
      </w:r>
      <w:r w:rsidR="00DF772F" w:rsidRPr="00433DD5">
        <w:rPr>
          <w:rFonts w:asciiTheme="majorBidi" w:hAnsiTheme="majorBidi" w:cstheme="majorBidi"/>
          <w:lang w:val="es-ES_tradnl"/>
        </w:rPr>
        <w:t>s</w:t>
      </w:r>
      <w:r w:rsidR="00914C6B" w:rsidRPr="00433DD5">
        <w:rPr>
          <w:rFonts w:asciiTheme="majorBidi" w:hAnsiTheme="majorBidi" w:cstheme="majorBidi"/>
          <w:lang w:val="es-ES_tradnl"/>
        </w:rPr>
        <w:t>,</w:t>
      </w:r>
      <w:r w:rsidR="00846B70" w:rsidRPr="00433DD5">
        <w:rPr>
          <w:rFonts w:asciiTheme="majorBidi" w:hAnsiTheme="majorBidi" w:cstheme="majorBidi"/>
          <w:lang w:val="es-ES_tradnl"/>
        </w:rPr>
        <w:t xml:space="preserve"> pero no a especificaciones precisas de cómo se realiza la asignación de los recursos</w:t>
      </w:r>
      <w:r w:rsidR="00DF772F" w:rsidRPr="00433DD5">
        <w:rPr>
          <w:rFonts w:asciiTheme="majorBidi" w:hAnsiTheme="majorBidi" w:cstheme="majorBidi"/>
          <w:lang w:val="es-ES_tradnl"/>
        </w:rPr>
        <w:t xml:space="preserve"> y sobre todo </w:t>
      </w:r>
      <w:r w:rsidR="00C30A52" w:rsidRPr="00433DD5">
        <w:rPr>
          <w:rFonts w:asciiTheme="majorBidi" w:hAnsiTheme="majorBidi" w:cstheme="majorBidi"/>
          <w:lang w:val="es-ES_tradnl"/>
        </w:rPr>
        <w:t>a</w:t>
      </w:r>
      <w:r w:rsidR="00DF772F" w:rsidRPr="00433DD5">
        <w:rPr>
          <w:rFonts w:asciiTheme="majorBidi" w:hAnsiTheme="majorBidi" w:cstheme="majorBidi"/>
          <w:lang w:val="es-ES_tradnl"/>
        </w:rPr>
        <w:t>l impacto en la formación de los estudiantes</w:t>
      </w:r>
      <w:r w:rsidR="00846B70" w:rsidRPr="00433DD5">
        <w:rPr>
          <w:rFonts w:asciiTheme="majorBidi" w:hAnsiTheme="majorBidi" w:cstheme="majorBidi"/>
          <w:lang w:val="es-ES_tradnl"/>
        </w:rPr>
        <w:t>. En este sentido</w:t>
      </w:r>
      <w:r w:rsidR="002C1559" w:rsidRPr="00433DD5">
        <w:rPr>
          <w:rFonts w:asciiTheme="majorBidi" w:hAnsiTheme="majorBidi" w:cstheme="majorBidi"/>
          <w:lang w:val="es-ES_tradnl"/>
        </w:rPr>
        <w:t>,</w:t>
      </w:r>
      <w:r w:rsidR="00846B70" w:rsidRPr="00433DD5">
        <w:rPr>
          <w:rFonts w:asciiTheme="majorBidi" w:hAnsiTheme="majorBidi" w:cstheme="majorBidi"/>
          <w:lang w:val="es-ES_tradnl"/>
        </w:rPr>
        <w:t xml:space="preserve"> queda claro lo expresado por Márquez</w:t>
      </w:r>
      <w:r w:rsidR="00386EC5" w:rsidRPr="00433DD5">
        <w:rPr>
          <w:rFonts w:asciiTheme="majorBidi" w:hAnsiTheme="majorBidi" w:cstheme="majorBidi"/>
          <w:lang w:val="es-ES_tradnl"/>
        </w:rPr>
        <w:t xml:space="preserve"> (</w:t>
      </w:r>
      <w:r w:rsidR="0010744F" w:rsidRPr="00433DD5">
        <w:rPr>
          <w:rFonts w:asciiTheme="majorBidi" w:hAnsiTheme="majorBidi" w:cstheme="majorBidi"/>
          <w:lang w:val="es-ES_tradnl"/>
        </w:rPr>
        <w:t>2012</w:t>
      </w:r>
      <w:r w:rsidR="00386EC5" w:rsidRPr="00433DD5">
        <w:rPr>
          <w:rFonts w:asciiTheme="majorBidi" w:hAnsiTheme="majorBidi" w:cstheme="majorBidi"/>
          <w:lang w:val="es-ES_tradnl"/>
        </w:rPr>
        <w:t xml:space="preserve">) </w:t>
      </w:r>
      <w:r w:rsidR="00846B70" w:rsidRPr="00433DD5">
        <w:rPr>
          <w:rFonts w:asciiTheme="majorBidi" w:hAnsiTheme="majorBidi" w:cstheme="majorBidi"/>
          <w:lang w:val="es-ES_tradnl"/>
        </w:rPr>
        <w:t>cuando señala que</w:t>
      </w:r>
      <w:r w:rsidR="00914C6B" w:rsidRPr="00433DD5">
        <w:rPr>
          <w:rFonts w:asciiTheme="majorBidi" w:hAnsiTheme="majorBidi" w:cstheme="majorBidi"/>
          <w:lang w:val="es-ES_tradnl"/>
        </w:rPr>
        <w:t xml:space="preserve"> </w:t>
      </w:r>
      <w:r w:rsidR="00BB431A" w:rsidRPr="00433DD5">
        <w:rPr>
          <w:rFonts w:asciiTheme="majorBidi" w:hAnsiTheme="majorBidi" w:cstheme="majorBidi"/>
          <w:lang w:val="es-ES"/>
        </w:rPr>
        <w:t>las</w:t>
      </w:r>
      <w:r w:rsidR="00E00EBD" w:rsidRPr="00433DD5">
        <w:rPr>
          <w:rFonts w:asciiTheme="majorBidi" w:hAnsiTheme="majorBidi" w:cstheme="majorBidi"/>
          <w:lang w:val="es-ES"/>
        </w:rPr>
        <w:t xml:space="preserve"> diferencias son notorias dependiendo de las entidades federativas, regiones y localidades. Ante la necesidad imperante del crecimiento en el presupuesto</w:t>
      </w:r>
      <w:r w:rsidR="00BC3572" w:rsidRPr="00433DD5">
        <w:rPr>
          <w:rFonts w:asciiTheme="majorBidi" w:hAnsiTheme="majorBidi" w:cstheme="majorBidi"/>
          <w:lang w:val="es-ES"/>
        </w:rPr>
        <w:t>,</w:t>
      </w:r>
      <w:r w:rsidR="00E00EBD" w:rsidRPr="00433DD5">
        <w:rPr>
          <w:rFonts w:asciiTheme="majorBidi" w:hAnsiTheme="majorBidi" w:cstheme="majorBidi"/>
          <w:lang w:val="es-ES"/>
        </w:rPr>
        <w:t xml:space="preserve"> </w:t>
      </w:r>
      <w:r w:rsidR="00914C6B" w:rsidRPr="00433DD5">
        <w:rPr>
          <w:rFonts w:asciiTheme="majorBidi" w:hAnsiTheme="majorBidi" w:cstheme="majorBidi"/>
          <w:lang w:val="es-ES"/>
        </w:rPr>
        <w:t xml:space="preserve">se advierte la imposibilidad de sostener </w:t>
      </w:r>
      <w:r w:rsidR="00E00EBD" w:rsidRPr="00433DD5">
        <w:rPr>
          <w:rFonts w:asciiTheme="majorBidi" w:hAnsiTheme="majorBidi" w:cstheme="majorBidi"/>
          <w:lang w:val="es-ES"/>
        </w:rPr>
        <w:t>dicho aumento po</w:t>
      </w:r>
      <w:r w:rsidR="00914C6B" w:rsidRPr="00433DD5">
        <w:rPr>
          <w:rFonts w:asciiTheme="majorBidi" w:hAnsiTheme="majorBidi" w:cstheme="majorBidi"/>
          <w:lang w:val="es-ES"/>
        </w:rPr>
        <w:t xml:space="preserve">r las distintas dificultades de </w:t>
      </w:r>
      <w:r w:rsidR="00E00EBD" w:rsidRPr="00433DD5">
        <w:rPr>
          <w:rFonts w:asciiTheme="majorBidi" w:hAnsiTheme="majorBidi" w:cstheme="majorBidi"/>
          <w:lang w:val="es-ES"/>
        </w:rPr>
        <w:t xml:space="preserve">carácter económico que enfrentan en general los países de América Latina. Por ello, salen a relucir problemas de ineficiencia en el gasto que </w:t>
      </w:r>
      <w:r w:rsidR="00E00EBD" w:rsidRPr="00433DD5">
        <w:rPr>
          <w:rFonts w:asciiTheme="majorBidi" w:hAnsiTheme="majorBidi" w:cstheme="majorBidi"/>
          <w:lang w:val="es-ES"/>
        </w:rPr>
        <w:lastRenderedPageBreak/>
        <w:t>sugieren la necesidad de revisar la forma en cómo se gasta en educación, más que pensar en el incremento del presupuesto.</w:t>
      </w:r>
    </w:p>
    <w:p w14:paraId="69B89BFF" w14:textId="3AC15DE8" w:rsidR="00E42572" w:rsidRPr="00433DD5" w:rsidRDefault="00BA2A51" w:rsidP="001A0378">
      <w:pPr>
        <w:pStyle w:val="NormalWeb"/>
        <w:spacing w:before="0" w:beforeAutospacing="0" w:after="0" w:afterAutospacing="0" w:line="360" w:lineRule="auto"/>
        <w:contextualSpacing/>
        <w:jc w:val="both"/>
        <w:rPr>
          <w:rFonts w:asciiTheme="majorBidi" w:hAnsiTheme="majorBidi" w:cstheme="majorBidi"/>
          <w:lang w:val="es-ES"/>
        </w:rPr>
      </w:pPr>
      <w:r w:rsidRPr="00433DD5">
        <w:rPr>
          <w:rFonts w:asciiTheme="majorBidi" w:hAnsiTheme="majorBidi" w:cstheme="majorBidi"/>
          <w:lang w:val="es-ES"/>
        </w:rPr>
        <w:tab/>
      </w:r>
      <w:r w:rsidR="00E00EBD" w:rsidRPr="00433DD5">
        <w:rPr>
          <w:rFonts w:asciiTheme="majorBidi" w:hAnsiTheme="majorBidi" w:cstheme="majorBidi"/>
          <w:lang w:val="es-ES"/>
        </w:rPr>
        <w:t xml:space="preserve">Por otro lado, y asociado al tema de la ineficiencia en el manejo del gasto educativo, se encuentran dificultades en el tema de transparencia </w:t>
      </w:r>
      <w:r w:rsidR="002C1559" w:rsidRPr="00433DD5">
        <w:rPr>
          <w:rFonts w:asciiTheme="majorBidi" w:hAnsiTheme="majorBidi" w:cstheme="majorBidi"/>
          <w:lang w:val="es-ES"/>
        </w:rPr>
        <w:t>en el</w:t>
      </w:r>
      <w:r w:rsidR="00E00EBD" w:rsidRPr="00433DD5">
        <w:rPr>
          <w:rFonts w:asciiTheme="majorBidi" w:hAnsiTheme="majorBidi" w:cstheme="majorBidi"/>
          <w:lang w:val="es-ES"/>
        </w:rPr>
        <w:t xml:space="preserve"> uso de los recursos en las instituciones educativas</w:t>
      </w:r>
      <w:r w:rsidR="00675D43" w:rsidRPr="00433DD5">
        <w:rPr>
          <w:rFonts w:asciiTheme="majorBidi" w:hAnsiTheme="majorBidi" w:cstheme="majorBidi"/>
          <w:lang w:val="es-ES"/>
        </w:rPr>
        <w:t>, además</w:t>
      </w:r>
      <w:r w:rsidRPr="00433DD5">
        <w:rPr>
          <w:rFonts w:asciiTheme="majorBidi" w:hAnsiTheme="majorBidi" w:cstheme="majorBidi"/>
          <w:lang w:val="es-ES"/>
        </w:rPr>
        <w:t>,</w:t>
      </w:r>
      <w:r w:rsidR="00E00EBD" w:rsidRPr="00433DD5">
        <w:rPr>
          <w:rFonts w:asciiTheme="majorBidi" w:hAnsiTheme="majorBidi" w:cstheme="majorBidi"/>
          <w:lang w:val="es-ES"/>
        </w:rPr>
        <w:t xml:space="preserve"> dadas las estructuras financieras y las formas en que se ejercen los recursos de manera diferenciada, se vuelve complejo identificar el destino e impacto de los presupuestos asignados. </w:t>
      </w:r>
    </w:p>
    <w:p w14:paraId="774B922B" w14:textId="51C18A2C" w:rsidR="008262A2" w:rsidRPr="00433DD5" w:rsidRDefault="002E60B2" w:rsidP="001A0378">
      <w:pPr>
        <w:pStyle w:val="NormalWeb"/>
        <w:spacing w:before="0" w:beforeAutospacing="0" w:after="0" w:afterAutospacing="0" w:line="360" w:lineRule="auto"/>
        <w:ind w:firstLine="708"/>
        <w:contextualSpacing/>
        <w:jc w:val="both"/>
        <w:rPr>
          <w:rFonts w:asciiTheme="majorBidi" w:hAnsiTheme="majorBidi" w:cstheme="majorBidi"/>
          <w:shd w:val="clear" w:color="auto" w:fill="FFFFFF"/>
          <w:lang w:eastAsia="es-MX"/>
        </w:rPr>
      </w:pPr>
      <w:r w:rsidRPr="00433DD5">
        <w:rPr>
          <w:rFonts w:asciiTheme="majorBidi" w:hAnsiTheme="majorBidi" w:cstheme="majorBidi"/>
          <w:shd w:val="clear" w:color="auto" w:fill="FFFFFF"/>
          <w:lang w:eastAsia="es-MX"/>
        </w:rPr>
        <w:t xml:space="preserve">De acuerdo con la información presentada </w:t>
      </w:r>
      <w:r w:rsidR="00BA2A51" w:rsidRPr="00433DD5">
        <w:rPr>
          <w:rFonts w:asciiTheme="majorBidi" w:hAnsiTheme="majorBidi" w:cstheme="majorBidi"/>
          <w:shd w:val="clear" w:color="auto" w:fill="FFFFFF"/>
          <w:lang w:eastAsia="es-MX"/>
        </w:rPr>
        <w:t xml:space="preserve">por Comas, </w:t>
      </w:r>
      <w:r w:rsidR="00BA2A51" w:rsidRPr="00433DD5">
        <w:t>Fresán, Buendía y Gómez (2014)</w:t>
      </w:r>
      <w:r w:rsidR="00BA2A51" w:rsidRPr="00433DD5">
        <w:rPr>
          <w:rFonts w:asciiTheme="majorBidi" w:hAnsiTheme="majorBidi" w:cstheme="majorBidi"/>
          <w:shd w:val="clear" w:color="auto" w:fill="FFFFFF"/>
          <w:lang w:eastAsia="es-MX"/>
        </w:rPr>
        <w:t>:</w:t>
      </w:r>
    </w:p>
    <w:p w14:paraId="4D50891A" w14:textId="3B170BEF" w:rsidR="008262A2" w:rsidRPr="00433DD5" w:rsidRDefault="002E60B2" w:rsidP="005E0AC3">
      <w:pPr>
        <w:pStyle w:val="NormalWeb"/>
        <w:spacing w:before="0" w:beforeAutospacing="0" w:after="0" w:afterAutospacing="0" w:line="360" w:lineRule="auto"/>
        <w:ind w:left="1418"/>
        <w:contextualSpacing/>
        <w:jc w:val="both"/>
        <w:rPr>
          <w:rFonts w:asciiTheme="majorBidi" w:hAnsiTheme="majorBidi" w:cstheme="majorBidi"/>
          <w:shd w:val="clear" w:color="auto" w:fill="FFFFFF"/>
          <w:lang w:eastAsia="es-MX"/>
        </w:rPr>
      </w:pPr>
      <w:r w:rsidRPr="00433DD5">
        <w:rPr>
          <w:rFonts w:asciiTheme="majorBidi" w:hAnsiTheme="majorBidi" w:cstheme="majorBidi"/>
          <w:shd w:val="clear" w:color="auto" w:fill="FFFFFF"/>
          <w:lang w:eastAsia="es-MX"/>
        </w:rPr>
        <w:t xml:space="preserve">La implementación del PIFI en 2001, modificó tanto el comportamiento organizacional de las universidades como el compromiso de sus dirigentes. Las instituciones adquirieron experiencia en realizar ejercicios de planeación participativa y consistencia en la justificación de sus solicitudes; los dirigentes mejoraron su capacidad de respuesta para defender con solvencia y datos duros la propuesta institucional ante el comité evaluador, para responder a sus dudas o cuestionamientos, así como rendir cuentas de los recursos </w:t>
      </w:r>
      <w:r w:rsidR="00E62DC8" w:rsidRPr="00433DD5">
        <w:rPr>
          <w:rFonts w:asciiTheme="majorBidi" w:hAnsiTheme="majorBidi" w:cstheme="majorBidi"/>
          <w:shd w:val="clear" w:color="auto" w:fill="FFFFFF"/>
          <w:lang w:eastAsia="es-MX"/>
        </w:rPr>
        <w:t xml:space="preserve">financieros </w:t>
      </w:r>
      <w:r w:rsidRPr="00433DD5">
        <w:rPr>
          <w:rFonts w:asciiTheme="majorBidi" w:hAnsiTheme="majorBidi" w:cstheme="majorBidi"/>
          <w:shd w:val="clear" w:color="auto" w:fill="FFFFFF"/>
          <w:lang w:eastAsia="es-MX"/>
        </w:rPr>
        <w:t>obtenidos</w:t>
      </w:r>
      <w:r w:rsidR="008262A2" w:rsidRPr="00433DD5">
        <w:rPr>
          <w:rFonts w:asciiTheme="majorBidi" w:hAnsiTheme="majorBidi" w:cstheme="majorBidi"/>
          <w:shd w:val="clear" w:color="auto" w:fill="FFFFFF"/>
          <w:lang w:eastAsia="es-MX"/>
        </w:rPr>
        <w:t xml:space="preserve"> (p. 47)</w:t>
      </w:r>
      <w:r w:rsidRPr="00433DD5">
        <w:rPr>
          <w:rFonts w:asciiTheme="majorBidi" w:hAnsiTheme="majorBidi" w:cstheme="majorBidi"/>
          <w:shd w:val="clear" w:color="auto" w:fill="FFFFFF"/>
          <w:lang w:eastAsia="es-MX"/>
        </w:rPr>
        <w:t xml:space="preserve"> </w:t>
      </w:r>
    </w:p>
    <w:p w14:paraId="40D50919" w14:textId="7E31B44D" w:rsidR="008262A2" w:rsidRPr="00433DD5" w:rsidRDefault="002E60B2" w:rsidP="001A0378">
      <w:pPr>
        <w:pStyle w:val="NormalWeb"/>
        <w:spacing w:before="0" w:beforeAutospacing="0" w:after="0" w:afterAutospacing="0" w:line="360" w:lineRule="auto"/>
        <w:ind w:firstLine="708"/>
        <w:contextualSpacing/>
        <w:jc w:val="both"/>
        <w:rPr>
          <w:rFonts w:asciiTheme="majorBidi" w:hAnsiTheme="majorBidi" w:cstheme="majorBidi"/>
          <w:bCs/>
          <w:lang w:val="es-ES_tradnl"/>
        </w:rPr>
      </w:pPr>
      <w:r w:rsidRPr="00433DD5">
        <w:rPr>
          <w:rFonts w:asciiTheme="majorBidi" w:hAnsiTheme="majorBidi" w:cstheme="majorBidi"/>
          <w:bCs/>
          <w:lang w:val="es-ES_tradnl"/>
        </w:rPr>
        <w:t>Como instrumento de planeación</w:t>
      </w:r>
      <w:r w:rsidR="00C30A52" w:rsidRPr="00433DD5">
        <w:rPr>
          <w:rFonts w:asciiTheme="majorBidi" w:hAnsiTheme="majorBidi" w:cstheme="majorBidi"/>
          <w:bCs/>
          <w:lang w:val="es-ES_tradnl"/>
        </w:rPr>
        <w:t>,</w:t>
      </w:r>
      <w:r w:rsidRPr="00433DD5">
        <w:rPr>
          <w:rFonts w:asciiTheme="majorBidi" w:hAnsiTheme="majorBidi" w:cstheme="majorBidi"/>
          <w:bCs/>
          <w:lang w:val="es-ES_tradnl"/>
        </w:rPr>
        <w:t xml:space="preserve"> este programa, desde sus distintas versiones (PIFI, </w:t>
      </w:r>
      <w:r w:rsidR="000468F9" w:rsidRPr="00433DD5">
        <w:rPr>
          <w:rFonts w:asciiTheme="majorBidi" w:hAnsiTheme="majorBidi" w:cstheme="majorBidi"/>
          <w:bCs/>
          <w:lang w:val="es-ES_tradnl"/>
        </w:rPr>
        <w:t>Profocie</w:t>
      </w:r>
      <w:r w:rsidRPr="00433DD5">
        <w:rPr>
          <w:rFonts w:asciiTheme="majorBidi" w:hAnsiTheme="majorBidi" w:cstheme="majorBidi"/>
          <w:bCs/>
          <w:lang w:val="es-ES_tradnl"/>
        </w:rPr>
        <w:t xml:space="preserve">, PFCE, </w:t>
      </w:r>
      <w:r w:rsidR="001A0378" w:rsidRPr="00433DD5">
        <w:rPr>
          <w:rFonts w:asciiTheme="majorBidi" w:hAnsiTheme="majorBidi" w:cstheme="majorBidi"/>
          <w:bCs/>
          <w:lang w:val="es-ES_tradnl"/>
        </w:rPr>
        <w:t>Profexce</w:t>
      </w:r>
      <w:r w:rsidRPr="00433DD5">
        <w:rPr>
          <w:rFonts w:asciiTheme="majorBidi" w:hAnsiTheme="majorBidi" w:cstheme="majorBidi"/>
          <w:bCs/>
          <w:lang w:val="es-ES_tradnl"/>
        </w:rPr>
        <w:t xml:space="preserve">), representó avances en las </w:t>
      </w:r>
      <w:r w:rsidR="00245F89" w:rsidRPr="00433DD5">
        <w:rPr>
          <w:rFonts w:asciiTheme="majorBidi" w:hAnsiTheme="majorBidi" w:cstheme="majorBidi"/>
          <w:bCs/>
          <w:lang w:val="es-ES_tradnl"/>
        </w:rPr>
        <w:t xml:space="preserve">universidades </w:t>
      </w:r>
      <w:r w:rsidRPr="00433DD5">
        <w:rPr>
          <w:rFonts w:asciiTheme="majorBidi" w:hAnsiTheme="majorBidi" w:cstheme="majorBidi"/>
          <w:bCs/>
          <w:lang w:val="es-ES_tradnl"/>
        </w:rPr>
        <w:t xml:space="preserve">en tanto </w:t>
      </w:r>
      <w:r w:rsidR="00245F89" w:rsidRPr="00433DD5">
        <w:rPr>
          <w:rFonts w:asciiTheme="majorBidi" w:hAnsiTheme="majorBidi" w:cstheme="majorBidi"/>
          <w:bCs/>
          <w:lang w:val="es-ES_tradnl"/>
        </w:rPr>
        <w:t xml:space="preserve">que </w:t>
      </w:r>
      <w:r w:rsidRPr="00433DD5">
        <w:rPr>
          <w:rFonts w:asciiTheme="majorBidi" w:hAnsiTheme="majorBidi" w:cstheme="majorBidi"/>
          <w:bCs/>
          <w:lang w:val="es-ES_tradnl"/>
        </w:rPr>
        <w:t xml:space="preserve">permitió visualizar escenarios deseables de mejora en el corto y mediano plazo, planear de manera estratégica y sistematizar diversas acciones para alcanzar las metas propuestas, esto hizo que las universidades proyectaran sus objetivos institucionales para la mejora continua de la calidad. También es cierto que, con el paso de los años y producto de una escasa revisión en el tema del seguimiento académico y sobre todo respecto al impacto directo en los procesos de formación de los estudiantes, se fue convirtiendo cada vez más en un ejercicio para la obtención de recursos y cada vez menos para la planeación estratégica y consecución de fines fundamentales para las Instituciones. </w:t>
      </w:r>
    </w:p>
    <w:p w14:paraId="6B290539" w14:textId="77777777" w:rsidR="00A82454" w:rsidRPr="00433DD5" w:rsidRDefault="002E60B2" w:rsidP="001A0378">
      <w:pPr>
        <w:pStyle w:val="NormalWeb"/>
        <w:spacing w:before="0" w:beforeAutospacing="0" w:after="0" w:afterAutospacing="0" w:line="360" w:lineRule="auto"/>
        <w:ind w:firstLine="708"/>
        <w:contextualSpacing/>
        <w:jc w:val="both"/>
        <w:rPr>
          <w:rFonts w:asciiTheme="majorBidi" w:hAnsiTheme="majorBidi" w:cstheme="majorBidi"/>
          <w:shd w:val="clear" w:color="auto" w:fill="FFFFFF"/>
          <w:lang w:eastAsia="es-MX"/>
        </w:rPr>
      </w:pPr>
      <w:r w:rsidRPr="00433DD5">
        <w:rPr>
          <w:rFonts w:asciiTheme="majorBidi" w:hAnsiTheme="majorBidi" w:cstheme="majorBidi"/>
          <w:shd w:val="clear" w:color="auto" w:fill="FFFFFF"/>
          <w:lang w:eastAsia="es-MX"/>
        </w:rPr>
        <w:t>Sin duda, es importante profundizar en la forma en que las universidades incorporaron el PIFI, pues fue visualizado</w:t>
      </w:r>
      <w:r w:rsidR="00A82454" w:rsidRPr="00433DD5">
        <w:rPr>
          <w:rFonts w:asciiTheme="majorBidi" w:hAnsiTheme="majorBidi" w:cstheme="majorBidi"/>
          <w:shd w:val="clear" w:color="auto" w:fill="FFFFFF"/>
          <w:lang w:eastAsia="es-MX"/>
        </w:rPr>
        <w:t>:</w:t>
      </w:r>
      <w:r w:rsidRPr="00433DD5">
        <w:rPr>
          <w:rFonts w:asciiTheme="majorBidi" w:hAnsiTheme="majorBidi" w:cstheme="majorBidi"/>
          <w:shd w:val="clear" w:color="auto" w:fill="FFFFFF"/>
          <w:lang w:eastAsia="es-MX"/>
        </w:rPr>
        <w:t xml:space="preserve"> </w:t>
      </w:r>
    </w:p>
    <w:p w14:paraId="62091B62" w14:textId="3D24D8B7" w:rsidR="008262A2" w:rsidRPr="00433DD5" w:rsidRDefault="00A82454" w:rsidP="005E0AC3">
      <w:pPr>
        <w:pStyle w:val="NormalWeb"/>
        <w:spacing w:before="0" w:beforeAutospacing="0" w:after="0" w:afterAutospacing="0" w:line="360" w:lineRule="auto"/>
        <w:ind w:left="1418"/>
        <w:contextualSpacing/>
        <w:jc w:val="both"/>
        <w:rPr>
          <w:rFonts w:asciiTheme="majorBidi" w:hAnsiTheme="majorBidi" w:cstheme="majorBidi"/>
        </w:rPr>
      </w:pPr>
      <w:r w:rsidRPr="00433DD5">
        <w:rPr>
          <w:rFonts w:asciiTheme="majorBidi" w:hAnsiTheme="majorBidi" w:cstheme="majorBidi"/>
          <w:shd w:val="clear" w:color="auto" w:fill="FFFFFF"/>
          <w:lang w:eastAsia="es-MX"/>
        </w:rPr>
        <w:t>N</w:t>
      </w:r>
      <w:r w:rsidR="002E60B2" w:rsidRPr="00433DD5">
        <w:rPr>
          <w:rFonts w:asciiTheme="majorBidi" w:hAnsiTheme="majorBidi" w:cstheme="majorBidi"/>
          <w:shd w:val="clear" w:color="auto" w:fill="FFFFFF"/>
          <w:lang w:eastAsia="es-MX"/>
        </w:rPr>
        <w:t>o tanto por el convencimiento sobre las bondades que se derivan de la evaluación, sino por una necesidad vital de incrementar sus recursos financieros</w:t>
      </w:r>
      <w:r w:rsidRPr="00433DD5">
        <w:rPr>
          <w:rFonts w:asciiTheme="majorBidi" w:hAnsiTheme="majorBidi" w:cstheme="majorBidi"/>
          <w:shd w:val="clear" w:color="auto" w:fill="FFFFFF"/>
          <w:lang w:eastAsia="es-MX"/>
        </w:rPr>
        <w:t xml:space="preserve"> (</w:t>
      </w:r>
      <w:r w:rsidR="002E60B2" w:rsidRPr="00433DD5">
        <w:rPr>
          <w:rFonts w:asciiTheme="majorBidi" w:hAnsiTheme="majorBidi" w:cstheme="majorBidi"/>
          <w:shd w:val="clear" w:color="auto" w:fill="FFFFFF"/>
          <w:lang w:eastAsia="es-MX"/>
        </w:rPr>
        <w:t>…</w:t>
      </w:r>
      <w:r w:rsidRPr="00433DD5">
        <w:rPr>
          <w:rFonts w:asciiTheme="majorBidi" w:hAnsiTheme="majorBidi" w:cstheme="majorBidi"/>
          <w:shd w:val="clear" w:color="auto" w:fill="FFFFFF"/>
          <w:lang w:eastAsia="es-MX"/>
        </w:rPr>
        <w:t>)</w:t>
      </w:r>
      <w:r w:rsidR="002E60B2" w:rsidRPr="00433DD5">
        <w:rPr>
          <w:rFonts w:asciiTheme="majorBidi" w:hAnsiTheme="majorBidi" w:cstheme="majorBidi"/>
          <w:shd w:val="clear" w:color="auto" w:fill="FFFFFF"/>
          <w:lang w:eastAsia="es-MX"/>
        </w:rPr>
        <w:t xml:space="preserve"> la evaluación perdió su sentido educativo: no se evalúa para retroalimentar o para fortalecer el desarrollo institucional, sino que se evalúa </w:t>
      </w:r>
      <w:r w:rsidR="002E60B2" w:rsidRPr="00433DD5">
        <w:rPr>
          <w:rFonts w:asciiTheme="majorBidi" w:hAnsiTheme="majorBidi" w:cstheme="majorBidi"/>
          <w:shd w:val="clear" w:color="auto" w:fill="FFFFFF"/>
          <w:lang w:eastAsia="es-MX"/>
        </w:rPr>
        <w:lastRenderedPageBreak/>
        <w:t>para juzgar o dar financiamiento para el trabajo institucional</w:t>
      </w:r>
      <w:r w:rsidR="00200299" w:rsidRPr="00433DD5">
        <w:rPr>
          <w:rFonts w:asciiTheme="majorBidi" w:hAnsiTheme="majorBidi" w:cstheme="majorBidi"/>
          <w:shd w:val="clear" w:color="auto" w:fill="FFFFFF"/>
          <w:lang w:eastAsia="es-MX"/>
        </w:rPr>
        <w:t xml:space="preserve">” </w:t>
      </w:r>
      <w:r w:rsidR="00BC197F" w:rsidRPr="00433DD5">
        <w:rPr>
          <w:rFonts w:asciiTheme="majorBidi" w:hAnsiTheme="majorBidi" w:cstheme="majorBidi"/>
          <w:shd w:val="clear" w:color="auto" w:fill="FFFFFF"/>
          <w:lang w:eastAsia="es-MX"/>
        </w:rPr>
        <w:t>(</w:t>
      </w:r>
      <w:r w:rsidR="002E60B2" w:rsidRPr="00433DD5">
        <w:rPr>
          <w:rFonts w:asciiTheme="majorBidi" w:hAnsiTheme="majorBidi" w:cstheme="majorBidi"/>
          <w:shd w:val="clear" w:color="auto" w:fill="FFFFFF"/>
          <w:lang w:eastAsia="es-MX"/>
        </w:rPr>
        <w:t>Díaz, 2008, p. 52).</w:t>
      </w:r>
      <w:r w:rsidR="002E60B2" w:rsidRPr="00433DD5">
        <w:rPr>
          <w:rFonts w:asciiTheme="majorBidi" w:hAnsiTheme="majorBidi" w:cstheme="majorBidi"/>
        </w:rPr>
        <w:t xml:space="preserve"> </w:t>
      </w:r>
    </w:p>
    <w:p w14:paraId="5F6A946B" w14:textId="77777777" w:rsidR="008262A2" w:rsidRPr="00433DD5" w:rsidRDefault="002E60B2" w:rsidP="001A0378">
      <w:pPr>
        <w:pStyle w:val="NormalWeb"/>
        <w:spacing w:before="0" w:beforeAutospacing="0" w:after="0" w:afterAutospacing="0" w:line="360" w:lineRule="auto"/>
        <w:ind w:firstLine="708"/>
        <w:contextualSpacing/>
        <w:jc w:val="both"/>
        <w:rPr>
          <w:rFonts w:asciiTheme="majorBidi" w:hAnsiTheme="majorBidi" w:cstheme="majorBidi"/>
          <w:bCs/>
        </w:rPr>
      </w:pPr>
      <w:r w:rsidRPr="00433DD5">
        <w:rPr>
          <w:rFonts w:asciiTheme="majorBidi" w:hAnsiTheme="majorBidi" w:cstheme="majorBidi"/>
          <w:bCs/>
        </w:rPr>
        <w:t xml:space="preserve">Es por ello que, aún en estas circunstancias, este programa de financiamiento debería continuar, sin duda con ajustes en los criterios con los cuales se otorga el financiamiento, y también revisando la forma en cómo se prioriza el seguimiento en el cumplimiento de objetivos y metas en las entidades, cómo se transparentan los recursos y principalmente en cómo contribuye en los procesos de enseñanza y aprendizaje. </w:t>
      </w:r>
    </w:p>
    <w:p w14:paraId="5CAFFBD8" w14:textId="4E33FC1A" w:rsidR="002E60B2" w:rsidRPr="00433DD5" w:rsidRDefault="002E60B2" w:rsidP="001A0378">
      <w:pPr>
        <w:pStyle w:val="NormalWeb"/>
        <w:spacing w:before="0" w:beforeAutospacing="0" w:after="0" w:afterAutospacing="0" w:line="360" w:lineRule="auto"/>
        <w:ind w:firstLine="708"/>
        <w:contextualSpacing/>
        <w:jc w:val="both"/>
        <w:rPr>
          <w:rFonts w:asciiTheme="majorBidi" w:hAnsiTheme="majorBidi" w:cstheme="majorBidi"/>
          <w:bCs/>
        </w:rPr>
      </w:pPr>
      <w:r w:rsidRPr="00433DD5">
        <w:rPr>
          <w:rFonts w:asciiTheme="majorBidi" w:hAnsiTheme="majorBidi" w:cstheme="majorBidi"/>
          <w:bCs/>
          <w:lang w:val="es-ES_tradnl"/>
        </w:rPr>
        <w:t>Desde el año 2018 hasta la fecha</w:t>
      </w:r>
      <w:r w:rsidR="00005980" w:rsidRPr="00433DD5">
        <w:rPr>
          <w:rFonts w:asciiTheme="majorBidi" w:hAnsiTheme="majorBidi" w:cstheme="majorBidi"/>
          <w:bCs/>
          <w:lang w:val="es-ES_tradnl"/>
        </w:rPr>
        <w:t>,</w:t>
      </w:r>
      <w:r w:rsidRPr="00433DD5">
        <w:rPr>
          <w:rFonts w:asciiTheme="majorBidi" w:hAnsiTheme="majorBidi" w:cstheme="majorBidi"/>
          <w:bCs/>
          <w:lang w:val="es-ES_tradnl"/>
        </w:rPr>
        <w:t xml:space="preserve"> se han extinguido alrededor de 109 fideicomisos incluyendo los relacionados a la investigación científica y tecnológica</w:t>
      </w:r>
      <w:r w:rsidRPr="00433DD5">
        <w:rPr>
          <w:rFonts w:asciiTheme="majorBidi" w:hAnsiTheme="majorBidi" w:cstheme="majorBidi"/>
        </w:rPr>
        <w:t xml:space="preserve"> (</w:t>
      </w:r>
      <w:r w:rsidRPr="00433DD5">
        <w:rPr>
          <w:rFonts w:asciiTheme="majorBidi" w:hAnsiTheme="majorBidi" w:cstheme="majorBidi"/>
          <w:lang w:eastAsia="es-MX"/>
        </w:rPr>
        <w:t xml:space="preserve">Fuentes, 2021). </w:t>
      </w:r>
      <w:r w:rsidRPr="00433DD5">
        <w:rPr>
          <w:rFonts w:asciiTheme="majorBidi" w:hAnsiTheme="majorBidi" w:cstheme="majorBidi"/>
        </w:rPr>
        <w:t>Esto parece indicarnos ciertas tendencias que ya se advertían en años anteriores</w:t>
      </w:r>
      <w:r w:rsidR="00005980" w:rsidRPr="00433DD5">
        <w:rPr>
          <w:rFonts w:asciiTheme="majorBidi" w:hAnsiTheme="majorBidi" w:cstheme="majorBidi"/>
        </w:rPr>
        <w:t xml:space="preserve">. De </w:t>
      </w:r>
      <w:r w:rsidRPr="00433DD5">
        <w:rPr>
          <w:rFonts w:asciiTheme="majorBidi" w:hAnsiTheme="majorBidi" w:cstheme="majorBidi"/>
        </w:rPr>
        <w:t>acuerdo con Mendoza (2017)</w:t>
      </w:r>
      <w:r w:rsidR="00DD6877" w:rsidRPr="00433DD5">
        <w:rPr>
          <w:rFonts w:asciiTheme="majorBidi" w:hAnsiTheme="majorBidi" w:cstheme="majorBidi"/>
        </w:rPr>
        <w:t>,</w:t>
      </w:r>
      <w:r w:rsidRPr="00433DD5">
        <w:rPr>
          <w:rFonts w:asciiTheme="majorBidi" w:hAnsiTheme="majorBidi" w:cstheme="majorBidi"/>
        </w:rPr>
        <w:t xml:space="preserve"> el monto destinado para el </w:t>
      </w:r>
      <w:r w:rsidR="001A0378" w:rsidRPr="00433DD5">
        <w:rPr>
          <w:rFonts w:asciiTheme="majorBidi" w:hAnsiTheme="majorBidi" w:cstheme="majorBidi"/>
        </w:rPr>
        <w:t>Profexce</w:t>
      </w:r>
      <w:r w:rsidRPr="00433DD5">
        <w:rPr>
          <w:rFonts w:asciiTheme="majorBidi" w:hAnsiTheme="majorBidi" w:cstheme="majorBidi"/>
        </w:rPr>
        <w:t xml:space="preserve"> a nivel nacional disminuyó de 2012 a 2015 en 29</w:t>
      </w:r>
      <w:r w:rsidR="00005980" w:rsidRPr="00433DD5">
        <w:rPr>
          <w:rFonts w:asciiTheme="majorBidi" w:hAnsiTheme="majorBidi" w:cstheme="majorBidi"/>
        </w:rPr>
        <w:t> </w:t>
      </w:r>
      <w:r w:rsidRPr="00433DD5">
        <w:rPr>
          <w:rFonts w:asciiTheme="majorBidi" w:hAnsiTheme="majorBidi" w:cstheme="majorBidi"/>
        </w:rPr>
        <w:t xml:space="preserve">%, </w:t>
      </w:r>
      <w:r w:rsidRPr="00433DD5">
        <w:rPr>
          <w:rFonts w:asciiTheme="majorBidi" w:hAnsiTheme="majorBidi" w:cstheme="majorBidi"/>
          <w:bCs/>
        </w:rPr>
        <w:t xml:space="preserve">lo cual impactó considerablemente en el quehacer académico que realizan las IES. </w:t>
      </w:r>
    </w:p>
    <w:p w14:paraId="3A06F895" w14:textId="77777777" w:rsidR="00005980" w:rsidRPr="00433DD5" w:rsidRDefault="00005980" w:rsidP="001A0378">
      <w:pPr>
        <w:pStyle w:val="NormalWeb"/>
        <w:spacing w:before="0" w:beforeAutospacing="0" w:after="0" w:afterAutospacing="0" w:line="360" w:lineRule="auto"/>
        <w:ind w:firstLine="708"/>
        <w:contextualSpacing/>
        <w:jc w:val="both"/>
        <w:rPr>
          <w:rFonts w:asciiTheme="majorBidi" w:hAnsiTheme="majorBidi" w:cstheme="majorBidi"/>
          <w:lang w:val="es-ES"/>
        </w:rPr>
      </w:pPr>
    </w:p>
    <w:p w14:paraId="53612B48" w14:textId="12265C9F" w:rsidR="00F2368E" w:rsidRPr="00433DD5" w:rsidRDefault="001103E7" w:rsidP="008B457E">
      <w:pPr>
        <w:autoSpaceDE w:val="0"/>
        <w:autoSpaceDN w:val="0"/>
        <w:adjustRightInd w:val="0"/>
        <w:spacing w:line="360" w:lineRule="auto"/>
        <w:jc w:val="center"/>
        <w:rPr>
          <w:b/>
          <w:sz w:val="32"/>
          <w:szCs w:val="32"/>
          <w:lang w:val="es-ES_tradnl"/>
        </w:rPr>
      </w:pPr>
      <w:r w:rsidRPr="00433DD5">
        <w:rPr>
          <w:b/>
          <w:sz w:val="32"/>
          <w:szCs w:val="32"/>
          <w:lang w:val="es-ES_tradnl"/>
        </w:rPr>
        <w:t>C</w:t>
      </w:r>
      <w:r w:rsidR="00E6729F" w:rsidRPr="00433DD5">
        <w:rPr>
          <w:b/>
          <w:sz w:val="32"/>
          <w:szCs w:val="32"/>
          <w:lang w:val="es-ES_tradnl"/>
        </w:rPr>
        <w:t>onclusiones</w:t>
      </w:r>
    </w:p>
    <w:p w14:paraId="4F53DEEE" w14:textId="46B2BBA4" w:rsidR="00625DDC" w:rsidRPr="00433DD5" w:rsidRDefault="00442E23" w:rsidP="001A0378">
      <w:pPr>
        <w:snapToGrid w:val="0"/>
        <w:spacing w:line="360" w:lineRule="auto"/>
        <w:ind w:firstLine="708"/>
        <w:contextualSpacing/>
        <w:jc w:val="both"/>
        <w:rPr>
          <w:rFonts w:asciiTheme="majorBidi" w:hAnsiTheme="majorBidi" w:cstheme="majorBidi"/>
          <w:shd w:val="clear" w:color="auto" w:fill="FFFFFF"/>
          <w:lang w:eastAsia="es-MX"/>
        </w:rPr>
      </w:pPr>
      <w:r w:rsidRPr="00433DD5">
        <w:rPr>
          <w:rFonts w:asciiTheme="majorBidi" w:hAnsiTheme="majorBidi" w:cstheme="majorBidi"/>
          <w:shd w:val="clear" w:color="auto" w:fill="FFFFFF"/>
          <w:lang w:eastAsia="es-MX"/>
        </w:rPr>
        <w:t xml:space="preserve">Como puede apreciarse, este estudio pretendió analizar la correspondencia entre las evaluaciones realizadas en el marco del </w:t>
      </w:r>
      <w:r w:rsidR="001A0378" w:rsidRPr="00433DD5">
        <w:rPr>
          <w:rFonts w:asciiTheme="majorBidi" w:hAnsiTheme="majorBidi" w:cstheme="majorBidi"/>
          <w:shd w:val="clear" w:color="auto" w:fill="FFFFFF"/>
          <w:lang w:eastAsia="es-MX"/>
        </w:rPr>
        <w:t>Profexce</w:t>
      </w:r>
      <w:r w:rsidRPr="00433DD5">
        <w:rPr>
          <w:rFonts w:asciiTheme="majorBidi" w:hAnsiTheme="majorBidi" w:cstheme="majorBidi"/>
          <w:shd w:val="clear" w:color="auto" w:fill="FFFFFF"/>
          <w:lang w:eastAsia="es-MX"/>
        </w:rPr>
        <w:t xml:space="preserve"> y la asignación presupuestal en una universidad pública</w:t>
      </w:r>
      <w:r w:rsidR="00731118" w:rsidRPr="00433DD5">
        <w:rPr>
          <w:rFonts w:asciiTheme="majorBidi" w:hAnsiTheme="majorBidi" w:cstheme="majorBidi"/>
          <w:shd w:val="clear" w:color="auto" w:fill="FFFFFF"/>
          <w:lang w:eastAsia="es-MX"/>
        </w:rPr>
        <w:t xml:space="preserve">. Los </w:t>
      </w:r>
      <w:r w:rsidR="00D05466" w:rsidRPr="00433DD5">
        <w:rPr>
          <w:rFonts w:asciiTheme="majorBidi" w:hAnsiTheme="majorBidi" w:cstheme="majorBidi"/>
          <w:shd w:val="clear" w:color="auto" w:fill="FFFFFF"/>
          <w:lang w:eastAsia="es-MX"/>
        </w:rPr>
        <w:t>hallazgos aportan elementos para considerar que no existe necesar</w:t>
      </w:r>
      <w:r w:rsidR="00625DDC" w:rsidRPr="00433DD5">
        <w:rPr>
          <w:rFonts w:asciiTheme="majorBidi" w:hAnsiTheme="majorBidi" w:cstheme="majorBidi"/>
          <w:shd w:val="clear" w:color="auto" w:fill="FFFFFF"/>
          <w:lang w:eastAsia="es-MX"/>
        </w:rPr>
        <w:t>i</w:t>
      </w:r>
      <w:r w:rsidR="00D05466" w:rsidRPr="00433DD5">
        <w:rPr>
          <w:rFonts w:asciiTheme="majorBidi" w:hAnsiTheme="majorBidi" w:cstheme="majorBidi"/>
          <w:shd w:val="clear" w:color="auto" w:fill="FFFFFF"/>
          <w:lang w:eastAsia="es-MX"/>
        </w:rPr>
        <w:t xml:space="preserve">amente </w:t>
      </w:r>
      <w:r w:rsidR="00625DDC" w:rsidRPr="00433DD5">
        <w:rPr>
          <w:rFonts w:asciiTheme="majorBidi" w:hAnsiTheme="majorBidi" w:cstheme="majorBidi"/>
          <w:shd w:val="clear" w:color="auto" w:fill="FFFFFF"/>
          <w:lang w:eastAsia="es-MX"/>
        </w:rPr>
        <w:t>concordancia</w:t>
      </w:r>
      <w:r w:rsidR="00731118" w:rsidRPr="00433DD5">
        <w:rPr>
          <w:rFonts w:asciiTheme="majorBidi" w:hAnsiTheme="majorBidi" w:cstheme="majorBidi"/>
          <w:shd w:val="clear" w:color="auto" w:fill="FFFFFF"/>
          <w:lang w:eastAsia="es-MX"/>
        </w:rPr>
        <w:t xml:space="preserve">: </w:t>
      </w:r>
      <w:r w:rsidR="009944D2" w:rsidRPr="00433DD5">
        <w:rPr>
          <w:rFonts w:asciiTheme="majorBidi" w:hAnsiTheme="majorBidi" w:cstheme="majorBidi"/>
          <w:shd w:val="clear" w:color="auto" w:fill="FFFFFF"/>
          <w:lang w:eastAsia="es-MX"/>
        </w:rPr>
        <w:t>la</w:t>
      </w:r>
      <w:r w:rsidR="00625DDC" w:rsidRPr="00433DD5">
        <w:rPr>
          <w:rFonts w:asciiTheme="majorBidi" w:hAnsiTheme="majorBidi" w:cstheme="majorBidi"/>
          <w:shd w:val="clear" w:color="auto" w:fill="FFFFFF"/>
          <w:lang w:eastAsia="es-MX"/>
        </w:rPr>
        <w:t xml:space="preserve"> mejora</w:t>
      </w:r>
      <w:r w:rsidR="009944D2" w:rsidRPr="00433DD5">
        <w:rPr>
          <w:rFonts w:asciiTheme="majorBidi" w:hAnsiTheme="majorBidi" w:cstheme="majorBidi"/>
          <w:shd w:val="clear" w:color="auto" w:fill="FFFFFF"/>
          <w:lang w:eastAsia="es-MX"/>
        </w:rPr>
        <w:t xml:space="preserve"> de</w:t>
      </w:r>
      <w:r w:rsidR="00625DDC" w:rsidRPr="00433DD5">
        <w:rPr>
          <w:rFonts w:asciiTheme="majorBidi" w:hAnsiTheme="majorBidi" w:cstheme="majorBidi"/>
          <w:shd w:val="clear" w:color="auto" w:fill="FFFFFF"/>
          <w:lang w:eastAsia="es-MX"/>
        </w:rPr>
        <w:t xml:space="preserve"> indicadores</w:t>
      </w:r>
      <w:r w:rsidR="009944D2" w:rsidRPr="00433DD5">
        <w:rPr>
          <w:rFonts w:asciiTheme="majorBidi" w:hAnsiTheme="majorBidi" w:cstheme="majorBidi"/>
          <w:shd w:val="clear" w:color="auto" w:fill="FFFFFF"/>
          <w:lang w:eastAsia="es-MX"/>
        </w:rPr>
        <w:t xml:space="preserve"> en las DES y la adecuada formulación de los proyectos</w:t>
      </w:r>
      <w:r w:rsidR="00625DDC" w:rsidRPr="00433DD5">
        <w:rPr>
          <w:rFonts w:asciiTheme="majorBidi" w:hAnsiTheme="majorBidi" w:cstheme="majorBidi"/>
          <w:shd w:val="clear" w:color="auto" w:fill="FFFFFF"/>
          <w:lang w:eastAsia="es-MX"/>
        </w:rPr>
        <w:t xml:space="preserve"> </w:t>
      </w:r>
      <w:r w:rsidR="009944D2" w:rsidRPr="00433DD5">
        <w:rPr>
          <w:rFonts w:asciiTheme="majorBidi" w:hAnsiTheme="majorBidi" w:cstheme="majorBidi"/>
          <w:shd w:val="clear" w:color="auto" w:fill="FFFFFF"/>
          <w:lang w:eastAsia="es-MX"/>
        </w:rPr>
        <w:t xml:space="preserve">no garantiza </w:t>
      </w:r>
      <w:r w:rsidR="00625DDC" w:rsidRPr="00433DD5">
        <w:rPr>
          <w:rFonts w:asciiTheme="majorBidi" w:hAnsiTheme="majorBidi" w:cstheme="majorBidi"/>
          <w:shd w:val="clear" w:color="auto" w:fill="FFFFFF"/>
          <w:lang w:eastAsia="es-MX"/>
        </w:rPr>
        <w:t xml:space="preserve">la asignación </w:t>
      </w:r>
      <w:r w:rsidR="009944D2" w:rsidRPr="00433DD5">
        <w:rPr>
          <w:rFonts w:asciiTheme="majorBidi" w:hAnsiTheme="majorBidi" w:cstheme="majorBidi"/>
          <w:shd w:val="clear" w:color="auto" w:fill="FFFFFF"/>
          <w:lang w:eastAsia="es-MX"/>
        </w:rPr>
        <w:t>equitativa de recursos</w:t>
      </w:r>
      <w:r w:rsidR="00731118" w:rsidRPr="00433DD5">
        <w:rPr>
          <w:rFonts w:asciiTheme="majorBidi" w:hAnsiTheme="majorBidi" w:cstheme="majorBidi"/>
          <w:shd w:val="clear" w:color="auto" w:fill="FFFFFF"/>
          <w:lang w:eastAsia="es-MX"/>
        </w:rPr>
        <w:t>.</w:t>
      </w:r>
      <w:r w:rsidR="00C77C75" w:rsidRPr="00433DD5">
        <w:rPr>
          <w:rFonts w:asciiTheme="majorBidi" w:hAnsiTheme="majorBidi" w:cstheme="majorBidi"/>
          <w:shd w:val="clear" w:color="auto" w:fill="FFFFFF"/>
          <w:lang w:eastAsia="es-MX"/>
        </w:rPr>
        <w:t xml:space="preserve"> </w:t>
      </w:r>
      <w:r w:rsidR="00731118" w:rsidRPr="00433DD5">
        <w:rPr>
          <w:rFonts w:asciiTheme="majorBidi" w:hAnsiTheme="majorBidi" w:cstheme="majorBidi"/>
          <w:shd w:val="clear" w:color="auto" w:fill="FFFFFF"/>
          <w:lang w:eastAsia="es-MX"/>
        </w:rPr>
        <w:t xml:space="preserve">A </w:t>
      </w:r>
      <w:r w:rsidR="00D21489" w:rsidRPr="00433DD5">
        <w:rPr>
          <w:rFonts w:asciiTheme="majorBidi" w:hAnsiTheme="majorBidi" w:cstheme="majorBidi"/>
          <w:shd w:val="clear" w:color="auto" w:fill="FFFFFF"/>
          <w:lang w:eastAsia="es-MX"/>
        </w:rPr>
        <w:t xml:space="preserve">pesar de </w:t>
      </w:r>
      <w:r w:rsidR="009944D2" w:rsidRPr="00433DD5">
        <w:rPr>
          <w:rFonts w:asciiTheme="majorBidi" w:hAnsiTheme="majorBidi" w:cstheme="majorBidi"/>
          <w:shd w:val="clear" w:color="auto" w:fill="FFFFFF"/>
          <w:lang w:eastAsia="es-MX"/>
        </w:rPr>
        <w:t>mante</w:t>
      </w:r>
      <w:r w:rsidR="00D21489" w:rsidRPr="00433DD5">
        <w:rPr>
          <w:rFonts w:asciiTheme="majorBidi" w:hAnsiTheme="majorBidi" w:cstheme="majorBidi"/>
          <w:shd w:val="clear" w:color="auto" w:fill="FFFFFF"/>
          <w:lang w:eastAsia="es-MX"/>
        </w:rPr>
        <w:t>ner datos alentadores</w:t>
      </w:r>
      <w:r w:rsidR="00731118" w:rsidRPr="00433DD5">
        <w:rPr>
          <w:rFonts w:asciiTheme="majorBidi" w:hAnsiTheme="majorBidi" w:cstheme="majorBidi"/>
          <w:shd w:val="clear" w:color="auto" w:fill="FFFFFF"/>
          <w:lang w:eastAsia="es-MX"/>
        </w:rPr>
        <w:t>,</w:t>
      </w:r>
      <w:r w:rsidR="00D21489" w:rsidRPr="00433DD5">
        <w:rPr>
          <w:rFonts w:asciiTheme="majorBidi" w:hAnsiTheme="majorBidi" w:cstheme="majorBidi"/>
          <w:shd w:val="clear" w:color="auto" w:fill="FFFFFF"/>
          <w:lang w:eastAsia="es-MX"/>
        </w:rPr>
        <w:t xml:space="preserve"> el presupuesto disminuye</w:t>
      </w:r>
      <w:r w:rsidR="00625DDC" w:rsidRPr="00433DD5">
        <w:rPr>
          <w:rFonts w:asciiTheme="majorBidi" w:hAnsiTheme="majorBidi" w:cstheme="majorBidi"/>
          <w:shd w:val="clear" w:color="auto" w:fill="FFFFFF"/>
          <w:lang w:eastAsia="es-MX"/>
        </w:rPr>
        <w:t xml:space="preserve">. En los tres bienios analizados se reitera este patrón. </w:t>
      </w:r>
    </w:p>
    <w:p w14:paraId="36E92FA1" w14:textId="1EBDE774" w:rsidR="00EA7908" w:rsidRPr="00433DD5" w:rsidRDefault="00625DDC" w:rsidP="001A0378">
      <w:pPr>
        <w:spacing w:line="360" w:lineRule="auto"/>
        <w:ind w:firstLine="708"/>
        <w:contextualSpacing/>
        <w:jc w:val="both"/>
        <w:rPr>
          <w:rFonts w:asciiTheme="majorBidi" w:hAnsiTheme="majorBidi" w:cstheme="majorBidi"/>
          <w:shd w:val="clear" w:color="auto" w:fill="FFFFFF"/>
          <w:lang w:eastAsia="es-MX"/>
        </w:rPr>
      </w:pPr>
      <w:r w:rsidRPr="00433DD5">
        <w:rPr>
          <w:rFonts w:asciiTheme="majorBidi" w:hAnsiTheme="majorBidi" w:cstheme="majorBidi"/>
          <w:shd w:val="clear" w:color="auto" w:fill="FFFFFF"/>
          <w:lang w:eastAsia="es-MX"/>
        </w:rPr>
        <w:t>Por un lado</w:t>
      </w:r>
      <w:r w:rsidR="00D727FD" w:rsidRPr="00433DD5">
        <w:rPr>
          <w:rFonts w:asciiTheme="majorBidi" w:hAnsiTheme="majorBidi" w:cstheme="majorBidi"/>
          <w:shd w:val="clear" w:color="auto" w:fill="FFFFFF"/>
          <w:lang w:eastAsia="es-MX"/>
        </w:rPr>
        <w:t>,</w:t>
      </w:r>
      <w:r w:rsidRPr="00433DD5">
        <w:rPr>
          <w:rFonts w:asciiTheme="majorBidi" w:hAnsiTheme="majorBidi" w:cstheme="majorBidi"/>
          <w:shd w:val="clear" w:color="auto" w:fill="FFFFFF"/>
          <w:lang w:eastAsia="es-MX"/>
        </w:rPr>
        <w:t xml:space="preserve"> el </w:t>
      </w:r>
      <w:r w:rsidR="001A0378" w:rsidRPr="00433DD5">
        <w:rPr>
          <w:rFonts w:asciiTheme="majorBidi" w:hAnsiTheme="majorBidi" w:cstheme="majorBidi"/>
          <w:shd w:val="clear" w:color="auto" w:fill="FFFFFF"/>
          <w:lang w:eastAsia="es-MX"/>
        </w:rPr>
        <w:t>Profexce</w:t>
      </w:r>
      <w:r w:rsidRPr="00433DD5">
        <w:rPr>
          <w:rFonts w:asciiTheme="majorBidi" w:hAnsiTheme="majorBidi" w:cstheme="majorBidi"/>
          <w:shd w:val="clear" w:color="auto" w:fill="FFFFFF"/>
          <w:lang w:eastAsia="es-MX"/>
        </w:rPr>
        <w:t xml:space="preserve"> tiene </w:t>
      </w:r>
      <w:r w:rsidR="008546A0" w:rsidRPr="00433DD5">
        <w:rPr>
          <w:rFonts w:asciiTheme="majorBidi" w:hAnsiTheme="majorBidi" w:cstheme="majorBidi"/>
          <w:shd w:val="clear" w:color="auto" w:fill="FFFFFF"/>
          <w:lang w:eastAsia="es-MX"/>
        </w:rPr>
        <w:t>el propósito</w:t>
      </w:r>
      <w:r w:rsidRPr="00433DD5">
        <w:rPr>
          <w:rFonts w:asciiTheme="majorBidi" w:hAnsiTheme="majorBidi" w:cstheme="majorBidi"/>
          <w:shd w:val="clear" w:color="auto" w:fill="FFFFFF"/>
          <w:lang w:eastAsia="es-MX"/>
        </w:rPr>
        <w:t xml:space="preserve"> de mejorar la calidad de la educación superior y en su discurso enuncia que en la medida en que se cumplan con las condiciones</w:t>
      </w:r>
      <w:r w:rsidR="00C77C75" w:rsidRPr="00433DD5">
        <w:rPr>
          <w:rFonts w:asciiTheme="majorBidi" w:hAnsiTheme="majorBidi" w:cstheme="majorBidi"/>
          <w:shd w:val="clear" w:color="auto" w:fill="FFFFFF"/>
          <w:lang w:eastAsia="es-MX"/>
        </w:rPr>
        <w:t xml:space="preserve"> </w:t>
      </w:r>
      <w:r w:rsidRPr="00433DD5">
        <w:rPr>
          <w:rFonts w:asciiTheme="majorBidi" w:hAnsiTheme="majorBidi" w:cstheme="majorBidi"/>
          <w:shd w:val="clear" w:color="auto" w:fill="FFFFFF"/>
          <w:lang w:eastAsia="es-MX"/>
        </w:rPr>
        <w:t>en él descrita</w:t>
      </w:r>
      <w:r w:rsidR="00C43685" w:rsidRPr="00433DD5">
        <w:rPr>
          <w:rFonts w:asciiTheme="majorBidi" w:hAnsiTheme="majorBidi" w:cstheme="majorBidi"/>
          <w:shd w:val="clear" w:color="auto" w:fill="FFFFFF"/>
          <w:lang w:eastAsia="es-MX"/>
        </w:rPr>
        <w:t xml:space="preserve">s </w:t>
      </w:r>
      <w:r w:rsidR="00D21489" w:rsidRPr="00433DD5">
        <w:rPr>
          <w:rFonts w:asciiTheme="majorBidi" w:hAnsiTheme="majorBidi" w:cstheme="majorBidi"/>
          <w:shd w:val="clear" w:color="auto" w:fill="FFFFFF"/>
          <w:lang w:eastAsia="es-MX"/>
        </w:rPr>
        <w:t>y los escenarios de calidad desead</w:t>
      </w:r>
      <w:r w:rsidR="008546A0" w:rsidRPr="00433DD5">
        <w:rPr>
          <w:rFonts w:asciiTheme="majorBidi" w:hAnsiTheme="majorBidi" w:cstheme="majorBidi"/>
          <w:shd w:val="clear" w:color="auto" w:fill="FFFFFF"/>
          <w:lang w:eastAsia="es-MX"/>
        </w:rPr>
        <w:t>o</w:t>
      </w:r>
      <w:r w:rsidR="00D21489" w:rsidRPr="00433DD5">
        <w:rPr>
          <w:rFonts w:asciiTheme="majorBidi" w:hAnsiTheme="majorBidi" w:cstheme="majorBidi"/>
          <w:shd w:val="clear" w:color="auto" w:fill="FFFFFF"/>
          <w:lang w:eastAsia="es-MX"/>
        </w:rPr>
        <w:t>s habría un mayor otorgamiento de recursos financieros</w:t>
      </w:r>
      <w:r w:rsidR="009944D2" w:rsidRPr="00433DD5">
        <w:rPr>
          <w:rFonts w:asciiTheme="majorBidi" w:hAnsiTheme="majorBidi" w:cstheme="majorBidi"/>
          <w:shd w:val="clear" w:color="auto" w:fill="FFFFFF"/>
          <w:lang w:eastAsia="es-MX"/>
        </w:rPr>
        <w:t>,</w:t>
      </w:r>
      <w:r w:rsidR="00470459" w:rsidRPr="00433DD5">
        <w:rPr>
          <w:rFonts w:asciiTheme="majorBidi" w:hAnsiTheme="majorBidi" w:cstheme="majorBidi"/>
          <w:shd w:val="clear" w:color="auto" w:fill="FFFFFF"/>
          <w:lang w:eastAsia="es-MX"/>
        </w:rPr>
        <w:t xml:space="preserve"> por otro lado,</w:t>
      </w:r>
      <w:r w:rsidR="00C77C75" w:rsidRPr="00433DD5">
        <w:rPr>
          <w:rFonts w:asciiTheme="majorBidi" w:hAnsiTheme="majorBidi" w:cstheme="majorBidi"/>
          <w:shd w:val="clear" w:color="auto" w:fill="FFFFFF"/>
          <w:lang w:eastAsia="es-MX"/>
        </w:rPr>
        <w:t xml:space="preserve"> </w:t>
      </w:r>
      <w:r w:rsidR="009944D2" w:rsidRPr="00433DD5">
        <w:rPr>
          <w:rFonts w:asciiTheme="majorBidi" w:hAnsiTheme="majorBidi" w:cstheme="majorBidi"/>
          <w:shd w:val="clear" w:color="auto" w:fill="FFFFFF"/>
          <w:lang w:eastAsia="es-MX"/>
        </w:rPr>
        <w:t>e</w:t>
      </w:r>
      <w:r w:rsidR="00D21489" w:rsidRPr="00433DD5">
        <w:rPr>
          <w:rFonts w:asciiTheme="majorBidi" w:hAnsiTheme="majorBidi" w:cstheme="majorBidi"/>
          <w:shd w:val="clear" w:color="auto" w:fill="FFFFFF"/>
          <w:lang w:eastAsia="es-MX"/>
        </w:rPr>
        <w:t>n realidad se percibe una disminución importante de recursos</w:t>
      </w:r>
      <w:r w:rsidR="00C77C75" w:rsidRPr="00433DD5">
        <w:rPr>
          <w:rFonts w:asciiTheme="majorBidi" w:hAnsiTheme="majorBidi" w:cstheme="majorBidi"/>
          <w:shd w:val="clear" w:color="auto" w:fill="FFFFFF"/>
          <w:lang w:eastAsia="es-MX"/>
        </w:rPr>
        <w:t xml:space="preserve"> </w:t>
      </w:r>
      <w:r w:rsidR="00D05466" w:rsidRPr="00433DD5">
        <w:rPr>
          <w:rFonts w:asciiTheme="majorBidi" w:hAnsiTheme="majorBidi" w:cstheme="majorBidi"/>
          <w:shd w:val="clear" w:color="auto" w:fill="FFFFFF"/>
          <w:lang w:eastAsia="es-MX"/>
        </w:rPr>
        <w:t xml:space="preserve">y no </w:t>
      </w:r>
      <w:r w:rsidR="00D21489" w:rsidRPr="00433DD5">
        <w:rPr>
          <w:rFonts w:asciiTheme="majorBidi" w:hAnsiTheme="majorBidi" w:cstheme="majorBidi"/>
          <w:shd w:val="clear" w:color="auto" w:fill="FFFFFF"/>
          <w:lang w:eastAsia="es-MX"/>
        </w:rPr>
        <w:t>se visualizan</w:t>
      </w:r>
      <w:r w:rsidR="00C77C75" w:rsidRPr="00433DD5">
        <w:rPr>
          <w:rFonts w:asciiTheme="majorBidi" w:hAnsiTheme="majorBidi" w:cstheme="majorBidi"/>
          <w:shd w:val="clear" w:color="auto" w:fill="FFFFFF"/>
          <w:lang w:eastAsia="es-MX"/>
        </w:rPr>
        <w:t xml:space="preserve"> </w:t>
      </w:r>
      <w:r w:rsidR="00D05466" w:rsidRPr="00433DD5">
        <w:rPr>
          <w:rFonts w:asciiTheme="majorBidi" w:hAnsiTheme="majorBidi" w:cstheme="majorBidi"/>
          <w:shd w:val="clear" w:color="auto" w:fill="FFFFFF"/>
          <w:lang w:eastAsia="es-MX"/>
        </w:rPr>
        <w:t xml:space="preserve">criterios claros para la </w:t>
      </w:r>
      <w:r w:rsidRPr="00433DD5">
        <w:rPr>
          <w:rFonts w:asciiTheme="majorBidi" w:hAnsiTheme="majorBidi" w:cstheme="majorBidi"/>
          <w:shd w:val="clear" w:color="auto" w:fill="FFFFFF"/>
          <w:lang w:eastAsia="es-MX"/>
        </w:rPr>
        <w:t>designación de</w:t>
      </w:r>
      <w:r w:rsidR="00D21489" w:rsidRPr="00433DD5">
        <w:rPr>
          <w:rFonts w:asciiTheme="majorBidi" w:hAnsiTheme="majorBidi" w:cstheme="majorBidi"/>
          <w:shd w:val="clear" w:color="auto" w:fill="FFFFFF"/>
          <w:lang w:eastAsia="es-MX"/>
        </w:rPr>
        <w:t xml:space="preserve"> dicho </w:t>
      </w:r>
      <w:r w:rsidRPr="00433DD5">
        <w:rPr>
          <w:rFonts w:asciiTheme="majorBidi" w:hAnsiTheme="majorBidi" w:cstheme="majorBidi"/>
          <w:shd w:val="clear" w:color="auto" w:fill="FFFFFF"/>
          <w:lang w:eastAsia="es-MX"/>
        </w:rPr>
        <w:t xml:space="preserve">presupuesto </w:t>
      </w:r>
      <w:r w:rsidR="009944D2" w:rsidRPr="00433DD5">
        <w:rPr>
          <w:rFonts w:asciiTheme="majorBidi" w:hAnsiTheme="majorBidi" w:cstheme="majorBidi"/>
          <w:shd w:val="clear" w:color="auto" w:fill="FFFFFF"/>
          <w:lang w:eastAsia="es-MX"/>
        </w:rPr>
        <w:t xml:space="preserve">que corresponda con el esfuerzo que realizan las universidades </w:t>
      </w:r>
      <w:r w:rsidR="00F12CE8" w:rsidRPr="00433DD5">
        <w:rPr>
          <w:rFonts w:asciiTheme="majorBidi" w:hAnsiTheme="majorBidi" w:cstheme="majorBidi"/>
          <w:shd w:val="clear" w:color="auto" w:fill="FFFFFF"/>
          <w:lang w:eastAsia="es-MX"/>
        </w:rPr>
        <w:t>para ofrecer una formación s</w:t>
      </w:r>
      <w:r w:rsidR="0012046E" w:rsidRPr="00433DD5">
        <w:rPr>
          <w:rFonts w:asciiTheme="majorBidi" w:hAnsiTheme="majorBidi" w:cstheme="majorBidi"/>
          <w:shd w:val="clear" w:color="auto" w:fill="FFFFFF"/>
          <w:lang w:eastAsia="es-MX"/>
        </w:rPr>
        <w:t>ó</w:t>
      </w:r>
      <w:r w:rsidR="00F12CE8" w:rsidRPr="00433DD5">
        <w:rPr>
          <w:rFonts w:asciiTheme="majorBidi" w:hAnsiTheme="majorBidi" w:cstheme="majorBidi"/>
          <w:shd w:val="clear" w:color="auto" w:fill="FFFFFF"/>
          <w:lang w:eastAsia="es-MX"/>
        </w:rPr>
        <w:t>lida a sus e</w:t>
      </w:r>
      <w:r w:rsidR="00D727FD" w:rsidRPr="00433DD5">
        <w:rPr>
          <w:rFonts w:asciiTheme="majorBidi" w:hAnsiTheme="majorBidi" w:cstheme="majorBidi"/>
          <w:shd w:val="clear" w:color="auto" w:fill="FFFFFF"/>
          <w:lang w:eastAsia="es-MX"/>
        </w:rPr>
        <w:t>stu</w:t>
      </w:r>
      <w:r w:rsidR="00F12CE8" w:rsidRPr="00433DD5">
        <w:rPr>
          <w:rFonts w:asciiTheme="majorBidi" w:hAnsiTheme="majorBidi" w:cstheme="majorBidi"/>
          <w:shd w:val="clear" w:color="auto" w:fill="FFFFFF"/>
          <w:lang w:eastAsia="es-MX"/>
        </w:rPr>
        <w:t xml:space="preserve">diantes. </w:t>
      </w:r>
    </w:p>
    <w:p w14:paraId="447B0215" w14:textId="7D461211" w:rsidR="00EA7908" w:rsidRPr="00433DD5" w:rsidRDefault="00010D2C" w:rsidP="001A0378">
      <w:pPr>
        <w:spacing w:line="360" w:lineRule="auto"/>
        <w:ind w:firstLine="708"/>
        <w:contextualSpacing/>
        <w:jc w:val="both"/>
        <w:rPr>
          <w:rFonts w:asciiTheme="majorBidi" w:hAnsiTheme="majorBidi" w:cstheme="majorBidi"/>
        </w:rPr>
      </w:pPr>
      <w:r w:rsidRPr="00433DD5">
        <w:rPr>
          <w:rFonts w:asciiTheme="majorBidi" w:hAnsiTheme="majorBidi" w:cstheme="majorBidi"/>
        </w:rPr>
        <w:t xml:space="preserve">El sistema educativo en México cuenta con un gasto público que no promueve el crecimiento económico y la equidad de oportunidades cuando se trata de la obtención de </w:t>
      </w:r>
      <w:r w:rsidR="002E0553" w:rsidRPr="00433DD5">
        <w:rPr>
          <w:rFonts w:asciiTheme="majorBidi" w:hAnsiTheme="majorBidi" w:cstheme="majorBidi"/>
        </w:rPr>
        <w:t>recursos para generar una educación de calidad, esta realidad no s</w:t>
      </w:r>
      <w:r w:rsidR="00D00773" w:rsidRPr="00433DD5">
        <w:rPr>
          <w:rFonts w:asciiTheme="majorBidi" w:hAnsiTheme="majorBidi" w:cstheme="majorBidi"/>
        </w:rPr>
        <w:t>o</w:t>
      </w:r>
      <w:r w:rsidR="002E0553" w:rsidRPr="00433DD5">
        <w:rPr>
          <w:rFonts w:asciiTheme="majorBidi" w:hAnsiTheme="majorBidi" w:cstheme="majorBidi"/>
        </w:rPr>
        <w:t xml:space="preserve">lo es vivida en las </w:t>
      </w:r>
      <w:r w:rsidR="002E0553" w:rsidRPr="00433DD5">
        <w:rPr>
          <w:rFonts w:asciiTheme="majorBidi" w:hAnsiTheme="majorBidi" w:cstheme="majorBidi"/>
        </w:rPr>
        <w:lastRenderedPageBreak/>
        <w:t xml:space="preserve">instituciones </w:t>
      </w:r>
      <w:r w:rsidR="00D12AE7" w:rsidRPr="00433DD5">
        <w:rPr>
          <w:rFonts w:asciiTheme="majorBidi" w:hAnsiTheme="majorBidi" w:cstheme="majorBidi"/>
        </w:rPr>
        <w:t xml:space="preserve">de educación media, </w:t>
      </w:r>
      <w:r w:rsidR="00ED747E" w:rsidRPr="00433DD5">
        <w:rPr>
          <w:rFonts w:asciiTheme="majorBidi" w:hAnsiTheme="majorBidi" w:cstheme="majorBidi"/>
        </w:rPr>
        <w:t>sino también</w:t>
      </w:r>
      <w:r w:rsidR="00D12AE7" w:rsidRPr="00433DD5">
        <w:rPr>
          <w:rFonts w:asciiTheme="majorBidi" w:hAnsiTheme="majorBidi" w:cstheme="majorBidi"/>
        </w:rPr>
        <w:t xml:space="preserve"> </w:t>
      </w:r>
      <w:r w:rsidR="00C77C75" w:rsidRPr="00433DD5">
        <w:rPr>
          <w:rFonts w:asciiTheme="majorBidi" w:hAnsiTheme="majorBidi" w:cstheme="majorBidi"/>
        </w:rPr>
        <w:t xml:space="preserve">en </w:t>
      </w:r>
      <w:r w:rsidR="002E0553" w:rsidRPr="00433DD5">
        <w:rPr>
          <w:rFonts w:asciiTheme="majorBidi" w:hAnsiTheme="majorBidi" w:cstheme="majorBidi"/>
        </w:rPr>
        <w:t xml:space="preserve">las </w:t>
      </w:r>
      <w:r w:rsidR="007C7D3F" w:rsidRPr="00433DD5">
        <w:rPr>
          <w:rFonts w:asciiTheme="majorBidi" w:hAnsiTheme="majorBidi" w:cstheme="majorBidi"/>
        </w:rPr>
        <w:t>IES</w:t>
      </w:r>
      <w:r w:rsidR="00C77C75" w:rsidRPr="00433DD5">
        <w:rPr>
          <w:rFonts w:asciiTheme="majorBidi" w:hAnsiTheme="majorBidi" w:cstheme="majorBidi"/>
        </w:rPr>
        <w:t>, donde</w:t>
      </w:r>
      <w:r w:rsidR="002E0553" w:rsidRPr="00433DD5">
        <w:rPr>
          <w:rFonts w:asciiTheme="majorBidi" w:hAnsiTheme="majorBidi" w:cstheme="majorBidi"/>
        </w:rPr>
        <w:t xml:space="preserve"> la obtención de estos beneficios es </w:t>
      </w:r>
      <w:r w:rsidR="00C77C75" w:rsidRPr="00433DD5">
        <w:rPr>
          <w:rFonts w:asciiTheme="majorBidi" w:hAnsiTheme="majorBidi" w:cstheme="majorBidi"/>
        </w:rPr>
        <w:t xml:space="preserve">incluso </w:t>
      </w:r>
      <w:r w:rsidR="002E0553" w:rsidRPr="00433DD5">
        <w:rPr>
          <w:rFonts w:asciiTheme="majorBidi" w:hAnsiTheme="majorBidi" w:cstheme="majorBidi"/>
        </w:rPr>
        <w:t>aún más complej</w:t>
      </w:r>
      <w:r w:rsidR="00EA7908" w:rsidRPr="00433DD5">
        <w:rPr>
          <w:rFonts w:asciiTheme="majorBidi" w:hAnsiTheme="majorBidi" w:cstheme="majorBidi"/>
        </w:rPr>
        <w:t>a</w:t>
      </w:r>
      <w:r w:rsidR="0003494D" w:rsidRPr="00433DD5">
        <w:rPr>
          <w:rFonts w:asciiTheme="majorBidi" w:hAnsiTheme="majorBidi" w:cstheme="majorBidi"/>
        </w:rPr>
        <w:t xml:space="preserve"> debido a que</w:t>
      </w:r>
      <w:r w:rsidR="002E0553" w:rsidRPr="00433DD5">
        <w:rPr>
          <w:rFonts w:asciiTheme="majorBidi" w:hAnsiTheme="majorBidi" w:cstheme="majorBidi"/>
        </w:rPr>
        <w:t xml:space="preserve"> depende de factores externos. </w:t>
      </w:r>
    </w:p>
    <w:p w14:paraId="6FA3E25E" w14:textId="77777777" w:rsidR="00EA7908" w:rsidRPr="00433DD5" w:rsidRDefault="00041A6B" w:rsidP="001A0378">
      <w:pPr>
        <w:spacing w:line="360" w:lineRule="auto"/>
        <w:ind w:firstLine="708"/>
        <w:contextualSpacing/>
        <w:jc w:val="both"/>
        <w:rPr>
          <w:rFonts w:asciiTheme="majorBidi" w:hAnsiTheme="majorBidi" w:cstheme="majorBidi"/>
          <w:lang w:val="es-ES"/>
        </w:rPr>
      </w:pPr>
      <w:r w:rsidRPr="00433DD5">
        <w:rPr>
          <w:rFonts w:asciiTheme="majorBidi" w:hAnsiTheme="majorBidi" w:cstheme="majorBidi"/>
        </w:rPr>
        <w:t>Lo anterior sugier</w:t>
      </w:r>
      <w:r w:rsidR="00D74B65" w:rsidRPr="00433DD5">
        <w:rPr>
          <w:rFonts w:asciiTheme="majorBidi" w:hAnsiTheme="majorBidi" w:cstheme="majorBidi"/>
        </w:rPr>
        <w:t xml:space="preserve">e </w:t>
      </w:r>
      <w:r w:rsidR="002E0553" w:rsidRPr="00433DD5">
        <w:rPr>
          <w:rFonts w:asciiTheme="majorBidi" w:hAnsiTheme="majorBidi" w:cstheme="majorBidi"/>
          <w:lang w:val="es-ES"/>
        </w:rPr>
        <w:t>trabajar en una reforma que permita reorientar una mayor cantidad de recursos al sector educativo y plantee la estructura normativa que permita identificar con mayor nitidez el uso e impacto de los recursos, así como los destinatarios.</w:t>
      </w:r>
      <w:r w:rsidR="00967628" w:rsidRPr="00433DD5">
        <w:rPr>
          <w:rFonts w:asciiTheme="majorBidi" w:hAnsiTheme="majorBidi" w:cstheme="majorBidi"/>
          <w:lang w:val="es-ES"/>
        </w:rPr>
        <w:t xml:space="preserve"> </w:t>
      </w:r>
      <w:r w:rsidR="002E0553" w:rsidRPr="00433DD5">
        <w:rPr>
          <w:rFonts w:asciiTheme="majorBidi" w:hAnsiTheme="majorBidi" w:cstheme="majorBidi"/>
          <w:lang w:val="es-ES"/>
        </w:rPr>
        <w:t xml:space="preserve">De </w:t>
      </w:r>
      <w:r w:rsidR="00D12AE7" w:rsidRPr="00433DD5">
        <w:rPr>
          <w:rFonts w:asciiTheme="majorBidi" w:hAnsiTheme="majorBidi" w:cstheme="majorBidi"/>
          <w:lang w:val="es-ES"/>
        </w:rPr>
        <w:t>esta manera</w:t>
      </w:r>
      <w:r w:rsidR="00EC06D6" w:rsidRPr="00433DD5">
        <w:rPr>
          <w:rFonts w:asciiTheme="majorBidi" w:hAnsiTheme="majorBidi" w:cstheme="majorBidi"/>
          <w:lang w:val="es-ES"/>
        </w:rPr>
        <w:t>,</w:t>
      </w:r>
      <w:r w:rsidR="00D12AE7" w:rsidRPr="00433DD5">
        <w:rPr>
          <w:rFonts w:asciiTheme="majorBidi" w:hAnsiTheme="majorBidi" w:cstheme="majorBidi"/>
          <w:lang w:val="es-ES"/>
        </w:rPr>
        <w:t xml:space="preserve"> </w:t>
      </w:r>
      <w:r w:rsidR="00967628" w:rsidRPr="00433DD5">
        <w:rPr>
          <w:rFonts w:asciiTheme="majorBidi" w:hAnsiTheme="majorBidi" w:cstheme="majorBidi"/>
          <w:lang w:val="es-ES"/>
        </w:rPr>
        <w:t xml:space="preserve">es imperante definir </w:t>
      </w:r>
      <w:r w:rsidR="002E0553" w:rsidRPr="00433DD5">
        <w:rPr>
          <w:rFonts w:asciiTheme="majorBidi" w:hAnsiTheme="majorBidi" w:cstheme="majorBidi"/>
          <w:lang w:val="es-ES"/>
        </w:rPr>
        <w:t>con precisión los tramos de control de los gobiernos federales, estatales y municipales</w:t>
      </w:r>
      <w:r w:rsidR="00967628" w:rsidRPr="00433DD5">
        <w:rPr>
          <w:rFonts w:asciiTheme="majorBidi" w:hAnsiTheme="majorBidi" w:cstheme="majorBidi"/>
          <w:lang w:val="es-ES"/>
        </w:rPr>
        <w:t xml:space="preserve"> </w:t>
      </w:r>
      <w:r w:rsidR="00886010" w:rsidRPr="00433DD5">
        <w:rPr>
          <w:rFonts w:asciiTheme="majorBidi" w:hAnsiTheme="majorBidi" w:cstheme="majorBidi"/>
          <w:lang w:val="es-ES"/>
        </w:rPr>
        <w:t xml:space="preserve">para que sea posible </w:t>
      </w:r>
      <w:r w:rsidR="00967628" w:rsidRPr="00433DD5">
        <w:rPr>
          <w:rFonts w:asciiTheme="majorBidi" w:hAnsiTheme="majorBidi" w:cstheme="majorBidi"/>
          <w:lang w:val="es-ES"/>
        </w:rPr>
        <w:t>articular los esfuerzos basados en criterios de distribución más equitativos.</w:t>
      </w:r>
    </w:p>
    <w:p w14:paraId="0BA3FC18" w14:textId="043009A5" w:rsidR="00785CD1" w:rsidRPr="00433DD5" w:rsidRDefault="007B661B" w:rsidP="001A0378">
      <w:pPr>
        <w:spacing w:line="360" w:lineRule="auto"/>
        <w:ind w:firstLine="708"/>
        <w:contextualSpacing/>
        <w:jc w:val="both"/>
        <w:rPr>
          <w:rFonts w:asciiTheme="majorBidi" w:hAnsiTheme="majorBidi" w:cstheme="majorBidi"/>
          <w:shd w:val="clear" w:color="auto" w:fill="FFFFFF"/>
          <w:lang w:eastAsia="es-MX"/>
        </w:rPr>
      </w:pPr>
      <w:r w:rsidRPr="00433DD5">
        <w:rPr>
          <w:rFonts w:asciiTheme="majorBidi" w:hAnsiTheme="majorBidi" w:cstheme="majorBidi"/>
          <w:lang w:val="es-ES"/>
        </w:rPr>
        <w:t>La implementación de estas medidas hará</w:t>
      </w:r>
      <w:r w:rsidR="001B44F5" w:rsidRPr="00433DD5">
        <w:rPr>
          <w:rFonts w:asciiTheme="majorBidi" w:hAnsiTheme="majorBidi" w:cstheme="majorBidi"/>
          <w:lang w:val="es-ES"/>
        </w:rPr>
        <w:t xml:space="preserve"> más eficiente </w:t>
      </w:r>
      <w:r w:rsidR="00FF4C6D" w:rsidRPr="00433DD5">
        <w:rPr>
          <w:rFonts w:asciiTheme="majorBidi" w:hAnsiTheme="majorBidi" w:cstheme="majorBidi"/>
          <w:lang w:val="es-ES"/>
        </w:rPr>
        <w:t xml:space="preserve">la administración </w:t>
      </w:r>
      <w:r w:rsidR="00D12AE7" w:rsidRPr="00433DD5">
        <w:rPr>
          <w:rFonts w:asciiTheme="majorBidi" w:hAnsiTheme="majorBidi" w:cstheme="majorBidi"/>
          <w:lang w:val="es-ES"/>
        </w:rPr>
        <w:t>de los recursos, el uso apropiado de los resultados de las evaluaciones, el flujo y acceso a la información precisa que permita replantear los modelos de planeación, atendiéndose de maner</w:t>
      </w:r>
      <w:r w:rsidR="001B44F5" w:rsidRPr="00433DD5">
        <w:rPr>
          <w:rFonts w:asciiTheme="majorBidi" w:hAnsiTheme="majorBidi" w:cstheme="majorBidi"/>
          <w:lang w:val="es-ES"/>
        </w:rPr>
        <w:t xml:space="preserve">a exitosa la demanda educativa, </w:t>
      </w:r>
      <w:r w:rsidR="00886010" w:rsidRPr="00433DD5">
        <w:rPr>
          <w:rFonts w:asciiTheme="majorBidi" w:hAnsiTheme="majorBidi" w:cstheme="majorBidi"/>
          <w:lang w:val="es-ES"/>
        </w:rPr>
        <w:t xml:space="preserve">para </w:t>
      </w:r>
      <w:r w:rsidR="006C21C0" w:rsidRPr="00433DD5">
        <w:rPr>
          <w:rFonts w:asciiTheme="majorBidi" w:hAnsiTheme="majorBidi" w:cstheme="majorBidi"/>
          <w:lang w:val="es-ES"/>
        </w:rPr>
        <w:t>ampliar con ello la</w:t>
      </w:r>
      <w:r w:rsidR="001B44F5" w:rsidRPr="00433DD5">
        <w:rPr>
          <w:rFonts w:asciiTheme="majorBidi" w:hAnsiTheme="majorBidi" w:cstheme="majorBidi"/>
          <w:lang w:val="es-ES"/>
        </w:rPr>
        <w:t xml:space="preserve"> cobertura </w:t>
      </w:r>
      <w:r w:rsidR="006C21C0" w:rsidRPr="00433DD5">
        <w:rPr>
          <w:rFonts w:asciiTheme="majorBidi" w:hAnsiTheme="majorBidi" w:cstheme="majorBidi"/>
          <w:lang w:val="es-ES"/>
        </w:rPr>
        <w:t>con programas de calidad reconocida</w:t>
      </w:r>
      <w:r w:rsidRPr="00433DD5">
        <w:rPr>
          <w:rFonts w:asciiTheme="majorBidi" w:hAnsiTheme="majorBidi" w:cstheme="majorBidi"/>
          <w:lang w:val="es-ES"/>
        </w:rPr>
        <w:t>. S</w:t>
      </w:r>
      <w:r w:rsidR="006C21C0" w:rsidRPr="00433DD5">
        <w:rPr>
          <w:rFonts w:asciiTheme="majorBidi" w:hAnsiTheme="majorBidi" w:cstheme="majorBidi"/>
          <w:lang w:val="es-ES"/>
        </w:rPr>
        <w:t xml:space="preserve">obre </w:t>
      </w:r>
      <w:r w:rsidRPr="00433DD5">
        <w:rPr>
          <w:rFonts w:asciiTheme="majorBidi" w:hAnsiTheme="majorBidi" w:cstheme="majorBidi"/>
          <w:lang w:val="es-ES"/>
        </w:rPr>
        <w:t>todo,</w:t>
      </w:r>
      <w:r w:rsidR="006C21C0" w:rsidRPr="00433DD5">
        <w:rPr>
          <w:rFonts w:asciiTheme="majorBidi" w:hAnsiTheme="majorBidi" w:cstheme="majorBidi"/>
          <w:lang w:val="es-ES"/>
        </w:rPr>
        <w:t xml:space="preserve"> ahora que se insiste en la gratuidad de la educación superior, </w:t>
      </w:r>
      <w:r w:rsidR="001B44F5" w:rsidRPr="00433DD5">
        <w:rPr>
          <w:rFonts w:asciiTheme="majorBidi" w:hAnsiTheme="majorBidi" w:cstheme="majorBidi"/>
          <w:lang w:val="es-ES"/>
        </w:rPr>
        <w:t>se debe invertir en recursos adicionales</w:t>
      </w:r>
      <w:r w:rsidR="00A11F2B" w:rsidRPr="00433DD5">
        <w:rPr>
          <w:rFonts w:asciiTheme="majorBidi" w:hAnsiTheme="majorBidi" w:cstheme="majorBidi"/>
          <w:lang w:val="es-ES"/>
        </w:rPr>
        <w:t xml:space="preserve">, </w:t>
      </w:r>
      <w:r w:rsidR="001B44F5" w:rsidRPr="00433DD5">
        <w:rPr>
          <w:rFonts w:asciiTheme="majorBidi" w:hAnsiTheme="majorBidi" w:cstheme="majorBidi"/>
          <w:lang w:val="es-ES"/>
        </w:rPr>
        <w:t xml:space="preserve">como </w:t>
      </w:r>
      <w:r w:rsidR="001B6B13" w:rsidRPr="00433DD5">
        <w:rPr>
          <w:rFonts w:asciiTheme="majorBidi" w:hAnsiTheme="majorBidi" w:cstheme="majorBidi"/>
          <w:lang w:val="es-ES"/>
        </w:rPr>
        <w:t xml:space="preserve">los obtenidos </w:t>
      </w:r>
      <w:r w:rsidR="008733CA" w:rsidRPr="00433DD5">
        <w:rPr>
          <w:rFonts w:asciiTheme="majorBidi" w:hAnsiTheme="majorBidi" w:cstheme="majorBidi"/>
          <w:lang w:val="es-ES"/>
        </w:rPr>
        <w:t xml:space="preserve">en el marco </w:t>
      </w:r>
      <w:r w:rsidR="001B6B13" w:rsidRPr="00433DD5">
        <w:rPr>
          <w:rFonts w:asciiTheme="majorBidi" w:hAnsiTheme="majorBidi" w:cstheme="majorBidi"/>
          <w:lang w:val="es-ES"/>
        </w:rPr>
        <w:t xml:space="preserve">del </w:t>
      </w:r>
      <w:r w:rsidR="001A0378" w:rsidRPr="00433DD5">
        <w:rPr>
          <w:rFonts w:asciiTheme="majorBidi" w:hAnsiTheme="majorBidi" w:cstheme="majorBidi"/>
          <w:lang w:val="es-ES"/>
        </w:rPr>
        <w:t>Profexce</w:t>
      </w:r>
      <w:r w:rsidR="00886010" w:rsidRPr="00433DD5">
        <w:rPr>
          <w:rFonts w:asciiTheme="majorBidi" w:hAnsiTheme="majorBidi" w:cstheme="majorBidi"/>
          <w:lang w:val="es-ES"/>
        </w:rPr>
        <w:t xml:space="preserve">. </w:t>
      </w:r>
      <w:r w:rsidR="00886010" w:rsidRPr="00433DD5">
        <w:rPr>
          <w:rFonts w:asciiTheme="majorBidi" w:hAnsiTheme="majorBidi" w:cstheme="majorBidi"/>
        </w:rPr>
        <w:t>P</w:t>
      </w:r>
      <w:r w:rsidR="003A7D50" w:rsidRPr="00433DD5">
        <w:rPr>
          <w:rFonts w:asciiTheme="majorBidi" w:hAnsiTheme="majorBidi" w:cstheme="majorBidi"/>
        </w:rPr>
        <w:t>ara ello</w:t>
      </w:r>
      <w:r w:rsidR="001B6B13" w:rsidRPr="00433DD5">
        <w:rPr>
          <w:rFonts w:asciiTheme="majorBidi" w:hAnsiTheme="majorBidi" w:cstheme="majorBidi"/>
        </w:rPr>
        <w:t>, se necesita de</w:t>
      </w:r>
      <w:r w:rsidR="001B44F5" w:rsidRPr="00433DD5">
        <w:rPr>
          <w:rFonts w:asciiTheme="majorBidi" w:hAnsiTheme="majorBidi" w:cstheme="majorBidi"/>
        </w:rPr>
        <w:t xml:space="preserve"> l</w:t>
      </w:r>
      <w:r w:rsidR="0015026B" w:rsidRPr="00433DD5">
        <w:rPr>
          <w:rFonts w:asciiTheme="majorBidi" w:hAnsiTheme="majorBidi" w:cstheme="majorBidi"/>
        </w:rPr>
        <w:t xml:space="preserve">a voluntad de las instituciones, los tres órdenes de </w:t>
      </w:r>
      <w:r w:rsidR="00635960" w:rsidRPr="00433DD5">
        <w:rPr>
          <w:rFonts w:asciiTheme="majorBidi" w:hAnsiTheme="majorBidi" w:cstheme="majorBidi"/>
        </w:rPr>
        <w:t xml:space="preserve">Gobierno </w:t>
      </w:r>
      <w:r w:rsidR="0015026B" w:rsidRPr="00433DD5">
        <w:rPr>
          <w:rFonts w:asciiTheme="majorBidi" w:hAnsiTheme="majorBidi" w:cstheme="majorBidi"/>
        </w:rPr>
        <w:t xml:space="preserve">y la sociedad, </w:t>
      </w:r>
      <w:r w:rsidR="001B44F5" w:rsidRPr="00433DD5">
        <w:rPr>
          <w:rFonts w:asciiTheme="majorBidi" w:hAnsiTheme="majorBidi" w:cstheme="majorBidi"/>
        </w:rPr>
        <w:t xml:space="preserve">para generar un cambio que promueva el desarrollo económico y minimice el rezago educativo. </w:t>
      </w:r>
    </w:p>
    <w:p w14:paraId="4051F9FB" w14:textId="77777777" w:rsidR="00D450F0" w:rsidRPr="00433DD5" w:rsidRDefault="00D450F0" w:rsidP="001A0378">
      <w:pPr>
        <w:spacing w:line="360" w:lineRule="auto"/>
        <w:jc w:val="center"/>
        <w:rPr>
          <w:rFonts w:asciiTheme="majorBidi" w:hAnsiTheme="majorBidi" w:cstheme="majorBidi"/>
          <w:b/>
          <w:bCs/>
          <w:sz w:val="32"/>
          <w:szCs w:val="32"/>
          <w:shd w:val="clear" w:color="auto" w:fill="FFFFFF"/>
          <w:lang w:eastAsia="es-MX"/>
        </w:rPr>
      </w:pPr>
    </w:p>
    <w:p w14:paraId="191BE7A2" w14:textId="3DF021EB" w:rsidR="00413EED" w:rsidRPr="00433DD5" w:rsidRDefault="00413EED" w:rsidP="008B457E">
      <w:pPr>
        <w:spacing w:line="360" w:lineRule="auto"/>
        <w:jc w:val="center"/>
        <w:rPr>
          <w:rFonts w:asciiTheme="majorBidi" w:hAnsiTheme="majorBidi" w:cstheme="majorBidi"/>
          <w:b/>
          <w:bCs/>
          <w:sz w:val="28"/>
          <w:szCs w:val="28"/>
          <w:lang w:eastAsia="es-MX"/>
        </w:rPr>
      </w:pPr>
      <w:r w:rsidRPr="00433DD5">
        <w:rPr>
          <w:rFonts w:asciiTheme="majorBidi" w:hAnsiTheme="majorBidi" w:cstheme="majorBidi"/>
          <w:b/>
          <w:bCs/>
          <w:sz w:val="28"/>
          <w:szCs w:val="28"/>
          <w:shd w:val="clear" w:color="auto" w:fill="FFFFFF"/>
          <w:lang w:eastAsia="es-MX"/>
        </w:rPr>
        <w:t>Contribuciones a Futuras Líneas de Investigación</w:t>
      </w:r>
    </w:p>
    <w:p w14:paraId="1BEE4473" w14:textId="2F9B39ED" w:rsidR="00230382" w:rsidRPr="00433DD5" w:rsidRDefault="00954E01" w:rsidP="001A0378">
      <w:pPr>
        <w:autoSpaceDE w:val="0"/>
        <w:autoSpaceDN w:val="0"/>
        <w:adjustRightInd w:val="0"/>
        <w:spacing w:line="360" w:lineRule="auto"/>
        <w:ind w:firstLine="708"/>
        <w:jc w:val="both"/>
        <w:rPr>
          <w:rFonts w:asciiTheme="majorBidi" w:hAnsiTheme="majorBidi" w:cstheme="majorBidi"/>
        </w:rPr>
      </w:pPr>
      <w:r w:rsidRPr="00433DD5">
        <w:rPr>
          <w:rFonts w:asciiTheme="majorBidi" w:hAnsiTheme="majorBidi" w:cstheme="majorBidi"/>
        </w:rPr>
        <w:t>Como puede apreciarse</w:t>
      </w:r>
      <w:r w:rsidR="00B44F92" w:rsidRPr="00433DD5">
        <w:rPr>
          <w:rFonts w:asciiTheme="majorBidi" w:hAnsiTheme="majorBidi" w:cstheme="majorBidi"/>
        </w:rPr>
        <w:t>,</w:t>
      </w:r>
      <w:r w:rsidRPr="00433DD5">
        <w:rPr>
          <w:rFonts w:asciiTheme="majorBidi" w:hAnsiTheme="majorBidi" w:cstheme="majorBidi"/>
        </w:rPr>
        <w:t xml:space="preserve"> este estudio refleja resultados que </w:t>
      </w:r>
      <w:r w:rsidR="00B44F92" w:rsidRPr="00433DD5">
        <w:rPr>
          <w:rFonts w:asciiTheme="majorBidi" w:hAnsiTheme="majorBidi" w:cstheme="majorBidi"/>
        </w:rPr>
        <w:t xml:space="preserve">se </w:t>
      </w:r>
      <w:r w:rsidR="00371AB1" w:rsidRPr="00433DD5">
        <w:rPr>
          <w:rFonts w:asciiTheme="majorBidi" w:hAnsiTheme="majorBidi" w:cstheme="majorBidi"/>
        </w:rPr>
        <w:t>a</w:t>
      </w:r>
      <w:r w:rsidR="00B44F92" w:rsidRPr="00433DD5">
        <w:rPr>
          <w:rFonts w:asciiTheme="majorBidi" w:hAnsiTheme="majorBidi" w:cstheme="majorBidi"/>
        </w:rPr>
        <w:t>semejan a los obtenidos en</w:t>
      </w:r>
      <w:r w:rsidR="00C77C75" w:rsidRPr="00433DD5">
        <w:rPr>
          <w:rFonts w:asciiTheme="majorBidi" w:hAnsiTheme="majorBidi" w:cstheme="majorBidi"/>
        </w:rPr>
        <w:t xml:space="preserve"> </w:t>
      </w:r>
      <w:r w:rsidRPr="00433DD5">
        <w:rPr>
          <w:rFonts w:asciiTheme="majorBidi" w:hAnsiTheme="majorBidi" w:cstheme="majorBidi"/>
        </w:rPr>
        <w:t>divers</w:t>
      </w:r>
      <w:r w:rsidR="00B44F92" w:rsidRPr="00433DD5">
        <w:rPr>
          <w:rFonts w:asciiTheme="majorBidi" w:hAnsiTheme="majorBidi" w:cstheme="majorBidi"/>
        </w:rPr>
        <w:t>a</w:t>
      </w:r>
      <w:r w:rsidRPr="00433DD5">
        <w:rPr>
          <w:rFonts w:asciiTheme="majorBidi" w:hAnsiTheme="majorBidi" w:cstheme="majorBidi"/>
        </w:rPr>
        <w:t xml:space="preserve">s </w:t>
      </w:r>
      <w:r w:rsidR="00B44F92" w:rsidRPr="00433DD5">
        <w:rPr>
          <w:rFonts w:asciiTheme="majorBidi" w:hAnsiTheme="majorBidi" w:cstheme="majorBidi"/>
        </w:rPr>
        <w:t>investigaciones</w:t>
      </w:r>
      <w:r w:rsidRPr="00433DD5">
        <w:rPr>
          <w:rFonts w:asciiTheme="majorBidi" w:hAnsiTheme="majorBidi" w:cstheme="majorBidi"/>
        </w:rPr>
        <w:t xml:space="preserve"> </w:t>
      </w:r>
      <w:r w:rsidR="00371AB1" w:rsidRPr="00433DD5">
        <w:rPr>
          <w:rFonts w:asciiTheme="majorBidi" w:hAnsiTheme="majorBidi" w:cstheme="majorBidi"/>
        </w:rPr>
        <w:t>sobre el presupuesto</w:t>
      </w:r>
      <w:r w:rsidR="00C77C75" w:rsidRPr="00433DD5">
        <w:rPr>
          <w:rFonts w:asciiTheme="majorBidi" w:hAnsiTheme="majorBidi" w:cstheme="majorBidi"/>
        </w:rPr>
        <w:t xml:space="preserve"> </w:t>
      </w:r>
      <w:r w:rsidRPr="00433DD5">
        <w:rPr>
          <w:rFonts w:asciiTheme="majorBidi" w:hAnsiTheme="majorBidi" w:cstheme="majorBidi"/>
        </w:rPr>
        <w:t xml:space="preserve">en educación superior y la escasa claridad que se tiene para </w:t>
      </w:r>
      <w:r w:rsidR="001713EF" w:rsidRPr="00433DD5">
        <w:rPr>
          <w:rFonts w:asciiTheme="majorBidi" w:hAnsiTheme="majorBidi" w:cstheme="majorBidi"/>
        </w:rPr>
        <w:t>conciliar</w:t>
      </w:r>
      <w:r w:rsidRPr="00433DD5">
        <w:rPr>
          <w:rFonts w:asciiTheme="majorBidi" w:hAnsiTheme="majorBidi" w:cstheme="majorBidi"/>
        </w:rPr>
        <w:t xml:space="preserve"> los ejercicios de planeación estrat</w:t>
      </w:r>
      <w:r w:rsidR="00B44F92" w:rsidRPr="00433DD5">
        <w:rPr>
          <w:rFonts w:asciiTheme="majorBidi" w:hAnsiTheme="majorBidi" w:cstheme="majorBidi"/>
        </w:rPr>
        <w:t>é</w:t>
      </w:r>
      <w:r w:rsidRPr="00433DD5">
        <w:rPr>
          <w:rFonts w:asciiTheme="majorBidi" w:hAnsiTheme="majorBidi" w:cstheme="majorBidi"/>
        </w:rPr>
        <w:t>gica y participativa</w:t>
      </w:r>
      <w:r w:rsidR="00A11F2B" w:rsidRPr="00433DD5">
        <w:rPr>
          <w:rFonts w:asciiTheme="majorBidi" w:hAnsiTheme="majorBidi" w:cstheme="majorBidi"/>
        </w:rPr>
        <w:t>,</w:t>
      </w:r>
      <w:r w:rsidRPr="00433DD5">
        <w:rPr>
          <w:rFonts w:asciiTheme="majorBidi" w:hAnsiTheme="majorBidi" w:cstheme="majorBidi"/>
        </w:rPr>
        <w:t xml:space="preserve"> que llevaría por un rumbo apropiado a las instituciones</w:t>
      </w:r>
      <w:r w:rsidR="00A11F2B" w:rsidRPr="00433DD5">
        <w:rPr>
          <w:rFonts w:asciiTheme="majorBidi" w:hAnsiTheme="majorBidi" w:cstheme="majorBidi"/>
        </w:rPr>
        <w:t>,</w:t>
      </w:r>
      <w:r w:rsidRPr="00433DD5">
        <w:rPr>
          <w:rFonts w:asciiTheme="majorBidi" w:hAnsiTheme="majorBidi" w:cstheme="majorBidi"/>
        </w:rPr>
        <w:t xml:space="preserve"> y los recursos disponibles para tal fin</w:t>
      </w:r>
      <w:r w:rsidR="007A70C9" w:rsidRPr="00433DD5">
        <w:rPr>
          <w:rFonts w:asciiTheme="majorBidi" w:hAnsiTheme="majorBidi" w:cstheme="majorBidi"/>
        </w:rPr>
        <w:t>,</w:t>
      </w:r>
      <w:r w:rsidRPr="00433DD5">
        <w:rPr>
          <w:rFonts w:asciiTheme="majorBidi" w:hAnsiTheme="majorBidi" w:cstheme="majorBidi"/>
        </w:rPr>
        <w:t xml:space="preserve"> que podrían otorgarse de manera más equitativa y con </w:t>
      </w:r>
      <w:r w:rsidR="00B44F92" w:rsidRPr="00433DD5">
        <w:rPr>
          <w:rFonts w:asciiTheme="majorBidi" w:hAnsiTheme="majorBidi" w:cstheme="majorBidi"/>
        </w:rPr>
        <w:t xml:space="preserve">reglas precisas. </w:t>
      </w:r>
      <w:r w:rsidR="008B5FE6" w:rsidRPr="00433DD5">
        <w:rPr>
          <w:rFonts w:asciiTheme="majorBidi" w:hAnsiTheme="majorBidi" w:cstheme="majorBidi"/>
        </w:rPr>
        <w:t xml:space="preserve">Esta investigación analizó </w:t>
      </w:r>
      <w:r w:rsidR="00A11F2B" w:rsidRPr="00433DD5">
        <w:rPr>
          <w:rFonts w:asciiTheme="majorBidi" w:hAnsiTheme="majorBidi" w:cstheme="majorBidi"/>
        </w:rPr>
        <w:t xml:space="preserve">únicamente </w:t>
      </w:r>
      <w:r w:rsidR="008B5FE6" w:rsidRPr="00433DD5">
        <w:rPr>
          <w:rFonts w:asciiTheme="majorBidi" w:hAnsiTheme="majorBidi" w:cstheme="majorBidi"/>
        </w:rPr>
        <w:t xml:space="preserve">un área de la </w:t>
      </w:r>
      <w:r w:rsidR="00D46282" w:rsidRPr="00433DD5">
        <w:rPr>
          <w:rFonts w:asciiTheme="majorBidi" w:hAnsiTheme="majorBidi" w:cstheme="majorBidi"/>
        </w:rPr>
        <w:t>UV</w:t>
      </w:r>
      <w:r w:rsidR="00EA7908" w:rsidRPr="00433DD5">
        <w:rPr>
          <w:rFonts w:asciiTheme="majorBidi" w:hAnsiTheme="majorBidi" w:cstheme="majorBidi"/>
        </w:rPr>
        <w:t>, sin embargo</w:t>
      </w:r>
      <w:r w:rsidR="00FF24CA" w:rsidRPr="00433DD5">
        <w:rPr>
          <w:rFonts w:asciiTheme="majorBidi" w:hAnsiTheme="majorBidi" w:cstheme="majorBidi"/>
        </w:rPr>
        <w:t>,</w:t>
      </w:r>
      <w:r w:rsidR="008B5FE6" w:rsidRPr="00433DD5">
        <w:rPr>
          <w:rFonts w:asciiTheme="majorBidi" w:hAnsiTheme="majorBidi" w:cstheme="majorBidi"/>
        </w:rPr>
        <w:t xml:space="preserve"> muestra ciertas tendencias </w:t>
      </w:r>
      <w:r w:rsidR="00E82C08" w:rsidRPr="00433DD5">
        <w:rPr>
          <w:rFonts w:asciiTheme="majorBidi" w:hAnsiTheme="majorBidi" w:cstheme="majorBidi"/>
        </w:rPr>
        <w:t xml:space="preserve">que permiten inferir algunas inconsistencias en la asignación de financiamiento </w:t>
      </w:r>
      <w:r w:rsidR="00A13EFE" w:rsidRPr="00433DD5">
        <w:rPr>
          <w:rFonts w:asciiTheme="majorBidi" w:hAnsiTheme="majorBidi" w:cstheme="majorBidi"/>
        </w:rPr>
        <w:t>extern</w:t>
      </w:r>
      <w:r w:rsidR="00B53CF7" w:rsidRPr="00433DD5">
        <w:rPr>
          <w:rFonts w:asciiTheme="majorBidi" w:hAnsiTheme="majorBidi" w:cstheme="majorBidi"/>
        </w:rPr>
        <w:t>o</w:t>
      </w:r>
      <w:r w:rsidR="00FF24CA" w:rsidRPr="00433DD5">
        <w:rPr>
          <w:rFonts w:asciiTheme="majorBidi" w:hAnsiTheme="majorBidi" w:cstheme="majorBidi"/>
        </w:rPr>
        <w:t xml:space="preserve">. Estos </w:t>
      </w:r>
      <w:r w:rsidR="00513993" w:rsidRPr="00433DD5">
        <w:rPr>
          <w:rFonts w:asciiTheme="majorBidi" w:hAnsiTheme="majorBidi" w:cstheme="majorBidi"/>
        </w:rPr>
        <w:t xml:space="preserve">resultados, </w:t>
      </w:r>
      <w:r w:rsidR="00F12C5C" w:rsidRPr="00433DD5">
        <w:rPr>
          <w:rFonts w:asciiTheme="majorBidi" w:hAnsiTheme="majorBidi" w:cstheme="majorBidi"/>
        </w:rPr>
        <w:t>lejos de ser concluyentes</w:t>
      </w:r>
      <w:r w:rsidR="00FF4C6D" w:rsidRPr="00433DD5">
        <w:rPr>
          <w:rFonts w:asciiTheme="majorBidi" w:hAnsiTheme="majorBidi" w:cstheme="majorBidi"/>
        </w:rPr>
        <w:t>,</w:t>
      </w:r>
      <w:r w:rsidR="00F12C5C" w:rsidRPr="00433DD5">
        <w:rPr>
          <w:rFonts w:asciiTheme="majorBidi" w:hAnsiTheme="majorBidi" w:cstheme="majorBidi"/>
        </w:rPr>
        <w:t xml:space="preserve"> </w:t>
      </w:r>
      <w:r w:rsidR="00FF4C6D" w:rsidRPr="00433DD5">
        <w:rPr>
          <w:rFonts w:asciiTheme="majorBidi" w:hAnsiTheme="majorBidi" w:cstheme="majorBidi"/>
        </w:rPr>
        <w:t>s</w:t>
      </w:r>
      <w:r w:rsidR="00D00773" w:rsidRPr="00433DD5">
        <w:rPr>
          <w:rFonts w:asciiTheme="majorBidi" w:hAnsiTheme="majorBidi" w:cstheme="majorBidi"/>
        </w:rPr>
        <w:t>o</w:t>
      </w:r>
      <w:r w:rsidR="00FF4C6D" w:rsidRPr="00433DD5">
        <w:rPr>
          <w:rFonts w:asciiTheme="majorBidi" w:hAnsiTheme="majorBidi" w:cstheme="majorBidi"/>
        </w:rPr>
        <w:t xml:space="preserve">lo </w:t>
      </w:r>
      <w:r w:rsidR="00F12C5C" w:rsidRPr="00433DD5">
        <w:rPr>
          <w:rFonts w:asciiTheme="majorBidi" w:hAnsiTheme="majorBidi" w:cstheme="majorBidi"/>
        </w:rPr>
        <w:t xml:space="preserve">aportan elementos para el análisis y la reflexión sobre las </w:t>
      </w:r>
      <w:r w:rsidR="008343A7" w:rsidRPr="00433DD5">
        <w:rPr>
          <w:rFonts w:asciiTheme="majorBidi" w:hAnsiTheme="majorBidi" w:cstheme="majorBidi"/>
        </w:rPr>
        <w:t>formas en que las universidades han emprendido proyectos de planeación y evaluación ligad</w:t>
      </w:r>
      <w:r w:rsidR="00A11F2B" w:rsidRPr="00433DD5">
        <w:rPr>
          <w:rFonts w:asciiTheme="majorBidi" w:hAnsiTheme="majorBidi" w:cstheme="majorBidi"/>
        </w:rPr>
        <w:t>os</w:t>
      </w:r>
      <w:r w:rsidR="008343A7" w:rsidRPr="00433DD5">
        <w:rPr>
          <w:rFonts w:asciiTheme="majorBidi" w:hAnsiTheme="majorBidi" w:cstheme="majorBidi"/>
        </w:rPr>
        <w:t xml:space="preserve"> al fina</w:t>
      </w:r>
      <w:r w:rsidR="0012046E" w:rsidRPr="00433DD5">
        <w:rPr>
          <w:rFonts w:asciiTheme="majorBidi" w:hAnsiTheme="majorBidi" w:cstheme="majorBidi"/>
        </w:rPr>
        <w:t>n</w:t>
      </w:r>
      <w:r w:rsidR="008343A7" w:rsidRPr="00433DD5">
        <w:rPr>
          <w:rFonts w:asciiTheme="majorBidi" w:hAnsiTheme="majorBidi" w:cstheme="majorBidi"/>
        </w:rPr>
        <w:t>ciamiento establecido desde el aparato gubernamental.</w:t>
      </w:r>
      <w:r w:rsidRPr="00433DD5">
        <w:rPr>
          <w:rFonts w:asciiTheme="majorBidi" w:hAnsiTheme="majorBidi" w:cstheme="majorBidi"/>
        </w:rPr>
        <w:t xml:space="preserve"> </w:t>
      </w:r>
      <w:r w:rsidR="008343A7" w:rsidRPr="00433DD5">
        <w:rPr>
          <w:rFonts w:asciiTheme="majorBidi" w:hAnsiTheme="majorBidi" w:cstheme="majorBidi"/>
        </w:rPr>
        <w:t xml:space="preserve">Ello genera ciertas controversias y tensiones </w:t>
      </w:r>
      <w:r w:rsidR="00230382" w:rsidRPr="00433DD5">
        <w:rPr>
          <w:rFonts w:asciiTheme="majorBidi" w:hAnsiTheme="majorBidi" w:cstheme="majorBidi"/>
        </w:rPr>
        <w:t>al interior de</w:t>
      </w:r>
      <w:r w:rsidR="008343A7" w:rsidRPr="00433DD5">
        <w:rPr>
          <w:rFonts w:asciiTheme="majorBidi" w:hAnsiTheme="majorBidi" w:cstheme="majorBidi"/>
        </w:rPr>
        <w:t xml:space="preserve"> las </w:t>
      </w:r>
      <w:r w:rsidR="00FF24CA" w:rsidRPr="00433DD5">
        <w:rPr>
          <w:rFonts w:asciiTheme="majorBidi" w:hAnsiTheme="majorBidi" w:cstheme="majorBidi"/>
        </w:rPr>
        <w:t xml:space="preserve">universidades </w:t>
      </w:r>
      <w:r w:rsidR="00230382" w:rsidRPr="00433DD5">
        <w:rPr>
          <w:rFonts w:asciiTheme="majorBidi" w:hAnsiTheme="majorBidi" w:cstheme="majorBidi"/>
        </w:rPr>
        <w:t xml:space="preserve">y con el propio </w:t>
      </w:r>
      <w:r w:rsidR="00FF24CA" w:rsidRPr="00433DD5">
        <w:rPr>
          <w:rFonts w:asciiTheme="majorBidi" w:hAnsiTheme="majorBidi" w:cstheme="majorBidi"/>
        </w:rPr>
        <w:t>Gobierno</w:t>
      </w:r>
      <w:r w:rsidR="00283BEB" w:rsidRPr="00433DD5">
        <w:rPr>
          <w:rFonts w:asciiTheme="majorBidi" w:hAnsiTheme="majorBidi" w:cstheme="majorBidi"/>
        </w:rPr>
        <w:t>,</w:t>
      </w:r>
      <w:r w:rsidR="00230382" w:rsidRPr="00433DD5">
        <w:rPr>
          <w:rFonts w:asciiTheme="majorBidi" w:hAnsiTheme="majorBidi" w:cstheme="majorBidi"/>
        </w:rPr>
        <w:t xml:space="preserve"> </w:t>
      </w:r>
      <w:r w:rsidR="00B44F92" w:rsidRPr="00433DD5">
        <w:rPr>
          <w:rFonts w:asciiTheme="majorBidi" w:hAnsiTheme="majorBidi" w:cstheme="majorBidi"/>
        </w:rPr>
        <w:t>al no existir patrones puntuales sobre la distribución de los recursos.</w:t>
      </w:r>
    </w:p>
    <w:p w14:paraId="73E092A1" w14:textId="6C04A704" w:rsidR="00B026F8" w:rsidRPr="00433DD5" w:rsidRDefault="00AC161D" w:rsidP="001A0378">
      <w:pPr>
        <w:autoSpaceDE w:val="0"/>
        <w:autoSpaceDN w:val="0"/>
        <w:adjustRightInd w:val="0"/>
        <w:spacing w:line="360" w:lineRule="auto"/>
        <w:jc w:val="both"/>
        <w:rPr>
          <w:rFonts w:asciiTheme="majorBidi" w:hAnsiTheme="majorBidi" w:cstheme="majorBidi"/>
        </w:rPr>
      </w:pPr>
      <w:r w:rsidRPr="00433DD5">
        <w:rPr>
          <w:rFonts w:asciiTheme="majorBidi" w:hAnsiTheme="majorBidi" w:cstheme="majorBidi"/>
        </w:rPr>
        <w:lastRenderedPageBreak/>
        <w:tab/>
      </w:r>
      <w:r w:rsidR="00230382" w:rsidRPr="00433DD5">
        <w:rPr>
          <w:rFonts w:asciiTheme="majorBidi" w:hAnsiTheme="majorBidi" w:cstheme="majorBidi"/>
        </w:rPr>
        <w:t xml:space="preserve">En este contexto, es necesario </w:t>
      </w:r>
      <w:r w:rsidR="00DF0B07" w:rsidRPr="00433DD5">
        <w:rPr>
          <w:rFonts w:asciiTheme="majorBidi" w:hAnsiTheme="majorBidi" w:cstheme="majorBidi"/>
        </w:rPr>
        <w:t xml:space="preserve">ampliar las investigaciones </w:t>
      </w:r>
      <w:r w:rsidR="00EE2014" w:rsidRPr="00433DD5">
        <w:rPr>
          <w:rFonts w:asciiTheme="majorBidi" w:hAnsiTheme="majorBidi" w:cstheme="majorBidi"/>
        </w:rPr>
        <w:t xml:space="preserve">que profundicen en la calidad de la </w:t>
      </w:r>
      <w:r w:rsidR="00FF24CA" w:rsidRPr="00433DD5">
        <w:rPr>
          <w:rFonts w:asciiTheme="majorBidi" w:hAnsiTheme="majorBidi" w:cstheme="majorBidi"/>
        </w:rPr>
        <w:t>educación superior</w:t>
      </w:r>
      <w:r w:rsidR="00EE2014" w:rsidRPr="00433DD5">
        <w:rPr>
          <w:rFonts w:asciiTheme="majorBidi" w:hAnsiTheme="majorBidi" w:cstheme="majorBidi"/>
        </w:rPr>
        <w:t>, en los procesos de planeación estratégica</w:t>
      </w:r>
      <w:r w:rsidR="00200C04" w:rsidRPr="00433DD5">
        <w:rPr>
          <w:rFonts w:asciiTheme="majorBidi" w:hAnsiTheme="majorBidi" w:cstheme="majorBidi"/>
        </w:rPr>
        <w:t xml:space="preserve"> y de gestión</w:t>
      </w:r>
      <w:r w:rsidR="00164947" w:rsidRPr="00433DD5">
        <w:rPr>
          <w:rFonts w:asciiTheme="majorBidi" w:hAnsiTheme="majorBidi" w:cstheme="majorBidi"/>
        </w:rPr>
        <w:t xml:space="preserve">, </w:t>
      </w:r>
      <w:r w:rsidR="00EE2014" w:rsidRPr="00433DD5">
        <w:rPr>
          <w:rFonts w:asciiTheme="majorBidi" w:hAnsiTheme="majorBidi" w:cstheme="majorBidi"/>
        </w:rPr>
        <w:t>su correspondencia con la consecu</w:t>
      </w:r>
      <w:r w:rsidR="00741579" w:rsidRPr="00433DD5">
        <w:rPr>
          <w:rFonts w:asciiTheme="majorBidi" w:hAnsiTheme="majorBidi" w:cstheme="majorBidi"/>
        </w:rPr>
        <w:t>c</w:t>
      </w:r>
      <w:r w:rsidR="00EE2014" w:rsidRPr="00433DD5">
        <w:rPr>
          <w:rFonts w:asciiTheme="majorBidi" w:hAnsiTheme="majorBidi" w:cstheme="majorBidi"/>
        </w:rPr>
        <w:t>ión de recursos extraordinarios y los procesos de transparencia y rendici</w:t>
      </w:r>
      <w:r w:rsidR="00164947" w:rsidRPr="00433DD5">
        <w:rPr>
          <w:rFonts w:asciiTheme="majorBidi" w:hAnsiTheme="majorBidi" w:cstheme="majorBidi"/>
        </w:rPr>
        <w:t>ó</w:t>
      </w:r>
      <w:r w:rsidR="00EE2014" w:rsidRPr="00433DD5">
        <w:rPr>
          <w:rFonts w:asciiTheme="majorBidi" w:hAnsiTheme="majorBidi" w:cstheme="majorBidi"/>
        </w:rPr>
        <w:t>n de cuentas</w:t>
      </w:r>
      <w:r w:rsidR="00200C04" w:rsidRPr="00433DD5">
        <w:rPr>
          <w:rFonts w:asciiTheme="majorBidi" w:hAnsiTheme="majorBidi" w:cstheme="majorBidi"/>
        </w:rPr>
        <w:t xml:space="preserve">. </w:t>
      </w:r>
      <w:r w:rsidR="00B026F8" w:rsidRPr="00433DD5">
        <w:rPr>
          <w:rFonts w:asciiTheme="majorBidi" w:hAnsiTheme="majorBidi" w:cstheme="majorBidi"/>
        </w:rPr>
        <w:t xml:space="preserve">Sería razonable que las </w:t>
      </w:r>
      <w:r w:rsidR="00FF24CA" w:rsidRPr="00433DD5">
        <w:rPr>
          <w:rFonts w:asciiTheme="majorBidi" w:hAnsiTheme="majorBidi" w:cstheme="majorBidi"/>
        </w:rPr>
        <w:t xml:space="preserve">universidades </w:t>
      </w:r>
      <w:r w:rsidR="00B026F8" w:rsidRPr="00433DD5">
        <w:rPr>
          <w:rFonts w:asciiTheme="majorBidi" w:hAnsiTheme="majorBidi" w:cstheme="majorBidi"/>
        </w:rPr>
        <w:t>profundizaran en investigaciones referidas a la forma en cómo desarrollan su quehacer académico, la asignación de recursos extraordinarios y el impacto tanto en la mejora de sus procesos administrativos y de gestión, así como en la formación de los estudiantes. De la misma manera, desde las instancias encargadas de la asignación de recursos presupuestales para la educación superior,</w:t>
      </w:r>
      <w:r w:rsidR="00C77C75" w:rsidRPr="00433DD5">
        <w:rPr>
          <w:rFonts w:asciiTheme="majorBidi" w:hAnsiTheme="majorBidi" w:cstheme="majorBidi"/>
        </w:rPr>
        <w:t xml:space="preserve"> </w:t>
      </w:r>
      <w:r w:rsidR="00B026F8" w:rsidRPr="00433DD5">
        <w:rPr>
          <w:rFonts w:asciiTheme="majorBidi" w:hAnsiTheme="majorBidi" w:cstheme="majorBidi"/>
        </w:rPr>
        <w:t xml:space="preserve">emprender ejercicios de investigación y reflexión para la definición de criterios equitativos basados en análisis sustentados que propicien el fortalecimiento de las </w:t>
      </w:r>
      <w:r w:rsidR="00FF24CA" w:rsidRPr="00433DD5">
        <w:rPr>
          <w:rFonts w:asciiTheme="majorBidi" w:hAnsiTheme="majorBidi" w:cstheme="majorBidi"/>
        </w:rPr>
        <w:t>IES</w:t>
      </w:r>
      <w:r w:rsidR="00B026F8" w:rsidRPr="00433DD5">
        <w:rPr>
          <w:rFonts w:asciiTheme="majorBidi" w:hAnsiTheme="majorBidi" w:cstheme="majorBidi"/>
        </w:rPr>
        <w:t>.</w:t>
      </w:r>
    </w:p>
    <w:p w14:paraId="7B3309B3" w14:textId="09111D9A" w:rsidR="00230382" w:rsidRPr="00433DD5" w:rsidRDefault="00230382" w:rsidP="001A0378">
      <w:pPr>
        <w:autoSpaceDE w:val="0"/>
        <w:autoSpaceDN w:val="0"/>
        <w:adjustRightInd w:val="0"/>
        <w:spacing w:line="360" w:lineRule="auto"/>
        <w:jc w:val="both"/>
        <w:rPr>
          <w:rFonts w:asciiTheme="majorBidi" w:hAnsiTheme="majorBidi" w:cstheme="majorBidi"/>
        </w:rPr>
      </w:pPr>
    </w:p>
    <w:p w14:paraId="6CE76CFC" w14:textId="71FDA30C" w:rsidR="002419E1" w:rsidRPr="00433DD5" w:rsidRDefault="001D7EB6" w:rsidP="001A0378">
      <w:pPr>
        <w:spacing w:line="360" w:lineRule="auto"/>
        <w:rPr>
          <w:rFonts w:asciiTheme="minorHAnsi" w:hAnsiTheme="minorHAnsi" w:cstheme="minorHAnsi"/>
          <w:b/>
          <w:sz w:val="22"/>
          <w:szCs w:val="22"/>
        </w:rPr>
      </w:pPr>
      <w:r w:rsidRPr="00433DD5">
        <w:rPr>
          <w:rFonts w:asciiTheme="minorHAnsi" w:hAnsiTheme="minorHAnsi" w:cstheme="minorHAnsi"/>
          <w:b/>
          <w:sz w:val="28"/>
          <w:szCs w:val="28"/>
        </w:rPr>
        <w:t>R</w:t>
      </w:r>
      <w:r w:rsidR="00715DA4" w:rsidRPr="00433DD5">
        <w:rPr>
          <w:rFonts w:asciiTheme="minorHAnsi" w:hAnsiTheme="minorHAnsi" w:cstheme="minorHAnsi"/>
          <w:b/>
          <w:sz w:val="28"/>
          <w:szCs w:val="28"/>
        </w:rPr>
        <w:t xml:space="preserve">eferencias </w:t>
      </w:r>
    </w:p>
    <w:p w14:paraId="5DC6AF22" w14:textId="77777777" w:rsidR="003011E4" w:rsidRPr="00433DD5" w:rsidRDefault="003011E4" w:rsidP="003011E4">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t xml:space="preserve">Asamblea General. (21 de octubre de 2015). </w:t>
      </w:r>
      <w:r w:rsidRPr="00433DD5">
        <w:rPr>
          <w:rFonts w:ascii="Times New Roman" w:hAnsi="Times New Roman"/>
          <w:iCs/>
          <w:sz w:val="24"/>
          <w:szCs w:val="24"/>
        </w:rPr>
        <w:t>Transformar nuestro mundo: la Agenda 2030 para el Desarrollo Sostenible</w:t>
      </w:r>
      <w:r w:rsidRPr="00433DD5">
        <w:rPr>
          <w:rFonts w:ascii="Times New Roman" w:hAnsi="Times New Roman"/>
          <w:i/>
          <w:sz w:val="24"/>
          <w:szCs w:val="24"/>
        </w:rPr>
        <w:t>.</w:t>
      </w:r>
      <w:r w:rsidRPr="00433DD5">
        <w:rPr>
          <w:rFonts w:ascii="Times New Roman" w:hAnsi="Times New Roman"/>
          <w:sz w:val="24"/>
          <w:szCs w:val="24"/>
        </w:rPr>
        <w:t xml:space="preserve"> Recuperado de https://unctad.org/system/files/official-document/ares70d1_es.pdf.</w:t>
      </w:r>
    </w:p>
    <w:p w14:paraId="5C4C75A7" w14:textId="4AF85BC7" w:rsidR="00E935AF" w:rsidRPr="00433DD5" w:rsidRDefault="00E935AF" w:rsidP="00A31D6E">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t>Comas, O., Fresán, M., Buendía, A.</w:t>
      </w:r>
      <w:r w:rsidR="0029253D" w:rsidRPr="00433DD5">
        <w:rPr>
          <w:rFonts w:ascii="Times New Roman" w:hAnsi="Times New Roman"/>
          <w:sz w:val="24"/>
          <w:szCs w:val="24"/>
        </w:rPr>
        <w:t xml:space="preserve"> y </w:t>
      </w:r>
      <w:r w:rsidRPr="00433DD5">
        <w:rPr>
          <w:rFonts w:ascii="Times New Roman" w:hAnsi="Times New Roman"/>
          <w:sz w:val="24"/>
          <w:szCs w:val="24"/>
        </w:rPr>
        <w:t xml:space="preserve">Gómez, I. (2014). El PIFI en las universidades públicas: de la decisión racional a la legitimidad institucional. </w:t>
      </w:r>
      <w:r w:rsidRPr="00433DD5">
        <w:rPr>
          <w:rFonts w:ascii="Times New Roman" w:hAnsi="Times New Roman"/>
          <w:i/>
          <w:iCs/>
          <w:sz w:val="24"/>
          <w:szCs w:val="24"/>
        </w:rPr>
        <w:t xml:space="preserve">Revista de la </w:t>
      </w:r>
      <w:r w:rsidR="00BA2A51" w:rsidRPr="00433DD5">
        <w:rPr>
          <w:rFonts w:ascii="Times New Roman" w:hAnsi="Times New Roman"/>
          <w:i/>
          <w:iCs/>
          <w:sz w:val="24"/>
          <w:szCs w:val="24"/>
        </w:rPr>
        <w:t>Educación Superior</w:t>
      </w:r>
      <w:r w:rsidR="008B555E" w:rsidRPr="00433DD5">
        <w:rPr>
          <w:rFonts w:ascii="Times New Roman" w:hAnsi="Times New Roman"/>
          <w:i/>
          <w:iCs/>
          <w:sz w:val="24"/>
          <w:szCs w:val="24"/>
        </w:rPr>
        <w:t>,</w:t>
      </w:r>
      <w:r w:rsidRPr="00433DD5">
        <w:rPr>
          <w:rFonts w:ascii="Times New Roman" w:hAnsi="Times New Roman"/>
          <w:i/>
          <w:iCs/>
          <w:sz w:val="24"/>
          <w:szCs w:val="24"/>
        </w:rPr>
        <w:t xml:space="preserve"> </w:t>
      </w:r>
      <w:r w:rsidRPr="00433DD5">
        <w:rPr>
          <w:rFonts w:ascii="Times New Roman" w:hAnsi="Times New Roman"/>
          <w:i/>
          <w:sz w:val="24"/>
          <w:szCs w:val="24"/>
        </w:rPr>
        <w:t>43</w:t>
      </w:r>
      <w:r w:rsidRPr="00433DD5">
        <w:rPr>
          <w:rFonts w:ascii="Times New Roman" w:hAnsi="Times New Roman"/>
          <w:sz w:val="24"/>
          <w:szCs w:val="24"/>
        </w:rPr>
        <w:t>(169), 47</w:t>
      </w:r>
      <w:r w:rsidR="00FB6A96" w:rsidRPr="00433DD5">
        <w:rPr>
          <w:rFonts w:ascii="Times New Roman" w:hAnsi="Times New Roman"/>
          <w:sz w:val="24"/>
          <w:szCs w:val="24"/>
        </w:rPr>
        <w:t>-</w:t>
      </w:r>
      <w:r w:rsidRPr="00433DD5">
        <w:rPr>
          <w:rFonts w:ascii="Times New Roman" w:hAnsi="Times New Roman"/>
          <w:sz w:val="24"/>
          <w:szCs w:val="24"/>
        </w:rPr>
        <w:t xml:space="preserve">67. </w:t>
      </w:r>
    </w:p>
    <w:p w14:paraId="054D024D" w14:textId="227287CD" w:rsidR="00222A75" w:rsidRPr="00433DD5" w:rsidRDefault="00FB6A96" w:rsidP="00A31D6E">
      <w:pPr>
        <w:pStyle w:val="NormalWeb"/>
        <w:spacing w:before="0" w:beforeAutospacing="0" w:after="0" w:afterAutospacing="0" w:line="360" w:lineRule="auto"/>
        <w:ind w:left="709" w:hanging="709"/>
        <w:jc w:val="both"/>
      </w:pPr>
      <w:r w:rsidRPr="00433DD5">
        <w:t>Díaz, A. (2008). El Programa Integral de Fortalecimiento Institucional (PIFI) y su impacto en la dinámica de las instituciones de educación superior. En Díaz, A. (</w:t>
      </w:r>
      <w:r w:rsidR="00FF24CA" w:rsidRPr="00433DD5">
        <w:t>coord</w:t>
      </w:r>
      <w:r w:rsidRPr="00433DD5">
        <w:t xml:space="preserve">.) </w:t>
      </w:r>
      <w:r w:rsidRPr="00433DD5">
        <w:rPr>
          <w:i/>
          <w:iCs/>
        </w:rPr>
        <w:t xml:space="preserve">Impacto de la evaluación en la educación superior mexicana. Un estudio en las universidades públicas estatales </w:t>
      </w:r>
      <w:r w:rsidRPr="00433DD5">
        <w:rPr>
          <w:iCs/>
        </w:rPr>
        <w:t>(pp. 39-128)</w:t>
      </w:r>
      <w:r w:rsidRPr="00433DD5">
        <w:rPr>
          <w:i/>
          <w:iCs/>
        </w:rPr>
        <w:t xml:space="preserve">. </w:t>
      </w:r>
      <w:r w:rsidR="00FF24CA" w:rsidRPr="00433DD5">
        <w:t xml:space="preserve">México: </w:t>
      </w:r>
      <w:r w:rsidR="00A615F2" w:rsidRPr="00433DD5">
        <w:t>Instituto de Investigaciones sobre la Universidad y la Educación</w:t>
      </w:r>
      <w:r w:rsidRPr="00433DD5">
        <w:t xml:space="preserve">, </w:t>
      </w:r>
      <w:r w:rsidR="00A615F2" w:rsidRPr="00433DD5">
        <w:t>Universidad Nacional Autónoma de México</w:t>
      </w:r>
      <w:r w:rsidRPr="00433DD5">
        <w:t xml:space="preserve">. </w:t>
      </w:r>
    </w:p>
    <w:p w14:paraId="1676B351" w14:textId="518A22AF" w:rsidR="0090089E" w:rsidRPr="00433DD5" w:rsidRDefault="00FB6A96" w:rsidP="00A31D6E">
      <w:pPr>
        <w:pStyle w:val="Textonotapie"/>
        <w:adjustRightInd w:val="0"/>
        <w:spacing w:line="360" w:lineRule="auto"/>
        <w:ind w:left="709" w:hanging="709"/>
        <w:jc w:val="both"/>
        <w:rPr>
          <w:rStyle w:val="Hipervnculo"/>
          <w:rFonts w:ascii="Times New Roman" w:hAnsi="Times New Roman"/>
          <w:color w:val="auto"/>
          <w:sz w:val="24"/>
          <w:szCs w:val="24"/>
          <w:u w:val="none"/>
          <w:lang w:val="es-ES_tradnl"/>
        </w:rPr>
      </w:pPr>
      <w:r w:rsidRPr="00433DD5">
        <w:rPr>
          <w:rStyle w:val="Hipervnculo"/>
          <w:rFonts w:ascii="Times New Roman" w:hAnsi="Times New Roman"/>
          <w:color w:val="auto"/>
          <w:sz w:val="24"/>
          <w:szCs w:val="24"/>
          <w:u w:val="none"/>
          <w:lang w:val="es-ES_tradnl"/>
        </w:rPr>
        <w:t xml:space="preserve">Díaz, C. (2018). Investigación cualitativa y análisis de contenido temático. Orientación intelectual de revista Universum. </w:t>
      </w:r>
      <w:r w:rsidRPr="00433DD5">
        <w:rPr>
          <w:rStyle w:val="Hipervnculo"/>
          <w:rFonts w:ascii="Times New Roman" w:hAnsi="Times New Roman"/>
          <w:i/>
          <w:color w:val="auto"/>
          <w:sz w:val="24"/>
          <w:szCs w:val="24"/>
          <w:u w:val="none"/>
          <w:lang w:val="es-ES_tradnl"/>
        </w:rPr>
        <w:t>Revista General de Información y Documentación, 28</w:t>
      </w:r>
      <w:r w:rsidRPr="00433DD5">
        <w:rPr>
          <w:rStyle w:val="Hipervnculo"/>
          <w:rFonts w:ascii="Times New Roman" w:hAnsi="Times New Roman"/>
          <w:color w:val="auto"/>
          <w:sz w:val="24"/>
          <w:szCs w:val="24"/>
          <w:u w:val="none"/>
          <w:lang w:val="es-ES_tradnl"/>
        </w:rPr>
        <w:t xml:space="preserve">(1), 119-142. </w:t>
      </w:r>
    </w:p>
    <w:p w14:paraId="2BC04533" w14:textId="72B8FEA3" w:rsidR="00DD5FDD" w:rsidRPr="00433DD5" w:rsidRDefault="005A7A2B" w:rsidP="008D6E43">
      <w:pPr>
        <w:adjustRightInd w:val="0"/>
        <w:spacing w:line="360" w:lineRule="auto"/>
        <w:ind w:left="709" w:hanging="709"/>
        <w:jc w:val="both"/>
        <w:rPr>
          <w:rFonts w:asciiTheme="majorBidi" w:hAnsiTheme="majorBidi" w:cstheme="majorBidi"/>
        </w:rPr>
      </w:pPr>
      <w:r w:rsidRPr="00433DD5">
        <w:rPr>
          <w:rFonts w:asciiTheme="majorBidi" w:hAnsiTheme="majorBidi" w:cstheme="majorBidi"/>
        </w:rPr>
        <w:t xml:space="preserve">Fuentes, C. (2021). </w:t>
      </w:r>
      <w:r w:rsidR="0096051E" w:rsidRPr="00433DD5">
        <w:rPr>
          <w:rFonts w:asciiTheme="majorBidi" w:hAnsiTheme="majorBidi" w:cstheme="majorBidi"/>
        </w:rPr>
        <w:t>Financiamiento de la educación superior: el panorama mexicano</w:t>
      </w:r>
      <w:r w:rsidRPr="00433DD5">
        <w:rPr>
          <w:rFonts w:asciiTheme="majorBidi" w:hAnsiTheme="majorBidi" w:cstheme="majorBidi"/>
        </w:rPr>
        <w:t xml:space="preserve">. </w:t>
      </w:r>
      <w:r w:rsidRPr="00433DD5">
        <w:rPr>
          <w:rFonts w:asciiTheme="majorBidi" w:hAnsiTheme="majorBidi" w:cstheme="majorBidi"/>
          <w:i/>
          <w:iCs/>
        </w:rPr>
        <w:t>Revista Digital Universitaria, 22</w:t>
      </w:r>
      <w:r w:rsidRPr="00433DD5">
        <w:rPr>
          <w:rFonts w:asciiTheme="majorBidi" w:hAnsiTheme="majorBidi" w:cstheme="majorBidi"/>
        </w:rPr>
        <w:t>(5), 1-10.</w:t>
      </w:r>
      <w:r w:rsidR="008D6E43" w:rsidRPr="00433DD5">
        <w:rPr>
          <w:rFonts w:asciiTheme="majorBidi" w:hAnsiTheme="majorBidi" w:cstheme="majorBidi"/>
        </w:rPr>
        <w:t xml:space="preserve"> Recuperado de </w:t>
      </w:r>
      <w:hyperlink r:id="rId14" w:history="1">
        <w:r w:rsidR="00971753" w:rsidRPr="00433DD5">
          <w:rPr>
            <w:rStyle w:val="Hipervnculo"/>
            <w:rFonts w:asciiTheme="majorBidi" w:hAnsiTheme="majorBidi" w:cstheme="majorBidi"/>
            <w:color w:val="auto"/>
          </w:rPr>
          <w:t>http://doi.org/10.22201/cuaieed.16076079e.2021.22.5.10</w:t>
        </w:r>
      </w:hyperlink>
      <w:r w:rsidR="008D6E43" w:rsidRPr="00433DD5">
        <w:rPr>
          <w:rFonts w:asciiTheme="majorBidi" w:hAnsiTheme="majorBidi" w:cstheme="majorBidi"/>
        </w:rPr>
        <w:t>.</w:t>
      </w:r>
    </w:p>
    <w:p w14:paraId="562C255E" w14:textId="32621239" w:rsidR="00971753" w:rsidRPr="00433DD5" w:rsidRDefault="00971753" w:rsidP="00A31D6E">
      <w:pPr>
        <w:adjustRightInd w:val="0"/>
        <w:spacing w:line="360" w:lineRule="auto"/>
        <w:ind w:left="709" w:hanging="709"/>
        <w:jc w:val="both"/>
      </w:pPr>
      <w:r w:rsidRPr="00433DD5">
        <w:rPr>
          <w:lang w:eastAsia="es-MX"/>
        </w:rPr>
        <w:t>Hernández, R., Fernández, C</w:t>
      </w:r>
      <w:r w:rsidR="00FB2BEF" w:rsidRPr="00433DD5">
        <w:rPr>
          <w:lang w:eastAsia="es-MX"/>
        </w:rPr>
        <w:t>.</w:t>
      </w:r>
      <w:r w:rsidRPr="00433DD5">
        <w:rPr>
          <w:lang w:eastAsia="es-MX"/>
        </w:rPr>
        <w:t xml:space="preserve"> y Baptista, P. (2014). Selección de la muestra. En </w:t>
      </w:r>
      <w:r w:rsidRPr="00433DD5">
        <w:rPr>
          <w:i/>
          <w:lang w:eastAsia="es-MX"/>
        </w:rPr>
        <w:t xml:space="preserve">Metodología de la investigación </w:t>
      </w:r>
      <w:r w:rsidR="006D1B3B" w:rsidRPr="00433DD5">
        <w:rPr>
          <w:lang w:eastAsia="es-MX"/>
        </w:rPr>
        <w:t>(</w:t>
      </w:r>
      <w:r w:rsidR="00D4396B" w:rsidRPr="00433DD5">
        <w:rPr>
          <w:lang w:eastAsia="es-MX"/>
        </w:rPr>
        <w:t>6.</w:t>
      </w:r>
      <w:r w:rsidR="00D4396B" w:rsidRPr="00433DD5">
        <w:rPr>
          <w:vertAlign w:val="superscript"/>
          <w:lang w:eastAsia="es-MX"/>
        </w:rPr>
        <w:t>a</w:t>
      </w:r>
      <w:r w:rsidR="00D4396B" w:rsidRPr="00433DD5">
        <w:rPr>
          <w:lang w:eastAsia="es-MX"/>
        </w:rPr>
        <w:t xml:space="preserve"> </w:t>
      </w:r>
      <w:r w:rsidR="006D1B3B" w:rsidRPr="00433DD5">
        <w:rPr>
          <w:lang w:eastAsia="es-MX"/>
        </w:rPr>
        <w:t>ed.</w:t>
      </w:r>
      <w:r w:rsidR="00FB2BEF" w:rsidRPr="00433DD5">
        <w:rPr>
          <w:lang w:eastAsia="es-MX"/>
        </w:rPr>
        <w:t>) (</w:t>
      </w:r>
      <w:r w:rsidR="006D1B3B" w:rsidRPr="00433DD5">
        <w:rPr>
          <w:lang w:eastAsia="es-MX"/>
        </w:rPr>
        <w:t xml:space="preserve">pp. 170-191). </w:t>
      </w:r>
      <w:r w:rsidR="00D4396B" w:rsidRPr="00433DD5">
        <w:rPr>
          <w:lang w:eastAsia="es-MX"/>
        </w:rPr>
        <w:t xml:space="preserve">México: </w:t>
      </w:r>
      <w:r w:rsidR="006D1B3B" w:rsidRPr="00433DD5">
        <w:rPr>
          <w:lang w:eastAsia="es-MX"/>
        </w:rPr>
        <w:t xml:space="preserve">McGraw-Hill. </w:t>
      </w:r>
    </w:p>
    <w:p w14:paraId="1F571FB3" w14:textId="3A26F44E" w:rsidR="00DD5FDD" w:rsidRPr="00433DD5" w:rsidRDefault="00DD5FDD" w:rsidP="00A31D6E">
      <w:pPr>
        <w:adjustRightInd w:val="0"/>
        <w:spacing w:line="360" w:lineRule="auto"/>
        <w:ind w:left="709" w:hanging="709"/>
        <w:jc w:val="both"/>
      </w:pPr>
      <w:r w:rsidRPr="00433DD5">
        <w:lastRenderedPageBreak/>
        <w:t xml:space="preserve">Hernanz, J. y Fabre, D. (2017). </w:t>
      </w:r>
      <w:r w:rsidRPr="00433DD5">
        <w:rPr>
          <w:i/>
        </w:rPr>
        <w:t xml:space="preserve">Ciencia, tecnología, sociedad en </w:t>
      </w:r>
      <w:r w:rsidR="00D46282" w:rsidRPr="00433DD5">
        <w:rPr>
          <w:i/>
        </w:rPr>
        <w:t>instituciones de educación superior me</w:t>
      </w:r>
      <w:r w:rsidRPr="00433DD5">
        <w:rPr>
          <w:i/>
        </w:rPr>
        <w:t>xicanas: conceptos, debates, innovación social</w:t>
      </w:r>
      <w:r w:rsidR="00FD5D29" w:rsidRPr="00433DD5">
        <w:t xml:space="preserve">. </w:t>
      </w:r>
      <w:r w:rsidR="00D46282" w:rsidRPr="00433DD5">
        <w:t xml:space="preserve">México: </w:t>
      </w:r>
      <w:r w:rsidRPr="00433DD5">
        <w:t xml:space="preserve">Universidad Veracruzana. </w:t>
      </w:r>
    </w:p>
    <w:p w14:paraId="0C58D3C7" w14:textId="1A8603D1" w:rsidR="005A7A2B" w:rsidRPr="00433DD5" w:rsidRDefault="005A7A2B" w:rsidP="00A31D6E">
      <w:pPr>
        <w:adjustRightInd w:val="0"/>
        <w:spacing w:line="360" w:lineRule="auto"/>
        <w:ind w:left="709" w:hanging="709"/>
        <w:jc w:val="both"/>
        <w:rPr>
          <w:rFonts w:asciiTheme="majorBidi" w:hAnsiTheme="majorBidi" w:cstheme="majorBidi"/>
        </w:rPr>
      </w:pPr>
      <w:r w:rsidRPr="00433DD5">
        <w:rPr>
          <w:rFonts w:asciiTheme="majorBidi" w:hAnsiTheme="majorBidi" w:cstheme="majorBidi"/>
        </w:rPr>
        <w:t xml:space="preserve">Licandro, O. y Yepes, S. (2018). La educación </w:t>
      </w:r>
      <w:r w:rsidR="005564BA" w:rsidRPr="00433DD5">
        <w:rPr>
          <w:rFonts w:asciiTheme="majorBidi" w:hAnsiTheme="majorBidi" w:cstheme="majorBidi"/>
        </w:rPr>
        <w:t>s</w:t>
      </w:r>
      <w:r w:rsidRPr="00433DD5">
        <w:rPr>
          <w:rFonts w:asciiTheme="majorBidi" w:hAnsiTheme="majorBidi" w:cstheme="majorBidi"/>
        </w:rPr>
        <w:t xml:space="preserve">uperior conceptualizada como </w:t>
      </w:r>
      <w:r w:rsidR="005564BA" w:rsidRPr="00433DD5">
        <w:rPr>
          <w:rFonts w:asciiTheme="majorBidi" w:hAnsiTheme="majorBidi" w:cstheme="majorBidi"/>
        </w:rPr>
        <w:t>b</w:t>
      </w:r>
      <w:r w:rsidRPr="00433DD5">
        <w:rPr>
          <w:rFonts w:asciiTheme="majorBidi" w:hAnsiTheme="majorBidi" w:cstheme="majorBidi"/>
        </w:rPr>
        <w:t xml:space="preserve">ien </w:t>
      </w:r>
      <w:r w:rsidR="005564BA" w:rsidRPr="00433DD5">
        <w:rPr>
          <w:rFonts w:asciiTheme="majorBidi" w:hAnsiTheme="majorBidi" w:cstheme="majorBidi"/>
        </w:rPr>
        <w:t>c</w:t>
      </w:r>
      <w:r w:rsidRPr="00433DD5">
        <w:rPr>
          <w:rFonts w:asciiTheme="majorBidi" w:hAnsiTheme="majorBidi" w:cstheme="majorBidi"/>
        </w:rPr>
        <w:t xml:space="preserve">omún: </w:t>
      </w:r>
      <w:r w:rsidR="005564BA" w:rsidRPr="00433DD5">
        <w:rPr>
          <w:rFonts w:asciiTheme="majorBidi" w:hAnsiTheme="majorBidi" w:cstheme="majorBidi"/>
        </w:rPr>
        <w:t>e</w:t>
      </w:r>
      <w:r w:rsidRPr="00433DD5">
        <w:rPr>
          <w:rFonts w:asciiTheme="majorBidi" w:hAnsiTheme="majorBidi" w:cstheme="majorBidi"/>
        </w:rPr>
        <w:t xml:space="preserve">l desafío propuesto por UNESCO. </w:t>
      </w:r>
      <w:r w:rsidRPr="00433DD5">
        <w:rPr>
          <w:rFonts w:asciiTheme="majorBidi" w:hAnsiTheme="majorBidi" w:cstheme="majorBidi"/>
          <w:i/>
          <w:iCs/>
        </w:rPr>
        <w:t xml:space="preserve">Revista </w:t>
      </w:r>
      <w:r w:rsidR="00644981" w:rsidRPr="00433DD5">
        <w:rPr>
          <w:rFonts w:asciiTheme="majorBidi" w:hAnsiTheme="majorBidi" w:cstheme="majorBidi"/>
          <w:i/>
          <w:iCs/>
        </w:rPr>
        <w:t xml:space="preserve">Digital </w:t>
      </w:r>
      <w:r w:rsidRPr="00433DD5">
        <w:rPr>
          <w:rFonts w:asciiTheme="majorBidi" w:hAnsiTheme="majorBidi" w:cstheme="majorBidi"/>
          <w:i/>
          <w:iCs/>
        </w:rPr>
        <w:t xml:space="preserve">de </w:t>
      </w:r>
      <w:r w:rsidR="00644981" w:rsidRPr="00433DD5">
        <w:rPr>
          <w:rFonts w:asciiTheme="majorBidi" w:hAnsiTheme="majorBidi" w:cstheme="majorBidi"/>
          <w:i/>
          <w:iCs/>
        </w:rPr>
        <w:t xml:space="preserve">Investigación </w:t>
      </w:r>
      <w:r w:rsidRPr="00433DD5">
        <w:rPr>
          <w:rFonts w:asciiTheme="majorBidi" w:hAnsiTheme="majorBidi" w:cstheme="majorBidi"/>
          <w:i/>
          <w:iCs/>
        </w:rPr>
        <w:t xml:space="preserve">en </w:t>
      </w:r>
      <w:r w:rsidR="00644981" w:rsidRPr="00433DD5">
        <w:rPr>
          <w:rFonts w:asciiTheme="majorBidi" w:hAnsiTheme="majorBidi" w:cstheme="majorBidi"/>
          <w:i/>
          <w:iCs/>
        </w:rPr>
        <w:t>Docencia Universitaria</w:t>
      </w:r>
      <w:r w:rsidRPr="00433DD5">
        <w:rPr>
          <w:rFonts w:asciiTheme="majorBidi" w:hAnsiTheme="majorBidi" w:cstheme="majorBidi"/>
          <w:i/>
          <w:iCs/>
        </w:rPr>
        <w:t>, 12</w:t>
      </w:r>
      <w:r w:rsidRPr="00433DD5">
        <w:rPr>
          <w:rFonts w:asciiTheme="majorBidi" w:hAnsiTheme="majorBidi" w:cstheme="majorBidi"/>
        </w:rPr>
        <w:t xml:space="preserve">(1), 6-33. </w:t>
      </w:r>
      <w:r w:rsidR="00644981" w:rsidRPr="00433DD5">
        <w:rPr>
          <w:rFonts w:asciiTheme="majorBidi" w:hAnsiTheme="majorBidi" w:cstheme="majorBidi"/>
        </w:rPr>
        <w:t xml:space="preserve">Recuperado de </w:t>
      </w:r>
      <w:r w:rsidR="00644981" w:rsidRPr="00433DD5">
        <w:rPr>
          <w:rFonts w:asciiTheme="majorBidi" w:hAnsiTheme="majorBidi" w:cstheme="majorBidi"/>
          <w:shd w:val="clear" w:color="auto" w:fill="FFFFFF"/>
        </w:rPr>
        <w:t>http://dx.doi.org/10.19083/ridu.12.715.</w:t>
      </w:r>
    </w:p>
    <w:p w14:paraId="2885A1DC" w14:textId="4F9EDA7E" w:rsidR="00F9524D" w:rsidRPr="00433DD5" w:rsidRDefault="00F9524D" w:rsidP="00F9524D">
      <w:pPr>
        <w:pStyle w:val="Textonotapie"/>
        <w:adjustRightInd w:val="0"/>
        <w:spacing w:line="360" w:lineRule="auto"/>
        <w:ind w:left="709" w:hanging="709"/>
        <w:jc w:val="both"/>
        <w:rPr>
          <w:rFonts w:ascii="Times New Roman" w:hAnsi="Times New Roman"/>
          <w:sz w:val="24"/>
          <w:szCs w:val="24"/>
          <w:lang w:val="es-ES_tradnl"/>
        </w:rPr>
      </w:pPr>
      <w:r w:rsidRPr="00433DD5">
        <w:rPr>
          <w:rFonts w:ascii="Times New Roman" w:hAnsi="Times New Roman"/>
          <w:sz w:val="24"/>
          <w:szCs w:val="24"/>
        </w:rPr>
        <w:t xml:space="preserve">López, R. (2009). Impacto de la evaluación en la educación superior mexicana. Ángel Díaz Barriga, Concepción Barrón y Frida Díaz, Iisue-UNAM/Anuies/Plaza y Valdés, 2007. </w:t>
      </w:r>
      <w:r w:rsidRPr="00433DD5">
        <w:rPr>
          <w:rFonts w:ascii="Times New Roman" w:hAnsi="Times New Roman"/>
          <w:i/>
          <w:iCs/>
          <w:sz w:val="24"/>
          <w:szCs w:val="24"/>
        </w:rPr>
        <w:t>Perfiles Educativos, 31</w:t>
      </w:r>
      <w:r w:rsidRPr="00433DD5">
        <w:rPr>
          <w:rFonts w:ascii="Times New Roman" w:hAnsi="Times New Roman"/>
          <w:sz w:val="24"/>
          <w:szCs w:val="24"/>
        </w:rPr>
        <w:t xml:space="preserve">(123), 120-124. Recuperado de </w:t>
      </w:r>
      <w:r w:rsidRPr="00433DD5">
        <w:rPr>
          <w:rFonts w:ascii="Times New Roman" w:hAnsi="Times New Roman"/>
          <w:sz w:val="24"/>
          <w:szCs w:val="24"/>
          <w:lang w:val="es-ES_tradnl"/>
        </w:rPr>
        <w:t>https://www.iisue.unam.mx/perfiles/articulo/2009-123-impacto-de-la-evaluacion-en-la-educacion-superior-mexicana-angel-diaz-barriga.pdf.</w:t>
      </w:r>
    </w:p>
    <w:p w14:paraId="0EC7381D" w14:textId="320DA19C" w:rsidR="00FB2BEF" w:rsidRPr="00433DD5" w:rsidRDefault="00DD5FDD" w:rsidP="00A31D6E">
      <w:pPr>
        <w:pStyle w:val="Textonotapie"/>
        <w:adjustRightInd w:val="0"/>
        <w:spacing w:line="360" w:lineRule="auto"/>
        <w:ind w:left="709" w:hanging="709"/>
        <w:jc w:val="both"/>
        <w:rPr>
          <w:rFonts w:ascii="Times New Roman" w:eastAsiaTheme="minorHAnsi" w:hAnsi="Times New Roman"/>
          <w:sz w:val="24"/>
          <w:szCs w:val="24"/>
        </w:rPr>
      </w:pPr>
      <w:r w:rsidRPr="00433DD5">
        <w:rPr>
          <w:rFonts w:ascii="Times New Roman" w:eastAsiaTheme="minorHAnsi" w:hAnsi="Times New Roman"/>
          <w:sz w:val="24"/>
          <w:szCs w:val="24"/>
        </w:rPr>
        <w:t xml:space="preserve">Márquez, A. (2012). El </w:t>
      </w:r>
      <w:r w:rsidR="00AB556B" w:rsidRPr="00433DD5">
        <w:rPr>
          <w:rFonts w:ascii="Times New Roman" w:eastAsiaTheme="minorHAnsi" w:hAnsi="Times New Roman"/>
          <w:sz w:val="24"/>
          <w:szCs w:val="24"/>
        </w:rPr>
        <w:t xml:space="preserve">financiamiento de la educación </w:t>
      </w:r>
      <w:r w:rsidRPr="00433DD5">
        <w:rPr>
          <w:rFonts w:ascii="Times New Roman" w:eastAsiaTheme="minorHAnsi" w:hAnsi="Times New Roman"/>
          <w:sz w:val="24"/>
          <w:szCs w:val="24"/>
        </w:rPr>
        <w:t xml:space="preserve">en México, </w:t>
      </w:r>
      <w:r w:rsidR="00AB556B" w:rsidRPr="00433DD5">
        <w:rPr>
          <w:rFonts w:ascii="Times New Roman" w:eastAsiaTheme="minorHAnsi" w:hAnsi="Times New Roman"/>
          <w:sz w:val="24"/>
          <w:szCs w:val="24"/>
        </w:rPr>
        <w:t>problemas y alternativas</w:t>
      </w:r>
      <w:r w:rsidRPr="00433DD5">
        <w:rPr>
          <w:rFonts w:ascii="Times New Roman" w:eastAsiaTheme="minorHAnsi" w:hAnsi="Times New Roman"/>
          <w:sz w:val="24"/>
          <w:szCs w:val="24"/>
        </w:rPr>
        <w:t xml:space="preserve">. </w:t>
      </w:r>
      <w:r w:rsidR="00FB2BEF" w:rsidRPr="00433DD5">
        <w:rPr>
          <w:rFonts w:ascii="Times New Roman" w:eastAsiaTheme="minorHAnsi" w:hAnsi="Times New Roman"/>
          <w:i/>
          <w:sz w:val="24"/>
          <w:szCs w:val="24"/>
        </w:rPr>
        <w:t xml:space="preserve">Perfiles Educativos, 34, </w:t>
      </w:r>
      <w:r w:rsidR="00FB2BEF" w:rsidRPr="00433DD5">
        <w:rPr>
          <w:rFonts w:ascii="Times New Roman" w:eastAsiaTheme="minorHAnsi" w:hAnsi="Times New Roman"/>
          <w:sz w:val="24"/>
          <w:szCs w:val="24"/>
        </w:rPr>
        <w:t>107</w:t>
      </w:r>
      <w:r w:rsidR="00AB556B" w:rsidRPr="00433DD5">
        <w:rPr>
          <w:rFonts w:ascii="Times New Roman" w:eastAsiaTheme="minorHAnsi" w:hAnsi="Times New Roman"/>
          <w:sz w:val="24"/>
          <w:szCs w:val="24"/>
        </w:rPr>
        <w:t>-</w:t>
      </w:r>
      <w:r w:rsidR="00FB2BEF" w:rsidRPr="00433DD5">
        <w:rPr>
          <w:rFonts w:ascii="Times New Roman" w:eastAsiaTheme="minorHAnsi" w:hAnsi="Times New Roman"/>
          <w:sz w:val="24"/>
          <w:szCs w:val="24"/>
        </w:rPr>
        <w:t xml:space="preserve">117. </w:t>
      </w:r>
      <w:r w:rsidR="00AB556B" w:rsidRPr="00433DD5">
        <w:rPr>
          <w:rFonts w:ascii="Times New Roman" w:eastAsiaTheme="minorHAnsi" w:hAnsi="Times New Roman"/>
          <w:sz w:val="24"/>
          <w:szCs w:val="24"/>
        </w:rPr>
        <w:t>Recuperado de https://www.scielo.org.mx/pdf/peredu/v34nspe/</w:t>
      </w:r>
      <w:r w:rsidR="00AB556B" w:rsidRPr="00433DD5">
        <w:rPr>
          <w:rFonts w:ascii="Times New Roman" w:hAnsi="Times New Roman"/>
          <w:sz w:val="24"/>
          <w:szCs w:val="24"/>
        </w:rPr>
        <w:t>v34nspea10.pdf.</w:t>
      </w:r>
    </w:p>
    <w:p w14:paraId="76BEEE70" w14:textId="5D74397D" w:rsidR="00103A8F" w:rsidRPr="00433DD5" w:rsidRDefault="00103A8F" w:rsidP="00A31D6E">
      <w:pPr>
        <w:pStyle w:val="Textonotapie"/>
        <w:adjustRightInd w:val="0"/>
        <w:spacing w:line="360" w:lineRule="auto"/>
        <w:ind w:left="709" w:hanging="709"/>
        <w:jc w:val="both"/>
        <w:rPr>
          <w:rFonts w:ascii="Times New Roman" w:hAnsi="Times New Roman"/>
          <w:sz w:val="24"/>
          <w:szCs w:val="24"/>
          <w:lang w:val="en-US"/>
        </w:rPr>
      </w:pPr>
      <w:r w:rsidRPr="00433DD5">
        <w:rPr>
          <w:rFonts w:ascii="Times New Roman" w:hAnsi="Times New Roman"/>
          <w:sz w:val="24"/>
          <w:szCs w:val="24"/>
          <w:lang w:val="en-US"/>
        </w:rPr>
        <w:t xml:space="preserve">Mayring, P. (2000). Qualitative Content Analysis. </w:t>
      </w:r>
      <w:r w:rsidRPr="00433DD5">
        <w:rPr>
          <w:rFonts w:ascii="Times New Roman" w:hAnsi="Times New Roman"/>
          <w:i/>
          <w:sz w:val="24"/>
          <w:szCs w:val="24"/>
          <w:lang w:val="en-US"/>
        </w:rPr>
        <w:t xml:space="preserve">Forum: </w:t>
      </w:r>
      <w:r w:rsidR="00F9524D" w:rsidRPr="00433DD5">
        <w:rPr>
          <w:rFonts w:ascii="Times New Roman" w:hAnsi="Times New Roman"/>
          <w:i/>
          <w:sz w:val="24"/>
          <w:szCs w:val="24"/>
          <w:lang w:val="en-US"/>
        </w:rPr>
        <w:t>Qualitative Social Research</w:t>
      </w:r>
      <w:r w:rsidRPr="00433DD5">
        <w:rPr>
          <w:rFonts w:ascii="Times New Roman" w:hAnsi="Times New Roman"/>
          <w:i/>
          <w:sz w:val="24"/>
          <w:szCs w:val="24"/>
          <w:lang w:val="en-US"/>
        </w:rPr>
        <w:t>, 1</w:t>
      </w:r>
      <w:r w:rsidRPr="00433DD5">
        <w:rPr>
          <w:rFonts w:ascii="Times New Roman" w:hAnsi="Times New Roman"/>
          <w:sz w:val="24"/>
          <w:szCs w:val="24"/>
          <w:lang w:val="en-US"/>
        </w:rPr>
        <w:t xml:space="preserve">(2). </w:t>
      </w:r>
      <w:r w:rsidR="00F9524D" w:rsidRPr="00433DD5">
        <w:rPr>
          <w:rFonts w:ascii="Times New Roman" w:hAnsi="Times New Roman"/>
          <w:sz w:val="24"/>
          <w:szCs w:val="24"/>
          <w:lang w:val="en-US"/>
        </w:rPr>
        <w:t xml:space="preserve">Retrieved from </w:t>
      </w:r>
      <w:r w:rsidRPr="00433DD5">
        <w:rPr>
          <w:rFonts w:ascii="Times New Roman" w:hAnsi="Times New Roman"/>
          <w:sz w:val="24"/>
          <w:szCs w:val="24"/>
          <w:lang w:val="en-US"/>
        </w:rPr>
        <w:t>https://www.qualitative-research.net/index.php/fqs/article/view/1089/2386</w:t>
      </w:r>
      <w:r w:rsidR="00F9524D" w:rsidRPr="00433DD5">
        <w:rPr>
          <w:rFonts w:ascii="Times New Roman" w:hAnsi="Times New Roman"/>
          <w:sz w:val="24"/>
          <w:szCs w:val="24"/>
          <w:lang w:val="en-US"/>
        </w:rPr>
        <w:t>.</w:t>
      </w:r>
    </w:p>
    <w:p w14:paraId="34601974" w14:textId="5DCC2AD9" w:rsidR="005A7A2B" w:rsidRPr="00433DD5" w:rsidRDefault="005A7A2B" w:rsidP="00A31D6E">
      <w:pPr>
        <w:adjustRightInd w:val="0"/>
        <w:spacing w:line="360" w:lineRule="auto"/>
        <w:ind w:left="709" w:hanging="709"/>
        <w:jc w:val="both"/>
        <w:rPr>
          <w:rFonts w:asciiTheme="majorBidi" w:hAnsiTheme="majorBidi" w:cstheme="majorBidi"/>
        </w:rPr>
      </w:pPr>
      <w:r w:rsidRPr="00433DD5">
        <w:rPr>
          <w:rFonts w:asciiTheme="majorBidi" w:hAnsiTheme="majorBidi" w:cstheme="majorBidi"/>
        </w:rPr>
        <w:t xml:space="preserve">Mendoza, J. (2017). Financiamiento de la educación superior en la primera mitad del gobierno de Enrique Peña Nieto: ¿fin del periodo de expansión? </w:t>
      </w:r>
      <w:r w:rsidRPr="00433DD5">
        <w:rPr>
          <w:rFonts w:asciiTheme="majorBidi" w:hAnsiTheme="majorBidi" w:cstheme="majorBidi"/>
          <w:i/>
          <w:iCs/>
        </w:rPr>
        <w:t xml:space="preserve">Perfiles </w:t>
      </w:r>
      <w:r w:rsidR="00731118" w:rsidRPr="00433DD5">
        <w:rPr>
          <w:rFonts w:asciiTheme="majorBidi" w:hAnsiTheme="majorBidi" w:cstheme="majorBidi"/>
          <w:i/>
          <w:iCs/>
        </w:rPr>
        <w:t>Educativos</w:t>
      </w:r>
      <w:r w:rsidRPr="00433DD5">
        <w:rPr>
          <w:rFonts w:asciiTheme="majorBidi" w:hAnsiTheme="majorBidi" w:cstheme="majorBidi"/>
          <w:i/>
          <w:iCs/>
        </w:rPr>
        <w:t>, 39</w:t>
      </w:r>
      <w:r w:rsidRPr="00433DD5">
        <w:rPr>
          <w:rFonts w:asciiTheme="majorBidi" w:hAnsiTheme="majorBidi" w:cstheme="majorBidi"/>
        </w:rPr>
        <w:t>(159)</w:t>
      </w:r>
      <w:r w:rsidR="00D42F29" w:rsidRPr="00433DD5">
        <w:rPr>
          <w:rFonts w:asciiTheme="majorBidi" w:hAnsiTheme="majorBidi" w:cstheme="majorBidi"/>
        </w:rPr>
        <w:t>,</w:t>
      </w:r>
      <w:r w:rsidRPr="00433DD5">
        <w:rPr>
          <w:rFonts w:asciiTheme="majorBidi" w:hAnsiTheme="majorBidi" w:cstheme="majorBidi"/>
        </w:rPr>
        <w:t xml:space="preserve"> 119-140. </w:t>
      </w:r>
    </w:p>
    <w:p w14:paraId="7ABE8FC3" w14:textId="2A3A4CCB" w:rsidR="00DD5FDD" w:rsidRPr="00433DD5" w:rsidRDefault="00DD5FDD" w:rsidP="00A31D6E">
      <w:pPr>
        <w:adjustRightInd w:val="0"/>
        <w:spacing w:line="360" w:lineRule="auto"/>
        <w:ind w:left="709" w:hanging="709"/>
        <w:jc w:val="both"/>
      </w:pPr>
      <w:r w:rsidRPr="00433DD5">
        <w:t>México Evalúa</w:t>
      </w:r>
      <w:r w:rsidR="002B3808" w:rsidRPr="00433DD5">
        <w:t>.</w:t>
      </w:r>
      <w:r w:rsidRPr="00433DD5">
        <w:t xml:space="preserve"> (2011). </w:t>
      </w:r>
      <w:r w:rsidRPr="00433DD5">
        <w:rPr>
          <w:i/>
        </w:rPr>
        <w:t xml:space="preserve">10 </w:t>
      </w:r>
      <w:r w:rsidR="00BE7B02" w:rsidRPr="00433DD5">
        <w:rPr>
          <w:i/>
        </w:rPr>
        <w:t>p</w:t>
      </w:r>
      <w:r w:rsidRPr="00433DD5">
        <w:rPr>
          <w:i/>
        </w:rPr>
        <w:t xml:space="preserve">untos para entender el </w:t>
      </w:r>
      <w:r w:rsidR="00622795" w:rsidRPr="00433DD5">
        <w:rPr>
          <w:i/>
        </w:rPr>
        <w:t xml:space="preserve">gasto educativo </w:t>
      </w:r>
      <w:r w:rsidRPr="00433DD5">
        <w:rPr>
          <w:i/>
        </w:rPr>
        <w:t xml:space="preserve">en México: </w:t>
      </w:r>
      <w:r w:rsidR="00622795" w:rsidRPr="00433DD5">
        <w:rPr>
          <w:i/>
        </w:rPr>
        <w:t>c</w:t>
      </w:r>
      <w:r w:rsidRPr="00433DD5">
        <w:rPr>
          <w:i/>
        </w:rPr>
        <w:t>onsideraciones sobre su eficiencia.</w:t>
      </w:r>
      <w:r w:rsidRPr="00433DD5">
        <w:t xml:space="preserve"> </w:t>
      </w:r>
      <w:r w:rsidR="00622795" w:rsidRPr="00433DD5">
        <w:t xml:space="preserve">México: </w:t>
      </w:r>
      <w:r w:rsidRPr="00433DD5">
        <w:t>México Evalúa</w:t>
      </w:r>
      <w:r w:rsidR="00622795" w:rsidRPr="00433DD5">
        <w:t xml:space="preserve">, </w:t>
      </w:r>
      <w:r w:rsidRPr="00433DD5">
        <w:t xml:space="preserve">Centro de Análisis en Políticas </w:t>
      </w:r>
      <w:r w:rsidR="00A20AAA" w:rsidRPr="00433DD5">
        <w:t>Públicas.</w:t>
      </w:r>
      <w:r w:rsidR="00C77C75" w:rsidRPr="00433DD5">
        <w:t xml:space="preserve"> </w:t>
      </w:r>
      <w:r w:rsidR="002B3808" w:rsidRPr="00433DD5">
        <w:t>Recuperado de https://www.mexicoevalua.org/10-puntos-para-entender-el-gasto-educativo-consideraciones-sobre-su-eficiencia.</w:t>
      </w:r>
    </w:p>
    <w:p w14:paraId="7C9104CF" w14:textId="6063D570" w:rsidR="00DD5FDD" w:rsidRPr="00433DD5" w:rsidRDefault="00DD5FDD" w:rsidP="00A31D6E">
      <w:pPr>
        <w:adjustRightInd w:val="0"/>
        <w:spacing w:line="360" w:lineRule="auto"/>
        <w:ind w:left="709" w:hanging="709"/>
        <w:jc w:val="both"/>
      </w:pPr>
      <w:r w:rsidRPr="00433DD5">
        <w:rPr>
          <w:lang w:val="fi-FI"/>
        </w:rPr>
        <w:t xml:space="preserve">Morin, E. y Kern, A. (1993). </w:t>
      </w:r>
      <w:r w:rsidRPr="00433DD5">
        <w:rPr>
          <w:i/>
        </w:rPr>
        <w:t>Tierra-</w:t>
      </w:r>
      <w:r w:rsidR="004E4EB8" w:rsidRPr="00433DD5">
        <w:rPr>
          <w:i/>
        </w:rPr>
        <w:t>patria</w:t>
      </w:r>
      <w:r w:rsidRPr="00433DD5">
        <w:t xml:space="preserve">. </w:t>
      </w:r>
      <w:r w:rsidR="004E4EB8" w:rsidRPr="00433DD5">
        <w:t xml:space="preserve">Barcelona, España: </w:t>
      </w:r>
      <w:r w:rsidRPr="00433DD5">
        <w:t xml:space="preserve">Kairós. </w:t>
      </w:r>
    </w:p>
    <w:p w14:paraId="4F11F761" w14:textId="2AF0A474" w:rsidR="00F96950" w:rsidRPr="00433DD5" w:rsidRDefault="00F96950" w:rsidP="00A31D6E">
      <w:pPr>
        <w:pStyle w:val="Textonotapie"/>
        <w:adjustRightInd w:val="0"/>
        <w:spacing w:line="360" w:lineRule="auto"/>
        <w:ind w:left="709" w:hanging="709"/>
        <w:jc w:val="both"/>
        <w:rPr>
          <w:rFonts w:ascii="Times New Roman" w:hAnsi="Times New Roman"/>
          <w:sz w:val="24"/>
          <w:szCs w:val="24"/>
          <w:lang w:val="pt-BR"/>
        </w:rPr>
      </w:pPr>
      <w:r w:rsidRPr="00433DD5">
        <w:rPr>
          <w:rFonts w:ascii="Times New Roman" w:hAnsi="Times New Roman"/>
          <w:sz w:val="24"/>
          <w:szCs w:val="24"/>
        </w:rPr>
        <w:t>Sánchez, V. (</w:t>
      </w:r>
      <w:r w:rsidR="001B1579" w:rsidRPr="00433DD5">
        <w:rPr>
          <w:rFonts w:ascii="Times New Roman" w:hAnsi="Times New Roman"/>
          <w:sz w:val="24"/>
          <w:szCs w:val="24"/>
        </w:rPr>
        <w:t xml:space="preserve">29 de julio de </w:t>
      </w:r>
      <w:r w:rsidRPr="00433DD5">
        <w:rPr>
          <w:rFonts w:ascii="Times New Roman" w:hAnsi="Times New Roman"/>
          <w:sz w:val="24"/>
          <w:szCs w:val="24"/>
        </w:rPr>
        <w:t xml:space="preserve">2020). Repensar el financiamiento de las universidades públicas estatales. </w:t>
      </w:r>
      <w:r w:rsidRPr="00433DD5">
        <w:rPr>
          <w:rFonts w:ascii="Times New Roman" w:hAnsi="Times New Roman"/>
          <w:i/>
          <w:sz w:val="24"/>
          <w:szCs w:val="24"/>
          <w:lang w:val="pt-BR"/>
        </w:rPr>
        <w:t>Nexos</w:t>
      </w:r>
      <w:r w:rsidR="00772A77" w:rsidRPr="00433DD5">
        <w:rPr>
          <w:rFonts w:ascii="Times New Roman" w:hAnsi="Times New Roman"/>
          <w:i/>
          <w:sz w:val="24"/>
          <w:szCs w:val="24"/>
          <w:lang w:val="pt-BR"/>
        </w:rPr>
        <w:t>.</w:t>
      </w:r>
      <w:r w:rsidR="00267C76" w:rsidRPr="00433DD5">
        <w:rPr>
          <w:rFonts w:ascii="Times New Roman" w:hAnsi="Times New Roman"/>
          <w:i/>
          <w:sz w:val="24"/>
          <w:szCs w:val="24"/>
          <w:lang w:val="pt-BR"/>
        </w:rPr>
        <w:t xml:space="preserve"> </w:t>
      </w:r>
      <w:r w:rsidR="00267C76" w:rsidRPr="00433DD5">
        <w:rPr>
          <w:rFonts w:ascii="Times New Roman" w:hAnsi="Times New Roman"/>
          <w:iCs/>
          <w:sz w:val="24"/>
          <w:szCs w:val="24"/>
          <w:lang w:val="pt-BR"/>
        </w:rPr>
        <w:t>Recuperado de</w:t>
      </w:r>
      <w:r w:rsidRPr="00433DD5">
        <w:rPr>
          <w:rFonts w:ascii="Times New Roman" w:hAnsi="Times New Roman"/>
          <w:i/>
          <w:sz w:val="24"/>
          <w:szCs w:val="24"/>
          <w:lang w:val="pt-BR"/>
        </w:rPr>
        <w:t xml:space="preserve"> </w:t>
      </w:r>
      <w:r w:rsidR="00E94537" w:rsidRPr="00433DD5">
        <w:rPr>
          <w:rFonts w:ascii="Times New Roman" w:hAnsi="Times New Roman"/>
          <w:sz w:val="24"/>
          <w:szCs w:val="24"/>
          <w:lang w:val="pt-BR"/>
        </w:rPr>
        <w:t>https://educacion.nexos.com.mx/repensar-el-financiamiento-de-las-universidades-publicas-estatales/</w:t>
      </w:r>
      <w:r w:rsidR="00267C76" w:rsidRPr="00433DD5">
        <w:rPr>
          <w:rFonts w:ascii="Times New Roman" w:hAnsi="Times New Roman"/>
          <w:sz w:val="24"/>
          <w:szCs w:val="24"/>
          <w:lang w:val="pt-BR"/>
        </w:rPr>
        <w:t>.</w:t>
      </w:r>
    </w:p>
    <w:p w14:paraId="65971F2F" w14:textId="06D41207" w:rsidR="00E21BB1" w:rsidRPr="00433DD5" w:rsidRDefault="001D7EB6" w:rsidP="00A31D6E">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t xml:space="preserve">Santiago, G., </w:t>
      </w:r>
      <w:r w:rsidR="00B66C65" w:rsidRPr="00433DD5">
        <w:rPr>
          <w:rFonts w:ascii="Times New Roman" w:hAnsi="Times New Roman"/>
          <w:sz w:val="24"/>
          <w:szCs w:val="24"/>
        </w:rPr>
        <w:t>Xilot, P., Viveros, R., Hernández, M. y Medina, V. (2015). Manual de Procedimientos Administrativos para la Operación del Programa de Fortalecimiento de la Calidad de las Instituciones Educativas (</w:t>
      </w:r>
      <w:r w:rsidR="00033785" w:rsidRPr="00433DD5">
        <w:rPr>
          <w:rFonts w:ascii="Times New Roman" w:hAnsi="Times New Roman"/>
          <w:sz w:val="24"/>
          <w:szCs w:val="24"/>
        </w:rPr>
        <w:t>Profocie</w:t>
      </w:r>
      <w:r w:rsidR="00B66C65" w:rsidRPr="00433DD5">
        <w:rPr>
          <w:rFonts w:ascii="Times New Roman" w:hAnsi="Times New Roman"/>
          <w:sz w:val="24"/>
          <w:szCs w:val="24"/>
        </w:rPr>
        <w:t xml:space="preserve">) en la Universidad Veracruzana. </w:t>
      </w:r>
      <w:r w:rsidR="00B66C65" w:rsidRPr="00433DD5">
        <w:rPr>
          <w:rFonts w:ascii="Times New Roman" w:hAnsi="Times New Roman"/>
          <w:i/>
          <w:iCs/>
          <w:sz w:val="24"/>
          <w:szCs w:val="24"/>
        </w:rPr>
        <w:t>Academia Journals</w:t>
      </w:r>
      <w:r w:rsidR="00B66C65" w:rsidRPr="00433DD5">
        <w:rPr>
          <w:rFonts w:ascii="Times New Roman" w:hAnsi="Times New Roman"/>
          <w:sz w:val="24"/>
          <w:szCs w:val="24"/>
        </w:rPr>
        <w:t>,</w:t>
      </w:r>
      <w:r w:rsidR="00F96950" w:rsidRPr="00433DD5">
        <w:rPr>
          <w:rFonts w:ascii="Times New Roman" w:hAnsi="Times New Roman"/>
          <w:sz w:val="24"/>
          <w:szCs w:val="24"/>
        </w:rPr>
        <w:t xml:space="preserve"> </w:t>
      </w:r>
      <w:r w:rsidR="00B66C65" w:rsidRPr="00433DD5">
        <w:rPr>
          <w:rFonts w:ascii="Times New Roman" w:hAnsi="Times New Roman"/>
          <w:i/>
          <w:sz w:val="24"/>
          <w:szCs w:val="24"/>
        </w:rPr>
        <w:t>7</w:t>
      </w:r>
      <w:r w:rsidR="008B04D9" w:rsidRPr="00433DD5">
        <w:rPr>
          <w:rFonts w:ascii="Times New Roman" w:hAnsi="Times New Roman"/>
          <w:sz w:val="24"/>
          <w:szCs w:val="24"/>
        </w:rPr>
        <w:t>(</w:t>
      </w:r>
      <w:r w:rsidR="00B66C65" w:rsidRPr="00433DD5">
        <w:rPr>
          <w:rFonts w:ascii="Times New Roman" w:hAnsi="Times New Roman"/>
          <w:sz w:val="24"/>
          <w:szCs w:val="24"/>
        </w:rPr>
        <w:t>2</w:t>
      </w:r>
      <w:r w:rsidR="008B04D9" w:rsidRPr="00433DD5">
        <w:rPr>
          <w:rFonts w:ascii="Times New Roman" w:hAnsi="Times New Roman"/>
          <w:sz w:val="24"/>
          <w:szCs w:val="24"/>
        </w:rPr>
        <w:t>)</w:t>
      </w:r>
      <w:r w:rsidR="00B66C65" w:rsidRPr="00433DD5">
        <w:rPr>
          <w:rFonts w:ascii="Times New Roman" w:hAnsi="Times New Roman"/>
          <w:sz w:val="24"/>
          <w:szCs w:val="24"/>
        </w:rPr>
        <w:t xml:space="preserve">, 1085-1089. </w:t>
      </w:r>
    </w:p>
    <w:p w14:paraId="0D8874BD" w14:textId="036FAB49" w:rsidR="008C4E6E" w:rsidRPr="00433DD5" w:rsidRDefault="008C4E6E" w:rsidP="008C4E6E">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lastRenderedPageBreak/>
        <w:t>Secretaría de Educación Pública [SEP]. (2019a). Descripción de algunos conceptos utilizados en la guía para formular el Profexce 2020-2021</w:t>
      </w:r>
      <w:r w:rsidRPr="00433DD5">
        <w:rPr>
          <w:rFonts w:ascii="Times New Roman" w:hAnsi="Times New Roman"/>
          <w:i/>
          <w:iCs/>
          <w:sz w:val="24"/>
          <w:szCs w:val="24"/>
        </w:rPr>
        <w:t xml:space="preserve">. </w:t>
      </w:r>
      <w:r w:rsidRPr="00433DD5">
        <w:rPr>
          <w:rFonts w:ascii="Times New Roman" w:hAnsi="Times New Roman"/>
          <w:sz w:val="24"/>
          <w:szCs w:val="24"/>
        </w:rPr>
        <w:t>Recuperado de https://www.uv.mx/planeacioninstitucional/files/2019/09/01_ANEXO_I_Conceptos_Profexce_20_21.pdf</w:t>
      </w:r>
      <w:r w:rsidRPr="00433DD5">
        <w:rPr>
          <w:rStyle w:val="Hipervnculo"/>
          <w:rFonts w:ascii="Times New Roman" w:hAnsi="Times New Roman"/>
          <w:color w:val="auto"/>
          <w:sz w:val="24"/>
          <w:szCs w:val="24"/>
        </w:rPr>
        <w:t>.</w:t>
      </w:r>
    </w:p>
    <w:p w14:paraId="46F32651" w14:textId="38B9AFD8" w:rsidR="008C4E6E" w:rsidRPr="00433DD5" w:rsidRDefault="008C4E6E" w:rsidP="008C4E6E">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t>Secretaría de Educación Pública</w:t>
      </w:r>
      <w:r w:rsidR="00D52119" w:rsidRPr="00433DD5">
        <w:rPr>
          <w:rFonts w:ascii="Times New Roman" w:hAnsi="Times New Roman"/>
          <w:sz w:val="24"/>
          <w:szCs w:val="24"/>
        </w:rPr>
        <w:t xml:space="preserve"> [SEP]</w:t>
      </w:r>
      <w:r w:rsidRPr="00433DD5">
        <w:rPr>
          <w:rFonts w:ascii="Times New Roman" w:hAnsi="Times New Roman"/>
          <w:sz w:val="24"/>
          <w:szCs w:val="24"/>
        </w:rPr>
        <w:t>. (2019b). Programa de Fortalecimiento a la Excelencia</w:t>
      </w:r>
      <w:r w:rsidR="00CB01E6" w:rsidRPr="00433DD5">
        <w:rPr>
          <w:rFonts w:ascii="Times New Roman" w:hAnsi="Times New Roman"/>
          <w:sz w:val="24"/>
          <w:szCs w:val="24"/>
        </w:rPr>
        <w:t xml:space="preserve"> Educativa (</w:t>
      </w:r>
      <w:r w:rsidRPr="00433DD5">
        <w:rPr>
          <w:rFonts w:ascii="Times New Roman" w:hAnsi="Times New Roman"/>
          <w:sz w:val="24"/>
          <w:szCs w:val="24"/>
        </w:rPr>
        <w:t>Profexce</w:t>
      </w:r>
      <w:r w:rsidR="00CB01E6" w:rsidRPr="00433DD5">
        <w:rPr>
          <w:rFonts w:ascii="Times New Roman" w:hAnsi="Times New Roman"/>
          <w:sz w:val="24"/>
          <w:szCs w:val="24"/>
        </w:rPr>
        <w:t>)</w:t>
      </w:r>
      <w:r w:rsidRPr="00433DD5">
        <w:rPr>
          <w:rFonts w:ascii="Times New Roman" w:hAnsi="Times New Roman"/>
          <w:sz w:val="24"/>
          <w:szCs w:val="24"/>
        </w:rPr>
        <w:t>. Guía para la formulación de la planeación estratégica académica y de la gestión institucional</w:t>
      </w:r>
      <w:r w:rsidRPr="00433DD5">
        <w:rPr>
          <w:rFonts w:ascii="Times New Roman" w:hAnsi="Times New Roman"/>
          <w:i/>
          <w:iCs/>
          <w:sz w:val="24"/>
          <w:szCs w:val="24"/>
        </w:rPr>
        <w:t>.</w:t>
      </w:r>
      <w:r w:rsidR="00D52119" w:rsidRPr="00433DD5">
        <w:rPr>
          <w:rFonts w:ascii="Times New Roman" w:hAnsi="Times New Roman"/>
          <w:i/>
          <w:iCs/>
          <w:sz w:val="24"/>
          <w:szCs w:val="24"/>
        </w:rPr>
        <w:t xml:space="preserve"> </w:t>
      </w:r>
      <w:r w:rsidR="00D52119" w:rsidRPr="00433DD5">
        <w:rPr>
          <w:rFonts w:ascii="Times New Roman" w:hAnsi="Times New Roman"/>
          <w:sz w:val="24"/>
          <w:szCs w:val="24"/>
        </w:rPr>
        <w:t>2020-2021.</w:t>
      </w:r>
      <w:r w:rsidRPr="00433DD5">
        <w:rPr>
          <w:rFonts w:ascii="Times New Roman" w:hAnsi="Times New Roman"/>
          <w:sz w:val="24"/>
          <w:szCs w:val="24"/>
        </w:rPr>
        <w:t xml:space="preserve"> Recuperado de </w:t>
      </w:r>
      <w:r w:rsidR="00B210DE" w:rsidRPr="00433DD5">
        <w:rPr>
          <w:rFonts w:ascii="Times New Roman" w:hAnsi="Times New Roman"/>
          <w:sz w:val="24"/>
          <w:szCs w:val="24"/>
        </w:rPr>
        <w:t>https://www.uv.mx/planeacioninstitucional/files/2019/09/Guia_Profexce_2020_2021.pdf</w:t>
      </w:r>
      <w:r w:rsidRPr="00433DD5">
        <w:rPr>
          <w:rFonts w:ascii="Times New Roman" w:hAnsi="Times New Roman"/>
          <w:sz w:val="24"/>
          <w:szCs w:val="24"/>
        </w:rPr>
        <w:t>.</w:t>
      </w:r>
    </w:p>
    <w:p w14:paraId="179063F2" w14:textId="4A011FED" w:rsidR="00AB7BD3" w:rsidRPr="00433DD5" w:rsidRDefault="00AB7BD3" w:rsidP="00AB7BD3">
      <w:pPr>
        <w:pStyle w:val="Textonotapie"/>
        <w:adjustRightInd w:val="0"/>
        <w:spacing w:line="360" w:lineRule="auto"/>
        <w:ind w:left="709" w:hanging="709"/>
        <w:jc w:val="both"/>
        <w:rPr>
          <w:rFonts w:ascii="Times New Roman" w:hAnsi="Times New Roman"/>
          <w:sz w:val="24"/>
          <w:szCs w:val="24"/>
        </w:rPr>
      </w:pPr>
      <w:r w:rsidRPr="00433DD5">
        <w:rPr>
          <w:rStyle w:val="Hipervnculo"/>
          <w:rFonts w:ascii="Times New Roman" w:hAnsi="Times New Roman"/>
          <w:color w:val="auto"/>
          <w:sz w:val="24"/>
          <w:szCs w:val="24"/>
          <w:u w:val="none"/>
          <w:lang w:val="es-ES_tradnl"/>
        </w:rPr>
        <w:t>Secretaría de Educación Públic</w:t>
      </w:r>
      <w:r w:rsidR="005E4DCE" w:rsidRPr="00433DD5">
        <w:rPr>
          <w:rStyle w:val="Hipervnculo"/>
          <w:rFonts w:ascii="Times New Roman" w:hAnsi="Times New Roman"/>
          <w:color w:val="auto"/>
          <w:sz w:val="24"/>
          <w:szCs w:val="24"/>
          <w:u w:val="none"/>
          <w:lang w:val="es-ES_tradnl"/>
        </w:rPr>
        <w:t>a</w:t>
      </w:r>
      <w:r w:rsidRPr="00433DD5">
        <w:rPr>
          <w:rStyle w:val="Hipervnculo"/>
          <w:rFonts w:ascii="Times New Roman" w:hAnsi="Times New Roman"/>
          <w:color w:val="auto"/>
          <w:sz w:val="24"/>
          <w:szCs w:val="24"/>
          <w:u w:val="none"/>
          <w:lang w:val="es-ES_tradnl"/>
        </w:rPr>
        <w:t xml:space="preserve"> [SEP]. (13 de enero de 2020). </w:t>
      </w:r>
      <w:r w:rsidRPr="00433DD5">
        <w:rPr>
          <w:rStyle w:val="Hipervnculo"/>
          <w:rFonts w:ascii="Times New Roman" w:hAnsi="Times New Roman"/>
          <w:iCs/>
          <w:color w:val="auto"/>
          <w:sz w:val="24"/>
          <w:szCs w:val="24"/>
          <w:u w:val="none"/>
          <w:lang w:val="es-ES_tradnl"/>
        </w:rPr>
        <w:t>Reglas de Operación del Programa Fortalecimiento a la Excelencia Educativa para el Ejercicio Fiscal 2020</w:t>
      </w:r>
      <w:r w:rsidRPr="00433DD5">
        <w:rPr>
          <w:rStyle w:val="Hipervnculo"/>
          <w:rFonts w:ascii="Times New Roman" w:hAnsi="Times New Roman"/>
          <w:i/>
          <w:color w:val="auto"/>
          <w:sz w:val="24"/>
          <w:szCs w:val="24"/>
          <w:u w:val="none"/>
          <w:lang w:val="es-ES_tradnl"/>
        </w:rPr>
        <w:t>.</w:t>
      </w:r>
      <w:r w:rsidRPr="00433DD5">
        <w:rPr>
          <w:rStyle w:val="Hipervnculo"/>
          <w:rFonts w:ascii="Times New Roman" w:hAnsi="Times New Roman"/>
          <w:color w:val="auto"/>
          <w:sz w:val="24"/>
          <w:szCs w:val="24"/>
          <w:u w:val="none"/>
          <w:lang w:val="es-ES_tradnl"/>
        </w:rPr>
        <w:t xml:space="preserve"> </w:t>
      </w:r>
      <w:r w:rsidRPr="00433DD5">
        <w:rPr>
          <w:rStyle w:val="Hipervnculo"/>
          <w:rFonts w:ascii="Times New Roman" w:hAnsi="Times New Roman"/>
          <w:i/>
          <w:iCs/>
          <w:color w:val="auto"/>
          <w:sz w:val="24"/>
          <w:szCs w:val="24"/>
          <w:u w:val="none"/>
          <w:lang w:val="es-ES_tradnl"/>
        </w:rPr>
        <w:t xml:space="preserve">Diario Oficial de la Federación. </w:t>
      </w:r>
      <w:r w:rsidRPr="00433DD5">
        <w:rPr>
          <w:rStyle w:val="Hipervnculo"/>
          <w:rFonts w:ascii="Times New Roman" w:hAnsi="Times New Roman"/>
          <w:color w:val="auto"/>
          <w:sz w:val="24"/>
          <w:szCs w:val="24"/>
          <w:u w:val="none"/>
          <w:lang w:val="es-ES_tradnl"/>
        </w:rPr>
        <w:t xml:space="preserve">Recuperado de </w:t>
      </w:r>
      <w:r w:rsidRPr="00433DD5">
        <w:rPr>
          <w:rFonts w:ascii="Times New Roman" w:hAnsi="Times New Roman"/>
          <w:sz w:val="24"/>
          <w:szCs w:val="24"/>
        </w:rPr>
        <w:t>https://www.dof.gob.mx/nota_detalle.php?codigo=5583781&amp;fecha=13/01/2020.</w:t>
      </w:r>
    </w:p>
    <w:p w14:paraId="157D2D82" w14:textId="67D9E54F" w:rsidR="00D756EA" w:rsidRPr="00433DD5" w:rsidRDefault="00D756EA" w:rsidP="00D756EA">
      <w:pPr>
        <w:adjustRightInd w:val="0"/>
        <w:spacing w:line="360" w:lineRule="auto"/>
        <w:ind w:left="709" w:hanging="709"/>
        <w:jc w:val="both"/>
        <w:rPr>
          <w:rFonts w:asciiTheme="majorBidi" w:hAnsiTheme="majorBidi" w:cstheme="majorBidi"/>
        </w:rPr>
      </w:pPr>
      <w:r w:rsidRPr="00433DD5">
        <w:rPr>
          <w:rFonts w:asciiTheme="majorBidi" w:hAnsiTheme="majorBidi" w:cstheme="majorBidi"/>
        </w:rPr>
        <w:t>Secretaría de Educación Pública [SEP]. (30 de diciembre de 2021).</w:t>
      </w:r>
      <w:r w:rsidRPr="00433DD5">
        <w:rPr>
          <w:rFonts w:asciiTheme="majorBidi" w:hAnsiTheme="majorBidi" w:cstheme="majorBidi"/>
          <w:i/>
          <w:iCs/>
        </w:rPr>
        <w:t xml:space="preserve"> </w:t>
      </w:r>
      <w:r w:rsidRPr="00433DD5">
        <w:rPr>
          <w:rFonts w:asciiTheme="majorBidi" w:hAnsiTheme="majorBidi" w:cstheme="majorBidi"/>
        </w:rPr>
        <w:t>Acuerdo número 39/12/21 por el que se emiten las Reglas de Operación del Programa para el Desarrollo Profesional Docente para el ejercicio fiscal 2022</w:t>
      </w:r>
      <w:r w:rsidRPr="00433DD5">
        <w:rPr>
          <w:rFonts w:asciiTheme="majorBidi" w:hAnsiTheme="majorBidi" w:cstheme="majorBidi"/>
          <w:i/>
          <w:iCs/>
        </w:rPr>
        <w:t>. Diario Oficial de</w:t>
      </w:r>
      <w:r w:rsidR="005E4DCE" w:rsidRPr="00433DD5">
        <w:rPr>
          <w:rFonts w:asciiTheme="majorBidi" w:hAnsiTheme="majorBidi" w:cstheme="majorBidi"/>
          <w:i/>
          <w:iCs/>
        </w:rPr>
        <w:t xml:space="preserve"> la</w:t>
      </w:r>
      <w:r w:rsidRPr="00433DD5">
        <w:rPr>
          <w:rFonts w:asciiTheme="majorBidi" w:hAnsiTheme="majorBidi" w:cstheme="majorBidi"/>
          <w:i/>
          <w:iCs/>
        </w:rPr>
        <w:t xml:space="preserve"> Federación. </w:t>
      </w:r>
      <w:r w:rsidRPr="00433DD5">
        <w:rPr>
          <w:rFonts w:asciiTheme="majorBidi" w:hAnsiTheme="majorBidi" w:cstheme="majorBidi"/>
        </w:rPr>
        <w:t xml:space="preserve">Recuperado de </w:t>
      </w:r>
      <w:r w:rsidRPr="00433DD5">
        <w:rPr>
          <w:rFonts w:asciiTheme="majorBidi" w:hAnsiTheme="majorBidi" w:cstheme="majorBidi"/>
          <w:iCs/>
        </w:rPr>
        <w:t>https://www.dof.gob.mx/nota_detalle.php?codigo=5639869&amp;fecha=30/12/2021#gsc.tab=0.</w:t>
      </w:r>
    </w:p>
    <w:p w14:paraId="4A6C598F" w14:textId="609CF556" w:rsidR="00AE32FA" w:rsidRPr="00433DD5" w:rsidRDefault="00AE32FA" w:rsidP="00A31D6E">
      <w:pPr>
        <w:pStyle w:val="Textonotapie"/>
        <w:adjustRightInd w:val="0"/>
        <w:spacing w:line="360" w:lineRule="auto"/>
        <w:ind w:left="709" w:hanging="709"/>
        <w:jc w:val="both"/>
        <w:rPr>
          <w:rFonts w:ascii="Times New Roman" w:hAnsi="Times New Roman"/>
          <w:sz w:val="24"/>
          <w:szCs w:val="24"/>
        </w:rPr>
      </w:pPr>
      <w:r w:rsidRPr="00433DD5">
        <w:rPr>
          <w:rFonts w:ascii="Times New Roman" w:hAnsi="Times New Roman"/>
          <w:sz w:val="24"/>
          <w:szCs w:val="24"/>
        </w:rPr>
        <w:t>Secretaría de Educación Pública</w:t>
      </w:r>
      <w:r w:rsidR="008C4E6E" w:rsidRPr="00433DD5">
        <w:rPr>
          <w:rFonts w:ascii="Times New Roman" w:hAnsi="Times New Roman"/>
          <w:sz w:val="24"/>
          <w:szCs w:val="24"/>
        </w:rPr>
        <w:t xml:space="preserve"> [SEP]</w:t>
      </w:r>
      <w:r w:rsidRPr="00433DD5">
        <w:rPr>
          <w:rFonts w:ascii="Times New Roman" w:hAnsi="Times New Roman"/>
          <w:sz w:val="24"/>
          <w:szCs w:val="24"/>
        </w:rPr>
        <w:t xml:space="preserve">. (2022). </w:t>
      </w:r>
      <w:r w:rsidRPr="00433DD5">
        <w:rPr>
          <w:rFonts w:ascii="Times New Roman" w:hAnsi="Times New Roman"/>
          <w:i/>
          <w:sz w:val="24"/>
          <w:szCs w:val="24"/>
        </w:rPr>
        <w:t>Estrategia Nacional de Formación Continua 2022.</w:t>
      </w:r>
      <w:r w:rsidR="00B210DE" w:rsidRPr="00433DD5">
        <w:rPr>
          <w:rFonts w:ascii="Times New Roman" w:hAnsi="Times New Roman"/>
          <w:iCs/>
          <w:sz w:val="24"/>
          <w:szCs w:val="24"/>
        </w:rPr>
        <w:t xml:space="preserve"> Ciudad de México, México: </w:t>
      </w:r>
      <w:r w:rsidR="00B210DE" w:rsidRPr="00433DD5">
        <w:rPr>
          <w:rFonts w:ascii="Times New Roman" w:hAnsi="Times New Roman"/>
          <w:sz w:val="24"/>
          <w:szCs w:val="24"/>
        </w:rPr>
        <w:t>Secretaría de Educación Pública.</w:t>
      </w:r>
      <w:r w:rsidRPr="00433DD5">
        <w:rPr>
          <w:rFonts w:ascii="Times New Roman" w:hAnsi="Times New Roman"/>
          <w:sz w:val="24"/>
          <w:szCs w:val="24"/>
        </w:rPr>
        <w:t xml:space="preserve"> </w:t>
      </w:r>
      <w:r w:rsidR="008C4E6E" w:rsidRPr="00433DD5">
        <w:rPr>
          <w:rFonts w:ascii="Times New Roman" w:hAnsi="Times New Roman"/>
          <w:sz w:val="24"/>
          <w:szCs w:val="24"/>
        </w:rPr>
        <w:t>Recuperado de http://dgfc.basica.sep.gob.mx/multimedia/2022/Docs/ENFC_2022.pdf.</w:t>
      </w:r>
    </w:p>
    <w:p w14:paraId="7D2FCEF5" w14:textId="4FF9163E" w:rsidR="008B04D9" w:rsidRPr="00A31D6E" w:rsidRDefault="00651845" w:rsidP="00A31D6E">
      <w:pPr>
        <w:adjustRightInd w:val="0"/>
        <w:spacing w:line="360" w:lineRule="auto"/>
        <w:ind w:left="709" w:hanging="709"/>
        <w:jc w:val="both"/>
      </w:pPr>
      <w:r w:rsidRPr="00433DD5">
        <w:t xml:space="preserve">Villalobos, G. y Pedroza, R. (2009). </w:t>
      </w:r>
      <w:r w:rsidRPr="00433DD5">
        <w:rPr>
          <w:lang w:val="es-ES"/>
        </w:rPr>
        <w:t xml:space="preserve">Perspectiva de la </w:t>
      </w:r>
      <w:r w:rsidR="00902586" w:rsidRPr="00433DD5">
        <w:rPr>
          <w:lang w:val="es-ES"/>
        </w:rPr>
        <w:t>teoría del capital humano acerca de la relación entre educación y desarrollo económico</w:t>
      </w:r>
      <w:r w:rsidRPr="00433DD5">
        <w:rPr>
          <w:lang w:val="es-ES"/>
        </w:rPr>
        <w:t xml:space="preserve">. </w:t>
      </w:r>
      <w:r w:rsidRPr="00433DD5">
        <w:rPr>
          <w:i/>
          <w:iCs/>
        </w:rPr>
        <w:t>Tiempo de Educar</w:t>
      </w:r>
      <w:r w:rsidR="00863FD3" w:rsidRPr="00433DD5">
        <w:t>,</w:t>
      </w:r>
      <w:r w:rsidR="00F96950" w:rsidRPr="00433DD5">
        <w:t xml:space="preserve"> </w:t>
      </w:r>
      <w:r w:rsidRPr="00433DD5">
        <w:rPr>
          <w:i/>
        </w:rPr>
        <w:t>10</w:t>
      </w:r>
      <w:r w:rsidR="00863FD3" w:rsidRPr="00433DD5">
        <w:t>(</w:t>
      </w:r>
      <w:r w:rsidRPr="00433DD5">
        <w:t>20</w:t>
      </w:r>
      <w:r w:rsidR="00863FD3" w:rsidRPr="00433DD5">
        <w:t>)</w:t>
      </w:r>
      <w:r w:rsidR="00F96950" w:rsidRPr="00433DD5">
        <w:t>, 273-306</w:t>
      </w:r>
      <w:r w:rsidRPr="00433DD5">
        <w:t xml:space="preserve">. Universidad Autónoma del Estado de México. </w:t>
      </w:r>
      <w:r w:rsidR="00902586" w:rsidRPr="00433DD5">
        <w:t>Recuperado de http://ri.uaemex.mx/handle/20.500.11799/38930.</w:t>
      </w:r>
    </w:p>
    <w:bookmarkEnd w:id="0"/>
    <w:bookmarkEnd w:id="1"/>
    <w:p w14:paraId="3AAE6F57" w14:textId="77777777" w:rsidR="006C7E50" w:rsidRPr="00A31D6E" w:rsidRDefault="006C7E50" w:rsidP="001A0378">
      <w:pPr>
        <w:spacing w:line="360" w:lineRule="auto"/>
        <w:rPr>
          <w:lang w:val="es-ES"/>
        </w:rPr>
      </w:pPr>
    </w:p>
    <w:sectPr w:rsidR="006C7E50" w:rsidRPr="00A31D6E" w:rsidSect="005E0AC3">
      <w:headerReference w:type="default" r:id="rId15"/>
      <w:footerReference w:type="default" r:id="rId16"/>
      <w:headerReference w:type="first" r:id="rId17"/>
      <w:footerReference w:type="first" r:id="rId18"/>
      <w:pgSz w:w="12240" w:h="15840"/>
      <w:pgMar w:top="1276" w:right="1701" w:bottom="993" w:left="1701" w:header="142" w:footer="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C266" w14:textId="77777777" w:rsidR="003C5C62" w:rsidRDefault="003C5C62" w:rsidP="00A21D95">
      <w:r>
        <w:separator/>
      </w:r>
    </w:p>
  </w:endnote>
  <w:endnote w:type="continuationSeparator" w:id="0">
    <w:p w14:paraId="03C81FCB" w14:textId="77777777" w:rsidR="003C5C62" w:rsidRDefault="003C5C62" w:rsidP="00A21D95">
      <w:r>
        <w:continuationSeparator/>
      </w:r>
    </w:p>
  </w:endnote>
  <w:endnote w:type="continuationNotice" w:id="1">
    <w:p w14:paraId="37B63DE1" w14:textId="77777777" w:rsidR="003C5C62" w:rsidRDefault="003C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B780" w14:textId="22D2BDE8" w:rsidR="00A21D95" w:rsidRPr="005E0AC3" w:rsidRDefault="005E0AC3">
    <w:pPr>
      <w:pStyle w:val="Piedepgina"/>
      <w:rPr>
        <w:rFonts w:ascii="Times New Roman" w:hAnsi="Times New Roman" w:cs="Times New Roman"/>
        <w:sz w:val="22"/>
        <w:szCs w:val="22"/>
      </w:rPr>
    </w:pPr>
    <w:r>
      <w:rPr>
        <w:rFonts w:ascii="Times New Roman" w:hAnsi="Times New Roman" w:cs="Times New Roman"/>
        <w:sz w:val="22"/>
        <w:szCs w:val="22"/>
      </w:rPr>
      <w:t xml:space="preserve">            </w:t>
    </w:r>
    <w:r w:rsidRPr="002A3D98">
      <w:rPr>
        <w:noProof/>
      </w:rPr>
      <w:drawing>
        <wp:inline distT="0" distB="0" distL="0" distR="0" wp14:anchorId="2CFE0BD3" wp14:editId="2918740C">
          <wp:extent cx="1600200" cy="419100"/>
          <wp:effectExtent l="0" t="0" r="0" b="0"/>
          <wp:docPr id="5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2"/>
        <w:szCs w:val="22"/>
      </w:rPr>
      <w:t xml:space="preserve">            </w:t>
    </w:r>
    <w:r w:rsidRPr="00D15102">
      <w:rPr>
        <w:b/>
        <w:szCs w:val="18"/>
      </w:rPr>
      <w:t>Vol. 12,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707021">
      <w:rPr>
        <w:b/>
        <w:szCs w:val="18"/>
      </w:rPr>
      <w:t>434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E11" w14:textId="3A2FE8A5" w:rsidR="005E0AC3" w:rsidRDefault="005E0AC3">
    <w:pPr>
      <w:pStyle w:val="Piedepgina"/>
    </w:pPr>
    <w:r>
      <w:t xml:space="preserve">         </w:t>
    </w:r>
    <w:r w:rsidRPr="002A3D98">
      <w:rPr>
        <w:noProof/>
      </w:rPr>
      <w:drawing>
        <wp:inline distT="0" distB="0" distL="0" distR="0" wp14:anchorId="2AE26904" wp14:editId="4AE37A2C">
          <wp:extent cx="1600200" cy="419100"/>
          <wp:effectExtent l="0" t="0" r="0" b="0"/>
          <wp:docPr id="5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707021">
      <w:rPr>
        <w:b/>
        <w:szCs w:val="18"/>
      </w:rPr>
      <w:t>434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F667" w14:textId="77777777" w:rsidR="003C5C62" w:rsidRDefault="003C5C62" w:rsidP="00A21D95">
      <w:r>
        <w:separator/>
      </w:r>
    </w:p>
  </w:footnote>
  <w:footnote w:type="continuationSeparator" w:id="0">
    <w:p w14:paraId="4F98D6D2" w14:textId="77777777" w:rsidR="003C5C62" w:rsidRDefault="003C5C62" w:rsidP="00A21D95">
      <w:r>
        <w:continuationSeparator/>
      </w:r>
    </w:p>
  </w:footnote>
  <w:footnote w:type="continuationNotice" w:id="1">
    <w:p w14:paraId="0C589F0B" w14:textId="77777777" w:rsidR="003C5C62" w:rsidRDefault="003C5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45E7" w14:textId="48AC501C" w:rsidR="005E0AC3" w:rsidRDefault="005E0AC3" w:rsidP="005E0AC3">
    <w:pPr>
      <w:pStyle w:val="Encabezado"/>
      <w:jc w:val="center"/>
    </w:pPr>
    <w:r w:rsidRPr="002A3D98">
      <w:rPr>
        <w:noProof/>
      </w:rPr>
      <w:drawing>
        <wp:inline distT="0" distB="0" distL="0" distR="0" wp14:anchorId="158A19EA" wp14:editId="6E10F461">
          <wp:extent cx="5397500" cy="635000"/>
          <wp:effectExtent l="0" t="0" r="0" b="0"/>
          <wp:docPr id="52"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10F4" w14:textId="6515FA40" w:rsidR="005E0AC3" w:rsidRDefault="005E0AC3" w:rsidP="005E0AC3">
    <w:pPr>
      <w:pStyle w:val="Encabezado"/>
      <w:jc w:val="center"/>
    </w:pPr>
    <w:r w:rsidRPr="002A3D98">
      <w:rPr>
        <w:noProof/>
      </w:rPr>
      <w:drawing>
        <wp:inline distT="0" distB="0" distL="0" distR="0" wp14:anchorId="172E584C" wp14:editId="67FE166D">
          <wp:extent cx="5397500" cy="635000"/>
          <wp:effectExtent l="0" t="0" r="0" b="0"/>
          <wp:docPr id="5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6C9"/>
    <w:multiLevelType w:val="hybridMultilevel"/>
    <w:tmpl w:val="FBC414C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F822C7A"/>
    <w:multiLevelType w:val="hybridMultilevel"/>
    <w:tmpl w:val="38023408"/>
    <w:lvl w:ilvl="0" w:tplc="040A0001">
      <w:start w:val="1"/>
      <w:numFmt w:val="bullet"/>
      <w:lvlText w:val=""/>
      <w:lvlJc w:val="left"/>
      <w:pPr>
        <w:ind w:left="1494" w:hanging="360"/>
      </w:pPr>
      <w:rPr>
        <w:rFonts w:ascii="Symbol" w:hAnsi="Symbol" w:hint="default"/>
        <w:b/>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2" w15:restartNumberingAfterBreak="0">
    <w:nsid w:val="433C158A"/>
    <w:multiLevelType w:val="multilevel"/>
    <w:tmpl w:val="1714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DB2EC0"/>
    <w:multiLevelType w:val="hybridMultilevel"/>
    <w:tmpl w:val="62966F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7B8D354A"/>
    <w:multiLevelType w:val="hybridMultilevel"/>
    <w:tmpl w:val="071CF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39374E"/>
    <w:multiLevelType w:val="hybridMultilevel"/>
    <w:tmpl w:val="B0ECC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952235">
    <w:abstractNumId w:val="1"/>
  </w:num>
  <w:num w:numId="2" w16cid:durableId="602691915">
    <w:abstractNumId w:val="4"/>
  </w:num>
  <w:num w:numId="3" w16cid:durableId="1925020490">
    <w:abstractNumId w:val="0"/>
  </w:num>
  <w:num w:numId="4" w16cid:durableId="1530489840">
    <w:abstractNumId w:val="5"/>
  </w:num>
  <w:num w:numId="5" w16cid:durableId="1989550316">
    <w:abstractNumId w:val="2"/>
  </w:num>
  <w:num w:numId="6" w16cid:durableId="1984576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60"/>
    <w:rsid w:val="00000EE1"/>
    <w:rsid w:val="000055F6"/>
    <w:rsid w:val="00005980"/>
    <w:rsid w:val="000104F0"/>
    <w:rsid w:val="00010D2C"/>
    <w:rsid w:val="0001266F"/>
    <w:rsid w:val="00014217"/>
    <w:rsid w:val="000150C2"/>
    <w:rsid w:val="000158E1"/>
    <w:rsid w:val="00021E63"/>
    <w:rsid w:val="000220B6"/>
    <w:rsid w:val="00022BC6"/>
    <w:rsid w:val="00025211"/>
    <w:rsid w:val="00025613"/>
    <w:rsid w:val="00031F69"/>
    <w:rsid w:val="0003261D"/>
    <w:rsid w:val="00033777"/>
    <w:rsid w:val="00033785"/>
    <w:rsid w:val="000347D7"/>
    <w:rsid w:val="0003494D"/>
    <w:rsid w:val="00036310"/>
    <w:rsid w:val="000401B4"/>
    <w:rsid w:val="00040AFA"/>
    <w:rsid w:val="00041A6B"/>
    <w:rsid w:val="00043FDD"/>
    <w:rsid w:val="00046380"/>
    <w:rsid w:val="000468F9"/>
    <w:rsid w:val="00051D7F"/>
    <w:rsid w:val="000521D9"/>
    <w:rsid w:val="00052839"/>
    <w:rsid w:val="00052CC2"/>
    <w:rsid w:val="00053219"/>
    <w:rsid w:val="00060E29"/>
    <w:rsid w:val="000635D9"/>
    <w:rsid w:val="00064BA2"/>
    <w:rsid w:val="00065108"/>
    <w:rsid w:val="000718BF"/>
    <w:rsid w:val="00071DE9"/>
    <w:rsid w:val="00075C7A"/>
    <w:rsid w:val="00075EEE"/>
    <w:rsid w:val="0007723A"/>
    <w:rsid w:val="000772E8"/>
    <w:rsid w:val="000807C6"/>
    <w:rsid w:val="00083F3A"/>
    <w:rsid w:val="00084AFB"/>
    <w:rsid w:val="0008681E"/>
    <w:rsid w:val="000869CD"/>
    <w:rsid w:val="0008726A"/>
    <w:rsid w:val="00090383"/>
    <w:rsid w:val="00090591"/>
    <w:rsid w:val="00090CAE"/>
    <w:rsid w:val="000918BA"/>
    <w:rsid w:val="000962A5"/>
    <w:rsid w:val="000A1F26"/>
    <w:rsid w:val="000A366D"/>
    <w:rsid w:val="000A45A0"/>
    <w:rsid w:val="000A5898"/>
    <w:rsid w:val="000B0430"/>
    <w:rsid w:val="000B125A"/>
    <w:rsid w:val="000B3AC7"/>
    <w:rsid w:val="000B55E8"/>
    <w:rsid w:val="000B5C0D"/>
    <w:rsid w:val="000B5D39"/>
    <w:rsid w:val="000B62E1"/>
    <w:rsid w:val="000C1FFE"/>
    <w:rsid w:val="000C27EE"/>
    <w:rsid w:val="000C6A94"/>
    <w:rsid w:val="000D20F8"/>
    <w:rsid w:val="000D3191"/>
    <w:rsid w:val="000D3314"/>
    <w:rsid w:val="000E0C98"/>
    <w:rsid w:val="000E5A86"/>
    <w:rsid w:val="000E5FBB"/>
    <w:rsid w:val="000E6E72"/>
    <w:rsid w:val="000F045B"/>
    <w:rsid w:val="000F405E"/>
    <w:rsid w:val="000F4E03"/>
    <w:rsid w:val="000F7486"/>
    <w:rsid w:val="00100B98"/>
    <w:rsid w:val="001026CC"/>
    <w:rsid w:val="001036EA"/>
    <w:rsid w:val="00103A8F"/>
    <w:rsid w:val="00103D6B"/>
    <w:rsid w:val="0010686C"/>
    <w:rsid w:val="00106AC8"/>
    <w:rsid w:val="0010744F"/>
    <w:rsid w:val="00107531"/>
    <w:rsid w:val="00107F8C"/>
    <w:rsid w:val="001103E7"/>
    <w:rsid w:val="00110546"/>
    <w:rsid w:val="0011152D"/>
    <w:rsid w:val="00111CC4"/>
    <w:rsid w:val="001122A8"/>
    <w:rsid w:val="00115201"/>
    <w:rsid w:val="0012046E"/>
    <w:rsid w:val="00121083"/>
    <w:rsid w:val="00124484"/>
    <w:rsid w:val="00126A40"/>
    <w:rsid w:val="00132EF0"/>
    <w:rsid w:val="0013355F"/>
    <w:rsid w:val="0013389E"/>
    <w:rsid w:val="00137160"/>
    <w:rsid w:val="0014393C"/>
    <w:rsid w:val="00144F0A"/>
    <w:rsid w:val="001464EB"/>
    <w:rsid w:val="0015026B"/>
    <w:rsid w:val="001506AC"/>
    <w:rsid w:val="00154CB8"/>
    <w:rsid w:val="001574EB"/>
    <w:rsid w:val="00160955"/>
    <w:rsid w:val="001617B2"/>
    <w:rsid w:val="00164947"/>
    <w:rsid w:val="00164D4B"/>
    <w:rsid w:val="00170CC3"/>
    <w:rsid w:val="001713EF"/>
    <w:rsid w:val="00172D18"/>
    <w:rsid w:val="0017792C"/>
    <w:rsid w:val="00177B0F"/>
    <w:rsid w:val="001846EC"/>
    <w:rsid w:val="001848C7"/>
    <w:rsid w:val="00185F66"/>
    <w:rsid w:val="00190100"/>
    <w:rsid w:val="00190DDD"/>
    <w:rsid w:val="00192360"/>
    <w:rsid w:val="0019256A"/>
    <w:rsid w:val="001941D0"/>
    <w:rsid w:val="00194E21"/>
    <w:rsid w:val="001A0378"/>
    <w:rsid w:val="001A0E31"/>
    <w:rsid w:val="001B1579"/>
    <w:rsid w:val="001B3487"/>
    <w:rsid w:val="001B3A99"/>
    <w:rsid w:val="001B44F5"/>
    <w:rsid w:val="001B507A"/>
    <w:rsid w:val="001B5434"/>
    <w:rsid w:val="001B6B13"/>
    <w:rsid w:val="001C0288"/>
    <w:rsid w:val="001C2C8B"/>
    <w:rsid w:val="001C3182"/>
    <w:rsid w:val="001C40D0"/>
    <w:rsid w:val="001D106F"/>
    <w:rsid w:val="001D41C3"/>
    <w:rsid w:val="001D58E9"/>
    <w:rsid w:val="001D64B5"/>
    <w:rsid w:val="001D6CE8"/>
    <w:rsid w:val="001D71A6"/>
    <w:rsid w:val="001D7EB6"/>
    <w:rsid w:val="001E4B38"/>
    <w:rsid w:val="001F00EB"/>
    <w:rsid w:val="001F15EA"/>
    <w:rsid w:val="001F2A8E"/>
    <w:rsid w:val="001F6AF2"/>
    <w:rsid w:val="00200299"/>
    <w:rsid w:val="00200419"/>
    <w:rsid w:val="00200B74"/>
    <w:rsid w:val="00200C04"/>
    <w:rsid w:val="00201EF5"/>
    <w:rsid w:val="00203942"/>
    <w:rsid w:val="00204253"/>
    <w:rsid w:val="00207203"/>
    <w:rsid w:val="002073BB"/>
    <w:rsid w:val="00212D02"/>
    <w:rsid w:val="0021306F"/>
    <w:rsid w:val="00215A45"/>
    <w:rsid w:val="00222A75"/>
    <w:rsid w:val="00222C27"/>
    <w:rsid w:val="00223044"/>
    <w:rsid w:val="00226D77"/>
    <w:rsid w:val="00227F16"/>
    <w:rsid w:val="00230382"/>
    <w:rsid w:val="00230AD6"/>
    <w:rsid w:val="00232AB1"/>
    <w:rsid w:val="00234A0A"/>
    <w:rsid w:val="002365CF"/>
    <w:rsid w:val="002405C0"/>
    <w:rsid w:val="002419E1"/>
    <w:rsid w:val="0024277F"/>
    <w:rsid w:val="00242E59"/>
    <w:rsid w:val="00244D89"/>
    <w:rsid w:val="00245C5A"/>
    <w:rsid w:val="00245F89"/>
    <w:rsid w:val="00246878"/>
    <w:rsid w:val="00246A29"/>
    <w:rsid w:val="00257966"/>
    <w:rsid w:val="00257BC7"/>
    <w:rsid w:val="0026135E"/>
    <w:rsid w:val="002613A8"/>
    <w:rsid w:val="00263534"/>
    <w:rsid w:val="00264E53"/>
    <w:rsid w:val="00267C76"/>
    <w:rsid w:val="00276543"/>
    <w:rsid w:val="002767C6"/>
    <w:rsid w:val="00283BEB"/>
    <w:rsid w:val="00291F3A"/>
    <w:rsid w:val="0029253D"/>
    <w:rsid w:val="002928C7"/>
    <w:rsid w:val="002947F2"/>
    <w:rsid w:val="00296266"/>
    <w:rsid w:val="00296D9F"/>
    <w:rsid w:val="002977FC"/>
    <w:rsid w:val="002A023A"/>
    <w:rsid w:val="002A3018"/>
    <w:rsid w:val="002A3227"/>
    <w:rsid w:val="002A454C"/>
    <w:rsid w:val="002A4C23"/>
    <w:rsid w:val="002A7ABD"/>
    <w:rsid w:val="002B0C17"/>
    <w:rsid w:val="002B30FA"/>
    <w:rsid w:val="002B3808"/>
    <w:rsid w:val="002B55CB"/>
    <w:rsid w:val="002B6985"/>
    <w:rsid w:val="002C1559"/>
    <w:rsid w:val="002C6E68"/>
    <w:rsid w:val="002D7C7E"/>
    <w:rsid w:val="002E0553"/>
    <w:rsid w:val="002E2124"/>
    <w:rsid w:val="002E60B2"/>
    <w:rsid w:val="002E6E46"/>
    <w:rsid w:val="002F014E"/>
    <w:rsid w:val="002F0CB9"/>
    <w:rsid w:val="002F1F9E"/>
    <w:rsid w:val="002F5C8E"/>
    <w:rsid w:val="003008B3"/>
    <w:rsid w:val="003011E4"/>
    <w:rsid w:val="00306746"/>
    <w:rsid w:val="00314AE0"/>
    <w:rsid w:val="0031576B"/>
    <w:rsid w:val="003203B0"/>
    <w:rsid w:val="003207F0"/>
    <w:rsid w:val="0032353E"/>
    <w:rsid w:val="003247FC"/>
    <w:rsid w:val="0032754C"/>
    <w:rsid w:val="00332B5C"/>
    <w:rsid w:val="00336DA7"/>
    <w:rsid w:val="00337056"/>
    <w:rsid w:val="00347140"/>
    <w:rsid w:val="00355770"/>
    <w:rsid w:val="00360589"/>
    <w:rsid w:val="00362F1B"/>
    <w:rsid w:val="00365D00"/>
    <w:rsid w:val="00366082"/>
    <w:rsid w:val="00371A45"/>
    <w:rsid w:val="00371AB1"/>
    <w:rsid w:val="00371C8A"/>
    <w:rsid w:val="00372EF6"/>
    <w:rsid w:val="00374893"/>
    <w:rsid w:val="00374C21"/>
    <w:rsid w:val="00375698"/>
    <w:rsid w:val="00377218"/>
    <w:rsid w:val="00377277"/>
    <w:rsid w:val="00381D27"/>
    <w:rsid w:val="00383C60"/>
    <w:rsid w:val="003852C5"/>
    <w:rsid w:val="0038578F"/>
    <w:rsid w:val="0038583C"/>
    <w:rsid w:val="00386CF1"/>
    <w:rsid w:val="00386EC5"/>
    <w:rsid w:val="003875FC"/>
    <w:rsid w:val="0039062C"/>
    <w:rsid w:val="00390B95"/>
    <w:rsid w:val="00391299"/>
    <w:rsid w:val="00395839"/>
    <w:rsid w:val="003A10E6"/>
    <w:rsid w:val="003A1D12"/>
    <w:rsid w:val="003A444E"/>
    <w:rsid w:val="003A4FC1"/>
    <w:rsid w:val="003A517E"/>
    <w:rsid w:val="003A7D50"/>
    <w:rsid w:val="003B13C6"/>
    <w:rsid w:val="003B5B60"/>
    <w:rsid w:val="003B5E7C"/>
    <w:rsid w:val="003B6618"/>
    <w:rsid w:val="003B6FAF"/>
    <w:rsid w:val="003C2B11"/>
    <w:rsid w:val="003C312E"/>
    <w:rsid w:val="003C5C62"/>
    <w:rsid w:val="003D1C47"/>
    <w:rsid w:val="003D20CE"/>
    <w:rsid w:val="003D563F"/>
    <w:rsid w:val="003E0041"/>
    <w:rsid w:val="003E0BB3"/>
    <w:rsid w:val="003E1143"/>
    <w:rsid w:val="003E3F1B"/>
    <w:rsid w:val="003E4354"/>
    <w:rsid w:val="003E5273"/>
    <w:rsid w:val="003F10F1"/>
    <w:rsid w:val="003F2743"/>
    <w:rsid w:val="003F2863"/>
    <w:rsid w:val="003F3038"/>
    <w:rsid w:val="003F5478"/>
    <w:rsid w:val="003F659D"/>
    <w:rsid w:val="00402123"/>
    <w:rsid w:val="00403135"/>
    <w:rsid w:val="0040468B"/>
    <w:rsid w:val="00405650"/>
    <w:rsid w:val="00405B57"/>
    <w:rsid w:val="00410877"/>
    <w:rsid w:val="004118BE"/>
    <w:rsid w:val="00413EED"/>
    <w:rsid w:val="004172E8"/>
    <w:rsid w:val="0041741B"/>
    <w:rsid w:val="00421EBC"/>
    <w:rsid w:val="004233AE"/>
    <w:rsid w:val="00423B38"/>
    <w:rsid w:val="0042511A"/>
    <w:rsid w:val="004270AF"/>
    <w:rsid w:val="00430071"/>
    <w:rsid w:val="004303C1"/>
    <w:rsid w:val="004306AC"/>
    <w:rsid w:val="0043105D"/>
    <w:rsid w:val="00433412"/>
    <w:rsid w:val="00433DD5"/>
    <w:rsid w:val="0043548C"/>
    <w:rsid w:val="00441750"/>
    <w:rsid w:val="00441799"/>
    <w:rsid w:val="004419F5"/>
    <w:rsid w:val="00442752"/>
    <w:rsid w:val="00442E23"/>
    <w:rsid w:val="004454BE"/>
    <w:rsid w:val="00447F6C"/>
    <w:rsid w:val="00451524"/>
    <w:rsid w:val="00455A59"/>
    <w:rsid w:val="00455AA0"/>
    <w:rsid w:val="00466E89"/>
    <w:rsid w:val="00466F39"/>
    <w:rsid w:val="00470263"/>
    <w:rsid w:val="00470459"/>
    <w:rsid w:val="0047179E"/>
    <w:rsid w:val="00472375"/>
    <w:rsid w:val="0047435D"/>
    <w:rsid w:val="004764F6"/>
    <w:rsid w:val="00481731"/>
    <w:rsid w:val="00482CD0"/>
    <w:rsid w:val="00483FFA"/>
    <w:rsid w:val="00485CA2"/>
    <w:rsid w:val="004860A0"/>
    <w:rsid w:val="004905A6"/>
    <w:rsid w:val="00493822"/>
    <w:rsid w:val="00497212"/>
    <w:rsid w:val="00497A26"/>
    <w:rsid w:val="004A025D"/>
    <w:rsid w:val="004A3023"/>
    <w:rsid w:val="004A4677"/>
    <w:rsid w:val="004A50E9"/>
    <w:rsid w:val="004A5BFF"/>
    <w:rsid w:val="004A71E2"/>
    <w:rsid w:val="004B013E"/>
    <w:rsid w:val="004B26FD"/>
    <w:rsid w:val="004B29B8"/>
    <w:rsid w:val="004B48F6"/>
    <w:rsid w:val="004B5A11"/>
    <w:rsid w:val="004B67BC"/>
    <w:rsid w:val="004B72D8"/>
    <w:rsid w:val="004C0BBD"/>
    <w:rsid w:val="004C1113"/>
    <w:rsid w:val="004C1908"/>
    <w:rsid w:val="004C3FBA"/>
    <w:rsid w:val="004C531C"/>
    <w:rsid w:val="004D1241"/>
    <w:rsid w:val="004D54B6"/>
    <w:rsid w:val="004D6302"/>
    <w:rsid w:val="004D7D2A"/>
    <w:rsid w:val="004E37AF"/>
    <w:rsid w:val="004E3913"/>
    <w:rsid w:val="004E4C3B"/>
    <w:rsid w:val="004E4EB8"/>
    <w:rsid w:val="004E5E45"/>
    <w:rsid w:val="004F02D5"/>
    <w:rsid w:val="004F1057"/>
    <w:rsid w:val="004F15F2"/>
    <w:rsid w:val="004F267E"/>
    <w:rsid w:val="004F49AB"/>
    <w:rsid w:val="004F5442"/>
    <w:rsid w:val="00500125"/>
    <w:rsid w:val="00501B09"/>
    <w:rsid w:val="005064B2"/>
    <w:rsid w:val="00507247"/>
    <w:rsid w:val="0050764A"/>
    <w:rsid w:val="005128F4"/>
    <w:rsid w:val="00512C05"/>
    <w:rsid w:val="00513993"/>
    <w:rsid w:val="00516DBB"/>
    <w:rsid w:val="00525604"/>
    <w:rsid w:val="005337BA"/>
    <w:rsid w:val="00534C1D"/>
    <w:rsid w:val="005356E9"/>
    <w:rsid w:val="005404F8"/>
    <w:rsid w:val="00540910"/>
    <w:rsid w:val="005422A6"/>
    <w:rsid w:val="00544526"/>
    <w:rsid w:val="00545870"/>
    <w:rsid w:val="00545F31"/>
    <w:rsid w:val="00552E29"/>
    <w:rsid w:val="0055306A"/>
    <w:rsid w:val="0055338A"/>
    <w:rsid w:val="00553CE7"/>
    <w:rsid w:val="0055492C"/>
    <w:rsid w:val="005557E1"/>
    <w:rsid w:val="005564BA"/>
    <w:rsid w:val="00557ED8"/>
    <w:rsid w:val="0056054F"/>
    <w:rsid w:val="005605D9"/>
    <w:rsid w:val="005608BE"/>
    <w:rsid w:val="005625FE"/>
    <w:rsid w:val="005677FC"/>
    <w:rsid w:val="005723AF"/>
    <w:rsid w:val="00572918"/>
    <w:rsid w:val="005754C2"/>
    <w:rsid w:val="00576FF8"/>
    <w:rsid w:val="0057741B"/>
    <w:rsid w:val="00580FE4"/>
    <w:rsid w:val="00583020"/>
    <w:rsid w:val="00584F9A"/>
    <w:rsid w:val="00596933"/>
    <w:rsid w:val="005A13E6"/>
    <w:rsid w:val="005A30A7"/>
    <w:rsid w:val="005A7A2B"/>
    <w:rsid w:val="005B2543"/>
    <w:rsid w:val="005B2D48"/>
    <w:rsid w:val="005B55EF"/>
    <w:rsid w:val="005B5E7B"/>
    <w:rsid w:val="005B7D5D"/>
    <w:rsid w:val="005C0763"/>
    <w:rsid w:val="005C1CFE"/>
    <w:rsid w:val="005C381A"/>
    <w:rsid w:val="005C5A8F"/>
    <w:rsid w:val="005C7F15"/>
    <w:rsid w:val="005D2FB9"/>
    <w:rsid w:val="005D4ACE"/>
    <w:rsid w:val="005D583B"/>
    <w:rsid w:val="005D720B"/>
    <w:rsid w:val="005E0AC3"/>
    <w:rsid w:val="005E1784"/>
    <w:rsid w:val="005E4DCE"/>
    <w:rsid w:val="005E7B11"/>
    <w:rsid w:val="005F511A"/>
    <w:rsid w:val="005F57AC"/>
    <w:rsid w:val="006010C4"/>
    <w:rsid w:val="00602EF1"/>
    <w:rsid w:val="00610A5B"/>
    <w:rsid w:val="00612555"/>
    <w:rsid w:val="00614FC4"/>
    <w:rsid w:val="00620A5D"/>
    <w:rsid w:val="00621BB1"/>
    <w:rsid w:val="00622795"/>
    <w:rsid w:val="00624F15"/>
    <w:rsid w:val="0062505F"/>
    <w:rsid w:val="00625DDC"/>
    <w:rsid w:val="00625FB4"/>
    <w:rsid w:val="00626FF5"/>
    <w:rsid w:val="00627737"/>
    <w:rsid w:val="00630E75"/>
    <w:rsid w:val="006316D7"/>
    <w:rsid w:val="006346C9"/>
    <w:rsid w:val="00635103"/>
    <w:rsid w:val="00635960"/>
    <w:rsid w:val="00637228"/>
    <w:rsid w:val="00637E10"/>
    <w:rsid w:val="00644981"/>
    <w:rsid w:val="0064540C"/>
    <w:rsid w:val="006476A4"/>
    <w:rsid w:val="00647BDB"/>
    <w:rsid w:val="00651845"/>
    <w:rsid w:val="00653CD6"/>
    <w:rsid w:val="006548E1"/>
    <w:rsid w:val="0065622E"/>
    <w:rsid w:val="0066045A"/>
    <w:rsid w:val="00663C8E"/>
    <w:rsid w:val="00665669"/>
    <w:rsid w:val="00666689"/>
    <w:rsid w:val="00670C69"/>
    <w:rsid w:val="00675D43"/>
    <w:rsid w:val="00677A6A"/>
    <w:rsid w:val="006839E6"/>
    <w:rsid w:val="00686096"/>
    <w:rsid w:val="00686D31"/>
    <w:rsid w:val="00693A56"/>
    <w:rsid w:val="00693BEE"/>
    <w:rsid w:val="006B018A"/>
    <w:rsid w:val="006B4242"/>
    <w:rsid w:val="006C09D4"/>
    <w:rsid w:val="006C1F5D"/>
    <w:rsid w:val="006C1FCB"/>
    <w:rsid w:val="006C21C0"/>
    <w:rsid w:val="006C385C"/>
    <w:rsid w:val="006C48CD"/>
    <w:rsid w:val="006C5634"/>
    <w:rsid w:val="006C570D"/>
    <w:rsid w:val="006C5F33"/>
    <w:rsid w:val="006C7E50"/>
    <w:rsid w:val="006D0946"/>
    <w:rsid w:val="006D1B3B"/>
    <w:rsid w:val="006D2D4C"/>
    <w:rsid w:val="006D46D7"/>
    <w:rsid w:val="006E2B5D"/>
    <w:rsid w:val="006E35E2"/>
    <w:rsid w:val="006E40ED"/>
    <w:rsid w:val="006E4469"/>
    <w:rsid w:val="006E5FB5"/>
    <w:rsid w:val="006F1EC1"/>
    <w:rsid w:val="006F2F76"/>
    <w:rsid w:val="006F5300"/>
    <w:rsid w:val="00701AB3"/>
    <w:rsid w:val="007056D7"/>
    <w:rsid w:val="00707021"/>
    <w:rsid w:val="00711DB0"/>
    <w:rsid w:val="007124CA"/>
    <w:rsid w:val="007141C3"/>
    <w:rsid w:val="00714386"/>
    <w:rsid w:val="00714D7A"/>
    <w:rsid w:val="00715DA4"/>
    <w:rsid w:val="007167D1"/>
    <w:rsid w:val="00720D18"/>
    <w:rsid w:val="007212D3"/>
    <w:rsid w:val="00724CD7"/>
    <w:rsid w:val="00727BD1"/>
    <w:rsid w:val="007309D3"/>
    <w:rsid w:val="00731118"/>
    <w:rsid w:val="00731C9F"/>
    <w:rsid w:val="007370A5"/>
    <w:rsid w:val="00740335"/>
    <w:rsid w:val="00740524"/>
    <w:rsid w:val="00740F0F"/>
    <w:rsid w:val="00741579"/>
    <w:rsid w:val="00744630"/>
    <w:rsid w:val="007453A4"/>
    <w:rsid w:val="00747C34"/>
    <w:rsid w:val="007500D8"/>
    <w:rsid w:val="0075355A"/>
    <w:rsid w:val="00753DC6"/>
    <w:rsid w:val="00754EA3"/>
    <w:rsid w:val="0075532A"/>
    <w:rsid w:val="007553EF"/>
    <w:rsid w:val="00756349"/>
    <w:rsid w:val="00756905"/>
    <w:rsid w:val="00756DF4"/>
    <w:rsid w:val="007620EA"/>
    <w:rsid w:val="0076232B"/>
    <w:rsid w:val="007658E2"/>
    <w:rsid w:val="00766EEA"/>
    <w:rsid w:val="00770636"/>
    <w:rsid w:val="0077163A"/>
    <w:rsid w:val="007720B3"/>
    <w:rsid w:val="00772A77"/>
    <w:rsid w:val="007758C9"/>
    <w:rsid w:val="00777998"/>
    <w:rsid w:val="00784C04"/>
    <w:rsid w:val="00785CD1"/>
    <w:rsid w:val="00790B2D"/>
    <w:rsid w:val="00791163"/>
    <w:rsid w:val="00791F8D"/>
    <w:rsid w:val="007928B2"/>
    <w:rsid w:val="007957C7"/>
    <w:rsid w:val="007A2015"/>
    <w:rsid w:val="007A405E"/>
    <w:rsid w:val="007A70C9"/>
    <w:rsid w:val="007B04DC"/>
    <w:rsid w:val="007B14F3"/>
    <w:rsid w:val="007B2825"/>
    <w:rsid w:val="007B3E69"/>
    <w:rsid w:val="007B661B"/>
    <w:rsid w:val="007B7DC4"/>
    <w:rsid w:val="007C7D3F"/>
    <w:rsid w:val="007D15A9"/>
    <w:rsid w:val="007D17E6"/>
    <w:rsid w:val="007D304D"/>
    <w:rsid w:val="007D3587"/>
    <w:rsid w:val="007D64AB"/>
    <w:rsid w:val="007D6BE5"/>
    <w:rsid w:val="007D7D0B"/>
    <w:rsid w:val="007E4B98"/>
    <w:rsid w:val="007E6080"/>
    <w:rsid w:val="00800367"/>
    <w:rsid w:val="00802F24"/>
    <w:rsid w:val="00804B18"/>
    <w:rsid w:val="00805166"/>
    <w:rsid w:val="00805F61"/>
    <w:rsid w:val="00812461"/>
    <w:rsid w:val="00815B2D"/>
    <w:rsid w:val="00821F8E"/>
    <w:rsid w:val="00822A73"/>
    <w:rsid w:val="00822E0C"/>
    <w:rsid w:val="00823E72"/>
    <w:rsid w:val="00824E89"/>
    <w:rsid w:val="008252F0"/>
    <w:rsid w:val="0082549C"/>
    <w:rsid w:val="008262A2"/>
    <w:rsid w:val="008304DA"/>
    <w:rsid w:val="008323AE"/>
    <w:rsid w:val="00832D28"/>
    <w:rsid w:val="00833BEC"/>
    <w:rsid w:val="008343A7"/>
    <w:rsid w:val="008347FE"/>
    <w:rsid w:val="00837177"/>
    <w:rsid w:val="00840168"/>
    <w:rsid w:val="0084256A"/>
    <w:rsid w:val="00842836"/>
    <w:rsid w:val="00842854"/>
    <w:rsid w:val="00842A74"/>
    <w:rsid w:val="00842A92"/>
    <w:rsid w:val="00843CF5"/>
    <w:rsid w:val="00846B70"/>
    <w:rsid w:val="00847243"/>
    <w:rsid w:val="008538F1"/>
    <w:rsid w:val="008546A0"/>
    <w:rsid w:val="00855D56"/>
    <w:rsid w:val="0086175A"/>
    <w:rsid w:val="00861B26"/>
    <w:rsid w:val="00863CE5"/>
    <w:rsid w:val="00863FD3"/>
    <w:rsid w:val="0086628D"/>
    <w:rsid w:val="008676FE"/>
    <w:rsid w:val="00871F93"/>
    <w:rsid w:val="0087212F"/>
    <w:rsid w:val="008733CA"/>
    <w:rsid w:val="00874813"/>
    <w:rsid w:val="008816AF"/>
    <w:rsid w:val="00882AA4"/>
    <w:rsid w:val="00884A6B"/>
    <w:rsid w:val="00886010"/>
    <w:rsid w:val="008905EC"/>
    <w:rsid w:val="00891220"/>
    <w:rsid w:val="00895458"/>
    <w:rsid w:val="00897810"/>
    <w:rsid w:val="00897BBD"/>
    <w:rsid w:val="008A2AEA"/>
    <w:rsid w:val="008A2F92"/>
    <w:rsid w:val="008A4A72"/>
    <w:rsid w:val="008A5C64"/>
    <w:rsid w:val="008A5E27"/>
    <w:rsid w:val="008B04D9"/>
    <w:rsid w:val="008B221C"/>
    <w:rsid w:val="008B2B0E"/>
    <w:rsid w:val="008B457E"/>
    <w:rsid w:val="008B555E"/>
    <w:rsid w:val="008B5FE6"/>
    <w:rsid w:val="008C047B"/>
    <w:rsid w:val="008C4E6E"/>
    <w:rsid w:val="008D1E9C"/>
    <w:rsid w:val="008D2F49"/>
    <w:rsid w:val="008D6E43"/>
    <w:rsid w:val="008D7B08"/>
    <w:rsid w:val="008E202E"/>
    <w:rsid w:val="008F4464"/>
    <w:rsid w:val="008F4A8F"/>
    <w:rsid w:val="008F55E4"/>
    <w:rsid w:val="008F5BE2"/>
    <w:rsid w:val="008F5DD5"/>
    <w:rsid w:val="0090089E"/>
    <w:rsid w:val="00902586"/>
    <w:rsid w:val="00906D40"/>
    <w:rsid w:val="009137F7"/>
    <w:rsid w:val="00914C6B"/>
    <w:rsid w:val="00922175"/>
    <w:rsid w:val="009223EB"/>
    <w:rsid w:val="0092414D"/>
    <w:rsid w:val="0092487F"/>
    <w:rsid w:val="00927923"/>
    <w:rsid w:val="00932FA6"/>
    <w:rsid w:val="0093546F"/>
    <w:rsid w:val="009360FC"/>
    <w:rsid w:val="009404EC"/>
    <w:rsid w:val="0094505A"/>
    <w:rsid w:val="009479E4"/>
    <w:rsid w:val="00950A14"/>
    <w:rsid w:val="00952E85"/>
    <w:rsid w:val="00954257"/>
    <w:rsid w:val="00954E01"/>
    <w:rsid w:val="00955DB1"/>
    <w:rsid w:val="00957206"/>
    <w:rsid w:val="00957BE3"/>
    <w:rsid w:val="0096051E"/>
    <w:rsid w:val="00963DB5"/>
    <w:rsid w:val="009661CE"/>
    <w:rsid w:val="00967628"/>
    <w:rsid w:val="00970041"/>
    <w:rsid w:val="009714C2"/>
    <w:rsid w:val="009716CC"/>
    <w:rsid w:val="00971753"/>
    <w:rsid w:val="00972346"/>
    <w:rsid w:val="0097670C"/>
    <w:rsid w:val="00976D84"/>
    <w:rsid w:val="0097738B"/>
    <w:rsid w:val="00981E1C"/>
    <w:rsid w:val="00982731"/>
    <w:rsid w:val="00986FA4"/>
    <w:rsid w:val="00987D78"/>
    <w:rsid w:val="009944D2"/>
    <w:rsid w:val="0099492F"/>
    <w:rsid w:val="009958CF"/>
    <w:rsid w:val="009A1142"/>
    <w:rsid w:val="009A2670"/>
    <w:rsid w:val="009A3442"/>
    <w:rsid w:val="009A6CE9"/>
    <w:rsid w:val="009B0E37"/>
    <w:rsid w:val="009C02B7"/>
    <w:rsid w:val="009C06DB"/>
    <w:rsid w:val="009C087E"/>
    <w:rsid w:val="009C0F50"/>
    <w:rsid w:val="009C2855"/>
    <w:rsid w:val="009C61A2"/>
    <w:rsid w:val="009C71DF"/>
    <w:rsid w:val="009D43CF"/>
    <w:rsid w:val="009D51F4"/>
    <w:rsid w:val="009D5794"/>
    <w:rsid w:val="009E0C8E"/>
    <w:rsid w:val="009E118A"/>
    <w:rsid w:val="009E1D7A"/>
    <w:rsid w:val="009E2142"/>
    <w:rsid w:val="009E3392"/>
    <w:rsid w:val="009E668E"/>
    <w:rsid w:val="009E675D"/>
    <w:rsid w:val="009F0717"/>
    <w:rsid w:val="009F2E9E"/>
    <w:rsid w:val="009F331F"/>
    <w:rsid w:val="009F3AAB"/>
    <w:rsid w:val="009F7C8B"/>
    <w:rsid w:val="00A008AF"/>
    <w:rsid w:val="00A06665"/>
    <w:rsid w:val="00A11F2B"/>
    <w:rsid w:val="00A13EFE"/>
    <w:rsid w:val="00A14A09"/>
    <w:rsid w:val="00A15B38"/>
    <w:rsid w:val="00A15C16"/>
    <w:rsid w:val="00A1621B"/>
    <w:rsid w:val="00A166D5"/>
    <w:rsid w:val="00A20057"/>
    <w:rsid w:val="00A20AAA"/>
    <w:rsid w:val="00A212F1"/>
    <w:rsid w:val="00A21D95"/>
    <w:rsid w:val="00A22979"/>
    <w:rsid w:val="00A25634"/>
    <w:rsid w:val="00A2595A"/>
    <w:rsid w:val="00A31B04"/>
    <w:rsid w:val="00A31D6E"/>
    <w:rsid w:val="00A37ED1"/>
    <w:rsid w:val="00A43F55"/>
    <w:rsid w:val="00A443E5"/>
    <w:rsid w:val="00A46F0E"/>
    <w:rsid w:val="00A47DCF"/>
    <w:rsid w:val="00A47E02"/>
    <w:rsid w:val="00A51055"/>
    <w:rsid w:val="00A54EC8"/>
    <w:rsid w:val="00A55CB1"/>
    <w:rsid w:val="00A55D1D"/>
    <w:rsid w:val="00A56C08"/>
    <w:rsid w:val="00A615F2"/>
    <w:rsid w:val="00A63115"/>
    <w:rsid w:val="00A657A9"/>
    <w:rsid w:val="00A65E6A"/>
    <w:rsid w:val="00A70167"/>
    <w:rsid w:val="00A711C8"/>
    <w:rsid w:val="00A72249"/>
    <w:rsid w:val="00A72EC5"/>
    <w:rsid w:val="00A76382"/>
    <w:rsid w:val="00A801CB"/>
    <w:rsid w:val="00A82454"/>
    <w:rsid w:val="00A85156"/>
    <w:rsid w:val="00A86B37"/>
    <w:rsid w:val="00A92A8B"/>
    <w:rsid w:val="00A931DB"/>
    <w:rsid w:val="00A957C5"/>
    <w:rsid w:val="00AA1362"/>
    <w:rsid w:val="00AA2B63"/>
    <w:rsid w:val="00AA6503"/>
    <w:rsid w:val="00AA6E47"/>
    <w:rsid w:val="00AB3AF6"/>
    <w:rsid w:val="00AB4C4F"/>
    <w:rsid w:val="00AB556B"/>
    <w:rsid w:val="00AB7BD3"/>
    <w:rsid w:val="00AC09AF"/>
    <w:rsid w:val="00AC161D"/>
    <w:rsid w:val="00AC1A84"/>
    <w:rsid w:val="00AC1D28"/>
    <w:rsid w:val="00AC32F9"/>
    <w:rsid w:val="00AC5F0C"/>
    <w:rsid w:val="00AD6C03"/>
    <w:rsid w:val="00AE14C3"/>
    <w:rsid w:val="00AE32FA"/>
    <w:rsid w:val="00AE452E"/>
    <w:rsid w:val="00AE453D"/>
    <w:rsid w:val="00AE52B2"/>
    <w:rsid w:val="00AF0F80"/>
    <w:rsid w:val="00AF2D09"/>
    <w:rsid w:val="00AF4DA6"/>
    <w:rsid w:val="00AF5D32"/>
    <w:rsid w:val="00AF5EE2"/>
    <w:rsid w:val="00AF6972"/>
    <w:rsid w:val="00AF6CFA"/>
    <w:rsid w:val="00AF7A6D"/>
    <w:rsid w:val="00AF7ADF"/>
    <w:rsid w:val="00B0153B"/>
    <w:rsid w:val="00B026F8"/>
    <w:rsid w:val="00B027AB"/>
    <w:rsid w:val="00B044FB"/>
    <w:rsid w:val="00B06B54"/>
    <w:rsid w:val="00B13FD5"/>
    <w:rsid w:val="00B16F1F"/>
    <w:rsid w:val="00B2002D"/>
    <w:rsid w:val="00B210DE"/>
    <w:rsid w:val="00B32394"/>
    <w:rsid w:val="00B364E7"/>
    <w:rsid w:val="00B421D6"/>
    <w:rsid w:val="00B4312E"/>
    <w:rsid w:val="00B44F92"/>
    <w:rsid w:val="00B46EC7"/>
    <w:rsid w:val="00B508A4"/>
    <w:rsid w:val="00B51381"/>
    <w:rsid w:val="00B53CF7"/>
    <w:rsid w:val="00B61FF9"/>
    <w:rsid w:val="00B649CD"/>
    <w:rsid w:val="00B64C15"/>
    <w:rsid w:val="00B653C1"/>
    <w:rsid w:val="00B66C65"/>
    <w:rsid w:val="00B67D34"/>
    <w:rsid w:val="00B7238A"/>
    <w:rsid w:val="00B72461"/>
    <w:rsid w:val="00B75FF1"/>
    <w:rsid w:val="00B77CC2"/>
    <w:rsid w:val="00B80C65"/>
    <w:rsid w:val="00B83F8D"/>
    <w:rsid w:val="00B844AE"/>
    <w:rsid w:val="00B848BE"/>
    <w:rsid w:val="00B8645A"/>
    <w:rsid w:val="00B917C1"/>
    <w:rsid w:val="00B93035"/>
    <w:rsid w:val="00BA0BFB"/>
    <w:rsid w:val="00BA15F0"/>
    <w:rsid w:val="00BA2A51"/>
    <w:rsid w:val="00BA4828"/>
    <w:rsid w:val="00BA6648"/>
    <w:rsid w:val="00BA79CF"/>
    <w:rsid w:val="00BB00B8"/>
    <w:rsid w:val="00BB1B90"/>
    <w:rsid w:val="00BB3739"/>
    <w:rsid w:val="00BB3BE0"/>
    <w:rsid w:val="00BB431A"/>
    <w:rsid w:val="00BB4B35"/>
    <w:rsid w:val="00BB6FE7"/>
    <w:rsid w:val="00BC12BE"/>
    <w:rsid w:val="00BC197F"/>
    <w:rsid w:val="00BC27EA"/>
    <w:rsid w:val="00BC3572"/>
    <w:rsid w:val="00BC6362"/>
    <w:rsid w:val="00BD0B5C"/>
    <w:rsid w:val="00BD1034"/>
    <w:rsid w:val="00BD3451"/>
    <w:rsid w:val="00BD3F8B"/>
    <w:rsid w:val="00BD4957"/>
    <w:rsid w:val="00BD69E4"/>
    <w:rsid w:val="00BD7D30"/>
    <w:rsid w:val="00BE239F"/>
    <w:rsid w:val="00BE3054"/>
    <w:rsid w:val="00BE41DE"/>
    <w:rsid w:val="00BE4826"/>
    <w:rsid w:val="00BE7174"/>
    <w:rsid w:val="00BE7B02"/>
    <w:rsid w:val="00BF114A"/>
    <w:rsid w:val="00BF388A"/>
    <w:rsid w:val="00BF490B"/>
    <w:rsid w:val="00BF5D7A"/>
    <w:rsid w:val="00C015C2"/>
    <w:rsid w:val="00C01F29"/>
    <w:rsid w:val="00C02CF7"/>
    <w:rsid w:val="00C04210"/>
    <w:rsid w:val="00C04707"/>
    <w:rsid w:val="00C056F1"/>
    <w:rsid w:val="00C07AEE"/>
    <w:rsid w:val="00C07FC8"/>
    <w:rsid w:val="00C10B5B"/>
    <w:rsid w:val="00C149CC"/>
    <w:rsid w:val="00C22001"/>
    <w:rsid w:val="00C2475A"/>
    <w:rsid w:val="00C25C16"/>
    <w:rsid w:val="00C30A52"/>
    <w:rsid w:val="00C40076"/>
    <w:rsid w:val="00C4260F"/>
    <w:rsid w:val="00C43685"/>
    <w:rsid w:val="00C466A7"/>
    <w:rsid w:val="00C50279"/>
    <w:rsid w:val="00C512DE"/>
    <w:rsid w:val="00C53BE2"/>
    <w:rsid w:val="00C541DE"/>
    <w:rsid w:val="00C54A68"/>
    <w:rsid w:val="00C6494C"/>
    <w:rsid w:val="00C6551A"/>
    <w:rsid w:val="00C70BC9"/>
    <w:rsid w:val="00C70D49"/>
    <w:rsid w:val="00C71108"/>
    <w:rsid w:val="00C71F90"/>
    <w:rsid w:val="00C734E7"/>
    <w:rsid w:val="00C7530C"/>
    <w:rsid w:val="00C77C75"/>
    <w:rsid w:val="00C80E2E"/>
    <w:rsid w:val="00C8286A"/>
    <w:rsid w:val="00C84E45"/>
    <w:rsid w:val="00C854BB"/>
    <w:rsid w:val="00C8763B"/>
    <w:rsid w:val="00C87D30"/>
    <w:rsid w:val="00C95F39"/>
    <w:rsid w:val="00C96A37"/>
    <w:rsid w:val="00C974D2"/>
    <w:rsid w:val="00CA15E6"/>
    <w:rsid w:val="00CA2860"/>
    <w:rsid w:val="00CA5E00"/>
    <w:rsid w:val="00CA7D2C"/>
    <w:rsid w:val="00CB01E6"/>
    <w:rsid w:val="00CB287A"/>
    <w:rsid w:val="00CB3B30"/>
    <w:rsid w:val="00CC0CC0"/>
    <w:rsid w:val="00CC1DB5"/>
    <w:rsid w:val="00CC3958"/>
    <w:rsid w:val="00CC7F99"/>
    <w:rsid w:val="00CD00E2"/>
    <w:rsid w:val="00CD0224"/>
    <w:rsid w:val="00CD25EC"/>
    <w:rsid w:val="00CD7D70"/>
    <w:rsid w:val="00CE1601"/>
    <w:rsid w:val="00CE2D75"/>
    <w:rsid w:val="00CE53B8"/>
    <w:rsid w:val="00CE61E6"/>
    <w:rsid w:val="00CE733E"/>
    <w:rsid w:val="00CF21C8"/>
    <w:rsid w:val="00CF4992"/>
    <w:rsid w:val="00CF785C"/>
    <w:rsid w:val="00D00773"/>
    <w:rsid w:val="00D009E2"/>
    <w:rsid w:val="00D01154"/>
    <w:rsid w:val="00D012C9"/>
    <w:rsid w:val="00D05466"/>
    <w:rsid w:val="00D12AE7"/>
    <w:rsid w:val="00D16968"/>
    <w:rsid w:val="00D21489"/>
    <w:rsid w:val="00D21F90"/>
    <w:rsid w:val="00D26597"/>
    <w:rsid w:val="00D266FC"/>
    <w:rsid w:val="00D26DE3"/>
    <w:rsid w:val="00D30726"/>
    <w:rsid w:val="00D3211A"/>
    <w:rsid w:val="00D33C76"/>
    <w:rsid w:val="00D355CD"/>
    <w:rsid w:val="00D42F29"/>
    <w:rsid w:val="00D4396B"/>
    <w:rsid w:val="00D450F0"/>
    <w:rsid w:val="00D46282"/>
    <w:rsid w:val="00D50329"/>
    <w:rsid w:val="00D516DA"/>
    <w:rsid w:val="00D52119"/>
    <w:rsid w:val="00D5465E"/>
    <w:rsid w:val="00D5608C"/>
    <w:rsid w:val="00D57152"/>
    <w:rsid w:val="00D6123E"/>
    <w:rsid w:val="00D61939"/>
    <w:rsid w:val="00D61CE2"/>
    <w:rsid w:val="00D61EC3"/>
    <w:rsid w:val="00D622FF"/>
    <w:rsid w:val="00D6420B"/>
    <w:rsid w:val="00D66E73"/>
    <w:rsid w:val="00D727FD"/>
    <w:rsid w:val="00D735CE"/>
    <w:rsid w:val="00D74B65"/>
    <w:rsid w:val="00D756EA"/>
    <w:rsid w:val="00D75AFD"/>
    <w:rsid w:val="00D75C10"/>
    <w:rsid w:val="00D8015A"/>
    <w:rsid w:val="00D81EE7"/>
    <w:rsid w:val="00D82DD9"/>
    <w:rsid w:val="00D90986"/>
    <w:rsid w:val="00D92B76"/>
    <w:rsid w:val="00D93AD8"/>
    <w:rsid w:val="00D94EEB"/>
    <w:rsid w:val="00D95737"/>
    <w:rsid w:val="00D95E86"/>
    <w:rsid w:val="00DA13DA"/>
    <w:rsid w:val="00DA3679"/>
    <w:rsid w:val="00DA6A20"/>
    <w:rsid w:val="00DA7DD2"/>
    <w:rsid w:val="00DB199A"/>
    <w:rsid w:val="00DB383E"/>
    <w:rsid w:val="00DB47B2"/>
    <w:rsid w:val="00DB52BE"/>
    <w:rsid w:val="00DC2286"/>
    <w:rsid w:val="00DC34B1"/>
    <w:rsid w:val="00DD05A7"/>
    <w:rsid w:val="00DD42B4"/>
    <w:rsid w:val="00DD5FDD"/>
    <w:rsid w:val="00DD6877"/>
    <w:rsid w:val="00DD6B22"/>
    <w:rsid w:val="00DD7C40"/>
    <w:rsid w:val="00DE2D0A"/>
    <w:rsid w:val="00DE2ECA"/>
    <w:rsid w:val="00DE4668"/>
    <w:rsid w:val="00DE4F4D"/>
    <w:rsid w:val="00DE5685"/>
    <w:rsid w:val="00DE7B96"/>
    <w:rsid w:val="00DF000D"/>
    <w:rsid w:val="00DF0B07"/>
    <w:rsid w:val="00DF5BCE"/>
    <w:rsid w:val="00DF772F"/>
    <w:rsid w:val="00DF7812"/>
    <w:rsid w:val="00E00165"/>
    <w:rsid w:val="00E001A4"/>
    <w:rsid w:val="00E001EA"/>
    <w:rsid w:val="00E00EBD"/>
    <w:rsid w:val="00E01076"/>
    <w:rsid w:val="00E03A09"/>
    <w:rsid w:val="00E126D1"/>
    <w:rsid w:val="00E14552"/>
    <w:rsid w:val="00E21BB1"/>
    <w:rsid w:val="00E2379E"/>
    <w:rsid w:val="00E2441C"/>
    <w:rsid w:val="00E2444E"/>
    <w:rsid w:val="00E248D9"/>
    <w:rsid w:val="00E27E52"/>
    <w:rsid w:val="00E31113"/>
    <w:rsid w:val="00E3125B"/>
    <w:rsid w:val="00E322EB"/>
    <w:rsid w:val="00E362DD"/>
    <w:rsid w:val="00E36518"/>
    <w:rsid w:val="00E36DE4"/>
    <w:rsid w:val="00E37008"/>
    <w:rsid w:val="00E378FE"/>
    <w:rsid w:val="00E40C5D"/>
    <w:rsid w:val="00E42572"/>
    <w:rsid w:val="00E44E16"/>
    <w:rsid w:val="00E4569B"/>
    <w:rsid w:val="00E45E97"/>
    <w:rsid w:val="00E464B1"/>
    <w:rsid w:val="00E47601"/>
    <w:rsid w:val="00E503EB"/>
    <w:rsid w:val="00E51D6E"/>
    <w:rsid w:val="00E5283D"/>
    <w:rsid w:val="00E54862"/>
    <w:rsid w:val="00E559F7"/>
    <w:rsid w:val="00E57459"/>
    <w:rsid w:val="00E609D2"/>
    <w:rsid w:val="00E62DC8"/>
    <w:rsid w:val="00E6729F"/>
    <w:rsid w:val="00E70031"/>
    <w:rsid w:val="00E70DB7"/>
    <w:rsid w:val="00E72444"/>
    <w:rsid w:val="00E74685"/>
    <w:rsid w:val="00E75D76"/>
    <w:rsid w:val="00E82C08"/>
    <w:rsid w:val="00E84006"/>
    <w:rsid w:val="00E84E77"/>
    <w:rsid w:val="00E856F4"/>
    <w:rsid w:val="00E8571B"/>
    <w:rsid w:val="00E86556"/>
    <w:rsid w:val="00E8675D"/>
    <w:rsid w:val="00E902F5"/>
    <w:rsid w:val="00E90DEF"/>
    <w:rsid w:val="00E929FA"/>
    <w:rsid w:val="00E92C7C"/>
    <w:rsid w:val="00E935AF"/>
    <w:rsid w:val="00E94537"/>
    <w:rsid w:val="00EA14CF"/>
    <w:rsid w:val="00EA3A4E"/>
    <w:rsid w:val="00EA5B48"/>
    <w:rsid w:val="00EA6E5D"/>
    <w:rsid w:val="00EA7908"/>
    <w:rsid w:val="00EB173A"/>
    <w:rsid w:val="00EB39D1"/>
    <w:rsid w:val="00EB3C3F"/>
    <w:rsid w:val="00EB6AE8"/>
    <w:rsid w:val="00EB6D0B"/>
    <w:rsid w:val="00EC06D6"/>
    <w:rsid w:val="00EC26BC"/>
    <w:rsid w:val="00EC3282"/>
    <w:rsid w:val="00EC3775"/>
    <w:rsid w:val="00EC4751"/>
    <w:rsid w:val="00EC6388"/>
    <w:rsid w:val="00EC725F"/>
    <w:rsid w:val="00EC79ED"/>
    <w:rsid w:val="00ED10F6"/>
    <w:rsid w:val="00ED747E"/>
    <w:rsid w:val="00EE1110"/>
    <w:rsid w:val="00EE1527"/>
    <w:rsid w:val="00EE163D"/>
    <w:rsid w:val="00EE2014"/>
    <w:rsid w:val="00EE2680"/>
    <w:rsid w:val="00EE288F"/>
    <w:rsid w:val="00EE3E7C"/>
    <w:rsid w:val="00EE4E84"/>
    <w:rsid w:val="00EE552D"/>
    <w:rsid w:val="00EF5B92"/>
    <w:rsid w:val="00F03BFF"/>
    <w:rsid w:val="00F043B6"/>
    <w:rsid w:val="00F12C5C"/>
    <w:rsid w:val="00F12CE8"/>
    <w:rsid w:val="00F1606F"/>
    <w:rsid w:val="00F17D2A"/>
    <w:rsid w:val="00F21129"/>
    <w:rsid w:val="00F214A2"/>
    <w:rsid w:val="00F21DC2"/>
    <w:rsid w:val="00F2368E"/>
    <w:rsid w:val="00F2377A"/>
    <w:rsid w:val="00F23FAB"/>
    <w:rsid w:val="00F30B3C"/>
    <w:rsid w:val="00F30BE6"/>
    <w:rsid w:val="00F364E4"/>
    <w:rsid w:val="00F370EF"/>
    <w:rsid w:val="00F4007A"/>
    <w:rsid w:val="00F40CDC"/>
    <w:rsid w:val="00F4606B"/>
    <w:rsid w:val="00F561E1"/>
    <w:rsid w:val="00F608B3"/>
    <w:rsid w:val="00F64115"/>
    <w:rsid w:val="00F65B1E"/>
    <w:rsid w:val="00F7176E"/>
    <w:rsid w:val="00F71CD7"/>
    <w:rsid w:val="00F74A98"/>
    <w:rsid w:val="00F82918"/>
    <w:rsid w:val="00F836F3"/>
    <w:rsid w:val="00F85C8B"/>
    <w:rsid w:val="00F924B4"/>
    <w:rsid w:val="00F938CA"/>
    <w:rsid w:val="00F93E54"/>
    <w:rsid w:val="00F946F0"/>
    <w:rsid w:val="00F948D0"/>
    <w:rsid w:val="00F9524D"/>
    <w:rsid w:val="00F96950"/>
    <w:rsid w:val="00FA67A4"/>
    <w:rsid w:val="00FA7B8C"/>
    <w:rsid w:val="00FB0607"/>
    <w:rsid w:val="00FB1492"/>
    <w:rsid w:val="00FB1E96"/>
    <w:rsid w:val="00FB2BEF"/>
    <w:rsid w:val="00FB4D0E"/>
    <w:rsid w:val="00FB58A4"/>
    <w:rsid w:val="00FB6A96"/>
    <w:rsid w:val="00FB7024"/>
    <w:rsid w:val="00FC5C88"/>
    <w:rsid w:val="00FC713F"/>
    <w:rsid w:val="00FD0C95"/>
    <w:rsid w:val="00FD37B5"/>
    <w:rsid w:val="00FD5D29"/>
    <w:rsid w:val="00FE62A1"/>
    <w:rsid w:val="00FE7F21"/>
    <w:rsid w:val="00FF0B05"/>
    <w:rsid w:val="00FF1399"/>
    <w:rsid w:val="00FF24CA"/>
    <w:rsid w:val="00FF2624"/>
    <w:rsid w:val="00FF341D"/>
    <w:rsid w:val="00FF4C6D"/>
    <w:rsid w:val="00FF538E"/>
    <w:rsid w:val="00FF5A1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E5E9"/>
  <w15:chartTrackingRefBased/>
  <w15:docId w15:val="{05F8199D-FE03-E842-8D4F-EC33AC21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6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2B5C"/>
    <w:pPr>
      <w:spacing w:before="100" w:beforeAutospacing="1" w:after="100" w:afterAutospacing="1"/>
    </w:pPr>
  </w:style>
  <w:style w:type="character" w:styleId="Hipervnculo">
    <w:name w:val="Hyperlink"/>
    <w:basedOn w:val="Fuentedeprrafopredeter"/>
    <w:uiPriority w:val="99"/>
    <w:unhideWhenUsed/>
    <w:rsid w:val="00753DC6"/>
    <w:rPr>
      <w:color w:val="0563C1" w:themeColor="hyperlink"/>
      <w:u w:val="single"/>
    </w:rPr>
  </w:style>
  <w:style w:type="character" w:customStyle="1" w:styleId="Mencinsinresolver1">
    <w:name w:val="Mención sin resolver1"/>
    <w:basedOn w:val="Fuentedeprrafopredeter"/>
    <w:uiPriority w:val="99"/>
    <w:semiHidden/>
    <w:unhideWhenUsed/>
    <w:rsid w:val="00753DC6"/>
    <w:rPr>
      <w:color w:val="605E5C"/>
      <w:shd w:val="clear" w:color="auto" w:fill="E1DFDD"/>
    </w:rPr>
  </w:style>
  <w:style w:type="paragraph" w:styleId="Prrafodelista">
    <w:name w:val="List Paragraph"/>
    <w:basedOn w:val="Normal"/>
    <w:uiPriority w:val="34"/>
    <w:qFormat/>
    <w:rsid w:val="00DF000D"/>
    <w:pPr>
      <w:ind w:left="720"/>
      <w:contextualSpacing/>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222A75"/>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222A75"/>
    <w:rPr>
      <w:rFonts w:ascii="Calibri" w:eastAsia="Calibri" w:hAnsi="Calibri" w:cs="Times New Roman"/>
      <w:sz w:val="20"/>
      <w:szCs w:val="20"/>
    </w:rPr>
  </w:style>
  <w:style w:type="character" w:styleId="Refdenotaalpie">
    <w:name w:val="footnote reference"/>
    <w:uiPriority w:val="99"/>
    <w:semiHidden/>
    <w:unhideWhenUsed/>
    <w:rsid w:val="00222A75"/>
    <w:rPr>
      <w:vertAlign w:val="superscript"/>
    </w:rPr>
  </w:style>
  <w:style w:type="character" w:styleId="Hipervnculovisitado">
    <w:name w:val="FollowedHyperlink"/>
    <w:basedOn w:val="Fuentedeprrafopredeter"/>
    <w:uiPriority w:val="99"/>
    <w:semiHidden/>
    <w:unhideWhenUsed/>
    <w:rsid w:val="00927923"/>
    <w:rPr>
      <w:color w:val="954F72" w:themeColor="followedHyperlink"/>
      <w:u w:val="single"/>
    </w:rPr>
  </w:style>
  <w:style w:type="paragraph" w:styleId="Encabezado">
    <w:name w:val="header"/>
    <w:basedOn w:val="Normal"/>
    <w:link w:val="EncabezadoCar"/>
    <w:uiPriority w:val="99"/>
    <w:unhideWhenUsed/>
    <w:rsid w:val="00A21D9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21D95"/>
  </w:style>
  <w:style w:type="paragraph" w:styleId="Piedepgina">
    <w:name w:val="footer"/>
    <w:basedOn w:val="Normal"/>
    <w:link w:val="PiedepginaCar"/>
    <w:uiPriority w:val="99"/>
    <w:unhideWhenUsed/>
    <w:rsid w:val="00A21D9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A21D95"/>
  </w:style>
  <w:style w:type="paragraph" w:customStyle="1" w:styleId="Pa1">
    <w:name w:val="Pa1"/>
    <w:basedOn w:val="Normal"/>
    <w:next w:val="Normal"/>
    <w:uiPriority w:val="99"/>
    <w:rsid w:val="00B0153B"/>
    <w:pPr>
      <w:autoSpaceDE w:val="0"/>
      <w:autoSpaceDN w:val="0"/>
      <w:adjustRightInd w:val="0"/>
      <w:spacing w:line="201" w:lineRule="atLeast"/>
      <w:ind w:right="108" w:firstLine="720"/>
      <w:jc w:val="both"/>
    </w:pPr>
    <w:rPr>
      <w:rFonts w:ascii="Frutiger 45 Light" w:eastAsiaTheme="minorHAnsi" w:hAnsi="Frutiger 45 Light" w:cstheme="minorBidi"/>
      <w:lang w:val="es-ES_tradnl" w:eastAsia="en-US"/>
    </w:rPr>
  </w:style>
  <w:style w:type="character" w:customStyle="1" w:styleId="apple-converted-space">
    <w:name w:val="apple-converted-space"/>
    <w:basedOn w:val="Fuentedeprrafopredeter"/>
    <w:rsid w:val="0017792C"/>
  </w:style>
  <w:style w:type="character" w:styleId="Mencinsinresolver">
    <w:name w:val="Unresolved Mention"/>
    <w:basedOn w:val="Fuentedeprrafopredeter"/>
    <w:uiPriority w:val="99"/>
    <w:semiHidden/>
    <w:unhideWhenUsed/>
    <w:rsid w:val="00B649CD"/>
    <w:rPr>
      <w:color w:val="605E5C"/>
      <w:shd w:val="clear" w:color="auto" w:fill="E1DFDD"/>
    </w:rPr>
  </w:style>
  <w:style w:type="character" w:styleId="Refdecomentario">
    <w:name w:val="annotation reference"/>
    <w:basedOn w:val="Fuentedeprrafopredeter"/>
    <w:uiPriority w:val="99"/>
    <w:semiHidden/>
    <w:unhideWhenUsed/>
    <w:rsid w:val="00A166D5"/>
    <w:rPr>
      <w:sz w:val="16"/>
      <w:szCs w:val="16"/>
    </w:rPr>
  </w:style>
  <w:style w:type="paragraph" w:styleId="Textocomentario">
    <w:name w:val="annotation text"/>
    <w:basedOn w:val="Normal"/>
    <w:link w:val="TextocomentarioCar"/>
    <w:uiPriority w:val="99"/>
    <w:semiHidden/>
    <w:unhideWhenUsed/>
    <w:rsid w:val="00A166D5"/>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166D5"/>
    <w:rPr>
      <w:sz w:val="20"/>
      <w:szCs w:val="20"/>
    </w:rPr>
  </w:style>
  <w:style w:type="paragraph" w:styleId="Asuntodelcomentario">
    <w:name w:val="annotation subject"/>
    <w:basedOn w:val="Textocomentario"/>
    <w:next w:val="Textocomentario"/>
    <w:link w:val="AsuntodelcomentarioCar"/>
    <w:uiPriority w:val="99"/>
    <w:semiHidden/>
    <w:unhideWhenUsed/>
    <w:rsid w:val="00A166D5"/>
    <w:rPr>
      <w:b/>
      <w:bCs/>
    </w:rPr>
  </w:style>
  <w:style w:type="character" w:customStyle="1" w:styleId="AsuntodelcomentarioCar">
    <w:name w:val="Asunto del comentario Car"/>
    <w:basedOn w:val="TextocomentarioCar"/>
    <w:link w:val="Asuntodelcomentario"/>
    <w:uiPriority w:val="99"/>
    <w:semiHidden/>
    <w:rsid w:val="00A166D5"/>
    <w:rPr>
      <w:b/>
      <w:bCs/>
      <w:sz w:val="20"/>
      <w:szCs w:val="20"/>
    </w:rPr>
  </w:style>
  <w:style w:type="paragraph" w:styleId="Textodeglobo">
    <w:name w:val="Balloon Text"/>
    <w:basedOn w:val="Normal"/>
    <w:link w:val="TextodegloboCar"/>
    <w:uiPriority w:val="99"/>
    <w:semiHidden/>
    <w:unhideWhenUsed/>
    <w:rsid w:val="00E503EB"/>
    <w:rPr>
      <w:sz w:val="18"/>
      <w:szCs w:val="18"/>
    </w:rPr>
  </w:style>
  <w:style w:type="character" w:customStyle="1" w:styleId="TextodegloboCar">
    <w:name w:val="Texto de globo Car"/>
    <w:basedOn w:val="Fuentedeprrafopredeter"/>
    <w:link w:val="Textodeglobo"/>
    <w:uiPriority w:val="99"/>
    <w:semiHidden/>
    <w:rsid w:val="00E503EB"/>
    <w:rPr>
      <w:rFonts w:ascii="Times New Roman" w:hAnsi="Times New Roman" w:cs="Times New Roman"/>
      <w:sz w:val="18"/>
      <w:szCs w:val="18"/>
    </w:rPr>
  </w:style>
  <w:style w:type="paragraph" w:styleId="Revisin">
    <w:name w:val="Revision"/>
    <w:hidden/>
    <w:uiPriority w:val="99"/>
    <w:semiHidden/>
    <w:rsid w:val="001A0378"/>
    <w:rPr>
      <w:rFonts w:ascii="Times New Roman" w:eastAsia="Times New Roman" w:hAnsi="Times New Roman" w:cs="Times New Roman"/>
      <w:lang w:eastAsia="es-ES_tradnl"/>
    </w:rPr>
  </w:style>
  <w:style w:type="paragraph" w:styleId="HTMLconformatoprevio">
    <w:name w:val="HTML Preformatted"/>
    <w:basedOn w:val="Normal"/>
    <w:link w:val="HTMLconformatoprevioCar"/>
    <w:uiPriority w:val="99"/>
    <w:unhideWhenUsed/>
    <w:rsid w:val="005E0AC3"/>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5E0AC3"/>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177">
      <w:bodyDiv w:val="1"/>
      <w:marLeft w:val="0"/>
      <w:marRight w:val="0"/>
      <w:marTop w:val="0"/>
      <w:marBottom w:val="0"/>
      <w:divBdr>
        <w:top w:val="none" w:sz="0" w:space="0" w:color="auto"/>
        <w:left w:val="none" w:sz="0" w:space="0" w:color="auto"/>
        <w:bottom w:val="none" w:sz="0" w:space="0" w:color="auto"/>
        <w:right w:val="none" w:sz="0" w:space="0" w:color="auto"/>
      </w:divBdr>
      <w:divsChild>
        <w:div w:id="1266113933">
          <w:marLeft w:val="0"/>
          <w:marRight w:val="0"/>
          <w:marTop w:val="0"/>
          <w:marBottom w:val="0"/>
          <w:divBdr>
            <w:top w:val="none" w:sz="0" w:space="0" w:color="auto"/>
            <w:left w:val="none" w:sz="0" w:space="0" w:color="auto"/>
            <w:bottom w:val="none" w:sz="0" w:space="0" w:color="auto"/>
            <w:right w:val="none" w:sz="0" w:space="0" w:color="auto"/>
          </w:divBdr>
          <w:divsChild>
            <w:div w:id="948973089">
              <w:marLeft w:val="0"/>
              <w:marRight w:val="0"/>
              <w:marTop w:val="0"/>
              <w:marBottom w:val="0"/>
              <w:divBdr>
                <w:top w:val="none" w:sz="0" w:space="0" w:color="auto"/>
                <w:left w:val="none" w:sz="0" w:space="0" w:color="auto"/>
                <w:bottom w:val="none" w:sz="0" w:space="0" w:color="auto"/>
                <w:right w:val="none" w:sz="0" w:space="0" w:color="auto"/>
              </w:divBdr>
              <w:divsChild>
                <w:div w:id="17199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8622">
      <w:bodyDiv w:val="1"/>
      <w:marLeft w:val="0"/>
      <w:marRight w:val="0"/>
      <w:marTop w:val="0"/>
      <w:marBottom w:val="0"/>
      <w:divBdr>
        <w:top w:val="none" w:sz="0" w:space="0" w:color="auto"/>
        <w:left w:val="none" w:sz="0" w:space="0" w:color="auto"/>
        <w:bottom w:val="none" w:sz="0" w:space="0" w:color="auto"/>
        <w:right w:val="none" w:sz="0" w:space="0" w:color="auto"/>
      </w:divBdr>
      <w:divsChild>
        <w:div w:id="2008483040">
          <w:marLeft w:val="0"/>
          <w:marRight w:val="0"/>
          <w:marTop w:val="0"/>
          <w:marBottom w:val="0"/>
          <w:divBdr>
            <w:top w:val="none" w:sz="0" w:space="0" w:color="auto"/>
            <w:left w:val="none" w:sz="0" w:space="0" w:color="auto"/>
            <w:bottom w:val="none" w:sz="0" w:space="0" w:color="auto"/>
            <w:right w:val="none" w:sz="0" w:space="0" w:color="auto"/>
          </w:divBdr>
          <w:divsChild>
            <w:div w:id="1636905770">
              <w:marLeft w:val="0"/>
              <w:marRight w:val="0"/>
              <w:marTop w:val="0"/>
              <w:marBottom w:val="0"/>
              <w:divBdr>
                <w:top w:val="none" w:sz="0" w:space="0" w:color="auto"/>
                <w:left w:val="none" w:sz="0" w:space="0" w:color="auto"/>
                <w:bottom w:val="none" w:sz="0" w:space="0" w:color="auto"/>
                <w:right w:val="none" w:sz="0" w:space="0" w:color="auto"/>
              </w:divBdr>
              <w:divsChild>
                <w:div w:id="2457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3964">
      <w:bodyDiv w:val="1"/>
      <w:marLeft w:val="0"/>
      <w:marRight w:val="0"/>
      <w:marTop w:val="0"/>
      <w:marBottom w:val="0"/>
      <w:divBdr>
        <w:top w:val="none" w:sz="0" w:space="0" w:color="auto"/>
        <w:left w:val="none" w:sz="0" w:space="0" w:color="auto"/>
        <w:bottom w:val="none" w:sz="0" w:space="0" w:color="auto"/>
        <w:right w:val="none" w:sz="0" w:space="0" w:color="auto"/>
      </w:divBdr>
    </w:div>
    <w:div w:id="358509745">
      <w:bodyDiv w:val="1"/>
      <w:marLeft w:val="0"/>
      <w:marRight w:val="0"/>
      <w:marTop w:val="0"/>
      <w:marBottom w:val="0"/>
      <w:divBdr>
        <w:top w:val="none" w:sz="0" w:space="0" w:color="auto"/>
        <w:left w:val="none" w:sz="0" w:space="0" w:color="auto"/>
        <w:bottom w:val="none" w:sz="0" w:space="0" w:color="auto"/>
        <w:right w:val="none" w:sz="0" w:space="0" w:color="auto"/>
      </w:divBdr>
      <w:divsChild>
        <w:div w:id="1981224291">
          <w:marLeft w:val="0"/>
          <w:marRight w:val="0"/>
          <w:marTop w:val="0"/>
          <w:marBottom w:val="0"/>
          <w:divBdr>
            <w:top w:val="none" w:sz="0" w:space="0" w:color="auto"/>
            <w:left w:val="none" w:sz="0" w:space="0" w:color="auto"/>
            <w:bottom w:val="none" w:sz="0" w:space="0" w:color="auto"/>
            <w:right w:val="none" w:sz="0" w:space="0" w:color="auto"/>
          </w:divBdr>
          <w:divsChild>
            <w:div w:id="1288780003">
              <w:marLeft w:val="0"/>
              <w:marRight w:val="0"/>
              <w:marTop w:val="0"/>
              <w:marBottom w:val="0"/>
              <w:divBdr>
                <w:top w:val="none" w:sz="0" w:space="0" w:color="auto"/>
                <w:left w:val="none" w:sz="0" w:space="0" w:color="auto"/>
                <w:bottom w:val="none" w:sz="0" w:space="0" w:color="auto"/>
                <w:right w:val="none" w:sz="0" w:space="0" w:color="auto"/>
              </w:divBdr>
              <w:divsChild>
                <w:div w:id="3729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1715">
      <w:bodyDiv w:val="1"/>
      <w:marLeft w:val="0"/>
      <w:marRight w:val="0"/>
      <w:marTop w:val="0"/>
      <w:marBottom w:val="0"/>
      <w:divBdr>
        <w:top w:val="none" w:sz="0" w:space="0" w:color="auto"/>
        <w:left w:val="none" w:sz="0" w:space="0" w:color="auto"/>
        <w:bottom w:val="none" w:sz="0" w:space="0" w:color="auto"/>
        <w:right w:val="none" w:sz="0" w:space="0" w:color="auto"/>
      </w:divBdr>
      <w:divsChild>
        <w:div w:id="651176980">
          <w:marLeft w:val="0"/>
          <w:marRight w:val="0"/>
          <w:marTop w:val="0"/>
          <w:marBottom w:val="0"/>
          <w:divBdr>
            <w:top w:val="none" w:sz="0" w:space="0" w:color="auto"/>
            <w:left w:val="none" w:sz="0" w:space="0" w:color="auto"/>
            <w:bottom w:val="none" w:sz="0" w:space="0" w:color="auto"/>
            <w:right w:val="none" w:sz="0" w:space="0" w:color="auto"/>
          </w:divBdr>
          <w:divsChild>
            <w:div w:id="682829677">
              <w:marLeft w:val="0"/>
              <w:marRight w:val="0"/>
              <w:marTop w:val="0"/>
              <w:marBottom w:val="0"/>
              <w:divBdr>
                <w:top w:val="none" w:sz="0" w:space="0" w:color="auto"/>
                <w:left w:val="none" w:sz="0" w:space="0" w:color="auto"/>
                <w:bottom w:val="none" w:sz="0" w:space="0" w:color="auto"/>
                <w:right w:val="none" w:sz="0" w:space="0" w:color="auto"/>
              </w:divBdr>
              <w:divsChild>
                <w:div w:id="1256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1874">
      <w:bodyDiv w:val="1"/>
      <w:marLeft w:val="0"/>
      <w:marRight w:val="0"/>
      <w:marTop w:val="0"/>
      <w:marBottom w:val="0"/>
      <w:divBdr>
        <w:top w:val="none" w:sz="0" w:space="0" w:color="auto"/>
        <w:left w:val="none" w:sz="0" w:space="0" w:color="auto"/>
        <w:bottom w:val="none" w:sz="0" w:space="0" w:color="auto"/>
        <w:right w:val="none" w:sz="0" w:space="0" w:color="auto"/>
      </w:divBdr>
    </w:div>
    <w:div w:id="586693421">
      <w:bodyDiv w:val="1"/>
      <w:marLeft w:val="0"/>
      <w:marRight w:val="0"/>
      <w:marTop w:val="0"/>
      <w:marBottom w:val="0"/>
      <w:divBdr>
        <w:top w:val="none" w:sz="0" w:space="0" w:color="auto"/>
        <w:left w:val="none" w:sz="0" w:space="0" w:color="auto"/>
        <w:bottom w:val="none" w:sz="0" w:space="0" w:color="auto"/>
        <w:right w:val="none" w:sz="0" w:space="0" w:color="auto"/>
      </w:divBdr>
      <w:divsChild>
        <w:div w:id="1096242909">
          <w:marLeft w:val="0"/>
          <w:marRight w:val="0"/>
          <w:marTop w:val="0"/>
          <w:marBottom w:val="0"/>
          <w:divBdr>
            <w:top w:val="none" w:sz="0" w:space="0" w:color="auto"/>
            <w:left w:val="none" w:sz="0" w:space="0" w:color="auto"/>
            <w:bottom w:val="none" w:sz="0" w:space="0" w:color="auto"/>
            <w:right w:val="none" w:sz="0" w:space="0" w:color="auto"/>
          </w:divBdr>
        </w:div>
        <w:div w:id="23292441">
          <w:marLeft w:val="0"/>
          <w:marRight w:val="0"/>
          <w:marTop w:val="0"/>
          <w:marBottom w:val="0"/>
          <w:divBdr>
            <w:top w:val="none" w:sz="0" w:space="0" w:color="auto"/>
            <w:left w:val="none" w:sz="0" w:space="0" w:color="auto"/>
            <w:bottom w:val="none" w:sz="0" w:space="0" w:color="auto"/>
            <w:right w:val="none" w:sz="0" w:space="0" w:color="auto"/>
          </w:divBdr>
        </w:div>
        <w:div w:id="1538275358">
          <w:marLeft w:val="0"/>
          <w:marRight w:val="0"/>
          <w:marTop w:val="0"/>
          <w:marBottom w:val="0"/>
          <w:divBdr>
            <w:top w:val="none" w:sz="0" w:space="0" w:color="auto"/>
            <w:left w:val="none" w:sz="0" w:space="0" w:color="auto"/>
            <w:bottom w:val="none" w:sz="0" w:space="0" w:color="auto"/>
            <w:right w:val="none" w:sz="0" w:space="0" w:color="auto"/>
          </w:divBdr>
        </w:div>
        <w:div w:id="1731998091">
          <w:marLeft w:val="0"/>
          <w:marRight w:val="0"/>
          <w:marTop w:val="0"/>
          <w:marBottom w:val="0"/>
          <w:divBdr>
            <w:top w:val="none" w:sz="0" w:space="0" w:color="auto"/>
            <w:left w:val="none" w:sz="0" w:space="0" w:color="auto"/>
            <w:bottom w:val="none" w:sz="0" w:space="0" w:color="auto"/>
            <w:right w:val="none" w:sz="0" w:space="0" w:color="auto"/>
          </w:divBdr>
        </w:div>
        <w:div w:id="669678688">
          <w:marLeft w:val="0"/>
          <w:marRight w:val="0"/>
          <w:marTop w:val="0"/>
          <w:marBottom w:val="0"/>
          <w:divBdr>
            <w:top w:val="none" w:sz="0" w:space="0" w:color="auto"/>
            <w:left w:val="none" w:sz="0" w:space="0" w:color="auto"/>
            <w:bottom w:val="none" w:sz="0" w:space="0" w:color="auto"/>
            <w:right w:val="none" w:sz="0" w:space="0" w:color="auto"/>
          </w:divBdr>
        </w:div>
        <w:div w:id="740056330">
          <w:marLeft w:val="0"/>
          <w:marRight w:val="0"/>
          <w:marTop w:val="0"/>
          <w:marBottom w:val="0"/>
          <w:divBdr>
            <w:top w:val="none" w:sz="0" w:space="0" w:color="auto"/>
            <w:left w:val="none" w:sz="0" w:space="0" w:color="auto"/>
            <w:bottom w:val="none" w:sz="0" w:space="0" w:color="auto"/>
            <w:right w:val="none" w:sz="0" w:space="0" w:color="auto"/>
          </w:divBdr>
        </w:div>
        <w:div w:id="2017684457">
          <w:marLeft w:val="0"/>
          <w:marRight w:val="0"/>
          <w:marTop w:val="0"/>
          <w:marBottom w:val="0"/>
          <w:divBdr>
            <w:top w:val="none" w:sz="0" w:space="0" w:color="auto"/>
            <w:left w:val="none" w:sz="0" w:space="0" w:color="auto"/>
            <w:bottom w:val="none" w:sz="0" w:space="0" w:color="auto"/>
            <w:right w:val="none" w:sz="0" w:space="0" w:color="auto"/>
          </w:divBdr>
        </w:div>
        <w:div w:id="1754669815">
          <w:marLeft w:val="0"/>
          <w:marRight w:val="0"/>
          <w:marTop w:val="0"/>
          <w:marBottom w:val="0"/>
          <w:divBdr>
            <w:top w:val="none" w:sz="0" w:space="0" w:color="auto"/>
            <w:left w:val="none" w:sz="0" w:space="0" w:color="auto"/>
            <w:bottom w:val="none" w:sz="0" w:space="0" w:color="auto"/>
            <w:right w:val="none" w:sz="0" w:space="0" w:color="auto"/>
          </w:divBdr>
        </w:div>
        <w:div w:id="2121871803">
          <w:marLeft w:val="0"/>
          <w:marRight w:val="0"/>
          <w:marTop w:val="0"/>
          <w:marBottom w:val="0"/>
          <w:divBdr>
            <w:top w:val="none" w:sz="0" w:space="0" w:color="auto"/>
            <w:left w:val="none" w:sz="0" w:space="0" w:color="auto"/>
            <w:bottom w:val="none" w:sz="0" w:space="0" w:color="auto"/>
            <w:right w:val="none" w:sz="0" w:space="0" w:color="auto"/>
          </w:divBdr>
        </w:div>
        <w:div w:id="1594557324">
          <w:marLeft w:val="0"/>
          <w:marRight w:val="0"/>
          <w:marTop w:val="0"/>
          <w:marBottom w:val="0"/>
          <w:divBdr>
            <w:top w:val="none" w:sz="0" w:space="0" w:color="auto"/>
            <w:left w:val="none" w:sz="0" w:space="0" w:color="auto"/>
            <w:bottom w:val="none" w:sz="0" w:space="0" w:color="auto"/>
            <w:right w:val="none" w:sz="0" w:space="0" w:color="auto"/>
          </w:divBdr>
        </w:div>
        <w:div w:id="230965513">
          <w:marLeft w:val="0"/>
          <w:marRight w:val="0"/>
          <w:marTop w:val="0"/>
          <w:marBottom w:val="0"/>
          <w:divBdr>
            <w:top w:val="none" w:sz="0" w:space="0" w:color="auto"/>
            <w:left w:val="none" w:sz="0" w:space="0" w:color="auto"/>
            <w:bottom w:val="none" w:sz="0" w:space="0" w:color="auto"/>
            <w:right w:val="none" w:sz="0" w:space="0" w:color="auto"/>
          </w:divBdr>
        </w:div>
        <w:div w:id="35399741">
          <w:marLeft w:val="0"/>
          <w:marRight w:val="0"/>
          <w:marTop w:val="0"/>
          <w:marBottom w:val="0"/>
          <w:divBdr>
            <w:top w:val="none" w:sz="0" w:space="0" w:color="auto"/>
            <w:left w:val="none" w:sz="0" w:space="0" w:color="auto"/>
            <w:bottom w:val="none" w:sz="0" w:space="0" w:color="auto"/>
            <w:right w:val="none" w:sz="0" w:space="0" w:color="auto"/>
          </w:divBdr>
        </w:div>
        <w:div w:id="1293287700">
          <w:marLeft w:val="0"/>
          <w:marRight w:val="0"/>
          <w:marTop w:val="0"/>
          <w:marBottom w:val="0"/>
          <w:divBdr>
            <w:top w:val="none" w:sz="0" w:space="0" w:color="auto"/>
            <w:left w:val="none" w:sz="0" w:space="0" w:color="auto"/>
            <w:bottom w:val="none" w:sz="0" w:space="0" w:color="auto"/>
            <w:right w:val="none" w:sz="0" w:space="0" w:color="auto"/>
          </w:divBdr>
        </w:div>
        <w:div w:id="1402949234">
          <w:marLeft w:val="0"/>
          <w:marRight w:val="0"/>
          <w:marTop w:val="0"/>
          <w:marBottom w:val="0"/>
          <w:divBdr>
            <w:top w:val="none" w:sz="0" w:space="0" w:color="auto"/>
            <w:left w:val="none" w:sz="0" w:space="0" w:color="auto"/>
            <w:bottom w:val="none" w:sz="0" w:space="0" w:color="auto"/>
            <w:right w:val="none" w:sz="0" w:space="0" w:color="auto"/>
          </w:divBdr>
        </w:div>
        <w:div w:id="2361412">
          <w:marLeft w:val="0"/>
          <w:marRight w:val="0"/>
          <w:marTop w:val="0"/>
          <w:marBottom w:val="0"/>
          <w:divBdr>
            <w:top w:val="none" w:sz="0" w:space="0" w:color="auto"/>
            <w:left w:val="none" w:sz="0" w:space="0" w:color="auto"/>
            <w:bottom w:val="none" w:sz="0" w:space="0" w:color="auto"/>
            <w:right w:val="none" w:sz="0" w:space="0" w:color="auto"/>
          </w:divBdr>
        </w:div>
        <w:div w:id="793132136">
          <w:marLeft w:val="0"/>
          <w:marRight w:val="0"/>
          <w:marTop w:val="0"/>
          <w:marBottom w:val="0"/>
          <w:divBdr>
            <w:top w:val="none" w:sz="0" w:space="0" w:color="auto"/>
            <w:left w:val="none" w:sz="0" w:space="0" w:color="auto"/>
            <w:bottom w:val="none" w:sz="0" w:space="0" w:color="auto"/>
            <w:right w:val="none" w:sz="0" w:space="0" w:color="auto"/>
          </w:divBdr>
        </w:div>
        <w:div w:id="1852379608">
          <w:marLeft w:val="0"/>
          <w:marRight w:val="0"/>
          <w:marTop w:val="0"/>
          <w:marBottom w:val="0"/>
          <w:divBdr>
            <w:top w:val="none" w:sz="0" w:space="0" w:color="auto"/>
            <w:left w:val="none" w:sz="0" w:space="0" w:color="auto"/>
            <w:bottom w:val="none" w:sz="0" w:space="0" w:color="auto"/>
            <w:right w:val="none" w:sz="0" w:space="0" w:color="auto"/>
          </w:divBdr>
        </w:div>
        <w:div w:id="380059344">
          <w:marLeft w:val="0"/>
          <w:marRight w:val="0"/>
          <w:marTop w:val="0"/>
          <w:marBottom w:val="0"/>
          <w:divBdr>
            <w:top w:val="none" w:sz="0" w:space="0" w:color="auto"/>
            <w:left w:val="none" w:sz="0" w:space="0" w:color="auto"/>
            <w:bottom w:val="none" w:sz="0" w:space="0" w:color="auto"/>
            <w:right w:val="none" w:sz="0" w:space="0" w:color="auto"/>
          </w:divBdr>
        </w:div>
        <w:div w:id="1418477226">
          <w:marLeft w:val="0"/>
          <w:marRight w:val="0"/>
          <w:marTop w:val="0"/>
          <w:marBottom w:val="0"/>
          <w:divBdr>
            <w:top w:val="none" w:sz="0" w:space="0" w:color="auto"/>
            <w:left w:val="none" w:sz="0" w:space="0" w:color="auto"/>
            <w:bottom w:val="none" w:sz="0" w:space="0" w:color="auto"/>
            <w:right w:val="none" w:sz="0" w:space="0" w:color="auto"/>
          </w:divBdr>
        </w:div>
      </w:divsChild>
    </w:div>
    <w:div w:id="1175652661">
      <w:bodyDiv w:val="1"/>
      <w:marLeft w:val="0"/>
      <w:marRight w:val="0"/>
      <w:marTop w:val="0"/>
      <w:marBottom w:val="0"/>
      <w:divBdr>
        <w:top w:val="none" w:sz="0" w:space="0" w:color="auto"/>
        <w:left w:val="none" w:sz="0" w:space="0" w:color="auto"/>
        <w:bottom w:val="none" w:sz="0" w:space="0" w:color="auto"/>
        <w:right w:val="none" w:sz="0" w:space="0" w:color="auto"/>
      </w:divBdr>
    </w:div>
    <w:div w:id="1284537960">
      <w:bodyDiv w:val="1"/>
      <w:marLeft w:val="0"/>
      <w:marRight w:val="0"/>
      <w:marTop w:val="0"/>
      <w:marBottom w:val="0"/>
      <w:divBdr>
        <w:top w:val="none" w:sz="0" w:space="0" w:color="auto"/>
        <w:left w:val="none" w:sz="0" w:space="0" w:color="auto"/>
        <w:bottom w:val="none" w:sz="0" w:space="0" w:color="auto"/>
        <w:right w:val="none" w:sz="0" w:space="0" w:color="auto"/>
      </w:divBdr>
      <w:divsChild>
        <w:div w:id="400908398">
          <w:marLeft w:val="0"/>
          <w:marRight w:val="0"/>
          <w:marTop w:val="0"/>
          <w:marBottom w:val="101"/>
          <w:divBdr>
            <w:top w:val="none" w:sz="0" w:space="0" w:color="auto"/>
            <w:left w:val="none" w:sz="0" w:space="0" w:color="auto"/>
            <w:bottom w:val="none" w:sz="0" w:space="0" w:color="auto"/>
            <w:right w:val="none" w:sz="0" w:space="0" w:color="auto"/>
          </w:divBdr>
        </w:div>
        <w:div w:id="191193666">
          <w:marLeft w:val="0"/>
          <w:marRight w:val="0"/>
          <w:marTop w:val="0"/>
          <w:marBottom w:val="101"/>
          <w:divBdr>
            <w:top w:val="none" w:sz="0" w:space="0" w:color="auto"/>
            <w:left w:val="none" w:sz="0" w:space="0" w:color="auto"/>
            <w:bottom w:val="none" w:sz="0" w:space="0" w:color="auto"/>
            <w:right w:val="none" w:sz="0" w:space="0" w:color="auto"/>
          </w:divBdr>
        </w:div>
        <w:div w:id="295336013">
          <w:marLeft w:val="0"/>
          <w:marRight w:val="0"/>
          <w:marTop w:val="0"/>
          <w:marBottom w:val="101"/>
          <w:divBdr>
            <w:top w:val="none" w:sz="0" w:space="0" w:color="auto"/>
            <w:left w:val="none" w:sz="0" w:space="0" w:color="auto"/>
            <w:bottom w:val="none" w:sz="0" w:space="0" w:color="auto"/>
            <w:right w:val="none" w:sz="0" w:space="0" w:color="auto"/>
          </w:divBdr>
        </w:div>
        <w:div w:id="1237058836">
          <w:marLeft w:val="0"/>
          <w:marRight w:val="0"/>
          <w:marTop w:val="0"/>
          <w:marBottom w:val="101"/>
          <w:divBdr>
            <w:top w:val="none" w:sz="0" w:space="0" w:color="auto"/>
            <w:left w:val="none" w:sz="0" w:space="0" w:color="auto"/>
            <w:bottom w:val="none" w:sz="0" w:space="0" w:color="auto"/>
            <w:right w:val="none" w:sz="0" w:space="0" w:color="auto"/>
          </w:divBdr>
        </w:div>
        <w:div w:id="1348285828">
          <w:marLeft w:val="0"/>
          <w:marRight w:val="0"/>
          <w:marTop w:val="0"/>
          <w:marBottom w:val="101"/>
          <w:divBdr>
            <w:top w:val="none" w:sz="0" w:space="0" w:color="auto"/>
            <w:left w:val="none" w:sz="0" w:space="0" w:color="auto"/>
            <w:bottom w:val="none" w:sz="0" w:space="0" w:color="auto"/>
            <w:right w:val="none" w:sz="0" w:space="0" w:color="auto"/>
          </w:divBdr>
        </w:div>
        <w:div w:id="543056781">
          <w:marLeft w:val="0"/>
          <w:marRight w:val="0"/>
          <w:marTop w:val="0"/>
          <w:marBottom w:val="101"/>
          <w:divBdr>
            <w:top w:val="none" w:sz="0" w:space="0" w:color="auto"/>
            <w:left w:val="none" w:sz="0" w:space="0" w:color="auto"/>
            <w:bottom w:val="none" w:sz="0" w:space="0" w:color="auto"/>
            <w:right w:val="none" w:sz="0" w:space="0" w:color="auto"/>
          </w:divBdr>
        </w:div>
        <w:div w:id="1223056809">
          <w:marLeft w:val="0"/>
          <w:marRight w:val="0"/>
          <w:marTop w:val="0"/>
          <w:marBottom w:val="101"/>
          <w:divBdr>
            <w:top w:val="none" w:sz="0" w:space="0" w:color="auto"/>
            <w:left w:val="none" w:sz="0" w:space="0" w:color="auto"/>
            <w:bottom w:val="none" w:sz="0" w:space="0" w:color="auto"/>
            <w:right w:val="none" w:sz="0" w:space="0" w:color="auto"/>
          </w:divBdr>
        </w:div>
      </w:divsChild>
    </w:div>
    <w:div w:id="1294752522">
      <w:bodyDiv w:val="1"/>
      <w:marLeft w:val="0"/>
      <w:marRight w:val="0"/>
      <w:marTop w:val="0"/>
      <w:marBottom w:val="0"/>
      <w:divBdr>
        <w:top w:val="none" w:sz="0" w:space="0" w:color="auto"/>
        <w:left w:val="none" w:sz="0" w:space="0" w:color="auto"/>
        <w:bottom w:val="none" w:sz="0" w:space="0" w:color="auto"/>
        <w:right w:val="none" w:sz="0" w:space="0" w:color="auto"/>
      </w:divBdr>
      <w:divsChild>
        <w:div w:id="1491948595">
          <w:marLeft w:val="0"/>
          <w:marRight w:val="0"/>
          <w:marTop w:val="0"/>
          <w:marBottom w:val="0"/>
          <w:divBdr>
            <w:top w:val="none" w:sz="0" w:space="0" w:color="auto"/>
            <w:left w:val="none" w:sz="0" w:space="0" w:color="auto"/>
            <w:bottom w:val="none" w:sz="0" w:space="0" w:color="auto"/>
            <w:right w:val="none" w:sz="0" w:space="0" w:color="auto"/>
          </w:divBdr>
          <w:divsChild>
            <w:div w:id="1964725219">
              <w:marLeft w:val="0"/>
              <w:marRight w:val="0"/>
              <w:marTop w:val="0"/>
              <w:marBottom w:val="0"/>
              <w:divBdr>
                <w:top w:val="none" w:sz="0" w:space="0" w:color="auto"/>
                <w:left w:val="none" w:sz="0" w:space="0" w:color="auto"/>
                <w:bottom w:val="none" w:sz="0" w:space="0" w:color="auto"/>
                <w:right w:val="none" w:sz="0" w:space="0" w:color="auto"/>
              </w:divBdr>
              <w:divsChild>
                <w:div w:id="15738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31318">
      <w:bodyDiv w:val="1"/>
      <w:marLeft w:val="0"/>
      <w:marRight w:val="0"/>
      <w:marTop w:val="0"/>
      <w:marBottom w:val="0"/>
      <w:divBdr>
        <w:top w:val="none" w:sz="0" w:space="0" w:color="auto"/>
        <w:left w:val="none" w:sz="0" w:space="0" w:color="auto"/>
        <w:bottom w:val="none" w:sz="0" w:space="0" w:color="auto"/>
        <w:right w:val="none" w:sz="0" w:space="0" w:color="auto"/>
      </w:divBdr>
    </w:div>
    <w:div w:id="1414430327">
      <w:bodyDiv w:val="1"/>
      <w:marLeft w:val="0"/>
      <w:marRight w:val="0"/>
      <w:marTop w:val="0"/>
      <w:marBottom w:val="0"/>
      <w:divBdr>
        <w:top w:val="none" w:sz="0" w:space="0" w:color="auto"/>
        <w:left w:val="none" w:sz="0" w:space="0" w:color="auto"/>
        <w:bottom w:val="none" w:sz="0" w:space="0" w:color="auto"/>
        <w:right w:val="none" w:sz="0" w:space="0" w:color="auto"/>
      </w:divBdr>
    </w:div>
    <w:div w:id="1422214685">
      <w:bodyDiv w:val="1"/>
      <w:marLeft w:val="0"/>
      <w:marRight w:val="0"/>
      <w:marTop w:val="0"/>
      <w:marBottom w:val="0"/>
      <w:divBdr>
        <w:top w:val="none" w:sz="0" w:space="0" w:color="auto"/>
        <w:left w:val="none" w:sz="0" w:space="0" w:color="auto"/>
        <w:bottom w:val="none" w:sz="0" w:space="0" w:color="auto"/>
        <w:right w:val="none" w:sz="0" w:space="0" w:color="auto"/>
      </w:divBdr>
    </w:div>
    <w:div w:id="1456487164">
      <w:bodyDiv w:val="1"/>
      <w:marLeft w:val="0"/>
      <w:marRight w:val="0"/>
      <w:marTop w:val="0"/>
      <w:marBottom w:val="0"/>
      <w:divBdr>
        <w:top w:val="none" w:sz="0" w:space="0" w:color="auto"/>
        <w:left w:val="none" w:sz="0" w:space="0" w:color="auto"/>
        <w:bottom w:val="none" w:sz="0" w:space="0" w:color="auto"/>
        <w:right w:val="none" w:sz="0" w:space="0" w:color="auto"/>
      </w:divBdr>
    </w:div>
    <w:div w:id="1472402320">
      <w:bodyDiv w:val="1"/>
      <w:marLeft w:val="0"/>
      <w:marRight w:val="0"/>
      <w:marTop w:val="0"/>
      <w:marBottom w:val="0"/>
      <w:divBdr>
        <w:top w:val="none" w:sz="0" w:space="0" w:color="auto"/>
        <w:left w:val="none" w:sz="0" w:space="0" w:color="auto"/>
        <w:bottom w:val="none" w:sz="0" w:space="0" w:color="auto"/>
        <w:right w:val="none" w:sz="0" w:space="0" w:color="auto"/>
      </w:divBdr>
      <w:divsChild>
        <w:div w:id="246380756">
          <w:marLeft w:val="0"/>
          <w:marRight w:val="0"/>
          <w:marTop w:val="0"/>
          <w:marBottom w:val="0"/>
          <w:divBdr>
            <w:top w:val="none" w:sz="0" w:space="0" w:color="auto"/>
            <w:left w:val="none" w:sz="0" w:space="0" w:color="auto"/>
            <w:bottom w:val="none" w:sz="0" w:space="0" w:color="auto"/>
            <w:right w:val="none" w:sz="0" w:space="0" w:color="auto"/>
          </w:divBdr>
          <w:divsChild>
            <w:div w:id="1198083199">
              <w:marLeft w:val="0"/>
              <w:marRight w:val="0"/>
              <w:marTop w:val="0"/>
              <w:marBottom w:val="0"/>
              <w:divBdr>
                <w:top w:val="none" w:sz="0" w:space="0" w:color="auto"/>
                <w:left w:val="none" w:sz="0" w:space="0" w:color="auto"/>
                <w:bottom w:val="none" w:sz="0" w:space="0" w:color="auto"/>
                <w:right w:val="none" w:sz="0" w:space="0" w:color="auto"/>
              </w:divBdr>
              <w:divsChild>
                <w:div w:id="1342971531">
                  <w:marLeft w:val="0"/>
                  <w:marRight w:val="0"/>
                  <w:marTop w:val="0"/>
                  <w:marBottom w:val="0"/>
                  <w:divBdr>
                    <w:top w:val="none" w:sz="0" w:space="0" w:color="auto"/>
                    <w:left w:val="none" w:sz="0" w:space="0" w:color="auto"/>
                    <w:bottom w:val="none" w:sz="0" w:space="0" w:color="auto"/>
                    <w:right w:val="none" w:sz="0" w:space="0" w:color="auto"/>
                  </w:divBdr>
                </w:div>
              </w:divsChild>
            </w:div>
            <w:div w:id="1021931825">
              <w:marLeft w:val="0"/>
              <w:marRight w:val="0"/>
              <w:marTop w:val="0"/>
              <w:marBottom w:val="0"/>
              <w:divBdr>
                <w:top w:val="none" w:sz="0" w:space="0" w:color="auto"/>
                <w:left w:val="none" w:sz="0" w:space="0" w:color="auto"/>
                <w:bottom w:val="none" w:sz="0" w:space="0" w:color="auto"/>
                <w:right w:val="none" w:sz="0" w:space="0" w:color="auto"/>
              </w:divBdr>
              <w:divsChild>
                <w:div w:id="11159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292">
          <w:marLeft w:val="0"/>
          <w:marRight w:val="0"/>
          <w:marTop w:val="0"/>
          <w:marBottom w:val="0"/>
          <w:divBdr>
            <w:top w:val="none" w:sz="0" w:space="0" w:color="auto"/>
            <w:left w:val="none" w:sz="0" w:space="0" w:color="auto"/>
            <w:bottom w:val="none" w:sz="0" w:space="0" w:color="auto"/>
            <w:right w:val="none" w:sz="0" w:space="0" w:color="auto"/>
          </w:divBdr>
          <w:divsChild>
            <w:div w:id="609170247">
              <w:marLeft w:val="0"/>
              <w:marRight w:val="0"/>
              <w:marTop w:val="0"/>
              <w:marBottom w:val="0"/>
              <w:divBdr>
                <w:top w:val="none" w:sz="0" w:space="0" w:color="auto"/>
                <w:left w:val="none" w:sz="0" w:space="0" w:color="auto"/>
                <w:bottom w:val="none" w:sz="0" w:space="0" w:color="auto"/>
                <w:right w:val="none" w:sz="0" w:space="0" w:color="auto"/>
              </w:divBdr>
              <w:divsChild>
                <w:div w:id="2658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9650">
      <w:bodyDiv w:val="1"/>
      <w:marLeft w:val="0"/>
      <w:marRight w:val="0"/>
      <w:marTop w:val="0"/>
      <w:marBottom w:val="0"/>
      <w:divBdr>
        <w:top w:val="none" w:sz="0" w:space="0" w:color="auto"/>
        <w:left w:val="none" w:sz="0" w:space="0" w:color="auto"/>
        <w:bottom w:val="none" w:sz="0" w:space="0" w:color="auto"/>
        <w:right w:val="none" w:sz="0" w:space="0" w:color="auto"/>
      </w:divBdr>
    </w:div>
    <w:div w:id="1510824949">
      <w:bodyDiv w:val="1"/>
      <w:marLeft w:val="0"/>
      <w:marRight w:val="0"/>
      <w:marTop w:val="0"/>
      <w:marBottom w:val="0"/>
      <w:divBdr>
        <w:top w:val="none" w:sz="0" w:space="0" w:color="auto"/>
        <w:left w:val="none" w:sz="0" w:space="0" w:color="auto"/>
        <w:bottom w:val="none" w:sz="0" w:space="0" w:color="auto"/>
        <w:right w:val="none" w:sz="0" w:space="0" w:color="auto"/>
      </w:divBdr>
      <w:divsChild>
        <w:div w:id="879560907">
          <w:marLeft w:val="0"/>
          <w:marRight w:val="0"/>
          <w:marTop w:val="0"/>
          <w:marBottom w:val="0"/>
          <w:divBdr>
            <w:top w:val="none" w:sz="0" w:space="0" w:color="auto"/>
            <w:left w:val="none" w:sz="0" w:space="0" w:color="auto"/>
            <w:bottom w:val="none" w:sz="0" w:space="0" w:color="auto"/>
            <w:right w:val="none" w:sz="0" w:space="0" w:color="auto"/>
          </w:divBdr>
          <w:divsChild>
            <w:div w:id="1705905785">
              <w:marLeft w:val="0"/>
              <w:marRight w:val="0"/>
              <w:marTop w:val="0"/>
              <w:marBottom w:val="0"/>
              <w:divBdr>
                <w:top w:val="none" w:sz="0" w:space="0" w:color="auto"/>
                <w:left w:val="none" w:sz="0" w:space="0" w:color="auto"/>
                <w:bottom w:val="none" w:sz="0" w:space="0" w:color="auto"/>
                <w:right w:val="none" w:sz="0" w:space="0" w:color="auto"/>
              </w:divBdr>
              <w:divsChild>
                <w:div w:id="15888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1168">
      <w:bodyDiv w:val="1"/>
      <w:marLeft w:val="0"/>
      <w:marRight w:val="0"/>
      <w:marTop w:val="0"/>
      <w:marBottom w:val="0"/>
      <w:divBdr>
        <w:top w:val="none" w:sz="0" w:space="0" w:color="auto"/>
        <w:left w:val="none" w:sz="0" w:space="0" w:color="auto"/>
        <w:bottom w:val="none" w:sz="0" w:space="0" w:color="auto"/>
        <w:right w:val="none" w:sz="0" w:space="0" w:color="auto"/>
      </w:divBdr>
    </w:div>
    <w:div w:id="1630623485">
      <w:bodyDiv w:val="1"/>
      <w:marLeft w:val="0"/>
      <w:marRight w:val="0"/>
      <w:marTop w:val="0"/>
      <w:marBottom w:val="0"/>
      <w:divBdr>
        <w:top w:val="none" w:sz="0" w:space="0" w:color="auto"/>
        <w:left w:val="none" w:sz="0" w:space="0" w:color="auto"/>
        <w:bottom w:val="none" w:sz="0" w:space="0" w:color="auto"/>
        <w:right w:val="none" w:sz="0" w:space="0" w:color="auto"/>
      </w:divBdr>
    </w:div>
    <w:div w:id="1912498989">
      <w:bodyDiv w:val="1"/>
      <w:marLeft w:val="0"/>
      <w:marRight w:val="0"/>
      <w:marTop w:val="0"/>
      <w:marBottom w:val="0"/>
      <w:divBdr>
        <w:top w:val="none" w:sz="0" w:space="0" w:color="auto"/>
        <w:left w:val="none" w:sz="0" w:space="0" w:color="auto"/>
        <w:bottom w:val="none" w:sz="0" w:space="0" w:color="auto"/>
        <w:right w:val="none" w:sz="0" w:space="0" w:color="auto"/>
      </w:divBdr>
    </w:div>
    <w:div w:id="1940984967">
      <w:bodyDiv w:val="1"/>
      <w:marLeft w:val="0"/>
      <w:marRight w:val="0"/>
      <w:marTop w:val="0"/>
      <w:marBottom w:val="0"/>
      <w:divBdr>
        <w:top w:val="none" w:sz="0" w:space="0" w:color="auto"/>
        <w:left w:val="none" w:sz="0" w:space="0" w:color="auto"/>
        <w:bottom w:val="none" w:sz="0" w:space="0" w:color="auto"/>
        <w:right w:val="none" w:sz="0" w:space="0" w:color="auto"/>
      </w:divBdr>
      <w:divsChild>
        <w:div w:id="117723635">
          <w:marLeft w:val="0"/>
          <w:marRight w:val="0"/>
          <w:marTop w:val="0"/>
          <w:marBottom w:val="0"/>
          <w:divBdr>
            <w:top w:val="none" w:sz="0" w:space="0" w:color="auto"/>
            <w:left w:val="none" w:sz="0" w:space="0" w:color="auto"/>
            <w:bottom w:val="none" w:sz="0" w:space="0" w:color="auto"/>
            <w:right w:val="none" w:sz="0" w:space="0" w:color="auto"/>
          </w:divBdr>
          <w:divsChild>
            <w:div w:id="1584535751">
              <w:marLeft w:val="0"/>
              <w:marRight w:val="0"/>
              <w:marTop w:val="0"/>
              <w:marBottom w:val="0"/>
              <w:divBdr>
                <w:top w:val="none" w:sz="0" w:space="0" w:color="auto"/>
                <w:left w:val="none" w:sz="0" w:space="0" w:color="auto"/>
                <w:bottom w:val="none" w:sz="0" w:space="0" w:color="auto"/>
                <w:right w:val="none" w:sz="0" w:space="0" w:color="auto"/>
              </w:divBdr>
              <w:divsChild>
                <w:div w:id="220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07309">
      <w:bodyDiv w:val="1"/>
      <w:marLeft w:val="0"/>
      <w:marRight w:val="0"/>
      <w:marTop w:val="0"/>
      <w:marBottom w:val="0"/>
      <w:divBdr>
        <w:top w:val="none" w:sz="0" w:space="0" w:color="auto"/>
        <w:left w:val="none" w:sz="0" w:space="0" w:color="auto"/>
        <w:bottom w:val="none" w:sz="0" w:space="0" w:color="auto"/>
        <w:right w:val="none" w:sz="0" w:space="0" w:color="auto"/>
      </w:divBdr>
      <w:divsChild>
        <w:div w:id="1401170646">
          <w:marLeft w:val="0"/>
          <w:marRight w:val="0"/>
          <w:marTop w:val="0"/>
          <w:marBottom w:val="0"/>
          <w:divBdr>
            <w:top w:val="none" w:sz="0" w:space="0" w:color="auto"/>
            <w:left w:val="none" w:sz="0" w:space="0" w:color="auto"/>
            <w:bottom w:val="none" w:sz="0" w:space="0" w:color="auto"/>
            <w:right w:val="none" w:sz="0" w:space="0" w:color="auto"/>
          </w:divBdr>
          <w:divsChild>
            <w:div w:id="49500591">
              <w:marLeft w:val="0"/>
              <w:marRight w:val="0"/>
              <w:marTop w:val="0"/>
              <w:marBottom w:val="0"/>
              <w:divBdr>
                <w:top w:val="none" w:sz="0" w:space="0" w:color="auto"/>
                <w:left w:val="none" w:sz="0" w:space="0" w:color="auto"/>
                <w:bottom w:val="none" w:sz="0" w:space="0" w:color="auto"/>
                <w:right w:val="none" w:sz="0" w:space="0" w:color="auto"/>
              </w:divBdr>
              <w:divsChild>
                <w:div w:id="9914446">
                  <w:marLeft w:val="0"/>
                  <w:marRight w:val="0"/>
                  <w:marTop w:val="0"/>
                  <w:marBottom w:val="0"/>
                  <w:divBdr>
                    <w:top w:val="none" w:sz="0" w:space="0" w:color="auto"/>
                    <w:left w:val="none" w:sz="0" w:space="0" w:color="auto"/>
                    <w:bottom w:val="none" w:sz="0" w:space="0" w:color="auto"/>
                    <w:right w:val="none" w:sz="0" w:space="0" w:color="auto"/>
                  </w:divBdr>
                  <w:divsChild>
                    <w:div w:id="2777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i.org/10.22201/cuaieed.16076079e.2021.22.5.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32B6-F65B-0F46-8B88-DA6C1495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26</Pages>
  <Words>8217</Words>
  <Characters>45194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Viveros Contreras Rodolfo</dc:creator>
  <cp:keywords/>
  <dc:description/>
  <cp:lastModifiedBy>Gustavo Toledo</cp:lastModifiedBy>
  <cp:revision>18</cp:revision>
  <cp:lastPrinted>2022-06-30T19:41:00Z</cp:lastPrinted>
  <dcterms:created xsi:type="dcterms:W3CDTF">2022-12-23T18:23:00Z</dcterms:created>
  <dcterms:modified xsi:type="dcterms:W3CDTF">2023-01-09T21:57:00Z</dcterms:modified>
</cp:coreProperties>
</file>