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DE1AC" w14:textId="06713EA3" w:rsidR="00F62688" w:rsidRPr="007852AF" w:rsidRDefault="007852AF" w:rsidP="00F62688">
      <w:pPr>
        <w:tabs>
          <w:tab w:val="left" w:pos="1025"/>
        </w:tabs>
        <w:spacing w:before="120" w:after="480" w:line="360" w:lineRule="auto"/>
        <w:jc w:val="right"/>
        <w:rPr>
          <w:b/>
          <w:bCs/>
          <w:i/>
          <w:iCs/>
        </w:rPr>
      </w:pPr>
      <w:r w:rsidRPr="007852AF">
        <w:rPr>
          <w:b/>
          <w:bCs/>
          <w:i/>
          <w:iCs/>
        </w:rPr>
        <w:t>https://doi.org/10.23913/ride.v11i21.786</w:t>
      </w:r>
    </w:p>
    <w:p w14:paraId="2E184B07" w14:textId="75031B44" w:rsidR="00F62688" w:rsidRDefault="00F62688" w:rsidP="00F62688">
      <w:pPr>
        <w:tabs>
          <w:tab w:val="left" w:pos="1025"/>
        </w:tabs>
        <w:spacing w:before="120" w:after="480" w:line="360" w:lineRule="auto"/>
        <w:jc w:val="right"/>
        <w:rPr>
          <w:b/>
          <w:color w:val="000000" w:themeColor="text1"/>
        </w:rPr>
      </w:pPr>
      <w:proofErr w:type="spellStart"/>
      <w:r w:rsidRPr="00140DDC">
        <w:rPr>
          <w:b/>
          <w:bCs/>
          <w:i/>
          <w:iCs/>
        </w:rPr>
        <w:t>Artículos</w:t>
      </w:r>
      <w:proofErr w:type="spellEnd"/>
      <w:r w:rsidRPr="00140DDC">
        <w:rPr>
          <w:b/>
          <w:bCs/>
          <w:i/>
          <w:iCs/>
        </w:rPr>
        <w:t xml:space="preserve"> </w:t>
      </w:r>
      <w:proofErr w:type="spellStart"/>
      <w:r w:rsidRPr="00140DDC">
        <w:rPr>
          <w:b/>
          <w:bCs/>
          <w:i/>
          <w:iCs/>
        </w:rPr>
        <w:t>científicos</w:t>
      </w:r>
      <w:proofErr w:type="spellEnd"/>
    </w:p>
    <w:p w14:paraId="6A2B5606" w14:textId="13974AAB" w:rsidR="00AC1875" w:rsidRPr="00CB5B22" w:rsidRDefault="00AC1875" w:rsidP="00F62688">
      <w:pPr>
        <w:tabs>
          <w:tab w:val="left" w:pos="1025"/>
        </w:tabs>
        <w:spacing w:before="120" w:after="480" w:line="276" w:lineRule="auto"/>
        <w:jc w:val="right"/>
        <w:rPr>
          <w:rFonts w:ascii="Calibri" w:hAnsi="Calibri" w:cs="Calibri"/>
          <w:b/>
          <w:color w:val="000000"/>
          <w:sz w:val="36"/>
          <w:szCs w:val="36"/>
          <w:lang w:eastAsia="es-MX"/>
        </w:rPr>
      </w:pPr>
      <w:r w:rsidRPr="00CB5B22">
        <w:rPr>
          <w:rFonts w:ascii="Calibri" w:hAnsi="Calibri" w:cs="Calibri"/>
          <w:b/>
          <w:color w:val="000000"/>
          <w:sz w:val="36"/>
          <w:szCs w:val="36"/>
          <w:lang w:eastAsia="es-MX"/>
        </w:rPr>
        <w:t>Diagnosis o</w:t>
      </w:r>
      <w:r w:rsidR="006E2B8E" w:rsidRPr="00CB5B22">
        <w:rPr>
          <w:rFonts w:ascii="Calibri" w:hAnsi="Calibri" w:cs="Calibri"/>
          <w:b/>
          <w:color w:val="000000"/>
          <w:sz w:val="36"/>
          <w:szCs w:val="36"/>
          <w:lang w:eastAsia="es-MX"/>
        </w:rPr>
        <w:t>f</w:t>
      </w:r>
      <w:r w:rsidRPr="00CB5B22">
        <w:rPr>
          <w:rFonts w:ascii="Calibri" w:hAnsi="Calibri" w:cs="Calibri"/>
          <w:b/>
          <w:color w:val="000000"/>
          <w:sz w:val="36"/>
          <w:szCs w:val="36"/>
          <w:lang w:eastAsia="es-MX"/>
        </w:rPr>
        <w:t xml:space="preserve"> the reading and interpretation of statistical graphs </w:t>
      </w:r>
      <w:r w:rsidR="006E2B8E" w:rsidRPr="00CB5B22">
        <w:rPr>
          <w:rFonts w:ascii="Calibri" w:hAnsi="Calibri" w:cs="Calibri"/>
          <w:b/>
          <w:color w:val="000000"/>
          <w:sz w:val="36"/>
          <w:szCs w:val="36"/>
          <w:lang w:eastAsia="es-MX"/>
        </w:rPr>
        <w:t>by</w:t>
      </w:r>
      <w:r w:rsidRPr="00CB5B22">
        <w:rPr>
          <w:rFonts w:ascii="Calibri" w:hAnsi="Calibri" w:cs="Calibri"/>
          <w:b/>
          <w:color w:val="000000"/>
          <w:sz w:val="36"/>
          <w:szCs w:val="36"/>
          <w:lang w:eastAsia="es-MX"/>
        </w:rPr>
        <w:t xml:space="preserve"> undergraduate students </w:t>
      </w:r>
      <w:r w:rsidR="006E2B8E" w:rsidRPr="00CB5B22">
        <w:rPr>
          <w:rFonts w:ascii="Calibri" w:hAnsi="Calibri" w:cs="Calibri"/>
          <w:b/>
          <w:color w:val="000000"/>
          <w:sz w:val="36"/>
          <w:szCs w:val="36"/>
          <w:lang w:eastAsia="es-MX"/>
        </w:rPr>
        <w:t xml:space="preserve">from economic-administrative sciences </w:t>
      </w:r>
      <w:r w:rsidRPr="00CB5B22">
        <w:rPr>
          <w:rFonts w:ascii="Calibri" w:hAnsi="Calibri" w:cs="Calibri"/>
          <w:b/>
          <w:color w:val="000000"/>
          <w:sz w:val="36"/>
          <w:szCs w:val="36"/>
          <w:lang w:eastAsia="es-MX"/>
        </w:rPr>
        <w:t>programs at the University of Guadalajara</w:t>
      </w:r>
    </w:p>
    <w:p w14:paraId="1D75C0C4" w14:textId="2BB98882" w:rsidR="00AC1875" w:rsidRPr="00F62688" w:rsidRDefault="003C5C4E" w:rsidP="00F62688">
      <w:pPr>
        <w:tabs>
          <w:tab w:val="left" w:pos="1025"/>
        </w:tabs>
        <w:spacing w:before="120" w:after="480" w:line="276" w:lineRule="auto"/>
        <w:jc w:val="right"/>
        <w:rPr>
          <w:rFonts w:ascii="Calibri" w:hAnsi="Calibri" w:cs="Calibri"/>
          <w:b/>
          <w:i/>
          <w:iCs/>
          <w:color w:val="000000"/>
          <w:sz w:val="28"/>
          <w:szCs w:val="28"/>
          <w:lang w:val="es-MX" w:eastAsia="es-MX"/>
        </w:rPr>
      </w:pPr>
      <w:r w:rsidRPr="00F62688">
        <w:rPr>
          <w:rFonts w:ascii="Calibri" w:hAnsi="Calibri" w:cs="Calibri"/>
          <w:b/>
          <w:i/>
          <w:iCs/>
          <w:color w:val="000000"/>
          <w:sz w:val="28"/>
          <w:szCs w:val="28"/>
          <w:lang w:val="es-MX" w:eastAsia="es-MX"/>
        </w:rPr>
        <w:t xml:space="preserve">Diagnóstico sobre </w:t>
      </w:r>
      <w:r w:rsidR="00623FCB" w:rsidRPr="00F62688">
        <w:rPr>
          <w:rFonts w:ascii="Calibri" w:hAnsi="Calibri" w:cs="Calibri"/>
          <w:b/>
          <w:i/>
          <w:iCs/>
          <w:color w:val="000000"/>
          <w:sz w:val="28"/>
          <w:szCs w:val="28"/>
          <w:lang w:val="es-MX" w:eastAsia="es-MX"/>
        </w:rPr>
        <w:t>la</w:t>
      </w:r>
      <w:r w:rsidRPr="00F62688">
        <w:rPr>
          <w:rFonts w:ascii="Calibri" w:hAnsi="Calibri" w:cs="Calibri"/>
          <w:b/>
          <w:i/>
          <w:iCs/>
          <w:color w:val="000000"/>
          <w:sz w:val="28"/>
          <w:szCs w:val="28"/>
          <w:lang w:val="es-MX" w:eastAsia="es-MX"/>
        </w:rPr>
        <w:t xml:space="preserve"> lectura e interpretación de gráficos estadísticos en estudiantes de licenciatura de</w:t>
      </w:r>
      <w:r w:rsidR="00AC1875" w:rsidRPr="00F62688">
        <w:rPr>
          <w:rFonts w:ascii="Calibri" w:hAnsi="Calibri" w:cs="Calibri"/>
          <w:b/>
          <w:i/>
          <w:iCs/>
          <w:color w:val="000000"/>
          <w:sz w:val="28"/>
          <w:szCs w:val="28"/>
          <w:lang w:val="es-MX" w:eastAsia="es-MX"/>
        </w:rPr>
        <w:t xml:space="preserve"> ciencias</w:t>
      </w:r>
      <w:r w:rsidRPr="00F62688">
        <w:rPr>
          <w:rFonts w:ascii="Calibri" w:hAnsi="Calibri" w:cs="Calibri"/>
          <w:b/>
          <w:i/>
          <w:iCs/>
          <w:color w:val="000000"/>
          <w:sz w:val="28"/>
          <w:szCs w:val="28"/>
          <w:lang w:val="es-MX" w:eastAsia="es-MX"/>
        </w:rPr>
        <w:t xml:space="preserve"> económica</w:t>
      </w:r>
      <w:r w:rsidR="00AC1875" w:rsidRPr="00F62688">
        <w:rPr>
          <w:rFonts w:ascii="Calibri" w:hAnsi="Calibri" w:cs="Calibri"/>
          <w:b/>
          <w:i/>
          <w:iCs/>
          <w:color w:val="000000"/>
          <w:sz w:val="28"/>
          <w:szCs w:val="28"/>
          <w:lang w:val="es-MX" w:eastAsia="es-MX"/>
        </w:rPr>
        <w:t>-</w:t>
      </w:r>
      <w:r w:rsidRPr="00F62688">
        <w:rPr>
          <w:rFonts w:ascii="Calibri" w:hAnsi="Calibri" w:cs="Calibri"/>
          <w:b/>
          <w:i/>
          <w:iCs/>
          <w:color w:val="000000"/>
          <w:sz w:val="28"/>
          <w:szCs w:val="28"/>
          <w:lang w:val="es-MX" w:eastAsia="es-MX"/>
        </w:rPr>
        <w:t>administrativa</w:t>
      </w:r>
      <w:r w:rsidR="00AC1875" w:rsidRPr="00F62688">
        <w:rPr>
          <w:rFonts w:ascii="Calibri" w:hAnsi="Calibri" w:cs="Calibri"/>
          <w:b/>
          <w:i/>
          <w:iCs/>
          <w:color w:val="000000"/>
          <w:sz w:val="28"/>
          <w:szCs w:val="28"/>
          <w:lang w:val="es-MX" w:eastAsia="es-MX"/>
        </w:rPr>
        <w:t>s</w:t>
      </w:r>
      <w:r w:rsidRPr="00F62688">
        <w:rPr>
          <w:rFonts w:ascii="Calibri" w:hAnsi="Calibri" w:cs="Calibri"/>
          <w:b/>
          <w:i/>
          <w:iCs/>
          <w:color w:val="000000"/>
          <w:sz w:val="28"/>
          <w:szCs w:val="28"/>
          <w:lang w:val="es-MX" w:eastAsia="es-MX"/>
        </w:rPr>
        <w:t xml:space="preserve"> en la </w:t>
      </w:r>
      <w:r w:rsidR="00921901" w:rsidRPr="00F62688">
        <w:rPr>
          <w:rFonts w:ascii="Calibri" w:hAnsi="Calibri" w:cs="Calibri"/>
          <w:b/>
          <w:i/>
          <w:iCs/>
          <w:color w:val="000000"/>
          <w:sz w:val="28"/>
          <w:szCs w:val="28"/>
          <w:lang w:val="es-MX" w:eastAsia="es-MX"/>
        </w:rPr>
        <w:t>Universidad de Guadalajara</w:t>
      </w:r>
    </w:p>
    <w:p w14:paraId="07B69E47" w14:textId="2AFA0375" w:rsidR="00F62688" w:rsidRPr="00F62688" w:rsidRDefault="00F62688" w:rsidP="00F62688">
      <w:pPr>
        <w:tabs>
          <w:tab w:val="left" w:pos="1025"/>
        </w:tabs>
        <w:spacing w:before="120" w:after="480" w:line="276" w:lineRule="auto"/>
        <w:jc w:val="right"/>
        <w:rPr>
          <w:b/>
          <w:i/>
          <w:iCs/>
          <w:color w:val="000000" w:themeColor="text1"/>
          <w:sz w:val="20"/>
          <w:szCs w:val="20"/>
          <w:lang w:val="es-ES"/>
        </w:rPr>
      </w:pPr>
      <w:r w:rsidRPr="00F62688">
        <w:rPr>
          <w:rFonts w:ascii="Calibri" w:hAnsi="Calibri" w:cs="Calibri"/>
          <w:b/>
          <w:i/>
          <w:iCs/>
          <w:color w:val="000000"/>
          <w:sz w:val="28"/>
          <w:szCs w:val="28"/>
          <w:lang w:val="es-MX" w:eastAsia="es-MX"/>
        </w:rPr>
        <w:t>Diagnóstico na leitura e interpretação de gráficos estatísticos em alunos de graduação em ciências econômico-administrativas da Universidade de Guadalajara</w:t>
      </w:r>
    </w:p>
    <w:p w14:paraId="7B51FEF8" w14:textId="77777777" w:rsidR="00D612D1" w:rsidRPr="00F62688" w:rsidRDefault="00D612D1" w:rsidP="00F62688">
      <w:pPr>
        <w:spacing w:line="276" w:lineRule="auto"/>
        <w:jc w:val="right"/>
        <w:rPr>
          <w:rFonts w:ascii="Calibri" w:eastAsia="SimSun" w:hAnsi="Calibri" w:cs="Calibri"/>
          <w:b/>
          <w:bCs/>
          <w:lang w:val="es-MX" w:eastAsia="ar-SA"/>
        </w:rPr>
      </w:pPr>
      <w:r w:rsidRPr="00F62688">
        <w:rPr>
          <w:rFonts w:ascii="Calibri" w:eastAsia="SimSun" w:hAnsi="Calibri" w:cs="Calibri"/>
          <w:b/>
          <w:bCs/>
          <w:lang w:val="es-MX" w:eastAsia="ar-SA"/>
        </w:rPr>
        <w:t>Salvador Sandoval</w:t>
      </w:r>
    </w:p>
    <w:p w14:paraId="13AF5F5E" w14:textId="794D2DE4" w:rsidR="00D612D1" w:rsidRDefault="00D612D1" w:rsidP="00F62688">
      <w:pPr>
        <w:spacing w:line="276" w:lineRule="auto"/>
        <w:jc w:val="right"/>
        <w:rPr>
          <w:color w:val="000000" w:themeColor="text1"/>
          <w:lang w:val="es-ES"/>
        </w:rPr>
      </w:pPr>
      <w:r w:rsidRPr="00F62688">
        <w:rPr>
          <w:color w:val="000000" w:themeColor="text1"/>
          <w:lang w:val="es-ES"/>
        </w:rPr>
        <w:t xml:space="preserve">Universidad de Guadalajara, </w:t>
      </w:r>
      <w:r w:rsidR="00F62688" w:rsidRPr="00F62688">
        <w:rPr>
          <w:color w:val="000000" w:themeColor="text1"/>
          <w:lang w:val="es-ES"/>
        </w:rPr>
        <w:t xml:space="preserve">Departamento de Métodos Cuantitativos, </w:t>
      </w:r>
      <w:r w:rsidRPr="00F62688">
        <w:rPr>
          <w:color w:val="000000" w:themeColor="text1"/>
          <w:lang w:val="es-ES"/>
        </w:rPr>
        <w:t>México</w:t>
      </w:r>
    </w:p>
    <w:p w14:paraId="20E68109" w14:textId="45F0FDD3" w:rsidR="00F62688" w:rsidRPr="00F62688" w:rsidRDefault="00F62688" w:rsidP="00F62688">
      <w:pPr>
        <w:spacing w:line="276" w:lineRule="auto"/>
        <w:jc w:val="right"/>
        <w:rPr>
          <w:rFonts w:asciiTheme="minorHAnsi" w:hAnsiTheme="minorHAnsi" w:cstheme="minorHAnsi"/>
          <w:color w:val="FF0000"/>
          <w:lang w:val="es-ES"/>
        </w:rPr>
      </w:pPr>
      <w:r w:rsidRPr="00F62688">
        <w:rPr>
          <w:rFonts w:asciiTheme="minorHAnsi" w:hAnsiTheme="minorHAnsi" w:cstheme="minorHAnsi"/>
          <w:color w:val="FF0000"/>
          <w:lang w:val="es-ES"/>
        </w:rPr>
        <w:t>salvador.sandoval@academicos.udg.mx</w:t>
      </w:r>
    </w:p>
    <w:p w14:paraId="49EA4295" w14:textId="17D07386" w:rsidR="00D612D1" w:rsidRPr="00F62688" w:rsidRDefault="00F62688" w:rsidP="00F62688">
      <w:pPr>
        <w:spacing w:line="276" w:lineRule="auto"/>
        <w:jc w:val="right"/>
        <w:rPr>
          <w:color w:val="000000" w:themeColor="text1"/>
          <w:lang w:val="es-ES"/>
        </w:rPr>
      </w:pPr>
      <w:r w:rsidRPr="00CB5B22">
        <w:rPr>
          <w:lang w:val="es-ES"/>
        </w:rPr>
        <w:t>https://orcid.org/</w:t>
      </w:r>
      <w:r w:rsidR="00D612D1" w:rsidRPr="00F62688">
        <w:rPr>
          <w:color w:val="000000" w:themeColor="text1"/>
          <w:lang w:val="es-ES"/>
        </w:rPr>
        <w:t>0000-0001-9434-6536</w:t>
      </w:r>
    </w:p>
    <w:p w14:paraId="3B093921" w14:textId="7D9286E0" w:rsidR="00D612D1" w:rsidRPr="00F62688" w:rsidRDefault="00D612D1" w:rsidP="00F62688">
      <w:pPr>
        <w:spacing w:line="276" w:lineRule="auto"/>
        <w:jc w:val="right"/>
        <w:rPr>
          <w:color w:val="000000" w:themeColor="text1"/>
          <w:lang w:val="es-ES"/>
        </w:rPr>
      </w:pPr>
    </w:p>
    <w:p w14:paraId="6BE16926" w14:textId="77777777" w:rsidR="00D612D1" w:rsidRPr="00CB5B22" w:rsidRDefault="00D612D1" w:rsidP="00F62688">
      <w:pPr>
        <w:spacing w:line="276" w:lineRule="auto"/>
        <w:jc w:val="right"/>
        <w:rPr>
          <w:rFonts w:ascii="Calibri" w:eastAsia="SimSun" w:hAnsi="Calibri" w:cs="Calibri"/>
          <w:b/>
          <w:bCs/>
          <w:lang w:eastAsia="ar-SA"/>
        </w:rPr>
      </w:pPr>
      <w:r w:rsidRPr="00CB5B22">
        <w:rPr>
          <w:rFonts w:ascii="Calibri" w:eastAsia="SimSun" w:hAnsi="Calibri" w:cs="Calibri"/>
          <w:b/>
          <w:bCs/>
          <w:lang w:eastAsia="ar-SA"/>
        </w:rPr>
        <w:t xml:space="preserve">Robert </w:t>
      </w:r>
      <w:proofErr w:type="spellStart"/>
      <w:r w:rsidRPr="00CB5B22">
        <w:rPr>
          <w:rFonts w:ascii="Calibri" w:eastAsia="SimSun" w:hAnsi="Calibri" w:cs="Calibri"/>
          <w:b/>
          <w:bCs/>
          <w:lang w:eastAsia="ar-SA"/>
        </w:rPr>
        <w:t>delMas</w:t>
      </w:r>
      <w:proofErr w:type="spellEnd"/>
    </w:p>
    <w:p w14:paraId="418BBF8E" w14:textId="1AF37077" w:rsidR="00D612D1" w:rsidRPr="00F62688" w:rsidRDefault="00D612D1" w:rsidP="00F62688">
      <w:pPr>
        <w:spacing w:line="276" w:lineRule="auto"/>
        <w:jc w:val="right"/>
        <w:rPr>
          <w:iCs/>
          <w:color w:val="000000" w:themeColor="text1"/>
        </w:rPr>
      </w:pPr>
      <w:r w:rsidRPr="00F62688">
        <w:rPr>
          <w:iCs/>
          <w:color w:val="000000" w:themeColor="text1"/>
        </w:rPr>
        <w:t xml:space="preserve">University of Minnesota, </w:t>
      </w:r>
      <w:r w:rsidR="00F62688" w:rsidRPr="00F62688">
        <w:rPr>
          <w:iCs/>
          <w:color w:val="000000" w:themeColor="text1"/>
        </w:rPr>
        <w:t>Department of Educational Psychology</w:t>
      </w:r>
      <w:r w:rsidRPr="00F62688">
        <w:rPr>
          <w:iCs/>
          <w:color w:val="000000" w:themeColor="text1"/>
        </w:rPr>
        <w:t>, U</w:t>
      </w:r>
      <w:r w:rsidR="00CB5B22">
        <w:rPr>
          <w:iCs/>
          <w:color w:val="000000" w:themeColor="text1"/>
        </w:rPr>
        <w:t>.S.A</w:t>
      </w:r>
    </w:p>
    <w:p w14:paraId="2AC91F69" w14:textId="1EB2CFCF" w:rsidR="00D612D1" w:rsidRPr="00CB5B22" w:rsidRDefault="00F62688" w:rsidP="00F62688">
      <w:pPr>
        <w:spacing w:line="276" w:lineRule="auto"/>
        <w:jc w:val="right"/>
        <w:rPr>
          <w:rFonts w:asciiTheme="minorHAnsi" w:hAnsiTheme="minorHAnsi" w:cstheme="minorHAnsi"/>
          <w:color w:val="FF0000"/>
        </w:rPr>
      </w:pPr>
      <w:r w:rsidRPr="00CB5B22">
        <w:rPr>
          <w:rFonts w:asciiTheme="minorHAnsi" w:hAnsiTheme="minorHAnsi" w:cstheme="minorHAnsi"/>
          <w:color w:val="FF0000"/>
        </w:rPr>
        <w:t>delma001@umn.edu</w:t>
      </w:r>
    </w:p>
    <w:p w14:paraId="2DCF8D11" w14:textId="77777777" w:rsidR="00F62688" w:rsidRPr="00F62688" w:rsidRDefault="00F62688" w:rsidP="00F62688">
      <w:pPr>
        <w:spacing w:line="276" w:lineRule="auto"/>
        <w:jc w:val="right"/>
        <w:rPr>
          <w:color w:val="000000" w:themeColor="text1"/>
        </w:rPr>
      </w:pPr>
      <w:r w:rsidRPr="00276F8E">
        <w:t>https://orcid.org/</w:t>
      </w:r>
      <w:r w:rsidRPr="00F62688">
        <w:rPr>
          <w:color w:val="000000" w:themeColor="text1"/>
        </w:rPr>
        <w:t>0000-0002-0210-6437</w:t>
      </w:r>
    </w:p>
    <w:p w14:paraId="4B005474" w14:textId="77777777" w:rsidR="00F62688" w:rsidRPr="00F62688" w:rsidRDefault="00F62688" w:rsidP="00F62688">
      <w:pPr>
        <w:spacing w:line="276" w:lineRule="auto"/>
        <w:jc w:val="right"/>
        <w:rPr>
          <w:color w:val="000000" w:themeColor="text1"/>
        </w:rPr>
      </w:pPr>
    </w:p>
    <w:p w14:paraId="00C6C2F5" w14:textId="77777777" w:rsidR="00D612D1" w:rsidRPr="00F62688" w:rsidRDefault="00D612D1" w:rsidP="00F62688">
      <w:pPr>
        <w:spacing w:line="276" w:lineRule="auto"/>
        <w:jc w:val="right"/>
        <w:rPr>
          <w:rFonts w:ascii="Calibri" w:eastAsia="SimSun" w:hAnsi="Calibri" w:cs="Calibri"/>
          <w:b/>
          <w:bCs/>
          <w:lang w:val="es-MX" w:eastAsia="ar-SA"/>
        </w:rPr>
      </w:pPr>
      <w:r w:rsidRPr="00F62688">
        <w:rPr>
          <w:rFonts w:ascii="Calibri" w:eastAsia="SimSun" w:hAnsi="Calibri" w:cs="Calibri"/>
          <w:b/>
          <w:bCs/>
          <w:lang w:val="es-MX" w:eastAsia="ar-SA"/>
        </w:rPr>
        <w:t>Pedro Celso-Arellano</w:t>
      </w:r>
    </w:p>
    <w:p w14:paraId="2861A14E" w14:textId="397AC2E4" w:rsidR="00F62688" w:rsidRPr="00F62688" w:rsidRDefault="00F62688" w:rsidP="00F62688">
      <w:pPr>
        <w:spacing w:line="276" w:lineRule="auto"/>
        <w:jc w:val="right"/>
        <w:rPr>
          <w:rFonts w:asciiTheme="minorHAnsi" w:hAnsiTheme="minorHAnsi" w:cstheme="minorHAnsi"/>
          <w:color w:val="FF0000"/>
          <w:lang w:val="es-ES"/>
        </w:rPr>
      </w:pPr>
      <w:r w:rsidRPr="00F62688">
        <w:rPr>
          <w:color w:val="000000" w:themeColor="text1"/>
          <w:lang w:val="es-ES"/>
        </w:rPr>
        <w:t>Universidad de Guadalajara, Departamento de Métodos Cuantitativos, México</w:t>
      </w:r>
      <w:r w:rsidRPr="00F62688">
        <w:rPr>
          <w:rFonts w:asciiTheme="minorHAnsi" w:hAnsiTheme="minorHAnsi" w:cstheme="minorHAnsi"/>
          <w:color w:val="FF0000"/>
          <w:lang w:val="es-ES"/>
        </w:rPr>
        <w:t xml:space="preserve"> pedro.celso@academicos.udg.mx</w:t>
      </w:r>
    </w:p>
    <w:p w14:paraId="6B4D5AE1" w14:textId="2720C4B2" w:rsidR="00D612D1" w:rsidRPr="00F62688" w:rsidRDefault="00F62688" w:rsidP="00F62688">
      <w:pPr>
        <w:spacing w:line="276" w:lineRule="auto"/>
        <w:jc w:val="right"/>
        <w:rPr>
          <w:color w:val="000000" w:themeColor="text1"/>
          <w:lang w:val="es-MX"/>
        </w:rPr>
      </w:pPr>
      <w:r w:rsidRPr="00F62688">
        <w:rPr>
          <w:lang w:val="es-MX"/>
        </w:rPr>
        <w:t>https://orcid.org/</w:t>
      </w:r>
      <w:r w:rsidR="00D612D1" w:rsidRPr="00F62688">
        <w:rPr>
          <w:color w:val="000000" w:themeColor="text1"/>
          <w:lang w:val="es-MX"/>
        </w:rPr>
        <w:t>0000-0003-3856-6344</w:t>
      </w:r>
    </w:p>
    <w:p w14:paraId="4493607B" w14:textId="77777777" w:rsidR="00F62688" w:rsidRDefault="00F62688" w:rsidP="00F62688">
      <w:pPr>
        <w:spacing w:line="276" w:lineRule="auto"/>
        <w:jc w:val="right"/>
        <w:rPr>
          <w:rFonts w:ascii="Calibri" w:eastAsia="SimSun" w:hAnsi="Calibri" w:cs="Calibri"/>
          <w:b/>
          <w:bCs/>
          <w:lang w:val="es-MX" w:eastAsia="ar-SA"/>
        </w:rPr>
      </w:pPr>
    </w:p>
    <w:p w14:paraId="66794E3C" w14:textId="7E23F5A3" w:rsidR="00D612D1" w:rsidRPr="00F62688" w:rsidRDefault="00D612D1" w:rsidP="00F62688">
      <w:pPr>
        <w:spacing w:line="276" w:lineRule="auto"/>
        <w:jc w:val="right"/>
        <w:rPr>
          <w:rFonts w:ascii="Calibri" w:eastAsia="SimSun" w:hAnsi="Calibri" w:cs="Calibri"/>
          <w:b/>
          <w:bCs/>
          <w:lang w:val="es-MX" w:eastAsia="ar-SA"/>
        </w:rPr>
      </w:pPr>
      <w:r w:rsidRPr="00F62688">
        <w:rPr>
          <w:rFonts w:ascii="Calibri" w:eastAsia="SimSun" w:hAnsi="Calibri" w:cs="Calibri"/>
          <w:b/>
          <w:bCs/>
          <w:lang w:val="es-MX" w:eastAsia="ar-SA"/>
        </w:rPr>
        <w:t>Victor Gualajara</w:t>
      </w:r>
    </w:p>
    <w:p w14:paraId="66A22E58" w14:textId="77832B60" w:rsidR="00D612D1" w:rsidRDefault="00F62688" w:rsidP="00F62688">
      <w:pPr>
        <w:spacing w:line="276" w:lineRule="auto"/>
        <w:jc w:val="right"/>
        <w:rPr>
          <w:rFonts w:asciiTheme="minorHAnsi" w:hAnsiTheme="minorHAnsi" w:cstheme="minorHAnsi"/>
          <w:color w:val="FF0000"/>
          <w:lang w:val="es-ES"/>
        </w:rPr>
      </w:pPr>
      <w:r w:rsidRPr="00F62688">
        <w:rPr>
          <w:color w:val="000000" w:themeColor="text1"/>
          <w:lang w:val="es-ES"/>
        </w:rPr>
        <w:t>Universidad de Guadalajara, Departamento de Métodos Cuantitativos, México</w:t>
      </w:r>
      <w:r w:rsidRPr="00F62688">
        <w:rPr>
          <w:rFonts w:asciiTheme="minorHAnsi" w:hAnsiTheme="minorHAnsi" w:cstheme="minorHAnsi"/>
          <w:color w:val="FF0000"/>
          <w:lang w:val="es-ES"/>
        </w:rPr>
        <w:t xml:space="preserve"> victor.gualajara@academicos.udg.mx</w:t>
      </w:r>
    </w:p>
    <w:p w14:paraId="5B270ACE" w14:textId="77777777" w:rsidR="00F62688" w:rsidRPr="00F62688" w:rsidRDefault="00F62688" w:rsidP="00F62688">
      <w:pPr>
        <w:spacing w:line="276" w:lineRule="auto"/>
        <w:jc w:val="right"/>
        <w:rPr>
          <w:color w:val="000000" w:themeColor="text1"/>
          <w:lang w:val="es-ES"/>
        </w:rPr>
      </w:pPr>
      <w:r w:rsidRPr="00F62688">
        <w:rPr>
          <w:lang w:val="es-ES"/>
        </w:rPr>
        <w:t>https://orcid.org/</w:t>
      </w:r>
      <w:r w:rsidRPr="00F62688">
        <w:rPr>
          <w:color w:val="000000" w:themeColor="text1"/>
          <w:lang w:val="es-ES"/>
        </w:rPr>
        <w:t>0000-0002-5405-3779</w:t>
      </w:r>
    </w:p>
    <w:p w14:paraId="284447BA" w14:textId="77777777" w:rsidR="003D291F" w:rsidRDefault="003D291F" w:rsidP="00F62688">
      <w:pPr>
        <w:spacing w:line="276" w:lineRule="auto"/>
        <w:jc w:val="right"/>
        <w:rPr>
          <w:rFonts w:ascii="Calibri" w:eastAsia="SimSun" w:hAnsi="Calibri" w:cs="Calibri"/>
          <w:b/>
          <w:bCs/>
          <w:lang w:val="es-MX" w:eastAsia="ar-SA"/>
        </w:rPr>
      </w:pPr>
    </w:p>
    <w:p w14:paraId="76D8C666" w14:textId="6746F57A" w:rsidR="00D612D1" w:rsidRPr="00F62688" w:rsidRDefault="00D612D1" w:rsidP="00F62688">
      <w:pPr>
        <w:spacing w:line="276" w:lineRule="auto"/>
        <w:jc w:val="right"/>
        <w:rPr>
          <w:b/>
          <w:bCs/>
          <w:color w:val="000000" w:themeColor="text1"/>
          <w:lang w:val="es-MX"/>
        </w:rPr>
      </w:pPr>
      <w:r w:rsidRPr="00F62688">
        <w:rPr>
          <w:rFonts w:ascii="Calibri" w:eastAsia="SimSun" w:hAnsi="Calibri" w:cs="Calibri"/>
          <w:b/>
          <w:bCs/>
          <w:lang w:val="es-MX" w:eastAsia="ar-SA"/>
        </w:rPr>
        <w:lastRenderedPageBreak/>
        <w:t>Semei Coronado</w:t>
      </w:r>
      <w:r w:rsidRPr="00F62688">
        <w:rPr>
          <w:b/>
          <w:bCs/>
          <w:color w:val="000000" w:themeColor="text1"/>
          <w:lang w:val="es-MX"/>
        </w:rPr>
        <w:t>*</w:t>
      </w:r>
    </w:p>
    <w:p w14:paraId="75402E7D" w14:textId="7B7F34D8" w:rsidR="00D612D1" w:rsidRPr="00C24740" w:rsidRDefault="00D612D1" w:rsidP="00F62688">
      <w:pPr>
        <w:spacing w:line="276" w:lineRule="auto"/>
        <w:jc w:val="right"/>
        <w:rPr>
          <w:color w:val="000000" w:themeColor="text1"/>
        </w:rPr>
      </w:pPr>
      <w:r w:rsidRPr="00B21F63">
        <w:rPr>
          <w:color w:val="000000" w:themeColor="text1"/>
        </w:rPr>
        <w:t xml:space="preserve">Independent Consultant. </w:t>
      </w:r>
      <w:r w:rsidRPr="00C24740">
        <w:rPr>
          <w:color w:val="000000" w:themeColor="text1"/>
        </w:rPr>
        <w:t>U.S.A.</w:t>
      </w:r>
    </w:p>
    <w:p w14:paraId="15DA0EC8" w14:textId="6F248EDB" w:rsidR="00F62688" w:rsidRPr="00CB5B22" w:rsidRDefault="00F62688" w:rsidP="00F62688">
      <w:pPr>
        <w:spacing w:line="276" w:lineRule="auto"/>
        <w:jc w:val="right"/>
        <w:rPr>
          <w:rFonts w:asciiTheme="minorHAnsi" w:hAnsiTheme="minorHAnsi" w:cstheme="minorHAnsi"/>
          <w:color w:val="000000" w:themeColor="text1"/>
        </w:rPr>
      </w:pPr>
      <w:r w:rsidRPr="00CB5B22">
        <w:rPr>
          <w:rFonts w:asciiTheme="minorHAnsi" w:hAnsiTheme="minorHAnsi" w:cstheme="minorHAnsi"/>
          <w:color w:val="FF0000"/>
        </w:rPr>
        <w:t>semei.coronado@gmail.com</w:t>
      </w:r>
    </w:p>
    <w:p w14:paraId="3A445FEE" w14:textId="18612D9B" w:rsidR="00D612D1" w:rsidRPr="00CB5B22" w:rsidRDefault="00F62688" w:rsidP="00F62688">
      <w:pPr>
        <w:spacing w:line="276" w:lineRule="auto"/>
        <w:jc w:val="right"/>
        <w:rPr>
          <w:color w:val="000000" w:themeColor="text1"/>
        </w:rPr>
      </w:pPr>
      <w:r w:rsidRPr="00CB5B22">
        <w:t>https://orcid.org/0000-0002-7945-7155</w:t>
      </w:r>
    </w:p>
    <w:p w14:paraId="167B1F90" w14:textId="7AB1BF36" w:rsidR="00F62688" w:rsidRPr="00CB5B22" w:rsidRDefault="00F62688" w:rsidP="00B3197D">
      <w:pPr>
        <w:spacing w:line="360" w:lineRule="auto"/>
        <w:jc w:val="center"/>
        <w:rPr>
          <w:color w:val="000000" w:themeColor="text1"/>
        </w:rPr>
      </w:pPr>
    </w:p>
    <w:p w14:paraId="10016338" w14:textId="04562DA5" w:rsidR="00F62688" w:rsidRPr="00CB5B22" w:rsidRDefault="00F62688" w:rsidP="00F62688">
      <w:pPr>
        <w:spacing w:line="360" w:lineRule="auto"/>
        <w:jc w:val="right"/>
        <w:rPr>
          <w:color w:val="000000" w:themeColor="text1"/>
        </w:rPr>
      </w:pPr>
      <w:r w:rsidRPr="00F62688">
        <w:rPr>
          <w:color w:val="000000" w:themeColor="text1"/>
        </w:rPr>
        <w:t>*</w:t>
      </w:r>
      <w:r>
        <w:rPr>
          <w:color w:val="000000" w:themeColor="text1"/>
        </w:rPr>
        <w:t xml:space="preserve"> </w:t>
      </w:r>
      <w:r w:rsidRPr="00F62688">
        <w:rPr>
          <w:color w:val="000000" w:themeColor="text1"/>
        </w:rPr>
        <w:t>Corresponding Author.</w:t>
      </w:r>
    </w:p>
    <w:p w14:paraId="4CB60134" w14:textId="77777777" w:rsidR="006E2B8E" w:rsidRPr="00CB5B22" w:rsidRDefault="006E2B8E" w:rsidP="00B3197D">
      <w:pPr>
        <w:tabs>
          <w:tab w:val="left" w:pos="8222"/>
        </w:tabs>
        <w:spacing w:line="360" w:lineRule="auto"/>
        <w:ind w:left="737" w:right="737"/>
        <w:jc w:val="center"/>
        <w:rPr>
          <w:b/>
          <w:iCs/>
          <w:color w:val="000000" w:themeColor="text1"/>
        </w:rPr>
      </w:pPr>
    </w:p>
    <w:p w14:paraId="4CC66C95" w14:textId="77777777" w:rsidR="00CA7788" w:rsidRPr="00EC5E7E" w:rsidRDefault="00CA7788" w:rsidP="00EC5E7E">
      <w:pPr>
        <w:tabs>
          <w:tab w:val="left" w:pos="8222"/>
        </w:tabs>
        <w:spacing w:line="360" w:lineRule="auto"/>
        <w:ind w:right="737"/>
        <w:rPr>
          <w:rFonts w:asciiTheme="minorHAnsi" w:hAnsiTheme="minorHAnsi" w:cstheme="minorHAnsi"/>
          <w:b/>
          <w:iCs/>
          <w:color w:val="000000" w:themeColor="text1"/>
          <w:sz w:val="28"/>
          <w:szCs w:val="28"/>
        </w:rPr>
      </w:pPr>
      <w:r w:rsidRPr="00EC5E7E">
        <w:rPr>
          <w:rFonts w:asciiTheme="minorHAnsi" w:hAnsiTheme="minorHAnsi" w:cstheme="minorHAnsi"/>
          <w:b/>
          <w:iCs/>
          <w:color w:val="000000" w:themeColor="text1"/>
          <w:sz w:val="28"/>
          <w:szCs w:val="28"/>
        </w:rPr>
        <w:t>Abstract</w:t>
      </w:r>
      <w:r w:rsidR="004B7C12" w:rsidRPr="00EC5E7E">
        <w:rPr>
          <w:rFonts w:asciiTheme="minorHAnsi" w:hAnsiTheme="minorHAnsi" w:cstheme="minorHAnsi"/>
          <w:b/>
          <w:iCs/>
          <w:color w:val="000000" w:themeColor="text1"/>
          <w:sz w:val="28"/>
          <w:szCs w:val="28"/>
        </w:rPr>
        <w:t xml:space="preserve"> </w:t>
      </w:r>
    </w:p>
    <w:p w14:paraId="65E4774F" w14:textId="32E8F79E" w:rsidR="006E2B8E" w:rsidRPr="00B21F63" w:rsidRDefault="006E2B8E" w:rsidP="006E2B8E">
      <w:pPr>
        <w:spacing w:line="360" w:lineRule="auto"/>
        <w:jc w:val="both"/>
        <w:rPr>
          <w:color w:val="000000" w:themeColor="text1"/>
        </w:rPr>
      </w:pPr>
      <w:r w:rsidRPr="00B21F63">
        <w:rPr>
          <w:color w:val="000000" w:themeColor="text1"/>
        </w:rPr>
        <w:t>Recently, statistical reasoning has been of vital importance not only in quantitative analysis but also in the interpretation of graphs at all educational levels. There are students that can make calculations almost immediately but are not able to interpret or present their ideas graphically. In this way, the present study seeks to conduct a diagnostic of the problems that economic-administrative students have when reading and interpreting graphs in their statistics courses. For this, a Spanish version of the test Comprehensive Assessment of Outcomes in Statistics (CAOS) was administered. This instrument allows for the determination of reasoning applied to different types of statistical graphs and in some cases to determine what type of calculation is required to do it. The instrument was applied to 138 undergraduate students from the economic-administrative area of the University of Guadalajara during January-June 2018. The results show that a large percentage of students confuse a normal distribution with a uniform one and that they are unable to distinguish that a bias can be determined from the measures of central tendency and dispersion, as well as other statistical reasoning difficulties. This may be as a result of a deficiency that exists in statistical teaching, an insufficient mathematical preparation on the part of the students, among other factors.</w:t>
      </w:r>
    </w:p>
    <w:p w14:paraId="09FFF754" w14:textId="77777777" w:rsidR="006C4B5F" w:rsidRPr="00B21F63" w:rsidRDefault="00E40F31" w:rsidP="00B3197D">
      <w:pPr>
        <w:spacing w:line="360" w:lineRule="auto"/>
        <w:ind w:right="98"/>
        <w:jc w:val="both"/>
        <w:rPr>
          <w:color w:val="000000" w:themeColor="text1"/>
        </w:rPr>
      </w:pPr>
      <w:r w:rsidRPr="00EC5E7E">
        <w:rPr>
          <w:rFonts w:asciiTheme="minorHAnsi" w:hAnsiTheme="minorHAnsi" w:cstheme="minorHAnsi"/>
          <w:b/>
          <w:iCs/>
          <w:color w:val="000000" w:themeColor="text1"/>
          <w:sz w:val="28"/>
          <w:szCs w:val="28"/>
        </w:rPr>
        <w:t>Keywords</w:t>
      </w:r>
      <w:r w:rsidR="00B370CA" w:rsidRPr="00EC5E7E">
        <w:rPr>
          <w:rFonts w:asciiTheme="minorHAnsi" w:hAnsiTheme="minorHAnsi" w:cstheme="minorHAnsi"/>
          <w:b/>
          <w:iCs/>
          <w:color w:val="000000" w:themeColor="text1"/>
          <w:sz w:val="28"/>
          <w:szCs w:val="28"/>
        </w:rPr>
        <w:t>:</w:t>
      </w:r>
      <w:r w:rsidR="00B370CA" w:rsidRPr="00B21F63">
        <w:rPr>
          <w:color w:val="000000" w:themeColor="text1"/>
        </w:rPr>
        <w:t xml:space="preserve"> </w:t>
      </w:r>
      <w:r w:rsidR="00A95585" w:rsidRPr="00B21F63">
        <w:rPr>
          <w:color w:val="000000" w:themeColor="text1"/>
        </w:rPr>
        <w:t>Graphical Representations, Histograms, Variabilit</w:t>
      </w:r>
      <w:r w:rsidR="00AD693C" w:rsidRPr="00B21F63">
        <w:rPr>
          <w:color w:val="000000" w:themeColor="text1"/>
        </w:rPr>
        <w:t>y</w:t>
      </w:r>
      <w:r w:rsidR="00A95585" w:rsidRPr="00B21F63">
        <w:rPr>
          <w:color w:val="000000" w:themeColor="text1"/>
        </w:rPr>
        <w:t>.</w:t>
      </w:r>
    </w:p>
    <w:p w14:paraId="3BC00AB0" w14:textId="77777777" w:rsidR="00E737CD" w:rsidRPr="00B21F63" w:rsidRDefault="00E737CD" w:rsidP="00B3197D">
      <w:pPr>
        <w:spacing w:line="360" w:lineRule="auto"/>
        <w:jc w:val="both"/>
        <w:rPr>
          <w:b/>
          <w:bCs/>
          <w:color w:val="000000" w:themeColor="text1"/>
        </w:rPr>
      </w:pPr>
    </w:p>
    <w:p w14:paraId="5166CC1E" w14:textId="77777777" w:rsidR="00B3197D" w:rsidRPr="00CB5B22" w:rsidRDefault="00B3197D" w:rsidP="00EC5E7E">
      <w:pPr>
        <w:spacing w:line="360" w:lineRule="auto"/>
        <w:rPr>
          <w:rFonts w:asciiTheme="minorHAnsi" w:hAnsiTheme="minorHAnsi" w:cstheme="minorHAnsi"/>
          <w:b/>
          <w:iCs/>
          <w:color w:val="000000" w:themeColor="text1"/>
          <w:sz w:val="28"/>
          <w:szCs w:val="28"/>
          <w:lang w:val="es-ES"/>
        </w:rPr>
      </w:pPr>
      <w:r w:rsidRPr="00CB5B22">
        <w:rPr>
          <w:rFonts w:asciiTheme="minorHAnsi" w:hAnsiTheme="minorHAnsi" w:cstheme="minorHAnsi"/>
          <w:b/>
          <w:iCs/>
          <w:color w:val="000000" w:themeColor="text1"/>
          <w:sz w:val="28"/>
          <w:szCs w:val="28"/>
          <w:lang w:val="es-ES"/>
        </w:rPr>
        <w:t>Resumen</w:t>
      </w:r>
    </w:p>
    <w:p w14:paraId="695B56D4" w14:textId="5A150B0D" w:rsidR="00163DFE" w:rsidRPr="00B21F63" w:rsidRDefault="001522EB" w:rsidP="00B3197D">
      <w:pPr>
        <w:spacing w:line="360" w:lineRule="auto"/>
        <w:jc w:val="both"/>
        <w:rPr>
          <w:color w:val="000000" w:themeColor="text1"/>
          <w:lang w:val="es-ES"/>
        </w:rPr>
      </w:pPr>
      <w:r w:rsidRPr="00B21F63">
        <w:rPr>
          <w:color w:val="000000" w:themeColor="text1"/>
          <w:lang w:val="es-ES"/>
        </w:rPr>
        <w:t xml:space="preserve">Recientemente el </w:t>
      </w:r>
      <w:r w:rsidR="00A45721" w:rsidRPr="00B21F63">
        <w:rPr>
          <w:color w:val="000000" w:themeColor="text1"/>
          <w:lang w:val="es-ES"/>
        </w:rPr>
        <w:t>razonamiento estadístico</w:t>
      </w:r>
      <w:r w:rsidRPr="00B21F63">
        <w:rPr>
          <w:color w:val="000000" w:themeColor="text1"/>
          <w:lang w:val="es-ES"/>
        </w:rPr>
        <w:t xml:space="preserve"> ha sido de vital importancia no solo en el análisis cuantitativo, sino también en la interpretación</w:t>
      </w:r>
      <w:r w:rsidR="00A45721" w:rsidRPr="00B21F63">
        <w:rPr>
          <w:color w:val="000000" w:themeColor="text1"/>
          <w:lang w:val="es-ES"/>
        </w:rPr>
        <w:t xml:space="preserve"> </w:t>
      </w:r>
      <w:r w:rsidRPr="00B21F63">
        <w:rPr>
          <w:color w:val="000000" w:themeColor="text1"/>
          <w:lang w:val="es-ES"/>
        </w:rPr>
        <w:t xml:space="preserve">de gráficos a todos los niveles educativos.  Existen estudiantes </w:t>
      </w:r>
      <w:r w:rsidR="00F96F88" w:rsidRPr="00B21F63">
        <w:rPr>
          <w:color w:val="000000" w:themeColor="text1"/>
          <w:lang w:val="es-ES"/>
        </w:rPr>
        <w:t xml:space="preserve">que pueden realizar distintos cálculos de manera casi inmediata, sin embargo, no pueden interpretar o exponer sus ideas en un grafico. </w:t>
      </w:r>
      <w:r w:rsidR="00525639" w:rsidRPr="00B21F63">
        <w:rPr>
          <w:color w:val="000000" w:themeColor="text1"/>
          <w:lang w:val="es-ES"/>
        </w:rPr>
        <w:t>De esta manera, e</w:t>
      </w:r>
      <w:r w:rsidR="00B3197D" w:rsidRPr="00B21F63">
        <w:rPr>
          <w:color w:val="000000" w:themeColor="text1"/>
          <w:lang w:val="es-ES"/>
        </w:rPr>
        <w:t xml:space="preserve">l presente trabajo pretende </w:t>
      </w:r>
      <w:r w:rsidR="0024410A" w:rsidRPr="00B21F63">
        <w:rPr>
          <w:color w:val="000000" w:themeColor="text1"/>
          <w:lang w:val="es-ES"/>
        </w:rPr>
        <w:t xml:space="preserve">realizar un diagnóstico de los problemas que tienen los </w:t>
      </w:r>
      <w:r w:rsidR="00B3197D" w:rsidRPr="00B21F63">
        <w:rPr>
          <w:color w:val="000000" w:themeColor="text1"/>
          <w:lang w:val="es-ES"/>
        </w:rPr>
        <w:t>alumnos de licenciaturas económico</w:t>
      </w:r>
      <w:r w:rsidR="0024410A" w:rsidRPr="00B21F63">
        <w:rPr>
          <w:color w:val="000000" w:themeColor="text1"/>
          <w:lang w:val="es-ES"/>
        </w:rPr>
        <w:t>-</w:t>
      </w:r>
      <w:r w:rsidR="00B3197D" w:rsidRPr="00B21F63">
        <w:rPr>
          <w:color w:val="000000" w:themeColor="text1"/>
          <w:lang w:val="es-ES"/>
        </w:rPr>
        <w:t xml:space="preserve">administrativas para leer e interpretar </w:t>
      </w:r>
      <w:r w:rsidR="00623FCB" w:rsidRPr="00B21F63">
        <w:rPr>
          <w:color w:val="000000" w:themeColor="text1"/>
          <w:lang w:val="es-ES"/>
        </w:rPr>
        <w:t>gráficos</w:t>
      </w:r>
      <w:r w:rsidR="00B3197D" w:rsidRPr="00B21F63">
        <w:rPr>
          <w:color w:val="000000" w:themeColor="text1"/>
          <w:lang w:val="es-ES"/>
        </w:rPr>
        <w:t xml:space="preserve"> en su curso de estadística.</w:t>
      </w:r>
      <w:r w:rsidR="00F96F88" w:rsidRPr="00B21F63">
        <w:rPr>
          <w:color w:val="000000" w:themeColor="text1"/>
          <w:lang w:val="es-ES"/>
        </w:rPr>
        <w:t xml:space="preserve"> Para ello se aplicó un</w:t>
      </w:r>
      <w:r w:rsidR="00DF62FC" w:rsidRPr="00B21F63">
        <w:rPr>
          <w:color w:val="000000" w:themeColor="text1"/>
          <w:lang w:val="es-ES"/>
        </w:rPr>
        <w:t>a prueba</w:t>
      </w:r>
      <w:r w:rsidR="00F96F88" w:rsidRPr="00B21F63">
        <w:rPr>
          <w:color w:val="000000" w:themeColor="text1"/>
          <w:lang w:val="es-ES"/>
        </w:rPr>
        <w:t xml:space="preserve"> </w:t>
      </w:r>
      <w:r w:rsidR="00DF62FC" w:rsidRPr="00B21F63">
        <w:rPr>
          <w:color w:val="000000" w:themeColor="text1"/>
          <w:lang w:val="es-ES"/>
        </w:rPr>
        <w:t xml:space="preserve">en su versión en español de </w:t>
      </w:r>
      <w:proofErr w:type="spellStart"/>
      <w:r w:rsidR="00DF62FC" w:rsidRPr="00B21F63">
        <w:rPr>
          <w:i/>
          <w:iCs/>
          <w:color w:val="000000" w:themeColor="text1"/>
          <w:lang w:val="es-ES"/>
        </w:rPr>
        <w:lastRenderedPageBreak/>
        <w:t>Comprehensive</w:t>
      </w:r>
      <w:proofErr w:type="spellEnd"/>
      <w:r w:rsidR="00DF62FC" w:rsidRPr="00B21F63">
        <w:rPr>
          <w:i/>
          <w:iCs/>
          <w:color w:val="000000" w:themeColor="text1"/>
          <w:lang w:val="es-ES"/>
        </w:rPr>
        <w:t xml:space="preserve"> </w:t>
      </w:r>
      <w:proofErr w:type="spellStart"/>
      <w:r w:rsidR="00DF62FC" w:rsidRPr="00B21F63">
        <w:rPr>
          <w:i/>
          <w:iCs/>
          <w:color w:val="000000" w:themeColor="text1"/>
          <w:lang w:val="es-ES"/>
        </w:rPr>
        <w:t>Assessment</w:t>
      </w:r>
      <w:proofErr w:type="spellEnd"/>
      <w:r w:rsidR="00DF62FC" w:rsidRPr="00B21F63">
        <w:rPr>
          <w:i/>
          <w:iCs/>
          <w:color w:val="000000" w:themeColor="text1"/>
          <w:lang w:val="es-ES"/>
        </w:rPr>
        <w:t xml:space="preserve"> </w:t>
      </w:r>
      <w:proofErr w:type="spellStart"/>
      <w:r w:rsidR="00DF62FC" w:rsidRPr="00B21F63">
        <w:rPr>
          <w:i/>
          <w:iCs/>
          <w:color w:val="000000" w:themeColor="text1"/>
          <w:lang w:val="es-ES"/>
        </w:rPr>
        <w:t>of</w:t>
      </w:r>
      <w:proofErr w:type="spellEnd"/>
      <w:r w:rsidR="00DF62FC" w:rsidRPr="00B21F63">
        <w:rPr>
          <w:i/>
          <w:iCs/>
          <w:color w:val="000000" w:themeColor="text1"/>
          <w:lang w:val="es-ES"/>
        </w:rPr>
        <w:t xml:space="preserve"> </w:t>
      </w:r>
      <w:proofErr w:type="spellStart"/>
      <w:r w:rsidR="00DF62FC" w:rsidRPr="00B21F63">
        <w:rPr>
          <w:i/>
          <w:iCs/>
          <w:color w:val="000000" w:themeColor="text1"/>
          <w:lang w:val="es-ES"/>
        </w:rPr>
        <w:t>Outcomes</w:t>
      </w:r>
      <w:proofErr w:type="spellEnd"/>
      <w:r w:rsidR="00DF62FC" w:rsidRPr="00B21F63">
        <w:rPr>
          <w:i/>
          <w:iCs/>
          <w:color w:val="000000" w:themeColor="text1"/>
          <w:lang w:val="es-ES"/>
        </w:rPr>
        <w:t xml:space="preserve"> in </w:t>
      </w:r>
      <w:proofErr w:type="spellStart"/>
      <w:r w:rsidR="00DF62FC" w:rsidRPr="00B21F63">
        <w:rPr>
          <w:i/>
          <w:iCs/>
          <w:color w:val="000000" w:themeColor="text1"/>
          <w:lang w:val="es-ES"/>
        </w:rPr>
        <w:t>Statistics</w:t>
      </w:r>
      <w:proofErr w:type="spellEnd"/>
      <w:r w:rsidR="00DF62FC" w:rsidRPr="00B21F63">
        <w:rPr>
          <w:i/>
          <w:iCs/>
          <w:color w:val="000000" w:themeColor="text1"/>
          <w:lang w:val="es-ES"/>
        </w:rPr>
        <w:t xml:space="preserve"> </w:t>
      </w:r>
      <w:r w:rsidR="00DF62FC" w:rsidRPr="00B21F63">
        <w:rPr>
          <w:color w:val="000000" w:themeColor="text1"/>
          <w:lang w:val="es-ES"/>
        </w:rPr>
        <w:t>(CAOS)</w:t>
      </w:r>
      <w:r w:rsidR="00F96F88" w:rsidRPr="00B21F63">
        <w:rPr>
          <w:color w:val="000000" w:themeColor="text1"/>
          <w:lang w:val="es-ES"/>
        </w:rPr>
        <w:t xml:space="preserve">. Dicho instrumento permite determinar como interpreta </w:t>
      </w:r>
      <w:r w:rsidR="0024410A" w:rsidRPr="00B21F63">
        <w:rPr>
          <w:color w:val="000000" w:themeColor="text1"/>
          <w:lang w:val="es-ES"/>
        </w:rPr>
        <w:t>su razonamiento sobre distintos</w:t>
      </w:r>
      <w:r w:rsidR="00F96F88" w:rsidRPr="00B21F63">
        <w:rPr>
          <w:color w:val="000000" w:themeColor="text1"/>
          <w:lang w:val="es-ES"/>
        </w:rPr>
        <w:t xml:space="preserve"> tipos de gráficos estadísticos y en algunos casos determinar qué tipo de cálculo se requiere</w:t>
      </w:r>
      <w:r w:rsidR="0024410A" w:rsidRPr="00B21F63">
        <w:rPr>
          <w:color w:val="000000" w:themeColor="text1"/>
          <w:lang w:val="es-ES"/>
        </w:rPr>
        <w:t xml:space="preserve"> para ello</w:t>
      </w:r>
      <w:r w:rsidR="00F96F88" w:rsidRPr="00B21F63">
        <w:rPr>
          <w:color w:val="000000" w:themeColor="text1"/>
          <w:lang w:val="es-ES"/>
        </w:rPr>
        <w:t>.  El instrumento se aplicó a</w:t>
      </w:r>
      <w:r w:rsidR="0024410A" w:rsidRPr="00B21F63">
        <w:rPr>
          <w:color w:val="000000" w:themeColor="text1"/>
          <w:lang w:val="es-ES"/>
        </w:rPr>
        <w:t xml:space="preserve"> una muestra de</w:t>
      </w:r>
      <w:r w:rsidR="00F96F88" w:rsidRPr="00B21F63">
        <w:rPr>
          <w:color w:val="000000" w:themeColor="text1"/>
          <w:lang w:val="es-ES"/>
        </w:rPr>
        <w:t xml:space="preserve"> 138 estudiantes de licenciaturas </w:t>
      </w:r>
      <w:r w:rsidR="0024410A" w:rsidRPr="00B21F63">
        <w:rPr>
          <w:color w:val="000000" w:themeColor="text1"/>
          <w:lang w:val="es-ES"/>
        </w:rPr>
        <w:t xml:space="preserve">del área </w:t>
      </w:r>
      <w:r w:rsidR="00F96F88" w:rsidRPr="00B21F63">
        <w:rPr>
          <w:color w:val="000000" w:themeColor="text1"/>
          <w:lang w:val="es-ES"/>
        </w:rPr>
        <w:t>econó</w:t>
      </w:r>
      <w:r w:rsidR="0024410A" w:rsidRPr="00B21F63">
        <w:rPr>
          <w:color w:val="000000" w:themeColor="text1"/>
          <w:lang w:val="es-ES"/>
        </w:rPr>
        <w:t>mico-administrativas</w:t>
      </w:r>
      <w:r w:rsidR="00E97080" w:rsidRPr="00B21F63">
        <w:rPr>
          <w:color w:val="000000" w:themeColor="text1"/>
          <w:lang w:val="es-ES"/>
        </w:rPr>
        <w:t xml:space="preserve"> de la Universidad de Guadalajara</w:t>
      </w:r>
      <w:r w:rsidR="0024410A" w:rsidRPr="00B21F63">
        <w:rPr>
          <w:color w:val="000000" w:themeColor="text1"/>
          <w:lang w:val="es-ES"/>
        </w:rPr>
        <w:t xml:space="preserve"> durante el semestre de enero-junio del 2018</w:t>
      </w:r>
      <w:r w:rsidR="00B3197D" w:rsidRPr="00B21F63">
        <w:rPr>
          <w:color w:val="000000" w:themeColor="text1"/>
          <w:lang w:val="es-ES"/>
        </w:rPr>
        <w:t>. Los resultados muestran que un gran porcentaje de los alumnos confunden la distribución normal con una uniforme, no distinguen que un sesgo se puede determinar por sus medidas de tendencia central o dispersión</w:t>
      </w:r>
      <w:r w:rsidR="00867884" w:rsidRPr="00B21F63">
        <w:rPr>
          <w:color w:val="000000" w:themeColor="text1"/>
          <w:lang w:val="es-ES"/>
        </w:rPr>
        <w:t xml:space="preserve">, </w:t>
      </w:r>
      <w:r w:rsidR="00163DFE" w:rsidRPr="00B21F63">
        <w:rPr>
          <w:color w:val="000000" w:themeColor="text1"/>
          <w:lang w:val="es-ES"/>
        </w:rPr>
        <w:t>entre otras dificultades de razonamiento estadístico</w:t>
      </w:r>
      <w:r w:rsidR="00B3197D" w:rsidRPr="00B21F63">
        <w:rPr>
          <w:color w:val="000000" w:themeColor="text1"/>
          <w:lang w:val="es-ES"/>
        </w:rPr>
        <w:t xml:space="preserve">. Esto puede ser debido a la deficiencia que </w:t>
      </w:r>
      <w:r w:rsidR="00867884" w:rsidRPr="00B21F63">
        <w:rPr>
          <w:color w:val="000000" w:themeColor="text1"/>
          <w:lang w:val="es-ES"/>
        </w:rPr>
        <w:t>existe</w:t>
      </w:r>
      <w:r w:rsidR="00B3197D" w:rsidRPr="00B21F63">
        <w:rPr>
          <w:color w:val="000000" w:themeColor="text1"/>
          <w:lang w:val="es-ES"/>
        </w:rPr>
        <w:t xml:space="preserve"> en la enseñanza de la estadística</w:t>
      </w:r>
      <w:r w:rsidR="00867884" w:rsidRPr="00B21F63">
        <w:rPr>
          <w:color w:val="000000" w:themeColor="text1"/>
          <w:lang w:val="es-ES"/>
        </w:rPr>
        <w:t xml:space="preserve">, una preparación matemática insuficiente de los estudiantes, </w:t>
      </w:r>
      <w:r w:rsidR="00B3197D" w:rsidRPr="00B21F63">
        <w:rPr>
          <w:color w:val="000000" w:themeColor="text1"/>
          <w:lang w:val="es-ES"/>
        </w:rPr>
        <w:t>entre otros factores.</w:t>
      </w:r>
    </w:p>
    <w:p w14:paraId="04D593FA" w14:textId="453C5C10" w:rsidR="00B3197D" w:rsidRDefault="00B3197D" w:rsidP="00B3197D">
      <w:pPr>
        <w:spacing w:line="360" w:lineRule="auto"/>
        <w:jc w:val="both"/>
        <w:rPr>
          <w:color w:val="000000" w:themeColor="text1"/>
          <w:lang w:val="es-ES"/>
        </w:rPr>
      </w:pPr>
      <w:r w:rsidRPr="00CB5B22">
        <w:rPr>
          <w:rFonts w:asciiTheme="minorHAnsi" w:hAnsiTheme="minorHAnsi" w:cstheme="minorHAnsi"/>
          <w:b/>
          <w:iCs/>
          <w:color w:val="000000" w:themeColor="text1"/>
          <w:sz w:val="28"/>
          <w:szCs w:val="28"/>
          <w:lang w:val="es-ES"/>
        </w:rPr>
        <w:t xml:space="preserve">Palabras claves: </w:t>
      </w:r>
      <w:r w:rsidRPr="00B21F63">
        <w:rPr>
          <w:color w:val="000000" w:themeColor="text1"/>
          <w:lang w:val="es-ES"/>
        </w:rPr>
        <w:t xml:space="preserve">Representación </w:t>
      </w:r>
      <w:r w:rsidR="00867884" w:rsidRPr="00B21F63">
        <w:rPr>
          <w:color w:val="000000" w:themeColor="text1"/>
          <w:lang w:val="es-ES"/>
        </w:rPr>
        <w:t>gráfica</w:t>
      </w:r>
      <w:r w:rsidRPr="00B21F63">
        <w:rPr>
          <w:color w:val="000000" w:themeColor="text1"/>
          <w:lang w:val="es-ES"/>
        </w:rPr>
        <w:t>, Histogramas, Variabilidad.</w:t>
      </w:r>
    </w:p>
    <w:p w14:paraId="37A4B744" w14:textId="4517834B" w:rsidR="00EC5E7E" w:rsidRDefault="00EC5E7E" w:rsidP="00B3197D">
      <w:pPr>
        <w:spacing w:line="360" w:lineRule="auto"/>
        <w:jc w:val="both"/>
        <w:rPr>
          <w:color w:val="000000" w:themeColor="text1"/>
          <w:lang w:val="es-ES"/>
        </w:rPr>
      </w:pPr>
    </w:p>
    <w:p w14:paraId="3214BB0D" w14:textId="0B89726C" w:rsidR="00EC5E7E" w:rsidRPr="00CB5B22" w:rsidRDefault="00EC5E7E" w:rsidP="00B3197D">
      <w:pPr>
        <w:spacing w:line="360" w:lineRule="auto"/>
        <w:jc w:val="both"/>
        <w:rPr>
          <w:rFonts w:asciiTheme="minorHAnsi" w:hAnsiTheme="minorHAnsi" w:cstheme="minorHAnsi"/>
          <w:b/>
          <w:iCs/>
          <w:color w:val="000000" w:themeColor="text1"/>
          <w:sz w:val="28"/>
          <w:szCs w:val="28"/>
          <w:lang w:val="es-ES"/>
        </w:rPr>
      </w:pPr>
      <w:r w:rsidRPr="00CB5B22">
        <w:rPr>
          <w:rFonts w:asciiTheme="minorHAnsi" w:hAnsiTheme="minorHAnsi" w:cstheme="minorHAnsi"/>
          <w:b/>
          <w:iCs/>
          <w:color w:val="000000" w:themeColor="text1"/>
          <w:sz w:val="28"/>
          <w:szCs w:val="28"/>
          <w:lang w:val="es-ES"/>
        </w:rPr>
        <w:t>Resumo</w:t>
      </w:r>
    </w:p>
    <w:p w14:paraId="2938F900" w14:textId="77777777" w:rsidR="00EC5E7E" w:rsidRPr="00EC5E7E" w:rsidRDefault="00EC5E7E" w:rsidP="00EC5E7E">
      <w:pPr>
        <w:spacing w:line="360" w:lineRule="auto"/>
        <w:jc w:val="both"/>
        <w:rPr>
          <w:color w:val="000000" w:themeColor="text1"/>
          <w:lang w:val="es-ES"/>
        </w:rPr>
      </w:pPr>
      <w:proofErr w:type="spellStart"/>
      <w:r w:rsidRPr="00EC5E7E">
        <w:rPr>
          <w:color w:val="000000" w:themeColor="text1"/>
          <w:lang w:val="es-ES"/>
        </w:rPr>
        <w:t>Recentemente</w:t>
      </w:r>
      <w:proofErr w:type="spellEnd"/>
      <w:r w:rsidRPr="00EC5E7E">
        <w:rPr>
          <w:color w:val="000000" w:themeColor="text1"/>
          <w:lang w:val="es-ES"/>
        </w:rPr>
        <w:t xml:space="preserve">, o </w:t>
      </w:r>
      <w:proofErr w:type="spellStart"/>
      <w:r w:rsidRPr="00EC5E7E">
        <w:rPr>
          <w:color w:val="000000" w:themeColor="text1"/>
          <w:lang w:val="es-ES"/>
        </w:rPr>
        <w:t>raciocínio</w:t>
      </w:r>
      <w:proofErr w:type="spellEnd"/>
      <w:r w:rsidRPr="00EC5E7E">
        <w:rPr>
          <w:color w:val="000000" w:themeColor="text1"/>
          <w:lang w:val="es-ES"/>
        </w:rPr>
        <w:t xml:space="preserve"> </w:t>
      </w:r>
      <w:proofErr w:type="spellStart"/>
      <w:r w:rsidRPr="00EC5E7E">
        <w:rPr>
          <w:color w:val="000000" w:themeColor="text1"/>
          <w:lang w:val="es-ES"/>
        </w:rPr>
        <w:t>estatístico</w:t>
      </w:r>
      <w:proofErr w:type="spellEnd"/>
      <w:r w:rsidRPr="00EC5E7E">
        <w:rPr>
          <w:color w:val="000000" w:themeColor="text1"/>
          <w:lang w:val="es-ES"/>
        </w:rPr>
        <w:t xml:space="preserve"> </w:t>
      </w:r>
      <w:proofErr w:type="spellStart"/>
      <w:r w:rsidRPr="00EC5E7E">
        <w:rPr>
          <w:color w:val="000000" w:themeColor="text1"/>
          <w:lang w:val="es-ES"/>
        </w:rPr>
        <w:t>tem</w:t>
      </w:r>
      <w:proofErr w:type="spellEnd"/>
      <w:r w:rsidRPr="00EC5E7E">
        <w:rPr>
          <w:color w:val="000000" w:themeColor="text1"/>
          <w:lang w:val="es-ES"/>
        </w:rPr>
        <w:t xml:space="preserve"> sido de vital </w:t>
      </w:r>
      <w:proofErr w:type="spellStart"/>
      <w:r w:rsidRPr="00EC5E7E">
        <w:rPr>
          <w:color w:val="000000" w:themeColor="text1"/>
          <w:lang w:val="es-ES"/>
        </w:rPr>
        <w:t>importância</w:t>
      </w:r>
      <w:proofErr w:type="spellEnd"/>
      <w:r w:rsidRPr="00EC5E7E">
        <w:rPr>
          <w:color w:val="000000" w:themeColor="text1"/>
          <w:lang w:val="es-ES"/>
        </w:rPr>
        <w:t xml:space="preserve"> </w:t>
      </w:r>
      <w:proofErr w:type="spellStart"/>
      <w:r w:rsidRPr="00EC5E7E">
        <w:rPr>
          <w:color w:val="000000" w:themeColor="text1"/>
          <w:lang w:val="es-ES"/>
        </w:rPr>
        <w:t>não</w:t>
      </w:r>
      <w:proofErr w:type="spellEnd"/>
      <w:r w:rsidRPr="00EC5E7E">
        <w:rPr>
          <w:color w:val="000000" w:themeColor="text1"/>
          <w:lang w:val="es-ES"/>
        </w:rPr>
        <w:t xml:space="preserve"> apenas </w:t>
      </w:r>
      <w:proofErr w:type="spellStart"/>
      <w:r w:rsidRPr="00EC5E7E">
        <w:rPr>
          <w:color w:val="000000" w:themeColor="text1"/>
          <w:lang w:val="es-ES"/>
        </w:rPr>
        <w:t>na</w:t>
      </w:r>
      <w:proofErr w:type="spellEnd"/>
      <w:r w:rsidRPr="00EC5E7E">
        <w:rPr>
          <w:color w:val="000000" w:themeColor="text1"/>
          <w:lang w:val="es-ES"/>
        </w:rPr>
        <w:t xml:space="preserve"> </w:t>
      </w:r>
      <w:proofErr w:type="spellStart"/>
      <w:r w:rsidRPr="00EC5E7E">
        <w:rPr>
          <w:color w:val="000000" w:themeColor="text1"/>
          <w:lang w:val="es-ES"/>
        </w:rPr>
        <w:t>análise</w:t>
      </w:r>
      <w:proofErr w:type="spellEnd"/>
      <w:r w:rsidRPr="00EC5E7E">
        <w:rPr>
          <w:color w:val="000000" w:themeColor="text1"/>
          <w:lang w:val="es-ES"/>
        </w:rPr>
        <w:t xml:space="preserve"> </w:t>
      </w:r>
      <w:proofErr w:type="spellStart"/>
      <w:r w:rsidRPr="00EC5E7E">
        <w:rPr>
          <w:color w:val="000000" w:themeColor="text1"/>
          <w:lang w:val="es-ES"/>
        </w:rPr>
        <w:t>quantitativa</w:t>
      </w:r>
      <w:proofErr w:type="spellEnd"/>
      <w:r w:rsidRPr="00EC5E7E">
        <w:rPr>
          <w:color w:val="000000" w:themeColor="text1"/>
          <w:lang w:val="es-ES"/>
        </w:rPr>
        <w:t xml:space="preserve">, mas </w:t>
      </w:r>
      <w:proofErr w:type="spellStart"/>
      <w:r w:rsidRPr="00EC5E7E">
        <w:rPr>
          <w:color w:val="000000" w:themeColor="text1"/>
          <w:lang w:val="es-ES"/>
        </w:rPr>
        <w:t>também</w:t>
      </w:r>
      <w:proofErr w:type="spellEnd"/>
      <w:r w:rsidRPr="00EC5E7E">
        <w:rPr>
          <w:color w:val="000000" w:themeColor="text1"/>
          <w:lang w:val="es-ES"/>
        </w:rPr>
        <w:t xml:space="preserve"> </w:t>
      </w:r>
      <w:proofErr w:type="spellStart"/>
      <w:r w:rsidRPr="00EC5E7E">
        <w:rPr>
          <w:color w:val="000000" w:themeColor="text1"/>
          <w:lang w:val="es-ES"/>
        </w:rPr>
        <w:t>na</w:t>
      </w:r>
      <w:proofErr w:type="spellEnd"/>
      <w:r w:rsidRPr="00EC5E7E">
        <w:rPr>
          <w:color w:val="000000" w:themeColor="text1"/>
          <w:lang w:val="es-ES"/>
        </w:rPr>
        <w:t xml:space="preserve"> </w:t>
      </w:r>
      <w:proofErr w:type="spellStart"/>
      <w:r w:rsidRPr="00EC5E7E">
        <w:rPr>
          <w:color w:val="000000" w:themeColor="text1"/>
          <w:lang w:val="es-ES"/>
        </w:rPr>
        <w:t>interpretação</w:t>
      </w:r>
      <w:proofErr w:type="spellEnd"/>
      <w:r w:rsidRPr="00EC5E7E">
        <w:rPr>
          <w:color w:val="000000" w:themeColor="text1"/>
          <w:lang w:val="es-ES"/>
        </w:rPr>
        <w:t xml:space="preserve"> de gráficos em todos os </w:t>
      </w:r>
      <w:proofErr w:type="spellStart"/>
      <w:r w:rsidRPr="00EC5E7E">
        <w:rPr>
          <w:color w:val="000000" w:themeColor="text1"/>
          <w:lang w:val="es-ES"/>
        </w:rPr>
        <w:t>níveis</w:t>
      </w:r>
      <w:proofErr w:type="spellEnd"/>
      <w:r w:rsidRPr="00EC5E7E">
        <w:rPr>
          <w:color w:val="000000" w:themeColor="text1"/>
          <w:lang w:val="es-ES"/>
        </w:rPr>
        <w:t xml:space="preserve"> </w:t>
      </w:r>
      <w:proofErr w:type="spellStart"/>
      <w:r w:rsidRPr="00EC5E7E">
        <w:rPr>
          <w:color w:val="000000" w:themeColor="text1"/>
          <w:lang w:val="es-ES"/>
        </w:rPr>
        <w:t>educacionais</w:t>
      </w:r>
      <w:proofErr w:type="spellEnd"/>
      <w:r w:rsidRPr="00EC5E7E">
        <w:rPr>
          <w:color w:val="000000" w:themeColor="text1"/>
          <w:lang w:val="es-ES"/>
        </w:rPr>
        <w:t xml:space="preserve">. </w:t>
      </w:r>
      <w:proofErr w:type="spellStart"/>
      <w:r w:rsidRPr="00EC5E7E">
        <w:rPr>
          <w:color w:val="000000" w:themeColor="text1"/>
          <w:lang w:val="es-ES"/>
        </w:rPr>
        <w:t>Existem</w:t>
      </w:r>
      <w:proofErr w:type="spellEnd"/>
      <w:r w:rsidRPr="00EC5E7E">
        <w:rPr>
          <w:color w:val="000000" w:themeColor="text1"/>
          <w:lang w:val="es-ES"/>
        </w:rPr>
        <w:t xml:space="preserve"> </w:t>
      </w:r>
      <w:proofErr w:type="spellStart"/>
      <w:r w:rsidRPr="00EC5E7E">
        <w:rPr>
          <w:color w:val="000000" w:themeColor="text1"/>
          <w:lang w:val="es-ES"/>
        </w:rPr>
        <w:t>alunos</w:t>
      </w:r>
      <w:proofErr w:type="spellEnd"/>
      <w:r w:rsidRPr="00EC5E7E">
        <w:rPr>
          <w:color w:val="000000" w:themeColor="text1"/>
          <w:lang w:val="es-ES"/>
        </w:rPr>
        <w:t xml:space="preserve"> que </w:t>
      </w:r>
      <w:proofErr w:type="spellStart"/>
      <w:r w:rsidRPr="00EC5E7E">
        <w:rPr>
          <w:color w:val="000000" w:themeColor="text1"/>
          <w:lang w:val="es-ES"/>
        </w:rPr>
        <w:t>podem</w:t>
      </w:r>
      <w:proofErr w:type="spellEnd"/>
      <w:r w:rsidRPr="00EC5E7E">
        <w:rPr>
          <w:color w:val="000000" w:themeColor="text1"/>
          <w:lang w:val="es-ES"/>
        </w:rPr>
        <w:t xml:space="preserve"> realizar cálculos diferentes </w:t>
      </w:r>
      <w:proofErr w:type="spellStart"/>
      <w:r w:rsidRPr="00EC5E7E">
        <w:rPr>
          <w:color w:val="000000" w:themeColor="text1"/>
          <w:lang w:val="es-ES"/>
        </w:rPr>
        <w:t>quase</w:t>
      </w:r>
      <w:proofErr w:type="spellEnd"/>
      <w:r w:rsidRPr="00EC5E7E">
        <w:rPr>
          <w:color w:val="000000" w:themeColor="text1"/>
          <w:lang w:val="es-ES"/>
        </w:rPr>
        <w:t xml:space="preserve"> </w:t>
      </w:r>
      <w:proofErr w:type="spellStart"/>
      <w:r w:rsidRPr="00EC5E7E">
        <w:rPr>
          <w:color w:val="000000" w:themeColor="text1"/>
          <w:lang w:val="es-ES"/>
        </w:rPr>
        <w:t>imediatamente</w:t>
      </w:r>
      <w:proofErr w:type="spellEnd"/>
      <w:r w:rsidRPr="00EC5E7E">
        <w:rPr>
          <w:color w:val="000000" w:themeColor="text1"/>
          <w:lang w:val="es-ES"/>
        </w:rPr>
        <w:t xml:space="preserve">, no </w:t>
      </w:r>
      <w:proofErr w:type="spellStart"/>
      <w:r w:rsidRPr="00EC5E7E">
        <w:rPr>
          <w:color w:val="000000" w:themeColor="text1"/>
          <w:lang w:val="es-ES"/>
        </w:rPr>
        <w:t>entanto</w:t>
      </w:r>
      <w:proofErr w:type="spellEnd"/>
      <w:r w:rsidRPr="00EC5E7E">
        <w:rPr>
          <w:color w:val="000000" w:themeColor="text1"/>
          <w:lang w:val="es-ES"/>
        </w:rPr>
        <w:t xml:space="preserve">, eles </w:t>
      </w:r>
      <w:proofErr w:type="spellStart"/>
      <w:r w:rsidRPr="00EC5E7E">
        <w:rPr>
          <w:color w:val="000000" w:themeColor="text1"/>
          <w:lang w:val="es-ES"/>
        </w:rPr>
        <w:t>não</w:t>
      </w:r>
      <w:proofErr w:type="spellEnd"/>
      <w:r w:rsidRPr="00EC5E7E">
        <w:rPr>
          <w:color w:val="000000" w:themeColor="text1"/>
          <w:lang w:val="es-ES"/>
        </w:rPr>
        <w:t xml:space="preserve"> </w:t>
      </w:r>
      <w:proofErr w:type="spellStart"/>
      <w:r w:rsidRPr="00EC5E7E">
        <w:rPr>
          <w:color w:val="000000" w:themeColor="text1"/>
          <w:lang w:val="es-ES"/>
        </w:rPr>
        <w:t>podem</w:t>
      </w:r>
      <w:proofErr w:type="spellEnd"/>
      <w:r w:rsidRPr="00EC5E7E">
        <w:rPr>
          <w:color w:val="000000" w:themeColor="text1"/>
          <w:lang w:val="es-ES"/>
        </w:rPr>
        <w:t xml:space="preserve"> interpretar </w:t>
      </w:r>
      <w:proofErr w:type="spellStart"/>
      <w:r w:rsidRPr="00EC5E7E">
        <w:rPr>
          <w:color w:val="000000" w:themeColor="text1"/>
          <w:lang w:val="es-ES"/>
        </w:rPr>
        <w:t>ou</w:t>
      </w:r>
      <w:proofErr w:type="spellEnd"/>
      <w:r w:rsidRPr="00EC5E7E">
        <w:rPr>
          <w:color w:val="000000" w:themeColor="text1"/>
          <w:lang w:val="es-ES"/>
        </w:rPr>
        <w:t xml:space="preserve"> </w:t>
      </w:r>
      <w:proofErr w:type="spellStart"/>
      <w:r w:rsidRPr="00EC5E7E">
        <w:rPr>
          <w:color w:val="000000" w:themeColor="text1"/>
          <w:lang w:val="es-ES"/>
        </w:rPr>
        <w:t>expressar</w:t>
      </w:r>
      <w:proofErr w:type="spellEnd"/>
      <w:r w:rsidRPr="00EC5E7E">
        <w:rPr>
          <w:color w:val="000000" w:themeColor="text1"/>
          <w:lang w:val="es-ES"/>
        </w:rPr>
        <w:t xml:space="preserve"> </w:t>
      </w:r>
      <w:proofErr w:type="spellStart"/>
      <w:r w:rsidRPr="00EC5E7E">
        <w:rPr>
          <w:color w:val="000000" w:themeColor="text1"/>
          <w:lang w:val="es-ES"/>
        </w:rPr>
        <w:t>suas</w:t>
      </w:r>
      <w:proofErr w:type="spellEnd"/>
      <w:r w:rsidRPr="00EC5E7E">
        <w:rPr>
          <w:color w:val="000000" w:themeColor="text1"/>
          <w:lang w:val="es-ES"/>
        </w:rPr>
        <w:t xml:space="preserve"> </w:t>
      </w:r>
      <w:proofErr w:type="spellStart"/>
      <w:r w:rsidRPr="00EC5E7E">
        <w:rPr>
          <w:color w:val="000000" w:themeColor="text1"/>
          <w:lang w:val="es-ES"/>
        </w:rPr>
        <w:t>ideias</w:t>
      </w:r>
      <w:proofErr w:type="spellEnd"/>
      <w:r w:rsidRPr="00EC5E7E">
        <w:rPr>
          <w:color w:val="000000" w:themeColor="text1"/>
          <w:lang w:val="es-ES"/>
        </w:rPr>
        <w:t xml:space="preserve"> em </w:t>
      </w:r>
      <w:proofErr w:type="spellStart"/>
      <w:r w:rsidRPr="00EC5E7E">
        <w:rPr>
          <w:color w:val="000000" w:themeColor="text1"/>
          <w:lang w:val="es-ES"/>
        </w:rPr>
        <w:t>um</w:t>
      </w:r>
      <w:proofErr w:type="spellEnd"/>
      <w:r w:rsidRPr="00EC5E7E">
        <w:rPr>
          <w:color w:val="000000" w:themeColor="text1"/>
          <w:lang w:val="es-ES"/>
        </w:rPr>
        <w:t xml:space="preserve"> gráfico. </w:t>
      </w:r>
      <w:proofErr w:type="spellStart"/>
      <w:r w:rsidRPr="00EC5E7E">
        <w:rPr>
          <w:color w:val="000000" w:themeColor="text1"/>
          <w:lang w:val="es-ES"/>
        </w:rPr>
        <w:t>Desta</w:t>
      </w:r>
      <w:proofErr w:type="spellEnd"/>
      <w:r w:rsidRPr="00EC5E7E">
        <w:rPr>
          <w:color w:val="000000" w:themeColor="text1"/>
          <w:lang w:val="es-ES"/>
        </w:rPr>
        <w:t xml:space="preserve"> forma, o presente </w:t>
      </w:r>
      <w:proofErr w:type="spellStart"/>
      <w:r w:rsidRPr="00EC5E7E">
        <w:rPr>
          <w:color w:val="000000" w:themeColor="text1"/>
          <w:lang w:val="es-ES"/>
        </w:rPr>
        <w:t>trabalho</w:t>
      </w:r>
      <w:proofErr w:type="spellEnd"/>
      <w:r w:rsidRPr="00EC5E7E">
        <w:rPr>
          <w:color w:val="000000" w:themeColor="text1"/>
          <w:lang w:val="es-ES"/>
        </w:rPr>
        <w:t xml:space="preserve"> </w:t>
      </w:r>
      <w:proofErr w:type="spellStart"/>
      <w:r w:rsidRPr="00EC5E7E">
        <w:rPr>
          <w:color w:val="000000" w:themeColor="text1"/>
          <w:lang w:val="es-ES"/>
        </w:rPr>
        <w:t>tem</w:t>
      </w:r>
      <w:proofErr w:type="spellEnd"/>
      <w:r w:rsidRPr="00EC5E7E">
        <w:rPr>
          <w:color w:val="000000" w:themeColor="text1"/>
          <w:lang w:val="es-ES"/>
        </w:rPr>
        <w:t xml:space="preserve"> como objetivo </w:t>
      </w:r>
      <w:proofErr w:type="spellStart"/>
      <w:r w:rsidRPr="00EC5E7E">
        <w:rPr>
          <w:color w:val="000000" w:themeColor="text1"/>
          <w:lang w:val="es-ES"/>
        </w:rPr>
        <w:t>fazer</w:t>
      </w:r>
      <w:proofErr w:type="spellEnd"/>
      <w:r w:rsidRPr="00EC5E7E">
        <w:rPr>
          <w:color w:val="000000" w:themeColor="text1"/>
          <w:lang w:val="es-ES"/>
        </w:rPr>
        <w:t xml:space="preserve"> </w:t>
      </w:r>
      <w:proofErr w:type="spellStart"/>
      <w:r w:rsidRPr="00EC5E7E">
        <w:rPr>
          <w:color w:val="000000" w:themeColor="text1"/>
          <w:lang w:val="es-ES"/>
        </w:rPr>
        <w:t>um</w:t>
      </w:r>
      <w:proofErr w:type="spellEnd"/>
      <w:r w:rsidRPr="00EC5E7E">
        <w:rPr>
          <w:color w:val="000000" w:themeColor="text1"/>
          <w:lang w:val="es-ES"/>
        </w:rPr>
        <w:t xml:space="preserve"> diagnóstico dos problemas que os </w:t>
      </w:r>
      <w:proofErr w:type="spellStart"/>
      <w:r w:rsidRPr="00EC5E7E">
        <w:rPr>
          <w:color w:val="000000" w:themeColor="text1"/>
          <w:lang w:val="es-ES"/>
        </w:rPr>
        <w:t>alunos</w:t>
      </w:r>
      <w:proofErr w:type="spellEnd"/>
      <w:r w:rsidRPr="00EC5E7E">
        <w:rPr>
          <w:color w:val="000000" w:themeColor="text1"/>
          <w:lang w:val="es-ES"/>
        </w:rPr>
        <w:t xml:space="preserve"> dos cursos de </w:t>
      </w:r>
      <w:proofErr w:type="spellStart"/>
      <w:r w:rsidRPr="00EC5E7E">
        <w:rPr>
          <w:color w:val="000000" w:themeColor="text1"/>
          <w:lang w:val="es-ES"/>
        </w:rPr>
        <w:t>graduação</w:t>
      </w:r>
      <w:proofErr w:type="spellEnd"/>
      <w:r w:rsidRPr="00EC5E7E">
        <w:rPr>
          <w:color w:val="000000" w:themeColor="text1"/>
          <w:lang w:val="es-ES"/>
        </w:rPr>
        <w:t xml:space="preserve"> </w:t>
      </w:r>
      <w:proofErr w:type="spellStart"/>
      <w:r w:rsidRPr="00EC5E7E">
        <w:rPr>
          <w:color w:val="000000" w:themeColor="text1"/>
          <w:lang w:val="es-ES"/>
        </w:rPr>
        <w:t>econômico</w:t>
      </w:r>
      <w:proofErr w:type="spellEnd"/>
      <w:r w:rsidRPr="00EC5E7E">
        <w:rPr>
          <w:color w:val="000000" w:themeColor="text1"/>
          <w:lang w:val="es-ES"/>
        </w:rPr>
        <w:t xml:space="preserve">-administrativos </w:t>
      </w:r>
      <w:proofErr w:type="spellStart"/>
      <w:r w:rsidRPr="00EC5E7E">
        <w:rPr>
          <w:color w:val="000000" w:themeColor="text1"/>
          <w:lang w:val="es-ES"/>
        </w:rPr>
        <w:t>têm</w:t>
      </w:r>
      <w:proofErr w:type="spellEnd"/>
      <w:r w:rsidRPr="00EC5E7E">
        <w:rPr>
          <w:color w:val="000000" w:themeColor="text1"/>
          <w:lang w:val="es-ES"/>
        </w:rPr>
        <w:t xml:space="preserve"> para </w:t>
      </w:r>
      <w:proofErr w:type="spellStart"/>
      <w:r w:rsidRPr="00EC5E7E">
        <w:rPr>
          <w:color w:val="000000" w:themeColor="text1"/>
          <w:lang w:val="es-ES"/>
        </w:rPr>
        <w:t>ler</w:t>
      </w:r>
      <w:proofErr w:type="spellEnd"/>
      <w:r w:rsidRPr="00EC5E7E">
        <w:rPr>
          <w:color w:val="000000" w:themeColor="text1"/>
          <w:lang w:val="es-ES"/>
        </w:rPr>
        <w:t xml:space="preserve"> e interpretar gráficos em </w:t>
      </w:r>
      <w:proofErr w:type="spellStart"/>
      <w:r w:rsidRPr="00EC5E7E">
        <w:rPr>
          <w:color w:val="000000" w:themeColor="text1"/>
          <w:lang w:val="es-ES"/>
        </w:rPr>
        <w:t>seu</w:t>
      </w:r>
      <w:proofErr w:type="spellEnd"/>
      <w:r w:rsidRPr="00EC5E7E">
        <w:rPr>
          <w:color w:val="000000" w:themeColor="text1"/>
          <w:lang w:val="es-ES"/>
        </w:rPr>
        <w:t xml:space="preserve"> curso de </w:t>
      </w:r>
      <w:proofErr w:type="spellStart"/>
      <w:r w:rsidRPr="00EC5E7E">
        <w:rPr>
          <w:color w:val="000000" w:themeColor="text1"/>
          <w:lang w:val="es-ES"/>
        </w:rPr>
        <w:t>estatística</w:t>
      </w:r>
      <w:proofErr w:type="spellEnd"/>
      <w:r w:rsidRPr="00EC5E7E">
        <w:rPr>
          <w:color w:val="000000" w:themeColor="text1"/>
          <w:lang w:val="es-ES"/>
        </w:rPr>
        <w:t xml:space="preserve">. </w:t>
      </w:r>
      <w:r w:rsidRPr="00EC5E7E">
        <w:rPr>
          <w:color w:val="000000" w:themeColor="text1"/>
        </w:rPr>
        <w:t xml:space="preserve">Para </w:t>
      </w:r>
      <w:proofErr w:type="spellStart"/>
      <w:r w:rsidRPr="00EC5E7E">
        <w:rPr>
          <w:color w:val="000000" w:themeColor="text1"/>
        </w:rPr>
        <w:t>isso</w:t>
      </w:r>
      <w:proofErr w:type="spellEnd"/>
      <w:r w:rsidRPr="00EC5E7E">
        <w:rPr>
          <w:color w:val="000000" w:themeColor="text1"/>
        </w:rPr>
        <w:t xml:space="preserve">, </w:t>
      </w:r>
      <w:proofErr w:type="spellStart"/>
      <w:r w:rsidRPr="00EC5E7E">
        <w:rPr>
          <w:color w:val="000000" w:themeColor="text1"/>
        </w:rPr>
        <w:t>foi</w:t>
      </w:r>
      <w:proofErr w:type="spellEnd"/>
      <w:r w:rsidRPr="00EC5E7E">
        <w:rPr>
          <w:color w:val="000000" w:themeColor="text1"/>
        </w:rPr>
        <w:t xml:space="preserve"> </w:t>
      </w:r>
      <w:proofErr w:type="spellStart"/>
      <w:r w:rsidRPr="00EC5E7E">
        <w:rPr>
          <w:color w:val="000000" w:themeColor="text1"/>
        </w:rPr>
        <w:t>aplicado</w:t>
      </w:r>
      <w:proofErr w:type="spellEnd"/>
      <w:r w:rsidRPr="00EC5E7E">
        <w:rPr>
          <w:color w:val="000000" w:themeColor="text1"/>
        </w:rPr>
        <w:t xml:space="preserve"> um teste </w:t>
      </w:r>
      <w:proofErr w:type="spellStart"/>
      <w:r w:rsidRPr="00EC5E7E">
        <w:rPr>
          <w:color w:val="000000" w:themeColor="text1"/>
        </w:rPr>
        <w:t>em</w:t>
      </w:r>
      <w:proofErr w:type="spellEnd"/>
      <w:r w:rsidRPr="00EC5E7E">
        <w:rPr>
          <w:color w:val="000000" w:themeColor="text1"/>
        </w:rPr>
        <w:t xml:space="preserve"> </w:t>
      </w:r>
      <w:proofErr w:type="spellStart"/>
      <w:r w:rsidRPr="00EC5E7E">
        <w:rPr>
          <w:color w:val="000000" w:themeColor="text1"/>
        </w:rPr>
        <w:t>sua</w:t>
      </w:r>
      <w:proofErr w:type="spellEnd"/>
      <w:r w:rsidRPr="00EC5E7E">
        <w:rPr>
          <w:color w:val="000000" w:themeColor="text1"/>
        </w:rPr>
        <w:t xml:space="preserve"> </w:t>
      </w:r>
      <w:proofErr w:type="spellStart"/>
      <w:r w:rsidRPr="00EC5E7E">
        <w:rPr>
          <w:color w:val="000000" w:themeColor="text1"/>
        </w:rPr>
        <w:t>versão</w:t>
      </w:r>
      <w:proofErr w:type="spellEnd"/>
      <w:r w:rsidRPr="00EC5E7E">
        <w:rPr>
          <w:color w:val="000000" w:themeColor="text1"/>
        </w:rPr>
        <w:t xml:space="preserve"> </w:t>
      </w:r>
      <w:proofErr w:type="spellStart"/>
      <w:r w:rsidRPr="00EC5E7E">
        <w:rPr>
          <w:color w:val="000000" w:themeColor="text1"/>
        </w:rPr>
        <w:t>em</w:t>
      </w:r>
      <w:proofErr w:type="spellEnd"/>
      <w:r w:rsidRPr="00EC5E7E">
        <w:rPr>
          <w:color w:val="000000" w:themeColor="text1"/>
        </w:rPr>
        <w:t xml:space="preserve"> </w:t>
      </w:r>
      <w:proofErr w:type="spellStart"/>
      <w:r w:rsidRPr="00EC5E7E">
        <w:rPr>
          <w:color w:val="000000" w:themeColor="text1"/>
        </w:rPr>
        <w:t>espanhol</w:t>
      </w:r>
      <w:proofErr w:type="spellEnd"/>
      <w:r w:rsidRPr="00EC5E7E">
        <w:rPr>
          <w:color w:val="000000" w:themeColor="text1"/>
        </w:rPr>
        <w:t xml:space="preserve"> do Comprehensive Assessment of Outcomes in Statistics (CAOS). </w:t>
      </w:r>
      <w:r w:rsidRPr="00EC5E7E">
        <w:rPr>
          <w:color w:val="000000" w:themeColor="text1"/>
          <w:lang w:val="es-ES"/>
        </w:rPr>
        <w:t xml:space="preserve">Este instrumento permite que </w:t>
      </w:r>
      <w:proofErr w:type="spellStart"/>
      <w:r w:rsidRPr="00EC5E7E">
        <w:rPr>
          <w:color w:val="000000" w:themeColor="text1"/>
          <w:lang w:val="es-ES"/>
        </w:rPr>
        <w:t>você</w:t>
      </w:r>
      <w:proofErr w:type="spellEnd"/>
      <w:r w:rsidRPr="00EC5E7E">
        <w:rPr>
          <w:color w:val="000000" w:themeColor="text1"/>
          <w:lang w:val="es-ES"/>
        </w:rPr>
        <w:t xml:space="preserve"> determine como </w:t>
      </w:r>
      <w:proofErr w:type="spellStart"/>
      <w:r w:rsidRPr="00EC5E7E">
        <w:rPr>
          <w:color w:val="000000" w:themeColor="text1"/>
          <w:lang w:val="es-ES"/>
        </w:rPr>
        <w:t>você</w:t>
      </w:r>
      <w:proofErr w:type="spellEnd"/>
      <w:r w:rsidRPr="00EC5E7E">
        <w:rPr>
          <w:color w:val="000000" w:themeColor="text1"/>
          <w:lang w:val="es-ES"/>
        </w:rPr>
        <w:t xml:space="preserve"> interpreta </w:t>
      </w:r>
      <w:proofErr w:type="spellStart"/>
      <w:r w:rsidRPr="00EC5E7E">
        <w:rPr>
          <w:color w:val="000000" w:themeColor="text1"/>
          <w:lang w:val="es-ES"/>
        </w:rPr>
        <w:t>seu</w:t>
      </w:r>
      <w:proofErr w:type="spellEnd"/>
      <w:r w:rsidRPr="00EC5E7E">
        <w:rPr>
          <w:color w:val="000000" w:themeColor="text1"/>
          <w:lang w:val="es-ES"/>
        </w:rPr>
        <w:t xml:space="preserve"> </w:t>
      </w:r>
      <w:proofErr w:type="spellStart"/>
      <w:r w:rsidRPr="00EC5E7E">
        <w:rPr>
          <w:color w:val="000000" w:themeColor="text1"/>
          <w:lang w:val="es-ES"/>
        </w:rPr>
        <w:t>raciocínio</w:t>
      </w:r>
      <w:proofErr w:type="spellEnd"/>
      <w:r w:rsidRPr="00EC5E7E">
        <w:rPr>
          <w:color w:val="000000" w:themeColor="text1"/>
          <w:lang w:val="es-ES"/>
        </w:rPr>
        <w:t xml:space="preserve"> em diferentes tipos de gráficos </w:t>
      </w:r>
      <w:proofErr w:type="spellStart"/>
      <w:r w:rsidRPr="00EC5E7E">
        <w:rPr>
          <w:color w:val="000000" w:themeColor="text1"/>
          <w:lang w:val="es-ES"/>
        </w:rPr>
        <w:t>estatísticos</w:t>
      </w:r>
      <w:proofErr w:type="spellEnd"/>
      <w:r w:rsidRPr="00EC5E7E">
        <w:rPr>
          <w:color w:val="000000" w:themeColor="text1"/>
          <w:lang w:val="es-ES"/>
        </w:rPr>
        <w:t xml:space="preserve"> e, em </w:t>
      </w:r>
      <w:proofErr w:type="spellStart"/>
      <w:r w:rsidRPr="00EC5E7E">
        <w:rPr>
          <w:color w:val="000000" w:themeColor="text1"/>
          <w:lang w:val="es-ES"/>
        </w:rPr>
        <w:t>alguns</w:t>
      </w:r>
      <w:proofErr w:type="spellEnd"/>
      <w:r w:rsidRPr="00EC5E7E">
        <w:rPr>
          <w:color w:val="000000" w:themeColor="text1"/>
          <w:lang w:val="es-ES"/>
        </w:rPr>
        <w:t xml:space="preserve"> casos, determina que tipo de cálculo é </w:t>
      </w:r>
      <w:proofErr w:type="spellStart"/>
      <w:r w:rsidRPr="00EC5E7E">
        <w:rPr>
          <w:color w:val="000000" w:themeColor="text1"/>
          <w:lang w:val="es-ES"/>
        </w:rPr>
        <w:t>necessário</w:t>
      </w:r>
      <w:proofErr w:type="spellEnd"/>
      <w:r w:rsidRPr="00EC5E7E">
        <w:rPr>
          <w:color w:val="000000" w:themeColor="text1"/>
          <w:lang w:val="es-ES"/>
        </w:rPr>
        <w:t xml:space="preserve"> para </w:t>
      </w:r>
      <w:proofErr w:type="spellStart"/>
      <w:r w:rsidRPr="00EC5E7E">
        <w:rPr>
          <w:color w:val="000000" w:themeColor="text1"/>
          <w:lang w:val="es-ES"/>
        </w:rPr>
        <w:t>isso</w:t>
      </w:r>
      <w:proofErr w:type="spellEnd"/>
      <w:r w:rsidRPr="00EC5E7E">
        <w:rPr>
          <w:color w:val="000000" w:themeColor="text1"/>
          <w:lang w:val="es-ES"/>
        </w:rPr>
        <w:t xml:space="preserve">. O instrumento </w:t>
      </w:r>
      <w:proofErr w:type="spellStart"/>
      <w:r w:rsidRPr="00EC5E7E">
        <w:rPr>
          <w:color w:val="000000" w:themeColor="text1"/>
          <w:lang w:val="es-ES"/>
        </w:rPr>
        <w:t>foi</w:t>
      </w:r>
      <w:proofErr w:type="spellEnd"/>
      <w:r w:rsidRPr="00EC5E7E">
        <w:rPr>
          <w:color w:val="000000" w:themeColor="text1"/>
          <w:lang w:val="es-ES"/>
        </w:rPr>
        <w:t xml:space="preserve"> aplicado a </w:t>
      </w:r>
      <w:proofErr w:type="spellStart"/>
      <w:r w:rsidRPr="00EC5E7E">
        <w:rPr>
          <w:color w:val="000000" w:themeColor="text1"/>
          <w:lang w:val="es-ES"/>
        </w:rPr>
        <w:t>uma</w:t>
      </w:r>
      <w:proofErr w:type="spellEnd"/>
      <w:r w:rsidRPr="00EC5E7E">
        <w:rPr>
          <w:color w:val="000000" w:themeColor="text1"/>
          <w:lang w:val="es-ES"/>
        </w:rPr>
        <w:t xml:space="preserve"> </w:t>
      </w:r>
      <w:proofErr w:type="spellStart"/>
      <w:r w:rsidRPr="00EC5E7E">
        <w:rPr>
          <w:color w:val="000000" w:themeColor="text1"/>
          <w:lang w:val="es-ES"/>
        </w:rPr>
        <w:t>amostra</w:t>
      </w:r>
      <w:proofErr w:type="spellEnd"/>
      <w:r w:rsidRPr="00EC5E7E">
        <w:rPr>
          <w:color w:val="000000" w:themeColor="text1"/>
          <w:lang w:val="es-ES"/>
        </w:rPr>
        <w:t xml:space="preserve"> de 138 </w:t>
      </w:r>
      <w:proofErr w:type="spellStart"/>
      <w:r w:rsidRPr="00EC5E7E">
        <w:rPr>
          <w:color w:val="000000" w:themeColor="text1"/>
          <w:lang w:val="es-ES"/>
        </w:rPr>
        <w:t>alunos</w:t>
      </w:r>
      <w:proofErr w:type="spellEnd"/>
      <w:r w:rsidRPr="00EC5E7E">
        <w:rPr>
          <w:color w:val="000000" w:themeColor="text1"/>
          <w:lang w:val="es-ES"/>
        </w:rPr>
        <w:t xml:space="preserve"> de </w:t>
      </w:r>
      <w:proofErr w:type="spellStart"/>
      <w:r w:rsidRPr="00EC5E7E">
        <w:rPr>
          <w:color w:val="000000" w:themeColor="text1"/>
          <w:lang w:val="es-ES"/>
        </w:rPr>
        <w:t>graduação</w:t>
      </w:r>
      <w:proofErr w:type="spellEnd"/>
      <w:r w:rsidRPr="00EC5E7E">
        <w:rPr>
          <w:color w:val="000000" w:themeColor="text1"/>
          <w:lang w:val="es-ES"/>
        </w:rPr>
        <w:t xml:space="preserve"> da área </w:t>
      </w:r>
      <w:proofErr w:type="spellStart"/>
      <w:r w:rsidRPr="00EC5E7E">
        <w:rPr>
          <w:color w:val="000000" w:themeColor="text1"/>
          <w:lang w:val="es-ES"/>
        </w:rPr>
        <w:t>econômico</w:t>
      </w:r>
      <w:proofErr w:type="spellEnd"/>
      <w:r w:rsidRPr="00EC5E7E">
        <w:rPr>
          <w:color w:val="000000" w:themeColor="text1"/>
          <w:lang w:val="es-ES"/>
        </w:rPr>
        <w:t xml:space="preserve">-administrativa da </w:t>
      </w:r>
      <w:proofErr w:type="spellStart"/>
      <w:r w:rsidRPr="00EC5E7E">
        <w:rPr>
          <w:color w:val="000000" w:themeColor="text1"/>
          <w:lang w:val="es-ES"/>
        </w:rPr>
        <w:t>Universidade</w:t>
      </w:r>
      <w:proofErr w:type="spellEnd"/>
      <w:r w:rsidRPr="00EC5E7E">
        <w:rPr>
          <w:color w:val="000000" w:themeColor="text1"/>
          <w:lang w:val="es-ES"/>
        </w:rPr>
        <w:t xml:space="preserve"> de Guadalajara durante o semestre de janeiro a </w:t>
      </w:r>
      <w:proofErr w:type="spellStart"/>
      <w:r w:rsidRPr="00EC5E7E">
        <w:rPr>
          <w:color w:val="000000" w:themeColor="text1"/>
          <w:lang w:val="es-ES"/>
        </w:rPr>
        <w:t>junho</w:t>
      </w:r>
      <w:proofErr w:type="spellEnd"/>
      <w:r w:rsidRPr="00EC5E7E">
        <w:rPr>
          <w:color w:val="000000" w:themeColor="text1"/>
          <w:lang w:val="es-ES"/>
        </w:rPr>
        <w:t xml:space="preserve"> de 2018. Os resultados </w:t>
      </w:r>
      <w:proofErr w:type="spellStart"/>
      <w:r w:rsidRPr="00EC5E7E">
        <w:rPr>
          <w:color w:val="000000" w:themeColor="text1"/>
          <w:lang w:val="es-ES"/>
        </w:rPr>
        <w:t>mostram</w:t>
      </w:r>
      <w:proofErr w:type="spellEnd"/>
      <w:r w:rsidRPr="00EC5E7E">
        <w:rPr>
          <w:color w:val="000000" w:themeColor="text1"/>
          <w:lang w:val="es-ES"/>
        </w:rPr>
        <w:t xml:space="preserve"> que grande parte dos </w:t>
      </w:r>
      <w:proofErr w:type="spellStart"/>
      <w:r w:rsidRPr="00EC5E7E">
        <w:rPr>
          <w:color w:val="000000" w:themeColor="text1"/>
          <w:lang w:val="es-ES"/>
        </w:rPr>
        <w:t>alunos</w:t>
      </w:r>
      <w:proofErr w:type="spellEnd"/>
      <w:r w:rsidRPr="00EC5E7E">
        <w:rPr>
          <w:color w:val="000000" w:themeColor="text1"/>
          <w:lang w:val="es-ES"/>
        </w:rPr>
        <w:t xml:space="preserve"> confunde </w:t>
      </w:r>
      <w:proofErr w:type="spellStart"/>
      <w:r w:rsidRPr="00EC5E7E">
        <w:rPr>
          <w:color w:val="000000" w:themeColor="text1"/>
          <w:lang w:val="es-ES"/>
        </w:rPr>
        <w:t>distribuição</w:t>
      </w:r>
      <w:proofErr w:type="spellEnd"/>
      <w:r w:rsidRPr="00EC5E7E">
        <w:rPr>
          <w:color w:val="000000" w:themeColor="text1"/>
          <w:lang w:val="es-ES"/>
        </w:rPr>
        <w:t xml:space="preserve"> normal </w:t>
      </w:r>
      <w:proofErr w:type="spellStart"/>
      <w:r w:rsidRPr="00EC5E7E">
        <w:rPr>
          <w:color w:val="000000" w:themeColor="text1"/>
          <w:lang w:val="es-ES"/>
        </w:rPr>
        <w:t>com</w:t>
      </w:r>
      <w:proofErr w:type="spellEnd"/>
      <w:r w:rsidRPr="00EC5E7E">
        <w:rPr>
          <w:color w:val="000000" w:themeColor="text1"/>
          <w:lang w:val="es-ES"/>
        </w:rPr>
        <w:t xml:space="preserve"> </w:t>
      </w:r>
      <w:proofErr w:type="spellStart"/>
      <w:r w:rsidRPr="00EC5E7E">
        <w:rPr>
          <w:color w:val="000000" w:themeColor="text1"/>
          <w:lang w:val="es-ES"/>
        </w:rPr>
        <w:t>distribuição</w:t>
      </w:r>
      <w:proofErr w:type="spellEnd"/>
      <w:r w:rsidRPr="00EC5E7E">
        <w:rPr>
          <w:color w:val="000000" w:themeColor="text1"/>
          <w:lang w:val="es-ES"/>
        </w:rPr>
        <w:t xml:space="preserve"> uniforme, eles </w:t>
      </w:r>
      <w:proofErr w:type="spellStart"/>
      <w:r w:rsidRPr="00EC5E7E">
        <w:rPr>
          <w:color w:val="000000" w:themeColor="text1"/>
          <w:lang w:val="es-ES"/>
        </w:rPr>
        <w:t>não</w:t>
      </w:r>
      <w:proofErr w:type="spellEnd"/>
      <w:r w:rsidRPr="00EC5E7E">
        <w:rPr>
          <w:color w:val="000000" w:themeColor="text1"/>
          <w:lang w:val="es-ES"/>
        </w:rPr>
        <w:t xml:space="preserve"> </w:t>
      </w:r>
      <w:proofErr w:type="spellStart"/>
      <w:r w:rsidRPr="00EC5E7E">
        <w:rPr>
          <w:color w:val="000000" w:themeColor="text1"/>
          <w:lang w:val="es-ES"/>
        </w:rPr>
        <w:t>distinguem</w:t>
      </w:r>
      <w:proofErr w:type="spellEnd"/>
      <w:r w:rsidRPr="00EC5E7E">
        <w:rPr>
          <w:color w:val="000000" w:themeColor="text1"/>
          <w:lang w:val="es-ES"/>
        </w:rPr>
        <w:t xml:space="preserve"> que </w:t>
      </w:r>
      <w:proofErr w:type="spellStart"/>
      <w:r w:rsidRPr="00EC5E7E">
        <w:rPr>
          <w:color w:val="000000" w:themeColor="text1"/>
          <w:lang w:val="es-ES"/>
        </w:rPr>
        <w:t>um</w:t>
      </w:r>
      <w:proofErr w:type="spellEnd"/>
      <w:r w:rsidRPr="00EC5E7E">
        <w:rPr>
          <w:color w:val="000000" w:themeColor="text1"/>
          <w:lang w:val="es-ES"/>
        </w:rPr>
        <w:t xml:space="preserve"> </w:t>
      </w:r>
      <w:proofErr w:type="spellStart"/>
      <w:r w:rsidRPr="00EC5E7E">
        <w:rPr>
          <w:color w:val="000000" w:themeColor="text1"/>
          <w:lang w:val="es-ES"/>
        </w:rPr>
        <w:t>viés</w:t>
      </w:r>
      <w:proofErr w:type="spellEnd"/>
      <w:r w:rsidRPr="00EC5E7E">
        <w:rPr>
          <w:color w:val="000000" w:themeColor="text1"/>
          <w:lang w:val="es-ES"/>
        </w:rPr>
        <w:t xml:space="preserve"> pode ser determinado por </w:t>
      </w:r>
      <w:proofErr w:type="spellStart"/>
      <w:r w:rsidRPr="00EC5E7E">
        <w:rPr>
          <w:color w:val="000000" w:themeColor="text1"/>
          <w:lang w:val="es-ES"/>
        </w:rPr>
        <w:t>suas</w:t>
      </w:r>
      <w:proofErr w:type="spellEnd"/>
      <w:r w:rsidRPr="00EC5E7E">
        <w:rPr>
          <w:color w:val="000000" w:themeColor="text1"/>
          <w:lang w:val="es-ES"/>
        </w:rPr>
        <w:t xml:space="preserve"> medidas de </w:t>
      </w:r>
      <w:proofErr w:type="spellStart"/>
      <w:r w:rsidRPr="00EC5E7E">
        <w:rPr>
          <w:color w:val="000000" w:themeColor="text1"/>
          <w:lang w:val="es-ES"/>
        </w:rPr>
        <w:t>tendência</w:t>
      </w:r>
      <w:proofErr w:type="spellEnd"/>
      <w:r w:rsidRPr="00EC5E7E">
        <w:rPr>
          <w:color w:val="000000" w:themeColor="text1"/>
          <w:lang w:val="es-ES"/>
        </w:rPr>
        <w:t xml:space="preserve"> central </w:t>
      </w:r>
      <w:proofErr w:type="spellStart"/>
      <w:r w:rsidRPr="00EC5E7E">
        <w:rPr>
          <w:color w:val="000000" w:themeColor="text1"/>
          <w:lang w:val="es-ES"/>
        </w:rPr>
        <w:t>ou</w:t>
      </w:r>
      <w:proofErr w:type="spellEnd"/>
      <w:r w:rsidRPr="00EC5E7E">
        <w:rPr>
          <w:color w:val="000000" w:themeColor="text1"/>
          <w:lang w:val="es-ES"/>
        </w:rPr>
        <w:t xml:space="preserve"> </w:t>
      </w:r>
      <w:proofErr w:type="spellStart"/>
      <w:r w:rsidRPr="00EC5E7E">
        <w:rPr>
          <w:color w:val="000000" w:themeColor="text1"/>
          <w:lang w:val="es-ES"/>
        </w:rPr>
        <w:t>dispersão</w:t>
      </w:r>
      <w:proofErr w:type="spellEnd"/>
      <w:r w:rsidRPr="00EC5E7E">
        <w:rPr>
          <w:color w:val="000000" w:themeColor="text1"/>
          <w:lang w:val="es-ES"/>
        </w:rPr>
        <w:t xml:space="preserve">, entre </w:t>
      </w:r>
      <w:proofErr w:type="spellStart"/>
      <w:r w:rsidRPr="00EC5E7E">
        <w:rPr>
          <w:color w:val="000000" w:themeColor="text1"/>
          <w:lang w:val="es-ES"/>
        </w:rPr>
        <w:t>outras</w:t>
      </w:r>
      <w:proofErr w:type="spellEnd"/>
      <w:r w:rsidRPr="00EC5E7E">
        <w:rPr>
          <w:color w:val="000000" w:themeColor="text1"/>
          <w:lang w:val="es-ES"/>
        </w:rPr>
        <w:t xml:space="preserve"> </w:t>
      </w:r>
      <w:proofErr w:type="spellStart"/>
      <w:r w:rsidRPr="00EC5E7E">
        <w:rPr>
          <w:color w:val="000000" w:themeColor="text1"/>
          <w:lang w:val="es-ES"/>
        </w:rPr>
        <w:t>dificuldades</w:t>
      </w:r>
      <w:proofErr w:type="spellEnd"/>
      <w:r w:rsidRPr="00EC5E7E">
        <w:rPr>
          <w:color w:val="000000" w:themeColor="text1"/>
          <w:lang w:val="es-ES"/>
        </w:rPr>
        <w:t xml:space="preserve"> de </w:t>
      </w:r>
      <w:proofErr w:type="spellStart"/>
      <w:r w:rsidRPr="00EC5E7E">
        <w:rPr>
          <w:color w:val="000000" w:themeColor="text1"/>
          <w:lang w:val="es-ES"/>
        </w:rPr>
        <w:t>raciocínio</w:t>
      </w:r>
      <w:proofErr w:type="spellEnd"/>
      <w:r w:rsidRPr="00EC5E7E">
        <w:rPr>
          <w:color w:val="000000" w:themeColor="text1"/>
          <w:lang w:val="es-ES"/>
        </w:rPr>
        <w:t xml:space="preserve"> </w:t>
      </w:r>
      <w:proofErr w:type="spellStart"/>
      <w:r w:rsidRPr="00EC5E7E">
        <w:rPr>
          <w:color w:val="000000" w:themeColor="text1"/>
          <w:lang w:val="es-ES"/>
        </w:rPr>
        <w:t>estatístico</w:t>
      </w:r>
      <w:proofErr w:type="spellEnd"/>
      <w:r w:rsidRPr="00EC5E7E">
        <w:rPr>
          <w:color w:val="000000" w:themeColor="text1"/>
          <w:lang w:val="es-ES"/>
        </w:rPr>
        <w:t xml:space="preserve">. </w:t>
      </w:r>
      <w:proofErr w:type="spellStart"/>
      <w:r w:rsidRPr="00EC5E7E">
        <w:rPr>
          <w:color w:val="000000" w:themeColor="text1"/>
          <w:lang w:val="es-ES"/>
        </w:rPr>
        <w:t>Isso</w:t>
      </w:r>
      <w:proofErr w:type="spellEnd"/>
      <w:r w:rsidRPr="00EC5E7E">
        <w:rPr>
          <w:color w:val="000000" w:themeColor="text1"/>
          <w:lang w:val="es-ES"/>
        </w:rPr>
        <w:t xml:space="preserve"> pode ser </w:t>
      </w:r>
      <w:proofErr w:type="spellStart"/>
      <w:r w:rsidRPr="00EC5E7E">
        <w:rPr>
          <w:color w:val="000000" w:themeColor="text1"/>
          <w:lang w:val="es-ES"/>
        </w:rPr>
        <w:t>devido</w:t>
      </w:r>
      <w:proofErr w:type="spellEnd"/>
      <w:r w:rsidRPr="00EC5E7E">
        <w:rPr>
          <w:color w:val="000000" w:themeColor="text1"/>
          <w:lang w:val="es-ES"/>
        </w:rPr>
        <w:t xml:space="preserve"> à </w:t>
      </w:r>
      <w:proofErr w:type="spellStart"/>
      <w:r w:rsidRPr="00EC5E7E">
        <w:rPr>
          <w:color w:val="000000" w:themeColor="text1"/>
          <w:lang w:val="es-ES"/>
        </w:rPr>
        <w:t>deficiência</w:t>
      </w:r>
      <w:proofErr w:type="spellEnd"/>
      <w:r w:rsidRPr="00EC5E7E">
        <w:rPr>
          <w:color w:val="000000" w:themeColor="text1"/>
          <w:lang w:val="es-ES"/>
        </w:rPr>
        <w:t xml:space="preserve"> que existe no </w:t>
      </w:r>
      <w:proofErr w:type="spellStart"/>
      <w:r w:rsidRPr="00EC5E7E">
        <w:rPr>
          <w:color w:val="000000" w:themeColor="text1"/>
          <w:lang w:val="es-ES"/>
        </w:rPr>
        <w:t>ensino</w:t>
      </w:r>
      <w:proofErr w:type="spellEnd"/>
      <w:r w:rsidRPr="00EC5E7E">
        <w:rPr>
          <w:color w:val="000000" w:themeColor="text1"/>
          <w:lang w:val="es-ES"/>
        </w:rPr>
        <w:t xml:space="preserve"> de </w:t>
      </w:r>
      <w:proofErr w:type="spellStart"/>
      <w:r w:rsidRPr="00EC5E7E">
        <w:rPr>
          <w:color w:val="000000" w:themeColor="text1"/>
          <w:lang w:val="es-ES"/>
        </w:rPr>
        <w:t>estatística</w:t>
      </w:r>
      <w:proofErr w:type="spellEnd"/>
      <w:r w:rsidRPr="00EC5E7E">
        <w:rPr>
          <w:color w:val="000000" w:themeColor="text1"/>
          <w:lang w:val="es-ES"/>
        </w:rPr>
        <w:t xml:space="preserve">, </w:t>
      </w:r>
      <w:proofErr w:type="spellStart"/>
      <w:r w:rsidRPr="00EC5E7E">
        <w:rPr>
          <w:color w:val="000000" w:themeColor="text1"/>
          <w:lang w:val="es-ES"/>
        </w:rPr>
        <w:t>preparação</w:t>
      </w:r>
      <w:proofErr w:type="spellEnd"/>
      <w:r w:rsidRPr="00EC5E7E">
        <w:rPr>
          <w:color w:val="000000" w:themeColor="text1"/>
          <w:lang w:val="es-ES"/>
        </w:rPr>
        <w:t xml:space="preserve"> matemática insuficiente dos </w:t>
      </w:r>
      <w:proofErr w:type="spellStart"/>
      <w:r w:rsidRPr="00EC5E7E">
        <w:rPr>
          <w:color w:val="000000" w:themeColor="text1"/>
          <w:lang w:val="es-ES"/>
        </w:rPr>
        <w:t>alunos</w:t>
      </w:r>
      <w:proofErr w:type="spellEnd"/>
      <w:r w:rsidRPr="00EC5E7E">
        <w:rPr>
          <w:color w:val="000000" w:themeColor="text1"/>
          <w:lang w:val="es-ES"/>
        </w:rPr>
        <w:t xml:space="preserve">, entre </w:t>
      </w:r>
      <w:proofErr w:type="spellStart"/>
      <w:r w:rsidRPr="00EC5E7E">
        <w:rPr>
          <w:color w:val="000000" w:themeColor="text1"/>
          <w:lang w:val="es-ES"/>
        </w:rPr>
        <w:t>outros</w:t>
      </w:r>
      <w:proofErr w:type="spellEnd"/>
      <w:r w:rsidRPr="00EC5E7E">
        <w:rPr>
          <w:color w:val="000000" w:themeColor="text1"/>
          <w:lang w:val="es-ES"/>
        </w:rPr>
        <w:t xml:space="preserve"> fatores.</w:t>
      </w:r>
    </w:p>
    <w:p w14:paraId="32F74AFD" w14:textId="6A7FDF0E" w:rsidR="00EC5E7E" w:rsidRDefault="00EC5E7E" w:rsidP="00EC5E7E">
      <w:pPr>
        <w:spacing w:line="360" w:lineRule="auto"/>
        <w:jc w:val="both"/>
        <w:rPr>
          <w:color w:val="000000" w:themeColor="text1"/>
          <w:lang w:val="es-ES"/>
        </w:rPr>
      </w:pPr>
      <w:proofErr w:type="spellStart"/>
      <w:r w:rsidRPr="00CB5B22">
        <w:rPr>
          <w:rFonts w:asciiTheme="minorHAnsi" w:hAnsiTheme="minorHAnsi" w:cstheme="minorHAnsi"/>
          <w:b/>
          <w:iCs/>
          <w:color w:val="000000" w:themeColor="text1"/>
          <w:sz w:val="28"/>
          <w:szCs w:val="28"/>
          <w:lang w:val="es-ES"/>
        </w:rPr>
        <w:t>Palavras</w:t>
      </w:r>
      <w:proofErr w:type="spellEnd"/>
      <w:r w:rsidRPr="00CB5B22">
        <w:rPr>
          <w:rFonts w:asciiTheme="minorHAnsi" w:hAnsiTheme="minorHAnsi" w:cstheme="minorHAnsi"/>
          <w:b/>
          <w:iCs/>
          <w:color w:val="000000" w:themeColor="text1"/>
          <w:sz w:val="28"/>
          <w:szCs w:val="28"/>
          <w:lang w:val="es-ES"/>
        </w:rPr>
        <w:t>-chave:</w:t>
      </w:r>
      <w:r w:rsidRPr="00EC5E7E">
        <w:rPr>
          <w:color w:val="000000" w:themeColor="text1"/>
          <w:lang w:val="es-ES"/>
        </w:rPr>
        <w:t xml:space="preserve"> </w:t>
      </w:r>
      <w:proofErr w:type="spellStart"/>
      <w:r w:rsidRPr="00EC5E7E">
        <w:rPr>
          <w:color w:val="000000" w:themeColor="text1"/>
          <w:lang w:val="es-ES"/>
        </w:rPr>
        <w:t>Representação</w:t>
      </w:r>
      <w:proofErr w:type="spellEnd"/>
      <w:r w:rsidRPr="00EC5E7E">
        <w:rPr>
          <w:color w:val="000000" w:themeColor="text1"/>
          <w:lang w:val="es-ES"/>
        </w:rPr>
        <w:t xml:space="preserve"> gráfica, Histogramas, </w:t>
      </w:r>
      <w:proofErr w:type="spellStart"/>
      <w:r w:rsidRPr="00EC5E7E">
        <w:rPr>
          <w:color w:val="000000" w:themeColor="text1"/>
          <w:lang w:val="es-ES"/>
        </w:rPr>
        <w:t>Variabilidade</w:t>
      </w:r>
      <w:proofErr w:type="spellEnd"/>
      <w:r w:rsidRPr="00EC5E7E">
        <w:rPr>
          <w:color w:val="000000" w:themeColor="text1"/>
          <w:lang w:val="es-ES"/>
        </w:rPr>
        <w:t>.</w:t>
      </w:r>
    </w:p>
    <w:p w14:paraId="49EAE7F8" w14:textId="48B58287" w:rsidR="00EC5E7E" w:rsidRPr="00140DDC" w:rsidRDefault="00EC5E7E" w:rsidP="00EC5E7E">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r>
        <w:rPr>
          <w:rFonts w:ascii="Times New Roman" w:hAnsi="Times New Roman"/>
          <w:color w:val="000000"/>
          <w:sz w:val="24"/>
        </w:rPr>
        <w:t>Junio</w:t>
      </w:r>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Noviembre</w:t>
      </w:r>
      <w:r w:rsidRPr="00140DDC">
        <w:rPr>
          <w:rFonts w:ascii="Times New Roman" w:hAnsi="Times New Roman"/>
          <w:color w:val="000000"/>
          <w:sz w:val="24"/>
        </w:rPr>
        <w:t xml:space="preserve"> 2020</w:t>
      </w:r>
    </w:p>
    <w:p w14:paraId="469D1AB7" w14:textId="53D1F9DF" w:rsidR="00EC5E7E" w:rsidRPr="00B21F63" w:rsidRDefault="00810BE4" w:rsidP="00EC5E7E">
      <w:pPr>
        <w:spacing w:line="360" w:lineRule="auto"/>
        <w:jc w:val="both"/>
        <w:rPr>
          <w:color w:val="000000" w:themeColor="text1"/>
          <w:lang w:val="es-ES"/>
        </w:rPr>
      </w:pPr>
      <w:r>
        <w:rPr>
          <w:noProof/>
        </w:rPr>
        <w:pict w14:anchorId="317E00A1">
          <v:rect id="_x0000_i1025" alt="" style="width:424.5pt;height:.05pt;mso-width-percent:0;mso-height-percent:0;mso-width-percent:0;mso-height-percent:0" o:hrpct="907" o:hralign="center" o:hrstd="t" o:hr="t" fillcolor="#a0a0a0" stroked="f"/>
        </w:pict>
      </w:r>
    </w:p>
    <w:p w14:paraId="109A841D" w14:textId="77777777" w:rsidR="00E737CD" w:rsidRPr="00EC5E7E" w:rsidRDefault="00E737CD" w:rsidP="00EC5E7E">
      <w:pPr>
        <w:spacing w:line="360" w:lineRule="auto"/>
        <w:jc w:val="center"/>
        <w:rPr>
          <w:b/>
          <w:bCs/>
          <w:color w:val="000000" w:themeColor="text1"/>
          <w:sz w:val="32"/>
          <w:szCs w:val="32"/>
        </w:rPr>
      </w:pPr>
      <w:r w:rsidRPr="00EC5E7E">
        <w:rPr>
          <w:b/>
          <w:bCs/>
          <w:color w:val="000000" w:themeColor="text1"/>
          <w:sz w:val="32"/>
          <w:szCs w:val="32"/>
        </w:rPr>
        <w:lastRenderedPageBreak/>
        <w:t>Introduction</w:t>
      </w:r>
    </w:p>
    <w:p w14:paraId="12CAF90C" w14:textId="77777777" w:rsidR="00931CD0" w:rsidRPr="00B21F63" w:rsidRDefault="005F28E5" w:rsidP="00B3197D">
      <w:pPr>
        <w:spacing w:line="360" w:lineRule="auto"/>
        <w:ind w:firstLine="720"/>
        <w:jc w:val="both"/>
        <w:rPr>
          <w:color w:val="000000" w:themeColor="text1"/>
        </w:rPr>
      </w:pPr>
      <w:r w:rsidRPr="00B21F63">
        <w:rPr>
          <w:rFonts w:eastAsia="BatangChe"/>
          <w:color w:val="000000" w:themeColor="text1"/>
          <w:lang w:eastAsia="ko-KR"/>
        </w:rPr>
        <w:t>Graphical representation dates back more than 200 years</w:t>
      </w:r>
      <w:r w:rsidR="00931CD0" w:rsidRPr="00B21F63">
        <w:rPr>
          <w:rFonts w:eastAsia="BatangChe"/>
          <w:color w:val="000000" w:themeColor="text1"/>
          <w:lang w:eastAsia="ko-KR"/>
        </w:rPr>
        <w:t xml:space="preserve"> </w:t>
      </w:r>
      <w:r w:rsidR="00931CD0" w:rsidRPr="00B21F63">
        <w:rPr>
          <w:color w:val="000000" w:themeColor="text1"/>
        </w:rPr>
        <w:fldChar w:fldCharType="begin" w:fldLock="1"/>
      </w:r>
      <w:r w:rsidR="00D65E37" w:rsidRPr="00B21F63">
        <w:rPr>
          <w:color w:val="000000" w:themeColor="text1"/>
        </w:rPr>
        <w:instrText>ADDIN CSL_CITATION {"citationItems":[{"id":"ITEM-1","itemData":{"DOI":"10.1007/978-3-540-33037-0","ISBN":"978-3-540-33036-3","ISSN":"18737838","PMID":"20501337","abstract":"The graphical exploration of quantitative/qualitative data is an initial but essential step inmodern statistical data analysis.Matrix\\n visualization (Chen, 2002; Chen et al., 2004) is a graphical technique that can simultaneously explore the associations between\\n thousands of subjects, variables, and their interactions, without needing to first reduce the dimensions of the data. Matrix\\n visualization involves permuting the rows and columns of the raw data matrix using suitable seriation (reordering) algorithms,\\n together with the corresponding proximity matrices.The permuted raw data matrix and two proximity matrices are then displayed\\n as matrix maps via suitable color spectra, and the subject clusters, variable groups, and interactions embedded in the dataset\\n can be extracted visually.","author":[{"dropping-particle":"","family":"Unwin","given":"Antony","non-dropping-particle":"","parse-names":false,"suffix":""}],"chapter-number":"2","collection-title":"Springer Handbooks Comp.Statistics","container-title":"Handbook of Data Visualization","editor":[{"dropping-particle":"","family":"Chen","given":"Chun-houh","non-dropping-particle":"","parse-names":false,"suffix":""},{"dropping-particle":"","family":"Härdle","given":"Wolfgang","non-dropping-particle":"","parse-names":false,"suffix":""},{"dropping-particle":"","family":"Unwin","given":"Antony","non-dropping-particle":"","parse-names":false,"suffix":""}],"id":"ITEM-1","issued":{"date-parts":[["2008"]]},"number-of-pages":"956","publisher":"Springer Berlin Heidelberg","publisher-place":"Berlin, Heidelberg","title":"Handbook of Data Visualization","type":"book"},"uris":["http://www.mendeley.com/documents/?uuid=342965ea-b5e8-3f0d-b829-1fa97bea19ab"]}],"mendeley":{"formattedCitation":"(Unwin, 2008)","plainTextFormattedCitation":"(Unwin, 2008)","previouslyFormattedCitation":"(Unwin, 2008)"},"properties":{"noteIndex":0},"schema":"https://github.com/citation-style-language/schema/raw/master/csl-citation.json"}</w:instrText>
      </w:r>
      <w:r w:rsidR="00931CD0" w:rsidRPr="00B21F63">
        <w:rPr>
          <w:color w:val="000000" w:themeColor="text1"/>
        </w:rPr>
        <w:fldChar w:fldCharType="separate"/>
      </w:r>
      <w:r w:rsidR="00D65E37" w:rsidRPr="00B21F63">
        <w:rPr>
          <w:noProof/>
          <w:color w:val="000000" w:themeColor="text1"/>
        </w:rPr>
        <w:t>(Unwin, 2008)</w:t>
      </w:r>
      <w:r w:rsidR="00931CD0" w:rsidRPr="00B21F63">
        <w:rPr>
          <w:color w:val="000000" w:themeColor="text1"/>
        </w:rPr>
        <w:fldChar w:fldCharType="end"/>
      </w:r>
      <w:r w:rsidR="00931CD0" w:rsidRPr="00B21F63">
        <w:rPr>
          <w:rFonts w:eastAsia="BatangChe"/>
          <w:color w:val="000000" w:themeColor="text1"/>
          <w:lang w:eastAsia="ko-KR"/>
        </w:rPr>
        <w:t xml:space="preserve"> </w:t>
      </w:r>
      <w:r w:rsidRPr="00B21F63">
        <w:rPr>
          <w:rFonts w:eastAsia="BatangChe"/>
          <w:color w:val="000000" w:themeColor="text1"/>
          <w:lang w:eastAsia="ko-KR"/>
        </w:rPr>
        <w:t xml:space="preserve">For example, </w:t>
      </w:r>
      <w:r w:rsidR="00931CD0" w:rsidRPr="00B21F63">
        <w:rPr>
          <w:color w:val="000000" w:themeColor="text1"/>
        </w:rPr>
        <w:fldChar w:fldCharType="begin" w:fldLock="1"/>
      </w:r>
      <w:r w:rsidR="00D65E37" w:rsidRPr="00B21F63">
        <w:rPr>
          <w:color w:val="000000" w:themeColor="text1"/>
        </w:rPr>
        <w:instrText>ADDIN CSL_CITATION {"citationItems":[{"id":"ITEM-1","itemData":{"author":[{"dropping-particle":"","family":"Wainer","given":"Howard","non-dropping-particle":"","parse-names":false,"suffix":""},{"dropping-particle":"","family":"Spence","given":"Ian","non-dropping-particle":"","parse-names":false,"suffix":""}],"id":"ITEM-1","issued":{"date-parts":[["2005"]]},"number-of-pages":"248","publisher":"Cambridge University Press","publisher-place":"New York, NY, USA","title":"Playfair's commercial and political atlas and statistical breviary","type":"book"},"uris":["http://www.mendeley.com/documents/?uuid=4ce16d88-59b7-47f9-93af-79e75c86b055"]}],"mendeley":{"formattedCitation":"(Wainer &amp; Spence, 2005)","plainTextFormattedCitation":"(Wainer &amp; Spence, 2005)","previouslyFormattedCitation":"(Wainer &amp; Spence, 2005)"},"properties":{"noteIndex":0},"schema":"https://github.com/citation-style-language/schema/raw/master/csl-citation.json"}</w:instrText>
      </w:r>
      <w:r w:rsidR="00931CD0" w:rsidRPr="00B21F63">
        <w:rPr>
          <w:color w:val="000000" w:themeColor="text1"/>
        </w:rPr>
        <w:fldChar w:fldCharType="separate"/>
      </w:r>
      <w:r w:rsidR="00D65E37" w:rsidRPr="00B21F63">
        <w:rPr>
          <w:noProof/>
          <w:color w:val="000000" w:themeColor="text1"/>
        </w:rPr>
        <w:t>(Wainer &amp; Spence, 2005)</w:t>
      </w:r>
      <w:r w:rsidR="00931CD0" w:rsidRPr="00B21F63">
        <w:rPr>
          <w:color w:val="000000" w:themeColor="text1"/>
        </w:rPr>
        <w:fldChar w:fldCharType="end"/>
      </w:r>
      <w:r w:rsidR="00931CD0" w:rsidRPr="00B21F63">
        <w:rPr>
          <w:color w:val="000000" w:themeColor="text1"/>
        </w:rPr>
        <w:t xml:space="preserve"> </w:t>
      </w:r>
      <w:r w:rsidRPr="00B21F63">
        <w:rPr>
          <w:rFonts w:eastAsia="BatangChe"/>
          <w:color w:val="000000" w:themeColor="text1"/>
          <w:lang w:eastAsia="ko-KR"/>
        </w:rPr>
        <w:t xml:space="preserve">compiled the work of </w:t>
      </w:r>
      <w:r w:rsidR="00931CD0" w:rsidRPr="00B21F63">
        <w:rPr>
          <w:color w:val="000000" w:themeColor="text1"/>
        </w:rPr>
        <w:fldChar w:fldCharType="begin" w:fldLock="1"/>
      </w:r>
      <w:r w:rsidR="00D65E37" w:rsidRPr="00B21F63">
        <w:rPr>
          <w:color w:val="000000" w:themeColor="text1"/>
        </w:rPr>
        <w:instrText>ADDIN CSL_CITATION {"citationItems":[{"id":"ITEM-1","itemData":{"author":[{"dropping-particle":"","family":"Playfair","given":"William","non-dropping-particle":"","parse-names":false,"suffix":""}],"id":"ITEM-1","issued":{"date-parts":[["1801"]]},"publisher":"Wallis","publisher-place":"London","title":"The commercial and political atlas, representing, by means of stained copper-plate charts, the progress of the commerce, revenues, expenditure, and debts of England, during the whole of the eighteenth century","type":"book"},"uris":["http://www.mendeley.com/documents/?uuid=71311cbc-170f-42ea-bce2-b37cb913d35f"]}],"mendeley":{"formattedCitation":"(Playfair, 1801)","plainTextFormattedCitation":"(Playfair, 1801)","previouslyFormattedCitation":"(Playfair, 1801)"},"properties":{"noteIndex":0},"schema":"https://github.com/citation-style-language/schema/raw/master/csl-citation.json"}</w:instrText>
      </w:r>
      <w:r w:rsidR="00931CD0" w:rsidRPr="00B21F63">
        <w:rPr>
          <w:color w:val="000000" w:themeColor="text1"/>
        </w:rPr>
        <w:fldChar w:fldCharType="separate"/>
      </w:r>
      <w:r w:rsidR="00D65E37" w:rsidRPr="00B21F63">
        <w:rPr>
          <w:noProof/>
          <w:color w:val="000000" w:themeColor="text1"/>
        </w:rPr>
        <w:t>(Playfair, 1801)</w:t>
      </w:r>
      <w:r w:rsidR="00931CD0" w:rsidRPr="00B21F63">
        <w:rPr>
          <w:color w:val="000000" w:themeColor="text1"/>
        </w:rPr>
        <w:fldChar w:fldCharType="end"/>
      </w:r>
      <w:r w:rsidR="00931CD0" w:rsidRPr="00B21F63">
        <w:rPr>
          <w:color w:val="000000" w:themeColor="text1"/>
        </w:rPr>
        <w:t xml:space="preserve"> </w:t>
      </w:r>
      <w:r w:rsidRPr="00B21F63">
        <w:rPr>
          <w:rFonts w:eastAsia="BatangChe"/>
          <w:color w:val="000000" w:themeColor="text1"/>
          <w:lang w:eastAsia="ko-KR"/>
        </w:rPr>
        <w:t xml:space="preserve">who represented data in graphical form. The discipline of statistics uses either real or hypothetical data which can be interpreted graphically </w:t>
      </w:r>
      <w:r w:rsidR="00931CD0" w:rsidRPr="00B21F63">
        <w:rPr>
          <w:color w:val="000000" w:themeColor="text1"/>
        </w:rPr>
        <w:fldChar w:fldCharType="begin" w:fldLock="1"/>
      </w:r>
      <w:r w:rsidR="00931CD0" w:rsidRPr="00B21F63">
        <w:rPr>
          <w:color w:val="000000" w:themeColor="text1"/>
        </w:rPr>
        <w:instrText>ADDIN CSL_CITATION {"citationItems":[{"id":"ITEM-1","itemData":{"DOI":"10.1017/CBO9781107415324.004","ISBN":"0963488414","PMID":"25246403","abstract":"Section 2.5 for \"Choose the range of the tick marks to include or nearly include the range of the data\" (p. 80). Also \"Do not insist that zero always be included on a scale showing magnitude\" (p. 92) Jittering points for which there is \"substantial exact overlap which prevents us from getting a true picture of the data\": p. 158; also cites Chambers, Cleveland, Kleiner, Tukey, 1983, C&amp;H, NY \"Graphical methods for data analysis\".","author":[{"dropping-particle":"","family":"Cleveland","given":"William S","non-dropping-particle":"","parse-names":false,"suffix":""}],"container-title":"The elements of graphing data","id":"ITEM-1","issued":{"date-parts":[["1985"]]},"page":"323","publisher-place":"Monterey, USA","title":"The elements of graphing data","type":"article-journal"},"uris":["http://www.mendeley.com/documents/?uuid=a33fb069-eaf3-3b61-b14d-4cb5b76b07f2"]},{"id":"ITEM-2","itemData":{"DOI":"10.1119/1.14057","author":[{"dropping-particle":"","family":"Tufte","given":"Edward R","non-dropping-particle":"","parse-names":false,"suffix":""}],"edition":"Second","id":"ITEM-2","issued":{"date-parts":[["2001"]]},"number-of-pages":"197","publisher":"Graphics Press","publisher-place":"Cheshire, USA","title":"The visual display of quantitative information","type":"book"},"uris":["http://www.mendeley.com/documents/?uuid=3d20e104-4d2b-3adc-8b86-c12798765d52"]}],"mendeley":{"formattedCitation":"(Cleveland, 1985; Tufte, 2001)","plainTextFormattedCitation":"(Cleveland, 1985; Tufte, 2001)","previouslyFormattedCitation":"(Cleveland, 1985; Tufte, 2001)"},"properties":{"noteIndex":0},"schema":"https://github.com/citation-style-language/schema/raw/master/csl-citation.json"}</w:instrText>
      </w:r>
      <w:r w:rsidR="00931CD0" w:rsidRPr="00B21F63">
        <w:rPr>
          <w:color w:val="000000" w:themeColor="text1"/>
        </w:rPr>
        <w:fldChar w:fldCharType="separate"/>
      </w:r>
      <w:r w:rsidR="00931CD0" w:rsidRPr="00B21F63">
        <w:rPr>
          <w:noProof/>
          <w:color w:val="000000" w:themeColor="text1"/>
        </w:rPr>
        <w:t>(Cleveland, 1985; Tufte, 2001)</w:t>
      </w:r>
      <w:r w:rsidR="00931CD0" w:rsidRPr="00B21F63">
        <w:rPr>
          <w:color w:val="000000" w:themeColor="text1"/>
        </w:rPr>
        <w:fldChar w:fldCharType="end"/>
      </w:r>
      <w:r w:rsidR="00931CD0" w:rsidRPr="00B21F63">
        <w:rPr>
          <w:color w:val="000000" w:themeColor="text1"/>
        </w:rPr>
        <w:t xml:space="preserve">. </w:t>
      </w:r>
      <w:r w:rsidRPr="00B21F63">
        <w:rPr>
          <w:rFonts w:eastAsia="BatangChe"/>
          <w:color w:val="000000" w:themeColor="text1"/>
          <w:lang w:eastAsia="ko-KR"/>
        </w:rPr>
        <w:t xml:space="preserve">In any branch of the sciences and, independent of the type of data used to produce it, the ability to read and interpret a graph is indispensable for both students, irrespective of the educational level at which they are studying, and researchers in the making </w:t>
      </w:r>
      <w:r w:rsidR="00931CD0" w:rsidRPr="00B21F63">
        <w:rPr>
          <w:color w:val="000000" w:themeColor="text1"/>
        </w:rPr>
        <w:fldChar w:fldCharType="begin" w:fldLock="1"/>
      </w:r>
      <w:r w:rsidR="00931CD0" w:rsidRPr="00B21F63">
        <w:rPr>
          <w:color w:val="000000" w:themeColor="text1"/>
        </w:rPr>
        <w:instrText>ADDIN CSL_CITATION {"citationItems":[{"id":"ITEM-1","itemData":{"DOI":"10.1080/03057267.2011.605307","ISBN":"0305-7267","ISSN":"03057267","abstract":"With the growing emphasis on the development of scientific inquiry skills, the display and interpretation of data are becoming increasingly important. Graph interpretation competence is, in fact, essential to understanding today’s world and to be scientifically literate. However, graph interpretation is a complex and challenging activity. Graph interpretation competence is affected by many factors, including aspects of graph characteristics, the content of the graph and viewers’ prior knowledge. For instance, the prior theory and expectations that students have may lead to biases and misinterpretation of graphs. One basic controversy that remains unanswered, for example, is what should we teach first in order to make students scientific literate, how to graph or how to interpret a graph? If it is the case that the ability to interpret a graph be developed prior to the ability to create, then it is important to understand what graph interpretation entails. This paper reviews current literature on graph interpretation competence and argues that it should be explicitly taught given its importance and its complexity.","author":[{"dropping-particle":"","family":"Glazer","given":"Nirit","non-dropping-particle":"","parse-names":false,"suffix":""}],"container-title":"Studies in Science Education","id":"ITEM-1","issue":"2","issued":{"date-parts":[["2011"]]},"page":"183-210","title":"Challenges with graph interpretation: A review of the literature","type":"article-journal","volume":"47"},"uris":["http://www.mendeley.com/documents/?uuid=f37dd947-fb8a-44bf-b390-4a6c185fa0a3"]}],"mendeley":{"formattedCitation":"(Glazer, 2011)","plainTextFormattedCitation":"(Glazer, 2011)","previouslyFormattedCitation":"(Glazer, 2011)"},"properties":{"noteIndex":0},"schema":"https://github.com/citation-style-language/schema/raw/master/csl-citation.json"}</w:instrText>
      </w:r>
      <w:r w:rsidR="00931CD0" w:rsidRPr="00B21F63">
        <w:rPr>
          <w:color w:val="000000" w:themeColor="text1"/>
        </w:rPr>
        <w:fldChar w:fldCharType="separate"/>
      </w:r>
      <w:r w:rsidR="00931CD0" w:rsidRPr="00B21F63">
        <w:rPr>
          <w:noProof/>
          <w:color w:val="000000" w:themeColor="text1"/>
        </w:rPr>
        <w:t>(Glazer, 2011)</w:t>
      </w:r>
      <w:r w:rsidR="00931CD0" w:rsidRPr="00B21F63">
        <w:rPr>
          <w:color w:val="000000" w:themeColor="text1"/>
        </w:rPr>
        <w:fldChar w:fldCharType="end"/>
      </w:r>
      <w:r w:rsidR="00931CD0" w:rsidRPr="00B21F63">
        <w:rPr>
          <w:color w:val="000000" w:themeColor="text1"/>
        </w:rPr>
        <w:t>.</w:t>
      </w:r>
    </w:p>
    <w:p w14:paraId="0FC0F0CB" w14:textId="77777777" w:rsidR="005F28E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t xml:space="preserve">Interpreting and reading a graph requires knowledge of statistics, mathematics and real life. In this digital age, information is most often presented graphically </w:t>
      </w:r>
      <w:r w:rsidR="00931CD0" w:rsidRPr="00B21F63">
        <w:rPr>
          <w:color w:val="000000" w:themeColor="text1"/>
        </w:rPr>
        <w:fldChar w:fldCharType="begin" w:fldLock="1"/>
      </w:r>
      <w:r w:rsidR="00931CD0" w:rsidRPr="00B21F63">
        <w:rPr>
          <w:color w:val="000000" w:themeColor="text1"/>
        </w:rPr>
        <w:instrText>ADDIN CSL_CITATION {"citationItems":[{"id":"ITEM-1","itemData":{"DOI":"10.1103/PhysRevPhysEducRes.14.020109","ISSN":"2469-9896","author":[{"dropping-particle":"","family":"Susac","given":"Ana","non-dropping-particle":"","parse-names":false,"suffix":""},{"dropping-particle":"","family":"Bubic","given":"Andreja","non-dropping-particle":"","parse-names":false,"suffix":""},{"dropping-particle":"","family":"Kazotti","given":"Elizabeta","non-dropping-particle":"","parse-names":false,"suffix":""},{"dropping-particle":"","family":"Planinic","given":"Maja","non-dropping-particle":"","parse-names":false,"suffix":""},{"dropping-particle":"","family":"Palmovic","given":"Marijan","non-dropping-particle":"","parse-names":false,"suffix":""}],"container-title":"Physical Review Physics Education Research","id":"ITEM-1","issue":"2","issued":{"date-parts":[["2018","9","18"]]},"page":"020109","publisher":"American Physical Society","title":"Student understanding of graph slope and area under a graph: A comparison of physics and nonphysics students","type":"article-journal","volume":"14"},"uris":["http://www.mendeley.com/documents/?uuid=da98b4ea-6d1c-4b3d-9968-75723706c2b7"]}],"mendeley":{"formattedCitation":"(Susac, Bubic, Kazotti, Planinic, &amp; Palmovic, 2018)","plainTextFormattedCitation":"(Susac, Bubic, Kazotti, Planinic, &amp; Palmovic, 2018)","previouslyFormattedCitation":"(Susac, Bubic, Kazotti, Planinic, &amp; Palmovic, 2018)"},"properties":{"noteIndex":0},"schema":"https://github.com/citation-style-language/schema/raw/master/csl-citation.json"}</w:instrText>
      </w:r>
      <w:r w:rsidR="00931CD0" w:rsidRPr="00B21F63">
        <w:rPr>
          <w:color w:val="000000" w:themeColor="text1"/>
        </w:rPr>
        <w:fldChar w:fldCharType="separate"/>
      </w:r>
      <w:r w:rsidR="00931CD0" w:rsidRPr="00B21F63">
        <w:rPr>
          <w:noProof/>
          <w:color w:val="000000" w:themeColor="text1"/>
        </w:rPr>
        <w:t>(Susac, Bubic, Kazotti, Planinic, &amp; Palmovic, 2018)</w:t>
      </w:r>
      <w:r w:rsidR="00931CD0" w:rsidRPr="00B21F63">
        <w:rPr>
          <w:color w:val="000000" w:themeColor="text1"/>
        </w:rPr>
        <w:fldChar w:fldCharType="end"/>
      </w:r>
      <w:r w:rsidRPr="00B21F63">
        <w:rPr>
          <w:rFonts w:eastAsia="BatangChe"/>
          <w:color w:val="000000" w:themeColor="text1"/>
          <w:lang w:eastAsia="ko-KR"/>
        </w:rPr>
        <w:t>. Newspapers, magazines, billboards, television, the internet and new research generally present results in graph form. Therefore, students should learn to read and interpret graphs based on real data to ensure that they are able to read and interpret a graph throughout their academic life</w:t>
      </w:r>
      <w:r w:rsidR="00882103" w:rsidRPr="00B21F63">
        <w:rPr>
          <w:rFonts w:eastAsia="BatangChe"/>
          <w:color w:val="000000" w:themeColor="text1"/>
          <w:lang w:eastAsia="ko-KR"/>
        </w:rPr>
        <w:t xml:space="preserve"> </w:t>
      </w:r>
      <w:r w:rsidR="00882103" w:rsidRPr="00B21F63">
        <w:rPr>
          <w:rFonts w:eastAsia="BatangChe"/>
          <w:color w:val="000000" w:themeColor="text1"/>
          <w:lang w:eastAsia="ko-KR"/>
        </w:rPr>
        <w:fldChar w:fldCharType="begin" w:fldLock="1"/>
      </w:r>
      <w:r w:rsidR="00882103" w:rsidRPr="00B21F63">
        <w:rPr>
          <w:rFonts w:eastAsia="BatangChe"/>
          <w:color w:val="000000" w:themeColor="text1"/>
          <w:lang w:eastAsia="ko-KR"/>
        </w:rPr>
        <w:instrText>ADDIN CSL_CITATION {"citationItems":[{"id":"ITEM-1","itemData":{"abstract":"The official inclusion of the teaching of graphing in school curricula has motivated increasing research and innovative pedagogical strategies such as the use of media graphs in school contexts. However, only a few studies have investigated knowledge about graphing among those who will teach this curricular content. We discuss aspects of the interpretation of media graphs among primary school student teachers from Brazil and England. We focus on data which came from questionnaires and interviews which gives evidence of the mobilisation of several kinds of knowledge and experiences, in the interpretation of media statistical graphs. The discussion of results might contribute to an understanding of the complexity of the interpretation of such graphs, and to the development of pedagogical strategies which can help teachers think about the teaching and learning of statistics in ways that will support the balance of these kinds of knowledge.","author":[{"dropping-particle":"","family":"Monteiro","given":"Carlos","non-dropping-particle":"","parse-names":false,"suffix":""},{"dropping-particle":"","family":"Ainley","given":"Janet","non-dropping-particle":"","parse-names":false,"suffix":""}],"container-title":"International Electronic Journal Mathematics Education","id":"ITEM-1","issue":"3","issued":{"date-parts":[["2007"]]},"page":"187-207","title":"Investigating the interpretation of media graphs among student teachers","type":"article-journal","volume":"2"},"uris":["http://www.mendeley.com/documents/?uuid=adc2a9ab-7535-3aa8-9f37-ff7c07b67822"]}],"mendeley":{"formattedCitation":"(Monteiro &amp; Ainley, 2007)","plainTextFormattedCitation":"(Monteiro &amp; Ainley, 2007)","previouslyFormattedCitation":"(Monteiro &amp; Ainley, 2007)"},"properties":{"noteIndex":0},"schema":"https://github.com/citation-style-language/schema/raw/master/csl-citation.json"}</w:instrText>
      </w:r>
      <w:r w:rsidR="00882103" w:rsidRPr="00B21F63">
        <w:rPr>
          <w:rFonts w:eastAsia="BatangChe"/>
          <w:color w:val="000000" w:themeColor="text1"/>
          <w:lang w:eastAsia="ko-KR"/>
        </w:rPr>
        <w:fldChar w:fldCharType="separate"/>
      </w:r>
      <w:r w:rsidR="00882103" w:rsidRPr="00B21F63">
        <w:rPr>
          <w:rFonts w:eastAsia="BatangChe"/>
          <w:noProof/>
          <w:color w:val="000000" w:themeColor="text1"/>
          <w:lang w:eastAsia="ko-KR"/>
        </w:rPr>
        <w:t>(Monteiro &amp; Ainley, 2007)</w:t>
      </w:r>
      <w:r w:rsidR="00882103" w:rsidRPr="00B21F63">
        <w:rPr>
          <w:rFonts w:eastAsia="BatangChe"/>
          <w:color w:val="000000" w:themeColor="text1"/>
          <w:lang w:eastAsia="ko-KR"/>
        </w:rPr>
        <w:fldChar w:fldCharType="end"/>
      </w:r>
      <w:r w:rsidR="00931CD0" w:rsidRPr="00B21F63">
        <w:rPr>
          <w:color w:val="000000" w:themeColor="text1"/>
        </w:rPr>
        <w:t>.</w:t>
      </w:r>
    </w:p>
    <w:p w14:paraId="77E24E65" w14:textId="05D08AD2" w:rsidR="005F28E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t xml:space="preserve">The present study seeks to evaluate the difficulties students have with reading and interpreting graphs solely in the academic context. Various studies have identified problems that students at different educational levels have with reading and interpreting graphs </w:t>
      </w:r>
      <w:r w:rsidR="00931CD0" w:rsidRPr="00B21F63">
        <w:rPr>
          <w:color w:val="000000" w:themeColor="text1"/>
        </w:rPr>
        <w:fldChar w:fldCharType="begin" w:fldLock="1"/>
      </w:r>
      <w:r w:rsidR="00B853C9" w:rsidRPr="00B21F63">
        <w:rPr>
          <w:color w:val="000000" w:themeColor="text1"/>
        </w:rPr>
        <w:instrText>ADDIN CSL_CITATION {"citationItems":[{"id":"ITEM-1","itemData":{"abstract":"This study investigated Singapore secondary school students' understanding of statistical graphs. Students' Understanding of Statistical Graphs (USG) was defined from four aspects: graph reading, graph interpretation, graph construction and graph evaluation. Altogether 907 students (13 to 15 years old) completed a Test of students' Understanding of Statistical Graphs (TUSG) and 63 of the students were interviewed. The result of a three-way MANOVA shows how students' USG in the four aspects differed with stream, grade level, and gender. A Rasch analysis provides information about the difficulty levels of the items in TUSG. Twelve error categories were identified. The conclusions of the study and implications for teaching and curriculum development are briefly discussed.","author":[{"dropping-particle":"","family":"Wu","given":"Yingkang","non-dropping-particle":"","parse-names":false,"suffix":""}],"container-title":"Proceedings of the 10th International Congress on Mathematical Education","id":"ITEM-1","issued":{"date-parts":[["2004"]]},"page":"1-7","publisher-place":"Copenhagen, Denmark","title":"Singapore secondary school students' understanding of statistical graphs","type":"paper-conference"},"uris":["http://www.mendeley.com/documents/?uuid=5285a976-28cb-3ce1-bdfb-e8b993364dd9"]},{"id":"ITEM-2","itemData":{"abstract":"This paper describes the analysis of assessment items used in a large scale class testing of high school and college students to learn how students reason about graphical representations of distribution. We focus on the use of items that reveal some consistent errors and misconceptions students exhibit when presented with graphical representations of data. We find that perhaps because of students' early exposure to bar graphs and time plots, they tend to confuse bar graphs and time plots with histograms. In addition, students have difficulty correctly reading information from histograms and identifying what the horizontal and vertical scales represent. We offer some reasons for why it is important for students to be able to correctly read and interpret histograms, and offer suggestions for how to help develop this type of reasoning.","author":[{"dropping-particle":"","family":"Delmas","given":"Robert","non-dropping-particle":"","parse-names":false,"suffix":""},{"dropping-particle":"","family":"Garfield","given":"Joan","non-dropping-particle":"","parse-names":false,"suffix":""},{"dropping-particle":"","family":"Ooms","given":"Ann","non-dropping-particle":"","parse-names":false,"suffix":""}],"container-title":"Proceedings of the Fourth International Research Forum on Statistical Reasoning, Literacy, and Reasoning","id":"ITEM-2","issued":{"date-parts":[["2005"]]},"page":"17","publisher":"K. Makar","publisher-place":"Auckland, New Zealand","title":"Using assessment items to study students’ difficulty reading and interpreting graphical representations of distributions","type":"paper-conference"},"uris":["http://www.mendeley.com/documents/?uuid=3c00b70e-a008-3058-83fa-e71f07fd1faa"]},{"id":"ITEM-3","itemData":{"abstract":"This work used a test to explore capacities, limitations and errors that students may have during processes of learning statistical graphs in Primary Education. We display some results of a test given to groups of students from schools in New Zealand and Spain, to investigate how they make translations between different types of graphic representation. ANTECEDENTS TO OUR INVESTIGATION People accept that as time passes society's way of life requires citizens to have some knowledge of statistics in order to understand better their environment and to exercise their rights. Statistical graphs are shown very often in scientific articles and are a common way of social communication; this is the reason for their inclusion as an important part of curricula in compulsory education. We question, as teachers, whether the usual curriculum content on statistical graphs is in fact enough for students to understand, for example, information given in graphs appearing in the media. Some researchers in statistics have investigated the theory of the construction and perception of graphs. Cleveland and McGill (1984) give a list of basic perceptive elements, useful in the reading and understanding of graphs, such as scales, shadows, shapes or areas, and show a hierarchic ordering of them. However, even now there is not enough work done on the design and good use of graphs. A theory of graphic methods, about how different types of graphs are selected, made or compared, is necessary; even if common sense and intuition play an important role on it. Research in mathematics education is endeavouring to find out what statistical knowledge primary teachers need, what they need to teach and how. At present, most school curricula require that students must construct and understand tables, bar and sector charts, histograms and frequency polygons. It is also known that many teachers need to improve their knowledge of statistics and its didactical aspects, including taking into account difficulties and errors experienced by students (Batanero et al., 1994). We underline one work on Statistics Education about critical factors that have to do with graphical comprehension and its instructional implications (Friel et al., 2001). It shows a compilation of research about making and using statistical graphs, detecting those factors that influence comprehension, and suggests some features that should to be considered for further investigations. Related to graph comprehension, and having to do …","author":[{"dropping-particle":"","family":"Carrión","given":"José Carlos","non-dropping-particle":"","parse-names":false,"suffix":""},{"dropping-particle":"","family":"Espinel","given":"María Candelaria","non-dropping-particle":"","parse-names":false,"suffix":""}],"container-title":"Proceedings of the Seventh International Conference on Teaching Statistics.","editor":[{"dropping-particle":"","family":"A. Rossman &amp; B. Chance","given":"","non-dropping-particle":"","parse-names":false,"suffix":""}],"id":"ITEM-3","issue":"7","issued":{"date-parts":[["2006"]]},"publisher":"International Statistical Institute","publisher-place":"Salvador, Brasil","title":"An investigations about translation and interpretation of statistical graphs and tables by students of primary education","type":"paper-conference"},"uris":["http://www.mendeley.com/documents/?uuid=8e0f67a0-03d6-4686-808e-e047e06921be"]},{"id":"ITEM-4","itemData":{"DOI":"10.1080/10691898.2017.1321974","ISSN":"10691898","author":[{"dropping-particle":"","family":"Whitaker","given":"Douglas","non-dropping-particle":"","parse-names":false,"suffix":""},{"dropping-particle":"","family":"Jacobbe","given":"Tim","non-dropping-particle":"","parse-names":false,"suffix":""}],"container-title":"Journal of Statistics Education","id":"ITEM-4","issue":"2","issued":{"date-parts":[["2017"]]},"page":"90-102","publisher":"Taylor &amp; Francis","title":"Students’ understanding of bar graphs and histograms: Results from the LOCUS assessments","type":"article-journal","volume":"25"},"uris":["http://www.mendeley.com/documents/?uuid=b40b29ff-2afb-4d54-ad93-e704f1a720fc"]},{"id":"ITEM-5","itemData":{"DOI":"10.1080/00031305.2015.1123651","ISSN":"15372731","abstract":"This article discusses how to make statistical graphics a more prominent element of the undergraduate statistics curricula. The focus is on several different types of assignments that exemplify how to incorporate graphics into a course in a pedagogically meaningful way. These assignments include having students deconstruct and reconstruct plots, copy masterful graphs, create one-minute visual revelations, convert tables into `pictures', and develop interactive visualizations with, e.g., the virtual earth as a plotting canvas. In addition to describing the goals and details of each assignment, we also discuss the broader topic of graphics and key concepts that we think warrant inclusion in the statistics curricula. We advocate that more attention needs to be paid to this fundamental field of statistics at all levels, from introductory undergraduate through graduate level courses. With the rapid rise of tools to visualize data, e.g., Google trends, GapMinder, ManyEyes, and Tableau, and the increased use of graphics in the media, understanding the principles of good statistical graphics, and having the ability to create informative visualizations is an ever more important aspect of statistics education.","author":[{"dropping-particle":"","family":"Nolan","given":"Deborah","non-dropping-particle":"","parse-names":false,"suffix":""},{"dropping-particle":"","family":"Perrett","given":"Jamis","non-dropping-particle":"","parse-names":false,"suffix":""}],"container-title":"American Statistician","id":"ITEM-5","issue":"3","issued":{"date-parts":[["2016"]]},"page":"260-269","title":"Teaching and Learning Data Visualization: Ideas and Assignments","type":"article-journal","volume":"70"},"uris":["http://www.mendeley.com/documents/?uuid=34af63c1-4f0a-4b45-be90-ae0505b7e8e0"]},{"id":"ITEM-6","itemData":{"author":[{"dropping-particle":"","family":"Monteiro","given":"Carlos","non-dropping-particle":"","parse-names":false,"suffix":""},{"dropping-particle":"","family":"Ainley","given":"Janet","non-dropping-particle":"","parse-names":false,"suffix":""}],"container-title":"Proceedings of British Society for Research into Learning Mathematics","id":"ITEM-6","issue":"3","issued":{"date-parts":[["2003"]]},"page":"31-36","title":"Interpretation of Graphs : Reading Through the Data","type":"article-journal","volume":"23"},"uris":["http://www.mendeley.com/documents/?uuid=cb801db6-fec6-4ea8-81e8-b17c43284cff"]},{"id":"ITEM-7","itemData":{"DOI":"10.12802/relime.13.1911","ISSN":"16652436","abstract":"Resumen: En este trabajo analizamos los gráficos producidos por 207 futuros profesores, de educación primaria, al resolver una tarea abierta en la cual tuvieron que comparar tres pares de distribuciones. Los gráficos fueron clasificados teniendo en cuenta si son o no correctos y, en caso de ser incorrectos, en función de los errores cometidos. El análisis permitió explicar algunos de los errores en términos de conflictos semióticos. Los resultados muestran que estos conflictos están relacionados con los convenios de construcción, la selección de gráficos, el sentido numérico y errores conceptuales. También se analiza la influencia del uso de ordenadores sobre los errores producidos.","author":[{"dropping-particle":"","family":"Arteaga","given":"Pedro","non-dropping-particle":"","parse-names":false,"suffix":""},{"dropping-particle":"","family":"Batanero","given":"Carmen","non-dropping-particle":"","parse-names":false,"suffix":""},{"dropping-particle":"","family":"Contreras","given":"José Miguel","non-dropping-particle":"","parse-names":false,"suffix":""},{"dropping-particle":"","family":"Cañadas","given":"Gustavo","non-dropping-particle":"","parse-names":false,"suffix":""}],"container-title":"Revista Latinoamericana de Investigación en Matemática Educativa","id":"ITEM-7","issue":"1","issued":{"date-parts":[["2016"]]},"page":"15-40","title":"Evaluación de errores en la construcción de gráficos estadísticos elementales por futuros profesores","type":"article-journal","volume":"19"},"uris":["http://www.mendeley.com/documents/?uuid=90e63ab7-c0e6-382e-ac17-662bb79407fc"]},{"id":"ITEM-8","itemData":{"author":[{"dropping-particle":"","family":"Espinel","given":"María Candelaria","non-dropping-particle":"","parse-names":false,"suffix":""}],"container-title":"Investigación en educación matemática","editor":[{"dropping-particle":"","family":"Camacho","given":"M","non-dropping-particle":"","parse-names":false,"suffix":""},{"dropping-particle":"","family":"Flores","given":"P","non-dropping-particle":"","parse-names":false,"suffix":""},{"dropping-particle":"","family":"Bolea","given":"M P","non-drop</w:instrText>
      </w:r>
      <w:r w:rsidR="00B853C9" w:rsidRPr="00B21F63">
        <w:rPr>
          <w:color w:val="000000" w:themeColor="text1"/>
          <w:lang w:val="es-ES"/>
        </w:rPr>
        <w:instrText>ping-particle":"","parse-names":false,"suffix":""}],"id":"ITEM-8","issued":{"date-parts":[["2007"]]},"page":"99-120","publisher":"Sociedad Española de Investigación en Educación Matemática, SEIEM.","publisher-place":"San Cristoba de la Laguna","title":"Construcción y razonamiento de gráficos estadísticos en la formación de profesores","type":"chapter"},"uris":["http://www.mendeley.com/documents/?uuid=d5edec57-3e88-3603-82b9-95ba27a3a4c1"]}],"mendeley":{"formattedCitation":"(Arteaga, Batanero, Contreras, &amp; Cañadas, 2016; Carrión &amp; Espinel, 2006; Delmas, Garfield, &amp; Ooms, 2005; Espinel, 2007; Monteiro &amp; Ainley, 2003; Nolan &amp; Perrett, 2016; Whitaker &amp; Jacobbe, 2017; Wu, 2004)","manualFormatting":"(Arteaga, Batanero, Contreras, &amp; Cañadas, 2016; Carrión &amp; Espinel, 2006; delMas, Garfield, &amp; Ooms, 2005; Espinel, 2007; Monteiro &amp; Ainley, 2003; Nolan &amp; Perrett, 2016; Whitaker &amp; Jacobbe, 2017; Wu, 2004)","plainTextFormattedCitation":"(Arteaga, Batanero, Contreras, &amp; Cañadas, 2016; Carrión &amp; Espinel, 2006; Delmas, Garfield, &amp; Ooms, 2005; Espinel, 2007; Monteiro &amp; Ainley, 2003; Nolan &amp; Perrett, 2016; Whitaker &amp; Jacobbe, 2017; Wu, 2004)","previouslyFormattedCitation":"(Arteaga, Batanero, Contreras, &amp; Cañadas, 2016; Carrión &amp; Espinel, 2006; Delmas, Garfield, &amp; Ooms, 2005; Espinel, 2007; Monteiro &amp; Ainley, 2003; Nolan &amp; Perrett, 2016; Whitaker &amp; Jacobbe, 2017; Wu, 2004)"},"properties":{"noteIndex":0},"schema":"https://github.com/citation-style-language/schema/raw/master/csl-citation.json"}</w:instrText>
      </w:r>
      <w:r w:rsidR="00931CD0" w:rsidRPr="00B21F63">
        <w:rPr>
          <w:color w:val="000000" w:themeColor="text1"/>
        </w:rPr>
        <w:fldChar w:fldCharType="separate"/>
      </w:r>
      <w:r w:rsidR="00D65E37" w:rsidRPr="00B21F63">
        <w:rPr>
          <w:noProof/>
          <w:color w:val="000000" w:themeColor="text1"/>
          <w:lang w:val="es-ES"/>
        </w:rPr>
        <w:t xml:space="preserve">(Arteaga, Batanero, Contreras, &amp; Cañadas, 2016; Carrión &amp; Espinel, 2006; </w:t>
      </w:r>
      <w:r w:rsidR="00882103" w:rsidRPr="00B21F63">
        <w:rPr>
          <w:noProof/>
          <w:color w:val="000000" w:themeColor="text1"/>
          <w:lang w:val="es-ES"/>
        </w:rPr>
        <w:t>d</w:t>
      </w:r>
      <w:r w:rsidR="00D65E37" w:rsidRPr="00B21F63">
        <w:rPr>
          <w:noProof/>
          <w:color w:val="000000" w:themeColor="text1"/>
          <w:lang w:val="es-ES"/>
        </w:rPr>
        <w:t>el</w:t>
      </w:r>
      <w:r w:rsidR="00882103" w:rsidRPr="00B21F63">
        <w:rPr>
          <w:noProof/>
          <w:color w:val="000000" w:themeColor="text1"/>
          <w:lang w:val="es-ES"/>
        </w:rPr>
        <w:t>M</w:t>
      </w:r>
      <w:r w:rsidR="00D65E37" w:rsidRPr="00B21F63">
        <w:rPr>
          <w:noProof/>
          <w:color w:val="000000" w:themeColor="text1"/>
          <w:lang w:val="es-ES"/>
        </w:rPr>
        <w:t>as, Garfield, &amp; Ooms, 2005; Espinel, 2007; Monteiro &amp; Ainley, 2003; Nolan &amp; Perrett, 2016; Whitaker &amp; Jacobbe, 2017; Wu, 2004)</w:t>
      </w:r>
      <w:r w:rsidR="00931CD0" w:rsidRPr="00B21F63">
        <w:rPr>
          <w:color w:val="000000" w:themeColor="text1"/>
        </w:rPr>
        <w:fldChar w:fldCharType="end"/>
      </w:r>
      <w:r w:rsidRPr="00B21F63">
        <w:rPr>
          <w:rFonts w:eastAsia="BatangChe"/>
          <w:color w:val="000000" w:themeColor="text1"/>
          <w:lang w:val="es-ES" w:eastAsia="ko-KR"/>
        </w:rPr>
        <w:t xml:space="preserve">. </w:t>
      </w:r>
      <w:r w:rsidRPr="00B21F63">
        <w:rPr>
          <w:rFonts w:eastAsia="BatangChe"/>
          <w:color w:val="000000" w:themeColor="text1"/>
          <w:lang w:eastAsia="ko-KR"/>
        </w:rPr>
        <w:t>A large-scale study by</w:t>
      </w:r>
      <w:r w:rsidR="006F5376">
        <w:rPr>
          <w:rFonts w:eastAsia="BatangChe"/>
          <w:color w:val="000000" w:themeColor="text1"/>
          <w:lang w:eastAsia="ko-KR"/>
        </w:rPr>
        <w:t xml:space="preserve"> </w:t>
      </w:r>
      <w:r w:rsidR="00B853C9" w:rsidRPr="00B21F63">
        <w:rPr>
          <w:rFonts w:eastAsia="BatangChe"/>
          <w:color w:val="000000" w:themeColor="text1"/>
          <w:lang w:eastAsia="ko-KR"/>
        </w:rPr>
        <w:fldChar w:fldCharType="begin" w:fldLock="1"/>
      </w:r>
      <w:r w:rsidR="00B853C9" w:rsidRPr="00B21F63">
        <w:rPr>
          <w:rFonts w:eastAsia="BatangChe"/>
          <w:color w:val="000000" w:themeColor="text1"/>
          <w:lang w:eastAsia="ko-KR"/>
        </w:rPr>
        <w:instrText>ADDIN CSL_CITATION {"citationItems":[{"id":"ITEM-1","itemData":{"abstract":"This paper describes the analysis of assessment items used in a large scale class testing of high school and college students to learn how students reason about graphical representations of distribution. We focus on the use of items that reveal some consistent errors and misconceptions students exhibit when presented with graphical representations of data. We find that perhaps because of students' early exposure to bar graphs and time plots, they tend to confuse bar graphs and time plots with histograms. In addition, students have difficulty correctly reading information from histograms and identifying what the horizontal and vertical scales represent. We offer some reasons for why it is important for students to be able to correctly read and interpret histograms, and offer suggestions for how to help develop this type of reasoning.","author":[{"dropping-particle":"","family":"Delmas","given":"Robert","non-dropping-particle":"","parse-names":false,"suffix":""},{"dropping-particle":"","family":"Garfield","given":"Joan","non-dropping-particle":"","parse-names":false,"suffix":""},{"dropping-particle":"","family":"Ooms","given":"Ann","non-dropping-particle":"","parse-names":false,"suffix":""}],"container-title":"Proceedings of the Fourth International Research Forum on Statistical Reasoning, Literacy, and Reasoning","id":"ITEM-1","issued":{"date-parts":[["2005"]]},"page":"17","publisher":"K. Makar","publisher-place":"Auckland, New Zealand","title":"Using assessment items to study students’ difficulty reading and interpreting graphical representations of distributions","type":"paper-conference"},"uris":["http://www.mendeley.com/documents/?uuid=3c00b70e-a008-3058-83fa-e71f07fd1faa"]}],"mendeley":{"formattedCitation":"(Delmas et al., 2005)","manualFormatting":"(delMas et al., 2005)","plainTextFormattedCitation":"(Delmas et al., 2005)","previouslyFormattedCitation":"(Delmas et al., 2005)"},"properties":{"noteIndex":0},"schema":"https://github.com/citation-style-language/schema/raw/master/csl-citation.json"}</w:instrText>
      </w:r>
      <w:r w:rsidR="00B853C9" w:rsidRPr="00B21F63">
        <w:rPr>
          <w:rFonts w:eastAsia="BatangChe"/>
          <w:color w:val="000000" w:themeColor="text1"/>
          <w:lang w:eastAsia="ko-KR"/>
        </w:rPr>
        <w:fldChar w:fldCharType="separate"/>
      </w:r>
      <w:r w:rsidR="00B853C9" w:rsidRPr="00B21F63">
        <w:rPr>
          <w:rFonts w:eastAsia="BatangChe"/>
          <w:noProof/>
          <w:color w:val="000000" w:themeColor="text1"/>
          <w:lang w:eastAsia="ko-KR"/>
        </w:rPr>
        <w:t>(delMas et al., 2005)</w:t>
      </w:r>
      <w:r w:rsidR="00B853C9" w:rsidRPr="00B21F63">
        <w:rPr>
          <w:rFonts w:eastAsia="BatangChe"/>
          <w:color w:val="000000" w:themeColor="text1"/>
          <w:lang w:eastAsia="ko-KR"/>
        </w:rPr>
        <w:fldChar w:fldCharType="end"/>
      </w:r>
      <w:r w:rsidR="00882103" w:rsidRPr="00B21F63">
        <w:rPr>
          <w:rFonts w:eastAsia="BatangChe"/>
          <w:color w:val="000000" w:themeColor="text1"/>
          <w:lang w:eastAsia="ko-KR"/>
        </w:rPr>
        <w:t xml:space="preserve">  </w:t>
      </w:r>
      <w:r w:rsidRPr="00B21F63">
        <w:rPr>
          <w:rFonts w:eastAsia="BatangChe"/>
          <w:color w:val="000000" w:themeColor="text1"/>
          <w:lang w:eastAsia="ko-KR"/>
        </w:rPr>
        <w:t>found that high school and college students confuse bar graphs and time plots with histograms, incorrectly use the differences in bar heights in histograms as an indicator of variation, and sometimes incorrectly interpret the horizontal measurement scale as a time scale. Other studies</w:t>
      </w:r>
      <w:r w:rsidR="006C2EEE" w:rsidRPr="00B21F63">
        <w:rPr>
          <w:rFonts w:eastAsia="BatangChe"/>
          <w:color w:val="000000" w:themeColor="text1"/>
          <w:lang w:eastAsia="ko-KR"/>
        </w:rPr>
        <w:t xml:space="preserve"> </w:t>
      </w:r>
      <w:r w:rsidR="006C2EEE" w:rsidRPr="00B21F63">
        <w:rPr>
          <w:rFonts w:eastAsia="BatangChe"/>
          <w:color w:val="000000" w:themeColor="text1"/>
          <w:lang w:eastAsia="ko-KR"/>
        </w:rPr>
        <w:fldChar w:fldCharType="begin" w:fldLock="1"/>
      </w:r>
      <w:r w:rsidR="00BF703E" w:rsidRPr="00B21F63">
        <w:rPr>
          <w:rFonts w:eastAsia="BatangChe"/>
          <w:color w:val="000000" w:themeColor="text1"/>
          <w:lang w:eastAsia="ko-KR"/>
        </w:rPr>
        <w:instrText>ADDIN CSL_CITATION {"citationItems":[{"id":"ITEM-1","itemData":{"author":[{"dropping-particle":"","family":"Bakker","given":"A.","non-dropping-particle":"","parse-names":false,"suffix":""},{"dropping-particle":"","family":"Gravemeijer","given":"K","non-dropping-particle":"","parse-names":false,"suffix":""}],"container-title":"The challenge of developing statistical reasoning, literacy, and thinking","editor":[{"dropping-particle":"","family":"Ben-Zvi","given":"D.","non-dropping-particle":"","parse-names":false,"suffix":""},{"dropping-particle":"","family":"Garfield","given":"J. B.","non-dropping-particle":"","parse-names":false,"suffix":""}],"id":"ITEM-1","issued":{"date-parts":[["2004"]]},"page":"147-168","publisher":"Kluwer Academic Publisher","publisher-place":"Dordrecht, Netherlands","title":"Learning to reason about distribution","type":"chapter"},"uris":["http://www.mendeley.com/documents/?uuid=1ceb57b0-15b4-499c-9351-d8cfa1cfdbf6"]},{"id":"ITEM-2","itemData":{"author":[{"dropping-particle":"","family":"Hammerman","given":"J. K.","non-dropping-particle":"","parse-names":false,"suffix":""},{"dropping-particle":"","family":"Rubin","given":"A.","non-dropping-particle":"","parse-names":false,"suffix":""}],"container-title":"Statistics Education Research Journal","id":"ITEM-2","issue":"2","issued":{"date-parts":[["2004"]]},"page":"17-41","title":"Strategies for managing statistical complexity with new software tools","type":"article-journal","volume":"3"},"uris":["http://www.mendeley.com/documents/?uuid=949a2331-7a54-421a-8110-262d5b42110b"]},{"id":"ITEM-3","itemData":{"author":[{"dropping-particle":"","family":"Konold","given":"C.","non-dropping-particle":"","parse-names":false,"suffix":""}],"container-title":"A research companion to principles and standards for school mathematics","editor":[{"dropping-particle":"","family":"Kilpatrick","given":"J.","non-dropping-particle":"","parse-names":false,"suffix":""},{"dropping-particle":"","family":"Martin","given":"W. G.","non-dropping-particle":"","parse-names":false,"suffix":""},{"dropping-particle":"","family":"Schifter","given":"D.","non-dropping-particle":"","parse-names":false,"suffix":""}],"id":"ITEM-3","issued":{"date-parts":[["2003"]]},"page":"193-215","publisher":"National Council of Teachers of Mathematics","publisher-place":"Reston, VA","title":"Reasoning about data","type":"chapter"},"uris":["http://www.mendeley.com/documents/?uuid=a89de4e7-bb43-4f3a-90d1-c88a2381dc92"]},{"id":"ITEM-4","itemData":{"author":[{"dropping-particle":"","family":"McClain","given":"K.","non-dropping-particle":"","parse-names":false,"suffix":""},{"dropping-particle":"","family":"Cobb","given":"P.","non-dropping-particle":"","parse-names":false,"suffix":""},{"dropping-particle":"","family":"Gravemeijer","given":"K.","non-dropping-particle":"","parse-names":false,"suffix":""}],"container-title":"Learning mathematics for a new century, 2000 yearbook","editor":[{"dropping-particle":"","family":"Burke","given":"M.","non-dropping-particle":"","parse-names":false,"suffix":""},{"dropping-particle":"","family":"Curcio","given":"F.","non-dropping-particle":"","parse-names":false,"suffix":""}],"id":"ITEM-4","issued":{"date-parts":[["2000"]]},"publisher":"National Council of Teachers of Mathematics","publisher-place":"Reston, VA","title":"Supporting students' ways of reasoning about data","type":"chapter"},"uris":["http://www.mendeley.com/documents/?uuid=08fef460-9cd8-42a7-891e-eee353de3e32"]},{"id":"ITEM-5","itemData":{"author":[{"dropping-particle":"","family":"Leavy","given":"A. M.","non-dropping-particle":"","parse-names":false,"suffix":""}],"container-title":"Statistics Education Research Journal","id":"ITEM-5","issue":"2","issued":{"date-parts":[["2006"]]},"page":"89-114","title":"Using data comparison to support a focus on distribution: Examining preservice teachers’ understandings of distribution when engaged in statistical inquiry","type":"article-journal","volume":"5"},"uris":["http://www.mendeley.com/documents/?uuid=946d0b45-cd29-48a8-bee3-493d47a0de89"]},{"id":"ITEM-6","itemData":{"author":[{"dropping-particle":"","family":"Makar","given":"K.","non-dropping-particle":"","parse-names":false,"suffix":""},{"dropping-particle":"","family":"Confrey","given":"J.","non-dropping-particle":"","parse-names":false,"suffix":""}],"container-title":"Statistics Education Research Journal","id":"ITEM-6","issue":"1","issued":{"date-parts":[["2005"]]},"page":"27-54","title":"“Variation-Talk”: Articulating meaning in statistics","type":"article-journal","volume":"4"},"uris":["http://www.mendeley.com/documents/?uuid=5163598f-042b-47a0-9c01-c364ece58d08"]},{"id":"ITEM-7","itemData":{"author":[{"dropping-particle":"","family":"Ben-Zvi","given":"D.","non-dropping-particle":"","parse-names":false,"suffix":""}],"container-title":"The challenge of developing statistical reasoning, literacy and thinking","editor":[{"dropping-particle":"","family":"Ben-Zvi","given":"D","non-dropping-particle":"","parse-names":false,"suffix":""},{"dropping-particle":"","family":"Garfield","given":"J. B.","non-dropping-particle":"","parse-names":false,"suffix":""}],"id":"ITEM-7","issued":{"date-parts":[["2004"]]},"page":"121-146","publisher":"Kluwer Academic Publisher","publisher-place":"Dordrecht, Netherlands","title":"Reasoning about data analysis","type":"chapter"},"uris":["http://www.mendeley.com/documents/?uuid=aabb6a7a-914c-4625-9f76-8118f7fcf9d7"]}],"mendeley":{"formattedCitation":"(Bakker &amp; Gravemeijer, 2004; Ben-Zvi, 2004; Hammerman &amp; Rubin, 2004; Konold, 2003; Leavy, 2006; Makar &amp; Confrey, 2005; McClain, Cobb, &amp; Gravemeijer, 2000)","manualFormatting":"(e.g., Bakker &amp; Gravemeijer, 2004; Ben-Zvi, 2004; Hammerman &amp; Rubin, 2004; Konold, 2003; Leavy, 2006; Makar &amp; Confrey, 2005; McClain, Cobb, &amp; Gravemeijer, 2000)","plainTextFormattedCitation":"(Bakker &amp; Gravemeijer, 2004; Ben-Zvi, 2004; Hammerman &amp; Rubin, 2004; Konold, 2003; Leavy, 2006; Makar &amp; Confrey, 2005; McClain, Cobb, &amp; Gravemeijer, 2000)","previouslyFormattedCitation":"(Bakker &amp; Gravemeijer, 2004; Ben-Zvi, 2004; Hammerman &amp; Rubin, 2004; Konold, 2003; Leavy, 2006; Makar &amp; Confrey, 2005; McClain, Cobb, &amp; Gravemeijer, 2000)"},"properties":{"noteIndex":0},"schema":"https://github.com/citation-style-language/schema/raw/master/csl-citation.json"}</w:instrText>
      </w:r>
      <w:r w:rsidR="006C2EEE" w:rsidRPr="00B21F63">
        <w:rPr>
          <w:rFonts w:eastAsia="BatangChe"/>
          <w:color w:val="000000" w:themeColor="text1"/>
          <w:lang w:eastAsia="ko-KR"/>
        </w:rPr>
        <w:fldChar w:fldCharType="separate"/>
      </w:r>
      <w:r w:rsidR="006C2EEE" w:rsidRPr="00B21F63">
        <w:rPr>
          <w:rFonts w:eastAsia="BatangChe"/>
          <w:noProof/>
          <w:color w:val="000000" w:themeColor="text1"/>
          <w:lang w:eastAsia="ko-KR"/>
        </w:rPr>
        <w:t>(e.g., Bakker &amp; Gravemeijer, 2004; Ben-Zvi, 2004; Hammerman &amp; Rubin, 2004; Konold, 2003; Leavy, 2006; Makar &amp; Confrey, 2005; McClain, Cobb, &amp; Gravemeijer, 2000)</w:t>
      </w:r>
      <w:r w:rsidR="006C2EEE" w:rsidRPr="00B21F63">
        <w:rPr>
          <w:rFonts w:eastAsia="BatangChe"/>
          <w:color w:val="000000" w:themeColor="text1"/>
          <w:lang w:eastAsia="ko-KR"/>
        </w:rPr>
        <w:fldChar w:fldCharType="end"/>
      </w:r>
      <w:r w:rsidR="006C2EEE" w:rsidRPr="00B21F63">
        <w:rPr>
          <w:rFonts w:eastAsia="BatangChe"/>
          <w:color w:val="000000" w:themeColor="text1"/>
          <w:lang w:eastAsia="ko-KR"/>
        </w:rPr>
        <w:t xml:space="preserve"> </w:t>
      </w:r>
      <w:r w:rsidRPr="00B21F63">
        <w:rPr>
          <w:rFonts w:eastAsia="BatangChe"/>
          <w:color w:val="000000" w:themeColor="text1"/>
          <w:lang w:eastAsia="ko-KR"/>
        </w:rPr>
        <w:t xml:space="preserve">have documented student difficulties with learning to reason about graphical representations of distributions: they focus on particular values such as high and low ones or outliers rather than view a distribution as an aggregate; they have difficulty coordinating ideas of center, spread, density and skewness; they tend to compare slices of data or points, rather than comparing entire entities, taking into consideration overall center and spread. </w:t>
      </w:r>
    </w:p>
    <w:p w14:paraId="3FE670CD" w14:textId="77777777" w:rsidR="005F28E5" w:rsidRPr="00B21F63" w:rsidRDefault="0035127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lastRenderedPageBreak/>
        <w:fldChar w:fldCharType="begin" w:fldLock="1"/>
      </w:r>
      <w:r w:rsidR="006C2EEE" w:rsidRPr="00B21F63">
        <w:rPr>
          <w:rFonts w:eastAsia="BatangChe"/>
          <w:color w:val="000000" w:themeColor="text1"/>
          <w:lang w:eastAsia="ko-KR"/>
        </w:rPr>
        <w:instrText>ADDIN CSL_CITATION {"citationItems":[{"id":"ITEM-1","itemData":{"DOI":"10.1080/10691898.2008.11889559","ISSN":"1069-1898","author":[{"dropping-particle":"","family":"Cooper","given":"Linda L.","non-dropping-particle":"","parse-names":false,"suffix":""},{"dropping-particle":"","family":"Shore","given":"Felice S.","non-dropping-particle":"","parse-names":false,"suffix":""}],"container-title":"Journal of Statistics Education","id":"ITEM-1","issue":"2","issued":{"date-parts":[["2008","7","29"]]},"title":"Students' Misconceptions in Interpreting Center and Variability of Data Represented via Histograms and Stem-and-Leaf Plots","type":"article-journal","volume":"16"},"uris":["http://www.mendeley.com/documents/?uuid=db871e08-7664-40ee-b72d-53e6dfc74561"]}],"mendeley":{"formattedCitation":"(Cooper &amp; Shore, 2008)","manualFormatting":"Cooper and Shore (2008)","plainTextFormattedCitation":"(Cooper &amp; Shore, 2008)","previouslyFormattedCitation":"(Cooper &amp; Shore, 2008)"},"properties":{"noteIndex":0},"schema":"https://github.com/citation-style-language/schema/raw/master/csl-citation.json"}</w:instrText>
      </w:r>
      <w:r w:rsidRPr="00B21F63">
        <w:rPr>
          <w:rFonts w:eastAsia="BatangChe"/>
          <w:color w:val="000000" w:themeColor="text1"/>
          <w:lang w:eastAsia="ko-KR"/>
        </w:rPr>
        <w:fldChar w:fldCharType="separate"/>
      </w:r>
      <w:r w:rsidRPr="00B21F63">
        <w:rPr>
          <w:rFonts w:eastAsia="BatangChe"/>
          <w:noProof/>
          <w:color w:val="000000" w:themeColor="text1"/>
          <w:lang w:eastAsia="ko-KR"/>
        </w:rPr>
        <w:t>Cooper and Shore (2008)</w:t>
      </w:r>
      <w:r w:rsidRPr="00B21F63">
        <w:rPr>
          <w:rFonts w:eastAsia="BatangChe"/>
          <w:color w:val="000000" w:themeColor="text1"/>
          <w:lang w:eastAsia="ko-KR"/>
        </w:rPr>
        <w:fldChar w:fldCharType="end"/>
      </w:r>
      <w:r w:rsidRPr="00B21F63">
        <w:rPr>
          <w:rFonts w:eastAsia="BatangChe"/>
          <w:color w:val="000000" w:themeColor="text1"/>
          <w:lang w:eastAsia="ko-KR"/>
        </w:rPr>
        <w:t xml:space="preserve"> </w:t>
      </w:r>
      <w:r w:rsidR="005F28E5" w:rsidRPr="00B21F63">
        <w:rPr>
          <w:rFonts w:eastAsia="BatangChe"/>
          <w:color w:val="000000" w:themeColor="text1"/>
          <w:lang w:eastAsia="ko-KR"/>
        </w:rPr>
        <w:t>found that students demonstrated several misunderstandings when judging center and variability of a distribution represented in a graph. Interviews with college students indicated that many incorrectly associated greater variability in the heights of bars in a histogram with greater variability in the distribution, or that only the range was used to compare the variability represented by two histograms. They report that some misunderstandings are related to students’ inability to consider the characteristics of the data represented in a graph,</w:t>
      </w:r>
      <w:r w:rsidR="003E6023" w:rsidRPr="00B21F63">
        <w:rPr>
          <w:rFonts w:eastAsia="BatangChe"/>
          <w:color w:val="000000" w:themeColor="text1"/>
          <w:lang w:eastAsia="ko-KR"/>
        </w:rPr>
        <w:t xml:space="preserve"> </w:t>
      </w:r>
      <w:r w:rsidR="005F28E5" w:rsidRPr="00B21F63">
        <w:rPr>
          <w:rFonts w:eastAsia="BatangChe"/>
          <w:color w:val="000000" w:themeColor="text1"/>
          <w:lang w:eastAsia="ko-KR"/>
        </w:rPr>
        <w:t>or related to how to compute measures of center such as the mean and median. For example, when estimating the median for a histogram, some students found the midpoint of the values represented on the x-axis. Students also demonstrated difficulty using the relative frequencies of values represented in a histogram when estimating variability, which was also found by</w:t>
      </w:r>
      <w:r w:rsidR="00877BF0" w:rsidRPr="00B21F63">
        <w:rPr>
          <w:rFonts w:eastAsia="BatangChe"/>
          <w:color w:val="000000" w:themeColor="text1"/>
          <w:lang w:eastAsia="ko-KR"/>
        </w:rPr>
        <w:t xml:space="preserve"> </w:t>
      </w:r>
      <w:r w:rsidR="00877BF0" w:rsidRPr="00B21F63">
        <w:rPr>
          <w:rFonts w:eastAsia="BatangChe"/>
          <w:color w:val="000000" w:themeColor="text1"/>
          <w:lang w:eastAsia="ko-KR"/>
        </w:rPr>
        <w:fldChar w:fldCharType="begin" w:fldLock="1"/>
      </w:r>
      <w:r w:rsidR="00443B55" w:rsidRPr="00B21F63">
        <w:rPr>
          <w:rFonts w:eastAsia="BatangChe"/>
          <w:color w:val="000000" w:themeColor="text1"/>
          <w:lang w:eastAsia="ko-KR"/>
        </w:rPr>
        <w:instrText>ADDIN CSL_CITATION {"citationItems":[{"id":"ITEM-1","itemData":{"abstract":"This paper describes the analysis of assessment items used in a large scale class testing of high school and college students to learn how students reason about graphical representations of distribution. We focus on the use of items that reveal some consistent errors and misconceptions students exhibit when presented with graphical representations of data. We find that perhaps because of students' early exposure to bar graphs and time plots, they tend to confuse bar graphs and time plots with histograms. In addition, students have difficulty correctly reading information from histograms and identifying what the horizontal and vertical scales represent. We offer some reasons for why it is important for students to be able to correctly read and interpret histograms, and offer suggestions for how to help develop this type of reasoning.","author":[{"dropping-particle":"","family":"Delmas","given":"Robert","non-dropping-particle":"","parse-names":false,"suffix":""},{"dropping-particle":"","family":"Garfield","given":"Joan","non-dropping-particle":"","parse-names":false,"suffix":""},{"dropping-particle":"","family":"Ooms","given":"Ann","non-dropping-particle":"","parse-names":false,"suffix":""}],"container-title":"Proceedings of the Fourth International Research Forum on Statistical Reasoning, Literacy, and Reasoning","id":"ITEM-1","issued":{"date-parts":[["2005"]]},"page":"17","publisher":"K. Makar","publisher-place":"Auckland, New Zealand","title":"Using assessment items to study students’ difficulty reading and interpreting graphical representations of distributions","type":"paper-conference"},"uris":["http://www.mendeley.com/documents/?uuid=3c00b70e-a008-3058-83fa-e71f07fd1faa"]}],"mendeley":{"formattedCitation":"(Delmas et al., 2005)","manualFormatting":"(delMas et al., 2005)","plainTextFormattedCitation":"(Delmas et al., 2005)"},"properties":{"noteIndex":0},"schema":"https://github.com/citation-style-language/schema/raw/master/csl-citation.json"}</w:instrText>
      </w:r>
      <w:r w:rsidR="00877BF0" w:rsidRPr="00B21F63">
        <w:rPr>
          <w:rFonts w:eastAsia="BatangChe"/>
          <w:color w:val="000000" w:themeColor="text1"/>
          <w:lang w:eastAsia="ko-KR"/>
        </w:rPr>
        <w:fldChar w:fldCharType="separate"/>
      </w:r>
      <w:r w:rsidR="00877BF0" w:rsidRPr="00B21F63">
        <w:rPr>
          <w:rFonts w:eastAsia="BatangChe"/>
          <w:noProof/>
          <w:color w:val="000000" w:themeColor="text1"/>
          <w:lang w:eastAsia="ko-KR"/>
        </w:rPr>
        <w:t>(delMas et al., 2005)</w:t>
      </w:r>
      <w:r w:rsidR="00877BF0" w:rsidRPr="00B21F63">
        <w:rPr>
          <w:rFonts w:eastAsia="BatangChe"/>
          <w:color w:val="000000" w:themeColor="text1"/>
          <w:lang w:eastAsia="ko-KR"/>
        </w:rPr>
        <w:fldChar w:fldCharType="end"/>
      </w:r>
      <w:r w:rsidR="005F28E5" w:rsidRPr="00B21F63">
        <w:rPr>
          <w:rFonts w:eastAsia="BatangChe"/>
          <w:color w:val="000000" w:themeColor="text1"/>
          <w:lang w:eastAsia="ko-KR"/>
        </w:rPr>
        <w:t>. In addition,</w:t>
      </w:r>
      <w:r w:rsidRPr="00B21F63">
        <w:rPr>
          <w:rFonts w:eastAsia="BatangChe"/>
          <w:color w:val="000000" w:themeColor="text1"/>
          <w:lang w:eastAsia="ko-KR"/>
        </w:rPr>
        <w:t xml:space="preserve"> </w:t>
      </w:r>
      <w:r w:rsidRPr="00B21F63">
        <w:rPr>
          <w:rFonts w:eastAsia="BatangChe"/>
          <w:color w:val="000000" w:themeColor="text1"/>
          <w:lang w:eastAsia="ko-KR"/>
        </w:rPr>
        <w:fldChar w:fldCharType="begin" w:fldLock="1"/>
      </w:r>
      <w:r w:rsidRPr="00B21F63">
        <w:rPr>
          <w:rFonts w:eastAsia="BatangChe"/>
          <w:color w:val="000000" w:themeColor="text1"/>
          <w:lang w:eastAsia="ko-KR"/>
        </w:rPr>
        <w:instrText>ADDIN CSL_CITATION {"citationItems":[{"id":"ITEM-1","itemData":{"DOI":"10.1080/10691898.2018.1473060","ISSN":"1069-1898","author":[{"dropping-particle":"","family":"Cooper","given":"Linda L.","non-dropping-particle":"","parse-names":false,"suffix":""}],"container-title":"Journal of Statistics Education","id":"ITEM-1","issue":"2","issued":{"date-parts":[["2018","5","4"]]},"page":"110-124","title":"Assessing Students' Understanding of Variability in Graphical Representations that Share the Common Attribute of Bars","type":"article-journal","volume":"26"},"uris":["http://www.mendeley.com/documents/?uuid=d725a3cb-07da-45ae-b5bc-6f569caa303a"]}],"mendeley":{"formattedCitation":"(Cooper, 2018)","manualFormatting":"Cooper (2018)","plainTextFormattedCitation":"(Cooper, 2018)","previouslyFormattedCitation":"(Cooper, 2018)"},"properties":{"noteIndex":0},"schema":"https://github.com/citation-style-language/schema/raw/master/csl-citation.json"}</w:instrText>
      </w:r>
      <w:r w:rsidRPr="00B21F63">
        <w:rPr>
          <w:rFonts w:eastAsia="BatangChe"/>
          <w:color w:val="000000" w:themeColor="text1"/>
          <w:lang w:eastAsia="ko-KR"/>
        </w:rPr>
        <w:fldChar w:fldCharType="separate"/>
      </w:r>
      <w:r w:rsidRPr="00B21F63">
        <w:rPr>
          <w:rFonts w:eastAsia="BatangChe"/>
          <w:noProof/>
          <w:color w:val="000000" w:themeColor="text1"/>
          <w:lang w:eastAsia="ko-KR"/>
        </w:rPr>
        <w:t>Cooper (2018)</w:t>
      </w:r>
      <w:r w:rsidRPr="00B21F63">
        <w:rPr>
          <w:rFonts w:eastAsia="BatangChe"/>
          <w:color w:val="000000" w:themeColor="text1"/>
          <w:lang w:eastAsia="ko-KR"/>
        </w:rPr>
        <w:fldChar w:fldCharType="end"/>
      </w:r>
      <w:r w:rsidR="005F28E5" w:rsidRPr="00B21F63">
        <w:rPr>
          <w:rFonts w:eastAsia="BatangChe"/>
          <w:color w:val="000000" w:themeColor="text1"/>
          <w:lang w:eastAsia="ko-KR"/>
        </w:rPr>
        <w:t xml:space="preserve"> found that college students have difficulty understanding the underlying structures of different types of graphs that use bars to represent frequency, often erroneously transferring correct conceptions of variability from one type of graph to another.</w:t>
      </w:r>
    </w:p>
    <w:p w14:paraId="068248E9" w14:textId="77777777" w:rsidR="005F28E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t xml:space="preserve">From the perspective of the authors of this study, few studies have been conducted in Mexico in this area. For example, </w:t>
      </w:r>
      <w:r w:rsidR="00C856F9" w:rsidRPr="00B21F63">
        <w:rPr>
          <w:color w:val="000000" w:themeColor="text1"/>
        </w:rPr>
        <w:fldChar w:fldCharType="begin" w:fldLock="1"/>
      </w:r>
      <w:r w:rsidR="00D65E37" w:rsidRPr="00B21F63">
        <w:rPr>
          <w:color w:val="000000" w:themeColor="text1"/>
        </w:rPr>
        <w:instrText>ADDIN CSL_CITATION {"citationItems":[{"id":"ITEM-1","itemData":{"author":[{"dropping-particle":"","family":"Dolores","given":"Crisólogo","non-dropping-particle":"","parse-names":false,"suffix":""},{"dropping-particle":"","family":"Cuevas","given":"Ithandehuil","non-dropping-particle":"","parse-names":false,"suffix":""}],"container-title":"Revista Latinoamericana de Investigación en Matemática Educativa","id":"ITEM-1","issue":"1","issued":{"date-parts":[["2007"]]},"page":"69-96","title":"Lectura e interpretación de gráficas","type":"article-journal","volume":"10"},"uris":["http://www.mendeley.com/documents/?uuid=8ebb6cdb-dab6-3c4d-a554-4228b7a55776"]}],"mendeley":{"formattedCitation":"(Dolores &amp; Cuevas, 2007)","plainTextFormattedCitation":"(Dolores &amp; Cuevas, 2007)","previouslyFormattedCitation":"(Dolores &amp; Cuevas, 2007)"},"properties":{"noteIndex":0},"schema":"https://github.com/citation-style-language/schema/raw/master/csl-citation.json"}</w:instrText>
      </w:r>
      <w:r w:rsidR="00C856F9" w:rsidRPr="00B21F63">
        <w:rPr>
          <w:color w:val="000000" w:themeColor="text1"/>
        </w:rPr>
        <w:fldChar w:fldCharType="separate"/>
      </w:r>
      <w:r w:rsidR="00D65E37" w:rsidRPr="00B21F63">
        <w:rPr>
          <w:noProof/>
          <w:color w:val="000000" w:themeColor="text1"/>
        </w:rPr>
        <w:t>(Dolores &amp; Cuevas, 2007)</w:t>
      </w:r>
      <w:r w:rsidR="00C856F9" w:rsidRPr="00B21F63">
        <w:rPr>
          <w:color w:val="000000" w:themeColor="text1"/>
        </w:rPr>
        <w:fldChar w:fldCharType="end"/>
      </w:r>
      <w:r w:rsidR="00C856F9" w:rsidRPr="00B21F63">
        <w:rPr>
          <w:color w:val="000000" w:themeColor="text1"/>
        </w:rPr>
        <w:t xml:space="preserve"> </w:t>
      </w:r>
      <w:r w:rsidRPr="00B21F63">
        <w:rPr>
          <w:rFonts w:eastAsia="BatangChe"/>
          <w:color w:val="000000" w:themeColor="text1"/>
          <w:lang w:eastAsia="ko-KR"/>
        </w:rPr>
        <w:t xml:space="preserve">carried out a study with students in their last year of primary and secondary school in order to understand their errors in reading and interpreting a graph. Similarly, </w:t>
      </w:r>
      <w:r w:rsidR="00C856F9" w:rsidRPr="00B21F63">
        <w:rPr>
          <w:color w:val="000000" w:themeColor="text1"/>
        </w:rPr>
        <w:fldChar w:fldCharType="begin" w:fldLock="1"/>
      </w:r>
      <w:r w:rsidR="00D65E37" w:rsidRPr="00B21F63">
        <w:rPr>
          <w:color w:val="000000" w:themeColor="text1"/>
        </w:rPr>
        <w:instrText>ADDIN CSL_CITATION {"citationItems":[{"id":"ITEM-1","itemData":{"author":[{"dropping-particle":"","family":"Eudave Muñoz","given":"Daniel","non-dropping-particle":"","parse-names":false,"suffix":""}],"container-title":"Educación matemática","id":"ITEM-1","issue":"2","issued":{"date-parts":[["2009"]]},"page":"5-37","title":"Niveles de comprensión de información y gráficas estadísticas en estudiantes de centros de educación básica para jóvenes y adultos de México","type":"article-journal","volume":"21"},"uris":["http://www.mendeley.com/documents/?uuid=5321bd89-5611-3d3f-9e0a-c4040a3d3458"]}],"mendeley":{"formattedCitation":"(Eudave Muñoz, 2009)","plainTextFormattedCitation":"(Eudave Muñoz, 2009)","previouslyFormattedCitation":"(Eudave Muñoz, 2009)"},"properties":{"noteIndex":0},"schema":"https://github.com/citation-style-language/schema/raw/master/csl-citation.json"}</w:instrText>
      </w:r>
      <w:r w:rsidR="00C856F9" w:rsidRPr="00B21F63">
        <w:rPr>
          <w:color w:val="000000" w:themeColor="text1"/>
        </w:rPr>
        <w:fldChar w:fldCharType="separate"/>
      </w:r>
      <w:r w:rsidR="00D65E37" w:rsidRPr="00B21F63">
        <w:rPr>
          <w:noProof/>
          <w:color w:val="000000" w:themeColor="text1"/>
        </w:rPr>
        <w:t>(Eudave Muñoz, 2009)</w:t>
      </w:r>
      <w:r w:rsidR="00C856F9" w:rsidRPr="00B21F63">
        <w:rPr>
          <w:color w:val="000000" w:themeColor="text1"/>
        </w:rPr>
        <w:fldChar w:fldCharType="end"/>
      </w:r>
      <w:r w:rsidR="00C856F9" w:rsidRPr="00B21F63">
        <w:rPr>
          <w:color w:val="000000" w:themeColor="text1"/>
        </w:rPr>
        <w:t xml:space="preserve"> </w:t>
      </w:r>
      <w:r w:rsidRPr="00B21F63">
        <w:rPr>
          <w:rFonts w:eastAsia="BatangChe"/>
          <w:color w:val="000000" w:themeColor="text1"/>
          <w:lang w:eastAsia="ko-KR"/>
        </w:rPr>
        <w:t xml:space="preserve">studied the levels of comprehension of frequency tables and line graphs in students and adults, aged between 15 and 64 years of age. </w:t>
      </w:r>
      <w:r w:rsidR="00C856F9" w:rsidRPr="00B21F63">
        <w:rPr>
          <w:color w:val="000000" w:themeColor="text1"/>
        </w:rPr>
        <w:fldChar w:fldCharType="begin" w:fldLock="1"/>
      </w:r>
      <w:r w:rsidR="00D65E37" w:rsidRPr="00B21F63">
        <w:rPr>
          <w:color w:val="000000" w:themeColor="text1"/>
        </w:rPr>
        <w:instrText>ADDIN CSL_CITATION {"citationItems":[{"id":"ITEM-1","itemData":{"ISSN":"1696-4713","abstract":"En este artículo se presentan el proceso y los resultados de una investigación que busca, por un lado, determinar el porcentaje de tiempo dedicado a la enseñanza de la Estadística dentro de la asignatura de Matemáticas en 3º y 6º curso de educación primaria en América Latina; y, por otro, describir cuándo y cuánto se enseñan diferentes contenidos de Estadística en esos cursos de Educación Primaria en la región. Para ello se realiza una explotación de los cuestionarios sobre la enseñanza de las Matemáticas desarrollados por la UNESCO para el SERCE. Los resultados apuntan, en primer lugar, a que aproximadamente el 16% del tiempo de enseñanza de las matemáticas se dedica a la Estadística, tanto en 3º como en 6º. Y, en segundo término, que los contenidos que más se estudian en estos cursos son los referidos a la elaboración e interpretación de tablas y gráficos, dejando para cursos posteriores nociones de probabilidad y la resolución de problemas usando estadística. Descriptores: Enseñanza de las Matemáticas, Estadística, América Latina. Educación primaria. This article presents the process and results of a study designed, on the one hand, to determine the percentage of time spent teaching Statistics in third and sixth grade primary school mathematics classes in Latin America; and, on the other hand, to describe when and how much statistics content is included in primary education grades in this region. Therefore, questionnaires regarding mathematics teaching conducted by UNESCO for the SERCE assessment were examined. Results suggest that approximately 16% of the total time spent teaching mathematics was devoted to Statistics, in both third and fourth grade. It was also found that the most frequently studied topics in these grades included the creation and interpretation of tables and graphs, while areas such as probability and statistical problem solving were not covered until later grades.","author":[{"dropping-particle":"","family":"Ruiz Lopez","given":"Natalia","non-dropping-particle":"","parse-names":false,"suffix":""}],"container-title":"REICE. Revista Iberoamericana sobre Calidad, Eficancia y cambio en Educación.","id":"ITEM-1","issue":"1","issued":{"date-parts":[["2015"]]},"page":"103-121","title":"La enseñanza de la Estadística en la Educación Primaria en América Latina REICE.","type":"article-journal","volume":"13"},"uris":["http://www.mendeley.com/documents/?uuid=241ae649-356f-3744-a00f-d40b8ebc4ba6"]}],"mendeley":{"formattedCitation":"(Ruiz Lopez, 2015)","plainTextFormattedCitation":"(Ruiz Lopez, 2015)","previouslyFormattedCitation":"(Ruiz Lopez, 2015)"},"properties":{"noteIndex":0},"schema":"https://github.com/citation-style-language/schema/raw/master/csl-citation.json"}</w:instrText>
      </w:r>
      <w:r w:rsidR="00C856F9" w:rsidRPr="00B21F63">
        <w:rPr>
          <w:color w:val="000000" w:themeColor="text1"/>
        </w:rPr>
        <w:fldChar w:fldCharType="separate"/>
      </w:r>
      <w:r w:rsidR="00D65E37" w:rsidRPr="00B21F63">
        <w:rPr>
          <w:noProof/>
          <w:color w:val="000000" w:themeColor="text1"/>
        </w:rPr>
        <w:t>(Ruiz Lopez, 2015)</w:t>
      </w:r>
      <w:r w:rsidR="00C856F9" w:rsidRPr="00B21F63">
        <w:rPr>
          <w:color w:val="000000" w:themeColor="text1"/>
        </w:rPr>
        <w:fldChar w:fldCharType="end"/>
      </w:r>
      <w:r w:rsidR="00C856F9" w:rsidRPr="00B21F63">
        <w:rPr>
          <w:color w:val="000000" w:themeColor="text1"/>
        </w:rPr>
        <w:t xml:space="preserve"> </w:t>
      </w:r>
      <w:r w:rsidRPr="00B21F63">
        <w:rPr>
          <w:rFonts w:eastAsia="BatangChe"/>
          <w:color w:val="000000" w:themeColor="text1"/>
          <w:lang w:eastAsia="ko-KR"/>
        </w:rPr>
        <w:t xml:space="preserve">analyzed methods used in third and sixth grade elementary school to teach students the production of bar charts and the interpretation of tables and graphs. Following this line of research, the present study seeks to identify the difficulties that students in the first year of their undergraduate degree in the Economic-Administrative sciences experience when reading and interpreting statistical graphs. </w:t>
      </w:r>
    </w:p>
    <w:p w14:paraId="4F33BD5A" w14:textId="77777777" w:rsidR="005F28E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t xml:space="preserve">In various countries since the 1980s, statistical education has been systematically promoted at all educational levels, from elementary to post-secondary level through programs, such as the Schools Council Project on Statistical Education in England, or the Quantitative Literacy, Data Driven Curriculum Strand for High School Mathematics and the National Council of Teachers of Mathematics projects in the United States. These projects have incorporated general proposals for statistical education </w:t>
      </w:r>
      <w:r w:rsidR="00C856F9" w:rsidRPr="00B21F63">
        <w:rPr>
          <w:rFonts w:eastAsia="Arial"/>
          <w:color w:val="000000" w:themeColor="text1"/>
        </w:rPr>
        <w:fldChar w:fldCharType="begin" w:fldLock="1"/>
      </w:r>
      <w:r w:rsidR="00C856F9" w:rsidRPr="00B21F63">
        <w:rPr>
          <w:rFonts w:eastAsia="Arial"/>
          <w:color w:val="000000" w:themeColor="text1"/>
        </w:rPr>
        <w:instrText>ADDIN CSL_CITATION {"citationItems":[{"id":"ITEM-1","itemData":{"ISSN":"1815-0640","abstract":"Resumen En este artículo se describe la importancia del desarrollo de competencias en estadística en los estudiantes, su relación con las evaluaciones nacionales e internacionales, el establecimiento de estándares y las adecuaciones a los currículos escolares en educación básica. Se analiza la pertinencia de conocer la base teórica y empírica en la cual se fundamentan los estándares. Paralelamente se hace una propuesta para conducir una investigación sistemática sobre los factores y procesos psicológicos que pueden determinar el desarrollo de determinadas competencias en estadística siguiendo la lógica del Modelo de las Interacciones Didácticas. Abstract In this article the importance of the development of statistical competences in students is described, their relation to national and international evaluations, the establishment of standards and the adjustments recently made to scholar curricula in basic education. The pertinence to know the theoretical and empirical fundamentals on which the standards are based is analyzed. In parallel, a proposal is made to conduct a systematic research on psychological factors and processes that may determine the development of statistical competences following the logic of the Model of the Didactic Interactions. Introducción Los resultados obtenidos por estudiantes mexicanos en diversas evaluaciones nacionales e internacionales como ENLACE y PISA respectivamente, muestran desempeños deficientes en la disciplina de matemáticas. De acuerdo con la clasificación utilizada en la prueba ENLACE aplicada en 2007, un 77% de los estudiantes en educación primaria-6 a 12 años de edad− tuvo un nivel de logro \"insuficiente a elemental\" y en educación secundaria-12 a 15 años − en el mismo nivel de logro se ubicó el 94.4% de los estudiantes evaluados, contrastando con el 0.5% que se posicionó en el nivel de logro \"excelente\" (INEE, 2007). Resultados similares se presentaron en la evaluación PISA de los años 2003 y 2006. En efecto, los puntajes obtenidos colocan a los estudiantes en el nivel 1 de 6 que comprende la escala global del nivel de desempeño en matemáticas (OCDE, 2003; OCDE, 2007). Como se puede observar, los resultados obtenidos por estudiantes mexicanos de educación primaria y secundaria evidencian un \"bajo rendimiento\" en términos de dominio de las matemáticas, tanto en evaluaciones nacionales como internacionales Sin embargo, los estudiantes de otras naciones tampoco muestran resultados","author":[{"dropping-particle":"","family":"Cuevas","given":"Jesús","non-dropping-particle":"","parse-names":false,"suffix":""},{"dropping-particle":"","family":"Ibañez","given":"Carlos","non-dropping-particle":"","parse-names":false,"suffix":""}],"container-title":"Revista Iberoamericana de Educación Matemática","id":"ITEM-1","issued":{"date-parts":[["2008"]]},"page":"33-45","title":"Estándares en educación estadística: Necesidad de conocer la base teórica y empírica que los sustentan","type":"article-journal","volume":"15"},"uris":["http://www.mendeley.com/documents/?uuid=9a03cfe3-0b80-3f74-a0fa-e8b0a7f5fa0d"]}],"mendeley":{"formattedCitation":"(Cuevas &amp; Ibañez, 2008)","plainTextFormattedCitation":"(Cuevas &amp; Ibañez, 2008)","previouslyFormattedCitation":"(Cuevas &amp; Ibañez, 2008)"},"properties":{"noteIndex":0},"schema":"https://github.com/citation-style-language/schema/raw/master/csl-citation.json"}</w:instrText>
      </w:r>
      <w:r w:rsidR="00C856F9" w:rsidRPr="00B21F63">
        <w:rPr>
          <w:rFonts w:eastAsia="Arial"/>
          <w:color w:val="000000" w:themeColor="text1"/>
        </w:rPr>
        <w:fldChar w:fldCharType="separate"/>
      </w:r>
      <w:r w:rsidR="00C856F9" w:rsidRPr="00B21F63">
        <w:rPr>
          <w:rFonts w:eastAsia="Arial"/>
          <w:noProof/>
          <w:color w:val="000000" w:themeColor="text1"/>
        </w:rPr>
        <w:t>(Cuevas &amp; Ibañez, 2008)</w:t>
      </w:r>
      <w:r w:rsidR="00C856F9" w:rsidRPr="00B21F63">
        <w:rPr>
          <w:rFonts w:eastAsia="Arial"/>
          <w:color w:val="000000" w:themeColor="text1"/>
        </w:rPr>
        <w:fldChar w:fldCharType="end"/>
      </w:r>
      <w:r w:rsidR="00C856F9" w:rsidRPr="00B21F63">
        <w:rPr>
          <w:rFonts w:eastAsia="Arial"/>
          <w:color w:val="000000" w:themeColor="text1"/>
        </w:rPr>
        <w:t>.</w:t>
      </w:r>
    </w:p>
    <w:p w14:paraId="0EF41411" w14:textId="77777777" w:rsidR="005F28E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lastRenderedPageBreak/>
        <w:t xml:space="preserve">Recently, the International Statistical Literacy Project, an ongoing global endeavor, was established with the fundamental objective of generating educational proposals and cutting edge research in the area of statistics </w:t>
      </w:r>
      <w:r w:rsidR="00C856F9" w:rsidRPr="00B21F63">
        <w:rPr>
          <w:rFonts w:eastAsia="Arial"/>
          <w:color w:val="000000" w:themeColor="text1"/>
        </w:rPr>
        <w:fldChar w:fldCharType="begin" w:fldLock="1"/>
      </w:r>
      <w:r w:rsidR="00C856F9" w:rsidRPr="00B21F63">
        <w:rPr>
          <w:rFonts w:eastAsia="Arial"/>
          <w:color w:val="000000" w:themeColor="text1"/>
        </w:rPr>
        <w:instrText>ADDIN CSL_CITATION {"citationItems":[{"id":"ITEM-1","itemData":{"URL":"http://www.stat.fi/org/tilastokeskus/flyer.pdf","accessed":{"date-parts":[["2019","2","5"]]},"author":[{"dropping-particle":"","family":"Sánchez","given":"Juana","non-dropping-particle":"","parse-names":false,"suffix":""}],"id":"ITEM-1","issued":{"date-parts":[["2010"]]},"title":"International statistical literacy project","type":"webpage"},"uris":["http://www.mendeley.com/documents/?uuid=0f46d00b-6dde-391c-8505-7964f9edf4c8"]}],"mendeley":{"formattedCitation":"(Sánchez, 2010)","plainTextFormattedCitation":"(Sánchez, 2010)","previouslyFormattedCitation":"(Sánchez, 2010)"},"properties":{"noteIndex":0},"schema":"https://github.com/citation-style-language/schema/raw/master/csl-citation.json"}</w:instrText>
      </w:r>
      <w:r w:rsidR="00C856F9" w:rsidRPr="00B21F63">
        <w:rPr>
          <w:rFonts w:eastAsia="Arial"/>
          <w:color w:val="000000" w:themeColor="text1"/>
        </w:rPr>
        <w:fldChar w:fldCharType="separate"/>
      </w:r>
      <w:r w:rsidR="00C856F9" w:rsidRPr="00B21F63">
        <w:rPr>
          <w:rFonts w:eastAsia="Arial"/>
          <w:noProof/>
          <w:color w:val="000000" w:themeColor="text1"/>
        </w:rPr>
        <w:t>(Sánchez, 2010)</w:t>
      </w:r>
      <w:r w:rsidR="00C856F9" w:rsidRPr="00B21F63">
        <w:rPr>
          <w:rFonts w:eastAsia="Arial"/>
          <w:color w:val="000000" w:themeColor="text1"/>
        </w:rPr>
        <w:fldChar w:fldCharType="end"/>
      </w:r>
      <w:r w:rsidR="00C856F9" w:rsidRPr="00B21F63">
        <w:rPr>
          <w:rFonts w:eastAsia="Arial"/>
          <w:color w:val="000000" w:themeColor="text1"/>
        </w:rPr>
        <w:t xml:space="preserve">. </w:t>
      </w:r>
      <w:r w:rsidRPr="00B21F63">
        <w:rPr>
          <w:rFonts w:eastAsia="BatangChe"/>
          <w:color w:val="000000" w:themeColor="text1"/>
          <w:lang w:eastAsia="ko-KR"/>
        </w:rPr>
        <w:t>It should be noted that significant national endeavors are being conducted in this field in such countries as Chile, Argentina, China, Australia and New Zealand. These are countries which have strongly promoted statistical education, incorporating the latest advances in the area into their national curricula.</w:t>
      </w:r>
    </w:p>
    <w:p w14:paraId="44B29902" w14:textId="77777777" w:rsidR="005F28E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t xml:space="preserve">In Mexico, the Mexican Statistics Association supports the Red de </w:t>
      </w:r>
      <w:proofErr w:type="spellStart"/>
      <w:r w:rsidRPr="00B21F63">
        <w:rPr>
          <w:rFonts w:eastAsia="BatangChe"/>
          <w:color w:val="000000" w:themeColor="text1"/>
          <w:lang w:eastAsia="ko-KR"/>
        </w:rPr>
        <w:t>Investigación</w:t>
      </w:r>
      <w:proofErr w:type="spellEnd"/>
      <w:r w:rsidRPr="00B21F63">
        <w:rPr>
          <w:rFonts w:eastAsia="BatangChe"/>
          <w:color w:val="000000" w:themeColor="text1"/>
          <w:lang w:eastAsia="ko-KR"/>
        </w:rPr>
        <w:t xml:space="preserve"> y </w:t>
      </w:r>
      <w:proofErr w:type="spellStart"/>
      <w:r w:rsidRPr="00B21F63">
        <w:rPr>
          <w:rFonts w:eastAsia="BatangChe"/>
          <w:color w:val="000000" w:themeColor="text1"/>
          <w:lang w:eastAsia="ko-KR"/>
        </w:rPr>
        <w:t>Educación</w:t>
      </w:r>
      <w:proofErr w:type="spellEnd"/>
      <w:r w:rsidRPr="00B21F63">
        <w:rPr>
          <w:rFonts w:eastAsia="BatangChe"/>
          <w:color w:val="000000" w:themeColor="text1"/>
          <w:lang w:eastAsia="ko-KR"/>
        </w:rPr>
        <w:t xml:space="preserve"> </w:t>
      </w:r>
      <w:proofErr w:type="spellStart"/>
      <w:r w:rsidRPr="00B21F63">
        <w:rPr>
          <w:rFonts w:eastAsia="BatangChe"/>
          <w:color w:val="000000" w:themeColor="text1"/>
          <w:lang w:eastAsia="ko-KR"/>
        </w:rPr>
        <w:t>en</w:t>
      </w:r>
      <w:proofErr w:type="spellEnd"/>
      <w:r w:rsidRPr="00B21F63">
        <w:rPr>
          <w:rFonts w:eastAsia="BatangChe"/>
          <w:color w:val="000000" w:themeColor="text1"/>
          <w:lang w:eastAsia="ko-KR"/>
        </w:rPr>
        <w:t xml:space="preserve"> </w:t>
      </w:r>
      <w:proofErr w:type="spellStart"/>
      <w:r w:rsidRPr="00B21F63">
        <w:rPr>
          <w:rFonts w:eastAsia="BatangChe"/>
          <w:color w:val="000000" w:themeColor="text1"/>
          <w:lang w:eastAsia="ko-KR"/>
        </w:rPr>
        <w:t>Probabilidad</w:t>
      </w:r>
      <w:proofErr w:type="spellEnd"/>
      <w:r w:rsidRPr="00B21F63">
        <w:rPr>
          <w:rFonts w:eastAsia="BatangChe"/>
          <w:color w:val="000000" w:themeColor="text1"/>
          <w:lang w:eastAsia="ko-KR"/>
        </w:rPr>
        <w:t xml:space="preserve"> y </w:t>
      </w:r>
      <w:proofErr w:type="spellStart"/>
      <w:r w:rsidRPr="00B21F63">
        <w:rPr>
          <w:rFonts w:eastAsia="BatangChe"/>
          <w:color w:val="000000" w:themeColor="text1"/>
          <w:lang w:eastAsia="ko-KR"/>
        </w:rPr>
        <w:t>Estadística</w:t>
      </w:r>
      <w:proofErr w:type="spellEnd"/>
      <w:r w:rsidRPr="00B21F63">
        <w:rPr>
          <w:rFonts w:eastAsia="BatangChe"/>
          <w:color w:val="000000" w:themeColor="text1"/>
          <w:lang w:eastAsia="ko-KR"/>
        </w:rPr>
        <w:t xml:space="preserve"> (RIEPE, or Network for Research and Education in Probability and Statistics), which is responsible for disseminating and analyzing academic approaches and research conclusions in the area of statistical education. RIEPE is also charged with coordinating professors, researchers and national collegiate bodies in order to identify the main areas of opportunity for statistical research and education in the country. It seeks to encourage joint work with international academic institutions in order to establish a common agenda that promotes new developments and research in statistical education </w:t>
      </w:r>
      <w:r w:rsidR="00C856F9" w:rsidRPr="00B21F63">
        <w:rPr>
          <w:rFonts w:eastAsia="Arial"/>
          <w:color w:val="000000" w:themeColor="text1"/>
        </w:rPr>
        <w:fldChar w:fldCharType="begin" w:fldLock="1"/>
      </w:r>
      <w:r w:rsidR="00C856F9" w:rsidRPr="00B21F63">
        <w:rPr>
          <w:rFonts w:eastAsia="Arial"/>
          <w:color w:val="000000" w:themeColor="text1"/>
        </w:rPr>
        <w:instrText>ADDIN CSL_CITATION {"citationItems":[{"id":"ITEM-1","itemData":{"URL":"http://amestad.mx/red","accessed":{"date-parts":[["2019","2","10"]]},"container-title":"Red de Investigación y Educación en Probabilidad y Estadística","id":"ITEM-1","issued":{"date-parts":[["2012"]]},"title":"RIEPE","type":"webpage"},"uris":["http://www.mendeley.com/documents/?uuid=c88fd7ef-86d6-3381-955a-14a9dc95df93"]}],"mendeley":{"formattedCitation":"(“RIEPE,” 2012)","manualFormatting":"(RIEPE, 2012)","plainTextFormattedCitation":"(“RIEPE,” 2012)","previouslyFormattedCitation":"(“RIEPE,” 2012)"},"properties":{"noteIndex":0},"schema":"https://github.com/citation-style-language/schema/raw/master/csl-citation.json"}</w:instrText>
      </w:r>
      <w:r w:rsidR="00C856F9" w:rsidRPr="00B21F63">
        <w:rPr>
          <w:rFonts w:eastAsia="Arial"/>
          <w:color w:val="000000" w:themeColor="text1"/>
        </w:rPr>
        <w:fldChar w:fldCharType="separate"/>
      </w:r>
      <w:r w:rsidR="00C856F9" w:rsidRPr="00B21F63">
        <w:rPr>
          <w:rFonts w:eastAsia="Arial"/>
          <w:noProof/>
          <w:color w:val="000000" w:themeColor="text1"/>
        </w:rPr>
        <w:t>(RIEPE, 2012)</w:t>
      </w:r>
      <w:r w:rsidR="00C856F9" w:rsidRPr="00B21F63">
        <w:rPr>
          <w:rFonts w:eastAsia="Arial"/>
          <w:color w:val="000000" w:themeColor="text1"/>
        </w:rPr>
        <w:fldChar w:fldCharType="end"/>
      </w:r>
      <w:r w:rsidR="00C856F9" w:rsidRPr="00B21F63">
        <w:rPr>
          <w:rFonts w:eastAsia="Arial"/>
          <w:color w:val="000000" w:themeColor="text1"/>
        </w:rPr>
        <w:t>.</w:t>
      </w:r>
    </w:p>
    <w:p w14:paraId="12A4AA7C" w14:textId="77777777" w:rsidR="005F28E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t xml:space="preserve">At the University of Guadalajara, the Centro Universitario de </w:t>
      </w:r>
      <w:proofErr w:type="spellStart"/>
      <w:r w:rsidRPr="00B21F63">
        <w:rPr>
          <w:rFonts w:eastAsia="BatangChe"/>
          <w:color w:val="000000" w:themeColor="text1"/>
          <w:lang w:eastAsia="ko-KR"/>
        </w:rPr>
        <w:t>Ciencias</w:t>
      </w:r>
      <w:proofErr w:type="spellEnd"/>
      <w:r w:rsidRPr="00B21F63">
        <w:rPr>
          <w:rFonts w:eastAsia="BatangChe"/>
          <w:color w:val="000000" w:themeColor="text1"/>
          <w:lang w:eastAsia="ko-KR"/>
        </w:rPr>
        <w:t xml:space="preserve"> </w:t>
      </w:r>
      <w:proofErr w:type="spellStart"/>
      <w:r w:rsidRPr="00B21F63">
        <w:rPr>
          <w:rFonts w:eastAsia="BatangChe"/>
          <w:color w:val="000000" w:themeColor="text1"/>
          <w:lang w:eastAsia="ko-KR"/>
        </w:rPr>
        <w:t>Económico</w:t>
      </w:r>
      <w:proofErr w:type="spellEnd"/>
      <w:r w:rsidRPr="00B21F63">
        <w:rPr>
          <w:rFonts w:eastAsia="BatangChe"/>
          <w:color w:val="000000" w:themeColor="text1"/>
          <w:lang w:eastAsia="ko-KR"/>
        </w:rPr>
        <w:t xml:space="preserve"> </w:t>
      </w:r>
      <w:proofErr w:type="spellStart"/>
      <w:r w:rsidRPr="00B21F63">
        <w:rPr>
          <w:rFonts w:eastAsia="BatangChe"/>
          <w:color w:val="000000" w:themeColor="text1"/>
          <w:lang w:eastAsia="ko-KR"/>
        </w:rPr>
        <w:t>Administrativas</w:t>
      </w:r>
      <w:proofErr w:type="spellEnd"/>
      <w:r w:rsidRPr="00B21F63">
        <w:rPr>
          <w:rFonts w:eastAsia="BatangChe"/>
          <w:color w:val="000000" w:themeColor="text1"/>
          <w:lang w:eastAsia="ko-KR"/>
        </w:rPr>
        <w:t xml:space="preserve"> (CUCEA, or University Center for the Economic-Administrative Sciences) offers 16 undergraduate degree programs in the areas of economics and business. The Statistics I course is taught to all CUCEA undergraduate students, with its thematic content including basic concepts from descriptive statistics which cover graphic representation and basic probability. Per semester, the Statistics I course is taken by approximately 214 students distributed across 10 sections taught by 7 professors. The Statistics I curriculum is updated periodically by the Academy of Statistics, which forms part of the CUCEA’s Department of Quantitative Methods, with the most recent update carried out in 2016. Since 2005 </w:t>
      </w:r>
      <w:r w:rsidR="00C856F9" w:rsidRPr="00B21F63">
        <w:rPr>
          <w:color w:val="000000" w:themeColor="text1"/>
        </w:rPr>
        <w:fldChar w:fldCharType="begin" w:fldLock="1"/>
      </w:r>
      <w:r w:rsidR="00C856F9" w:rsidRPr="00B21F63">
        <w:rPr>
          <w:color w:val="000000" w:themeColor="text1"/>
          <w:shd w:val="clear" w:color="auto" w:fill="FFFFFF"/>
          <w:lang w:eastAsia="es-ES"/>
        </w:rPr>
        <w:instrText>ADDIN CSL_CITATION {"citationItems":[{"id":"ITEM-1","itemData":{"author":[{"dropping-particle":"","family":"Toro","given":"Hector Luis","non-dropping-particle":"Del","parse-names":false,"suffix":""},{"dropping-particle":"","family":"Ochoa","given":"Maria Bernardett","non-dropping-particle":"","parse-names":false,"suffix":""}],"container-title":"XIV Congreso Internacional de Investigación en Ciencias Administrativas","id":"ITEM-1","issued":{"date-parts":[["2010"]]},"page":"1-16","publisher-place":"Monterrey, Mexico","title":"Exámenes departamentales en el cucea: el caso del departamento de métodos cuantitativos","type":"paper-conference"},"uris":["http://www.mendeley.com/documents/?uuid=49a3ba4d-f438-472e-9124-1ecf202a2c32"]}],"mendeley":{"formattedCitation":"(Del Toro &amp; Ochoa, 2010)","plainTextFormattedCitation":"(Del Toro &amp; Ochoa, 2010)","previouslyFormattedCitation":"(Del Toro &amp; Ochoa, 2010)"},"properties":{"noteIndex":0},"schema":"https://github.com/citation-style-language/schema/raw/master/csl-citation.json"}</w:instrText>
      </w:r>
      <w:r w:rsidR="00C856F9" w:rsidRPr="00B21F63">
        <w:rPr>
          <w:color w:val="000000" w:themeColor="text1"/>
          <w:shd w:val="clear" w:color="auto" w:fill="FFFFFF"/>
          <w:lang w:eastAsia="es-ES"/>
        </w:rPr>
        <w:fldChar w:fldCharType="separate"/>
      </w:r>
      <w:r w:rsidR="00C856F9" w:rsidRPr="00B21F63">
        <w:rPr>
          <w:noProof/>
          <w:color w:val="000000" w:themeColor="text1"/>
          <w:shd w:val="clear" w:color="auto" w:fill="FFFFFF"/>
          <w:lang w:eastAsia="es-ES"/>
        </w:rPr>
        <w:t>(Del Toro &amp; Ochoa, 2010)</w:t>
      </w:r>
      <w:r w:rsidR="00C856F9" w:rsidRPr="00B21F63">
        <w:rPr>
          <w:color w:val="000000" w:themeColor="text1"/>
        </w:rPr>
        <w:fldChar w:fldCharType="end"/>
      </w:r>
      <w:r w:rsidR="00C856F9" w:rsidRPr="00B21F63">
        <w:rPr>
          <w:color w:val="000000" w:themeColor="text1"/>
        </w:rPr>
        <w:t xml:space="preserve"> </w:t>
      </w:r>
      <w:r w:rsidRPr="00B21F63">
        <w:rPr>
          <w:rFonts w:eastAsia="BatangChe"/>
          <w:color w:val="000000" w:themeColor="text1"/>
          <w:lang w:eastAsia="ko-KR"/>
        </w:rPr>
        <w:t>a departmental exam comprising 10 multiple choice questions designed by a commission of professors from the Academy of Statistics, has been applied to all students taking the course. The average grade is 50% for the exam.</w:t>
      </w:r>
    </w:p>
    <w:p w14:paraId="522D18D5" w14:textId="56CC9E68" w:rsidR="00EB4D55" w:rsidRPr="00B21F63" w:rsidRDefault="005F28E5" w:rsidP="00B3197D">
      <w:pPr>
        <w:spacing w:line="360" w:lineRule="auto"/>
        <w:ind w:firstLine="720"/>
        <w:jc w:val="both"/>
        <w:rPr>
          <w:rFonts w:eastAsia="BatangChe"/>
          <w:color w:val="000000" w:themeColor="text1"/>
          <w:lang w:eastAsia="ko-KR"/>
        </w:rPr>
      </w:pPr>
      <w:r w:rsidRPr="00B21F63">
        <w:rPr>
          <w:rFonts w:eastAsia="BatangChe"/>
          <w:color w:val="000000" w:themeColor="text1"/>
          <w:lang w:eastAsia="ko-KR"/>
        </w:rPr>
        <w:t xml:space="preserve">In order to promote significant and competitive learning in the area of statistics, the CUCEA, through its Department of Quantitative Methods and in coordination with the Academy of Statistics, has organized the annual Statistics I Tournament since 2006, in which students enrolled in the Statistics I course are free to take part. The average Statistics I grade for those competing in the tournament is also around 50%. In 2017, </w:t>
      </w:r>
      <w:r w:rsidR="003E6023" w:rsidRPr="00B21F63">
        <w:rPr>
          <w:rFonts w:eastAsia="BatangChe"/>
          <w:color w:val="000000" w:themeColor="text1"/>
          <w:lang w:eastAsia="ko-KR"/>
        </w:rPr>
        <w:lastRenderedPageBreak/>
        <w:fldChar w:fldCharType="begin" w:fldLock="1"/>
      </w:r>
      <w:r w:rsidR="003E6023" w:rsidRPr="00B21F63">
        <w:rPr>
          <w:rFonts w:eastAsia="BatangChe"/>
          <w:color w:val="000000" w:themeColor="text1"/>
          <w:lang w:eastAsia="ko-KR"/>
        </w:rPr>
        <w:instrText>ADDIN CSL_CITATION {"citationItems":[{"id":"ITEM-1","itemData":{"DOI":"10.13187/ejced.2018.3.448","author":[{"dropping-particle":"","family":"Coronado","given":"Semei","non-dropping-particle":"","parse-names":false,"suffix":""},{"dropping-particle":"","family":"Sandoval","given":"Salvador","non-dropping-particle":"","parse-names":false,"suffix":""},{"dropping-particle":"","family":"Celso","given":"Pedro Luis","non-dropping-particle":"","parse-names":false,"suffix":""},{"dropping-particle":"","family":"Torres","given":"Ana","non-dropping-particle":"","parse-names":false,"suffix":""}],"container-title":"European Journal of Contemporary Education","id":"ITEM-1","issue":"3","issued":{"date-parts":[["2018"]]},"page":"448-457","title":"Competitive learning using a three-parameter logistic model","type":"article-journal","volume":"7"},"uris":["http://www.mendeley.com/documents/?uuid=16b8b945-a999-4a18-b6bd-5d385b0ea6d0"]},{"id":"ITEM-2","itemData":{"DOI":"10.2478/mjss-2018-0130","abstract":"This paper presents a study of the multiple choice test from the eleventh knowledge tournament for Statistics I, in order to determine whether it instills competitive learning in university students. This research uses Item Response Theory (IRT). The results obtained show that only 27 students (13.43% of the total number of participants) have an acceptable level of ability (1.03 to 2.58), while the level of ability of the rest of the students is not satisfactory (-1.68 to 0.76). The participants are not a group of students seeking to test their knowledge of the subject or looking for an academic challenge. Better strategies for motivating students in terms of competitive learning must be found.","author":[{"dropping-particle":"","family":"Coronado","given":"Semei","non-dropping-particle":"","parse-names":false,"suffix":""},{"dropping-particle":"","family":"Sandoval","given":"Salvador","non-dropping-particle":"","parse-names":false,"suffix":""},{"dropping-particle":"","family":"Celso","given":"Pedro Luis","non-dropping-particle":"","parse-names":false,"suffix":""},{"dropping-particle":"","family":"Torres","given":"Ana","non-dropping-particle":"","parse-names":false,"suffix":""}],"container-title":"Mediterranean Journal of Social Sciences","id":"ITEM-2","issue":"4","issued":{"date-parts":[["2018"]]},"page":"215-223","title":"Analysis of competitive learning at university level in Mexico via item response theory","type":"article-journal","volume":"9"},"uris":["http://www.mendeley.com/documents/?uuid=2daad606-bea6-4535-a7bf-d82a01f53e95"]}],"mendeley":{"formattedCitation":"(Coronado, Sandoval, Celso, &amp; Torres, 2018b, 2018a)","plainTextFormattedCitation":"(Coronado, Sandoval, Celso, &amp; Torres, 2018b, 2018a)","previouslyFormattedCitation":"(Coronado, Sandoval, Celso, &amp; Torres, 2018b, 2018a)"},"properties":{"noteIndex":0},"schema":"https://github.com/citation-style-language/schema/raw/master/csl-citation.json"}</w:instrText>
      </w:r>
      <w:r w:rsidR="003E6023" w:rsidRPr="00B21F63">
        <w:rPr>
          <w:rFonts w:eastAsia="BatangChe"/>
          <w:color w:val="000000" w:themeColor="text1"/>
          <w:lang w:eastAsia="ko-KR"/>
        </w:rPr>
        <w:fldChar w:fldCharType="separate"/>
      </w:r>
      <w:r w:rsidR="003E6023" w:rsidRPr="00B21F63">
        <w:rPr>
          <w:rFonts w:eastAsia="BatangChe"/>
          <w:noProof/>
          <w:color w:val="000000" w:themeColor="text1"/>
          <w:lang w:eastAsia="ko-KR"/>
        </w:rPr>
        <w:t xml:space="preserve">(Coronado, </w:t>
      </w:r>
      <w:r w:rsidR="00C027A3">
        <w:rPr>
          <w:rFonts w:eastAsia="BatangChe"/>
          <w:noProof/>
          <w:color w:val="000000" w:themeColor="text1"/>
          <w:lang w:eastAsia="ko-KR"/>
        </w:rPr>
        <w:t>Sandoval, Celso, &amp; Torres, 2018a</w:t>
      </w:r>
      <w:r w:rsidR="003E6023" w:rsidRPr="00B21F63">
        <w:rPr>
          <w:rFonts w:eastAsia="BatangChe"/>
          <w:noProof/>
          <w:color w:val="000000" w:themeColor="text1"/>
          <w:lang w:eastAsia="ko-KR"/>
        </w:rPr>
        <w:t>, 2018</w:t>
      </w:r>
      <w:r w:rsidR="00C027A3">
        <w:rPr>
          <w:rFonts w:eastAsia="BatangChe"/>
          <w:noProof/>
          <w:color w:val="000000" w:themeColor="text1"/>
          <w:lang w:eastAsia="ko-KR"/>
        </w:rPr>
        <w:t>b</w:t>
      </w:r>
      <w:r w:rsidR="003E6023" w:rsidRPr="00B21F63">
        <w:rPr>
          <w:rFonts w:eastAsia="BatangChe"/>
          <w:noProof/>
          <w:color w:val="000000" w:themeColor="text1"/>
          <w:lang w:eastAsia="ko-KR"/>
        </w:rPr>
        <w:t>)</w:t>
      </w:r>
      <w:r w:rsidR="003E6023" w:rsidRPr="00B21F63">
        <w:rPr>
          <w:rFonts w:eastAsia="BatangChe"/>
          <w:color w:val="000000" w:themeColor="text1"/>
          <w:lang w:eastAsia="ko-KR"/>
        </w:rPr>
        <w:fldChar w:fldCharType="end"/>
      </w:r>
      <w:r w:rsidRPr="00B21F63">
        <w:rPr>
          <w:rFonts w:eastAsia="BatangChe"/>
          <w:color w:val="000000" w:themeColor="text1"/>
          <w:lang w:eastAsia="ko-KR"/>
        </w:rPr>
        <w:t xml:space="preserve"> analyzed the results of the tournament, applying Rasch logistical models with the objective of determining whether this academic event effectively fosters an elevated level of statistical learning and performance and promotes competition among students. Only 13% of the students in the Statistics I competition demonstrated an acceptable level of statistical knowledge. However, the 20-item multiple choice test used in the tournament did not include items to measure student understanding of graphs. The purpose of the current study is to determine the ability of students who completed the Statistics I course to understand and interpret graphical representations in order to guide revision of the course curriculum, as well as the preparation of course instructors.</w:t>
      </w:r>
    </w:p>
    <w:p w14:paraId="271E8FA7" w14:textId="13F5282A" w:rsidR="00F252E2" w:rsidRDefault="00F252E2" w:rsidP="00B3197D">
      <w:pPr>
        <w:spacing w:line="360" w:lineRule="auto"/>
        <w:ind w:firstLine="720"/>
        <w:jc w:val="both"/>
        <w:rPr>
          <w:b/>
          <w:color w:val="000000" w:themeColor="text1"/>
        </w:rPr>
      </w:pPr>
    </w:p>
    <w:p w14:paraId="5A79BF33" w14:textId="119ECB97" w:rsidR="00E16094" w:rsidRPr="00DB1D79" w:rsidRDefault="00E16094" w:rsidP="00DB1D79">
      <w:pPr>
        <w:spacing w:line="360" w:lineRule="auto"/>
        <w:jc w:val="center"/>
        <w:rPr>
          <w:b/>
          <w:bCs/>
          <w:color w:val="000000" w:themeColor="text1"/>
          <w:sz w:val="32"/>
          <w:szCs w:val="32"/>
        </w:rPr>
      </w:pPr>
      <w:r w:rsidRPr="00DB1D79">
        <w:rPr>
          <w:b/>
          <w:bCs/>
          <w:color w:val="000000" w:themeColor="text1"/>
          <w:sz w:val="32"/>
          <w:szCs w:val="32"/>
        </w:rPr>
        <w:t>M</w:t>
      </w:r>
      <w:r w:rsidR="00E737CD" w:rsidRPr="00DB1D79">
        <w:rPr>
          <w:b/>
          <w:bCs/>
          <w:color w:val="000000" w:themeColor="text1"/>
          <w:sz w:val="32"/>
          <w:szCs w:val="32"/>
        </w:rPr>
        <w:t>ethod</w:t>
      </w:r>
    </w:p>
    <w:p w14:paraId="0BA8F6F3" w14:textId="77777777" w:rsidR="008F203D" w:rsidRPr="00B21F63" w:rsidRDefault="008F203D" w:rsidP="00B3197D">
      <w:pPr>
        <w:pStyle w:val="Body"/>
        <w:ind w:firstLine="720"/>
        <w:rPr>
          <w:color w:val="000000" w:themeColor="text1"/>
          <w:szCs w:val="24"/>
        </w:rPr>
      </w:pPr>
      <w:r w:rsidRPr="00B21F63">
        <w:rPr>
          <w:color w:val="000000" w:themeColor="text1"/>
          <w:szCs w:val="24"/>
        </w:rPr>
        <w:t xml:space="preserve">A Spanish version of the CAOS exam, a validated and calibrated measurement instrument designed for students who have previously taken a basic statistics course at the undergraduate level, was administered to measure CUCEA undergraduate students’ comprehension of histograms </w:t>
      </w:r>
      <w:r w:rsidR="00C856F9" w:rsidRPr="00B21F63">
        <w:rPr>
          <w:rFonts w:eastAsia="Arial"/>
          <w:color w:val="000000" w:themeColor="text1"/>
          <w:szCs w:val="24"/>
        </w:rPr>
        <w:fldChar w:fldCharType="begin" w:fldLock="1"/>
      </w:r>
      <w:r w:rsidR="00C856F9" w:rsidRPr="00B21F63">
        <w:rPr>
          <w:rFonts w:eastAsia="Arial"/>
          <w:color w:val="000000" w:themeColor="text1"/>
          <w:szCs w:val="24"/>
        </w:rPr>
        <w:instrText>ADDIN CSL_CITATION {"citationItems":[{"id":"ITEM-1","itemData":{"URL":"https://apps3.cehd.umn.edu/artist/","accessed":{"date-parts":[["2019","2","1"]]},"id":"ITEM-1","issued":{"date-parts":[["2006"]]},"title":"ARTIST","type":"webpage"},"uris":["http://www.mendeley.com/documents/?uuid=ed2ee38e-e76e-4c79-873d-ddde7306dd2b"]}],"mendeley":{"formattedCitation":"(“ARTIST,” 2006)","manualFormatting":"(ARTIST, 2006)","plainTextFormattedCitation":"(“ARTIST,” 2006)","previouslyFormattedCitation":"(“ARTIST,” 2006)"},"properties":{"noteIndex":0},"schema":"https://github.com/citation-style-language/schema/raw/master/csl-citation.json"}</w:instrText>
      </w:r>
      <w:r w:rsidR="00C856F9" w:rsidRPr="00B21F63">
        <w:rPr>
          <w:rFonts w:eastAsia="Arial"/>
          <w:color w:val="000000" w:themeColor="text1"/>
          <w:szCs w:val="24"/>
        </w:rPr>
        <w:fldChar w:fldCharType="separate"/>
      </w:r>
      <w:r w:rsidR="00C856F9" w:rsidRPr="00B21F63">
        <w:rPr>
          <w:rFonts w:eastAsia="Arial"/>
          <w:noProof/>
          <w:color w:val="000000" w:themeColor="text1"/>
          <w:szCs w:val="24"/>
        </w:rPr>
        <w:t>(ARTIST, 2006)</w:t>
      </w:r>
      <w:r w:rsidR="00C856F9" w:rsidRPr="00B21F63">
        <w:rPr>
          <w:rFonts w:eastAsia="Arial"/>
          <w:color w:val="000000" w:themeColor="text1"/>
          <w:szCs w:val="24"/>
        </w:rPr>
        <w:fldChar w:fldCharType="end"/>
      </w:r>
      <w:r w:rsidRPr="00B21F63">
        <w:rPr>
          <w:color w:val="000000" w:themeColor="text1"/>
          <w:szCs w:val="24"/>
        </w:rPr>
        <w:t xml:space="preserve">. The exam was designed to evaluate the statistical thinking of undergraduate students who have taken a statistics course, and prioritizes their conceptual comprehension and reasoning of the statistical content, in contrast to the mechanical calculation of formulas and procedures </w:t>
      </w:r>
      <w:r w:rsidR="00D65E37" w:rsidRPr="00B21F63">
        <w:rPr>
          <w:color w:val="000000" w:themeColor="text1"/>
          <w:szCs w:val="24"/>
        </w:rPr>
        <w:fldChar w:fldCharType="begin" w:fldLock="1"/>
      </w:r>
      <w:r w:rsidR="00B853C9" w:rsidRPr="00B21F63">
        <w:rPr>
          <w:color w:val="000000" w:themeColor="text1"/>
          <w:szCs w:val="24"/>
        </w:rPr>
        <w:instrText>ADDIN CSL_CITATION {"citationItems":[{"id":"ITEM-1","itemData":{"DOI":"10.1016/j.brat.2010.07.005","ISBN":"0005-7967","ISSN":"1570-1824","abstract":"This paper describes the development of the CAOS test, designed to measure students’ conceptual understanding of important statistical ideas, across three years of revision and testing, content validation, and realiability analysis. Results are reported from a large scale class testing and item responses are compared from pretest to posttest in order to learn more about areas in which students demonstrated improved performance from beginning to end of the course, as well as areas that showed no improvement or decreased performance. Items that showed an increase in students’ misconceptions about particular statistical concepts were also examined. The paper concludes with a discussion of implications for students’ understanding of different statistical topics, followed by suggestions for further research.","author":[{"dropping-particle":"","family":"delMas","given":"Robert","non-dropping-particle":"","parse-names":false,"suffix":""},{"dropping-particle":"","family":"Garfield","given":"Joan","non-dropping-particle":"","parse-names":false,"suffix":""},{"dropping-particle":"","family":"Ooms","given":"Ann","non-dropping-particle":"","parse-names":false,"suffix":""},{"dropping-particle":"","family":"Chance","given":"Beth","non-dropping-particle":"","parse-names":false,"suffix":""}],"container-title":"Statistics Education Research Journal","id":"ITEM-1","issue":"2","issued":{"date-parts":[["2007"]]},"page":"28-58","title":"Assessing students' conceptual understanding after a first course in statistics","type":"article-journal","volume":"6"},"uris":["http://www.mendeley.com/documents/?uuid=89efb9cc-e0ee-39b4-9c36-aef55572f531"]}],"mendeley":{"formattedCitation":"(delMas, Garfield, Ooms, &amp; Chance, 2007)","plainTextFormattedCitation":"(delMas, Garfield, Ooms, &amp; Chance, 2007)","previouslyFormattedCitation":"(delMas, Garfield, Ooms, &amp; Chance, 2007)"},"properties":{"noteIndex":0},"schema":"https://github.com/citation-style-language/schema/raw/master/csl-citation.json"}</w:instrText>
      </w:r>
      <w:r w:rsidR="00D65E37" w:rsidRPr="00B21F63">
        <w:rPr>
          <w:color w:val="000000" w:themeColor="text1"/>
          <w:szCs w:val="24"/>
        </w:rPr>
        <w:fldChar w:fldCharType="separate"/>
      </w:r>
      <w:r w:rsidR="00B853C9" w:rsidRPr="00B21F63">
        <w:rPr>
          <w:noProof/>
          <w:color w:val="000000" w:themeColor="text1"/>
          <w:szCs w:val="24"/>
        </w:rPr>
        <w:t>(delMas, Garfield, Ooms, &amp; Chance, 2007)</w:t>
      </w:r>
      <w:r w:rsidR="00D65E37" w:rsidRPr="00B21F63">
        <w:rPr>
          <w:color w:val="000000" w:themeColor="text1"/>
          <w:szCs w:val="24"/>
        </w:rPr>
        <w:fldChar w:fldCharType="end"/>
      </w:r>
      <w:r w:rsidRPr="00B21F63">
        <w:rPr>
          <w:color w:val="000000" w:themeColor="text1"/>
          <w:szCs w:val="24"/>
        </w:rPr>
        <w:t xml:space="preserve">. The CAOS test comprises 40 questions, with between 2 and 5 multiple choice answer options for each. A subset of 11 CAOS questions that assess students’ comprehension and graphical reasoning as taught in Statistics I were selected. The assessed learning objective identified by </w:t>
      </w:r>
      <w:r w:rsidR="00D65E37" w:rsidRPr="00B21F63">
        <w:rPr>
          <w:color w:val="000000" w:themeColor="text1"/>
          <w:szCs w:val="24"/>
        </w:rPr>
        <w:fldChar w:fldCharType="begin" w:fldLock="1"/>
      </w:r>
      <w:r w:rsidR="00B853C9" w:rsidRPr="00B21F63">
        <w:rPr>
          <w:color w:val="000000" w:themeColor="text1"/>
          <w:szCs w:val="24"/>
        </w:rPr>
        <w:instrText>ADDIN CSL_CITATION {"citationItems":[{"id":"ITEM-1","itemData":{"DOI":"10.1016/j.brat.2010.07.005","ISBN":"0005-7967","ISSN":"1570-1824","abstract":"This paper describes the development of the CAOS test, designed to measure students’ conceptual understanding of important statistical ideas, across three years of revision and testing, content validation, and realiability analysis. Results are reported from a large scale class testing and item responses are compared from pretest to posttest in order to learn more about areas in which students demonstrated improved performance from beginning to end of the course, as well as areas that showed no improvement or decreased performance. Items that showed an increase in students’ misconceptions about particular statistical concepts were also examined. The paper concludes with a discussion of implications for students’ understanding of different statistical topics, followed by suggestions for further research.","author":[{"dropping-particle":"","family":"delMas","given":"Robert","non-dropping-particle":"","parse-names":false,"suffix":""},{"dropping-particle":"","family":"Garfield","given":"Joan","non-dropping-particle":"","parse-names":false,"suffix":""},{"dropping-particle":"","family":"Ooms","given":"Ann","non-dropping-particle":"","parse-names":false,"suffix":""},{"dropping-particle":"","family":"Chance","given":"Beth","non-dropping-particle":"","parse-names":false,"suffix":""}],"container-title":"Statistics Education Research Journal","id":"ITEM-1","issue":"2","issued":{"date-parts":[["2007"]]},"page":"28-58","title":"Assessing students' conceptual understanding after a first course in statistics","type":"article-journal","volume":"6"},"uris":["http://www.mendeley.com/documents/?uuid=89efb9cc-e0ee-39b4-9c36-aef55572f531"]}],"mendeley":{"formattedCitation":"(delMas et al., 2007)","plainTextFormattedCitation":"(delMas et al., 2007)","previouslyFormattedCitation":"(delMas et al., 2007)"},"properties":{"noteIndex":0},"schema":"https://github.com/citation-style-language/schema/raw/master/csl-citation.json"}</w:instrText>
      </w:r>
      <w:r w:rsidR="00D65E37" w:rsidRPr="00B21F63">
        <w:rPr>
          <w:color w:val="000000" w:themeColor="text1"/>
          <w:szCs w:val="24"/>
        </w:rPr>
        <w:fldChar w:fldCharType="separate"/>
      </w:r>
      <w:r w:rsidR="00B853C9" w:rsidRPr="00B21F63">
        <w:rPr>
          <w:noProof/>
          <w:color w:val="000000" w:themeColor="text1"/>
          <w:szCs w:val="24"/>
        </w:rPr>
        <w:t>(delMas et al., 2007)</w:t>
      </w:r>
      <w:r w:rsidR="00D65E37" w:rsidRPr="00B21F63">
        <w:rPr>
          <w:color w:val="000000" w:themeColor="text1"/>
          <w:szCs w:val="24"/>
        </w:rPr>
        <w:fldChar w:fldCharType="end"/>
      </w:r>
      <w:r w:rsidRPr="00B21F63">
        <w:rPr>
          <w:color w:val="000000" w:themeColor="text1"/>
          <w:szCs w:val="24"/>
        </w:rPr>
        <w:t xml:space="preserve"> for each of the 11 CAOS items can be found in Table 2. </w:t>
      </w:r>
    </w:p>
    <w:p w14:paraId="6C167F92" w14:textId="77777777" w:rsidR="00E737CD" w:rsidRPr="00B21F63" w:rsidRDefault="008F203D" w:rsidP="00B3197D">
      <w:pPr>
        <w:pStyle w:val="Body"/>
        <w:ind w:firstLine="720"/>
        <w:rPr>
          <w:color w:val="000000" w:themeColor="text1"/>
          <w:szCs w:val="24"/>
        </w:rPr>
      </w:pPr>
      <w:r w:rsidRPr="00B21F63">
        <w:rPr>
          <w:color w:val="000000" w:themeColor="text1"/>
          <w:szCs w:val="24"/>
        </w:rPr>
        <w:t>A population of 214 students that took Statistics 1 in January-July 2018 was asked to complete the 11 CAOS items at the end of the semester. Of the total population, 138 did so voluntarily and anonymously, achieving a high 64.5% participation rate. A sample size of 138 is estimated to produce a 5% margin of error for estimating a 95% confidence interval for a population proportion, which represents a reasonable level of precision. Of the 138 students in the sample, students from all seven professors who taught the class were included. The answers were coded dichotomously, where 1 was given for a correct response and 0 for an incorrect one.</w:t>
      </w:r>
    </w:p>
    <w:p w14:paraId="36290631" w14:textId="77777777" w:rsidR="00E078EE" w:rsidRPr="00B21F63" w:rsidRDefault="00E078EE" w:rsidP="00B3197D">
      <w:pPr>
        <w:pStyle w:val="Body"/>
        <w:ind w:firstLine="720"/>
        <w:rPr>
          <w:color w:val="000000" w:themeColor="text1"/>
          <w:szCs w:val="24"/>
        </w:rPr>
      </w:pPr>
    </w:p>
    <w:p w14:paraId="5EDF4CE8" w14:textId="77777777" w:rsidR="00E16094" w:rsidRPr="00DB1D79" w:rsidRDefault="00E737CD" w:rsidP="00DB1D79">
      <w:pPr>
        <w:spacing w:line="360" w:lineRule="auto"/>
        <w:jc w:val="center"/>
        <w:rPr>
          <w:b/>
          <w:bCs/>
          <w:color w:val="000000" w:themeColor="text1"/>
          <w:sz w:val="32"/>
          <w:szCs w:val="32"/>
        </w:rPr>
      </w:pPr>
      <w:r w:rsidRPr="00DB1D79">
        <w:rPr>
          <w:b/>
          <w:bCs/>
          <w:color w:val="000000" w:themeColor="text1"/>
          <w:sz w:val="32"/>
          <w:szCs w:val="32"/>
        </w:rPr>
        <w:lastRenderedPageBreak/>
        <w:t>Result and discussion</w:t>
      </w:r>
    </w:p>
    <w:p w14:paraId="37964895" w14:textId="77777777" w:rsidR="00F252E2" w:rsidRPr="00B21F63" w:rsidRDefault="008F203D" w:rsidP="00B3197D">
      <w:pPr>
        <w:pStyle w:val="Body"/>
        <w:ind w:firstLine="720"/>
        <w:rPr>
          <w:color w:val="000000" w:themeColor="text1"/>
          <w:szCs w:val="24"/>
        </w:rPr>
      </w:pPr>
      <w:r w:rsidRPr="00B21F63">
        <w:rPr>
          <w:color w:val="000000" w:themeColor="text1"/>
          <w:szCs w:val="24"/>
        </w:rPr>
        <w:t>Table 1 presents the descriptive statistics from the database compiled for the exam applied in the present research. On a scale of 0 to</w:t>
      </w:r>
      <w:r w:rsidR="00803FFE" w:rsidRPr="00B21F63">
        <w:rPr>
          <w:color w:val="000000" w:themeColor="text1"/>
          <w:szCs w:val="24"/>
        </w:rPr>
        <w:t xml:space="preserve"> 1</w:t>
      </w:r>
      <w:r w:rsidR="006942D8" w:rsidRPr="00B21F63">
        <w:rPr>
          <w:color w:val="000000" w:themeColor="text1"/>
          <w:szCs w:val="24"/>
        </w:rPr>
        <w:t>1</w:t>
      </w:r>
      <w:r w:rsidRPr="00B21F63">
        <w:rPr>
          <w:color w:val="000000" w:themeColor="text1"/>
          <w:szCs w:val="24"/>
        </w:rPr>
        <w:t xml:space="preserve">, the minimum value obtained was </w:t>
      </w:r>
      <w:r w:rsidR="00803FFE" w:rsidRPr="00B21F63">
        <w:rPr>
          <w:color w:val="000000" w:themeColor="text1"/>
          <w:szCs w:val="24"/>
        </w:rPr>
        <w:t>3</w:t>
      </w:r>
      <w:r w:rsidRPr="00B21F63">
        <w:rPr>
          <w:color w:val="000000" w:themeColor="text1"/>
          <w:szCs w:val="24"/>
        </w:rPr>
        <w:t xml:space="preserve"> and the maximum was </w:t>
      </w:r>
      <w:r w:rsidR="00803FFE" w:rsidRPr="00B21F63">
        <w:rPr>
          <w:color w:val="000000" w:themeColor="text1"/>
          <w:szCs w:val="24"/>
        </w:rPr>
        <w:t>10</w:t>
      </w:r>
      <w:r w:rsidRPr="00B21F63">
        <w:rPr>
          <w:color w:val="000000" w:themeColor="text1"/>
          <w:szCs w:val="24"/>
        </w:rPr>
        <w:t xml:space="preserve">, with no student answering all eleven questions correctly. The average score was </w:t>
      </w:r>
      <w:r w:rsidR="00803FFE" w:rsidRPr="00B21F63">
        <w:rPr>
          <w:color w:val="000000" w:themeColor="text1"/>
          <w:szCs w:val="24"/>
        </w:rPr>
        <w:t>4.54</w:t>
      </w:r>
      <w:r w:rsidRPr="00B21F63">
        <w:rPr>
          <w:color w:val="000000" w:themeColor="text1"/>
          <w:szCs w:val="24"/>
        </w:rPr>
        <w:t xml:space="preserve">, while the median and the mode were equal, with a value of </w:t>
      </w:r>
      <w:r w:rsidR="00803FFE" w:rsidRPr="00B21F63">
        <w:rPr>
          <w:color w:val="000000" w:themeColor="text1"/>
          <w:szCs w:val="24"/>
        </w:rPr>
        <w:t>4</w:t>
      </w:r>
      <w:r w:rsidRPr="00B21F63">
        <w:rPr>
          <w:color w:val="000000" w:themeColor="text1"/>
          <w:szCs w:val="24"/>
        </w:rPr>
        <w:t>. The distribution of the data is asymmetric and positively skewed. This shows that a majority of students scored below the average and that the distribution is leptokurtic, given that there is a large amount of data around the median. It can be seen in Figure 1 that 83% of the students answered less than half of the items correctly.</w:t>
      </w:r>
    </w:p>
    <w:p w14:paraId="7CBC8F67" w14:textId="77777777" w:rsidR="00DB1D79" w:rsidRPr="00B21F63" w:rsidRDefault="00DB1D79" w:rsidP="00B3197D">
      <w:pPr>
        <w:pStyle w:val="Body"/>
        <w:ind w:firstLine="720"/>
        <w:rPr>
          <w:color w:val="000000" w:themeColor="text1"/>
          <w:szCs w:val="24"/>
        </w:rPr>
      </w:pPr>
    </w:p>
    <w:p w14:paraId="7EE7E71C" w14:textId="27472FA2" w:rsidR="00E737CD" w:rsidRPr="00B21F63" w:rsidRDefault="00E737CD" w:rsidP="00B3197D">
      <w:pPr>
        <w:spacing w:line="360" w:lineRule="auto"/>
        <w:jc w:val="center"/>
        <w:rPr>
          <w:iCs/>
          <w:color w:val="000000" w:themeColor="text1"/>
        </w:rPr>
      </w:pPr>
      <w:r w:rsidRPr="00B21F63">
        <w:rPr>
          <w:b/>
          <w:bCs/>
          <w:color w:val="000000" w:themeColor="text1"/>
        </w:rPr>
        <w:t xml:space="preserve">Table 1. </w:t>
      </w:r>
      <w:r w:rsidRPr="00B21F63">
        <w:rPr>
          <w:iCs/>
          <w:color w:val="000000" w:themeColor="text1"/>
        </w:rPr>
        <w:t xml:space="preserve">Descriptive Statistics for Percent Correct </w:t>
      </w:r>
      <w:r w:rsidR="004C5809">
        <w:rPr>
          <w:iCs/>
          <w:color w:val="000000" w:themeColor="text1"/>
        </w:rPr>
        <w:t>on the 11 Selected CAOS Items (n</w:t>
      </w:r>
      <w:r w:rsidRPr="00B21F63">
        <w:rPr>
          <w:iCs/>
          <w:color w:val="000000" w:themeColor="text1"/>
        </w:rPr>
        <w:t xml:space="preserve"> = 138)</w:t>
      </w:r>
    </w:p>
    <w:tbl>
      <w:tblPr>
        <w:tblW w:w="3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15"/>
        <w:gridCol w:w="1061"/>
      </w:tblGrid>
      <w:tr w:rsidR="00B21F63" w:rsidRPr="00B21F63" w14:paraId="1B4BD885" w14:textId="77777777" w:rsidTr="00FA082D">
        <w:trPr>
          <w:trHeight w:val="280"/>
          <w:jc w:val="center"/>
        </w:trPr>
        <w:tc>
          <w:tcPr>
            <w:tcW w:w="2415" w:type="dxa"/>
            <w:noWrap/>
            <w:vAlign w:val="bottom"/>
            <w:hideMark/>
          </w:tcPr>
          <w:p w14:paraId="219A0D57" w14:textId="77777777" w:rsidR="00E737CD" w:rsidRPr="00B21F63" w:rsidRDefault="00E737CD" w:rsidP="00B3197D">
            <w:pPr>
              <w:spacing w:line="360" w:lineRule="auto"/>
              <w:rPr>
                <w:b/>
                <w:color w:val="000000" w:themeColor="text1"/>
                <w:lang w:eastAsia="es-ES_tradnl"/>
              </w:rPr>
            </w:pPr>
            <w:r w:rsidRPr="00B21F63">
              <w:rPr>
                <w:b/>
                <w:color w:val="000000" w:themeColor="text1"/>
                <w:lang w:eastAsia="es-ES_tradnl"/>
              </w:rPr>
              <w:t>Statistics</w:t>
            </w:r>
          </w:p>
        </w:tc>
        <w:tc>
          <w:tcPr>
            <w:tcW w:w="1061" w:type="dxa"/>
            <w:noWrap/>
            <w:vAlign w:val="bottom"/>
            <w:hideMark/>
          </w:tcPr>
          <w:p w14:paraId="2DFE994D" w14:textId="77777777" w:rsidR="00E737CD" w:rsidRPr="00B21F63" w:rsidRDefault="00E737CD" w:rsidP="00B3197D">
            <w:pPr>
              <w:spacing w:line="360" w:lineRule="auto"/>
              <w:jc w:val="center"/>
              <w:rPr>
                <w:b/>
                <w:color w:val="000000" w:themeColor="text1"/>
                <w:lang w:eastAsia="es-ES_tradnl"/>
              </w:rPr>
            </w:pPr>
            <w:r w:rsidRPr="00B21F63">
              <w:rPr>
                <w:b/>
                <w:color w:val="000000" w:themeColor="text1"/>
                <w:lang w:eastAsia="es-ES_tradnl"/>
              </w:rPr>
              <w:t>Value</w:t>
            </w:r>
          </w:p>
        </w:tc>
      </w:tr>
      <w:tr w:rsidR="00B21F63" w:rsidRPr="00B21F63" w14:paraId="7F009044" w14:textId="77777777" w:rsidTr="00FA082D">
        <w:trPr>
          <w:trHeight w:val="280"/>
          <w:jc w:val="center"/>
        </w:trPr>
        <w:tc>
          <w:tcPr>
            <w:tcW w:w="2415" w:type="dxa"/>
            <w:noWrap/>
            <w:vAlign w:val="bottom"/>
            <w:hideMark/>
          </w:tcPr>
          <w:p w14:paraId="47BE2CF9" w14:textId="77777777" w:rsidR="00E737CD" w:rsidRPr="00B21F63" w:rsidRDefault="00803FFE" w:rsidP="00B3197D">
            <w:pPr>
              <w:spacing w:line="360" w:lineRule="auto"/>
              <w:rPr>
                <w:color w:val="000000" w:themeColor="text1"/>
                <w:lang w:eastAsia="es-ES_tradnl"/>
              </w:rPr>
            </w:pPr>
            <w:r w:rsidRPr="00B21F63">
              <w:rPr>
                <w:color w:val="000000" w:themeColor="text1"/>
                <w:lang w:eastAsia="es-ES_tradnl"/>
              </w:rPr>
              <w:t>Mean</w:t>
            </w:r>
          </w:p>
        </w:tc>
        <w:tc>
          <w:tcPr>
            <w:tcW w:w="1061" w:type="dxa"/>
            <w:noWrap/>
            <w:vAlign w:val="bottom"/>
            <w:hideMark/>
          </w:tcPr>
          <w:p w14:paraId="65D0314F" w14:textId="77777777" w:rsidR="00E737CD" w:rsidRPr="00B21F63" w:rsidRDefault="00803FFE" w:rsidP="00B3197D">
            <w:pPr>
              <w:tabs>
                <w:tab w:val="decimal" w:pos="495"/>
              </w:tabs>
              <w:spacing w:line="360" w:lineRule="auto"/>
              <w:rPr>
                <w:color w:val="000000" w:themeColor="text1"/>
                <w:lang w:eastAsia="es-ES_tradnl"/>
              </w:rPr>
            </w:pPr>
            <w:r w:rsidRPr="00B21F63">
              <w:rPr>
                <w:color w:val="000000" w:themeColor="text1"/>
                <w:lang w:eastAsia="es-ES_tradnl"/>
              </w:rPr>
              <w:t>4.54</w:t>
            </w:r>
          </w:p>
        </w:tc>
      </w:tr>
      <w:tr w:rsidR="00B21F63" w:rsidRPr="00B21F63" w14:paraId="5C87D1FC" w14:textId="77777777" w:rsidTr="00FA082D">
        <w:trPr>
          <w:trHeight w:val="263"/>
          <w:jc w:val="center"/>
        </w:trPr>
        <w:tc>
          <w:tcPr>
            <w:tcW w:w="2415" w:type="dxa"/>
            <w:noWrap/>
            <w:vAlign w:val="bottom"/>
            <w:hideMark/>
          </w:tcPr>
          <w:p w14:paraId="53AB8879" w14:textId="77777777" w:rsidR="00E737CD" w:rsidRPr="00B21F63" w:rsidRDefault="00E737CD" w:rsidP="00B3197D">
            <w:pPr>
              <w:spacing w:line="360" w:lineRule="auto"/>
              <w:rPr>
                <w:color w:val="000000" w:themeColor="text1"/>
                <w:lang w:eastAsia="es-ES_tradnl"/>
              </w:rPr>
            </w:pPr>
            <w:r w:rsidRPr="00B21F63">
              <w:rPr>
                <w:color w:val="000000" w:themeColor="text1"/>
                <w:lang w:eastAsia="es-ES_tradnl"/>
              </w:rPr>
              <w:t>Median</w:t>
            </w:r>
          </w:p>
        </w:tc>
        <w:tc>
          <w:tcPr>
            <w:tcW w:w="1061" w:type="dxa"/>
            <w:noWrap/>
            <w:vAlign w:val="bottom"/>
            <w:hideMark/>
          </w:tcPr>
          <w:p w14:paraId="769F68E3" w14:textId="77777777" w:rsidR="00E737CD" w:rsidRPr="00B21F63" w:rsidRDefault="00803FFE" w:rsidP="00B3197D">
            <w:pPr>
              <w:tabs>
                <w:tab w:val="decimal" w:pos="495"/>
              </w:tabs>
              <w:spacing w:line="360" w:lineRule="auto"/>
              <w:rPr>
                <w:color w:val="000000" w:themeColor="text1"/>
                <w:lang w:eastAsia="es-ES_tradnl"/>
              </w:rPr>
            </w:pPr>
            <w:r w:rsidRPr="00B21F63">
              <w:rPr>
                <w:color w:val="000000" w:themeColor="text1"/>
                <w:lang w:eastAsia="es-ES_tradnl"/>
              </w:rPr>
              <w:t>4.00</w:t>
            </w:r>
          </w:p>
        </w:tc>
      </w:tr>
      <w:tr w:rsidR="00B21F63" w:rsidRPr="00B21F63" w14:paraId="3861E51E" w14:textId="77777777" w:rsidTr="00FA082D">
        <w:trPr>
          <w:trHeight w:val="263"/>
          <w:jc w:val="center"/>
        </w:trPr>
        <w:tc>
          <w:tcPr>
            <w:tcW w:w="2415" w:type="dxa"/>
            <w:noWrap/>
            <w:vAlign w:val="bottom"/>
            <w:hideMark/>
          </w:tcPr>
          <w:p w14:paraId="618FA4C2" w14:textId="77777777" w:rsidR="00E737CD" w:rsidRPr="00B21F63" w:rsidRDefault="00E737CD" w:rsidP="00B3197D">
            <w:pPr>
              <w:spacing w:line="360" w:lineRule="auto"/>
              <w:rPr>
                <w:color w:val="000000" w:themeColor="text1"/>
                <w:lang w:eastAsia="es-ES_tradnl"/>
              </w:rPr>
            </w:pPr>
            <w:r w:rsidRPr="00B21F63">
              <w:rPr>
                <w:color w:val="000000" w:themeColor="text1"/>
                <w:lang w:eastAsia="es-ES_tradnl"/>
              </w:rPr>
              <w:t>Mode</w:t>
            </w:r>
          </w:p>
        </w:tc>
        <w:tc>
          <w:tcPr>
            <w:tcW w:w="1061" w:type="dxa"/>
            <w:noWrap/>
            <w:vAlign w:val="bottom"/>
            <w:hideMark/>
          </w:tcPr>
          <w:p w14:paraId="5EB09C1D" w14:textId="77777777" w:rsidR="00E737CD" w:rsidRPr="00B21F63" w:rsidRDefault="00803FFE" w:rsidP="00B3197D">
            <w:pPr>
              <w:tabs>
                <w:tab w:val="decimal" w:pos="495"/>
              </w:tabs>
              <w:spacing w:line="360" w:lineRule="auto"/>
              <w:rPr>
                <w:color w:val="000000" w:themeColor="text1"/>
                <w:lang w:eastAsia="es-ES_tradnl"/>
              </w:rPr>
            </w:pPr>
            <w:r w:rsidRPr="00B21F63">
              <w:rPr>
                <w:color w:val="000000" w:themeColor="text1"/>
                <w:lang w:eastAsia="es-ES_tradnl"/>
              </w:rPr>
              <w:t>4.00</w:t>
            </w:r>
          </w:p>
        </w:tc>
      </w:tr>
      <w:tr w:rsidR="00B21F63" w:rsidRPr="00B21F63" w14:paraId="57C5C5B9" w14:textId="77777777" w:rsidTr="00FA082D">
        <w:trPr>
          <w:trHeight w:val="263"/>
          <w:jc w:val="center"/>
        </w:trPr>
        <w:tc>
          <w:tcPr>
            <w:tcW w:w="2415" w:type="dxa"/>
            <w:noWrap/>
            <w:vAlign w:val="bottom"/>
            <w:hideMark/>
          </w:tcPr>
          <w:p w14:paraId="1E9F8EE9" w14:textId="77777777" w:rsidR="00E737CD" w:rsidRPr="00B21F63" w:rsidRDefault="00E737CD" w:rsidP="00B3197D">
            <w:pPr>
              <w:spacing w:line="360" w:lineRule="auto"/>
              <w:rPr>
                <w:color w:val="000000" w:themeColor="text1"/>
                <w:lang w:eastAsia="es-ES_tradnl"/>
              </w:rPr>
            </w:pPr>
            <w:r w:rsidRPr="00B21F63">
              <w:rPr>
                <w:color w:val="000000" w:themeColor="text1"/>
                <w:lang w:eastAsia="es-ES_tradnl"/>
              </w:rPr>
              <w:t xml:space="preserve">Standard deviation </w:t>
            </w:r>
          </w:p>
        </w:tc>
        <w:tc>
          <w:tcPr>
            <w:tcW w:w="1061" w:type="dxa"/>
            <w:noWrap/>
            <w:vAlign w:val="bottom"/>
            <w:hideMark/>
          </w:tcPr>
          <w:p w14:paraId="6A3A4068" w14:textId="77777777" w:rsidR="00E737CD" w:rsidRPr="00B21F63" w:rsidRDefault="00803FFE" w:rsidP="00B3197D">
            <w:pPr>
              <w:tabs>
                <w:tab w:val="decimal" w:pos="495"/>
              </w:tabs>
              <w:spacing w:line="360" w:lineRule="auto"/>
              <w:rPr>
                <w:color w:val="000000" w:themeColor="text1"/>
                <w:lang w:eastAsia="es-ES_tradnl"/>
              </w:rPr>
            </w:pPr>
            <w:r w:rsidRPr="00B21F63">
              <w:rPr>
                <w:color w:val="000000" w:themeColor="text1"/>
                <w:lang w:eastAsia="es-ES_tradnl"/>
              </w:rPr>
              <w:t>1.40</w:t>
            </w:r>
          </w:p>
        </w:tc>
      </w:tr>
      <w:tr w:rsidR="00B21F63" w:rsidRPr="00B21F63" w14:paraId="7F3B4D85" w14:textId="77777777" w:rsidTr="00FA082D">
        <w:trPr>
          <w:trHeight w:val="263"/>
          <w:jc w:val="center"/>
        </w:trPr>
        <w:tc>
          <w:tcPr>
            <w:tcW w:w="2415" w:type="dxa"/>
            <w:noWrap/>
            <w:vAlign w:val="bottom"/>
            <w:hideMark/>
          </w:tcPr>
          <w:p w14:paraId="593F3248" w14:textId="77777777" w:rsidR="00E737CD" w:rsidRPr="00B21F63" w:rsidRDefault="00E737CD" w:rsidP="00B3197D">
            <w:pPr>
              <w:spacing w:line="360" w:lineRule="auto"/>
              <w:rPr>
                <w:color w:val="000000" w:themeColor="text1"/>
                <w:lang w:eastAsia="es-ES_tradnl"/>
              </w:rPr>
            </w:pPr>
            <w:r w:rsidRPr="00B21F63">
              <w:rPr>
                <w:color w:val="000000" w:themeColor="text1"/>
                <w:lang w:eastAsia="es-ES_tradnl"/>
              </w:rPr>
              <w:t>Variance of the sample</w:t>
            </w:r>
          </w:p>
        </w:tc>
        <w:tc>
          <w:tcPr>
            <w:tcW w:w="1061" w:type="dxa"/>
            <w:noWrap/>
            <w:vAlign w:val="bottom"/>
            <w:hideMark/>
          </w:tcPr>
          <w:p w14:paraId="6878D975" w14:textId="77777777" w:rsidR="00E737CD" w:rsidRPr="00B21F63" w:rsidRDefault="00803FFE" w:rsidP="00B3197D">
            <w:pPr>
              <w:tabs>
                <w:tab w:val="decimal" w:pos="495"/>
              </w:tabs>
              <w:spacing w:line="360" w:lineRule="auto"/>
              <w:rPr>
                <w:color w:val="000000" w:themeColor="text1"/>
                <w:lang w:eastAsia="es-ES_tradnl"/>
              </w:rPr>
            </w:pPr>
            <w:r w:rsidRPr="00B21F63">
              <w:rPr>
                <w:color w:val="000000" w:themeColor="text1"/>
                <w:lang w:eastAsia="es-ES_tradnl"/>
              </w:rPr>
              <w:t>1.96</w:t>
            </w:r>
          </w:p>
        </w:tc>
      </w:tr>
      <w:tr w:rsidR="00B21F63" w:rsidRPr="00B21F63" w14:paraId="235C8C15" w14:textId="77777777" w:rsidTr="00FA082D">
        <w:trPr>
          <w:trHeight w:val="263"/>
          <w:jc w:val="center"/>
        </w:trPr>
        <w:tc>
          <w:tcPr>
            <w:tcW w:w="2415" w:type="dxa"/>
            <w:noWrap/>
            <w:vAlign w:val="bottom"/>
            <w:hideMark/>
          </w:tcPr>
          <w:p w14:paraId="2119D65D" w14:textId="77777777" w:rsidR="00E737CD" w:rsidRPr="00B21F63" w:rsidRDefault="00E737CD" w:rsidP="00B3197D">
            <w:pPr>
              <w:spacing w:line="360" w:lineRule="auto"/>
              <w:rPr>
                <w:color w:val="000000" w:themeColor="text1"/>
                <w:lang w:eastAsia="es-ES_tradnl"/>
              </w:rPr>
            </w:pPr>
            <w:r w:rsidRPr="00B21F63">
              <w:rPr>
                <w:color w:val="000000" w:themeColor="text1"/>
                <w:lang w:eastAsia="es-ES_tradnl"/>
              </w:rPr>
              <w:t>Kurtosis</w:t>
            </w:r>
          </w:p>
        </w:tc>
        <w:tc>
          <w:tcPr>
            <w:tcW w:w="1061" w:type="dxa"/>
            <w:noWrap/>
            <w:vAlign w:val="bottom"/>
            <w:hideMark/>
          </w:tcPr>
          <w:p w14:paraId="774168C0" w14:textId="77777777" w:rsidR="00E737CD" w:rsidRPr="00B21F63" w:rsidRDefault="00E737CD" w:rsidP="00B3197D">
            <w:pPr>
              <w:tabs>
                <w:tab w:val="decimal" w:pos="495"/>
              </w:tabs>
              <w:spacing w:line="360" w:lineRule="auto"/>
              <w:rPr>
                <w:color w:val="000000" w:themeColor="text1"/>
                <w:lang w:eastAsia="es-ES_tradnl"/>
              </w:rPr>
            </w:pPr>
            <w:r w:rsidRPr="00B21F63">
              <w:rPr>
                <w:color w:val="000000" w:themeColor="text1"/>
                <w:lang w:eastAsia="es-ES_tradnl"/>
              </w:rPr>
              <w:t>1.8</w:t>
            </w:r>
            <w:r w:rsidR="00803FFE" w:rsidRPr="00B21F63">
              <w:rPr>
                <w:color w:val="000000" w:themeColor="text1"/>
                <w:lang w:eastAsia="es-ES_tradnl"/>
              </w:rPr>
              <w:t>4</w:t>
            </w:r>
          </w:p>
        </w:tc>
      </w:tr>
      <w:tr w:rsidR="00B21F63" w:rsidRPr="00B21F63" w14:paraId="5017A014" w14:textId="77777777" w:rsidTr="00FA082D">
        <w:trPr>
          <w:trHeight w:val="263"/>
          <w:jc w:val="center"/>
        </w:trPr>
        <w:tc>
          <w:tcPr>
            <w:tcW w:w="2415" w:type="dxa"/>
            <w:noWrap/>
            <w:vAlign w:val="bottom"/>
            <w:hideMark/>
          </w:tcPr>
          <w:p w14:paraId="3076BEB2" w14:textId="1CA7B8FE" w:rsidR="00E737CD" w:rsidRPr="00B21F63" w:rsidRDefault="00E737CD" w:rsidP="00B3197D">
            <w:pPr>
              <w:spacing w:line="360" w:lineRule="auto"/>
              <w:rPr>
                <w:color w:val="000000" w:themeColor="text1"/>
                <w:lang w:eastAsia="es-ES_tradnl"/>
              </w:rPr>
            </w:pPr>
            <w:r w:rsidRPr="00B21F63">
              <w:rPr>
                <w:color w:val="000000" w:themeColor="text1"/>
                <w:lang w:eastAsia="es-ES_tradnl"/>
              </w:rPr>
              <w:t>Asymmetry coefficient</w:t>
            </w:r>
          </w:p>
        </w:tc>
        <w:tc>
          <w:tcPr>
            <w:tcW w:w="1061" w:type="dxa"/>
            <w:noWrap/>
            <w:vAlign w:val="bottom"/>
            <w:hideMark/>
          </w:tcPr>
          <w:p w14:paraId="567E8DED" w14:textId="77777777" w:rsidR="00E737CD" w:rsidRPr="00B21F63" w:rsidRDefault="00E737CD" w:rsidP="00B3197D">
            <w:pPr>
              <w:tabs>
                <w:tab w:val="decimal" w:pos="495"/>
              </w:tabs>
              <w:spacing w:line="360" w:lineRule="auto"/>
              <w:rPr>
                <w:color w:val="000000" w:themeColor="text1"/>
                <w:lang w:eastAsia="es-ES_tradnl"/>
              </w:rPr>
            </w:pPr>
            <w:r w:rsidRPr="00B21F63">
              <w:rPr>
                <w:color w:val="000000" w:themeColor="text1"/>
                <w:lang w:eastAsia="es-ES_tradnl"/>
              </w:rPr>
              <w:t>1.2</w:t>
            </w:r>
            <w:r w:rsidR="00803FFE" w:rsidRPr="00B21F63">
              <w:rPr>
                <w:color w:val="000000" w:themeColor="text1"/>
                <w:lang w:eastAsia="es-ES_tradnl"/>
              </w:rPr>
              <w:t>5</w:t>
            </w:r>
          </w:p>
        </w:tc>
      </w:tr>
      <w:tr w:rsidR="00B21F63" w:rsidRPr="00B21F63" w14:paraId="0EBCE707" w14:textId="77777777" w:rsidTr="00FA082D">
        <w:trPr>
          <w:trHeight w:val="263"/>
          <w:jc w:val="center"/>
        </w:trPr>
        <w:tc>
          <w:tcPr>
            <w:tcW w:w="2415" w:type="dxa"/>
            <w:noWrap/>
            <w:vAlign w:val="bottom"/>
            <w:hideMark/>
          </w:tcPr>
          <w:p w14:paraId="3564F715" w14:textId="77777777" w:rsidR="00E737CD" w:rsidRPr="00B21F63" w:rsidRDefault="00E737CD" w:rsidP="00B3197D">
            <w:pPr>
              <w:spacing w:line="360" w:lineRule="auto"/>
              <w:rPr>
                <w:color w:val="000000" w:themeColor="text1"/>
                <w:lang w:eastAsia="es-ES_tradnl"/>
              </w:rPr>
            </w:pPr>
            <w:r w:rsidRPr="00B21F63">
              <w:rPr>
                <w:color w:val="000000" w:themeColor="text1"/>
                <w:lang w:eastAsia="es-ES_tradnl"/>
              </w:rPr>
              <w:t>Minimum</w:t>
            </w:r>
          </w:p>
        </w:tc>
        <w:tc>
          <w:tcPr>
            <w:tcW w:w="1061" w:type="dxa"/>
            <w:noWrap/>
            <w:vAlign w:val="bottom"/>
            <w:hideMark/>
          </w:tcPr>
          <w:p w14:paraId="7D67B5F8" w14:textId="05648FD8" w:rsidR="00E737CD" w:rsidRPr="00B21F63" w:rsidRDefault="00803FFE" w:rsidP="00B3197D">
            <w:pPr>
              <w:tabs>
                <w:tab w:val="decimal" w:pos="495"/>
              </w:tabs>
              <w:spacing w:line="360" w:lineRule="auto"/>
              <w:rPr>
                <w:color w:val="000000" w:themeColor="text1"/>
                <w:lang w:eastAsia="es-ES_tradnl"/>
              </w:rPr>
            </w:pPr>
            <w:r w:rsidRPr="00B21F63">
              <w:rPr>
                <w:color w:val="000000" w:themeColor="text1"/>
                <w:lang w:eastAsia="es-ES_tradnl"/>
              </w:rPr>
              <w:t>3</w:t>
            </w:r>
            <w:r w:rsidR="001714E4" w:rsidRPr="00B21F63">
              <w:rPr>
                <w:color w:val="000000" w:themeColor="text1"/>
                <w:lang w:eastAsia="es-ES_tradnl"/>
              </w:rPr>
              <w:t>.00</w:t>
            </w:r>
          </w:p>
        </w:tc>
      </w:tr>
      <w:tr w:rsidR="00B21F63" w:rsidRPr="00B21F63" w14:paraId="57E42C75" w14:textId="77777777" w:rsidTr="00FA082D">
        <w:trPr>
          <w:trHeight w:val="263"/>
          <w:jc w:val="center"/>
        </w:trPr>
        <w:tc>
          <w:tcPr>
            <w:tcW w:w="2415" w:type="dxa"/>
            <w:noWrap/>
            <w:vAlign w:val="bottom"/>
            <w:hideMark/>
          </w:tcPr>
          <w:p w14:paraId="7FF7BBCD" w14:textId="77777777" w:rsidR="00E737CD" w:rsidRPr="00B21F63" w:rsidRDefault="00E737CD" w:rsidP="00B3197D">
            <w:pPr>
              <w:spacing w:line="360" w:lineRule="auto"/>
              <w:rPr>
                <w:color w:val="000000" w:themeColor="text1"/>
                <w:lang w:eastAsia="es-ES_tradnl"/>
              </w:rPr>
            </w:pPr>
            <w:r w:rsidRPr="00B21F63">
              <w:rPr>
                <w:color w:val="000000" w:themeColor="text1"/>
                <w:lang w:eastAsia="es-ES_tradnl"/>
              </w:rPr>
              <w:t>Maximum</w:t>
            </w:r>
          </w:p>
        </w:tc>
        <w:tc>
          <w:tcPr>
            <w:tcW w:w="1061" w:type="dxa"/>
            <w:noWrap/>
            <w:vAlign w:val="bottom"/>
            <w:hideMark/>
          </w:tcPr>
          <w:p w14:paraId="5DEC9385" w14:textId="52D68BF4" w:rsidR="00E737CD" w:rsidRPr="00B21F63" w:rsidRDefault="00803FFE" w:rsidP="00B3197D">
            <w:pPr>
              <w:tabs>
                <w:tab w:val="decimal" w:pos="495"/>
              </w:tabs>
              <w:spacing w:line="360" w:lineRule="auto"/>
              <w:rPr>
                <w:color w:val="000000" w:themeColor="text1"/>
                <w:lang w:eastAsia="es-ES_tradnl"/>
              </w:rPr>
            </w:pPr>
            <w:r w:rsidRPr="00B21F63">
              <w:rPr>
                <w:color w:val="000000" w:themeColor="text1"/>
                <w:lang w:eastAsia="es-ES_tradnl"/>
              </w:rPr>
              <w:t>10</w:t>
            </w:r>
            <w:r w:rsidR="001714E4" w:rsidRPr="00B21F63">
              <w:rPr>
                <w:color w:val="000000" w:themeColor="text1"/>
                <w:lang w:eastAsia="es-ES_tradnl"/>
              </w:rPr>
              <w:t>.00</w:t>
            </w:r>
          </w:p>
        </w:tc>
      </w:tr>
    </w:tbl>
    <w:p w14:paraId="678A67DB" w14:textId="77777777" w:rsidR="00E737CD" w:rsidRPr="00B21F63" w:rsidRDefault="00E737CD" w:rsidP="00B3197D">
      <w:pPr>
        <w:spacing w:after="360" w:line="360" w:lineRule="auto"/>
        <w:jc w:val="both"/>
        <w:rPr>
          <w:color w:val="000000" w:themeColor="text1"/>
          <w:shd w:val="clear" w:color="auto" w:fill="FFFFFF"/>
          <w:lang w:eastAsia="es-MX"/>
        </w:rPr>
      </w:pPr>
      <w:r w:rsidRPr="00B21F63">
        <w:rPr>
          <w:color w:val="000000" w:themeColor="text1"/>
          <w:shd w:val="clear" w:color="auto" w:fill="FFFFFF"/>
          <w:lang w:eastAsia="es-MX"/>
        </w:rPr>
        <w:t xml:space="preserve">                                    Source: Prepared by the author based on the sample</w:t>
      </w:r>
    </w:p>
    <w:p w14:paraId="001036B0" w14:textId="77777777" w:rsidR="003D291F" w:rsidRDefault="003D291F" w:rsidP="00B3197D">
      <w:pPr>
        <w:spacing w:line="360" w:lineRule="auto"/>
        <w:jc w:val="center"/>
        <w:rPr>
          <w:b/>
          <w:bCs/>
          <w:iCs/>
          <w:color w:val="000000" w:themeColor="text1"/>
        </w:rPr>
      </w:pPr>
    </w:p>
    <w:p w14:paraId="10C7E311" w14:textId="77777777" w:rsidR="003D291F" w:rsidRDefault="003D291F" w:rsidP="00B3197D">
      <w:pPr>
        <w:spacing w:line="360" w:lineRule="auto"/>
        <w:jc w:val="center"/>
        <w:rPr>
          <w:b/>
          <w:bCs/>
          <w:iCs/>
          <w:color w:val="000000" w:themeColor="text1"/>
        </w:rPr>
      </w:pPr>
    </w:p>
    <w:p w14:paraId="52614DFA" w14:textId="77777777" w:rsidR="003D291F" w:rsidRDefault="003D291F" w:rsidP="00B3197D">
      <w:pPr>
        <w:spacing w:line="360" w:lineRule="auto"/>
        <w:jc w:val="center"/>
        <w:rPr>
          <w:b/>
          <w:bCs/>
          <w:iCs/>
          <w:color w:val="000000" w:themeColor="text1"/>
        </w:rPr>
      </w:pPr>
    </w:p>
    <w:p w14:paraId="6AB6F3A2" w14:textId="77777777" w:rsidR="003D291F" w:rsidRDefault="003D291F" w:rsidP="00B3197D">
      <w:pPr>
        <w:spacing w:line="360" w:lineRule="auto"/>
        <w:jc w:val="center"/>
        <w:rPr>
          <w:b/>
          <w:bCs/>
          <w:iCs/>
          <w:color w:val="000000" w:themeColor="text1"/>
        </w:rPr>
      </w:pPr>
    </w:p>
    <w:p w14:paraId="27D384E6" w14:textId="77777777" w:rsidR="003D291F" w:rsidRDefault="003D291F" w:rsidP="00B3197D">
      <w:pPr>
        <w:spacing w:line="360" w:lineRule="auto"/>
        <w:jc w:val="center"/>
        <w:rPr>
          <w:b/>
          <w:bCs/>
          <w:iCs/>
          <w:color w:val="000000" w:themeColor="text1"/>
        </w:rPr>
      </w:pPr>
    </w:p>
    <w:p w14:paraId="678BEB62" w14:textId="77777777" w:rsidR="003D291F" w:rsidRDefault="003D291F" w:rsidP="00B3197D">
      <w:pPr>
        <w:spacing w:line="360" w:lineRule="auto"/>
        <w:jc w:val="center"/>
        <w:rPr>
          <w:b/>
          <w:bCs/>
          <w:iCs/>
          <w:color w:val="000000" w:themeColor="text1"/>
        </w:rPr>
      </w:pPr>
    </w:p>
    <w:p w14:paraId="7C1662F5" w14:textId="5297701B" w:rsidR="003D291F" w:rsidRDefault="003D291F" w:rsidP="00B3197D">
      <w:pPr>
        <w:spacing w:line="360" w:lineRule="auto"/>
        <w:jc w:val="center"/>
        <w:rPr>
          <w:b/>
          <w:bCs/>
          <w:iCs/>
          <w:color w:val="000000" w:themeColor="text1"/>
        </w:rPr>
      </w:pPr>
    </w:p>
    <w:p w14:paraId="16B49966" w14:textId="77777777" w:rsidR="00CB5B22" w:rsidRDefault="00CB5B22" w:rsidP="00B3197D">
      <w:pPr>
        <w:spacing w:line="360" w:lineRule="auto"/>
        <w:jc w:val="center"/>
        <w:rPr>
          <w:b/>
          <w:bCs/>
          <w:iCs/>
          <w:color w:val="000000" w:themeColor="text1"/>
        </w:rPr>
      </w:pPr>
    </w:p>
    <w:p w14:paraId="6D1348D4" w14:textId="77777777" w:rsidR="003D291F" w:rsidRDefault="003D291F" w:rsidP="00B3197D">
      <w:pPr>
        <w:spacing w:line="360" w:lineRule="auto"/>
        <w:jc w:val="center"/>
        <w:rPr>
          <w:b/>
          <w:bCs/>
          <w:iCs/>
          <w:color w:val="000000" w:themeColor="text1"/>
        </w:rPr>
      </w:pPr>
    </w:p>
    <w:p w14:paraId="36B493AC" w14:textId="77777777" w:rsidR="003D291F" w:rsidRDefault="003D291F" w:rsidP="00B3197D">
      <w:pPr>
        <w:spacing w:line="360" w:lineRule="auto"/>
        <w:jc w:val="center"/>
        <w:rPr>
          <w:b/>
          <w:bCs/>
          <w:iCs/>
          <w:color w:val="000000" w:themeColor="text1"/>
        </w:rPr>
      </w:pPr>
    </w:p>
    <w:p w14:paraId="43BF3737" w14:textId="665BD86C" w:rsidR="00E737CD" w:rsidRPr="00B21F63" w:rsidRDefault="00E737CD" w:rsidP="00B3197D">
      <w:pPr>
        <w:spacing w:line="360" w:lineRule="auto"/>
        <w:jc w:val="center"/>
        <w:rPr>
          <w:iCs/>
          <w:color w:val="000000" w:themeColor="text1"/>
        </w:rPr>
      </w:pPr>
      <w:r w:rsidRPr="00B21F63">
        <w:rPr>
          <w:b/>
          <w:bCs/>
          <w:iCs/>
          <w:color w:val="000000" w:themeColor="text1"/>
        </w:rPr>
        <w:lastRenderedPageBreak/>
        <w:t>Figure 1.</w:t>
      </w:r>
      <w:r w:rsidRPr="00B21F63">
        <w:rPr>
          <w:iCs/>
          <w:color w:val="000000" w:themeColor="text1"/>
        </w:rPr>
        <w:t xml:space="preserve"> Distribution of Percent Correct </w:t>
      </w:r>
      <w:r w:rsidR="005A3986">
        <w:rPr>
          <w:iCs/>
          <w:color w:val="000000" w:themeColor="text1"/>
        </w:rPr>
        <w:t>on the 11 Selected CAOS Items (n</w:t>
      </w:r>
      <w:r w:rsidRPr="00B21F63">
        <w:rPr>
          <w:iCs/>
          <w:color w:val="000000" w:themeColor="text1"/>
        </w:rPr>
        <w:t xml:space="preserve"> = 138).</w:t>
      </w:r>
    </w:p>
    <w:p w14:paraId="19B62016" w14:textId="77777777" w:rsidR="00E737CD" w:rsidRPr="00B21F63" w:rsidRDefault="00E737CD" w:rsidP="00B3197D">
      <w:pPr>
        <w:spacing w:line="360" w:lineRule="auto"/>
        <w:jc w:val="center"/>
        <w:rPr>
          <w:color w:val="000000" w:themeColor="text1"/>
        </w:rPr>
      </w:pPr>
      <w:r w:rsidRPr="00B21F63">
        <w:rPr>
          <w:noProof/>
          <w:color w:val="000000" w:themeColor="text1"/>
          <w:lang w:val="es-MX" w:eastAsia="es-MX"/>
        </w:rPr>
        <w:drawing>
          <wp:inline distT="0" distB="0" distL="0" distR="0" wp14:anchorId="0B612EAB" wp14:editId="3BCCEDD7">
            <wp:extent cx="5562269" cy="2971800"/>
            <wp:effectExtent l="0" t="0" r="635" b="0"/>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ure1.tiff"/>
                    <pic:cNvPicPr/>
                  </pic:nvPicPr>
                  <pic:blipFill>
                    <a:blip r:embed="rId8" cstate="print">
                      <a:extLst>
                        <a:ext uri="{28A0092B-C50C-407E-A947-70E740481C1C}">
                          <a14:useLocalDpi xmlns:a14="http://schemas.microsoft.com/office/drawing/2010/main" val="0"/>
                        </a:ext>
                      </a:extLst>
                    </a:blip>
                    <a:stretch>
                      <a:fillRect/>
                    </a:stretch>
                  </pic:blipFill>
                  <pic:spPr>
                    <a:xfrm>
                      <a:off x="0" y="0"/>
                      <a:ext cx="5655517" cy="3021620"/>
                    </a:xfrm>
                    <a:prstGeom prst="rect">
                      <a:avLst/>
                    </a:prstGeom>
                  </pic:spPr>
                </pic:pic>
              </a:graphicData>
            </a:graphic>
          </wp:inline>
        </w:drawing>
      </w:r>
    </w:p>
    <w:p w14:paraId="7AF99D11" w14:textId="77777777" w:rsidR="00E737CD" w:rsidRPr="00B21F63" w:rsidRDefault="00E737CD" w:rsidP="00B3197D">
      <w:pPr>
        <w:spacing w:line="360" w:lineRule="auto"/>
        <w:jc w:val="center"/>
        <w:rPr>
          <w:color w:val="000000" w:themeColor="text1"/>
        </w:rPr>
      </w:pPr>
      <w:r w:rsidRPr="00B21F63">
        <w:rPr>
          <w:color w:val="000000" w:themeColor="text1"/>
          <w:shd w:val="clear" w:color="auto" w:fill="FFFFFF"/>
          <w:lang w:eastAsia="es-MX"/>
        </w:rPr>
        <w:t>Source: Prepared by the author based on the sample</w:t>
      </w:r>
    </w:p>
    <w:p w14:paraId="6806D232" w14:textId="77777777" w:rsidR="00F15C05" w:rsidRPr="00B21F63" w:rsidRDefault="00F15C05" w:rsidP="00B3197D">
      <w:pPr>
        <w:pStyle w:val="Body"/>
        <w:ind w:firstLine="720"/>
        <w:rPr>
          <w:color w:val="000000" w:themeColor="text1"/>
          <w:szCs w:val="24"/>
        </w:rPr>
      </w:pPr>
      <w:r w:rsidRPr="00B21F63">
        <w:rPr>
          <w:color w:val="000000" w:themeColor="text1"/>
          <w:szCs w:val="24"/>
        </w:rPr>
        <w:t>Table 2 presents the percentage of students who selected each response option for each item. Less than half of the students could match the description of a variable to an appropriate histogram (Items 2, 3 and 4). Only 37% of the students were able to recognize a variable description for a bell-shaped distribution (Item 3), with the majority selecting a positively skewed or uniform distribution. Similarly, only 22% of the students correctly identified the histogram for the description of a variable with a uniform distribution (Item 4) compared to the majority who confused it with either a positively skewed or bell-shaped distribution. Less than a third of the students could match a histogram to the description of a variable with a negative skewness (Item 2), with the majority selecting a histogram for a uniform distribution. Related to the Item 2 responses, only 37% demonstrated an understanding that the median being noticeably larger than the mean is indicative of a negatively skewed distribution (Item 11). Thus, many students demonstrated a clear issue with inability to between different types of distribution.</w:t>
      </w:r>
    </w:p>
    <w:p w14:paraId="68BAAFA3" w14:textId="77777777" w:rsidR="00F15C05" w:rsidRPr="00B21F63" w:rsidRDefault="00F15C05" w:rsidP="00B3197D">
      <w:pPr>
        <w:pStyle w:val="Body"/>
        <w:ind w:firstLine="720"/>
        <w:rPr>
          <w:color w:val="000000" w:themeColor="text1"/>
          <w:szCs w:val="24"/>
        </w:rPr>
      </w:pPr>
      <w:r w:rsidRPr="00B21F63">
        <w:rPr>
          <w:color w:val="000000" w:themeColor="text1"/>
          <w:szCs w:val="24"/>
        </w:rPr>
        <w:t xml:space="preserve">Only 52% of students selected a complete description of a graph (Item 1) and only 4% of students chose the correct response for Item 5, which asked them to identify a graph that represents the distribution, central tendency and dispersion of a variable. Students were more likely to choose one of the three case-value plots, especially one artificially shaped like a normal distribution (43%). This may indicate a preference for symmetric, bell-shaped distributions and a lack of understanding that a graphic representation for the distribution of a variable must represent the shape, central tendency, </w:t>
      </w:r>
      <w:r w:rsidRPr="00B21F63">
        <w:rPr>
          <w:color w:val="000000" w:themeColor="text1"/>
          <w:szCs w:val="24"/>
        </w:rPr>
        <w:lastRenderedPageBreak/>
        <w:t>and dispersion of the variable. It can be inferred from students’ responses to the first five items that they are not familiar with different types of skewness and graph shapes, nor their relationship with central tendency and dispersion measures.</w:t>
      </w:r>
    </w:p>
    <w:p w14:paraId="5CF0FA7F" w14:textId="77777777" w:rsidR="00771D5F" w:rsidRPr="00B21F63" w:rsidRDefault="00771D5F" w:rsidP="00B3197D">
      <w:pPr>
        <w:pStyle w:val="Body"/>
        <w:ind w:firstLine="720"/>
        <w:rPr>
          <w:color w:val="000000" w:themeColor="text1"/>
          <w:szCs w:val="24"/>
        </w:rPr>
      </w:pPr>
      <w:r w:rsidRPr="00B21F63">
        <w:rPr>
          <w:color w:val="000000" w:themeColor="text1"/>
          <w:szCs w:val="24"/>
        </w:rPr>
        <w:t>The highest percentage of correct answers were obtained for items 6, 7 and 8, which asked the student to indicate valid comparisons that can be made between the graphs for two near-symmetrical distributions. More than 80% of the students knew that the average could be used to compare two distributions (Item 7), 59% demonstrated an ability to consider each distribution as an aggregate and not focus on individual cases (Item 6), and 59% understood that sample sizes did not need to be equal to compare distributions (Item 8). This may show that the students are more familiar with symmetrical distributions. However, many students indicated it was valid to use special cases in each distribution to make a comparison, or that the sample sizes must be equal in order to make a comparison, even when the sample sizes are large.</w:t>
      </w:r>
    </w:p>
    <w:p w14:paraId="23C6C4C3" w14:textId="77777777" w:rsidR="0013363E" w:rsidRPr="00B21F63" w:rsidRDefault="0013363E" w:rsidP="00B3197D">
      <w:pPr>
        <w:pStyle w:val="Body"/>
        <w:ind w:firstLine="720"/>
        <w:rPr>
          <w:color w:val="000000" w:themeColor="text1"/>
          <w:szCs w:val="24"/>
        </w:rPr>
      </w:pPr>
      <w:r w:rsidRPr="00B21F63">
        <w:rPr>
          <w:color w:val="000000" w:themeColor="text1"/>
          <w:szCs w:val="24"/>
        </w:rPr>
        <w:t>Items 9 and 10 presented five different types of graphs in order to assess the students’ interpretation of variation, specifically standard deviation, which they confused with the shape of the distribution of data and the degree to which the values diverge compared to the average. It is interesting to note that for Item 9, 44% of the students associated a low value for standard deviation with a uniform distribution, compared to 30% who correctly related it to a bell curve distribution. This may indicate that many students associate the standard deviation with the variation in bar heights in a histogram and not with the dispersion of the variable. For Item 10, 39% of the students did associate a larger standard deviation with a distribution in which the majority of the data is more distant from the arithmetic mean. However, 45% of the students chose one of the bell-shaped distributions, possibly indicating a preference for a distribution that appears to be normally distributed, and not demonstrating an understanding that a uniform distribution over a similar range has a greater spread in data than a bell-shaped distribution.</w:t>
      </w:r>
    </w:p>
    <w:p w14:paraId="1B773287" w14:textId="77777777" w:rsidR="0013363E" w:rsidRPr="00B21F63" w:rsidRDefault="0013363E" w:rsidP="00B3197D">
      <w:pPr>
        <w:pStyle w:val="Body"/>
        <w:ind w:firstLine="720"/>
        <w:rPr>
          <w:color w:val="000000" w:themeColor="text1"/>
          <w:szCs w:val="24"/>
        </w:rPr>
      </w:pPr>
      <w:r w:rsidRPr="00B21F63">
        <w:rPr>
          <w:color w:val="000000" w:themeColor="text1"/>
          <w:szCs w:val="24"/>
        </w:rPr>
        <w:t>Finally, Item 11 presented a table with descriptive statistics for a variable (mean, median, standard deviation, minimum, and maximum) and three types of graphs (bell-shaped, negatively skewed, and positively skewed), and required the students to choose which graph best fits the statistics presented. Thus, despite the fact that the skewness of the distribution can be identified from the statistics (the mean is noticeably less than the median), close to 60% of the students associated them with the near-symmetrical shape. Thus, the students do not appear to be able to interpret a graph when it does not have a symmetrical shape.</w:t>
      </w:r>
    </w:p>
    <w:p w14:paraId="46DA15AC" w14:textId="77777777" w:rsidR="0013363E" w:rsidRPr="00B21F63" w:rsidRDefault="0013363E" w:rsidP="00B3197D">
      <w:pPr>
        <w:pStyle w:val="Body"/>
        <w:ind w:firstLine="720"/>
        <w:rPr>
          <w:color w:val="000000" w:themeColor="text1"/>
          <w:szCs w:val="24"/>
        </w:rPr>
      </w:pPr>
      <w:r w:rsidRPr="00B21F63">
        <w:rPr>
          <w:color w:val="000000" w:themeColor="text1"/>
          <w:szCs w:val="24"/>
        </w:rPr>
        <w:lastRenderedPageBreak/>
        <w:t>The results show that many students in undergraduate programs in the Economic-Administrative sciences experience the following problems in reading and interpreting a bar chart or histogram: they confuse the shape of distribution from a data set; they do not know how to identify small or large standard deviation from a graph; and they can neither clearly identify skewed distributions nor relate them to their central tendency and dispersion measures. On the other hand, many students do make satisfactory interpretations when asked to compare symmetrical graphs with different arithmetic means and standard deviations; moreover, when presented with symmetrical distribution, they do satisfactorily describe both the central tendency and dispersion measures, as well as atypical values.</w:t>
      </w:r>
    </w:p>
    <w:p w14:paraId="377E3CE7" w14:textId="112ED8F6" w:rsidR="0013363E" w:rsidRPr="00B21F63" w:rsidRDefault="0013363E" w:rsidP="00B3197D">
      <w:pPr>
        <w:pStyle w:val="Body"/>
        <w:ind w:firstLine="720"/>
        <w:rPr>
          <w:color w:val="000000" w:themeColor="text1"/>
          <w:szCs w:val="24"/>
        </w:rPr>
      </w:pPr>
      <w:r w:rsidRPr="00B21F63">
        <w:rPr>
          <w:color w:val="000000" w:themeColor="text1"/>
          <w:szCs w:val="24"/>
        </w:rPr>
        <w:t>These results may be due to various probable causes, such as students not being taught the different forms of data distribution or their relationship with central tendency and dispersion measures</w:t>
      </w:r>
      <w:r w:rsidR="006E2B8E" w:rsidRPr="00B21F63">
        <w:rPr>
          <w:color w:val="000000" w:themeColor="text1"/>
          <w:szCs w:val="24"/>
        </w:rPr>
        <w:t xml:space="preserve"> </w:t>
      </w:r>
      <w:r w:rsidRPr="00B21F63">
        <w:rPr>
          <w:color w:val="000000" w:themeColor="text1"/>
          <w:szCs w:val="24"/>
        </w:rPr>
        <w:t>and reveal that more emphasis may be placed on symmetrical than on asymmetrical distributions. Another cause could be the lack of teacher training in the area of graphical representation, which may be explained by the different types of pedagogical preparation of those teaching the statistics courses.</w:t>
      </w:r>
    </w:p>
    <w:p w14:paraId="5F288488" w14:textId="48920F7E" w:rsidR="0013363E" w:rsidRDefault="0013363E" w:rsidP="00B3197D">
      <w:pPr>
        <w:spacing w:line="360" w:lineRule="auto"/>
        <w:rPr>
          <w:b/>
          <w:color w:val="000000" w:themeColor="text1"/>
        </w:rPr>
      </w:pPr>
    </w:p>
    <w:p w14:paraId="26691EBB" w14:textId="29CCAA20" w:rsidR="003D291F" w:rsidRDefault="003D291F" w:rsidP="00B3197D">
      <w:pPr>
        <w:spacing w:line="360" w:lineRule="auto"/>
        <w:rPr>
          <w:b/>
          <w:color w:val="000000" w:themeColor="text1"/>
        </w:rPr>
      </w:pPr>
    </w:p>
    <w:p w14:paraId="2BA75E53" w14:textId="4EDA61AE" w:rsidR="003D291F" w:rsidRDefault="003D291F" w:rsidP="00B3197D">
      <w:pPr>
        <w:spacing w:line="360" w:lineRule="auto"/>
        <w:rPr>
          <w:b/>
          <w:color w:val="000000" w:themeColor="text1"/>
        </w:rPr>
      </w:pPr>
    </w:p>
    <w:p w14:paraId="2AE22DA6" w14:textId="41FE0030" w:rsidR="003D291F" w:rsidRDefault="003D291F" w:rsidP="00B3197D">
      <w:pPr>
        <w:spacing w:line="360" w:lineRule="auto"/>
        <w:rPr>
          <w:b/>
          <w:color w:val="000000" w:themeColor="text1"/>
        </w:rPr>
      </w:pPr>
    </w:p>
    <w:p w14:paraId="485A04D5" w14:textId="40783F96" w:rsidR="003D291F" w:rsidRDefault="003D291F" w:rsidP="00B3197D">
      <w:pPr>
        <w:spacing w:line="360" w:lineRule="auto"/>
        <w:rPr>
          <w:b/>
          <w:color w:val="000000" w:themeColor="text1"/>
        </w:rPr>
      </w:pPr>
    </w:p>
    <w:p w14:paraId="602C4005" w14:textId="1CA0FA8D" w:rsidR="003D291F" w:rsidRDefault="003D291F" w:rsidP="00B3197D">
      <w:pPr>
        <w:spacing w:line="360" w:lineRule="auto"/>
        <w:rPr>
          <w:b/>
          <w:color w:val="000000" w:themeColor="text1"/>
        </w:rPr>
      </w:pPr>
    </w:p>
    <w:p w14:paraId="66B8BAED" w14:textId="57E80FC8" w:rsidR="003D291F" w:rsidRDefault="003D291F" w:rsidP="00B3197D">
      <w:pPr>
        <w:spacing w:line="360" w:lineRule="auto"/>
        <w:rPr>
          <w:b/>
          <w:color w:val="000000" w:themeColor="text1"/>
        </w:rPr>
      </w:pPr>
    </w:p>
    <w:p w14:paraId="7CB244E4" w14:textId="5E09EBD7" w:rsidR="003D291F" w:rsidRDefault="003D291F" w:rsidP="00B3197D">
      <w:pPr>
        <w:spacing w:line="360" w:lineRule="auto"/>
        <w:rPr>
          <w:b/>
          <w:color w:val="000000" w:themeColor="text1"/>
        </w:rPr>
      </w:pPr>
    </w:p>
    <w:p w14:paraId="3DA9919D" w14:textId="2D440D34" w:rsidR="003D291F" w:rsidRDefault="003D291F" w:rsidP="00B3197D">
      <w:pPr>
        <w:spacing w:line="360" w:lineRule="auto"/>
        <w:rPr>
          <w:b/>
          <w:color w:val="000000" w:themeColor="text1"/>
        </w:rPr>
      </w:pPr>
    </w:p>
    <w:p w14:paraId="26BB3D36" w14:textId="782818BB" w:rsidR="003D291F" w:rsidRDefault="003D291F" w:rsidP="00B3197D">
      <w:pPr>
        <w:spacing w:line="360" w:lineRule="auto"/>
        <w:rPr>
          <w:b/>
          <w:color w:val="000000" w:themeColor="text1"/>
        </w:rPr>
      </w:pPr>
    </w:p>
    <w:p w14:paraId="3549AF27" w14:textId="66D13053" w:rsidR="003D291F" w:rsidRDefault="003D291F" w:rsidP="00B3197D">
      <w:pPr>
        <w:spacing w:line="360" w:lineRule="auto"/>
        <w:rPr>
          <w:b/>
          <w:color w:val="000000" w:themeColor="text1"/>
        </w:rPr>
      </w:pPr>
    </w:p>
    <w:p w14:paraId="0237D319" w14:textId="32AA0B9F" w:rsidR="003D291F" w:rsidRDefault="003D291F" w:rsidP="00B3197D">
      <w:pPr>
        <w:spacing w:line="360" w:lineRule="auto"/>
        <w:rPr>
          <w:b/>
          <w:color w:val="000000" w:themeColor="text1"/>
        </w:rPr>
      </w:pPr>
    </w:p>
    <w:p w14:paraId="2890751D" w14:textId="77777777" w:rsidR="003D291F" w:rsidRPr="00B21F63" w:rsidRDefault="003D291F" w:rsidP="00B3197D">
      <w:pPr>
        <w:spacing w:line="360" w:lineRule="auto"/>
        <w:rPr>
          <w:b/>
          <w:color w:val="000000" w:themeColor="text1"/>
        </w:rPr>
      </w:pPr>
    </w:p>
    <w:p w14:paraId="04F3CFAE" w14:textId="77777777" w:rsidR="006E2B8E" w:rsidRDefault="006E2B8E" w:rsidP="00B3197D">
      <w:pPr>
        <w:spacing w:line="360" w:lineRule="auto"/>
        <w:rPr>
          <w:b/>
          <w:color w:val="000000" w:themeColor="text1"/>
        </w:rPr>
      </w:pPr>
    </w:p>
    <w:p w14:paraId="0EADBD6E" w14:textId="77777777" w:rsidR="00DB1D79" w:rsidRDefault="00DB1D79" w:rsidP="00B3197D">
      <w:pPr>
        <w:spacing w:line="360" w:lineRule="auto"/>
        <w:rPr>
          <w:b/>
          <w:color w:val="000000" w:themeColor="text1"/>
        </w:rPr>
      </w:pPr>
    </w:p>
    <w:p w14:paraId="19B7DA70" w14:textId="77777777" w:rsidR="00DB1D79" w:rsidRDefault="00DB1D79" w:rsidP="00B3197D">
      <w:pPr>
        <w:spacing w:line="360" w:lineRule="auto"/>
        <w:rPr>
          <w:b/>
          <w:color w:val="000000" w:themeColor="text1"/>
        </w:rPr>
      </w:pPr>
    </w:p>
    <w:p w14:paraId="6926EB4C" w14:textId="77777777" w:rsidR="00DB1D79" w:rsidRDefault="00DB1D79" w:rsidP="00B3197D">
      <w:pPr>
        <w:spacing w:line="360" w:lineRule="auto"/>
        <w:rPr>
          <w:b/>
          <w:color w:val="000000" w:themeColor="text1"/>
        </w:rPr>
      </w:pPr>
    </w:p>
    <w:p w14:paraId="2FC4EE63" w14:textId="77777777" w:rsidR="00DB1D79" w:rsidRDefault="00DB1D79" w:rsidP="00B3197D">
      <w:pPr>
        <w:spacing w:line="360" w:lineRule="auto"/>
        <w:rPr>
          <w:b/>
          <w:color w:val="000000" w:themeColor="text1"/>
        </w:rPr>
      </w:pPr>
    </w:p>
    <w:p w14:paraId="00F34675" w14:textId="151DB567" w:rsidR="00DB1D79" w:rsidRPr="00B21F63" w:rsidRDefault="00DB1D79" w:rsidP="00B3197D">
      <w:pPr>
        <w:spacing w:line="360" w:lineRule="auto"/>
        <w:rPr>
          <w:b/>
          <w:color w:val="000000" w:themeColor="text1"/>
        </w:rPr>
        <w:sectPr w:rsidR="00DB1D79" w:rsidRPr="00B21F63" w:rsidSect="003D291F">
          <w:headerReference w:type="even" r:id="rId9"/>
          <w:headerReference w:type="default" r:id="rId10"/>
          <w:footerReference w:type="even" r:id="rId11"/>
          <w:footerReference w:type="default" r:id="rId12"/>
          <w:headerReference w:type="first" r:id="rId13"/>
          <w:footerReference w:type="first" r:id="rId14"/>
          <w:type w:val="continuous"/>
          <w:pgSz w:w="11894" w:h="16819" w:code="9"/>
          <w:pgMar w:top="1417" w:right="1701" w:bottom="1134" w:left="1701" w:header="280" w:footer="0" w:gutter="0"/>
          <w:cols w:space="720"/>
          <w:titlePg/>
          <w:docGrid w:linePitch="360"/>
        </w:sectPr>
      </w:pPr>
    </w:p>
    <w:p w14:paraId="0FE2B67F" w14:textId="77777777" w:rsidR="00A91E9A" w:rsidRPr="00B21F63" w:rsidRDefault="00A91E9A" w:rsidP="00B3197D">
      <w:pPr>
        <w:spacing w:line="360" w:lineRule="auto"/>
        <w:jc w:val="center"/>
        <w:rPr>
          <w:i/>
          <w:color w:val="000000" w:themeColor="text1"/>
        </w:rPr>
      </w:pPr>
      <w:r w:rsidRPr="00B21F63">
        <w:rPr>
          <w:b/>
          <w:bCs/>
          <w:color w:val="000000" w:themeColor="text1"/>
        </w:rPr>
        <w:lastRenderedPageBreak/>
        <w:t xml:space="preserve">Table 2. </w:t>
      </w:r>
      <w:r w:rsidRPr="00B21F63">
        <w:rPr>
          <w:color w:val="000000" w:themeColor="text1"/>
        </w:rPr>
        <w:t>Percent of Students Who Chose Each Response Option for Each CAOS Item (correct response is in bold type)</w:t>
      </w:r>
    </w:p>
    <w:tbl>
      <w:tblPr>
        <w:tblStyle w:val="Tablaconcuadrcula"/>
        <w:tblW w:w="0" w:type="auto"/>
        <w:tblLook w:val="04A0" w:firstRow="1" w:lastRow="0" w:firstColumn="1" w:lastColumn="0" w:noHBand="0" w:noVBand="1"/>
      </w:tblPr>
      <w:tblGrid>
        <w:gridCol w:w="697"/>
        <w:gridCol w:w="2397"/>
        <w:gridCol w:w="1091"/>
        <w:gridCol w:w="1179"/>
        <w:gridCol w:w="1338"/>
        <w:gridCol w:w="1253"/>
        <w:gridCol w:w="1049"/>
      </w:tblGrid>
      <w:tr w:rsidR="00B21F63" w:rsidRPr="00B21F63" w14:paraId="01CA0E7F" w14:textId="77777777" w:rsidTr="00FA082D">
        <w:tc>
          <w:tcPr>
            <w:tcW w:w="656" w:type="dxa"/>
          </w:tcPr>
          <w:p w14:paraId="077FDE43" w14:textId="77777777" w:rsidR="00A91E9A" w:rsidRPr="00B21F63" w:rsidRDefault="00A91E9A" w:rsidP="00DB1D79">
            <w:pPr>
              <w:adjustRightInd w:val="0"/>
              <w:snapToGrid w:val="0"/>
              <w:rPr>
                <w:b/>
                <w:color w:val="000000" w:themeColor="text1"/>
              </w:rPr>
            </w:pPr>
            <w:r w:rsidRPr="00B21F63">
              <w:rPr>
                <w:b/>
                <w:color w:val="000000" w:themeColor="text1"/>
              </w:rPr>
              <w:t>Item</w:t>
            </w:r>
          </w:p>
        </w:tc>
        <w:tc>
          <w:tcPr>
            <w:tcW w:w="5040" w:type="dxa"/>
          </w:tcPr>
          <w:p w14:paraId="4F7E7131" w14:textId="77777777" w:rsidR="00A91E9A" w:rsidRPr="00B21F63" w:rsidRDefault="00A91E9A" w:rsidP="00DB1D79">
            <w:pPr>
              <w:adjustRightInd w:val="0"/>
              <w:snapToGrid w:val="0"/>
              <w:jc w:val="center"/>
              <w:rPr>
                <w:b/>
                <w:color w:val="000000" w:themeColor="text1"/>
              </w:rPr>
            </w:pPr>
            <w:r w:rsidRPr="00B21F63">
              <w:rPr>
                <w:b/>
                <w:color w:val="000000" w:themeColor="text1"/>
              </w:rPr>
              <w:t>Measured Learning Outcome</w:t>
            </w:r>
          </w:p>
        </w:tc>
        <w:tc>
          <w:tcPr>
            <w:tcW w:w="7200" w:type="dxa"/>
            <w:gridSpan w:val="5"/>
          </w:tcPr>
          <w:p w14:paraId="40C93383" w14:textId="77777777" w:rsidR="00A91E9A" w:rsidRPr="00B21F63" w:rsidRDefault="00A91E9A" w:rsidP="00DB1D79">
            <w:pPr>
              <w:adjustRightInd w:val="0"/>
              <w:snapToGrid w:val="0"/>
              <w:jc w:val="center"/>
              <w:rPr>
                <w:b/>
                <w:color w:val="000000" w:themeColor="text1"/>
              </w:rPr>
            </w:pPr>
            <w:r w:rsidRPr="00B21F63">
              <w:rPr>
                <w:b/>
                <w:color w:val="000000" w:themeColor="text1"/>
              </w:rPr>
              <w:t>Response option (%)</w:t>
            </w:r>
          </w:p>
        </w:tc>
      </w:tr>
      <w:tr w:rsidR="00B21F63" w:rsidRPr="00B21F63" w14:paraId="67F8EDFE" w14:textId="77777777" w:rsidTr="00FA082D">
        <w:tc>
          <w:tcPr>
            <w:tcW w:w="656" w:type="dxa"/>
          </w:tcPr>
          <w:p w14:paraId="3F9AD2D0" w14:textId="77777777" w:rsidR="00A91E9A" w:rsidRPr="00B21F63" w:rsidRDefault="00A91E9A" w:rsidP="00DB1D79">
            <w:pPr>
              <w:adjustRightInd w:val="0"/>
              <w:snapToGrid w:val="0"/>
              <w:rPr>
                <w:color w:val="000000" w:themeColor="text1"/>
              </w:rPr>
            </w:pPr>
            <w:r w:rsidRPr="00B21F63">
              <w:rPr>
                <w:color w:val="000000" w:themeColor="text1"/>
              </w:rPr>
              <w:t>1</w:t>
            </w:r>
          </w:p>
        </w:tc>
        <w:tc>
          <w:tcPr>
            <w:tcW w:w="5040" w:type="dxa"/>
          </w:tcPr>
          <w:p w14:paraId="319643A4" w14:textId="77777777" w:rsidR="00A91E9A" w:rsidRPr="00B21F63" w:rsidRDefault="00A91E9A" w:rsidP="00DB1D79">
            <w:pPr>
              <w:adjustRightInd w:val="0"/>
              <w:snapToGrid w:val="0"/>
              <w:rPr>
                <w:color w:val="000000" w:themeColor="text1"/>
              </w:rPr>
            </w:pPr>
            <w:r w:rsidRPr="00B21F63">
              <w:rPr>
                <w:color w:val="000000" w:themeColor="text1"/>
              </w:rPr>
              <w:t>Ability to describe and interpret the overall distribution of a variable as displayed in a histogram, including referring to the context of the data.</w:t>
            </w:r>
          </w:p>
        </w:tc>
        <w:tc>
          <w:tcPr>
            <w:tcW w:w="1440" w:type="dxa"/>
          </w:tcPr>
          <w:p w14:paraId="6CADBF65" w14:textId="77777777" w:rsidR="00A91E9A" w:rsidRPr="00B21F63" w:rsidRDefault="00A91E9A" w:rsidP="00DB1D79">
            <w:pPr>
              <w:adjustRightInd w:val="0"/>
              <w:snapToGrid w:val="0"/>
              <w:jc w:val="center"/>
              <w:rPr>
                <w:color w:val="000000" w:themeColor="text1"/>
              </w:rPr>
            </w:pPr>
            <w:r w:rsidRPr="00B21F63">
              <w:rPr>
                <w:color w:val="000000" w:themeColor="text1"/>
              </w:rPr>
              <w:t>Shape only</w:t>
            </w:r>
          </w:p>
          <w:p w14:paraId="60947735" w14:textId="77777777" w:rsidR="00A91E9A" w:rsidRPr="00B21F63" w:rsidRDefault="00A91E9A" w:rsidP="00DB1D79">
            <w:pPr>
              <w:adjustRightInd w:val="0"/>
              <w:snapToGrid w:val="0"/>
              <w:jc w:val="center"/>
              <w:rPr>
                <w:color w:val="000000" w:themeColor="text1"/>
              </w:rPr>
            </w:pPr>
            <w:r w:rsidRPr="00B21F63">
              <w:rPr>
                <w:color w:val="000000" w:themeColor="text1"/>
              </w:rPr>
              <w:t>(15)</w:t>
            </w:r>
          </w:p>
        </w:tc>
        <w:tc>
          <w:tcPr>
            <w:tcW w:w="1440" w:type="dxa"/>
          </w:tcPr>
          <w:p w14:paraId="3AAE0D49" w14:textId="77777777" w:rsidR="00A91E9A" w:rsidRPr="00B21F63" w:rsidRDefault="00A91E9A" w:rsidP="00DB1D79">
            <w:pPr>
              <w:adjustRightInd w:val="0"/>
              <w:snapToGrid w:val="0"/>
              <w:jc w:val="center"/>
              <w:rPr>
                <w:color w:val="000000" w:themeColor="text1"/>
              </w:rPr>
            </w:pPr>
            <w:r w:rsidRPr="00B21F63">
              <w:rPr>
                <w:color w:val="000000" w:themeColor="text1"/>
              </w:rPr>
              <w:t>Normal dist.</w:t>
            </w:r>
          </w:p>
          <w:p w14:paraId="42408BFA" w14:textId="77777777" w:rsidR="00A91E9A" w:rsidRPr="00B21F63" w:rsidRDefault="00A91E9A" w:rsidP="00DB1D79">
            <w:pPr>
              <w:adjustRightInd w:val="0"/>
              <w:snapToGrid w:val="0"/>
              <w:jc w:val="center"/>
              <w:rPr>
                <w:color w:val="000000" w:themeColor="text1"/>
              </w:rPr>
            </w:pPr>
            <w:r w:rsidRPr="00B21F63">
              <w:rPr>
                <w:color w:val="000000" w:themeColor="text1"/>
              </w:rPr>
              <w:t>(22)</w:t>
            </w:r>
          </w:p>
        </w:tc>
        <w:tc>
          <w:tcPr>
            <w:tcW w:w="1440" w:type="dxa"/>
          </w:tcPr>
          <w:p w14:paraId="4146C339" w14:textId="77777777" w:rsidR="00A91E9A" w:rsidRPr="00B21F63" w:rsidRDefault="00A91E9A" w:rsidP="00DB1D79">
            <w:pPr>
              <w:adjustRightInd w:val="0"/>
              <w:snapToGrid w:val="0"/>
              <w:jc w:val="center"/>
              <w:rPr>
                <w:color w:val="000000" w:themeColor="text1"/>
              </w:rPr>
            </w:pPr>
            <w:r w:rsidRPr="00B21F63">
              <w:rPr>
                <w:color w:val="000000" w:themeColor="text1"/>
              </w:rPr>
              <w:t>General</w:t>
            </w:r>
          </w:p>
          <w:p w14:paraId="52BC2D89" w14:textId="77777777" w:rsidR="00A91E9A" w:rsidRPr="00B21F63" w:rsidRDefault="00A91E9A" w:rsidP="00DB1D79">
            <w:pPr>
              <w:adjustRightInd w:val="0"/>
              <w:snapToGrid w:val="0"/>
              <w:jc w:val="center"/>
              <w:rPr>
                <w:color w:val="000000" w:themeColor="text1"/>
              </w:rPr>
            </w:pPr>
            <w:r w:rsidRPr="00B21F63">
              <w:rPr>
                <w:color w:val="000000" w:themeColor="text1"/>
              </w:rPr>
              <w:t>(11)</w:t>
            </w:r>
          </w:p>
        </w:tc>
        <w:tc>
          <w:tcPr>
            <w:tcW w:w="1440" w:type="dxa"/>
          </w:tcPr>
          <w:p w14:paraId="182BB3B8" w14:textId="77777777" w:rsidR="00A91E9A" w:rsidRPr="00B21F63" w:rsidRDefault="00A91E9A" w:rsidP="00DB1D79">
            <w:pPr>
              <w:adjustRightInd w:val="0"/>
              <w:snapToGrid w:val="0"/>
              <w:jc w:val="center"/>
              <w:rPr>
                <w:b/>
                <w:color w:val="000000" w:themeColor="text1"/>
              </w:rPr>
            </w:pPr>
            <w:r w:rsidRPr="00B21F63">
              <w:rPr>
                <w:b/>
                <w:color w:val="000000" w:themeColor="text1"/>
              </w:rPr>
              <w:t>Complete</w:t>
            </w:r>
          </w:p>
          <w:p w14:paraId="5F9A503D" w14:textId="77777777" w:rsidR="00A91E9A" w:rsidRPr="00B21F63" w:rsidRDefault="00A91E9A" w:rsidP="00DB1D79">
            <w:pPr>
              <w:adjustRightInd w:val="0"/>
              <w:snapToGrid w:val="0"/>
              <w:jc w:val="center"/>
              <w:rPr>
                <w:color w:val="000000" w:themeColor="text1"/>
              </w:rPr>
            </w:pPr>
            <w:r w:rsidRPr="00B21F63">
              <w:rPr>
                <w:color w:val="000000" w:themeColor="text1"/>
              </w:rPr>
              <w:t>(52)</w:t>
            </w:r>
          </w:p>
        </w:tc>
        <w:tc>
          <w:tcPr>
            <w:tcW w:w="1440" w:type="dxa"/>
          </w:tcPr>
          <w:p w14:paraId="3E052F6B" w14:textId="77777777" w:rsidR="00A91E9A" w:rsidRPr="00B21F63" w:rsidRDefault="00A91E9A" w:rsidP="00DB1D79">
            <w:pPr>
              <w:adjustRightInd w:val="0"/>
              <w:snapToGrid w:val="0"/>
              <w:rPr>
                <w:color w:val="000000" w:themeColor="text1"/>
              </w:rPr>
            </w:pPr>
          </w:p>
        </w:tc>
      </w:tr>
      <w:tr w:rsidR="00B21F63" w:rsidRPr="00B21F63" w14:paraId="74E0DD69" w14:textId="77777777" w:rsidTr="00FA082D">
        <w:tc>
          <w:tcPr>
            <w:tcW w:w="656" w:type="dxa"/>
          </w:tcPr>
          <w:p w14:paraId="53CF061C" w14:textId="77777777" w:rsidR="00A91E9A" w:rsidRPr="00B21F63" w:rsidRDefault="00A91E9A" w:rsidP="00DB1D79">
            <w:pPr>
              <w:adjustRightInd w:val="0"/>
              <w:snapToGrid w:val="0"/>
              <w:rPr>
                <w:color w:val="000000" w:themeColor="text1"/>
              </w:rPr>
            </w:pPr>
            <w:r w:rsidRPr="00B21F63">
              <w:rPr>
                <w:color w:val="000000" w:themeColor="text1"/>
              </w:rPr>
              <w:t>2</w:t>
            </w:r>
          </w:p>
        </w:tc>
        <w:tc>
          <w:tcPr>
            <w:tcW w:w="5040" w:type="dxa"/>
          </w:tcPr>
          <w:p w14:paraId="482A3C09" w14:textId="77777777" w:rsidR="00A91E9A" w:rsidRPr="00B21F63" w:rsidRDefault="00A91E9A" w:rsidP="00DB1D79">
            <w:pPr>
              <w:pStyle w:val="NormalWeb"/>
              <w:rPr>
                <w:color w:val="000000" w:themeColor="text1"/>
              </w:rPr>
            </w:pPr>
            <w:r w:rsidRPr="00B21F63">
              <w:rPr>
                <w:color w:val="000000" w:themeColor="text1"/>
              </w:rPr>
              <w:t xml:space="preserve">Ability to visualize and match a histogram to a description of a variable (negatively skewed distribution for scores on an easy quiz). </w:t>
            </w:r>
          </w:p>
        </w:tc>
        <w:tc>
          <w:tcPr>
            <w:tcW w:w="1440" w:type="dxa"/>
          </w:tcPr>
          <w:p w14:paraId="174DF346" w14:textId="77777777" w:rsidR="00A91E9A" w:rsidRPr="00B21F63" w:rsidRDefault="00A91E9A" w:rsidP="00DB1D79">
            <w:pPr>
              <w:adjustRightInd w:val="0"/>
              <w:snapToGrid w:val="0"/>
              <w:jc w:val="center"/>
              <w:rPr>
                <w:color w:val="000000" w:themeColor="text1"/>
              </w:rPr>
            </w:pPr>
            <w:r w:rsidRPr="00B21F63">
              <w:rPr>
                <w:color w:val="000000" w:themeColor="text1"/>
              </w:rPr>
              <w:t>Bell-shaped</w:t>
            </w:r>
          </w:p>
          <w:p w14:paraId="247A7B47" w14:textId="77777777" w:rsidR="00A91E9A" w:rsidRPr="00B21F63" w:rsidRDefault="00A91E9A" w:rsidP="00DB1D79">
            <w:pPr>
              <w:adjustRightInd w:val="0"/>
              <w:snapToGrid w:val="0"/>
              <w:jc w:val="center"/>
              <w:rPr>
                <w:color w:val="000000" w:themeColor="text1"/>
              </w:rPr>
            </w:pPr>
            <w:r w:rsidRPr="00B21F63">
              <w:rPr>
                <w:color w:val="000000" w:themeColor="text1"/>
              </w:rPr>
              <w:t>(10)</w:t>
            </w:r>
          </w:p>
        </w:tc>
        <w:tc>
          <w:tcPr>
            <w:tcW w:w="1440" w:type="dxa"/>
          </w:tcPr>
          <w:p w14:paraId="09D82B23" w14:textId="77777777" w:rsidR="00A91E9A" w:rsidRPr="00B21F63" w:rsidRDefault="00A91E9A" w:rsidP="00DB1D79">
            <w:pPr>
              <w:adjustRightInd w:val="0"/>
              <w:snapToGrid w:val="0"/>
              <w:jc w:val="center"/>
              <w:rPr>
                <w:color w:val="000000" w:themeColor="text1"/>
              </w:rPr>
            </w:pPr>
            <w:r w:rsidRPr="00B21F63">
              <w:rPr>
                <w:color w:val="000000" w:themeColor="text1"/>
              </w:rPr>
              <w:t>Positive skew</w:t>
            </w:r>
          </w:p>
          <w:p w14:paraId="44FB971C" w14:textId="77777777" w:rsidR="00A91E9A" w:rsidRPr="00B21F63" w:rsidRDefault="00A91E9A" w:rsidP="00DB1D79">
            <w:pPr>
              <w:adjustRightInd w:val="0"/>
              <w:snapToGrid w:val="0"/>
              <w:jc w:val="center"/>
              <w:rPr>
                <w:color w:val="000000" w:themeColor="text1"/>
              </w:rPr>
            </w:pPr>
            <w:r w:rsidRPr="00B21F63">
              <w:rPr>
                <w:color w:val="000000" w:themeColor="text1"/>
              </w:rPr>
              <w:t>(9)</w:t>
            </w:r>
          </w:p>
        </w:tc>
        <w:tc>
          <w:tcPr>
            <w:tcW w:w="1440" w:type="dxa"/>
          </w:tcPr>
          <w:p w14:paraId="02E0EC43" w14:textId="77777777" w:rsidR="00A91E9A" w:rsidRPr="00B21F63" w:rsidRDefault="00A91E9A" w:rsidP="00DB1D79">
            <w:pPr>
              <w:adjustRightInd w:val="0"/>
              <w:snapToGrid w:val="0"/>
              <w:jc w:val="center"/>
              <w:rPr>
                <w:b/>
                <w:color w:val="000000" w:themeColor="text1"/>
              </w:rPr>
            </w:pPr>
            <w:r w:rsidRPr="00B21F63">
              <w:rPr>
                <w:b/>
                <w:color w:val="000000" w:themeColor="text1"/>
              </w:rPr>
              <w:t>Negative skew</w:t>
            </w:r>
          </w:p>
          <w:p w14:paraId="09D466B6" w14:textId="77777777" w:rsidR="00A91E9A" w:rsidRPr="00B21F63" w:rsidRDefault="00A91E9A" w:rsidP="00DB1D79">
            <w:pPr>
              <w:adjustRightInd w:val="0"/>
              <w:snapToGrid w:val="0"/>
              <w:jc w:val="center"/>
              <w:rPr>
                <w:color w:val="000000" w:themeColor="text1"/>
              </w:rPr>
            </w:pPr>
            <w:r w:rsidRPr="00B21F63">
              <w:rPr>
                <w:color w:val="000000" w:themeColor="text1"/>
              </w:rPr>
              <w:t>(30)</w:t>
            </w:r>
          </w:p>
        </w:tc>
        <w:tc>
          <w:tcPr>
            <w:tcW w:w="1440" w:type="dxa"/>
          </w:tcPr>
          <w:p w14:paraId="34751994" w14:textId="77777777" w:rsidR="00A91E9A" w:rsidRPr="00B21F63" w:rsidRDefault="00A91E9A" w:rsidP="00DB1D79">
            <w:pPr>
              <w:adjustRightInd w:val="0"/>
              <w:snapToGrid w:val="0"/>
              <w:jc w:val="center"/>
              <w:rPr>
                <w:color w:val="000000" w:themeColor="text1"/>
              </w:rPr>
            </w:pPr>
            <w:r w:rsidRPr="00B21F63">
              <w:rPr>
                <w:color w:val="000000" w:themeColor="text1"/>
              </w:rPr>
              <w:t>Uniform</w:t>
            </w:r>
          </w:p>
          <w:p w14:paraId="0B631BD9" w14:textId="77777777" w:rsidR="00A91E9A" w:rsidRPr="00B21F63" w:rsidRDefault="00A91E9A" w:rsidP="00DB1D79">
            <w:pPr>
              <w:adjustRightInd w:val="0"/>
              <w:snapToGrid w:val="0"/>
              <w:jc w:val="center"/>
              <w:rPr>
                <w:color w:val="000000" w:themeColor="text1"/>
              </w:rPr>
            </w:pPr>
            <w:r w:rsidRPr="00B21F63">
              <w:rPr>
                <w:color w:val="000000" w:themeColor="text1"/>
              </w:rPr>
              <w:t>(51)</w:t>
            </w:r>
          </w:p>
        </w:tc>
        <w:tc>
          <w:tcPr>
            <w:tcW w:w="1440" w:type="dxa"/>
          </w:tcPr>
          <w:p w14:paraId="74301D4C" w14:textId="77777777" w:rsidR="00A91E9A" w:rsidRPr="00B21F63" w:rsidRDefault="00A91E9A" w:rsidP="00DB1D79">
            <w:pPr>
              <w:adjustRightInd w:val="0"/>
              <w:snapToGrid w:val="0"/>
              <w:rPr>
                <w:color w:val="000000" w:themeColor="text1"/>
              </w:rPr>
            </w:pPr>
          </w:p>
        </w:tc>
      </w:tr>
      <w:tr w:rsidR="00B21F63" w:rsidRPr="00B21F63" w14:paraId="6EA92F81" w14:textId="77777777" w:rsidTr="00FA082D">
        <w:tc>
          <w:tcPr>
            <w:tcW w:w="656" w:type="dxa"/>
          </w:tcPr>
          <w:p w14:paraId="719B03D8" w14:textId="77777777" w:rsidR="00A91E9A" w:rsidRPr="00B21F63" w:rsidRDefault="00A91E9A" w:rsidP="00DB1D79">
            <w:pPr>
              <w:adjustRightInd w:val="0"/>
              <w:snapToGrid w:val="0"/>
              <w:rPr>
                <w:color w:val="000000" w:themeColor="text1"/>
              </w:rPr>
            </w:pPr>
            <w:r w:rsidRPr="00B21F63">
              <w:rPr>
                <w:color w:val="000000" w:themeColor="text1"/>
              </w:rPr>
              <w:t>3</w:t>
            </w:r>
          </w:p>
        </w:tc>
        <w:tc>
          <w:tcPr>
            <w:tcW w:w="5040" w:type="dxa"/>
          </w:tcPr>
          <w:p w14:paraId="62EF7BAA" w14:textId="77777777" w:rsidR="00A91E9A" w:rsidRPr="00B21F63" w:rsidRDefault="00A91E9A" w:rsidP="00DB1D79">
            <w:pPr>
              <w:adjustRightInd w:val="0"/>
              <w:snapToGrid w:val="0"/>
              <w:rPr>
                <w:color w:val="000000" w:themeColor="text1"/>
              </w:rPr>
            </w:pPr>
            <w:r w:rsidRPr="00B21F63">
              <w:rPr>
                <w:color w:val="000000" w:themeColor="text1"/>
              </w:rPr>
              <w:t>Ability to visualize and match a histogram to a description of a variable (bell-shaped distribution for wrist circumferences of newborn female infants).</w:t>
            </w:r>
          </w:p>
        </w:tc>
        <w:tc>
          <w:tcPr>
            <w:tcW w:w="1440" w:type="dxa"/>
          </w:tcPr>
          <w:p w14:paraId="18680EE3" w14:textId="77777777" w:rsidR="00A91E9A" w:rsidRPr="00B21F63" w:rsidRDefault="00A91E9A" w:rsidP="00DB1D79">
            <w:pPr>
              <w:adjustRightInd w:val="0"/>
              <w:snapToGrid w:val="0"/>
              <w:jc w:val="center"/>
              <w:rPr>
                <w:b/>
                <w:color w:val="000000" w:themeColor="text1"/>
              </w:rPr>
            </w:pPr>
            <w:r w:rsidRPr="00B21F63">
              <w:rPr>
                <w:b/>
                <w:color w:val="000000" w:themeColor="text1"/>
              </w:rPr>
              <w:t>Bell-shaped</w:t>
            </w:r>
          </w:p>
          <w:p w14:paraId="6B0FE40B" w14:textId="77777777" w:rsidR="00A91E9A" w:rsidRPr="00B21F63" w:rsidRDefault="00A91E9A" w:rsidP="00DB1D79">
            <w:pPr>
              <w:adjustRightInd w:val="0"/>
              <w:snapToGrid w:val="0"/>
              <w:jc w:val="center"/>
              <w:rPr>
                <w:color w:val="000000" w:themeColor="text1"/>
              </w:rPr>
            </w:pPr>
            <w:r w:rsidRPr="00B21F63">
              <w:rPr>
                <w:color w:val="000000" w:themeColor="text1"/>
              </w:rPr>
              <w:t>(37)</w:t>
            </w:r>
          </w:p>
        </w:tc>
        <w:tc>
          <w:tcPr>
            <w:tcW w:w="1440" w:type="dxa"/>
          </w:tcPr>
          <w:p w14:paraId="5BAC6212" w14:textId="77777777" w:rsidR="00A91E9A" w:rsidRPr="00B21F63" w:rsidRDefault="00A91E9A" w:rsidP="00DB1D79">
            <w:pPr>
              <w:adjustRightInd w:val="0"/>
              <w:snapToGrid w:val="0"/>
              <w:jc w:val="center"/>
              <w:rPr>
                <w:color w:val="000000" w:themeColor="text1"/>
              </w:rPr>
            </w:pPr>
            <w:r w:rsidRPr="00B21F63">
              <w:rPr>
                <w:color w:val="000000" w:themeColor="text1"/>
              </w:rPr>
              <w:t>Positive skew</w:t>
            </w:r>
          </w:p>
          <w:p w14:paraId="7F3B31EA" w14:textId="77777777" w:rsidR="00A91E9A" w:rsidRPr="00B21F63" w:rsidRDefault="00A91E9A" w:rsidP="00DB1D79">
            <w:pPr>
              <w:adjustRightInd w:val="0"/>
              <w:snapToGrid w:val="0"/>
              <w:jc w:val="center"/>
              <w:rPr>
                <w:color w:val="000000" w:themeColor="text1"/>
              </w:rPr>
            </w:pPr>
            <w:r w:rsidRPr="00B21F63">
              <w:rPr>
                <w:color w:val="000000" w:themeColor="text1"/>
              </w:rPr>
              <w:t>(24)</w:t>
            </w:r>
          </w:p>
        </w:tc>
        <w:tc>
          <w:tcPr>
            <w:tcW w:w="1440" w:type="dxa"/>
          </w:tcPr>
          <w:p w14:paraId="1CF6D4FF" w14:textId="77777777" w:rsidR="00A91E9A" w:rsidRPr="00B21F63" w:rsidRDefault="00A91E9A" w:rsidP="00DB1D79">
            <w:pPr>
              <w:adjustRightInd w:val="0"/>
              <w:snapToGrid w:val="0"/>
              <w:jc w:val="center"/>
              <w:rPr>
                <w:color w:val="000000" w:themeColor="text1"/>
              </w:rPr>
            </w:pPr>
            <w:r w:rsidRPr="00B21F63">
              <w:rPr>
                <w:color w:val="000000" w:themeColor="text1"/>
              </w:rPr>
              <w:t>Negative skew</w:t>
            </w:r>
          </w:p>
          <w:p w14:paraId="4455FF32" w14:textId="77777777" w:rsidR="00A91E9A" w:rsidRPr="00B21F63" w:rsidRDefault="00A91E9A" w:rsidP="00DB1D79">
            <w:pPr>
              <w:adjustRightInd w:val="0"/>
              <w:snapToGrid w:val="0"/>
              <w:jc w:val="center"/>
              <w:rPr>
                <w:color w:val="000000" w:themeColor="text1"/>
              </w:rPr>
            </w:pPr>
            <w:r w:rsidRPr="00B21F63">
              <w:rPr>
                <w:color w:val="000000" w:themeColor="text1"/>
              </w:rPr>
              <w:t>(12)</w:t>
            </w:r>
          </w:p>
        </w:tc>
        <w:tc>
          <w:tcPr>
            <w:tcW w:w="1440" w:type="dxa"/>
          </w:tcPr>
          <w:p w14:paraId="322C02B9" w14:textId="77777777" w:rsidR="00A91E9A" w:rsidRPr="00B21F63" w:rsidRDefault="00A91E9A" w:rsidP="00DB1D79">
            <w:pPr>
              <w:adjustRightInd w:val="0"/>
              <w:snapToGrid w:val="0"/>
              <w:jc w:val="center"/>
              <w:rPr>
                <w:color w:val="000000" w:themeColor="text1"/>
              </w:rPr>
            </w:pPr>
            <w:r w:rsidRPr="00B21F63">
              <w:rPr>
                <w:color w:val="000000" w:themeColor="text1"/>
              </w:rPr>
              <w:t>Uniform</w:t>
            </w:r>
          </w:p>
          <w:p w14:paraId="5D7139B7" w14:textId="77777777" w:rsidR="00A91E9A" w:rsidRPr="00B21F63" w:rsidRDefault="00A91E9A" w:rsidP="00DB1D79">
            <w:pPr>
              <w:adjustRightInd w:val="0"/>
              <w:snapToGrid w:val="0"/>
              <w:jc w:val="center"/>
              <w:rPr>
                <w:color w:val="000000" w:themeColor="text1"/>
              </w:rPr>
            </w:pPr>
            <w:r w:rsidRPr="00B21F63">
              <w:rPr>
                <w:color w:val="000000" w:themeColor="text1"/>
              </w:rPr>
              <w:t>(27)</w:t>
            </w:r>
          </w:p>
        </w:tc>
        <w:tc>
          <w:tcPr>
            <w:tcW w:w="1440" w:type="dxa"/>
          </w:tcPr>
          <w:p w14:paraId="5BBFF865" w14:textId="77777777" w:rsidR="00A91E9A" w:rsidRPr="00B21F63" w:rsidRDefault="00A91E9A" w:rsidP="00DB1D79">
            <w:pPr>
              <w:adjustRightInd w:val="0"/>
              <w:snapToGrid w:val="0"/>
              <w:rPr>
                <w:color w:val="000000" w:themeColor="text1"/>
              </w:rPr>
            </w:pPr>
          </w:p>
        </w:tc>
      </w:tr>
      <w:tr w:rsidR="00B21F63" w:rsidRPr="00B21F63" w14:paraId="184694BA" w14:textId="77777777" w:rsidTr="00FA082D">
        <w:tc>
          <w:tcPr>
            <w:tcW w:w="656" w:type="dxa"/>
          </w:tcPr>
          <w:p w14:paraId="6B904885" w14:textId="77777777" w:rsidR="00A91E9A" w:rsidRPr="00B21F63" w:rsidRDefault="00A91E9A" w:rsidP="00DB1D79">
            <w:pPr>
              <w:adjustRightInd w:val="0"/>
              <w:snapToGrid w:val="0"/>
              <w:rPr>
                <w:color w:val="000000" w:themeColor="text1"/>
              </w:rPr>
            </w:pPr>
            <w:r w:rsidRPr="00B21F63">
              <w:rPr>
                <w:color w:val="000000" w:themeColor="text1"/>
              </w:rPr>
              <w:t>4</w:t>
            </w:r>
          </w:p>
        </w:tc>
        <w:tc>
          <w:tcPr>
            <w:tcW w:w="5040" w:type="dxa"/>
          </w:tcPr>
          <w:p w14:paraId="193AFC72" w14:textId="77777777" w:rsidR="00A91E9A" w:rsidRPr="00B21F63" w:rsidRDefault="00A91E9A" w:rsidP="00DB1D79">
            <w:pPr>
              <w:adjustRightInd w:val="0"/>
              <w:snapToGrid w:val="0"/>
              <w:rPr>
                <w:color w:val="000000" w:themeColor="text1"/>
              </w:rPr>
            </w:pPr>
            <w:r w:rsidRPr="00B21F63">
              <w:rPr>
                <w:color w:val="000000" w:themeColor="text1"/>
              </w:rPr>
              <w:t>Ability to visualize and match a histogram to a description of a variable (uniform distribution for the last digit of phone numbers sampled from a phone book).</w:t>
            </w:r>
          </w:p>
        </w:tc>
        <w:tc>
          <w:tcPr>
            <w:tcW w:w="1440" w:type="dxa"/>
          </w:tcPr>
          <w:p w14:paraId="06F36B13" w14:textId="77777777" w:rsidR="00A91E9A" w:rsidRPr="00B21F63" w:rsidRDefault="00A91E9A" w:rsidP="00DB1D79">
            <w:pPr>
              <w:adjustRightInd w:val="0"/>
              <w:snapToGrid w:val="0"/>
              <w:jc w:val="center"/>
              <w:rPr>
                <w:color w:val="000000" w:themeColor="text1"/>
              </w:rPr>
            </w:pPr>
            <w:r w:rsidRPr="00B21F63">
              <w:rPr>
                <w:color w:val="000000" w:themeColor="text1"/>
              </w:rPr>
              <w:t>Bell-shaped</w:t>
            </w:r>
          </w:p>
          <w:p w14:paraId="435F5A38" w14:textId="77777777" w:rsidR="00A91E9A" w:rsidRPr="00B21F63" w:rsidRDefault="00A91E9A" w:rsidP="00DB1D79">
            <w:pPr>
              <w:adjustRightInd w:val="0"/>
              <w:snapToGrid w:val="0"/>
              <w:jc w:val="center"/>
              <w:rPr>
                <w:color w:val="000000" w:themeColor="text1"/>
              </w:rPr>
            </w:pPr>
            <w:r w:rsidRPr="00B21F63">
              <w:rPr>
                <w:color w:val="000000" w:themeColor="text1"/>
              </w:rPr>
              <w:t>(27)</w:t>
            </w:r>
          </w:p>
        </w:tc>
        <w:tc>
          <w:tcPr>
            <w:tcW w:w="1440" w:type="dxa"/>
          </w:tcPr>
          <w:p w14:paraId="3C14F787" w14:textId="77777777" w:rsidR="00A91E9A" w:rsidRPr="00B21F63" w:rsidRDefault="00A91E9A" w:rsidP="00DB1D79">
            <w:pPr>
              <w:adjustRightInd w:val="0"/>
              <w:snapToGrid w:val="0"/>
              <w:jc w:val="center"/>
              <w:rPr>
                <w:color w:val="000000" w:themeColor="text1"/>
              </w:rPr>
            </w:pPr>
            <w:r w:rsidRPr="00B21F63">
              <w:rPr>
                <w:color w:val="000000" w:themeColor="text1"/>
              </w:rPr>
              <w:t>Positive skew</w:t>
            </w:r>
          </w:p>
          <w:p w14:paraId="0B68C013" w14:textId="77777777" w:rsidR="00A91E9A" w:rsidRPr="00B21F63" w:rsidRDefault="00A91E9A" w:rsidP="00DB1D79">
            <w:pPr>
              <w:adjustRightInd w:val="0"/>
              <w:snapToGrid w:val="0"/>
              <w:jc w:val="center"/>
              <w:rPr>
                <w:color w:val="000000" w:themeColor="text1"/>
              </w:rPr>
            </w:pPr>
            <w:r w:rsidRPr="00B21F63">
              <w:rPr>
                <w:color w:val="000000" w:themeColor="text1"/>
              </w:rPr>
              <w:t>(35)</w:t>
            </w:r>
          </w:p>
        </w:tc>
        <w:tc>
          <w:tcPr>
            <w:tcW w:w="1440" w:type="dxa"/>
          </w:tcPr>
          <w:p w14:paraId="4C9D5E10" w14:textId="77777777" w:rsidR="00A91E9A" w:rsidRPr="00B21F63" w:rsidRDefault="00A91E9A" w:rsidP="00DB1D79">
            <w:pPr>
              <w:adjustRightInd w:val="0"/>
              <w:snapToGrid w:val="0"/>
              <w:jc w:val="center"/>
              <w:rPr>
                <w:color w:val="000000" w:themeColor="text1"/>
              </w:rPr>
            </w:pPr>
            <w:r w:rsidRPr="00B21F63">
              <w:rPr>
                <w:color w:val="000000" w:themeColor="text1"/>
              </w:rPr>
              <w:t>Negative skew</w:t>
            </w:r>
          </w:p>
          <w:p w14:paraId="4C2E5864" w14:textId="77777777" w:rsidR="00A91E9A" w:rsidRPr="00B21F63" w:rsidRDefault="00A91E9A" w:rsidP="00DB1D79">
            <w:pPr>
              <w:adjustRightInd w:val="0"/>
              <w:snapToGrid w:val="0"/>
              <w:jc w:val="center"/>
              <w:rPr>
                <w:color w:val="000000" w:themeColor="text1"/>
              </w:rPr>
            </w:pPr>
            <w:r w:rsidRPr="00B21F63">
              <w:rPr>
                <w:color w:val="000000" w:themeColor="text1"/>
              </w:rPr>
              <w:t>(16)</w:t>
            </w:r>
          </w:p>
        </w:tc>
        <w:tc>
          <w:tcPr>
            <w:tcW w:w="1440" w:type="dxa"/>
          </w:tcPr>
          <w:p w14:paraId="2901C03B" w14:textId="77777777" w:rsidR="00A91E9A" w:rsidRPr="00B21F63" w:rsidRDefault="00A91E9A" w:rsidP="00DB1D79">
            <w:pPr>
              <w:adjustRightInd w:val="0"/>
              <w:snapToGrid w:val="0"/>
              <w:jc w:val="center"/>
              <w:rPr>
                <w:b/>
                <w:color w:val="000000" w:themeColor="text1"/>
              </w:rPr>
            </w:pPr>
            <w:r w:rsidRPr="00B21F63">
              <w:rPr>
                <w:b/>
                <w:color w:val="000000" w:themeColor="text1"/>
              </w:rPr>
              <w:t>Uniform</w:t>
            </w:r>
          </w:p>
          <w:p w14:paraId="43387159" w14:textId="77777777" w:rsidR="00A91E9A" w:rsidRPr="00B21F63" w:rsidRDefault="00A91E9A" w:rsidP="00DB1D79">
            <w:pPr>
              <w:adjustRightInd w:val="0"/>
              <w:snapToGrid w:val="0"/>
              <w:jc w:val="center"/>
              <w:rPr>
                <w:color w:val="000000" w:themeColor="text1"/>
              </w:rPr>
            </w:pPr>
            <w:r w:rsidRPr="00B21F63">
              <w:rPr>
                <w:color w:val="000000" w:themeColor="text1"/>
              </w:rPr>
              <w:t>(22)</w:t>
            </w:r>
          </w:p>
        </w:tc>
        <w:tc>
          <w:tcPr>
            <w:tcW w:w="1440" w:type="dxa"/>
          </w:tcPr>
          <w:p w14:paraId="67613BF8" w14:textId="77777777" w:rsidR="00A91E9A" w:rsidRPr="00B21F63" w:rsidRDefault="00A91E9A" w:rsidP="00DB1D79">
            <w:pPr>
              <w:adjustRightInd w:val="0"/>
              <w:snapToGrid w:val="0"/>
              <w:rPr>
                <w:color w:val="000000" w:themeColor="text1"/>
              </w:rPr>
            </w:pPr>
          </w:p>
        </w:tc>
      </w:tr>
      <w:tr w:rsidR="00B21F63" w:rsidRPr="00B21F63" w14:paraId="6F17FC7D" w14:textId="77777777" w:rsidTr="00FA082D">
        <w:tc>
          <w:tcPr>
            <w:tcW w:w="656" w:type="dxa"/>
          </w:tcPr>
          <w:p w14:paraId="66C4722B" w14:textId="77777777" w:rsidR="00A91E9A" w:rsidRPr="00B21F63" w:rsidRDefault="00A91E9A" w:rsidP="00DB1D79">
            <w:pPr>
              <w:adjustRightInd w:val="0"/>
              <w:snapToGrid w:val="0"/>
              <w:rPr>
                <w:color w:val="000000" w:themeColor="text1"/>
              </w:rPr>
            </w:pPr>
            <w:r w:rsidRPr="00B21F63">
              <w:rPr>
                <w:color w:val="000000" w:themeColor="text1"/>
              </w:rPr>
              <w:t>5</w:t>
            </w:r>
          </w:p>
        </w:tc>
        <w:tc>
          <w:tcPr>
            <w:tcW w:w="5040" w:type="dxa"/>
          </w:tcPr>
          <w:p w14:paraId="195CCA38" w14:textId="77777777" w:rsidR="00A91E9A" w:rsidRPr="00B21F63" w:rsidRDefault="00A91E9A" w:rsidP="00DB1D79">
            <w:pPr>
              <w:pStyle w:val="NormalWeb"/>
              <w:rPr>
                <w:color w:val="000000" w:themeColor="text1"/>
              </w:rPr>
            </w:pPr>
            <w:r w:rsidRPr="00B21F63">
              <w:rPr>
                <w:color w:val="000000" w:themeColor="text1"/>
              </w:rPr>
              <w:t xml:space="preserve">Understanding that to properly describe the distribution (shape, center, and spread) of a quantitative variable, a graph like a histogram is needed. </w:t>
            </w:r>
          </w:p>
        </w:tc>
        <w:tc>
          <w:tcPr>
            <w:tcW w:w="1440" w:type="dxa"/>
          </w:tcPr>
          <w:p w14:paraId="17C67DB8" w14:textId="77777777" w:rsidR="00A91E9A" w:rsidRPr="00B21F63" w:rsidRDefault="00A91E9A" w:rsidP="00DB1D79">
            <w:pPr>
              <w:adjustRightInd w:val="0"/>
              <w:snapToGrid w:val="0"/>
              <w:jc w:val="center"/>
              <w:rPr>
                <w:color w:val="000000" w:themeColor="text1"/>
              </w:rPr>
            </w:pPr>
            <w:r w:rsidRPr="00B21F63">
              <w:rPr>
                <w:color w:val="000000" w:themeColor="text1"/>
              </w:rPr>
              <w:t>Case-value plot, random order</w:t>
            </w:r>
          </w:p>
          <w:p w14:paraId="34D1B83D" w14:textId="77777777" w:rsidR="00A91E9A" w:rsidRPr="00B21F63" w:rsidRDefault="00A91E9A" w:rsidP="00DB1D79">
            <w:pPr>
              <w:adjustRightInd w:val="0"/>
              <w:snapToGrid w:val="0"/>
              <w:jc w:val="center"/>
              <w:rPr>
                <w:color w:val="000000" w:themeColor="text1"/>
              </w:rPr>
            </w:pPr>
            <w:r w:rsidRPr="00B21F63">
              <w:rPr>
                <w:color w:val="000000" w:themeColor="text1"/>
              </w:rPr>
              <w:t>(35)</w:t>
            </w:r>
          </w:p>
        </w:tc>
        <w:tc>
          <w:tcPr>
            <w:tcW w:w="1440" w:type="dxa"/>
          </w:tcPr>
          <w:p w14:paraId="6C95BF12" w14:textId="36870C0D" w:rsidR="00A91E9A" w:rsidRPr="00B21F63" w:rsidRDefault="00A91E9A" w:rsidP="00DB1D79">
            <w:pPr>
              <w:adjustRightInd w:val="0"/>
              <w:snapToGrid w:val="0"/>
              <w:jc w:val="center"/>
              <w:rPr>
                <w:color w:val="000000" w:themeColor="text1"/>
              </w:rPr>
            </w:pPr>
            <w:r w:rsidRPr="00B21F63">
              <w:rPr>
                <w:color w:val="000000" w:themeColor="text1"/>
              </w:rPr>
              <w:t>Case-value plot, Normal dist. shape</w:t>
            </w:r>
          </w:p>
          <w:p w14:paraId="47CFF73F" w14:textId="77777777" w:rsidR="00A91E9A" w:rsidRPr="00B21F63" w:rsidRDefault="00A91E9A" w:rsidP="00DB1D79">
            <w:pPr>
              <w:adjustRightInd w:val="0"/>
              <w:snapToGrid w:val="0"/>
              <w:jc w:val="center"/>
              <w:rPr>
                <w:color w:val="000000" w:themeColor="text1"/>
              </w:rPr>
            </w:pPr>
            <w:r w:rsidRPr="00B21F63">
              <w:rPr>
                <w:color w:val="000000" w:themeColor="text1"/>
              </w:rPr>
              <w:t>(43)</w:t>
            </w:r>
          </w:p>
        </w:tc>
        <w:tc>
          <w:tcPr>
            <w:tcW w:w="1440" w:type="dxa"/>
          </w:tcPr>
          <w:p w14:paraId="104D0056" w14:textId="75E621AA" w:rsidR="00A91E9A" w:rsidRPr="00B21F63" w:rsidRDefault="00A91E9A" w:rsidP="00DB1D79">
            <w:pPr>
              <w:adjustRightInd w:val="0"/>
              <w:snapToGrid w:val="0"/>
              <w:jc w:val="center"/>
              <w:rPr>
                <w:b/>
                <w:color w:val="000000" w:themeColor="text1"/>
              </w:rPr>
            </w:pPr>
            <w:r w:rsidRPr="00B21F63">
              <w:rPr>
                <w:b/>
                <w:color w:val="000000" w:themeColor="text1"/>
              </w:rPr>
              <w:t>Histogram of the</w:t>
            </w:r>
          </w:p>
          <w:p w14:paraId="75128B8D" w14:textId="77777777" w:rsidR="00A91E9A" w:rsidRPr="00B21F63" w:rsidRDefault="00A91E9A" w:rsidP="00DB1D79">
            <w:pPr>
              <w:adjustRightInd w:val="0"/>
              <w:snapToGrid w:val="0"/>
              <w:jc w:val="center"/>
              <w:rPr>
                <w:color w:val="000000" w:themeColor="text1"/>
              </w:rPr>
            </w:pPr>
            <w:r w:rsidRPr="00B21F63">
              <w:rPr>
                <w:b/>
                <w:color w:val="000000" w:themeColor="text1"/>
              </w:rPr>
              <w:t>variable</w:t>
            </w:r>
          </w:p>
          <w:p w14:paraId="638095C9" w14:textId="77777777" w:rsidR="00A91E9A" w:rsidRPr="00B21F63" w:rsidRDefault="00A91E9A" w:rsidP="00DB1D79">
            <w:pPr>
              <w:adjustRightInd w:val="0"/>
              <w:snapToGrid w:val="0"/>
              <w:jc w:val="center"/>
              <w:rPr>
                <w:color w:val="000000" w:themeColor="text1"/>
              </w:rPr>
            </w:pPr>
            <w:r w:rsidRPr="00B21F63">
              <w:rPr>
                <w:color w:val="000000" w:themeColor="text1"/>
              </w:rPr>
              <w:t>(4)</w:t>
            </w:r>
          </w:p>
        </w:tc>
        <w:tc>
          <w:tcPr>
            <w:tcW w:w="1440" w:type="dxa"/>
          </w:tcPr>
          <w:p w14:paraId="56FF19B5" w14:textId="77777777" w:rsidR="00A91E9A" w:rsidRPr="00B21F63" w:rsidRDefault="00A91E9A" w:rsidP="00DB1D79">
            <w:pPr>
              <w:adjustRightInd w:val="0"/>
              <w:snapToGrid w:val="0"/>
              <w:jc w:val="center"/>
              <w:rPr>
                <w:color w:val="000000" w:themeColor="text1"/>
              </w:rPr>
            </w:pPr>
            <w:r w:rsidRPr="00B21F63">
              <w:rPr>
                <w:color w:val="000000" w:themeColor="text1"/>
              </w:rPr>
              <w:t>Case-value plot, Rank ordered</w:t>
            </w:r>
          </w:p>
          <w:p w14:paraId="138A1EDB" w14:textId="77777777" w:rsidR="00A91E9A" w:rsidRPr="00B21F63" w:rsidRDefault="00A91E9A" w:rsidP="00DB1D79">
            <w:pPr>
              <w:adjustRightInd w:val="0"/>
              <w:snapToGrid w:val="0"/>
              <w:jc w:val="center"/>
              <w:rPr>
                <w:color w:val="000000" w:themeColor="text1"/>
              </w:rPr>
            </w:pPr>
            <w:r w:rsidRPr="00B21F63">
              <w:rPr>
                <w:color w:val="000000" w:themeColor="text1"/>
              </w:rPr>
              <w:t>(28)</w:t>
            </w:r>
          </w:p>
        </w:tc>
        <w:tc>
          <w:tcPr>
            <w:tcW w:w="1440" w:type="dxa"/>
          </w:tcPr>
          <w:p w14:paraId="34CE72D4" w14:textId="77777777" w:rsidR="00A91E9A" w:rsidRPr="00B21F63" w:rsidRDefault="00A91E9A" w:rsidP="00DB1D79">
            <w:pPr>
              <w:adjustRightInd w:val="0"/>
              <w:snapToGrid w:val="0"/>
              <w:rPr>
                <w:color w:val="000000" w:themeColor="text1"/>
              </w:rPr>
            </w:pPr>
          </w:p>
        </w:tc>
      </w:tr>
      <w:tr w:rsidR="00B21F63" w:rsidRPr="00B21F63" w14:paraId="61335598" w14:textId="77777777" w:rsidTr="00FA082D">
        <w:tc>
          <w:tcPr>
            <w:tcW w:w="656" w:type="dxa"/>
          </w:tcPr>
          <w:p w14:paraId="063E4093" w14:textId="77777777" w:rsidR="00A91E9A" w:rsidRPr="00B21F63" w:rsidRDefault="00A91E9A" w:rsidP="00DB1D79">
            <w:pPr>
              <w:adjustRightInd w:val="0"/>
              <w:snapToGrid w:val="0"/>
              <w:rPr>
                <w:color w:val="000000" w:themeColor="text1"/>
              </w:rPr>
            </w:pPr>
            <w:r w:rsidRPr="00B21F63">
              <w:rPr>
                <w:color w:val="000000" w:themeColor="text1"/>
              </w:rPr>
              <w:t>6</w:t>
            </w:r>
          </w:p>
        </w:tc>
        <w:tc>
          <w:tcPr>
            <w:tcW w:w="5040" w:type="dxa"/>
          </w:tcPr>
          <w:p w14:paraId="1D3FEFF1" w14:textId="77777777" w:rsidR="00A91E9A" w:rsidRPr="00B21F63" w:rsidRDefault="00A91E9A" w:rsidP="00DB1D79">
            <w:pPr>
              <w:pStyle w:val="NormalWeb"/>
              <w:rPr>
                <w:color w:val="000000" w:themeColor="text1"/>
              </w:rPr>
            </w:pPr>
            <w:r w:rsidRPr="00B21F63">
              <w:rPr>
                <w:color w:val="000000" w:themeColor="text1"/>
              </w:rPr>
              <w:t>Understanding it is not valid to only focus on individual cases when comparing the distributions of two groups.</w:t>
            </w:r>
          </w:p>
        </w:tc>
        <w:tc>
          <w:tcPr>
            <w:tcW w:w="1440" w:type="dxa"/>
          </w:tcPr>
          <w:p w14:paraId="38E4AE4B" w14:textId="77777777" w:rsidR="00A91E9A" w:rsidRPr="00B21F63" w:rsidRDefault="00A91E9A" w:rsidP="00DB1D79">
            <w:pPr>
              <w:adjustRightInd w:val="0"/>
              <w:snapToGrid w:val="0"/>
              <w:jc w:val="center"/>
              <w:rPr>
                <w:color w:val="000000" w:themeColor="text1"/>
              </w:rPr>
            </w:pPr>
            <w:r w:rsidRPr="00B21F63">
              <w:rPr>
                <w:color w:val="000000" w:themeColor="text1"/>
              </w:rPr>
              <w:t>Valid</w:t>
            </w:r>
          </w:p>
          <w:p w14:paraId="37FF407F" w14:textId="77777777" w:rsidR="00A91E9A" w:rsidRPr="00B21F63" w:rsidRDefault="00A91E9A" w:rsidP="00DB1D79">
            <w:pPr>
              <w:adjustRightInd w:val="0"/>
              <w:snapToGrid w:val="0"/>
              <w:jc w:val="center"/>
              <w:rPr>
                <w:color w:val="000000" w:themeColor="text1"/>
              </w:rPr>
            </w:pPr>
            <w:r w:rsidRPr="00B21F63">
              <w:rPr>
                <w:color w:val="000000" w:themeColor="text1"/>
              </w:rPr>
              <w:t>(41)</w:t>
            </w:r>
          </w:p>
        </w:tc>
        <w:tc>
          <w:tcPr>
            <w:tcW w:w="1440" w:type="dxa"/>
          </w:tcPr>
          <w:p w14:paraId="565A2C64" w14:textId="77777777" w:rsidR="00A91E9A" w:rsidRPr="00B21F63" w:rsidRDefault="00A91E9A" w:rsidP="00DB1D79">
            <w:pPr>
              <w:adjustRightInd w:val="0"/>
              <w:snapToGrid w:val="0"/>
              <w:jc w:val="center"/>
              <w:rPr>
                <w:b/>
                <w:color w:val="000000" w:themeColor="text1"/>
              </w:rPr>
            </w:pPr>
            <w:r w:rsidRPr="00B21F63">
              <w:rPr>
                <w:b/>
                <w:color w:val="000000" w:themeColor="text1"/>
              </w:rPr>
              <w:t>Invalid</w:t>
            </w:r>
          </w:p>
          <w:p w14:paraId="5C65D384" w14:textId="77777777" w:rsidR="00A91E9A" w:rsidRPr="00B21F63" w:rsidRDefault="00A91E9A" w:rsidP="00DB1D79">
            <w:pPr>
              <w:adjustRightInd w:val="0"/>
              <w:snapToGrid w:val="0"/>
              <w:jc w:val="center"/>
              <w:rPr>
                <w:color w:val="000000" w:themeColor="text1"/>
              </w:rPr>
            </w:pPr>
            <w:r w:rsidRPr="00B21F63">
              <w:rPr>
                <w:color w:val="000000" w:themeColor="text1"/>
              </w:rPr>
              <w:t>(59)</w:t>
            </w:r>
          </w:p>
        </w:tc>
        <w:tc>
          <w:tcPr>
            <w:tcW w:w="1440" w:type="dxa"/>
          </w:tcPr>
          <w:p w14:paraId="49704AF7" w14:textId="77777777" w:rsidR="00A91E9A" w:rsidRPr="00B21F63" w:rsidRDefault="00A91E9A" w:rsidP="00DB1D79">
            <w:pPr>
              <w:adjustRightInd w:val="0"/>
              <w:snapToGrid w:val="0"/>
              <w:jc w:val="center"/>
              <w:rPr>
                <w:color w:val="000000" w:themeColor="text1"/>
              </w:rPr>
            </w:pPr>
          </w:p>
        </w:tc>
        <w:tc>
          <w:tcPr>
            <w:tcW w:w="1440" w:type="dxa"/>
          </w:tcPr>
          <w:p w14:paraId="73F8C1AA" w14:textId="77777777" w:rsidR="00A91E9A" w:rsidRPr="00B21F63" w:rsidRDefault="00A91E9A" w:rsidP="00DB1D79">
            <w:pPr>
              <w:adjustRightInd w:val="0"/>
              <w:snapToGrid w:val="0"/>
              <w:jc w:val="center"/>
              <w:rPr>
                <w:color w:val="000000" w:themeColor="text1"/>
              </w:rPr>
            </w:pPr>
          </w:p>
        </w:tc>
        <w:tc>
          <w:tcPr>
            <w:tcW w:w="1440" w:type="dxa"/>
          </w:tcPr>
          <w:p w14:paraId="292A9217" w14:textId="77777777" w:rsidR="00A91E9A" w:rsidRPr="00B21F63" w:rsidRDefault="00A91E9A" w:rsidP="00DB1D79">
            <w:pPr>
              <w:adjustRightInd w:val="0"/>
              <w:snapToGrid w:val="0"/>
              <w:rPr>
                <w:color w:val="000000" w:themeColor="text1"/>
              </w:rPr>
            </w:pPr>
          </w:p>
        </w:tc>
      </w:tr>
      <w:tr w:rsidR="00B21F63" w:rsidRPr="00B21F63" w14:paraId="34DCE1FB" w14:textId="77777777" w:rsidTr="00FA082D">
        <w:tc>
          <w:tcPr>
            <w:tcW w:w="656" w:type="dxa"/>
          </w:tcPr>
          <w:p w14:paraId="09678EE0" w14:textId="77777777" w:rsidR="00A91E9A" w:rsidRPr="00B21F63" w:rsidRDefault="00A91E9A" w:rsidP="00DB1D79">
            <w:pPr>
              <w:adjustRightInd w:val="0"/>
              <w:snapToGrid w:val="0"/>
              <w:rPr>
                <w:color w:val="000000" w:themeColor="text1"/>
              </w:rPr>
            </w:pPr>
            <w:r w:rsidRPr="00B21F63">
              <w:rPr>
                <w:color w:val="000000" w:themeColor="text1"/>
              </w:rPr>
              <w:lastRenderedPageBreak/>
              <w:t>7</w:t>
            </w:r>
          </w:p>
        </w:tc>
        <w:tc>
          <w:tcPr>
            <w:tcW w:w="5040" w:type="dxa"/>
          </w:tcPr>
          <w:p w14:paraId="64E0D501" w14:textId="77777777" w:rsidR="00A91E9A" w:rsidRPr="00B21F63" w:rsidRDefault="00A91E9A" w:rsidP="00DB1D79">
            <w:pPr>
              <w:pStyle w:val="NormalWeb"/>
              <w:rPr>
                <w:color w:val="000000" w:themeColor="text1"/>
              </w:rPr>
            </w:pPr>
            <w:r w:rsidRPr="00B21F63">
              <w:rPr>
                <w:color w:val="000000" w:themeColor="text1"/>
              </w:rPr>
              <w:t>Understanding that considering the difference between the means of distributions for two groups is valid when the distributions are fairly symmetric.</w:t>
            </w:r>
          </w:p>
        </w:tc>
        <w:tc>
          <w:tcPr>
            <w:tcW w:w="1440" w:type="dxa"/>
          </w:tcPr>
          <w:p w14:paraId="205878F5" w14:textId="77777777" w:rsidR="00A91E9A" w:rsidRPr="00B21F63" w:rsidRDefault="00A91E9A" w:rsidP="00DB1D79">
            <w:pPr>
              <w:adjustRightInd w:val="0"/>
              <w:snapToGrid w:val="0"/>
              <w:jc w:val="center"/>
              <w:rPr>
                <w:b/>
                <w:color w:val="000000" w:themeColor="text1"/>
              </w:rPr>
            </w:pPr>
            <w:r w:rsidRPr="00B21F63">
              <w:rPr>
                <w:b/>
                <w:color w:val="000000" w:themeColor="text1"/>
              </w:rPr>
              <w:t>Valid</w:t>
            </w:r>
          </w:p>
          <w:p w14:paraId="7D251090" w14:textId="18A679E3" w:rsidR="00A91E9A" w:rsidRPr="00B21F63" w:rsidRDefault="00A91E9A" w:rsidP="00DB1D79">
            <w:pPr>
              <w:adjustRightInd w:val="0"/>
              <w:snapToGrid w:val="0"/>
              <w:jc w:val="center"/>
              <w:rPr>
                <w:color w:val="000000" w:themeColor="text1"/>
              </w:rPr>
            </w:pPr>
            <w:r w:rsidRPr="00B21F63">
              <w:rPr>
                <w:color w:val="000000" w:themeColor="text1"/>
              </w:rPr>
              <w:t>(82)</w:t>
            </w:r>
          </w:p>
        </w:tc>
        <w:tc>
          <w:tcPr>
            <w:tcW w:w="1440" w:type="dxa"/>
          </w:tcPr>
          <w:p w14:paraId="11F9620C" w14:textId="77777777" w:rsidR="00A91E9A" w:rsidRPr="00B21F63" w:rsidRDefault="00A91E9A" w:rsidP="00DB1D79">
            <w:pPr>
              <w:adjustRightInd w:val="0"/>
              <w:snapToGrid w:val="0"/>
              <w:jc w:val="center"/>
              <w:rPr>
                <w:color w:val="000000" w:themeColor="text1"/>
              </w:rPr>
            </w:pPr>
            <w:r w:rsidRPr="00B21F63">
              <w:rPr>
                <w:color w:val="000000" w:themeColor="text1"/>
              </w:rPr>
              <w:t>Invalid</w:t>
            </w:r>
          </w:p>
          <w:p w14:paraId="2733120B" w14:textId="459EA825" w:rsidR="00A91E9A" w:rsidRPr="00B21F63" w:rsidRDefault="00A91E9A" w:rsidP="00DB1D79">
            <w:pPr>
              <w:adjustRightInd w:val="0"/>
              <w:snapToGrid w:val="0"/>
              <w:jc w:val="center"/>
              <w:rPr>
                <w:color w:val="000000" w:themeColor="text1"/>
              </w:rPr>
            </w:pPr>
            <w:r w:rsidRPr="00B21F63">
              <w:rPr>
                <w:color w:val="000000" w:themeColor="text1"/>
              </w:rPr>
              <w:t>(18)</w:t>
            </w:r>
          </w:p>
        </w:tc>
        <w:tc>
          <w:tcPr>
            <w:tcW w:w="1440" w:type="dxa"/>
          </w:tcPr>
          <w:p w14:paraId="6D4805DD" w14:textId="77777777" w:rsidR="00A91E9A" w:rsidRPr="00B21F63" w:rsidRDefault="00A91E9A" w:rsidP="00DB1D79">
            <w:pPr>
              <w:adjustRightInd w:val="0"/>
              <w:snapToGrid w:val="0"/>
              <w:jc w:val="center"/>
              <w:rPr>
                <w:color w:val="000000" w:themeColor="text1"/>
              </w:rPr>
            </w:pPr>
          </w:p>
        </w:tc>
        <w:tc>
          <w:tcPr>
            <w:tcW w:w="1440" w:type="dxa"/>
          </w:tcPr>
          <w:p w14:paraId="7F15CF44" w14:textId="77777777" w:rsidR="00A91E9A" w:rsidRPr="00B21F63" w:rsidRDefault="00A91E9A" w:rsidP="00DB1D79">
            <w:pPr>
              <w:adjustRightInd w:val="0"/>
              <w:snapToGrid w:val="0"/>
              <w:jc w:val="center"/>
              <w:rPr>
                <w:color w:val="000000" w:themeColor="text1"/>
              </w:rPr>
            </w:pPr>
          </w:p>
        </w:tc>
        <w:tc>
          <w:tcPr>
            <w:tcW w:w="1440" w:type="dxa"/>
          </w:tcPr>
          <w:p w14:paraId="02BD57C5" w14:textId="77777777" w:rsidR="00A91E9A" w:rsidRPr="00B21F63" w:rsidRDefault="00A91E9A" w:rsidP="00DB1D79">
            <w:pPr>
              <w:adjustRightInd w:val="0"/>
              <w:snapToGrid w:val="0"/>
              <w:rPr>
                <w:color w:val="000000" w:themeColor="text1"/>
              </w:rPr>
            </w:pPr>
          </w:p>
        </w:tc>
      </w:tr>
      <w:tr w:rsidR="00B21F63" w:rsidRPr="00B21F63" w14:paraId="25595393" w14:textId="77777777" w:rsidTr="00FA082D">
        <w:tc>
          <w:tcPr>
            <w:tcW w:w="656" w:type="dxa"/>
          </w:tcPr>
          <w:p w14:paraId="18D6239E" w14:textId="77777777" w:rsidR="00A91E9A" w:rsidRPr="00B21F63" w:rsidRDefault="00A91E9A" w:rsidP="00DB1D79">
            <w:pPr>
              <w:adjustRightInd w:val="0"/>
              <w:snapToGrid w:val="0"/>
              <w:rPr>
                <w:color w:val="000000" w:themeColor="text1"/>
              </w:rPr>
            </w:pPr>
            <w:r w:rsidRPr="00B21F63">
              <w:rPr>
                <w:color w:val="000000" w:themeColor="text1"/>
              </w:rPr>
              <w:t>8</w:t>
            </w:r>
          </w:p>
        </w:tc>
        <w:tc>
          <w:tcPr>
            <w:tcW w:w="5040" w:type="dxa"/>
          </w:tcPr>
          <w:p w14:paraId="6A212F2D" w14:textId="77777777" w:rsidR="00A91E9A" w:rsidRPr="00B21F63" w:rsidRDefault="00A91E9A" w:rsidP="00DB1D79">
            <w:pPr>
              <w:pStyle w:val="NormalWeb"/>
              <w:rPr>
                <w:color w:val="000000" w:themeColor="text1"/>
              </w:rPr>
            </w:pPr>
            <w:r w:rsidRPr="00B21F63">
              <w:rPr>
                <w:color w:val="000000" w:themeColor="text1"/>
              </w:rPr>
              <w:t>Understanding that comparing two groups does not require equal sample sizes in each group, especially if both sets of data are large.</w:t>
            </w:r>
          </w:p>
        </w:tc>
        <w:tc>
          <w:tcPr>
            <w:tcW w:w="1440" w:type="dxa"/>
          </w:tcPr>
          <w:p w14:paraId="161BB5D4" w14:textId="77777777" w:rsidR="00A91E9A" w:rsidRPr="00B21F63" w:rsidRDefault="00A91E9A" w:rsidP="00DB1D79">
            <w:pPr>
              <w:adjustRightInd w:val="0"/>
              <w:snapToGrid w:val="0"/>
              <w:jc w:val="center"/>
              <w:rPr>
                <w:color w:val="000000" w:themeColor="text1"/>
              </w:rPr>
            </w:pPr>
            <w:r w:rsidRPr="00B21F63">
              <w:rPr>
                <w:color w:val="000000" w:themeColor="text1"/>
              </w:rPr>
              <w:t>Valid</w:t>
            </w:r>
          </w:p>
          <w:p w14:paraId="401B4FBF" w14:textId="72A5737F" w:rsidR="00A91E9A" w:rsidRPr="00B21F63" w:rsidRDefault="00A91E9A" w:rsidP="00DB1D79">
            <w:pPr>
              <w:adjustRightInd w:val="0"/>
              <w:snapToGrid w:val="0"/>
              <w:jc w:val="center"/>
              <w:rPr>
                <w:color w:val="000000" w:themeColor="text1"/>
              </w:rPr>
            </w:pPr>
            <w:r w:rsidRPr="00B21F63">
              <w:rPr>
                <w:color w:val="000000" w:themeColor="text1"/>
              </w:rPr>
              <w:t>(41)</w:t>
            </w:r>
          </w:p>
        </w:tc>
        <w:tc>
          <w:tcPr>
            <w:tcW w:w="1440" w:type="dxa"/>
          </w:tcPr>
          <w:p w14:paraId="72CF2208" w14:textId="77777777" w:rsidR="00A91E9A" w:rsidRPr="00B21F63" w:rsidRDefault="00A91E9A" w:rsidP="00DB1D79">
            <w:pPr>
              <w:adjustRightInd w:val="0"/>
              <w:snapToGrid w:val="0"/>
              <w:jc w:val="center"/>
              <w:rPr>
                <w:b/>
                <w:color w:val="000000" w:themeColor="text1"/>
              </w:rPr>
            </w:pPr>
            <w:r w:rsidRPr="00B21F63">
              <w:rPr>
                <w:b/>
                <w:color w:val="000000" w:themeColor="text1"/>
              </w:rPr>
              <w:t>Invalid</w:t>
            </w:r>
          </w:p>
          <w:p w14:paraId="0F599055" w14:textId="504CCA18" w:rsidR="00A91E9A" w:rsidRPr="00B21F63" w:rsidRDefault="00A91E9A" w:rsidP="00DB1D79">
            <w:pPr>
              <w:adjustRightInd w:val="0"/>
              <w:snapToGrid w:val="0"/>
              <w:jc w:val="center"/>
              <w:rPr>
                <w:color w:val="000000" w:themeColor="text1"/>
              </w:rPr>
            </w:pPr>
            <w:r w:rsidRPr="00B21F63">
              <w:rPr>
                <w:color w:val="000000" w:themeColor="text1"/>
              </w:rPr>
              <w:t>(59)</w:t>
            </w:r>
          </w:p>
        </w:tc>
        <w:tc>
          <w:tcPr>
            <w:tcW w:w="1440" w:type="dxa"/>
          </w:tcPr>
          <w:p w14:paraId="7A02D76E" w14:textId="77777777" w:rsidR="00A91E9A" w:rsidRPr="00B21F63" w:rsidRDefault="00A91E9A" w:rsidP="00DB1D79">
            <w:pPr>
              <w:adjustRightInd w:val="0"/>
              <w:snapToGrid w:val="0"/>
              <w:jc w:val="center"/>
              <w:rPr>
                <w:color w:val="000000" w:themeColor="text1"/>
              </w:rPr>
            </w:pPr>
          </w:p>
        </w:tc>
        <w:tc>
          <w:tcPr>
            <w:tcW w:w="1440" w:type="dxa"/>
          </w:tcPr>
          <w:p w14:paraId="5A0F8CE6" w14:textId="77777777" w:rsidR="00A91E9A" w:rsidRPr="00B21F63" w:rsidRDefault="00A91E9A" w:rsidP="00DB1D79">
            <w:pPr>
              <w:adjustRightInd w:val="0"/>
              <w:snapToGrid w:val="0"/>
              <w:jc w:val="center"/>
              <w:rPr>
                <w:color w:val="000000" w:themeColor="text1"/>
              </w:rPr>
            </w:pPr>
          </w:p>
        </w:tc>
        <w:tc>
          <w:tcPr>
            <w:tcW w:w="1440" w:type="dxa"/>
          </w:tcPr>
          <w:p w14:paraId="219D29CD" w14:textId="77777777" w:rsidR="00A91E9A" w:rsidRPr="00B21F63" w:rsidRDefault="00A91E9A" w:rsidP="00DB1D79">
            <w:pPr>
              <w:adjustRightInd w:val="0"/>
              <w:snapToGrid w:val="0"/>
              <w:rPr>
                <w:color w:val="000000" w:themeColor="text1"/>
              </w:rPr>
            </w:pPr>
          </w:p>
        </w:tc>
      </w:tr>
      <w:tr w:rsidR="00B21F63" w:rsidRPr="00B21F63" w14:paraId="07F5C285" w14:textId="77777777" w:rsidTr="00FA082D">
        <w:tc>
          <w:tcPr>
            <w:tcW w:w="656" w:type="dxa"/>
          </w:tcPr>
          <w:p w14:paraId="6EE7E76C" w14:textId="77777777" w:rsidR="00A91E9A" w:rsidRPr="00B21F63" w:rsidRDefault="00A91E9A" w:rsidP="00DB1D79">
            <w:pPr>
              <w:adjustRightInd w:val="0"/>
              <w:snapToGrid w:val="0"/>
              <w:rPr>
                <w:color w:val="000000" w:themeColor="text1"/>
              </w:rPr>
            </w:pPr>
            <w:r w:rsidRPr="00B21F63">
              <w:rPr>
                <w:color w:val="000000" w:themeColor="text1"/>
              </w:rPr>
              <w:t>9</w:t>
            </w:r>
          </w:p>
        </w:tc>
        <w:tc>
          <w:tcPr>
            <w:tcW w:w="5040" w:type="dxa"/>
          </w:tcPr>
          <w:p w14:paraId="51A5FCD7" w14:textId="77777777" w:rsidR="00A91E9A" w:rsidRPr="00B21F63" w:rsidRDefault="00A91E9A" w:rsidP="00DB1D79">
            <w:pPr>
              <w:pStyle w:val="NormalWeb"/>
              <w:rPr>
                <w:color w:val="000000" w:themeColor="text1"/>
              </w:rPr>
            </w:pPr>
            <w:r w:rsidRPr="00B21F63">
              <w:rPr>
                <w:color w:val="000000" w:themeColor="text1"/>
              </w:rPr>
              <w:t>Ability to correctly estimate and compare standard deviations for different histograms. Understands lowest standard deviation would be for a graph with the least spread (typically) away from the center.</w:t>
            </w:r>
          </w:p>
        </w:tc>
        <w:tc>
          <w:tcPr>
            <w:tcW w:w="1440" w:type="dxa"/>
          </w:tcPr>
          <w:p w14:paraId="67E19F71" w14:textId="77777777" w:rsidR="00A91E9A" w:rsidRPr="00B21F63" w:rsidRDefault="00A91E9A" w:rsidP="00DB1D79">
            <w:pPr>
              <w:adjustRightInd w:val="0"/>
              <w:snapToGrid w:val="0"/>
              <w:jc w:val="center"/>
              <w:rPr>
                <w:b/>
                <w:color w:val="000000" w:themeColor="text1"/>
              </w:rPr>
            </w:pPr>
            <w:r w:rsidRPr="00B21F63">
              <w:rPr>
                <w:b/>
                <w:color w:val="000000" w:themeColor="text1"/>
              </w:rPr>
              <w:t xml:space="preserve">Bell-shaped, small </w:t>
            </w:r>
            <w:proofErr w:type="spellStart"/>
            <w:r w:rsidRPr="00B21F63">
              <w:rPr>
                <w:b/>
                <w:color w:val="000000" w:themeColor="text1"/>
              </w:rPr>
              <w:t>sd</w:t>
            </w:r>
            <w:proofErr w:type="spellEnd"/>
          </w:p>
          <w:p w14:paraId="55AE9C00" w14:textId="77777777" w:rsidR="00A91E9A" w:rsidRPr="00B21F63" w:rsidRDefault="00A91E9A" w:rsidP="00DB1D79">
            <w:pPr>
              <w:adjustRightInd w:val="0"/>
              <w:snapToGrid w:val="0"/>
              <w:jc w:val="center"/>
              <w:rPr>
                <w:color w:val="000000" w:themeColor="text1"/>
              </w:rPr>
            </w:pPr>
            <w:r w:rsidRPr="00B21F63">
              <w:rPr>
                <w:color w:val="000000" w:themeColor="text1"/>
              </w:rPr>
              <w:t>(30)</w:t>
            </w:r>
          </w:p>
        </w:tc>
        <w:tc>
          <w:tcPr>
            <w:tcW w:w="1440" w:type="dxa"/>
          </w:tcPr>
          <w:p w14:paraId="26A37FB2" w14:textId="77777777" w:rsidR="00A91E9A" w:rsidRPr="00B21F63" w:rsidRDefault="00A91E9A" w:rsidP="00DB1D79">
            <w:pPr>
              <w:adjustRightInd w:val="0"/>
              <w:snapToGrid w:val="0"/>
              <w:jc w:val="center"/>
              <w:rPr>
                <w:color w:val="000000" w:themeColor="text1"/>
              </w:rPr>
            </w:pPr>
            <w:r w:rsidRPr="00B21F63">
              <w:rPr>
                <w:color w:val="000000" w:themeColor="text1"/>
              </w:rPr>
              <w:t>U-shaped</w:t>
            </w:r>
          </w:p>
          <w:p w14:paraId="6966A561" w14:textId="77777777" w:rsidR="00A91E9A" w:rsidRPr="00B21F63" w:rsidRDefault="00A91E9A" w:rsidP="00DB1D79">
            <w:pPr>
              <w:adjustRightInd w:val="0"/>
              <w:snapToGrid w:val="0"/>
              <w:jc w:val="center"/>
              <w:rPr>
                <w:color w:val="000000" w:themeColor="text1"/>
              </w:rPr>
            </w:pPr>
          </w:p>
          <w:p w14:paraId="21E372A6" w14:textId="77777777" w:rsidR="00A91E9A" w:rsidRPr="00B21F63" w:rsidRDefault="00A91E9A" w:rsidP="00DB1D79">
            <w:pPr>
              <w:adjustRightInd w:val="0"/>
              <w:snapToGrid w:val="0"/>
              <w:jc w:val="center"/>
              <w:rPr>
                <w:color w:val="000000" w:themeColor="text1"/>
              </w:rPr>
            </w:pPr>
            <w:r w:rsidRPr="00B21F63">
              <w:rPr>
                <w:color w:val="000000" w:themeColor="text1"/>
              </w:rPr>
              <w:t>(15)</w:t>
            </w:r>
          </w:p>
        </w:tc>
        <w:tc>
          <w:tcPr>
            <w:tcW w:w="1440" w:type="dxa"/>
          </w:tcPr>
          <w:p w14:paraId="2DB2202D" w14:textId="77777777" w:rsidR="00A91E9A" w:rsidRPr="00B21F63" w:rsidRDefault="00A91E9A" w:rsidP="00DB1D79">
            <w:pPr>
              <w:adjustRightInd w:val="0"/>
              <w:snapToGrid w:val="0"/>
              <w:jc w:val="center"/>
              <w:rPr>
                <w:color w:val="000000" w:themeColor="text1"/>
              </w:rPr>
            </w:pPr>
            <w:r w:rsidRPr="00B21F63">
              <w:rPr>
                <w:color w:val="000000" w:themeColor="text1"/>
              </w:rPr>
              <w:t>Uniform</w:t>
            </w:r>
          </w:p>
          <w:p w14:paraId="258917F8" w14:textId="77777777" w:rsidR="00A91E9A" w:rsidRPr="00B21F63" w:rsidRDefault="00A91E9A" w:rsidP="00DB1D79">
            <w:pPr>
              <w:adjustRightInd w:val="0"/>
              <w:snapToGrid w:val="0"/>
              <w:jc w:val="center"/>
              <w:rPr>
                <w:color w:val="000000" w:themeColor="text1"/>
              </w:rPr>
            </w:pPr>
          </w:p>
          <w:p w14:paraId="176952B9" w14:textId="77777777" w:rsidR="00A91E9A" w:rsidRPr="00B21F63" w:rsidRDefault="00A91E9A" w:rsidP="00DB1D79">
            <w:pPr>
              <w:adjustRightInd w:val="0"/>
              <w:snapToGrid w:val="0"/>
              <w:jc w:val="center"/>
              <w:rPr>
                <w:color w:val="000000" w:themeColor="text1"/>
              </w:rPr>
            </w:pPr>
            <w:r w:rsidRPr="00B21F63">
              <w:rPr>
                <w:color w:val="000000" w:themeColor="text1"/>
              </w:rPr>
              <w:t>(44)</w:t>
            </w:r>
          </w:p>
        </w:tc>
        <w:tc>
          <w:tcPr>
            <w:tcW w:w="1440" w:type="dxa"/>
          </w:tcPr>
          <w:p w14:paraId="3E973D94" w14:textId="77777777" w:rsidR="00A91E9A" w:rsidRPr="00B21F63" w:rsidRDefault="00A91E9A" w:rsidP="00DB1D79">
            <w:pPr>
              <w:adjustRightInd w:val="0"/>
              <w:snapToGrid w:val="0"/>
              <w:jc w:val="center"/>
              <w:rPr>
                <w:color w:val="000000" w:themeColor="text1"/>
              </w:rPr>
            </w:pPr>
            <w:r w:rsidRPr="00B21F63">
              <w:rPr>
                <w:color w:val="000000" w:themeColor="text1"/>
              </w:rPr>
              <w:t xml:space="preserve">Bell-shaped, medium </w:t>
            </w:r>
            <w:proofErr w:type="spellStart"/>
            <w:r w:rsidRPr="00B21F63">
              <w:rPr>
                <w:color w:val="000000" w:themeColor="text1"/>
              </w:rPr>
              <w:t>sd</w:t>
            </w:r>
            <w:proofErr w:type="spellEnd"/>
          </w:p>
          <w:p w14:paraId="4B221D59" w14:textId="77777777" w:rsidR="00A91E9A" w:rsidRPr="00B21F63" w:rsidRDefault="00A91E9A" w:rsidP="00DB1D79">
            <w:pPr>
              <w:adjustRightInd w:val="0"/>
              <w:snapToGrid w:val="0"/>
              <w:jc w:val="center"/>
              <w:rPr>
                <w:color w:val="000000" w:themeColor="text1"/>
              </w:rPr>
            </w:pPr>
            <w:r w:rsidRPr="00B21F63">
              <w:rPr>
                <w:color w:val="000000" w:themeColor="text1"/>
              </w:rPr>
              <w:t>(9)</w:t>
            </w:r>
          </w:p>
        </w:tc>
        <w:tc>
          <w:tcPr>
            <w:tcW w:w="1440" w:type="dxa"/>
          </w:tcPr>
          <w:p w14:paraId="76CCBD37" w14:textId="77777777" w:rsidR="00A91E9A" w:rsidRPr="00B21F63" w:rsidRDefault="00A91E9A" w:rsidP="00DB1D79">
            <w:pPr>
              <w:adjustRightInd w:val="0"/>
              <w:snapToGrid w:val="0"/>
              <w:rPr>
                <w:color w:val="000000" w:themeColor="text1"/>
              </w:rPr>
            </w:pPr>
            <w:r w:rsidRPr="00B21F63">
              <w:rPr>
                <w:color w:val="000000" w:themeColor="text1"/>
              </w:rPr>
              <w:t xml:space="preserve">Bell-shaped, large </w:t>
            </w:r>
            <w:proofErr w:type="spellStart"/>
            <w:r w:rsidRPr="00B21F63">
              <w:rPr>
                <w:color w:val="000000" w:themeColor="text1"/>
              </w:rPr>
              <w:t>sd</w:t>
            </w:r>
            <w:proofErr w:type="spellEnd"/>
          </w:p>
          <w:p w14:paraId="2783D7AD" w14:textId="77777777" w:rsidR="00A91E9A" w:rsidRPr="00B21F63" w:rsidRDefault="00A91E9A" w:rsidP="00DB1D79">
            <w:pPr>
              <w:adjustRightInd w:val="0"/>
              <w:snapToGrid w:val="0"/>
              <w:rPr>
                <w:color w:val="000000" w:themeColor="text1"/>
              </w:rPr>
            </w:pPr>
            <w:r w:rsidRPr="00B21F63">
              <w:rPr>
                <w:color w:val="000000" w:themeColor="text1"/>
              </w:rPr>
              <w:t>(2)</w:t>
            </w:r>
          </w:p>
        </w:tc>
      </w:tr>
      <w:tr w:rsidR="00B21F63" w:rsidRPr="00B21F63" w14:paraId="41D17FD5" w14:textId="77777777" w:rsidTr="00FA082D">
        <w:tc>
          <w:tcPr>
            <w:tcW w:w="656" w:type="dxa"/>
          </w:tcPr>
          <w:p w14:paraId="7A342468" w14:textId="77777777" w:rsidR="00A91E9A" w:rsidRPr="00B21F63" w:rsidRDefault="00A91E9A" w:rsidP="00DB1D79">
            <w:pPr>
              <w:adjustRightInd w:val="0"/>
              <w:snapToGrid w:val="0"/>
              <w:rPr>
                <w:color w:val="000000" w:themeColor="text1"/>
              </w:rPr>
            </w:pPr>
            <w:r w:rsidRPr="00B21F63">
              <w:rPr>
                <w:color w:val="000000" w:themeColor="text1"/>
              </w:rPr>
              <w:t>10</w:t>
            </w:r>
          </w:p>
        </w:tc>
        <w:tc>
          <w:tcPr>
            <w:tcW w:w="5040" w:type="dxa"/>
          </w:tcPr>
          <w:p w14:paraId="3D659D8C" w14:textId="77777777" w:rsidR="00A91E9A" w:rsidRPr="00B21F63" w:rsidRDefault="00A91E9A" w:rsidP="00DB1D79">
            <w:pPr>
              <w:pStyle w:val="NormalWeb"/>
              <w:rPr>
                <w:color w:val="000000" w:themeColor="text1"/>
              </w:rPr>
            </w:pPr>
            <w:r w:rsidRPr="00B21F63">
              <w:rPr>
                <w:color w:val="000000" w:themeColor="text1"/>
              </w:rPr>
              <w:t>Ability to correctly estimate standard deviations for different histograms. Understands highest standard deviation would be for a graph with the most spread (typically) away from the center.</w:t>
            </w:r>
          </w:p>
        </w:tc>
        <w:tc>
          <w:tcPr>
            <w:tcW w:w="1440" w:type="dxa"/>
          </w:tcPr>
          <w:p w14:paraId="7E59CFC2" w14:textId="77777777" w:rsidR="00A91E9A" w:rsidRPr="00B21F63" w:rsidRDefault="00A91E9A" w:rsidP="00DB1D79">
            <w:pPr>
              <w:adjustRightInd w:val="0"/>
              <w:snapToGrid w:val="0"/>
              <w:jc w:val="center"/>
              <w:rPr>
                <w:color w:val="000000" w:themeColor="text1"/>
              </w:rPr>
            </w:pPr>
            <w:r w:rsidRPr="00B21F63">
              <w:rPr>
                <w:color w:val="000000" w:themeColor="text1"/>
              </w:rPr>
              <w:t xml:space="preserve">Bell-shaped, small </w:t>
            </w:r>
            <w:proofErr w:type="spellStart"/>
            <w:r w:rsidRPr="00B21F63">
              <w:rPr>
                <w:color w:val="000000" w:themeColor="text1"/>
              </w:rPr>
              <w:t>sd</w:t>
            </w:r>
            <w:proofErr w:type="spellEnd"/>
          </w:p>
          <w:p w14:paraId="568445C1" w14:textId="2CF1D768" w:rsidR="00A91E9A" w:rsidRPr="00B21F63" w:rsidRDefault="00A91E9A" w:rsidP="00DB1D79">
            <w:pPr>
              <w:adjustRightInd w:val="0"/>
              <w:snapToGrid w:val="0"/>
              <w:jc w:val="center"/>
              <w:rPr>
                <w:color w:val="000000" w:themeColor="text1"/>
              </w:rPr>
            </w:pPr>
            <w:r w:rsidRPr="00B21F63">
              <w:rPr>
                <w:color w:val="000000" w:themeColor="text1"/>
              </w:rPr>
              <w:t>(23)</w:t>
            </w:r>
          </w:p>
        </w:tc>
        <w:tc>
          <w:tcPr>
            <w:tcW w:w="1440" w:type="dxa"/>
          </w:tcPr>
          <w:p w14:paraId="2B74D5C1" w14:textId="77777777" w:rsidR="00A91E9A" w:rsidRPr="00B21F63" w:rsidRDefault="00A91E9A" w:rsidP="00DB1D79">
            <w:pPr>
              <w:adjustRightInd w:val="0"/>
              <w:snapToGrid w:val="0"/>
              <w:jc w:val="center"/>
              <w:rPr>
                <w:b/>
                <w:color w:val="000000" w:themeColor="text1"/>
              </w:rPr>
            </w:pPr>
            <w:r w:rsidRPr="00B21F63">
              <w:rPr>
                <w:b/>
                <w:color w:val="000000" w:themeColor="text1"/>
              </w:rPr>
              <w:t>U-shaped</w:t>
            </w:r>
          </w:p>
          <w:p w14:paraId="3C392262" w14:textId="54E17EB5" w:rsidR="00A91E9A" w:rsidRPr="00B21F63" w:rsidRDefault="00A91E9A" w:rsidP="00DB1D79">
            <w:pPr>
              <w:adjustRightInd w:val="0"/>
              <w:snapToGrid w:val="0"/>
              <w:jc w:val="center"/>
              <w:rPr>
                <w:color w:val="000000" w:themeColor="text1"/>
              </w:rPr>
            </w:pPr>
          </w:p>
          <w:p w14:paraId="76E8D833" w14:textId="77777777" w:rsidR="00A91E9A" w:rsidRPr="00B21F63" w:rsidRDefault="00A91E9A" w:rsidP="00DB1D79">
            <w:pPr>
              <w:adjustRightInd w:val="0"/>
              <w:snapToGrid w:val="0"/>
              <w:jc w:val="center"/>
              <w:rPr>
                <w:color w:val="000000" w:themeColor="text1"/>
              </w:rPr>
            </w:pPr>
            <w:r w:rsidRPr="00B21F63">
              <w:rPr>
                <w:color w:val="000000" w:themeColor="text1"/>
              </w:rPr>
              <w:t>(39)</w:t>
            </w:r>
          </w:p>
        </w:tc>
        <w:tc>
          <w:tcPr>
            <w:tcW w:w="1440" w:type="dxa"/>
          </w:tcPr>
          <w:p w14:paraId="5DBB0B1F" w14:textId="69C6BBFF" w:rsidR="00A91E9A" w:rsidRPr="00B21F63" w:rsidRDefault="00A91E9A" w:rsidP="00DB1D79">
            <w:pPr>
              <w:adjustRightInd w:val="0"/>
              <w:snapToGrid w:val="0"/>
              <w:jc w:val="center"/>
              <w:rPr>
                <w:color w:val="000000" w:themeColor="text1"/>
              </w:rPr>
            </w:pPr>
            <w:r w:rsidRPr="00B21F63">
              <w:rPr>
                <w:color w:val="000000" w:themeColor="text1"/>
              </w:rPr>
              <w:t>Uniform</w:t>
            </w:r>
          </w:p>
          <w:p w14:paraId="6BA681FF" w14:textId="77777777" w:rsidR="00A91E9A" w:rsidRPr="00B21F63" w:rsidRDefault="00A91E9A" w:rsidP="00DB1D79">
            <w:pPr>
              <w:adjustRightInd w:val="0"/>
              <w:snapToGrid w:val="0"/>
              <w:jc w:val="center"/>
              <w:rPr>
                <w:color w:val="000000" w:themeColor="text1"/>
              </w:rPr>
            </w:pPr>
          </w:p>
          <w:p w14:paraId="6DD5F664" w14:textId="77777777" w:rsidR="00A91E9A" w:rsidRPr="00B21F63" w:rsidRDefault="00A91E9A" w:rsidP="00DB1D79">
            <w:pPr>
              <w:adjustRightInd w:val="0"/>
              <w:snapToGrid w:val="0"/>
              <w:jc w:val="center"/>
              <w:rPr>
                <w:color w:val="000000" w:themeColor="text1"/>
              </w:rPr>
            </w:pPr>
            <w:r w:rsidRPr="00B21F63">
              <w:rPr>
                <w:color w:val="000000" w:themeColor="text1"/>
              </w:rPr>
              <w:t>(16)</w:t>
            </w:r>
          </w:p>
        </w:tc>
        <w:tc>
          <w:tcPr>
            <w:tcW w:w="1440" w:type="dxa"/>
          </w:tcPr>
          <w:p w14:paraId="445A43C1" w14:textId="77777777" w:rsidR="00A91E9A" w:rsidRPr="00B21F63" w:rsidRDefault="00A91E9A" w:rsidP="00DB1D79">
            <w:pPr>
              <w:adjustRightInd w:val="0"/>
              <w:snapToGrid w:val="0"/>
              <w:jc w:val="center"/>
              <w:rPr>
                <w:color w:val="000000" w:themeColor="text1"/>
              </w:rPr>
            </w:pPr>
            <w:r w:rsidRPr="00B21F63">
              <w:rPr>
                <w:color w:val="000000" w:themeColor="text1"/>
              </w:rPr>
              <w:t xml:space="preserve">Bell-shaped, medium </w:t>
            </w:r>
            <w:proofErr w:type="spellStart"/>
            <w:r w:rsidRPr="00B21F63">
              <w:rPr>
                <w:color w:val="000000" w:themeColor="text1"/>
              </w:rPr>
              <w:t>sd</w:t>
            </w:r>
            <w:proofErr w:type="spellEnd"/>
          </w:p>
          <w:p w14:paraId="55E60C78" w14:textId="0827021A" w:rsidR="00A91E9A" w:rsidRPr="00B21F63" w:rsidRDefault="00A91E9A" w:rsidP="00DB1D79">
            <w:pPr>
              <w:adjustRightInd w:val="0"/>
              <w:snapToGrid w:val="0"/>
              <w:jc w:val="center"/>
              <w:rPr>
                <w:color w:val="000000" w:themeColor="text1"/>
              </w:rPr>
            </w:pPr>
            <w:r w:rsidRPr="00B21F63">
              <w:rPr>
                <w:color w:val="000000" w:themeColor="text1"/>
              </w:rPr>
              <w:t>(9)</w:t>
            </w:r>
          </w:p>
        </w:tc>
        <w:tc>
          <w:tcPr>
            <w:tcW w:w="1440" w:type="dxa"/>
          </w:tcPr>
          <w:p w14:paraId="75792AC3" w14:textId="77777777" w:rsidR="00A91E9A" w:rsidRPr="00B21F63" w:rsidRDefault="00A91E9A" w:rsidP="00DB1D79">
            <w:pPr>
              <w:adjustRightInd w:val="0"/>
              <w:snapToGrid w:val="0"/>
              <w:rPr>
                <w:color w:val="000000" w:themeColor="text1"/>
              </w:rPr>
            </w:pPr>
            <w:r w:rsidRPr="00B21F63">
              <w:rPr>
                <w:color w:val="000000" w:themeColor="text1"/>
              </w:rPr>
              <w:t xml:space="preserve">Bell-shaped, large </w:t>
            </w:r>
            <w:proofErr w:type="spellStart"/>
            <w:r w:rsidRPr="00B21F63">
              <w:rPr>
                <w:color w:val="000000" w:themeColor="text1"/>
              </w:rPr>
              <w:t>sd</w:t>
            </w:r>
            <w:proofErr w:type="spellEnd"/>
          </w:p>
          <w:p w14:paraId="446A6C82" w14:textId="77777777" w:rsidR="00A91E9A" w:rsidRPr="00B21F63" w:rsidRDefault="00A91E9A" w:rsidP="00DB1D79">
            <w:pPr>
              <w:adjustRightInd w:val="0"/>
              <w:snapToGrid w:val="0"/>
              <w:rPr>
                <w:color w:val="000000" w:themeColor="text1"/>
              </w:rPr>
            </w:pPr>
            <w:r w:rsidRPr="00B21F63">
              <w:rPr>
                <w:color w:val="000000" w:themeColor="text1"/>
              </w:rPr>
              <w:t xml:space="preserve"> (13)</w:t>
            </w:r>
          </w:p>
        </w:tc>
      </w:tr>
      <w:tr w:rsidR="00B21F63" w:rsidRPr="00B21F63" w14:paraId="2C396ED6" w14:textId="77777777" w:rsidTr="00FA082D">
        <w:tc>
          <w:tcPr>
            <w:tcW w:w="656" w:type="dxa"/>
          </w:tcPr>
          <w:p w14:paraId="1D21E898" w14:textId="77777777" w:rsidR="00A91E9A" w:rsidRPr="00B21F63" w:rsidRDefault="00A91E9A" w:rsidP="00DB1D79">
            <w:pPr>
              <w:adjustRightInd w:val="0"/>
              <w:snapToGrid w:val="0"/>
              <w:rPr>
                <w:color w:val="000000" w:themeColor="text1"/>
              </w:rPr>
            </w:pPr>
            <w:r w:rsidRPr="00B21F63">
              <w:rPr>
                <w:color w:val="000000" w:themeColor="text1"/>
              </w:rPr>
              <w:t>11</w:t>
            </w:r>
          </w:p>
        </w:tc>
        <w:tc>
          <w:tcPr>
            <w:tcW w:w="5040" w:type="dxa"/>
          </w:tcPr>
          <w:p w14:paraId="38E4DD5F" w14:textId="77777777" w:rsidR="00A91E9A" w:rsidRPr="00B21F63" w:rsidRDefault="00A91E9A" w:rsidP="00DB1D79">
            <w:pPr>
              <w:pStyle w:val="NormalWeb"/>
              <w:rPr>
                <w:color w:val="000000" w:themeColor="text1"/>
              </w:rPr>
            </w:pPr>
            <w:r w:rsidRPr="00B21F63">
              <w:rPr>
                <w:color w:val="000000" w:themeColor="text1"/>
              </w:rPr>
              <w:t>Understanding that a distribution with the median larger than mean is most likely skewed to the left.</w:t>
            </w:r>
          </w:p>
        </w:tc>
        <w:tc>
          <w:tcPr>
            <w:tcW w:w="1440" w:type="dxa"/>
          </w:tcPr>
          <w:p w14:paraId="3F0D4A4C" w14:textId="77777777" w:rsidR="00A91E9A" w:rsidRPr="00B21F63" w:rsidRDefault="00A91E9A" w:rsidP="00DB1D79">
            <w:pPr>
              <w:adjustRightInd w:val="0"/>
              <w:snapToGrid w:val="0"/>
              <w:jc w:val="center"/>
              <w:rPr>
                <w:color w:val="000000" w:themeColor="text1"/>
              </w:rPr>
            </w:pPr>
            <w:r w:rsidRPr="00B21F63">
              <w:rPr>
                <w:color w:val="000000" w:themeColor="text1"/>
              </w:rPr>
              <w:t>Bell-shaped</w:t>
            </w:r>
          </w:p>
          <w:p w14:paraId="7BE815B4" w14:textId="77777777" w:rsidR="00A91E9A" w:rsidRPr="00B21F63" w:rsidRDefault="00A91E9A" w:rsidP="00DB1D79">
            <w:pPr>
              <w:adjustRightInd w:val="0"/>
              <w:snapToGrid w:val="0"/>
              <w:jc w:val="center"/>
              <w:rPr>
                <w:color w:val="000000" w:themeColor="text1"/>
              </w:rPr>
            </w:pPr>
            <w:r w:rsidRPr="00B21F63">
              <w:rPr>
                <w:color w:val="000000" w:themeColor="text1"/>
              </w:rPr>
              <w:t>(59)</w:t>
            </w:r>
          </w:p>
        </w:tc>
        <w:tc>
          <w:tcPr>
            <w:tcW w:w="1440" w:type="dxa"/>
          </w:tcPr>
          <w:p w14:paraId="1195A144" w14:textId="77777777" w:rsidR="00A91E9A" w:rsidRPr="00B21F63" w:rsidRDefault="00A91E9A" w:rsidP="00DB1D79">
            <w:pPr>
              <w:adjustRightInd w:val="0"/>
              <w:snapToGrid w:val="0"/>
              <w:jc w:val="center"/>
              <w:rPr>
                <w:b/>
                <w:color w:val="000000" w:themeColor="text1"/>
              </w:rPr>
            </w:pPr>
            <w:r w:rsidRPr="00B21F63">
              <w:rPr>
                <w:b/>
                <w:color w:val="000000" w:themeColor="text1"/>
              </w:rPr>
              <w:t>Negative skew</w:t>
            </w:r>
          </w:p>
          <w:p w14:paraId="34585F62" w14:textId="77777777" w:rsidR="00A91E9A" w:rsidRPr="00B21F63" w:rsidRDefault="00A91E9A" w:rsidP="00DB1D79">
            <w:pPr>
              <w:adjustRightInd w:val="0"/>
              <w:snapToGrid w:val="0"/>
              <w:jc w:val="center"/>
              <w:rPr>
                <w:color w:val="000000" w:themeColor="text1"/>
              </w:rPr>
            </w:pPr>
            <w:r w:rsidRPr="00B21F63">
              <w:rPr>
                <w:color w:val="000000" w:themeColor="text1"/>
              </w:rPr>
              <w:t>(37)</w:t>
            </w:r>
          </w:p>
        </w:tc>
        <w:tc>
          <w:tcPr>
            <w:tcW w:w="1440" w:type="dxa"/>
          </w:tcPr>
          <w:p w14:paraId="3D4FF67D" w14:textId="77777777" w:rsidR="00A91E9A" w:rsidRPr="00B21F63" w:rsidRDefault="00A91E9A" w:rsidP="00DB1D79">
            <w:pPr>
              <w:adjustRightInd w:val="0"/>
              <w:snapToGrid w:val="0"/>
              <w:jc w:val="center"/>
              <w:rPr>
                <w:color w:val="000000" w:themeColor="text1"/>
              </w:rPr>
            </w:pPr>
            <w:r w:rsidRPr="00B21F63">
              <w:rPr>
                <w:color w:val="000000" w:themeColor="text1"/>
              </w:rPr>
              <w:t>Positive skew</w:t>
            </w:r>
          </w:p>
          <w:p w14:paraId="3FAFE29E" w14:textId="77777777" w:rsidR="00A91E9A" w:rsidRPr="00B21F63" w:rsidRDefault="00A91E9A" w:rsidP="00DB1D79">
            <w:pPr>
              <w:adjustRightInd w:val="0"/>
              <w:snapToGrid w:val="0"/>
              <w:jc w:val="center"/>
              <w:rPr>
                <w:color w:val="000000" w:themeColor="text1"/>
              </w:rPr>
            </w:pPr>
            <w:r w:rsidRPr="00B21F63">
              <w:rPr>
                <w:color w:val="000000" w:themeColor="text1"/>
              </w:rPr>
              <w:t>(4)</w:t>
            </w:r>
          </w:p>
        </w:tc>
        <w:tc>
          <w:tcPr>
            <w:tcW w:w="1440" w:type="dxa"/>
          </w:tcPr>
          <w:p w14:paraId="59958CA2" w14:textId="77777777" w:rsidR="00A91E9A" w:rsidRPr="00B21F63" w:rsidRDefault="00A91E9A" w:rsidP="00DB1D79">
            <w:pPr>
              <w:adjustRightInd w:val="0"/>
              <w:snapToGrid w:val="0"/>
              <w:jc w:val="center"/>
              <w:rPr>
                <w:color w:val="000000" w:themeColor="text1"/>
              </w:rPr>
            </w:pPr>
          </w:p>
        </w:tc>
        <w:tc>
          <w:tcPr>
            <w:tcW w:w="1440" w:type="dxa"/>
          </w:tcPr>
          <w:p w14:paraId="5940F665" w14:textId="77777777" w:rsidR="00A91E9A" w:rsidRPr="00B21F63" w:rsidRDefault="00A91E9A" w:rsidP="00DB1D79">
            <w:pPr>
              <w:adjustRightInd w:val="0"/>
              <w:snapToGrid w:val="0"/>
              <w:rPr>
                <w:color w:val="000000" w:themeColor="text1"/>
              </w:rPr>
            </w:pPr>
          </w:p>
        </w:tc>
      </w:tr>
    </w:tbl>
    <w:p w14:paraId="56B52206" w14:textId="5723D2CE" w:rsidR="00A91E9A" w:rsidRPr="00B21F63" w:rsidRDefault="00771D5F" w:rsidP="003D291F">
      <w:pPr>
        <w:spacing w:line="360" w:lineRule="auto"/>
        <w:jc w:val="center"/>
        <w:rPr>
          <w:color w:val="000000" w:themeColor="text1"/>
        </w:rPr>
        <w:sectPr w:rsidR="00A91E9A" w:rsidRPr="00B21F63" w:rsidSect="00DB1D79">
          <w:type w:val="continuous"/>
          <w:pgSz w:w="11894" w:h="16819" w:code="9"/>
          <w:pgMar w:top="1440" w:right="1440" w:bottom="1440" w:left="1440" w:header="142" w:footer="720" w:gutter="0"/>
          <w:cols w:space="708"/>
          <w:titlePg/>
          <w:docGrid w:linePitch="360"/>
        </w:sectPr>
      </w:pPr>
      <w:r w:rsidRPr="00B21F63">
        <w:rPr>
          <w:color w:val="000000" w:themeColor="text1"/>
          <w:shd w:val="clear" w:color="auto" w:fill="FFFFFF"/>
          <w:lang w:eastAsia="es-MX"/>
        </w:rPr>
        <w:t>Source: Prepared by the author based on the sample</w:t>
      </w:r>
    </w:p>
    <w:p w14:paraId="7ECF564B" w14:textId="77777777" w:rsidR="003D291F" w:rsidRDefault="003D291F" w:rsidP="003D291F">
      <w:pPr>
        <w:spacing w:line="360" w:lineRule="auto"/>
        <w:jc w:val="both"/>
        <w:rPr>
          <w:b/>
          <w:bCs/>
          <w:color w:val="000000" w:themeColor="text1"/>
        </w:rPr>
      </w:pPr>
    </w:p>
    <w:p w14:paraId="59AA37DE" w14:textId="5E654763" w:rsidR="003D291F" w:rsidRDefault="003D291F" w:rsidP="003D291F">
      <w:pPr>
        <w:spacing w:line="360" w:lineRule="auto"/>
        <w:jc w:val="both"/>
        <w:rPr>
          <w:b/>
          <w:bCs/>
          <w:color w:val="000000" w:themeColor="text1"/>
        </w:rPr>
      </w:pPr>
    </w:p>
    <w:p w14:paraId="6E7080DF" w14:textId="77777777" w:rsidR="00B70925" w:rsidRDefault="00B70925" w:rsidP="003D291F">
      <w:pPr>
        <w:spacing w:line="360" w:lineRule="auto"/>
        <w:jc w:val="both"/>
        <w:rPr>
          <w:b/>
          <w:bCs/>
          <w:color w:val="000000" w:themeColor="text1"/>
        </w:rPr>
      </w:pPr>
    </w:p>
    <w:p w14:paraId="6F550DE8" w14:textId="77777777" w:rsidR="003D291F" w:rsidRDefault="003D291F" w:rsidP="003D291F">
      <w:pPr>
        <w:spacing w:line="360" w:lineRule="auto"/>
        <w:jc w:val="both"/>
        <w:rPr>
          <w:b/>
          <w:bCs/>
          <w:color w:val="000000" w:themeColor="text1"/>
        </w:rPr>
      </w:pPr>
    </w:p>
    <w:p w14:paraId="758B027D" w14:textId="77777777" w:rsidR="003D291F" w:rsidRDefault="003D291F" w:rsidP="003D291F">
      <w:pPr>
        <w:spacing w:line="360" w:lineRule="auto"/>
        <w:jc w:val="both"/>
        <w:rPr>
          <w:b/>
          <w:bCs/>
          <w:color w:val="000000" w:themeColor="text1"/>
        </w:rPr>
      </w:pPr>
    </w:p>
    <w:p w14:paraId="7DE72734" w14:textId="70EB59F6" w:rsidR="00771D5F" w:rsidRPr="003D291F" w:rsidRDefault="00771D5F" w:rsidP="003D291F">
      <w:pPr>
        <w:spacing w:line="360" w:lineRule="auto"/>
        <w:jc w:val="center"/>
        <w:rPr>
          <w:b/>
          <w:bCs/>
          <w:color w:val="000000" w:themeColor="text1"/>
          <w:sz w:val="32"/>
          <w:szCs w:val="32"/>
        </w:rPr>
      </w:pPr>
      <w:r w:rsidRPr="003D291F">
        <w:rPr>
          <w:b/>
          <w:bCs/>
          <w:color w:val="000000" w:themeColor="text1"/>
          <w:sz w:val="32"/>
          <w:szCs w:val="32"/>
        </w:rPr>
        <w:lastRenderedPageBreak/>
        <w:t>Conclusion</w:t>
      </w:r>
    </w:p>
    <w:p w14:paraId="27D7ECBB" w14:textId="77777777" w:rsidR="00771D5F" w:rsidRPr="00B21F63" w:rsidRDefault="00771D5F" w:rsidP="00B3197D">
      <w:pPr>
        <w:spacing w:line="360" w:lineRule="auto"/>
        <w:jc w:val="both"/>
        <w:rPr>
          <w:color w:val="000000" w:themeColor="text1"/>
        </w:rPr>
      </w:pPr>
      <w:r w:rsidRPr="00B21F63">
        <w:rPr>
          <w:color w:val="000000" w:themeColor="text1"/>
        </w:rPr>
        <w:tab/>
        <w:t>In this study, the CAOS test was applied to undergraduate students who had taken a descriptive statistics course to assess their statistical thinking. The results show that a high percentage of students had problems recognizing what kind of distribution they were analyzing. Also, they were confused with how to calculate the skew with measures of central tendency or dispersion. There could be another factor that affects their performance in statistical thinking. For instance, there could be deficiencies in the way they are taught statistics.</w:t>
      </w:r>
    </w:p>
    <w:p w14:paraId="21A178B5" w14:textId="77777777" w:rsidR="00771D5F" w:rsidRPr="00B21F63" w:rsidRDefault="00771D5F" w:rsidP="00B3197D">
      <w:pPr>
        <w:spacing w:line="360" w:lineRule="auto"/>
        <w:jc w:val="both"/>
        <w:rPr>
          <w:color w:val="000000" w:themeColor="text1"/>
        </w:rPr>
      </w:pPr>
      <w:r w:rsidRPr="00B21F63">
        <w:rPr>
          <w:color w:val="000000" w:themeColor="text1"/>
        </w:rPr>
        <w:tab/>
        <w:t xml:space="preserve">Therefore, it is recommended that course instructors receive pedagogical training in research-based teaching methods that have been shown to develop students’ ability to understand and reason with graphical representations. For example, methods developed by </w:t>
      </w:r>
      <w:r w:rsidRPr="00B21F63">
        <w:rPr>
          <w:color w:val="000000" w:themeColor="text1"/>
        </w:rPr>
        <w:fldChar w:fldCharType="begin" w:fldLock="1"/>
      </w:r>
      <w:r w:rsidRPr="00B21F63">
        <w:rPr>
          <w:color w:val="000000" w:themeColor="text1"/>
        </w:rPr>
        <w:instrText>ADDIN CSL_CITATION {"citationItems":[{"id":"ITEM-1","itemData":{"author":[{"dropping-particle":"","family":"Bakker","given":"A.","non-dropping-particle":"","parse-names":false,"suffix":""}],"container-title":"Statistics Education Research Journal","id":"ITEM-1","issue":"2","issued":{"date-parts":[["2004"]]},"page":"64-83","title":"Reasoning about shape as a pattern in variability","type":"article-journal","volume":"3"},"uris":["http://www.mendeley.com/documents/?uuid=8b2a1869-81d7-4e4b-a40d-3fad4702ef2e"]}],"mendeley":{"formattedCitation":"(Bakker, 2004)","manualFormatting":"Bakker (2004)","plainTextFormattedCitation":"(Bakker, 2004)","previouslyFormattedCitation":"(Bakker, 2004)"},"properties":{"noteIndex":0},"schema":"https://github.com/citation-style-language/schema/raw/master/csl-citation.json"}</w:instrText>
      </w:r>
      <w:r w:rsidRPr="00B21F63">
        <w:rPr>
          <w:color w:val="000000" w:themeColor="text1"/>
        </w:rPr>
        <w:fldChar w:fldCharType="separate"/>
      </w:r>
      <w:r w:rsidRPr="00B21F63">
        <w:rPr>
          <w:noProof/>
          <w:color w:val="000000" w:themeColor="text1"/>
        </w:rPr>
        <w:t>Bakker (2004)</w:t>
      </w:r>
      <w:r w:rsidRPr="00B21F63">
        <w:rPr>
          <w:color w:val="000000" w:themeColor="text1"/>
        </w:rPr>
        <w:fldChar w:fldCharType="end"/>
      </w:r>
      <w:r w:rsidRPr="00B21F63">
        <w:rPr>
          <w:color w:val="000000" w:themeColor="text1"/>
        </w:rPr>
        <w:t xml:space="preserve">  that have students go through a series of exercises where they “grow a sample” have been shown to promote aggregate and distributional thinking in students. </w:t>
      </w:r>
      <w:r w:rsidRPr="00B21F63">
        <w:rPr>
          <w:color w:val="000000" w:themeColor="text1"/>
        </w:rPr>
        <w:fldChar w:fldCharType="begin" w:fldLock="1"/>
      </w:r>
      <w:r w:rsidRPr="00B21F63">
        <w:rPr>
          <w:color w:val="000000" w:themeColor="text1"/>
        </w:rPr>
        <w:instrText>ADDIN CSL_CITATION {"citationItems":[{"id":"ITEM-1","itemData":{"DOI":"10.1080/10691898.2010.11889487","ISSN":"1069-1898","author":[{"dropping-particle":"","family":"Cooper","given":"Linda L.","non-dropping-particle":"","parse-names":false,"suffix":""},{"dropping-particle":"","family":"Shore","given":"Felice S.","non-dropping-particle":"","parse-names":false,"suffix":""}],"container-title":"Journal of Statistics Education","id":"ITEM-1","issue":"2","issued":{"date-parts":[["2010","7","7"]]},"title":"The Effects of Data and Graph Type on Concepts and Visualizations of Variability","type":"article-journal","volume":"18"},"uris":["http://www.mendeley.com/documents/?uuid=00d8af36-79f0-4fca-b1ad-f4ede604096a"]}],"mendeley":{"formattedCitation":"(Cooper &amp; Shore, 2010)","manualFormatting":"Cooper and Shore (2010)","plainTextFormattedCitation":"(Cooper &amp; Shore, 2010)","previouslyFormattedCitation":"(Cooper &amp; Shore, 2010)"},"properties":{"noteIndex":0},"schema":"https://github.com/citation-style-language/schema/raw/master/csl-citation.json"}</w:instrText>
      </w:r>
      <w:r w:rsidRPr="00B21F63">
        <w:rPr>
          <w:color w:val="000000" w:themeColor="text1"/>
        </w:rPr>
        <w:fldChar w:fldCharType="separate"/>
      </w:r>
      <w:r w:rsidRPr="00B21F63">
        <w:rPr>
          <w:noProof/>
          <w:color w:val="000000" w:themeColor="text1"/>
        </w:rPr>
        <w:t>Cooper and Shore (2010)</w:t>
      </w:r>
      <w:r w:rsidRPr="00B21F63">
        <w:rPr>
          <w:color w:val="000000" w:themeColor="text1"/>
        </w:rPr>
        <w:fldChar w:fldCharType="end"/>
      </w:r>
      <w:r w:rsidRPr="00B21F63">
        <w:rPr>
          <w:color w:val="000000" w:themeColor="text1"/>
        </w:rPr>
        <w:t xml:space="preserve"> have suggested visual aids that may help students visualize and understand variability as it is represented in histograms and value bar charts.  </w:t>
      </w:r>
      <w:r w:rsidRPr="00B21F63">
        <w:rPr>
          <w:color w:val="000000" w:themeColor="text1"/>
        </w:rPr>
        <w:fldChar w:fldCharType="begin" w:fldLock="1"/>
      </w:r>
      <w:r w:rsidRPr="00B21F63">
        <w:rPr>
          <w:color w:val="000000" w:themeColor="text1"/>
        </w:rPr>
        <w:instrText>ADDIN CSL_CITATION {"citationItems":[{"id":"ITEM-1","itemData":{"author":[{"dropping-particle":"","family":"Garfield","given":"J.","non-dropping-particle":"","parse-names":false,"suffix":""},{"dropping-particle":"","family":"Ben-Zvi","given":"D.","non-dropping-particle":"","parse-names":false,"suffix":""}],"container-title":"Statistics Education Research Journal","id":"ITEM-1","issue":"1","issued":{"date-parts":[["2005"]]},"page":"92-99","title":"A framework for teaching and assessing reasoning about variability","type":"article-journal","volume":"4"},"uris":["http://www.mendeley.com/documents/?uuid=aee1f91b-27fc-43e3-94b7-38cbd474c43a"]}],"mendeley":{"formattedCitation":"(Garfield &amp; Ben-Zvi, 2005)","manualFormatting":"Garfield &amp; Ben-Zvi (2005)","plainTextFormattedCitation":"(Garfield &amp; Ben-Zvi, 2005)","previouslyFormattedCitation":"(Garfield &amp; Ben-Zvi, 2005)"},"properties":{"noteIndex":0},"schema":"https://github.com/citation-style-language/schema/raw/master/csl-citation.json"}</w:instrText>
      </w:r>
      <w:r w:rsidRPr="00B21F63">
        <w:rPr>
          <w:color w:val="000000" w:themeColor="text1"/>
        </w:rPr>
        <w:fldChar w:fldCharType="separate"/>
      </w:r>
      <w:r w:rsidRPr="00B21F63">
        <w:rPr>
          <w:noProof/>
          <w:color w:val="000000" w:themeColor="text1"/>
        </w:rPr>
        <w:t>Garfield &amp; Ben-Zvi (2005)</w:t>
      </w:r>
      <w:r w:rsidRPr="00B21F63">
        <w:rPr>
          <w:color w:val="000000" w:themeColor="text1"/>
        </w:rPr>
        <w:fldChar w:fldCharType="end"/>
      </w:r>
      <w:r w:rsidRPr="00B21F63">
        <w:rPr>
          <w:color w:val="000000" w:themeColor="text1"/>
        </w:rPr>
        <w:t xml:space="preserve"> provide a conceptual model for developing students’ reasoning about variability. Two components of the model related to understanding variability represented by graphic representations (describing and representing variability; recognizing variability in special types of distributions) provide instructional goals for teaching and assessment. A teaching experiment conducted with preservice teachers by </w:t>
      </w:r>
      <w:r w:rsidRPr="00B21F63">
        <w:rPr>
          <w:color w:val="000000" w:themeColor="text1"/>
        </w:rPr>
        <w:fldChar w:fldCharType="begin" w:fldLock="1"/>
      </w:r>
      <w:r w:rsidRPr="00B21F63">
        <w:rPr>
          <w:color w:val="000000" w:themeColor="text1"/>
        </w:rPr>
        <w:instrText>ADDIN CSL_CITATION {"citationItems":[{"id":"ITEM-1","itemData":{"author":[{"dropping-particle":"","family":"Leavy","given":"A. M.","non-dropping-particle":"","parse-names":false,"suffix":""}],"container-title":"Statistics Education Research Journal","id":"ITEM-1","issue":"2","issued":{"date-parts":[["2006"]]},"page":"89-114","title":"Using data comparison to support a focus on distribution: Examining preservice teachers’ understandings of distribution when engaged in statistical inquiry","type":"article-journal","volume":"5"},"uris":["http://www.mendeley.com/documents/?uuid=946d0b45-cd29-48a8-bee3-493d47a0de89"]}],"mendeley":{"formattedCitation":"(Leavy, 2006)","manualFormatting":"Leavy (2006)","plainTextFormattedCitation":"(Leavy, 2006)","previouslyFormattedCitation":"(Leavy, 2006)"},"properties":{"noteIndex":0},"schema":"https://github.com/citation-style-language/schema/raw/master/csl-citation.json"}</w:instrText>
      </w:r>
      <w:r w:rsidRPr="00B21F63">
        <w:rPr>
          <w:color w:val="000000" w:themeColor="text1"/>
        </w:rPr>
        <w:fldChar w:fldCharType="separate"/>
      </w:r>
      <w:r w:rsidRPr="00B21F63">
        <w:rPr>
          <w:noProof/>
          <w:color w:val="000000" w:themeColor="text1"/>
        </w:rPr>
        <w:t>Leavy (2006)</w:t>
      </w:r>
      <w:r w:rsidRPr="00B21F63">
        <w:rPr>
          <w:color w:val="000000" w:themeColor="text1"/>
        </w:rPr>
        <w:fldChar w:fldCharType="end"/>
      </w:r>
      <w:r w:rsidRPr="00B21F63">
        <w:rPr>
          <w:color w:val="000000" w:themeColor="text1"/>
        </w:rPr>
        <w:t xml:space="preserve"> indicated that students who used graphic representations, in addition to summary statistics, to compare distributions of data demonstrated increased attention to global trends in distributions and more success in communicating the use of graphical representations towards the end of a 15-week course. Hopefully, students’ understanding of and reasoning about graphical representations can be developed through better preparation of course instructors.</w:t>
      </w:r>
    </w:p>
    <w:p w14:paraId="36A6F8A1" w14:textId="3D604F5C" w:rsidR="006E2B8E" w:rsidRPr="00B21F63" w:rsidRDefault="006E2B8E" w:rsidP="006E2B8E">
      <w:pPr>
        <w:spacing w:line="360" w:lineRule="auto"/>
        <w:ind w:firstLine="720"/>
        <w:jc w:val="both"/>
        <w:rPr>
          <w:color w:val="000000" w:themeColor="text1"/>
        </w:rPr>
      </w:pPr>
      <w:r w:rsidRPr="00B21F63">
        <w:rPr>
          <w:color w:val="000000" w:themeColor="text1"/>
        </w:rPr>
        <w:t>Moreover, it is recommended to emphasize the teaching of the preliminary content of the subject, intensive use of statistical software, as well as the use of real data bases that motivate students in practical and significant learning. As a possible extension of this work, to be analyzed in the future, is the reading and interpretation of statistical graphs in the classroom, teaching methodologies, the teaching itself and the academic curriculum to determine whether one of these factors is failing or a combination of multiple factors. At the same time, a comparative study could be done of graph interpretation between students of an economic-administrative background and students from other undergraduate majors or other institutions of higher education</w:t>
      </w:r>
      <w:r w:rsidRPr="00D17625">
        <w:rPr>
          <w:color w:val="000000" w:themeColor="text1"/>
        </w:rPr>
        <w:t>.</w:t>
      </w:r>
    </w:p>
    <w:p w14:paraId="64B75792" w14:textId="38883230" w:rsidR="00B70925" w:rsidRPr="00CB5B22" w:rsidRDefault="00771D5F" w:rsidP="00B70925">
      <w:pPr>
        <w:tabs>
          <w:tab w:val="left" w:pos="1025"/>
        </w:tabs>
        <w:spacing w:line="360" w:lineRule="auto"/>
        <w:jc w:val="both"/>
        <w:rPr>
          <w:color w:val="000000" w:themeColor="text1"/>
          <w:lang w:val="es-ES"/>
        </w:rPr>
      </w:pPr>
      <w:proofErr w:type="spellStart"/>
      <w:r w:rsidRPr="00B70925">
        <w:rPr>
          <w:rFonts w:asciiTheme="minorHAnsi" w:hAnsiTheme="minorHAnsi" w:cstheme="minorHAnsi"/>
          <w:b/>
          <w:color w:val="000000" w:themeColor="text1"/>
          <w:sz w:val="28"/>
          <w:szCs w:val="28"/>
          <w:lang w:val="es-ES"/>
        </w:rPr>
        <w:lastRenderedPageBreak/>
        <w:t>References</w:t>
      </w:r>
      <w:proofErr w:type="spellEnd"/>
      <w:r w:rsidRPr="00B70925">
        <w:rPr>
          <w:rFonts w:asciiTheme="minorHAnsi" w:hAnsiTheme="minorHAnsi" w:cstheme="minorHAnsi"/>
          <w:b/>
          <w:color w:val="000000" w:themeColor="text1"/>
          <w:sz w:val="28"/>
          <w:szCs w:val="28"/>
          <w:lang w:val="es-ES"/>
        </w:rPr>
        <w:t xml:space="preserve"> </w:t>
      </w:r>
    </w:p>
    <w:p w14:paraId="61C30B7B" w14:textId="77777777" w:rsidR="00B70925" w:rsidRPr="00B70925" w:rsidRDefault="00B70925" w:rsidP="00B70925">
      <w:pPr>
        <w:tabs>
          <w:tab w:val="left" w:pos="1025"/>
        </w:tabs>
        <w:spacing w:line="360" w:lineRule="auto"/>
        <w:ind w:left="709" w:hanging="709"/>
        <w:jc w:val="both"/>
        <w:rPr>
          <w:color w:val="000000" w:themeColor="text1"/>
          <w:lang w:val="es-MX"/>
        </w:rPr>
      </w:pPr>
      <w:r w:rsidRPr="00B70925">
        <w:rPr>
          <w:color w:val="000000" w:themeColor="text1"/>
          <w:lang w:val="es-MX"/>
        </w:rPr>
        <w:t>Arteaga, P., Batanero, C., Contreras, J. M., &amp; Cañadas, G. (2016). Evaluación de errores en la construcción de gráficos estadísticos elementales por futuros profesores. Revista Latinoamericana de Investigación En Matemática Educativa, 19(1), 15–40. https://doi.org/10.12802/relime.13.1911</w:t>
      </w:r>
    </w:p>
    <w:p w14:paraId="129C5C5B"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ARTIST. (2006). Retrieved February 1, 2019, from https://apps3.cehd.umn.edu/artist/</w:t>
      </w:r>
    </w:p>
    <w:p w14:paraId="138FCD67"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Bakker, A. (2004). Reasoning about shape as a pattern in variability. Statistics Education Research Journal, 3(2), 64–83.</w:t>
      </w:r>
    </w:p>
    <w:p w14:paraId="0EC7A0B1"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 xml:space="preserve">Bakker, A., &amp; </w:t>
      </w:r>
      <w:proofErr w:type="spellStart"/>
      <w:r w:rsidRPr="00B70925">
        <w:rPr>
          <w:color w:val="000000" w:themeColor="text1"/>
        </w:rPr>
        <w:t>Gravemeijer</w:t>
      </w:r>
      <w:proofErr w:type="spellEnd"/>
      <w:r w:rsidRPr="00B70925">
        <w:rPr>
          <w:color w:val="000000" w:themeColor="text1"/>
        </w:rPr>
        <w:t>, K. (2004). Learning to reason about distribution. In D. Ben-</w:t>
      </w:r>
      <w:proofErr w:type="spellStart"/>
      <w:r w:rsidRPr="00B70925">
        <w:rPr>
          <w:color w:val="000000" w:themeColor="text1"/>
        </w:rPr>
        <w:t>Zvi</w:t>
      </w:r>
      <w:proofErr w:type="spellEnd"/>
      <w:r w:rsidRPr="00B70925">
        <w:rPr>
          <w:color w:val="000000" w:themeColor="text1"/>
        </w:rPr>
        <w:t xml:space="preserve"> &amp; J. B. Garfield (Eds.), The challenge of developing statistical reasoning, literacy, and thinking (pp. 147–168). Dordrecht, Netherlands: Kluwer Academic Publisher.</w:t>
      </w:r>
    </w:p>
    <w:p w14:paraId="1B6C6997"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Ben-</w:t>
      </w:r>
      <w:proofErr w:type="spellStart"/>
      <w:r w:rsidRPr="00B70925">
        <w:rPr>
          <w:color w:val="000000" w:themeColor="text1"/>
        </w:rPr>
        <w:t>Zvi</w:t>
      </w:r>
      <w:proofErr w:type="spellEnd"/>
      <w:r w:rsidRPr="00B70925">
        <w:rPr>
          <w:color w:val="000000" w:themeColor="text1"/>
        </w:rPr>
        <w:t>, D. (2004). Reasoning about data analysis. In D. Ben-</w:t>
      </w:r>
      <w:proofErr w:type="spellStart"/>
      <w:r w:rsidRPr="00B70925">
        <w:rPr>
          <w:color w:val="000000" w:themeColor="text1"/>
        </w:rPr>
        <w:t>Zvi</w:t>
      </w:r>
      <w:proofErr w:type="spellEnd"/>
      <w:r w:rsidRPr="00B70925">
        <w:rPr>
          <w:color w:val="000000" w:themeColor="text1"/>
        </w:rPr>
        <w:t xml:space="preserve"> &amp; J. B. Garfield (Eds.), The challenge of developing statistical reasoning, literacy and thinking (pp. 121–146). Dordrecht, Netherlands: Kluwer Academic Publisher.</w:t>
      </w:r>
    </w:p>
    <w:p w14:paraId="291B7DAE" w14:textId="77777777" w:rsidR="00B70925" w:rsidRPr="00B70925" w:rsidRDefault="00B70925" w:rsidP="00B70925">
      <w:pPr>
        <w:tabs>
          <w:tab w:val="left" w:pos="1025"/>
        </w:tabs>
        <w:spacing w:line="360" w:lineRule="auto"/>
        <w:ind w:left="709" w:hanging="709"/>
        <w:jc w:val="both"/>
        <w:rPr>
          <w:color w:val="000000" w:themeColor="text1"/>
        </w:rPr>
      </w:pPr>
      <w:proofErr w:type="spellStart"/>
      <w:r w:rsidRPr="00B70925">
        <w:rPr>
          <w:color w:val="000000" w:themeColor="text1"/>
        </w:rPr>
        <w:t>Carrión</w:t>
      </w:r>
      <w:proofErr w:type="spellEnd"/>
      <w:r w:rsidRPr="00B70925">
        <w:rPr>
          <w:color w:val="000000" w:themeColor="text1"/>
        </w:rPr>
        <w:t xml:space="preserve">, J. C., &amp; </w:t>
      </w:r>
      <w:proofErr w:type="spellStart"/>
      <w:r w:rsidRPr="00B70925">
        <w:rPr>
          <w:color w:val="000000" w:themeColor="text1"/>
        </w:rPr>
        <w:t>Espinel</w:t>
      </w:r>
      <w:proofErr w:type="spellEnd"/>
      <w:r w:rsidRPr="00B70925">
        <w:rPr>
          <w:color w:val="000000" w:themeColor="text1"/>
        </w:rPr>
        <w:t xml:space="preserve">, M. C. (2006). An investigations about translation and interpretation of statistical graphs and tables by students of primary education. In A. Rossman &amp; B. Chance (Ed.), Proceedings of the Seventh International Conference on Teaching Statistics. Salvador, </w:t>
      </w:r>
      <w:proofErr w:type="spellStart"/>
      <w:r w:rsidRPr="00B70925">
        <w:rPr>
          <w:color w:val="000000" w:themeColor="text1"/>
        </w:rPr>
        <w:t>Brasil</w:t>
      </w:r>
      <w:proofErr w:type="spellEnd"/>
      <w:r w:rsidRPr="00B70925">
        <w:rPr>
          <w:color w:val="000000" w:themeColor="text1"/>
        </w:rPr>
        <w:t>: International Statistical Institute.</w:t>
      </w:r>
    </w:p>
    <w:p w14:paraId="1EB13C0D"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Cleveland, W. S. (1985). The elements of graphing data. The Elements of Graphing Data, 323. https://doi.org/10.1017/CBO9781107415324.004</w:t>
      </w:r>
    </w:p>
    <w:p w14:paraId="10598F46"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Cooper, L. L. (2018). Assessing students’ understanding of variability in graphical representations that share the common attribute of bars. Journal of Statistics Education, 26(2), 110–124. https://doi.org/10.1080/10691898.2018.1473060</w:t>
      </w:r>
    </w:p>
    <w:p w14:paraId="56DA2E05"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Cooper, L. L., &amp; Shore, F. S. (2008). Students’ misconceptions in interpreting center and variability of data represented via histograms and stem-and-leaf plots. Journal of Statistics Education, 16(2). https://doi.org/10.1080/10691898.2008.11889559</w:t>
      </w:r>
    </w:p>
    <w:p w14:paraId="0B245B7F"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Cooper, L. L., &amp; Shore, F. S. (2010). The effects of data and graph type on concepts and visualizations of variability. Journal of Statistics Education, 18(2). https://doi.org/10.1080/10691898.2010.11889487</w:t>
      </w:r>
    </w:p>
    <w:p w14:paraId="0CD6DD46"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Coronado, S., Sandoval, S., Celso, P. L., &amp; Torres, A. (2018a). Analysis of competitive learning at university level in Mexico via item response theory. Mediterranean Journal of Social Sciences, 9(4), 215–223. https://doi.org/10.2478/mjss-2018-0130</w:t>
      </w:r>
    </w:p>
    <w:p w14:paraId="29F37A82"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lastRenderedPageBreak/>
        <w:t>Coronado, S., Sandoval, S., Celso, P. L., &amp; Torres, A. (2018b). Competitive learning using a three-parameter logistic model. European Journal of Contemporary Education, 7(3), 448–457. https://doi.org/10.13187/ejced.2018.3.448</w:t>
      </w:r>
    </w:p>
    <w:p w14:paraId="7CAF89EA" w14:textId="77777777" w:rsidR="00B70925" w:rsidRPr="00B70925" w:rsidRDefault="00B70925" w:rsidP="00B70925">
      <w:pPr>
        <w:tabs>
          <w:tab w:val="left" w:pos="1025"/>
        </w:tabs>
        <w:spacing w:line="360" w:lineRule="auto"/>
        <w:ind w:left="709" w:hanging="709"/>
        <w:jc w:val="both"/>
        <w:rPr>
          <w:color w:val="000000" w:themeColor="text1"/>
          <w:lang w:val="es-MX"/>
        </w:rPr>
      </w:pPr>
      <w:r w:rsidRPr="00B70925">
        <w:rPr>
          <w:color w:val="000000" w:themeColor="text1"/>
        </w:rPr>
        <w:t xml:space="preserve">Cuevas, J., &amp; </w:t>
      </w:r>
      <w:proofErr w:type="spellStart"/>
      <w:r w:rsidRPr="00B70925">
        <w:rPr>
          <w:color w:val="000000" w:themeColor="text1"/>
        </w:rPr>
        <w:t>Ibañez</w:t>
      </w:r>
      <w:proofErr w:type="spellEnd"/>
      <w:r w:rsidRPr="00B70925">
        <w:rPr>
          <w:color w:val="000000" w:themeColor="text1"/>
        </w:rPr>
        <w:t xml:space="preserve">, C. (2008). </w:t>
      </w:r>
      <w:r w:rsidRPr="00B70925">
        <w:rPr>
          <w:color w:val="000000" w:themeColor="text1"/>
          <w:lang w:val="es-MX"/>
        </w:rPr>
        <w:t>Estándares en educación estadística: necesidad de conocer la base teórica y empírica que los sustentan. Revista Iberoamericana de Educación Matemática, 15, 33–45.</w:t>
      </w:r>
    </w:p>
    <w:p w14:paraId="754ADB27" w14:textId="77777777" w:rsidR="00B70925" w:rsidRPr="00B70925" w:rsidRDefault="00B70925" w:rsidP="00B70925">
      <w:pPr>
        <w:tabs>
          <w:tab w:val="left" w:pos="1025"/>
        </w:tabs>
        <w:spacing w:line="360" w:lineRule="auto"/>
        <w:ind w:left="709" w:hanging="709"/>
        <w:jc w:val="both"/>
        <w:rPr>
          <w:color w:val="000000" w:themeColor="text1"/>
          <w:lang w:val="es-MX"/>
        </w:rPr>
      </w:pPr>
      <w:r w:rsidRPr="00B70925">
        <w:rPr>
          <w:color w:val="000000" w:themeColor="text1"/>
          <w:lang w:val="es-MX"/>
        </w:rPr>
        <w:t>Del Toro, H. L., &amp; Ochoa, M. B. (2010). Exámenes departamentales en el cucea: el caso del departamento de métodos cuantitativos. XIV Congreso Internacional de Investigación En Ciencias Administrativas, 1–16. Monterrey, Mexico.</w:t>
      </w:r>
    </w:p>
    <w:p w14:paraId="53C65ED4" w14:textId="77777777" w:rsidR="00B70925" w:rsidRPr="00B70925" w:rsidRDefault="00B70925" w:rsidP="00B70925">
      <w:pPr>
        <w:tabs>
          <w:tab w:val="left" w:pos="1025"/>
        </w:tabs>
        <w:spacing w:line="360" w:lineRule="auto"/>
        <w:ind w:left="709" w:hanging="709"/>
        <w:jc w:val="both"/>
        <w:rPr>
          <w:color w:val="000000" w:themeColor="text1"/>
        </w:rPr>
      </w:pPr>
      <w:proofErr w:type="spellStart"/>
      <w:r w:rsidRPr="00B70925">
        <w:rPr>
          <w:color w:val="000000" w:themeColor="text1"/>
        </w:rPr>
        <w:t>delMas</w:t>
      </w:r>
      <w:proofErr w:type="spellEnd"/>
      <w:r w:rsidRPr="00B70925">
        <w:rPr>
          <w:color w:val="000000" w:themeColor="text1"/>
        </w:rPr>
        <w:t xml:space="preserve">, R., Garfield, J., &amp; </w:t>
      </w:r>
      <w:proofErr w:type="spellStart"/>
      <w:r w:rsidRPr="00B70925">
        <w:rPr>
          <w:color w:val="000000" w:themeColor="text1"/>
        </w:rPr>
        <w:t>Ooms</w:t>
      </w:r>
      <w:proofErr w:type="spellEnd"/>
      <w:r w:rsidRPr="00B70925">
        <w:rPr>
          <w:color w:val="000000" w:themeColor="text1"/>
        </w:rPr>
        <w:t>, A. (2005). Using assessment items to study students’ difficulty reading and interpreting graphical representations of distributions. Proceedings of the Fourth International Research Forum on Statistical Reasoning, Literacy, and Reasoning, 17. Auckland, New Zealand: K. Makar.</w:t>
      </w:r>
    </w:p>
    <w:p w14:paraId="767591CC" w14:textId="77777777" w:rsidR="00B70925" w:rsidRPr="00B70925" w:rsidRDefault="00B70925" w:rsidP="00B70925">
      <w:pPr>
        <w:tabs>
          <w:tab w:val="left" w:pos="1025"/>
        </w:tabs>
        <w:spacing w:line="360" w:lineRule="auto"/>
        <w:ind w:left="709" w:hanging="709"/>
        <w:jc w:val="both"/>
        <w:rPr>
          <w:color w:val="000000" w:themeColor="text1"/>
        </w:rPr>
      </w:pPr>
      <w:proofErr w:type="spellStart"/>
      <w:r w:rsidRPr="00B70925">
        <w:rPr>
          <w:color w:val="000000" w:themeColor="text1"/>
        </w:rPr>
        <w:t>delMas</w:t>
      </w:r>
      <w:proofErr w:type="spellEnd"/>
      <w:r w:rsidRPr="00B70925">
        <w:rPr>
          <w:color w:val="000000" w:themeColor="text1"/>
        </w:rPr>
        <w:t xml:space="preserve">, R., Garfield, J., </w:t>
      </w:r>
      <w:proofErr w:type="spellStart"/>
      <w:r w:rsidRPr="00B70925">
        <w:rPr>
          <w:color w:val="000000" w:themeColor="text1"/>
        </w:rPr>
        <w:t>Ooms</w:t>
      </w:r>
      <w:proofErr w:type="spellEnd"/>
      <w:r w:rsidRPr="00B70925">
        <w:rPr>
          <w:color w:val="000000" w:themeColor="text1"/>
        </w:rPr>
        <w:t>, A., &amp; Chance, B. (2007). Assessing students’ conceptual understanding after a first course in statistics. Statistics Education Research Journal, 6(2), 28–58. https://doi.org/10.1016/j.brat.2010.07.005</w:t>
      </w:r>
    </w:p>
    <w:p w14:paraId="17672B3C" w14:textId="77777777" w:rsidR="00B70925" w:rsidRPr="00B70925" w:rsidRDefault="00B70925" w:rsidP="00B70925">
      <w:pPr>
        <w:tabs>
          <w:tab w:val="left" w:pos="1025"/>
        </w:tabs>
        <w:spacing w:line="360" w:lineRule="auto"/>
        <w:ind w:left="709" w:hanging="709"/>
        <w:jc w:val="both"/>
        <w:rPr>
          <w:color w:val="000000" w:themeColor="text1"/>
          <w:lang w:val="es-MX"/>
        </w:rPr>
      </w:pPr>
      <w:r w:rsidRPr="00B70925">
        <w:rPr>
          <w:color w:val="000000" w:themeColor="text1"/>
        </w:rPr>
        <w:t xml:space="preserve">Dolores, C., &amp; Cuevas, I. (2007). </w:t>
      </w:r>
      <w:r w:rsidRPr="00B70925">
        <w:rPr>
          <w:color w:val="000000" w:themeColor="text1"/>
          <w:lang w:val="es-MX"/>
        </w:rPr>
        <w:t>Lectura e interpretación de gráficas. Revista Latinoamericana de Investigación En Matemática Educativa, 10(1), 69–96.</w:t>
      </w:r>
    </w:p>
    <w:p w14:paraId="6BF25477"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lang w:val="es-MX"/>
        </w:rPr>
        <w:t xml:space="preserve">Espinel, M. C. (2007). Construcción y razonamiento de gráficos estadísticos en la formación de profesores. In M. Camacho, P. Flores, &amp; M. P. Bolea (Eds.), Investigación en educación matemática (pp. 99–120). </w:t>
      </w:r>
      <w:r w:rsidRPr="00B70925">
        <w:rPr>
          <w:color w:val="000000" w:themeColor="text1"/>
        </w:rPr>
        <w:t>Retrieved from http://funes.uniandes.edu.co/1277/1/Espinel2008Construccion_SEIEM_99.pdf</w:t>
      </w:r>
    </w:p>
    <w:p w14:paraId="4A9F57DC" w14:textId="77777777" w:rsidR="00B70925" w:rsidRPr="00B70925" w:rsidRDefault="00B70925" w:rsidP="00B70925">
      <w:pPr>
        <w:tabs>
          <w:tab w:val="left" w:pos="1025"/>
        </w:tabs>
        <w:spacing w:line="360" w:lineRule="auto"/>
        <w:ind w:left="709" w:hanging="709"/>
        <w:jc w:val="both"/>
        <w:rPr>
          <w:color w:val="000000" w:themeColor="text1"/>
        </w:rPr>
      </w:pPr>
      <w:proofErr w:type="spellStart"/>
      <w:r w:rsidRPr="00B70925">
        <w:rPr>
          <w:color w:val="000000" w:themeColor="text1"/>
        </w:rPr>
        <w:t>Eudave</w:t>
      </w:r>
      <w:proofErr w:type="spellEnd"/>
      <w:r w:rsidRPr="00B70925">
        <w:rPr>
          <w:color w:val="000000" w:themeColor="text1"/>
        </w:rPr>
        <w:t xml:space="preserve"> Muñoz, D. (2009). </w:t>
      </w:r>
      <w:r w:rsidRPr="00B70925">
        <w:rPr>
          <w:color w:val="000000" w:themeColor="text1"/>
          <w:lang w:val="es-MX"/>
        </w:rPr>
        <w:t xml:space="preserve">Niveles de comprensión de información y gráficas estadísticas en estudiantes de centros de educación básica para jóvenes y adultos de México. </w:t>
      </w:r>
      <w:proofErr w:type="spellStart"/>
      <w:r w:rsidRPr="00B70925">
        <w:rPr>
          <w:color w:val="000000" w:themeColor="text1"/>
        </w:rPr>
        <w:t>Educación</w:t>
      </w:r>
      <w:proofErr w:type="spellEnd"/>
      <w:r w:rsidRPr="00B70925">
        <w:rPr>
          <w:color w:val="000000" w:themeColor="text1"/>
        </w:rPr>
        <w:t xml:space="preserve"> </w:t>
      </w:r>
      <w:proofErr w:type="spellStart"/>
      <w:r w:rsidRPr="00B70925">
        <w:rPr>
          <w:color w:val="000000" w:themeColor="text1"/>
        </w:rPr>
        <w:t>Matemática</w:t>
      </w:r>
      <w:proofErr w:type="spellEnd"/>
      <w:r w:rsidRPr="00B70925">
        <w:rPr>
          <w:color w:val="000000" w:themeColor="text1"/>
        </w:rPr>
        <w:t>, 21(2), 5–37.</w:t>
      </w:r>
    </w:p>
    <w:p w14:paraId="5DFA6BDC"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Garfield, J., &amp; Ben-</w:t>
      </w:r>
      <w:proofErr w:type="spellStart"/>
      <w:r w:rsidRPr="00B70925">
        <w:rPr>
          <w:color w:val="000000" w:themeColor="text1"/>
        </w:rPr>
        <w:t>Zvi</w:t>
      </w:r>
      <w:proofErr w:type="spellEnd"/>
      <w:r w:rsidRPr="00B70925">
        <w:rPr>
          <w:color w:val="000000" w:themeColor="text1"/>
        </w:rPr>
        <w:t>, D. (2005). A framework for teaching and assessing reasoning about variability. Statistics Education Research Journal, 4(1), 92–99.</w:t>
      </w:r>
    </w:p>
    <w:p w14:paraId="6B08C810"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Glazer, N. (2011). Challenges with graph interpretation: A review of the literature. Studies in Science Education, 47(2), 183–210. https://doi.org/10.1080/03057267.2011.605307</w:t>
      </w:r>
    </w:p>
    <w:p w14:paraId="4AEFF24A"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Hammerman, J. K., &amp; Rubin, A. (2004). Strategies for managing statistical complexity with new software tools. Statistics Education Research Journal, 3(2), 17–41.</w:t>
      </w:r>
    </w:p>
    <w:p w14:paraId="722EF10C" w14:textId="77777777" w:rsidR="00B70925" w:rsidRPr="00B70925" w:rsidRDefault="00B70925" w:rsidP="00B70925">
      <w:pPr>
        <w:tabs>
          <w:tab w:val="left" w:pos="1025"/>
        </w:tabs>
        <w:spacing w:line="360" w:lineRule="auto"/>
        <w:ind w:left="709" w:hanging="709"/>
        <w:jc w:val="both"/>
        <w:rPr>
          <w:color w:val="000000" w:themeColor="text1"/>
        </w:rPr>
      </w:pPr>
      <w:proofErr w:type="spellStart"/>
      <w:r w:rsidRPr="00B70925">
        <w:rPr>
          <w:color w:val="000000" w:themeColor="text1"/>
        </w:rPr>
        <w:t>Konold</w:t>
      </w:r>
      <w:proofErr w:type="spellEnd"/>
      <w:r w:rsidRPr="00B70925">
        <w:rPr>
          <w:color w:val="000000" w:themeColor="text1"/>
        </w:rPr>
        <w:t xml:space="preserve">, C. (2003). Reasoning about data. In J. Kilpatrick, W. G. Martin, &amp; D. </w:t>
      </w:r>
      <w:proofErr w:type="spellStart"/>
      <w:r w:rsidRPr="00B70925">
        <w:rPr>
          <w:color w:val="000000" w:themeColor="text1"/>
        </w:rPr>
        <w:t>Schifter</w:t>
      </w:r>
      <w:proofErr w:type="spellEnd"/>
      <w:r w:rsidRPr="00B70925">
        <w:rPr>
          <w:color w:val="000000" w:themeColor="text1"/>
        </w:rPr>
        <w:t xml:space="preserve"> (Eds.), A research companion to principles and standards for school mathematics (pp. 193–215). Reston, VA: National Council of Teachers of Mathematics.</w:t>
      </w:r>
    </w:p>
    <w:p w14:paraId="0DE25658"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lastRenderedPageBreak/>
        <w:t>Leavy, A. M. (2006). Using data comparison to support a focus on distribution: Examining preservice teachers’ understandings of distribution when engaged in statistical inquiry. Statistics Education Research Journal, 5(2), 89–114.</w:t>
      </w:r>
    </w:p>
    <w:p w14:paraId="3F17208C"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 xml:space="preserve">Makar, K., &amp; </w:t>
      </w:r>
      <w:proofErr w:type="spellStart"/>
      <w:r w:rsidRPr="00B70925">
        <w:rPr>
          <w:color w:val="000000" w:themeColor="text1"/>
        </w:rPr>
        <w:t>Confrey</w:t>
      </w:r>
      <w:proofErr w:type="spellEnd"/>
      <w:r w:rsidRPr="00B70925">
        <w:rPr>
          <w:color w:val="000000" w:themeColor="text1"/>
        </w:rPr>
        <w:t>, J. (2005). “Variation-Talk”: Articulating meaning in statistics. Statistics Education Research Journal, 4(1), 27–54.</w:t>
      </w:r>
    </w:p>
    <w:p w14:paraId="754865A3"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 xml:space="preserve">McClain, K., Cobb, P., &amp; </w:t>
      </w:r>
      <w:proofErr w:type="spellStart"/>
      <w:r w:rsidRPr="00B70925">
        <w:rPr>
          <w:color w:val="000000" w:themeColor="text1"/>
        </w:rPr>
        <w:t>Gravemeijer</w:t>
      </w:r>
      <w:proofErr w:type="spellEnd"/>
      <w:r w:rsidRPr="00B70925">
        <w:rPr>
          <w:color w:val="000000" w:themeColor="text1"/>
        </w:rPr>
        <w:t>, K. (2000). Supporting students’ ways of reasoning about data. In M. Burke &amp; F. Curcio (Eds.), Learning mathematics for a new century, 2000 yearbook. Reston, VA: National Council of Teachers of Mathematics.</w:t>
      </w:r>
    </w:p>
    <w:p w14:paraId="757002B1"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 xml:space="preserve">Monteiro, C., &amp; </w:t>
      </w:r>
      <w:proofErr w:type="spellStart"/>
      <w:r w:rsidRPr="00B70925">
        <w:rPr>
          <w:color w:val="000000" w:themeColor="text1"/>
        </w:rPr>
        <w:t>Ainley</w:t>
      </w:r>
      <w:proofErr w:type="spellEnd"/>
      <w:r w:rsidRPr="00B70925">
        <w:rPr>
          <w:color w:val="000000" w:themeColor="text1"/>
        </w:rPr>
        <w:t xml:space="preserve">, J. (2003). Interpretation of </w:t>
      </w:r>
      <w:proofErr w:type="gramStart"/>
      <w:r w:rsidRPr="00B70925">
        <w:rPr>
          <w:color w:val="000000" w:themeColor="text1"/>
        </w:rPr>
        <w:t>Graphs :</w:t>
      </w:r>
      <w:proofErr w:type="gramEnd"/>
      <w:r w:rsidRPr="00B70925">
        <w:rPr>
          <w:color w:val="000000" w:themeColor="text1"/>
        </w:rPr>
        <w:t xml:space="preserve"> Reading Through the Data. Proceedings of British Society for Research into Learning Mathematics, 23(3), 31–36.</w:t>
      </w:r>
    </w:p>
    <w:p w14:paraId="65243077"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 xml:space="preserve">Monteiro, C., &amp; </w:t>
      </w:r>
      <w:proofErr w:type="spellStart"/>
      <w:r w:rsidRPr="00B70925">
        <w:rPr>
          <w:color w:val="000000" w:themeColor="text1"/>
        </w:rPr>
        <w:t>Ainley</w:t>
      </w:r>
      <w:proofErr w:type="spellEnd"/>
      <w:r w:rsidRPr="00B70925">
        <w:rPr>
          <w:color w:val="000000" w:themeColor="text1"/>
        </w:rPr>
        <w:t>, J. (2007). Investigating the interpretation of media graphs among student teachers. International Electronic Journal Mathematics Education, 2(3), 187–207. Retrieved from http://www.iejme.com/download/investigating-the-interpretation-of-media-graphs-among-student-teachers.pdf</w:t>
      </w:r>
    </w:p>
    <w:p w14:paraId="38644249"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Nolan, D., &amp; Perrett, J. (2016). Teaching and Learning Data Visualization: Ideas and Assignments. American Statistician, 70(3), 260–269. https://doi.org/10.1080/00031305.2015.1123651</w:t>
      </w:r>
    </w:p>
    <w:p w14:paraId="794FCA6D" w14:textId="77777777" w:rsidR="00B70925" w:rsidRPr="00B70925" w:rsidRDefault="00B70925" w:rsidP="00B70925">
      <w:pPr>
        <w:tabs>
          <w:tab w:val="left" w:pos="1025"/>
        </w:tabs>
        <w:spacing w:line="360" w:lineRule="auto"/>
        <w:ind w:left="709" w:hanging="709"/>
        <w:jc w:val="both"/>
        <w:rPr>
          <w:color w:val="000000" w:themeColor="text1"/>
          <w:lang w:val="es-MX"/>
        </w:rPr>
      </w:pPr>
      <w:r w:rsidRPr="00B70925">
        <w:rPr>
          <w:color w:val="000000" w:themeColor="text1"/>
        </w:rPr>
        <w:t xml:space="preserve">Playfair, W. (1801). The commercial and political atlas, representing, by means of stained copper-plate charts, the progress of the commerce, revenues, expenditure, and debts of England, during the whole of the eighteenth century. </w:t>
      </w:r>
      <w:r w:rsidRPr="00B70925">
        <w:rPr>
          <w:color w:val="000000" w:themeColor="text1"/>
          <w:lang w:val="es-MX"/>
        </w:rPr>
        <w:t>London: Wallis.</w:t>
      </w:r>
    </w:p>
    <w:p w14:paraId="0515A49F" w14:textId="77777777" w:rsidR="00B70925" w:rsidRPr="00B70925" w:rsidRDefault="00B70925" w:rsidP="00B70925">
      <w:pPr>
        <w:tabs>
          <w:tab w:val="left" w:pos="1025"/>
        </w:tabs>
        <w:spacing w:line="360" w:lineRule="auto"/>
        <w:ind w:left="709" w:hanging="709"/>
        <w:jc w:val="both"/>
        <w:rPr>
          <w:color w:val="000000" w:themeColor="text1"/>
          <w:lang w:val="es-MX"/>
        </w:rPr>
      </w:pPr>
      <w:r w:rsidRPr="00B70925">
        <w:rPr>
          <w:color w:val="000000" w:themeColor="text1"/>
          <w:lang w:val="es-MX"/>
        </w:rPr>
        <w:t>RIEPE. (2012). Retrieved February 10, 2019, from Red de Investigación y Educación en Probabilidad y Estadística website: http://amestad.mx/red</w:t>
      </w:r>
    </w:p>
    <w:p w14:paraId="2A592654"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lang w:val="es-MX"/>
        </w:rPr>
        <w:t xml:space="preserve">Ruiz Lopez, N. (2015). La enseñanza de la estadística en la educación primaria en américa latina. REICE. Revista Iberoamericana Sobre Calidad, Eficancia y Cambio En Educación., 13(1), 103–121. </w:t>
      </w:r>
      <w:r w:rsidRPr="00B70925">
        <w:rPr>
          <w:color w:val="000000" w:themeColor="text1"/>
        </w:rPr>
        <w:t>Retrieved from www.rinace.net/reice/</w:t>
      </w:r>
    </w:p>
    <w:p w14:paraId="392031B1"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Sánchez, J. (2010). International statistical literacy project. Retrieved February 5, 2019, from http://www.stat.fi/org/tilastokeskus/flyer.pdf</w:t>
      </w:r>
    </w:p>
    <w:p w14:paraId="231F3097" w14:textId="77777777" w:rsidR="00B70925" w:rsidRPr="00B70925" w:rsidRDefault="00B70925" w:rsidP="00B70925">
      <w:pPr>
        <w:tabs>
          <w:tab w:val="left" w:pos="1025"/>
        </w:tabs>
        <w:spacing w:line="360" w:lineRule="auto"/>
        <w:ind w:left="709" w:hanging="709"/>
        <w:jc w:val="both"/>
        <w:rPr>
          <w:color w:val="000000" w:themeColor="text1"/>
        </w:rPr>
      </w:pPr>
      <w:proofErr w:type="spellStart"/>
      <w:r w:rsidRPr="00B70925">
        <w:rPr>
          <w:color w:val="000000" w:themeColor="text1"/>
        </w:rPr>
        <w:t>Susac</w:t>
      </w:r>
      <w:proofErr w:type="spellEnd"/>
      <w:r w:rsidRPr="00B70925">
        <w:rPr>
          <w:color w:val="000000" w:themeColor="text1"/>
        </w:rPr>
        <w:t xml:space="preserve">, A., </w:t>
      </w:r>
      <w:proofErr w:type="spellStart"/>
      <w:r w:rsidRPr="00B70925">
        <w:rPr>
          <w:color w:val="000000" w:themeColor="text1"/>
        </w:rPr>
        <w:t>Bubic</w:t>
      </w:r>
      <w:proofErr w:type="spellEnd"/>
      <w:r w:rsidRPr="00B70925">
        <w:rPr>
          <w:color w:val="000000" w:themeColor="text1"/>
        </w:rPr>
        <w:t xml:space="preserve">, A., </w:t>
      </w:r>
      <w:proofErr w:type="spellStart"/>
      <w:r w:rsidRPr="00B70925">
        <w:rPr>
          <w:color w:val="000000" w:themeColor="text1"/>
        </w:rPr>
        <w:t>Kazotti</w:t>
      </w:r>
      <w:proofErr w:type="spellEnd"/>
      <w:r w:rsidRPr="00B70925">
        <w:rPr>
          <w:color w:val="000000" w:themeColor="text1"/>
        </w:rPr>
        <w:t xml:space="preserve">, E., Planinic, M., &amp; </w:t>
      </w:r>
      <w:proofErr w:type="spellStart"/>
      <w:r w:rsidRPr="00B70925">
        <w:rPr>
          <w:color w:val="000000" w:themeColor="text1"/>
        </w:rPr>
        <w:t>Palmovic</w:t>
      </w:r>
      <w:proofErr w:type="spellEnd"/>
      <w:r w:rsidRPr="00B70925">
        <w:rPr>
          <w:color w:val="000000" w:themeColor="text1"/>
        </w:rPr>
        <w:t xml:space="preserve">, M. (2018). Student understanding of graph slope and area under a graph: A comparison of physics and </w:t>
      </w:r>
      <w:proofErr w:type="spellStart"/>
      <w:r w:rsidRPr="00B70925">
        <w:rPr>
          <w:color w:val="000000" w:themeColor="text1"/>
        </w:rPr>
        <w:t>nonphysics</w:t>
      </w:r>
      <w:proofErr w:type="spellEnd"/>
      <w:r w:rsidRPr="00B70925">
        <w:rPr>
          <w:color w:val="000000" w:themeColor="text1"/>
        </w:rPr>
        <w:t xml:space="preserve"> students. Physical Review Physics Education Research, 14(2), 020109. https://doi.org/10.1103/PhysRevPhysEducRes.14.020109</w:t>
      </w:r>
    </w:p>
    <w:p w14:paraId="7E97C9CC"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Tufte, E. R. (2001). The visual display of quantitative information (Second). https://doi.org/10.1119/1.14057</w:t>
      </w:r>
    </w:p>
    <w:p w14:paraId="2025991D"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lastRenderedPageBreak/>
        <w:t xml:space="preserve">Unwin, A. (2008). Handbook of Data Visualization. In C. Chen, W. </w:t>
      </w:r>
      <w:proofErr w:type="spellStart"/>
      <w:r w:rsidRPr="00B70925">
        <w:rPr>
          <w:color w:val="000000" w:themeColor="text1"/>
        </w:rPr>
        <w:t>Härdle</w:t>
      </w:r>
      <w:proofErr w:type="spellEnd"/>
      <w:r w:rsidRPr="00B70925">
        <w:rPr>
          <w:color w:val="000000" w:themeColor="text1"/>
        </w:rPr>
        <w:t>, &amp; A. Unwin (Eds.), Handbook of Data Visualization. https://doi.org/10.1007/978-3-540-33037-0</w:t>
      </w:r>
    </w:p>
    <w:p w14:paraId="5D6FA6B4" w14:textId="77777777" w:rsidR="00B70925" w:rsidRPr="00B70925" w:rsidRDefault="00B70925" w:rsidP="00B70925">
      <w:pPr>
        <w:tabs>
          <w:tab w:val="left" w:pos="1025"/>
        </w:tabs>
        <w:spacing w:line="360" w:lineRule="auto"/>
        <w:ind w:left="709" w:hanging="709"/>
        <w:jc w:val="both"/>
        <w:rPr>
          <w:color w:val="000000" w:themeColor="text1"/>
        </w:rPr>
      </w:pPr>
      <w:proofErr w:type="spellStart"/>
      <w:r w:rsidRPr="00B70925">
        <w:rPr>
          <w:color w:val="000000" w:themeColor="text1"/>
        </w:rPr>
        <w:t>Wainer</w:t>
      </w:r>
      <w:proofErr w:type="spellEnd"/>
      <w:r w:rsidRPr="00B70925">
        <w:rPr>
          <w:color w:val="000000" w:themeColor="text1"/>
        </w:rPr>
        <w:t>, H., &amp; Spence, I. (2005). Playfair’s commercial and political atlas and statistical breviary. New York, NY, USA: Cambridge University Press.</w:t>
      </w:r>
    </w:p>
    <w:p w14:paraId="1F5B37EF" w14:textId="77777777" w:rsidR="00B70925" w:rsidRPr="00B70925" w:rsidRDefault="00B70925" w:rsidP="00B70925">
      <w:pPr>
        <w:tabs>
          <w:tab w:val="left" w:pos="1025"/>
        </w:tabs>
        <w:spacing w:line="360" w:lineRule="auto"/>
        <w:ind w:left="709" w:hanging="709"/>
        <w:jc w:val="both"/>
        <w:rPr>
          <w:color w:val="000000" w:themeColor="text1"/>
        </w:rPr>
      </w:pPr>
      <w:r w:rsidRPr="00B70925">
        <w:rPr>
          <w:color w:val="000000" w:themeColor="text1"/>
        </w:rPr>
        <w:t xml:space="preserve">Whitaker, D., &amp; </w:t>
      </w:r>
      <w:proofErr w:type="spellStart"/>
      <w:r w:rsidRPr="00B70925">
        <w:rPr>
          <w:color w:val="000000" w:themeColor="text1"/>
        </w:rPr>
        <w:t>Jacobbe</w:t>
      </w:r>
      <w:proofErr w:type="spellEnd"/>
      <w:r w:rsidRPr="00B70925">
        <w:rPr>
          <w:color w:val="000000" w:themeColor="text1"/>
        </w:rPr>
        <w:t>, T. (2017). Students’ understanding of bar graphs and histograms: Results from the LOCUS assessments. Journal of Statistics Education, 25(2), 90–102. https://doi.org/10.1080/10691898.2017.1321974</w:t>
      </w:r>
    </w:p>
    <w:p w14:paraId="5BFA3307" w14:textId="0CFFF38B" w:rsidR="00B70925" w:rsidRDefault="00B70925" w:rsidP="00B70925">
      <w:pPr>
        <w:tabs>
          <w:tab w:val="left" w:pos="1025"/>
        </w:tabs>
        <w:spacing w:line="360" w:lineRule="auto"/>
        <w:ind w:left="709" w:hanging="709"/>
        <w:jc w:val="both"/>
        <w:rPr>
          <w:color w:val="000000" w:themeColor="text1"/>
        </w:rPr>
      </w:pPr>
      <w:r w:rsidRPr="00B70925">
        <w:rPr>
          <w:color w:val="000000" w:themeColor="text1"/>
        </w:rPr>
        <w:t>Wu, Y. (2004). Singapore secondary school students’ understanding of statistical graphs. Proceedings of the 10th International Congress on Mathematical Education, 1–7. Copenhagen, Denmark.</w:t>
      </w:r>
    </w:p>
    <w:p w14:paraId="522EE1B4" w14:textId="6B9597CC" w:rsidR="00C24740" w:rsidRDefault="00C24740" w:rsidP="00B70925">
      <w:pPr>
        <w:tabs>
          <w:tab w:val="left" w:pos="1025"/>
        </w:tabs>
        <w:spacing w:line="360" w:lineRule="auto"/>
        <w:ind w:left="709" w:hanging="709"/>
        <w:jc w:val="both"/>
        <w:rPr>
          <w:color w:val="000000" w:themeColor="text1"/>
        </w:rPr>
      </w:pPr>
    </w:p>
    <w:p w14:paraId="64ED4C0B" w14:textId="7E8B213A" w:rsidR="00C24740" w:rsidRDefault="00C24740" w:rsidP="00B70925">
      <w:pPr>
        <w:tabs>
          <w:tab w:val="left" w:pos="1025"/>
        </w:tabs>
        <w:spacing w:line="360" w:lineRule="auto"/>
        <w:ind w:left="709" w:hanging="709"/>
        <w:jc w:val="both"/>
        <w:rPr>
          <w:color w:val="000000" w:themeColor="text1"/>
        </w:rPr>
      </w:pPr>
    </w:p>
    <w:p w14:paraId="3A86A91A" w14:textId="5B122E2C" w:rsidR="00C24740" w:rsidRDefault="00C24740" w:rsidP="00B70925">
      <w:pPr>
        <w:tabs>
          <w:tab w:val="left" w:pos="1025"/>
        </w:tabs>
        <w:spacing w:line="360" w:lineRule="auto"/>
        <w:ind w:left="709" w:hanging="709"/>
        <w:jc w:val="both"/>
        <w:rPr>
          <w:color w:val="000000" w:themeColor="text1"/>
        </w:rPr>
      </w:pPr>
    </w:p>
    <w:p w14:paraId="6382451E" w14:textId="17A288C3" w:rsidR="00C24740" w:rsidRDefault="00C24740" w:rsidP="00B70925">
      <w:pPr>
        <w:tabs>
          <w:tab w:val="left" w:pos="1025"/>
        </w:tabs>
        <w:spacing w:line="360" w:lineRule="auto"/>
        <w:ind w:left="709" w:hanging="709"/>
        <w:jc w:val="both"/>
        <w:rPr>
          <w:color w:val="000000" w:themeColor="text1"/>
        </w:rPr>
      </w:pPr>
    </w:p>
    <w:p w14:paraId="516553CA" w14:textId="374C5A01" w:rsidR="00C24740" w:rsidRDefault="00C24740" w:rsidP="00B70925">
      <w:pPr>
        <w:tabs>
          <w:tab w:val="left" w:pos="1025"/>
        </w:tabs>
        <w:spacing w:line="360" w:lineRule="auto"/>
        <w:ind w:left="709" w:hanging="709"/>
        <w:jc w:val="both"/>
        <w:rPr>
          <w:color w:val="000000" w:themeColor="text1"/>
        </w:rPr>
      </w:pPr>
    </w:p>
    <w:p w14:paraId="0725A83E" w14:textId="4AB3F7C3" w:rsidR="00C24740" w:rsidRDefault="00C24740" w:rsidP="00B70925">
      <w:pPr>
        <w:tabs>
          <w:tab w:val="left" w:pos="1025"/>
        </w:tabs>
        <w:spacing w:line="360" w:lineRule="auto"/>
        <w:ind w:left="709" w:hanging="709"/>
        <w:jc w:val="both"/>
        <w:rPr>
          <w:color w:val="000000" w:themeColor="text1"/>
        </w:rPr>
      </w:pPr>
    </w:p>
    <w:p w14:paraId="7534D83E" w14:textId="0758ABA7" w:rsidR="00C24740" w:rsidRDefault="00C24740" w:rsidP="00B70925">
      <w:pPr>
        <w:tabs>
          <w:tab w:val="left" w:pos="1025"/>
        </w:tabs>
        <w:spacing w:line="360" w:lineRule="auto"/>
        <w:ind w:left="709" w:hanging="709"/>
        <w:jc w:val="both"/>
        <w:rPr>
          <w:color w:val="000000" w:themeColor="text1"/>
        </w:rPr>
      </w:pPr>
    </w:p>
    <w:p w14:paraId="6FBDD326" w14:textId="605A3C75" w:rsidR="00C24740" w:rsidRDefault="00C24740" w:rsidP="00B70925">
      <w:pPr>
        <w:tabs>
          <w:tab w:val="left" w:pos="1025"/>
        </w:tabs>
        <w:spacing w:line="360" w:lineRule="auto"/>
        <w:ind w:left="709" w:hanging="709"/>
        <w:jc w:val="both"/>
        <w:rPr>
          <w:color w:val="000000" w:themeColor="text1"/>
        </w:rPr>
      </w:pPr>
    </w:p>
    <w:p w14:paraId="00CE44D3" w14:textId="043310D9" w:rsidR="00C24740" w:rsidRDefault="00C24740" w:rsidP="00B70925">
      <w:pPr>
        <w:tabs>
          <w:tab w:val="left" w:pos="1025"/>
        </w:tabs>
        <w:spacing w:line="360" w:lineRule="auto"/>
        <w:ind w:left="709" w:hanging="709"/>
        <w:jc w:val="both"/>
        <w:rPr>
          <w:color w:val="000000" w:themeColor="text1"/>
        </w:rPr>
      </w:pPr>
    </w:p>
    <w:p w14:paraId="3619FF2B" w14:textId="1E5EEBA6" w:rsidR="00C24740" w:rsidRDefault="00C24740" w:rsidP="00B70925">
      <w:pPr>
        <w:tabs>
          <w:tab w:val="left" w:pos="1025"/>
        </w:tabs>
        <w:spacing w:line="360" w:lineRule="auto"/>
        <w:ind w:left="709" w:hanging="709"/>
        <w:jc w:val="both"/>
        <w:rPr>
          <w:color w:val="000000" w:themeColor="text1"/>
        </w:rPr>
      </w:pPr>
    </w:p>
    <w:p w14:paraId="3A82FD6C" w14:textId="4E40E1F7" w:rsidR="00C24740" w:rsidRDefault="00C24740" w:rsidP="00B70925">
      <w:pPr>
        <w:tabs>
          <w:tab w:val="left" w:pos="1025"/>
        </w:tabs>
        <w:spacing w:line="360" w:lineRule="auto"/>
        <w:ind w:left="709" w:hanging="709"/>
        <w:jc w:val="both"/>
        <w:rPr>
          <w:color w:val="000000" w:themeColor="text1"/>
        </w:rPr>
      </w:pPr>
    </w:p>
    <w:p w14:paraId="2A299062" w14:textId="1794B64D" w:rsidR="00C24740" w:rsidRDefault="00C24740" w:rsidP="00B70925">
      <w:pPr>
        <w:tabs>
          <w:tab w:val="left" w:pos="1025"/>
        </w:tabs>
        <w:spacing w:line="360" w:lineRule="auto"/>
        <w:ind w:left="709" w:hanging="709"/>
        <w:jc w:val="both"/>
        <w:rPr>
          <w:color w:val="000000" w:themeColor="text1"/>
        </w:rPr>
      </w:pPr>
    </w:p>
    <w:p w14:paraId="3F227260" w14:textId="278AB4E1" w:rsidR="00C24740" w:rsidRDefault="00C24740" w:rsidP="00B70925">
      <w:pPr>
        <w:tabs>
          <w:tab w:val="left" w:pos="1025"/>
        </w:tabs>
        <w:spacing w:line="360" w:lineRule="auto"/>
        <w:ind w:left="709" w:hanging="709"/>
        <w:jc w:val="both"/>
        <w:rPr>
          <w:color w:val="000000" w:themeColor="text1"/>
        </w:rPr>
      </w:pPr>
    </w:p>
    <w:p w14:paraId="0F49D3B7" w14:textId="1E4BBAE5" w:rsidR="00C24740" w:rsidRDefault="00C24740" w:rsidP="00B70925">
      <w:pPr>
        <w:tabs>
          <w:tab w:val="left" w:pos="1025"/>
        </w:tabs>
        <w:spacing w:line="360" w:lineRule="auto"/>
        <w:ind w:left="709" w:hanging="709"/>
        <w:jc w:val="both"/>
        <w:rPr>
          <w:color w:val="000000" w:themeColor="text1"/>
        </w:rPr>
      </w:pPr>
    </w:p>
    <w:p w14:paraId="5A4DAB7F" w14:textId="70B90BD6" w:rsidR="00C24740" w:rsidRDefault="00C24740" w:rsidP="00B70925">
      <w:pPr>
        <w:tabs>
          <w:tab w:val="left" w:pos="1025"/>
        </w:tabs>
        <w:spacing w:line="360" w:lineRule="auto"/>
        <w:ind w:left="709" w:hanging="709"/>
        <w:jc w:val="both"/>
        <w:rPr>
          <w:color w:val="000000" w:themeColor="text1"/>
        </w:rPr>
      </w:pPr>
    </w:p>
    <w:p w14:paraId="060815BE" w14:textId="7F36DD61" w:rsidR="00C24740" w:rsidRDefault="00C24740" w:rsidP="00B70925">
      <w:pPr>
        <w:tabs>
          <w:tab w:val="left" w:pos="1025"/>
        </w:tabs>
        <w:spacing w:line="360" w:lineRule="auto"/>
        <w:ind w:left="709" w:hanging="709"/>
        <w:jc w:val="both"/>
        <w:rPr>
          <w:color w:val="000000" w:themeColor="text1"/>
        </w:rPr>
      </w:pPr>
    </w:p>
    <w:p w14:paraId="76D7DDC0" w14:textId="52631758" w:rsidR="00C24740" w:rsidRDefault="00C24740" w:rsidP="00B70925">
      <w:pPr>
        <w:tabs>
          <w:tab w:val="left" w:pos="1025"/>
        </w:tabs>
        <w:spacing w:line="360" w:lineRule="auto"/>
        <w:ind w:left="709" w:hanging="709"/>
        <w:jc w:val="both"/>
        <w:rPr>
          <w:color w:val="000000" w:themeColor="text1"/>
        </w:rPr>
      </w:pPr>
    </w:p>
    <w:p w14:paraId="3E8369E7" w14:textId="5282A213" w:rsidR="00C24740" w:rsidRDefault="00C24740" w:rsidP="00B70925">
      <w:pPr>
        <w:tabs>
          <w:tab w:val="left" w:pos="1025"/>
        </w:tabs>
        <w:spacing w:line="360" w:lineRule="auto"/>
        <w:ind w:left="709" w:hanging="709"/>
        <w:jc w:val="both"/>
        <w:rPr>
          <w:color w:val="000000" w:themeColor="text1"/>
        </w:rPr>
      </w:pPr>
    </w:p>
    <w:p w14:paraId="7890A6F7" w14:textId="6062396E" w:rsidR="00C24740" w:rsidRDefault="00C24740" w:rsidP="00B70925">
      <w:pPr>
        <w:tabs>
          <w:tab w:val="left" w:pos="1025"/>
        </w:tabs>
        <w:spacing w:line="360" w:lineRule="auto"/>
        <w:ind w:left="709" w:hanging="709"/>
        <w:jc w:val="both"/>
        <w:rPr>
          <w:color w:val="000000" w:themeColor="text1"/>
        </w:rPr>
      </w:pPr>
    </w:p>
    <w:p w14:paraId="334219C9" w14:textId="09E41248" w:rsidR="00C24740" w:rsidRDefault="00C24740" w:rsidP="00B70925">
      <w:pPr>
        <w:tabs>
          <w:tab w:val="left" w:pos="1025"/>
        </w:tabs>
        <w:spacing w:line="360" w:lineRule="auto"/>
        <w:ind w:left="709" w:hanging="709"/>
        <w:jc w:val="both"/>
        <w:rPr>
          <w:color w:val="000000" w:themeColor="text1"/>
        </w:rPr>
      </w:pPr>
    </w:p>
    <w:p w14:paraId="0D9E1AF8" w14:textId="057D4229" w:rsidR="00C24740" w:rsidRDefault="00C24740" w:rsidP="00B70925">
      <w:pPr>
        <w:tabs>
          <w:tab w:val="left" w:pos="1025"/>
        </w:tabs>
        <w:spacing w:line="360" w:lineRule="auto"/>
        <w:ind w:left="709" w:hanging="709"/>
        <w:jc w:val="both"/>
        <w:rPr>
          <w:color w:val="000000" w:themeColor="text1"/>
        </w:rPr>
      </w:pPr>
    </w:p>
    <w:p w14:paraId="315FDCDD" w14:textId="45A8C614" w:rsidR="00C24740" w:rsidRDefault="00C24740" w:rsidP="00B70925">
      <w:pPr>
        <w:tabs>
          <w:tab w:val="left" w:pos="1025"/>
        </w:tabs>
        <w:spacing w:line="360" w:lineRule="auto"/>
        <w:ind w:left="709" w:hanging="709"/>
        <w:jc w:val="both"/>
        <w:rPr>
          <w:color w:val="000000" w:themeColor="text1"/>
        </w:rPr>
      </w:pPr>
    </w:p>
    <w:p w14:paraId="76C3C527" w14:textId="4F6F6BD8" w:rsidR="00C24740" w:rsidRDefault="00C24740" w:rsidP="00B70925">
      <w:pPr>
        <w:tabs>
          <w:tab w:val="left" w:pos="1025"/>
        </w:tabs>
        <w:spacing w:line="360" w:lineRule="auto"/>
        <w:ind w:left="709" w:hanging="709"/>
        <w:jc w:val="both"/>
        <w:rPr>
          <w:color w:val="000000" w:themeColor="text1"/>
        </w:rPr>
      </w:pPr>
    </w:p>
    <w:p w14:paraId="27CFD926" w14:textId="6BCA5CEF" w:rsidR="00C24740" w:rsidRDefault="00C24740" w:rsidP="00B70925">
      <w:pPr>
        <w:tabs>
          <w:tab w:val="left" w:pos="1025"/>
        </w:tabs>
        <w:spacing w:line="360" w:lineRule="auto"/>
        <w:ind w:left="709" w:hanging="709"/>
        <w:jc w:val="both"/>
        <w:rPr>
          <w:color w:val="000000" w:themeColor="text1"/>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45"/>
        <w:gridCol w:w="6315"/>
      </w:tblGrid>
      <w:tr w:rsidR="00C24740" w:rsidRPr="00C24740" w14:paraId="49DF927A" w14:textId="77777777" w:rsidTr="00C24740">
        <w:trPr>
          <w:jc w:val="center"/>
        </w:trPr>
        <w:tc>
          <w:tcPr>
            <w:tcW w:w="3045" w:type="dxa"/>
            <w:shd w:val="clear" w:color="auto" w:fill="auto"/>
            <w:tcMar>
              <w:top w:w="100" w:type="dxa"/>
              <w:left w:w="100" w:type="dxa"/>
              <w:bottom w:w="100" w:type="dxa"/>
              <w:right w:w="100" w:type="dxa"/>
            </w:tcMar>
          </w:tcPr>
          <w:p w14:paraId="6291C5F3" w14:textId="77777777" w:rsidR="00C24740" w:rsidRPr="00C24740" w:rsidRDefault="00C24740" w:rsidP="00354695">
            <w:pPr>
              <w:pStyle w:val="Ttulo3"/>
              <w:widowControl w:val="0"/>
              <w:spacing w:before="0"/>
              <w:rPr>
                <w:rFonts w:ascii="Times New Roman" w:hAnsi="Times New Roman" w:cs="Times New Roman"/>
                <w:b/>
                <w:bCs/>
                <w:lang w:val="es-MX"/>
              </w:rPr>
            </w:pPr>
            <w:r w:rsidRPr="00C24740">
              <w:rPr>
                <w:rFonts w:ascii="Times New Roman" w:hAnsi="Times New Roman" w:cs="Times New Roman"/>
                <w:b/>
                <w:bCs/>
                <w:lang w:val="es-MX"/>
              </w:rPr>
              <w:lastRenderedPageBreak/>
              <w:t>Rol de Contribución</w:t>
            </w:r>
          </w:p>
        </w:tc>
        <w:tc>
          <w:tcPr>
            <w:tcW w:w="6315" w:type="dxa"/>
            <w:shd w:val="clear" w:color="auto" w:fill="auto"/>
            <w:tcMar>
              <w:top w:w="100" w:type="dxa"/>
              <w:left w:w="100" w:type="dxa"/>
              <w:bottom w:w="100" w:type="dxa"/>
              <w:right w:w="100" w:type="dxa"/>
            </w:tcMar>
          </w:tcPr>
          <w:p w14:paraId="0D63D498" w14:textId="1180B812" w:rsidR="00C24740" w:rsidRPr="00C24740" w:rsidRDefault="00C24740" w:rsidP="00354695">
            <w:pPr>
              <w:pStyle w:val="Ttulo3"/>
              <w:widowControl w:val="0"/>
              <w:spacing w:before="0"/>
              <w:rPr>
                <w:rFonts w:ascii="Times New Roman" w:hAnsi="Times New Roman" w:cs="Times New Roman"/>
                <w:b/>
                <w:bCs/>
                <w:lang w:val="es-MX"/>
              </w:rPr>
            </w:pPr>
            <w:bookmarkStart w:id="0" w:name="_btsjgdfgjwkr" w:colFirst="0" w:colLast="0"/>
            <w:bookmarkEnd w:id="0"/>
            <w:r w:rsidRPr="00C24740">
              <w:rPr>
                <w:rFonts w:ascii="Times New Roman" w:hAnsi="Times New Roman" w:cs="Times New Roman"/>
                <w:b/>
                <w:bCs/>
                <w:lang w:val="es-MX"/>
              </w:rPr>
              <w:t>Autor (es)</w:t>
            </w:r>
          </w:p>
        </w:tc>
      </w:tr>
      <w:tr w:rsidR="00C24740" w:rsidRPr="00C24740" w14:paraId="0DEE7A9C" w14:textId="77777777" w:rsidTr="00C24740">
        <w:trPr>
          <w:jc w:val="center"/>
        </w:trPr>
        <w:tc>
          <w:tcPr>
            <w:tcW w:w="3045" w:type="dxa"/>
            <w:shd w:val="clear" w:color="auto" w:fill="auto"/>
            <w:tcMar>
              <w:top w:w="100" w:type="dxa"/>
              <w:left w:w="100" w:type="dxa"/>
              <w:bottom w:w="100" w:type="dxa"/>
              <w:right w:w="100" w:type="dxa"/>
            </w:tcMar>
          </w:tcPr>
          <w:p w14:paraId="21032232" w14:textId="77777777" w:rsidR="00C24740" w:rsidRPr="00C24740" w:rsidRDefault="00C24740" w:rsidP="00354695">
            <w:pPr>
              <w:widowControl w:val="0"/>
              <w:rPr>
                <w:b/>
                <w:lang w:val="es-MX"/>
              </w:rPr>
            </w:pPr>
            <w:r w:rsidRPr="00C24740">
              <w:rPr>
                <w:b/>
                <w:lang w:val="es-MX"/>
              </w:rPr>
              <w:t>Conceptualización</w:t>
            </w:r>
          </w:p>
        </w:tc>
        <w:tc>
          <w:tcPr>
            <w:tcW w:w="6315" w:type="dxa"/>
            <w:shd w:val="clear" w:color="auto" w:fill="auto"/>
            <w:tcMar>
              <w:top w:w="100" w:type="dxa"/>
              <w:left w:w="100" w:type="dxa"/>
              <w:bottom w:w="100" w:type="dxa"/>
              <w:right w:w="100" w:type="dxa"/>
            </w:tcMar>
          </w:tcPr>
          <w:p w14:paraId="1043A3C5" w14:textId="3818BCA0"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w:t>
            </w:r>
          </w:p>
        </w:tc>
      </w:tr>
      <w:tr w:rsidR="00C24740" w:rsidRPr="00C24740" w14:paraId="11773069" w14:textId="77777777" w:rsidTr="00C24740">
        <w:trPr>
          <w:jc w:val="center"/>
        </w:trPr>
        <w:tc>
          <w:tcPr>
            <w:tcW w:w="3045" w:type="dxa"/>
            <w:shd w:val="clear" w:color="auto" w:fill="auto"/>
            <w:tcMar>
              <w:top w:w="100" w:type="dxa"/>
              <w:left w:w="100" w:type="dxa"/>
              <w:bottom w:w="100" w:type="dxa"/>
              <w:right w:w="100" w:type="dxa"/>
            </w:tcMar>
          </w:tcPr>
          <w:p w14:paraId="10E27570" w14:textId="77777777" w:rsidR="00C24740" w:rsidRPr="00C24740" w:rsidRDefault="00C24740" w:rsidP="00354695">
            <w:pPr>
              <w:widowControl w:val="0"/>
              <w:rPr>
                <w:b/>
                <w:lang w:val="es-MX"/>
              </w:rPr>
            </w:pPr>
            <w:r w:rsidRPr="00C24740">
              <w:rPr>
                <w:b/>
                <w:lang w:val="es-MX"/>
              </w:rPr>
              <w:t>Metodología</w:t>
            </w:r>
          </w:p>
        </w:tc>
        <w:tc>
          <w:tcPr>
            <w:tcW w:w="6315" w:type="dxa"/>
            <w:shd w:val="clear" w:color="auto" w:fill="auto"/>
            <w:tcMar>
              <w:top w:w="100" w:type="dxa"/>
              <w:left w:w="100" w:type="dxa"/>
              <w:bottom w:w="100" w:type="dxa"/>
              <w:right w:w="100" w:type="dxa"/>
            </w:tcMar>
          </w:tcPr>
          <w:p w14:paraId="5ABFF718" w14:textId="239AC3F6" w:rsidR="00C24740" w:rsidRPr="00C24740" w:rsidRDefault="00C24740" w:rsidP="00354695">
            <w:pPr>
              <w:widowControl w:val="0"/>
              <w:rPr>
                <w:lang w:val="es-MX"/>
              </w:rPr>
            </w:pPr>
            <w:r w:rsidRPr="00C24740">
              <w:rPr>
                <w:b/>
                <w:bCs/>
                <w:lang w:val="es-MX"/>
              </w:rPr>
              <w:t xml:space="preserve">Robert </w:t>
            </w:r>
            <w:proofErr w:type="spellStart"/>
            <w:r w:rsidRPr="00C24740">
              <w:rPr>
                <w:b/>
                <w:bCs/>
                <w:lang w:val="es-MX"/>
              </w:rPr>
              <w:t>delMAs</w:t>
            </w:r>
            <w:proofErr w:type="spellEnd"/>
          </w:p>
        </w:tc>
      </w:tr>
      <w:tr w:rsidR="00C24740" w:rsidRPr="00C24740" w14:paraId="0749BF1A" w14:textId="77777777" w:rsidTr="00C24740">
        <w:trPr>
          <w:jc w:val="center"/>
        </w:trPr>
        <w:tc>
          <w:tcPr>
            <w:tcW w:w="3045" w:type="dxa"/>
            <w:shd w:val="clear" w:color="auto" w:fill="auto"/>
            <w:tcMar>
              <w:top w:w="100" w:type="dxa"/>
              <w:left w:w="100" w:type="dxa"/>
              <w:bottom w:w="100" w:type="dxa"/>
              <w:right w:w="100" w:type="dxa"/>
            </w:tcMar>
          </w:tcPr>
          <w:p w14:paraId="2488D3B5" w14:textId="77777777" w:rsidR="00C24740" w:rsidRPr="00C24740" w:rsidRDefault="00C24740" w:rsidP="00354695">
            <w:pPr>
              <w:widowControl w:val="0"/>
              <w:rPr>
                <w:b/>
                <w:lang w:val="es-MX"/>
              </w:rPr>
            </w:pPr>
            <w:r w:rsidRPr="00C24740">
              <w:rPr>
                <w:b/>
                <w:lang w:val="es-MX"/>
              </w:rPr>
              <w:t>Software</w:t>
            </w:r>
          </w:p>
        </w:tc>
        <w:tc>
          <w:tcPr>
            <w:tcW w:w="6315" w:type="dxa"/>
            <w:shd w:val="clear" w:color="auto" w:fill="auto"/>
            <w:tcMar>
              <w:top w:w="100" w:type="dxa"/>
              <w:left w:w="100" w:type="dxa"/>
              <w:bottom w:w="100" w:type="dxa"/>
              <w:right w:w="100" w:type="dxa"/>
            </w:tcMar>
          </w:tcPr>
          <w:p w14:paraId="302E9CFF" w14:textId="035C75DC" w:rsidR="00C24740" w:rsidRPr="00C24740" w:rsidRDefault="00C24740" w:rsidP="00354695">
            <w:pPr>
              <w:widowControl w:val="0"/>
              <w:rPr>
                <w:lang w:val="es-MX"/>
              </w:rPr>
            </w:pPr>
            <w:r w:rsidRPr="00C24740">
              <w:rPr>
                <w:b/>
                <w:bCs/>
                <w:lang w:val="es-MX"/>
              </w:rPr>
              <w:t>No aplica</w:t>
            </w:r>
          </w:p>
        </w:tc>
      </w:tr>
      <w:tr w:rsidR="00C24740" w:rsidRPr="00732256" w14:paraId="19DA3115" w14:textId="77777777" w:rsidTr="00C24740">
        <w:trPr>
          <w:jc w:val="center"/>
        </w:trPr>
        <w:tc>
          <w:tcPr>
            <w:tcW w:w="3045" w:type="dxa"/>
            <w:shd w:val="clear" w:color="auto" w:fill="auto"/>
            <w:tcMar>
              <w:top w:w="100" w:type="dxa"/>
              <w:left w:w="100" w:type="dxa"/>
              <w:bottom w:w="100" w:type="dxa"/>
              <w:right w:w="100" w:type="dxa"/>
            </w:tcMar>
          </w:tcPr>
          <w:p w14:paraId="33350178" w14:textId="77777777" w:rsidR="00C24740" w:rsidRPr="00C24740" w:rsidRDefault="00C24740" w:rsidP="00354695">
            <w:pPr>
              <w:widowControl w:val="0"/>
              <w:rPr>
                <w:b/>
                <w:lang w:val="es-MX"/>
              </w:rPr>
            </w:pPr>
            <w:r w:rsidRPr="00C24740">
              <w:rPr>
                <w:b/>
                <w:lang w:val="es-MX"/>
              </w:rPr>
              <w:t>Validación</w:t>
            </w:r>
          </w:p>
        </w:tc>
        <w:tc>
          <w:tcPr>
            <w:tcW w:w="6315" w:type="dxa"/>
            <w:shd w:val="clear" w:color="auto" w:fill="auto"/>
            <w:tcMar>
              <w:top w:w="100" w:type="dxa"/>
              <w:left w:w="100" w:type="dxa"/>
              <w:bottom w:w="100" w:type="dxa"/>
              <w:right w:w="100" w:type="dxa"/>
            </w:tcMar>
          </w:tcPr>
          <w:p w14:paraId="138614D7" w14:textId="0D2222F6"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(igual),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 Robert </w:t>
            </w:r>
            <w:proofErr w:type="spellStart"/>
            <w:r w:rsidRPr="00C24740">
              <w:rPr>
                <w:b/>
                <w:bCs/>
                <w:lang w:val="es-MX"/>
              </w:rPr>
              <w:t>delMas</w:t>
            </w:r>
            <w:proofErr w:type="spellEnd"/>
            <w:r w:rsidRPr="00C24740">
              <w:rPr>
                <w:b/>
                <w:bCs/>
                <w:lang w:val="es-MX"/>
              </w:rPr>
              <w:t xml:space="preserve"> (igual).</w:t>
            </w:r>
          </w:p>
        </w:tc>
      </w:tr>
      <w:tr w:rsidR="00C24740" w:rsidRPr="00732256" w14:paraId="4261D591" w14:textId="77777777" w:rsidTr="00C24740">
        <w:trPr>
          <w:jc w:val="center"/>
        </w:trPr>
        <w:tc>
          <w:tcPr>
            <w:tcW w:w="3045" w:type="dxa"/>
            <w:shd w:val="clear" w:color="auto" w:fill="auto"/>
            <w:tcMar>
              <w:top w:w="100" w:type="dxa"/>
              <w:left w:w="100" w:type="dxa"/>
              <w:bottom w:w="100" w:type="dxa"/>
              <w:right w:w="100" w:type="dxa"/>
            </w:tcMar>
          </w:tcPr>
          <w:p w14:paraId="6299B636" w14:textId="77777777" w:rsidR="00C24740" w:rsidRPr="00C24740" w:rsidRDefault="00C24740" w:rsidP="00354695">
            <w:pPr>
              <w:widowControl w:val="0"/>
              <w:rPr>
                <w:b/>
                <w:lang w:val="es-MX"/>
              </w:rPr>
            </w:pPr>
            <w:r w:rsidRPr="00C24740">
              <w:rPr>
                <w:b/>
                <w:lang w:val="es-MX"/>
              </w:rPr>
              <w:t>Análisis Formal</w:t>
            </w:r>
          </w:p>
        </w:tc>
        <w:tc>
          <w:tcPr>
            <w:tcW w:w="6315" w:type="dxa"/>
            <w:shd w:val="clear" w:color="auto" w:fill="auto"/>
            <w:tcMar>
              <w:top w:w="100" w:type="dxa"/>
              <w:left w:w="100" w:type="dxa"/>
              <w:bottom w:w="100" w:type="dxa"/>
              <w:right w:w="100" w:type="dxa"/>
            </w:tcMar>
          </w:tcPr>
          <w:p w14:paraId="3DF02FAD" w14:textId="71A3E705"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(igual),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w:t>
            </w:r>
          </w:p>
        </w:tc>
      </w:tr>
      <w:tr w:rsidR="00C24740" w:rsidRPr="00732256" w14:paraId="0AD2C0E4" w14:textId="77777777" w:rsidTr="00C24740">
        <w:trPr>
          <w:jc w:val="center"/>
        </w:trPr>
        <w:tc>
          <w:tcPr>
            <w:tcW w:w="3045" w:type="dxa"/>
            <w:shd w:val="clear" w:color="auto" w:fill="auto"/>
            <w:tcMar>
              <w:top w:w="100" w:type="dxa"/>
              <w:left w:w="100" w:type="dxa"/>
              <w:bottom w:w="100" w:type="dxa"/>
              <w:right w:w="100" w:type="dxa"/>
            </w:tcMar>
          </w:tcPr>
          <w:p w14:paraId="3E4AEDB9" w14:textId="77777777" w:rsidR="00C24740" w:rsidRPr="00C24740" w:rsidRDefault="00C24740" w:rsidP="00354695">
            <w:pPr>
              <w:widowControl w:val="0"/>
              <w:rPr>
                <w:b/>
                <w:lang w:val="es-MX"/>
              </w:rPr>
            </w:pPr>
            <w:r w:rsidRPr="00C24740">
              <w:rPr>
                <w:b/>
                <w:lang w:val="es-MX"/>
              </w:rPr>
              <w:t>Investigación</w:t>
            </w:r>
          </w:p>
        </w:tc>
        <w:tc>
          <w:tcPr>
            <w:tcW w:w="6315" w:type="dxa"/>
            <w:shd w:val="clear" w:color="auto" w:fill="auto"/>
            <w:tcMar>
              <w:top w:w="100" w:type="dxa"/>
              <w:left w:w="100" w:type="dxa"/>
              <w:bottom w:w="100" w:type="dxa"/>
              <w:right w:w="100" w:type="dxa"/>
            </w:tcMar>
          </w:tcPr>
          <w:p w14:paraId="5B8EA813" w14:textId="37E298BD"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(igual),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 Robert </w:t>
            </w:r>
            <w:proofErr w:type="spellStart"/>
            <w:r w:rsidRPr="00C24740">
              <w:rPr>
                <w:b/>
                <w:bCs/>
                <w:lang w:val="es-MX"/>
              </w:rPr>
              <w:t>delMas</w:t>
            </w:r>
            <w:proofErr w:type="spellEnd"/>
            <w:r w:rsidRPr="00C24740">
              <w:rPr>
                <w:b/>
                <w:bCs/>
                <w:lang w:val="es-MX"/>
              </w:rPr>
              <w:t xml:space="preserve"> (igual).</w:t>
            </w:r>
          </w:p>
        </w:tc>
      </w:tr>
      <w:tr w:rsidR="00C24740" w:rsidRPr="00732256" w14:paraId="0F3B01F1" w14:textId="77777777" w:rsidTr="00C24740">
        <w:trPr>
          <w:jc w:val="center"/>
        </w:trPr>
        <w:tc>
          <w:tcPr>
            <w:tcW w:w="3045" w:type="dxa"/>
            <w:shd w:val="clear" w:color="auto" w:fill="auto"/>
            <w:tcMar>
              <w:top w:w="100" w:type="dxa"/>
              <w:left w:w="100" w:type="dxa"/>
              <w:bottom w:w="100" w:type="dxa"/>
              <w:right w:w="100" w:type="dxa"/>
            </w:tcMar>
          </w:tcPr>
          <w:p w14:paraId="523E9217" w14:textId="77777777" w:rsidR="00C24740" w:rsidRPr="00C24740" w:rsidRDefault="00C24740" w:rsidP="00354695">
            <w:pPr>
              <w:widowControl w:val="0"/>
              <w:rPr>
                <w:b/>
                <w:lang w:val="es-MX"/>
              </w:rPr>
            </w:pPr>
            <w:r w:rsidRPr="00C24740">
              <w:rPr>
                <w:b/>
                <w:lang w:val="es-MX"/>
              </w:rPr>
              <w:t>Recursos</w:t>
            </w:r>
          </w:p>
        </w:tc>
        <w:tc>
          <w:tcPr>
            <w:tcW w:w="6315" w:type="dxa"/>
            <w:shd w:val="clear" w:color="auto" w:fill="auto"/>
            <w:tcMar>
              <w:top w:w="100" w:type="dxa"/>
              <w:left w:w="100" w:type="dxa"/>
              <w:bottom w:w="100" w:type="dxa"/>
              <w:right w:w="100" w:type="dxa"/>
            </w:tcMar>
          </w:tcPr>
          <w:p w14:paraId="45775D16" w14:textId="0B0A501F"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(igual),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 Robert </w:t>
            </w:r>
            <w:proofErr w:type="spellStart"/>
            <w:r w:rsidRPr="00C24740">
              <w:rPr>
                <w:b/>
                <w:bCs/>
                <w:lang w:val="es-MX"/>
              </w:rPr>
              <w:t>delMas</w:t>
            </w:r>
            <w:proofErr w:type="spellEnd"/>
            <w:r w:rsidRPr="00C24740">
              <w:rPr>
                <w:b/>
                <w:bCs/>
                <w:lang w:val="es-MX"/>
              </w:rPr>
              <w:t xml:space="preserve"> (igual).</w:t>
            </w:r>
          </w:p>
        </w:tc>
      </w:tr>
      <w:tr w:rsidR="00C24740" w:rsidRPr="00732256" w14:paraId="4B7D3177" w14:textId="77777777" w:rsidTr="00C24740">
        <w:trPr>
          <w:jc w:val="center"/>
        </w:trPr>
        <w:tc>
          <w:tcPr>
            <w:tcW w:w="3045" w:type="dxa"/>
            <w:shd w:val="clear" w:color="auto" w:fill="auto"/>
            <w:tcMar>
              <w:top w:w="100" w:type="dxa"/>
              <w:left w:w="100" w:type="dxa"/>
              <w:bottom w:w="100" w:type="dxa"/>
              <w:right w:w="100" w:type="dxa"/>
            </w:tcMar>
          </w:tcPr>
          <w:p w14:paraId="65C63212" w14:textId="77777777" w:rsidR="00C24740" w:rsidRPr="00C24740" w:rsidRDefault="00C24740" w:rsidP="00354695">
            <w:pPr>
              <w:widowControl w:val="0"/>
              <w:rPr>
                <w:b/>
                <w:lang w:val="es-MX"/>
              </w:rPr>
            </w:pPr>
            <w:r w:rsidRPr="00C24740">
              <w:rPr>
                <w:b/>
                <w:lang w:val="es-MX"/>
              </w:rPr>
              <w:t>Curación de datos</w:t>
            </w:r>
          </w:p>
        </w:tc>
        <w:tc>
          <w:tcPr>
            <w:tcW w:w="6315" w:type="dxa"/>
            <w:shd w:val="clear" w:color="auto" w:fill="auto"/>
            <w:tcMar>
              <w:top w:w="100" w:type="dxa"/>
              <w:left w:w="100" w:type="dxa"/>
              <w:bottom w:w="100" w:type="dxa"/>
              <w:right w:w="100" w:type="dxa"/>
            </w:tcMar>
          </w:tcPr>
          <w:p w14:paraId="7F7BCD3A" w14:textId="25B0775A"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(igual),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w:t>
            </w:r>
          </w:p>
        </w:tc>
      </w:tr>
      <w:tr w:rsidR="00C24740" w:rsidRPr="00732256" w14:paraId="633C3C52" w14:textId="77777777" w:rsidTr="00C24740">
        <w:trPr>
          <w:jc w:val="center"/>
        </w:trPr>
        <w:tc>
          <w:tcPr>
            <w:tcW w:w="3045" w:type="dxa"/>
            <w:shd w:val="clear" w:color="auto" w:fill="auto"/>
            <w:tcMar>
              <w:top w:w="100" w:type="dxa"/>
              <w:left w:w="100" w:type="dxa"/>
              <w:bottom w:w="100" w:type="dxa"/>
              <w:right w:w="100" w:type="dxa"/>
            </w:tcMar>
          </w:tcPr>
          <w:p w14:paraId="1CDF84C3" w14:textId="77777777" w:rsidR="00C24740" w:rsidRPr="00C24740" w:rsidRDefault="00C24740" w:rsidP="00354695">
            <w:pPr>
              <w:widowControl w:val="0"/>
              <w:rPr>
                <w:b/>
                <w:lang w:val="es-MX"/>
              </w:rPr>
            </w:pPr>
            <w:r w:rsidRPr="00C24740">
              <w:rPr>
                <w:b/>
                <w:lang w:val="es-MX"/>
              </w:rPr>
              <w:t>Escritura - Preparación del borrador original</w:t>
            </w:r>
          </w:p>
        </w:tc>
        <w:tc>
          <w:tcPr>
            <w:tcW w:w="6315" w:type="dxa"/>
            <w:shd w:val="clear" w:color="auto" w:fill="auto"/>
            <w:tcMar>
              <w:top w:w="100" w:type="dxa"/>
              <w:left w:w="100" w:type="dxa"/>
              <w:bottom w:w="100" w:type="dxa"/>
              <w:right w:w="100" w:type="dxa"/>
            </w:tcMar>
          </w:tcPr>
          <w:p w14:paraId="45F50136" w14:textId="7DDF731C"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(igual),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 Robert </w:t>
            </w:r>
            <w:proofErr w:type="spellStart"/>
            <w:r w:rsidRPr="00C24740">
              <w:rPr>
                <w:b/>
                <w:bCs/>
                <w:lang w:val="es-MX"/>
              </w:rPr>
              <w:t>delMas</w:t>
            </w:r>
            <w:proofErr w:type="spellEnd"/>
            <w:r w:rsidRPr="00C24740">
              <w:rPr>
                <w:b/>
                <w:bCs/>
                <w:lang w:val="es-MX"/>
              </w:rPr>
              <w:t xml:space="preserve"> (igual).</w:t>
            </w:r>
          </w:p>
        </w:tc>
      </w:tr>
      <w:tr w:rsidR="00C24740" w:rsidRPr="00732256" w14:paraId="6BF15AD0" w14:textId="77777777" w:rsidTr="00C24740">
        <w:trPr>
          <w:jc w:val="center"/>
        </w:trPr>
        <w:tc>
          <w:tcPr>
            <w:tcW w:w="3045" w:type="dxa"/>
            <w:shd w:val="clear" w:color="auto" w:fill="auto"/>
            <w:tcMar>
              <w:top w:w="100" w:type="dxa"/>
              <w:left w:w="100" w:type="dxa"/>
              <w:bottom w:w="100" w:type="dxa"/>
              <w:right w:w="100" w:type="dxa"/>
            </w:tcMar>
          </w:tcPr>
          <w:p w14:paraId="18E30F7A" w14:textId="77777777" w:rsidR="00C24740" w:rsidRPr="00C24740" w:rsidRDefault="00C24740" w:rsidP="00354695">
            <w:pPr>
              <w:widowControl w:val="0"/>
              <w:rPr>
                <w:b/>
                <w:lang w:val="es-MX"/>
              </w:rPr>
            </w:pPr>
            <w:r w:rsidRPr="00C24740">
              <w:rPr>
                <w:b/>
                <w:lang w:val="es-MX"/>
              </w:rPr>
              <w:t>Escritura - Revisión y edición</w:t>
            </w:r>
          </w:p>
        </w:tc>
        <w:tc>
          <w:tcPr>
            <w:tcW w:w="6315" w:type="dxa"/>
            <w:shd w:val="clear" w:color="auto" w:fill="auto"/>
            <w:tcMar>
              <w:top w:w="100" w:type="dxa"/>
              <w:left w:w="100" w:type="dxa"/>
              <w:bottom w:w="100" w:type="dxa"/>
              <w:right w:w="100" w:type="dxa"/>
            </w:tcMar>
          </w:tcPr>
          <w:p w14:paraId="59D56E32" w14:textId="004FFAF4"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(principal),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 Robert </w:t>
            </w:r>
            <w:proofErr w:type="spellStart"/>
            <w:r w:rsidRPr="00C24740">
              <w:rPr>
                <w:b/>
                <w:bCs/>
                <w:lang w:val="es-MX"/>
              </w:rPr>
              <w:t>delMas</w:t>
            </w:r>
            <w:proofErr w:type="spellEnd"/>
            <w:r w:rsidRPr="00C24740">
              <w:rPr>
                <w:b/>
                <w:bCs/>
                <w:lang w:val="es-MX"/>
              </w:rPr>
              <w:t xml:space="preserve"> (igual).</w:t>
            </w:r>
          </w:p>
        </w:tc>
      </w:tr>
      <w:tr w:rsidR="00C24740" w:rsidRPr="00732256" w14:paraId="01A3FC2B" w14:textId="77777777" w:rsidTr="00C24740">
        <w:trPr>
          <w:jc w:val="center"/>
        </w:trPr>
        <w:tc>
          <w:tcPr>
            <w:tcW w:w="3045" w:type="dxa"/>
            <w:shd w:val="clear" w:color="auto" w:fill="auto"/>
            <w:tcMar>
              <w:top w:w="100" w:type="dxa"/>
              <w:left w:w="100" w:type="dxa"/>
              <w:bottom w:w="100" w:type="dxa"/>
              <w:right w:w="100" w:type="dxa"/>
            </w:tcMar>
          </w:tcPr>
          <w:p w14:paraId="2535D7EC" w14:textId="77777777" w:rsidR="00C24740" w:rsidRPr="00C24740" w:rsidRDefault="00C24740" w:rsidP="00354695">
            <w:pPr>
              <w:widowControl w:val="0"/>
              <w:rPr>
                <w:b/>
                <w:lang w:val="es-MX"/>
              </w:rPr>
            </w:pPr>
            <w:r w:rsidRPr="00C24740">
              <w:rPr>
                <w:b/>
                <w:lang w:val="es-MX"/>
              </w:rPr>
              <w:t>Visualización</w:t>
            </w:r>
          </w:p>
        </w:tc>
        <w:tc>
          <w:tcPr>
            <w:tcW w:w="6315" w:type="dxa"/>
            <w:shd w:val="clear" w:color="auto" w:fill="auto"/>
            <w:tcMar>
              <w:top w:w="100" w:type="dxa"/>
              <w:left w:w="100" w:type="dxa"/>
              <w:bottom w:w="100" w:type="dxa"/>
              <w:right w:w="100" w:type="dxa"/>
            </w:tcMar>
          </w:tcPr>
          <w:p w14:paraId="1DA9440A" w14:textId="175B06D5"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(principal),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 Robert </w:t>
            </w:r>
            <w:proofErr w:type="spellStart"/>
            <w:r w:rsidRPr="00C24740">
              <w:rPr>
                <w:b/>
                <w:bCs/>
                <w:lang w:val="es-MX"/>
              </w:rPr>
              <w:t>delMas</w:t>
            </w:r>
            <w:proofErr w:type="spellEnd"/>
            <w:r w:rsidRPr="00C24740">
              <w:rPr>
                <w:b/>
                <w:bCs/>
                <w:lang w:val="es-MX"/>
              </w:rPr>
              <w:t xml:space="preserve"> (igual).</w:t>
            </w:r>
          </w:p>
        </w:tc>
      </w:tr>
      <w:tr w:rsidR="00C24740" w:rsidRPr="00732256" w14:paraId="55C6B3A0" w14:textId="77777777" w:rsidTr="00C24740">
        <w:trPr>
          <w:jc w:val="center"/>
        </w:trPr>
        <w:tc>
          <w:tcPr>
            <w:tcW w:w="3045" w:type="dxa"/>
            <w:shd w:val="clear" w:color="auto" w:fill="auto"/>
            <w:tcMar>
              <w:top w:w="100" w:type="dxa"/>
              <w:left w:w="100" w:type="dxa"/>
              <w:bottom w:w="100" w:type="dxa"/>
              <w:right w:w="100" w:type="dxa"/>
            </w:tcMar>
          </w:tcPr>
          <w:p w14:paraId="0B0DAA82" w14:textId="77777777" w:rsidR="00C24740" w:rsidRPr="00C24740" w:rsidRDefault="00C24740" w:rsidP="00354695">
            <w:pPr>
              <w:widowControl w:val="0"/>
              <w:rPr>
                <w:b/>
                <w:lang w:val="es-MX"/>
              </w:rPr>
            </w:pPr>
            <w:r w:rsidRPr="00C24740">
              <w:rPr>
                <w:b/>
                <w:lang w:val="es-MX"/>
              </w:rPr>
              <w:t>Supervisión</w:t>
            </w:r>
          </w:p>
        </w:tc>
        <w:tc>
          <w:tcPr>
            <w:tcW w:w="6315" w:type="dxa"/>
            <w:shd w:val="clear" w:color="auto" w:fill="auto"/>
            <w:tcMar>
              <w:top w:w="100" w:type="dxa"/>
              <w:left w:w="100" w:type="dxa"/>
              <w:bottom w:w="100" w:type="dxa"/>
              <w:right w:w="100" w:type="dxa"/>
            </w:tcMar>
          </w:tcPr>
          <w:p w14:paraId="2652E923" w14:textId="1A21E8F5"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(principal), Pedro Celso-Arellano (igual), </w:t>
            </w:r>
            <w:proofErr w:type="spellStart"/>
            <w:r w:rsidRPr="00C24740">
              <w:rPr>
                <w:b/>
                <w:bCs/>
                <w:lang w:val="es-MX"/>
              </w:rPr>
              <w:t>Victor</w:t>
            </w:r>
            <w:proofErr w:type="spellEnd"/>
            <w:r w:rsidRPr="00C24740">
              <w:rPr>
                <w:b/>
                <w:bCs/>
                <w:lang w:val="es-MX"/>
              </w:rPr>
              <w:t xml:space="preserve"> </w:t>
            </w:r>
            <w:proofErr w:type="spellStart"/>
            <w:r w:rsidRPr="00C24740">
              <w:rPr>
                <w:b/>
                <w:bCs/>
                <w:lang w:val="es-MX"/>
              </w:rPr>
              <w:t>Gualajara</w:t>
            </w:r>
            <w:proofErr w:type="spellEnd"/>
            <w:r w:rsidRPr="00C24740">
              <w:rPr>
                <w:b/>
                <w:bCs/>
                <w:lang w:val="es-MX"/>
              </w:rPr>
              <w:t xml:space="preserve"> (igual).</w:t>
            </w:r>
          </w:p>
        </w:tc>
      </w:tr>
      <w:tr w:rsidR="00C24740" w:rsidRPr="00732256" w14:paraId="362EEC93" w14:textId="77777777" w:rsidTr="00C24740">
        <w:trPr>
          <w:jc w:val="center"/>
        </w:trPr>
        <w:tc>
          <w:tcPr>
            <w:tcW w:w="3045" w:type="dxa"/>
            <w:shd w:val="clear" w:color="auto" w:fill="auto"/>
            <w:tcMar>
              <w:top w:w="100" w:type="dxa"/>
              <w:left w:w="100" w:type="dxa"/>
              <w:bottom w:w="100" w:type="dxa"/>
              <w:right w:w="100" w:type="dxa"/>
            </w:tcMar>
          </w:tcPr>
          <w:p w14:paraId="42E5E365" w14:textId="77777777" w:rsidR="00C24740" w:rsidRPr="00C24740" w:rsidRDefault="00C24740" w:rsidP="00354695">
            <w:pPr>
              <w:widowControl w:val="0"/>
              <w:rPr>
                <w:b/>
                <w:lang w:val="es-MX"/>
              </w:rPr>
            </w:pPr>
            <w:r w:rsidRPr="00C24740">
              <w:rPr>
                <w:b/>
                <w:lang w:val="es-MX"/>
              </w:rPr>
              <w:t>Administración de Proyectos</w:t>
            </w:r>
          </w:p>
        </w:tc>
        <w:tc>
          <w:tcPr>
            <w:tcW w:w="6315" w:type="dxa"/>
            <w:shd w:val="clear" w:color="auto" w:fill="auto"/>
            <w:tcMar>
              <w:top w:w="100" w:type="dxa"/>
              <w:left w:w="100" w:type="dxa"/>
              <w:bottom w:w="100" w:type="dxa"/>
              <w:right w:w="100" w:type="dxa"/>
            </w:tcMar>
          </w:tcPr>
          <w:p w14:paraId="085168D2" w14:textId="784D6005" w:rsidR="00C24740" w:rsidRPr="00C24740" w:rsidRDefault="00C24740" w:rsidP="00354695">
            <w:pPr>
              <w:widowControl w:val="0"/>
              <w:rPr>
                <w:lang w:val="es-MX"/>
              </w:rPr>
            </w:pPr>
            <w:proofErr w:type="spellStart"/>
            <w:r w:rsidRPr="00C24740">
              <w:rPr>
                <w:b/>
                <w:bCs/>
                <w:lang w:val="es-MX"/>
              </w:rPr>
              <w:t>Semei</w:t>
            </w:r>
            <w:proofErr w:type="spellEnd"/>
            <w:r w:rsidRPr="00C24740">
              <w:rPr>
                <w:b/>
                <w:bCs/>
                <w:lang w:val="es-MX"/>
              </w:rPr>
              <w:t xml:space="preserve"> Coronado (igual), Salvador Sandoval (igual).</w:t>
            </w:r>
          </w:p>
        </w:tc>
      </w:tr>
      <w:tr w:rsidR="00C24740" w:rsidRPr="00C24740" w14:paraId="71770AF6" w14:textId="77777777" w:rsidTr="00C24740">
        <w:trPr>
          <w:jc w:val="center"/>
        </w:trPr>
        <w:tc>
          <w:tcPr>
            <w:tcW w:w="3045" w:type="dxa"/>
            <w:shd w:val="clear" w:color="auto" w:fill="auto"/>
            <w:tcMar>
              <w:top w:w="100" w:type="dxa"/>
              <w:left w:w="100" w:type="dxa"/>
              <w:bottom w:w="100" w:type="dxa"/>
              <w:right w:w="100" w:type="dxa"/>
            </w:tcMar>
          </w:tcPr>
          <w:p w14:paraId="4136844A" w14:textId="77777777" w:rsidR="00C24740" w:rsidRPr="00C24740" w:rsidRDefault="00C24740" w:rsidP="00354695">
            <w:pPr>
              <w:widowControl w:val="0"/>
              <w:rPr>
                <w:b/>
                <w:lang w:val="es-MX"/>
              </w:rPr>
            </w:pPr>
            <w:r w:rsidRPr="00C24740">
              <w:rPr>
                <w:b/>
                <w:lang w:val="es-MX"/>
              </w:rPr>
              <w:t>Adquisición de fondos</w:t>
            </w:r>
          </w:p>
        </w:tc>
        <w:tc>
          <w:tcPr>
            <w:tcW w:w="6315" w:type="dxa"/>
            <w:shd w:val="clear" w:color="auto" w:fill="auto"/>
            <w:tcMar>
              <w:top w:w="100" w:type="dxa"/>
              <w:left w:w="100" w:type="dxa"/>
              <w:bottom w:w="100" w:type="dxa"/>
              <w:right w:w="100" w:type="dxa"/>
            </w:tcMar>
          </w:tcPr>
          <w:p w14:paraId="637DF042" w14:textId="21F2BD1A" w:rsidR="00C24740" w:rsidRPr="00C24740" w:rsidRDefault="00C24740" w:rsidP="00354695">
            <w:pPr>
              <w:widowControl w:val="0"/>
              <w:rPr>
                <w:lang w:val="es-MX"/>
              </w:rPr>
            </w:pPr>
            <w:r w:rsidRPr="00C24740">
              <w:rPr>
                <w:b/>
                <w:bCs/>
                <w:lang w:val="es-MX"/>
              </w:rPr>
              <w:t>No aplica</w:t>
            </w:r>
          </w:p>
        </w:tc>
      </w:tr>
    </w:tbl>
    <w:p w14:paraId="4D5C2204" w14:textId="77777777" w:rsidR="00C24740" w:rsidRPr="00B21F63" w:rsidRDefault="00C24740" w:rsidP="00B70925">
      <w:pPr>
        <w:tabs>
          <w:tab w:val="left" w:pos="1025"/>
        </w:tabs>
        <w:spacing w:line="360" w:lineRule="auto"/>
        <w:ind w:left="709" w:hanging="709"/>
        <w:jc w:val="both"/>
        <w:rPr>
          <w:color w:val="000000" w:themeColor="text1"/>
        </w:rPr>
      </w:pPr>
    </w:p>
    <w:p w14:paraId="446254EF" w14:textId="24B099DA" w:rsidR="003C4D10" w:rsidRPr="00B21F63" w:rsidRDefault="003C4D10" w:rsidP="00B83B53">
      <w:pPr>
        <w:spacing w:line="360" w:lineRule="auto"/>
        <w:rPr>
          <w:color w:val="000000" w:themeColor="text1"/>
        </w:rPr>
      </w:pPr>
    </w:p>
    <w:sectPr w:rsidR="003C4D10" w:rsidRPr="00B21F63" w:rsidSect="00B70925">
      <w:headerReference w:type="even" r:id="rId15"/>
      <w:headerReference w:type="default" r:id="rId16"/>
      <w:headerReference w:type="first" r:id="rId17"/>
      <w:footerReference w:type="first" r:id="rId18"/>
      <w:type w:val="continuous"/>
      <w:pgSz w:w="11894" w:h="16819" w:code="9"/>
      <w:pgMar w:top="1440" w:right="1440" w:bottom="1276" w:left="1440" w:header="284"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2622C8" w14:textId="77777777" w:rsidR="00810BE4" w:rsidRDefault="00810BE4" w:rsidP="00B53143">
      <w:r>
        <w:separator/>
      </w:r>
    </w:p>
  </w:endnote>
  <w:endnote w:type="continuationSeparator" w:id="0">
    <w:p w14:paraId="373E1D4F" w14:textId="77777777" w:rsidR="00810BE4" w:rsidRDefault="00810BE4" w:rsidP="00B53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DA916" w14:textId="278973EC" w:rsidR="00F96F88" w:rsidRPr="00F62688" w:rsidRDefault="00F62688" w:rsidP="00E737CD">
    <w:pPr>
      <w:pStyle w:val="Piedepgina"/>
      <w:ind w:right="360" w:firstLine="360"/>
      <w:rPr>
        <w:lang w:val="es-MX"/>
      </w:rPr>
    </w:pPr>
    <w:r>
      <w:rPr>
        <w:lang w:val="es-MX"/>
      </w:rPr>
      <w:t xml:space="preserve">     </w:t>
    </w:r>
    <w:r>
      <w:rPr>
        <w:noProof/>
        <w:lang w:val="es-MX" w:eastAsia="es-MX"/>
      </w:rPr>
      <w:drawing>
        <wp:inline distT="0" distB="0" distL="0" distR="0" wp14:anchorId="59F7BBBA" wp14:editId="0FE9AD0F">
          <wp:extent cx="1600200" cy="419100"/>
          <wp:effectExtent l="0" t="0" r="0" b="0"/>
          <wp:docPr id="121" name="Imagen 121"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Pr="00F62688">
      <w:rPr>
        <w:lang w:val="es-MX"/>
      </w:rPr>
      <w:t xml:space="preserve">                 </w:t>
    </w:r>
    <w:r w:rsidRPr="00F62688">
      <w:rPr>
        <w:rFonts w:cstheme="minorHAnsi"/>
        <w:b/>
        <w:lang w:val="es-MX"/>
      </w:rPr>
      <w:t xml:space="preserve">Vol. 11, Núm. 21 Julio - </w:t>
    </w:r>
    <w:proofErr w:type="gramStart"/>
    <w:r w:rsidRPr="00F62688">
      <w:rPr>
        <w:rFonts w:cstheme="minorHAnsi"/>
        <w:b/>
        <w:lang w:val="es-MX"/>
      </w:rPr>
      <w:t>Diciembre</w:t>
    </w:r>
    <w:proofErr w:type="gramEnd"/>
    <w:r w:rsidRPr="00F62688">
      <w:rPr>
        <w:rFonts w:cstheme="minorHAnsi"/>
        <w:b/>
        <w:lang w:val="es-MX"/>
      </w:rPr>
      <w:t xml:space="preserve"> 2020, e</w:t>
    </w:r>
    <w:r w:rsidR="00732256">
      <w:rPr>
        <w:rFonts w:cstheme="minorHAnsi"/>
        <w:b/>
        <w:lang w:val="es-MX"/>
      </w:rPr>
      <w:t>148</w:t>
    </w:r>
  </w:p>
  <w:p w14:paraId="071C9626" w14:textId="77777777" w:rsidR="00F96F88" w:rsidRPr="00F62688" w:rsidRDefault="00F96F88">
    <w:pPr>
      <w:rPr>
        <w:lang w:val="es-MX"/>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C6250" w14:textId="459B2D38" w:rsidR="00F96F88" w:rsidRPr="00DB1D79" w:rsidRDefault="00B70925" w:rsidP="00B70925">
    <w:pPr>
      <w:pStyle w:val="Piedepgina"/>
      <w:ind w:right="360"/>
      <w:rPr>
        <w:lang w:val="es-MX"/>
      </w:rPr>
    </w:pPr>
    <w:r>
      <w:rPr>
        <w:lang w:val="es-MX"/>
      </w:rPr>
      <w:t xml:space="preserve">          </w:t>
    </w:r>
    <w:r w:rsidR="00DB1D79">
      <w:rPr>
        <w:lang w:val="es-MX"/>
      </w:rPr>
      <w:t xml:space="preserve">    </w:t>
    </w:r>
    <w:r w:rsidR="00DB1D79">
      <w:rPr>
        <w:noProof/>
        <w:lang w:val="es-MX" w:eastAsia="es-MX"/>
      </w:rPr>
      <w:drawing>
        <wp:inline distT="0" distB="0" distL="0" distR="0" wp14:anchorId="3A8E315B" wp14:editId="7C084E04">
          <wp:extent cx="1600200" cy="419100"/>
          <wp:effectExtent l="0" t="0" r="0" b="0"/>
          <wp:docPr id="122" name="Imagen 122"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rsidR="00DB1D79" w:rsidRPr="00DB1D79">
      <w:rPr>
        <w:lang w:val="es-MX"/>
      </w:rPr>
      <w:t xml:space="preserve">             </w:t>
    </w:r>
    <w:r w:rsidR="00DB1D79" w:rsidRPr="00F62688">
      <w:rPr>
        <w:rFonts w:cstheme="minorHAnsi"/>
        <w:b/>
        <w:lang w:val="es-MX"/>
      </w:rPr>
      <w:t xml:space="preserve">Vol. 11, Núm. 21 Julio - </w:t>
    </w:r>
    <w:proofErr w:type="gramStart"/>
    <w:r w:rsidR="00DB1D79" w:rsidRPr="00F62688">
      <w:rPr>
        <w:rFonts w:cstheme="minorHAnsi"/>
        <w:b/>
        <w:lang w:val="es-MX"/>
      </w:rPr>
      <w:t>Diciembre</w:t>
    </w:r>
    <w:proofErr w:type="gramEnd"/>
    <w:r w:rsidR="00DB1D79" w:rsidRPr="00F62688">
      <w:rPr>
        <w:rFonts w:cstheme="minorHAnsi"/>
        <w:b/>
        <w:lang w:val="es-MX"/>
      </w:rPr>
      <w:t xml:space="preserve"> 2020, e</w:t>
    </w:r>
    <w:r w:rsidR="00732256">
      <w:rPr>
        <w:rFonts w:cstheme="minorHAnsi"/>
        <w:b/>
        <w:lang w:val="es-MX"/>
      </w:rPr>
      <w:t>148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75821F" w14:textId="2219D1FD" w:rsidR="00F62688" w:rsidRDefault="00F62688">
    <w:pPr>
      <w:pStyle w:val="Piedepgina"/>
    </w:pPr>
    <w:r>
      <w:t xml:space="preserve">              </w:t>
    </w:r>
    <w:r>
      <w:rPr>
        <w:noProof/>
        <w:lang w:val="es-MX" w:eastAsia="es-MX"/>
      </w:rPr>
      <w:drawing>
        <wp:inline distT="0" distB="0" distL="0" distR="0" wp14:anchorId="1281BB71" wp14:editId="1600A995">
          <wp:extent cx="1600200" cy="419100"/>
          <wp:effectExtent l="0" t="0" r="0" b="0"/>
          <wp:docPr id="124" name="Imagen 12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403384">
      <w:rPr>
        <w:rFonts w:cstheme="minorHAnsi"/>
        <w:b/>
      </w:rPr>
      <w:t>Vol. 1</w:t>
    </w:r>
    <w:r>
      <w:rPr>
        <w:rFonts w:cstheme="minorHAnsi"/>
        <w:b/>
      </w:rPr>
      <w:t>1</w:t>
    </w:r>
    <w:r w:rsidRPr="00403384">
      <w:rPr>
        <w:rFonts w:cstheme="minorHAnsi"/>
        <w:b/>
      </w:rPr>
      <w:t xml:space="preserve">, </w:t>
    </w:r>
    <w:proofErr w:type="spellStart"/>
    <w:r w:rsidRPr="00403384">
      <w:rPr>
        <w:rFonts w:cstheme="minorHAnsi"/>
        <w:b/>
      </w:rPr>
      <w:t>Núm</w:t>
    </w:r>
    <w:proofErr w:type="spellEnd"/>
    <w:r>
      <w:rPr>
        <w:rFonts w:cstheme="minorHAnsi"/>
        <w:b/>
      </w:rPr>
      <w:t xml:space="preserve">. 21 Julio - </w:t>
    </w:r>
    <w:proofErr w:type="spellStart"/>
    <w:r>
      <w:rPr>
        <w:rFonts w:cstheme="minorHAnsi"/>
        <w:b/>
      </w:rPr>
      <w:t>Diciembre</w:t>
    </w:r>
    <w:proofErr w:type="spellEnd"/>
    <w:r>
      <w:rPr>
        <w:rFonts w:cstheme="minorHAnsi"/>
        <w:b/>
      </w:rPr>
      <w:t xml:space="preserve"> 2020, e</w:t>
    </w:r>
    <w:r w:rsidR="00732256">
      <w:rPr>
        <w:rFonts w:cstheme="minorHAnsi"/>
        <w:b/>
      </w:rPr>
      <w:t>148</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B78453" w14:textId="77777777" w:rsidR="00F96F88" w:rsidRPr="00B53143" w:rsidRDefault="00F96F88" w:rsidP="00A91E9A">
    <w:pPr>
      <w:pStyle w:val="Piedepgina"/>
      <w:jc w:val="right"/>
      <w:rPr>
        <w:rFonts w:ascii="Times New Roman" w:hAnsi="Times New Roman" w:cs="Times New Roman"/>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438FA8" w14:textId="77777777" w:rsidR="00810BE4" w:rsidRDefault="00810BE4" w:rsidP="00B53143">
      <w:r>
        <w:separator/>
      </w:r>
    </w:p>
  </w:footnote>
  <w:footnote w:type="continuationSeparator" w:id="0">
    <w:p w14:paraId="460A5475" w14:textId="77777777" w:rsidR="00810BE4" w:rsidRDefault="00810BE4" w:rsidP="00B531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BACC91" w14:textId="77777777" w:rsidR="00F96F88" w:rsidRDefault="00F96F88" w:rsidP="00F96F88">
    <w:pPr>
      <w:pStyle w:val="Encabezado"/>
      <w:framePr w:wrap="none" w:vAnchor="text" w:hAnchor="margin" w:xAlign="right" w:y="1"/>
      <w:rPr>
        <w:rStyle w:val="Nmerodepgina"/>
      </w:rPr>
    </w:pPr>
  </w:p>
  <w:p w14:paraId="76468FEB" w14:textId="7DEB2501" w:rsidR="00F96F88" w:rsidRDefault="00F62688" w:rsidP="00F62688">
    <w:pPr>
      <w:pStyle w:val="Encabezado"/>
      <w:ind w:right="360"/>
      <w:jc w:val="center"/>
    </w:pPr>
    <w:r w:rsidRPr="005A563C">
      <w:rPr>
        <w:noProof/>
        <w:lang w:val="es-MX" w:eastAsia="es-MX"/>
      </w:rPr>
      <w:drawing>
        <wp:inline distT="0" distB="0" distL="0" distR="0" wp14:anchorId="40F78270" wp14:editId="7253CBE4">
          <wp:extent cx="5400040" cy="632460"/>
          <wp:effectExtent l="0" t="0" r="0" b="0"/>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p w14:paraId="0C0C21E3" w14:textId="77777777" w:rsidR="00F96F88" w:rsidRDefault="00F96F8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7FE45" w14:textId="77777777" w:rsidR="00F96F88" w:rsidRPr="00A91E9A" w:rsidRDefault="00F96F88" w:rsidP="00F96F88">
    <w:pPr>
      <w:pStyle w:val="Encabezado"/>
      <w:framePr w:wrap="none" w:vAnchor="text" w:hAnchor="margin" w:xAlign="right" w:y="1"/>
      <w:rPr>
        <w:rStyle w:val="Nmerodepgina"/>
        <w:rFonts w:ascii="Times New Roman" w:hAnsi="Times New Roman" w:cs="Times New Roman"/>
      </w:rPr>
    </w:pPr>
  </w:p>
  <w:p w14:paraId="4EB28D62" w14:textId="19023A6E" w:rsidR="00F96F88" w:rsidRDefault="00D7524F" w:rsidP="00D7524F">
    <w:pPr>
      <w:pStyle w:val="Encabezado"/>
      <w:ind w:right="360"/>
      <w:jc w:val="center"/>
    </w:pPr>
    <w:r w:rsidRPr="005A563C">
      <w:rPr>
        <w:noProof/>
        <w:lang w:val="es-MX" w:eastAsia="es-MX"/>
      </w:rPr>
      <w:drawing>
        <wp:inline distT="0" distB="0" distL="0" distR="0" wp14:anchorId="058840D7" wp14:editId="572C3865">
          <wp:extent cx="5400040" cy="632460"/>
          <wp:effectExtent l="0" t="0" r="0" b="0"/>
          <wp:docPr id="120"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p w14:paraId="32E6CD3B" w14:textId="77777777" w:rsidR="00F96F88" w:rsidRDefault="00F96F8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05F88A" w14:textId="7A6FF1C0" w:rsidR="00F62688" w:rsidRDefault="00F62688" w:rsidP="00F62688">
    <w:pPr>
      <w:pStyle w:val="Encabezado"/>
      <w:jc w:val="center"/>
    </w:pPr>
    <w:r w:rsidRPr="005A563C">
      <w:rPr>
        <w:noProof/>
        <w:lang w:val="es-MX" w:eastAsia="es-MX"/>
      </w:rPr>
      <w:drawing>
        <wp:inline distT="0" distB="0" distL="0" distR="0" wp14:anchorId="339A4AB6" wp14:editId="4130FA9D">
          <wp:extent cx="5400040" cy="632460"/>
          <wp:effectExtent l="0" t="0" r="0" b="0"/>
          <wp:docPr id="123" nam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4FFE60" w14:textId="5494B1D1" w:rsidR="00F96F88" w:rsidRPr="00474D8E" w:rsidRDefault="003D291F" w:rsidP="003D291F">
    <w:pPr>
      <w:pStyle w:val="Encabezado"/>
      <w:tabs>
        <w:tab w:val="left" w:pos="567"/>
      </w:tabs>
      <w:jc w:val="center"/>
      <w:rPr>
        <w:rFonts w:ascii="Times New Roman" w:hAnsi="Times New Roman" w:cs="Times New Roman"/>
        <w:sz w:val="18"/>
        <w:szCs w:val="18"/>
      </w:rPr>
    </w:pPr>
    <w:r w:rsidRPr="005A563C">
      <w:rPr>
        <w:noProof/>
        <w:lang w:val="es-MX" w:eastAsia="es-MX"/>
      </w:rPr>
      <w:drawing>
        <wp:inline distT="0" distB="0" distL="0" distR="0" wp14:anchorId="677678C3" wp14:editId="4703C8E0">
          <wp:extent cx="5400040" cy="632460"/>
          <wp:effectExtent l="0" t="0" r="0" b="0"/>
          <wp:docPr id="168" name="Imagen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p w14:paraId="0BDE4B45" w14:textId="77777777" w:rsidR="00F96F88" w:rsidRDefault="00F96F88">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093277" w14:textId="0E60A2F1" w:rsidR="00F96F88" w:rsidRPr="00474D8E" w:rsidRDefault="003D291F" w:rsidP="003D291F">
    <w:pPr>
      <w:pStyle w:val="Encabezado"/>
      <w:jc w:val="center"/>
    </w:pPr>
    <w:r w:rsidRPr="005A563C">
      <w:rPr>
        <w:noProof/>
        <w:lang w:val="es-MX" w:eastAsia="es-MX"/>
      </w:rPr>
      <w:drawing>
        <wp:inline distT="0" distB="0" distL="0" distR="0" wp14:anchorId="2C579DC4" wp14:editId="384C341B">
          <wp:extent cx="5400040" cy="632460"/>
          <wp:effectExtent l="0" t="0" r="0" b="0"/>
          <wp:docPr id="169" name="Imagen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460"/>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merodepgina"/>
        <w:rFonts w:ascii="Times New Roman" w:hAnsi="Times New Roman" w:cs="Times New Roman"/>
      </w:rPr>
      <w:id w:val="-903989014"/>
      <w:docPartObj>
        <w:docPartGallery w:val="Page Numbers (Top of Page)"/>
        <w:docPartUnique/>
      </w:docPartObj>
    </w:sdtPr>
    <w:sdtEndPr>
      <w:rPr>
        <w:rStyle w:val="Nmerodepgina"/>
      </w:rPr>
    </w:sdtEndPr>
    <w:sdtContent>
      <w:p w14:paraId="09061A0C" w14:textId="77777777" w:rsidR="00F96F88" w:rsidRPr="00A91E9A" w:rsidRDefault="00F96F88" w:rsidP="00A91E9A">
        <w:pPr>
          <w:pStyle w:val="Encabezado"/>
          <w:jc w:val="right"/>
          <w:rPr>
            <w:rStyle w:val="Nmerodepgina"/>
            <w:rFonts w:ascii="Times New Roman" w:hAnsi="Times New Roman" w:cs="Times New Roman"/>
          </w:rPr>
        </w:pPr>
        <w:r w:rsidRPr="00A91E9A">
          <w:rPr>
            <w:rStyle w:val="Nmerodepgina"/>
            <w:rFonts w:ascii="Times New Roman" w:hAnsi="Times New Roman" w:cs="Times New Roman"/>
          </w:rPr>
          <w:fldChar w:fldCharType="begin"/>
        </w:r>
        <w:r w:rsidRPr="00A91E9A">
          <w:rPr>
            <w:rStyle w:val="Nmerodepgina"/>
            <w:rFonts w:ascii="Times New Roman" w:hAnsi="Times New Roman" w:cs="Times New Roman"/>
          </w:rPr>
          <w:instrText xml:space="preserve"> PAGE </w:instrText>
        </w:r>
        <w:r w:rsidRPr="00A91E9A">
          <w:rPr>
            <w:rStyle w:val="Nmerodepgina"/>
            <w:rFonts w:ascii="Times New Roman" w:hAnsi="Times New Roman" w:cs="Times New Roman"/>
          </w:rPr>
          <w:fldChar w:fldCharType="separate"/>
        </w:r>
        <w:r>
          <w:rPr>
            <w:rStyle w:val="Nmerodepgina"/>
            <w:rFonts w:ascii="Times New Roman" w:hAnsi="Times New Roman" w:cs="Times New Roman"/>
            <w:noProof/>
          </w:rPr>
          <w:t>12</w:t>
        </w:r>
        <w:r w:rsidRPr="00A91E9A">
          <w:rPr>
            <w:rStyle w:val="Nmerodepgina"/>
            <w:rFonts w:ascii="Times New Roman" w:hAnsi="Times New Roman" w:cs="Times New Roman"/>
          </w:rPr>
          <w:fldChar w:fldCharType="end"/>
        </w:r>
      </w:p>
    </w:sdtContent>
  </w:sdt>
  <w:p w14:paraId="4A21F5A8" w14:textId="77777777" w:rsidR="00F96F88" w:rsidRPr="00CC3C18" w:rsidRDefault="00F96F88" w:rsidP="00B53143">
    <w:pPr>
      <w:pStyle w:val="Encabezado"/>
      <w:tabs>
        <w:tab w:val="left" w:pos="709"/>
      </w:tabs>
      <w:rPr>
        <w:rFonts w:ascii="Times New Roman" w:hAnsi="Times New Roman" w:cs="Times New Roman"/>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C9435A0"/>
    <w:multiLevelType w:val="hybridMultilevel"/>
    <w:tmpl w:val="142635CA"/>
    <w:lvl w:ilvl="0" w:tplc="F6DC0FCA">
      <w:start w:val="1"/>
      <w:numFmt w:val="decimal"/>
      <w:lvlText w:val="%1."/>
      <w:lvlJc w:val="left"/>
      <w:pPr>
        <w:ind w:left="720" w:hanging="360"/>
      </w:pPr>
      <w:rPr>
        <w:rFonts w:asciiTheme="minorHAnsi" w:hAnsiTheme="minorHAnsi" w:cstheme="minorBidi" w:hint="default"/>
        <w:color w:val="auto"/>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EA7588"/>
    <w:multiLevelType w:val="hybridMultilevel"/>
    <w:tmpl w:val="3544DA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FE496E"/>
    <w:multiLevelType w:val="singleLevel"/>
    <w:tmpl w:val="A21C8AAE"/>
    <w:lvl w:ilvl="0">
      <w:start w:val="1"/>
      <w:numFmt w:val="decimal"/>
      <w:lvlText w:val="%1."/>
      <w:legacy w:legacy="1" w:legacySpace="0" w:legacyIndent="288"/>
      <w:lvlJc w:val="left"/>
      <w:pPr>
        <w:ind w:left="576" w:hanging="288"/>
      </w:pPr>
      <w:rPr>
        <w:rFonts w:ascii="Times New Roman" w:hAnsi="Times New Roman" w:hint="default"/>
      </w:rPr>
    </w:lvl>
  </w:abstractNum>
  <w:abstractNum w:abstractNumId="4" w15:restartNumberingAfterBreak="0">
    <w:nsid w:val="339C1B91"/>
    <w:multiLevelType w:val="hybridMultilevel"/>
    <w:tmpl w:val="FCDC0A88"/>
    <w:lvl w:ilvl="0" w:tplc="C1C2CB0A">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5" w15:restartNumberingAfterBreak="0">
    <w:nsid w:val="5AE71513"/>
    <w:multiLevelType w:val="hybridMultilevel"/>
    <w:tmpl w:val="66BA52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46646B"/>
    <w:multiLevelType w:val="hybridMultilevel"/>
    <w:tmpl w:val="34423776"/>
    <w:lvl w:ilvl="0" w:tplc="04090017">
      <w:start w:val="1"/>
      <w:numFmt w:val="lowerLetter"/>
      <w:lvlText w:val="%1)"/>
      <w:lvlJc w:val="left"/>
      <w:pPr>
        <w:ind w:left="1060" w:hanging="360"/>
      </w:p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abstractNum w:abstractNumId="7" w15:restartNumberingAfterBreak="0">
    <w:nsid w:val="7BD32453"/>
    <w:multiLevelType w:val="hybridMultilevel"/>
    <w:tmpl w:val="86C253DA"/>
    <w:lvl w:ilvl="0" w:tplc="080A0001">
      <w:start w:val="12"/>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lvlOverride w:ilvl="0">
      <w:lvl w:ilvl="0">
        <w:start w:val="1"/>
        <w:numFmt w:val="bullet"/>
        <w:lvlText w:val=""/>
        <w:legacy w:legacy="1" w:legacySpace="0" w:legacyIndent="283"/>
        <w:lvlJc w:val="left"/>
        <w:pPr>
          <w:ind w:left="571" w:hanging="283"/>
        </w:pPr>
        <w:rPr>
          <w:rFonts w:ascii="Symbol" w:hAnsi="Symbol" w:hint="default"/>
        </w:rPr>
      </w:lvl>
    </w:lvlOverride>
  </w:num>
  <w:num w:numId="4">
    <w:abstractNumId w:val="0"/>
    <w:lvlOverride w:ilvl="0">
      <w:lvl w:ilvl="0">
        <w:start w:val="1"/>
        <w:numFmt w:val="bullet"/>
        <w:lvlText w:val=""/>
        <w:legacy w:legacy="1" w:legacySpace="0" w:legacyIndent="283"/>
        <w:lvlJc w:val="left"/>
        <w:pPr>
          <w:ind w:left="1145" w:hanging="283"/>
        </w:pPr>
        <w:rPr>
          <w:rFonts w:ascii="Symbol" w:hAnsi="Symbol" w:hint="default"/>
        </w:rPr>
      </w:lvl>
    </w:lvlOverride>
  </w:num>
  <w:num w:numId="5">
    <w:abstractNumId w:val="3"/>
  </w:num>
  <w:num w:numId="6">
    <w:abstractNumId w:val="3"/>
    <w:lvlOverride w:ilvl="0">
      <w:lvl w:ilvl="0">
        <w:start w:val="2"/>
        <w:numFmt w:val="decimal"/>
        <w:lvlText w:val="%1."/>
        <w:legacy w:legacy="1" w:legacySpace="0" w:legacyIndent="288"/>
        <w:lvlJc w:val="left"/>
        <w:pPr>
          <w:ind w:left="576" w:hanging="288"/>
        </w:pPr>
        <w:rPr>
          <w:rFonts w:ascii="Times New Roman" w:hAnsi="Times New Roman" w:hint="default"/>
        </w:rPr>
      </w:lvl>
    </w:lvlOverride>
  </w:num>
  <w:num w:numId="7">
    <w:abstractNumId w:val="6"/>
  </w:num>
  <w:num w:numId="8">
    <w:abstractNumId w:val="5"/>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LK0tDQwMrEwMLY0tDBU0lEKTi0uzszPAykwqgUABlcudiwAAAA="/>
  </w:docVars>
  <w:rsids>
    <w:rsidRoot w:val="00F2588E"/>
    <w:rsid w:val="00002859"/>
    <w:rsid w:val="00017289"/>
    <w:rsid w:val="00020523"/>
    <w:rsid w:val="00020883"/>
    <w:rsid w:val="0007093B"/>
    <w:rsid w:val="000810E0"/>
    <w:rsid w:val="000A350E"/>
    <w:rsid w:val="000A72B8"/>
    <w:rsid w:val="000B272B"/>
    <w:rsid w:val="000B3285"/>
    <w:rsid w:val="000B599E"/>
    <w:rsid w:val="000C05CA"/>
    <w:rsid w:val="000C43C3"/>
    <w:rsid w:val="000D0F27"/>
    <w:rsid w:val="000E4FBA"/>
    <w:rsid w:val="000F62CE"/>
    <w:rsid w:val="001238C2"/>
    <w:rsid w:val="001259BA"/>
    <w:rsid w:val="0013363E"/>
    <w:rsid w:val="0014521F"/>
    <w:rsid w:val="001522EB"/>
    <w:rsid w:val="00155B00"/>
    <w:rsid w:val="00163DFE"/>
    <w:rsid w:val="001714E4"/>
    <w:rsid w:val="001C1C73"/>
    <w:rsid w:val="001D1DAD"/>
    <w:rsid w:val="001D7665"/>
    <w:rsid w:val="001E78FD"/>
    <w:rsid w:val="001F2C00"/>
    <w:rsid w:val="00202D21"/>
    <w:rsid w:val="002052FE"/>
    <w:rsid w:val="00220115"/>
    <w:rsid w:val="00221045"/>
    <w:rsid w:val="002275F1"/>
    <w:rsid w:val="00233E44"/>
    <w:rsid w:val="00235D4E"/>
    <w:rsid w:val="0024410A"/>
    <w:rsid w:val="00250A2A"/>
    <w:rsid w:val="00251550"/>
    <w:rsid w:val="00253548"/>
    <w:rsid w:val="00255BD6"/>
    <w:rsid w:val="00261870"/>
    <w:rsid w:val="00267BB2"/>
    <w:rsid w:val="002715D5"/>
    <w:rsid w:val="0028015C"/>
    <w:rsid w:val="002801DB"/>
    <w:rsid w:val="002973BA"/>
    <w:rsid w:val="002A3810"/>
    <w:rsid w:val="002B2B71"/>
    <w:rsid w:val="002B3047"/>
    <w:rsid w:val="002B7563"/>
    <w:rsid w:val="002D027A"/>
    <w:rsid w:val="002F37FC"/>
    <w:rsid w:val="002F51BB"/>
    <w:rsid w:val="00303392"/>
    <w:rsid w:val="00305287"/>
    <w:rsid w:val="00305C8E"/>
    <w:rsid w:val="00326395"/>
    <w:rsid w:val="003317EF"/>
    <w:rsid w:val="00351275"/>
    <w:rsid w:val="00366D67"/>
    <w:rsid w:val="003A435B"/>
    <w:rsid w:val="003B11ED"/>
    <w:rsid w:val="003C186F"/>
    <w:rsid w:val="003C380B"/>
    <w:rsid w:val="003C4249"/>
    <w:rsid w:val="003C4D10"/>
    <w:rsid w:val="003C5C4E"/>
    <w:rsid w:val="003D291F"/>
    <w:rsid w:val="003E6023"/>
    <w:rsid w:val="003F3125"/>
    <w:rsid w:val="003F6416"/>
    <w:rsid w:val="004023D5"/>
    <w:rsid w:val="004035EA"/>
    <w:rsid w:val="0040629E"/>
    <w:rsid w:val="0041438A"/>
    <w:rsid w:val="00421531"/>
    <w:rsid w:val="00430C43"/>
    <w:rsid w:val="0043148D"/>
    <w:rsid w:val="00443B55"/>
    <w:rsid w:val="00454527"/>
    <w:rsid w:val="004646BA"/>
    <w:rsid w:val="00472C90"/>
    <w:rsid w:val="00474D8E"/>
    <w:rsid w:val="00497E7B"/>
    <w:rsid w:val="004B7C12"/>
    <w:rsid w:val="004C5809"/>
    <w:rsid w:val="004D431F"/>
    <w:rsid w:val="004E5B39"/>
    <w:rsid w:val="004F51CC"/>
    <w:rsid w:val="004F7E29"/>
    <w:rsid w:val="005036DA"/>
    <w:rsid w:val="00521C61"/>
    <w:rsid w:val="005231F5"/>
    <w:rsid w:val="00525639"/>
    <w:rsid w:val="0054389E"/>
    <w:rsid w:val="00550A7F"/>
    <w:rsid w:val="005551F2"/>
    <w:rsid w:val="00574A4A"/>
    <w:rsid w:val="005910B1"/>
    <w:rsid w:val="005A3986"/>
    <w:rsid w:val="005A5C04"/>
    <w:rsid w:val="005B5132"/>
    <w:rsid w:val="005C200C"/>
    <w:rsid w:val="005C2AFB"/>
    <w:rsid w:val="005C3FAC"/>
    <w:rsid w:val="005C4EA3"/>
    <w:rsid w:val="005F14ED"/>
    <w:rsid w:val="005F28E5"/>
    <w:rsid w:val="005F2AF0"/>
    <w:rsid w:val="00620769"/>
    <w:rsid w:val="00623FCB"/>
    <w:rsid w:val="006655D8"/>
    <w:rsid w:val="00670B50"/>
    <w:rsid w:val="00684123"/>
    <w:rsid w:val="00690A66"/>
    <w:rsid w:val="006942D8"/>
    <w:rsid w:val="006A03B9"/>
    <w:rsid w:val="006A5D2D"/>
    <w:rsid w:val="006C2EEE"/>
    <w:rsid w:val="006C4B5F"/>
    <w:rsid w:val="006D6C43"/>
    <w:rsid w:val="006E1B1F"/>
    <w:rsid w:val="006E2B8E"/>
    <w:rsid w:val="006F5376"/>
    <w:rsid w:val="00731E92"/>
    <w:rsid w:val="00732256"/>
    <w:rsid w:val="00744F5C"/>
    <w:rsid w:val="00766043"/>
    <w:rsid w:val="00771D5F"/>
    <w:rsid w:val="007801C4"/>
    <w:rsid w:val="00783351"/>
    <w:rsid w:val="007852AF"/>
    <w:rsid w:val="00793F0C"/>
    <w:rsid w:val="007973B6"/>
    <w:rsid w:val="007B5086"/>
    <w:rsid w:val="007D62F6"/>
    <w:rsid w:val="007E0220"/>
    <w:rsid w:val="007E4AEB"/>
    <w:rsid w:val="007F4C99"/>
    <w:rsid w:val="007F70A9"/>
    <w:rsid w:val="00803FFE"/>
    <w:rsid w:val="00806223"/>
    <w:rsid w:val="008062F3"/>
    <w:rsid w:val="00810BE4"/>
    <w:rsid w:val="0081412A"/>
    <w:rsid w:val="00815327"/>
    <w:rsid w:val="00822E23"/>
    <w:rsid w:val="00837AB3"/>
    <w:rsid w:val="00846547"/>
    <w:rsid w:val="008515A3"/>
    <w:rsid w:val="008554C6"/>
    <w:rsid w:val="008557A0"/>
    <w:rsid w:val="008558DC"/>
    <w:rsid w:val="00862526"/>
    <w:rsid w:val="00867884"/>
    <w:rsid w:val="00877BF0"/>
    <w:rsid w:val="00882103"/>
    <w:rsid w:val="0089296A"/>
    <w:rsid w:val="008F203D"/>
    <w:rsid w:val="008F3618"/>
    <w:rsid w:val="00904D69"/>
    <w:rsid w:val="009171CA"/>
    <w:rsid w:val="009177E6"/>
    <w:rsid w:val="009213A2"/>
    <w:rsid w:val="00921901"/>
    <w:rsid w:val="00926A82"/>
    <w:rsid w:val="00931CD0"/>
    <w:rsid w:val="00937D4B"/>
    <w:rsid w:val="00940B51"/>
    <w:rsid w:val="009424E0"/>
    <w:rsid w:val="00942CC8"/>
    <w:rsid w:val="00944365"/>
    <w:rsid w:val="00984240"/>
    <w:rsid w:val="009A4F00"/>
    <w:rsid w:val="009B7A65"/>
    <w:rsid w:val="009C0A17"/>
    <w:rsid w:val="009C3BE5"/>
    <w:rsid w:val="00A01C90"/>
    <w:rsid w:val="00A07C46"/>
    <w:rsid w:val="00A27E65"/>
    <w:rsid w:val="00A37662"/>
    <w:rsid w:val="00A44449"/>
    <w:rsid w:val="00A45721"/>
    <w:rsid w:val="00A52B41"/>
    <w:rsid w:val="00A66B4D"/>
    <w:rsid w:val="00A86334"/>
    <w:rsid w:val="00A907FC"/>
    <w:rsid w:val="00A91E9A"/>
    <w:rsid w:val="00A95585"/>
    <w:rsid w:val="00AA59E6"/>
    <w:rsid w:val="00AC09FB"/>
    <w:rsid w:val="00AC1875"/>
    <w:rsid w:val="00AC3731"/>
    <w:rsid w:val="00AD05DC"/>
    <w:rsid w:val="00AD5BAA"/>
    <w:rsid w:val="00AD60E8"/>
    <w:rsid w:val="00AD693C"/>
    <w:rsid w:val="00AF3B6F"/>
    <w:rsid w:val="00B217AB"/>
    <w:rsid w:val="00B21F63"/>
    <w:rsid w:val="00B30DD4"/>
    <w:rsid w:val="00B3197D"/>
    <w:rsid w:val="00B34929"/>
    <w:rsid w:val="00B36BB5"/>
    <w:rsid w:val="00B370CA"/>
    <w:rsid w:val="00B46D15"/>
    <w:rsid w:val="00B53143"/>
    <w:rsid w:val="00B5493F"/>
    <w:rsid w:val="00B70925"/>
    <w:rsid w:val="00B76838"/>
    <w:rsid w:val="00B83B53"/>
    <w:rsid w:val="00B853C9"/>
    <w:rsid w:val="00BB409B"/>
    <w:rsid w:val="00BC6C0C"/>
    <w:rsid w:val="00BE3A47"/>
    <w:rsid w:val="00BE6C75"/>
    <w:rsid w:val="00BF703E"/>
    <w:rsid w:val="00C027A3"/>
    <w:rsid w:val="00C12B03"/>
    <w:rsid w:val="00C24740"/>
    <w:rsid w:val="00C36ECE"/>
    <w:rsid w:val="00C41698"/>
    <w:rsid w:val="00C52D28"/>
    <w:rsid w:val="00C566D9"/>
    <w:rsid w:val="00C80054"/>
    <w:rsid w:val="00C82DB0"/>
    <w:rsid w:val="00C856F9"/>
    <w:rsid w:val="00CA56B0"/>
    <w:rsid w:val="00CA7788"/>
    <w:rsid w:val="00CB480C"/>
    <w:rsid w:val="00CB5A7C"/>
    <w:rsid w:val="00CB5B22"/>
    <w:rsid w:val="00CC3C18"/>
    <w:rsid w:val="00CE096F"/>
    <w:rsid w:val="00CE23EB"/>
    <w:rsid w:val="00D01990"/>
    <w:rsid w:val="00D17625"/>
    <w:rsid w:val="00D2218A"/>
    <w:rsid w:val="00D456BC"/>
    <w:rsid w:val="00D55DFD"/>
    <w:rsid w:val="00D56435"/>
    <w:rsid w:val="00D56BC6"/>
    <w:rsid w:val="00D612D1"/>
    <w:rsid w:val="00D64DAB"/>
    <w:rsid w:val="00D65E37"/>
    <w:rsid w:val="00D7524F"/>
    <w:rsid w:val="00D86BDD"/>
    <w:rsid w:val="00DB1D79"/>
    <w:rsid w:val="00DB3980"/>
    <w:rsid w:val="00DB3D35"/>
    <w:rsid w:val="00DB6BF0"/>
    <w:rsid w:val="00DC12A1"/>
    <w:rsid w:val="00DE158F"/>
    <w:rsid w:val="00DF62FC"/>
    <w:rsid w:val="00DF7FF0"/>
    <w:rsid w:val="00E078EE"/>
    <w:rsid w:val="00E0795E"/>
    <w:rsid w:val="00E16094"/>
    <w:rsid w:val="00E34DD9"/>
    <w:rsid w:val="00E40F31"/>
    <w:rsid w:val="00E41B6E"/>
    <w:rsid w:val="00E47AF6"/>
    <w:rsid w:val="00E52CE5"/>
    <w:rsid w:val="00E71AC3"/>
    <w:rsid w:val="00E7286A"/>
    <w:rsid w:val="00E737CD"/>
    <w:rsid w:val="00E855F9"/>
    <w:rsid w:val="00E952A4"/>
    <w:rsid w:val="00E97080"/>
    <w:rsid w:val="00EB4D55"/>
    <w:rsid w:val="00EC5E7E"/>
    <w:rsid w:val="00ED20AF"/>
    <w:rsid w:val="00ED423B"/>
    <w:rsid w:val="00ED5BBE"/>
    <w:rsid w:val="00F026AC"/>
    <w:rsid w:val="00F12611"/>
    <w:rsid w:val="00F15C05"/>
    <w:rsid w:val="00F252E2"/>
    <w:rsid w:val="00F2588E"/>
    <w:rsid w:val="00F30378"/>
    <w:rsid w:val="00F33589"/>
    <w:rsid w:val="00F35E59"/>
    <w:rsid w:val="00F420B1"/>
    <w:rsid w:val="00F62688"/>
    <w:rsid w:val="00F73411"/>
    <w:rsid w:val="00F921CD"/>
    <w:rsid w:val="00F93CBF"/>
    <w:rsid w:val="00F96F88"/>
    <w:rsid w:val="00FA082D"/>
    <w:rsid w:val="00FC6763"/>
    <w:rsid w:val="00FC6FF4"/>
    <w:rsid w:val="00FD6771"/>
    <w:rsid w:val="00FE451C"/>
    <w:rsid w:val="00FE5519"/>
    <w:rsid w:val="00FE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1CE06"/>
  <w15:docId w15:val="{019BE294-4EFC-44E7-A0C3-E14D35413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B8E"/>
    <w:pPr>
      <w:spacing w:after="0" w:line="240" w:lineRule="auto"/>
    </w:pPr>
    <w:rPr>
      <w:rFonts w:ascii="Times New Roman" w:eastAsia="Times New Roman" w:hAnsi="Times New Roman" w:cs="Times New Roman"/>
      <w:sz w:val="24"/>
      <w:szCs w:val="24"/>
    </w:rPr>
  </w:style>
  <w:style w:type="paragraph" w:styleId="Ttulo1">
    <w:name w:val="heading 1"/>
    <w:basedOn w:val="Normal"/>
    <w:next w:val="Normal"/>
    <w:link w:val="Ttulo1Car"/>
    <w:uiPriority w:val="9"/>
    <w:qFormat/>
    <w:rsid w:val="00EB4D55"/>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autoRedefine/>
    <w:qFormat/>
    <w:rsid w:val="00EB4D55"/>
    <w:pPr>
      <w:keepNext/>
      <w:widowControl w:val="0"/>
      <w:autoSpaceDE w:val="0"/>
      <w:autoSpaceDN w:val="0"/>
      <w:adjustRightInd w:val="0"/>
      <w:spacing w:line="360" w:lineRule="auto"/>
      <w:textAlignment w:val="baseline"/>
      <w:outlineLvl w:val="1"/>
    </w:pPr>
    <w:rPr>
      <w:rFonts w:eastAsia="BatangChe"/>
      <w:b/>
      <w:i/>
      <w:sz w:val="22"/>
      <w:szCs w:val="22"/>
      <w:lang w:eastAsia="ko-KR"/>
    </w:rPr>
  </w:style>
  <w:style w:type="paragraph" w:styleId="Ttulo3">
    <w:name w:val="heading 3"/>
    <w:basedOn w:val="Normal"/>
    <w:next w:val="Normal"/>
    <w:link w:val="Ttulo3Car"/>
    <w:uiPriority w:val="9"/>
    <w:semiHidden/>
    <w:unhideWhenUsed/>
    <w:qFormat/>
    <w:rsid w:val="00C24740"/>
    <w:pPr>
      <w:keepNext/>
      <w:keepLines/>
      <w:spacing w:before="40"/>
      <w:outlineLvl w:val="2"/>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A7788"/>
    <w:rPr>
      <w:color w:val="0000FF" w:themeColor="hyperlink"/>
      <w:u w:val="single"/>
    </w:rPr>
  </w:style>
  <w:style w:type="paragraph" w:styleId="Textodeglobo">
    <w:name w:val="Balloon Text"/>
    <w:basedOn w:val="Normal"/>
    <w:link w:val="TextodegloboCar"/>
    <w:uiPriority w:val="99"/>
    <w:semiHidden/>
    <w:unhideWhenUsed/>
    <w:rsid w:val="00A27E65"/>
    <w:rPr>
      <w:rFonts w:ascii="Tahoma" w:eastAsiaTheme="minorHAnsi" w:hAnsi="Tahoma" w:cs="Tahoma"/>
      <w:sz w:val="16"/>
      <w:szCs w:val="16"/>
    </w:rPr>
  </w:style>
  <w:style w:type="character" w:customStyle="1" w:styleId="TextodegloboCar">
    <w:name w:val="Texto de globo Car"/>
    <w:basedOn w:val="Fuentedeprrafopredeter"/>
    <w:link w:val="Textodeglobo"/>
    <w:uiPriority w:val="99"/>
    <w:semiHidden/>
    <w:rsid w:val="00A27E65"/>
    <w:rPr>
      <w:rFonts w:ascii="Tahoma" w:hAnsi="Tahoma" w:cs="Tahoma"/>
      <w:sz w:val="16"/>
      <w:szCs w:val="16"/>
    </w:rPr>
  </w:style>
  <w:style w:type="paragraph" w:styleId="Prrafodelista">
    <w:name w:val="List Paragraph"/>
    <w:basedOn w:val="Normal"/>
    <w:link w:val="PrrafodelistaCar"/>
    <w:uiPriority w:val="34"/>
    <w:qFormat/>
    <w:rsid w:val="005F14ED"/>
    <w:pPr>
      <w:spacing w:after="200" w:line="276" w:lineRule="auto"/>
      <w:ind w:left="720"/>
      <w:contextualSpacing/>
    </w:pPr>
    <w:rPr>
      <w:rFonts w:ascii="Calibri" w:eastAsia="Calibri" w:hAnsi="Calibri"/>
      <w:sz w:val="22"/>
      <w:szCs w:val="22"/>
    </w:rPr>
  </w:style>
  <w:style w:type="paragraph" w:styleId="Textocomentario">
    <w:name w:val="annotation text"/>
    <w:basedOn w:val="Normal"/>
    <w:link w:val="TextocomentarioCar"/>
    <w:uiPriority w:val="99"/>
    <w:unhideWhenUsed/>
    <w:rsid w:val="005F14ED"/>
    <w:pPr>
      <w:spacing w:after="200"/>
    </w:pPr>
    <w:rPr>
      <w:rFonts w:asciiTheme="minorHAnsi" w:eastAsiaTheme="minorHAnsi" w:hAnsiTheme="minorHAnsi" w:cstheme="minorBidi"/>
      <w:sz w:val="20"/>
      <w:szCs w:val="20"/>
      <w:lang w:val="id-ID"/>
    </w:rPr>
  </w:style>
  <w:style w:type="character" w:customStyle="1" w:styleId="TextocomentarioCar">
    <w:name w:val="Texto comentario Car"/>
    <w:basedOn w:val="Fuentedeprrafopredeter"/>
    <w:link w:val="Textocomentario"/>
    <w:uiPriority w:val="99"/>
    <w:rsid w:val="005F14ED"/>
    <w:rPr>
      <w:sz w:val="20"/>
      <w:szCs w:val="20"/>
      <w:lang w:val="id-ID"/>
    </w:rPr>
  </w:style>
  <w:style w:type="character" w:customStyle="1" w:styleId="PrrafodelistaCar">
    <w:name w:val="Párrafo de lista Car"/>
    <w:basedOn w:val="Fuentedeprrafopredeter"/>
    <w:link w:val="Prrafodelista"/>
    <w:uiPriority w:val="34"/>
    <w:locked/>
    <w:rsid w:val="005F14ED"/>
    <w:rPr>
      <w:rFonts w:ascii="Calibri" w:eastAsia="Calibri" w:hAnsi="Calibri" w:cs="Times New Roman"/>
    </w:rPr>
  </w:style>
  <w:style w:type="table" w:styleId="Sombreadoclaro">
    <w:name w:val="Light Shading"/>
    <w:basedOn w:val="Tablanormal"/>
    <w:uiPriority w:val="60"/>
    <w:rsid w:val="005F14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Cuadrculaclara">
    <w:name w:val="Light Grid"/>
    <w:basedOn w:val="Tablanormal"/>
    <w:uiPriority w:val="62"/>
    <w:rsid w:val="000A72B8"/>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Tablaconcuadrcula">
    <w:name w:val="Table Grid"/>
    <w:basedOn w:val="Tablanormal"/>
    <w:uiPriority w:val="39"/>
    <w:rsid w:val="007660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66043"/>
    <w:pPr>
      <w:autoSpaceDE w:val="0"/>
      <w:autoSpaceDN w:val="0"/>
      <w:adjustRightInd w:val="0"/>
      <w:spacing w:after="0" w:line="240" w:lineRule="auto"/>
    </w:pPr>
    <w:rPr>
      <w:rFonts w:ascii="Cambria" w:hAnsi="Cambria" w:cs="Cambria"/>
      <w:color w:val="000000"/>
      <w:sz w:val="24"/>
      <w:szCs w:val="24"/>
    </w:rPr>
  </w:style>
  <w:style w:type="paragraph" w:styleId="Encabezado">
    <w:name w:val="header"/>
    <w:basedOn w:val="Normal"/>
    <w:link w:val="EncabezadoCar"/>
    <w:uiPriority w:val="99"/>
    <w:unhideWhenUsed/>
    <w:rsid w:val="00B53143"/>
    <w:pPr>
      <w:tabs>
        <w:tab w:val="center" w:pos="4680"/>
        <w:tab w:val="right" w:pos="9360"/>
      </w:tabs>
    </w:pPr>
    <w:rPr>
      <w:rFonts w:asciiTheme="minorHAnsi" w:eastAsiaTheme="minorHAnsi" w:hAnsiTheme="minorHAnsi" w:cstheme="minorBidi"/>
      <w:sz w:val="22"/>
      <w:szCs w:val="22"/>
    </w:rPr>
  </w:style>
  <w:style w:type="character" w:customStyle="1" w:styleId="EncabezadoCar">
    <w:name w:val="Encabezado Car"/>
    <w:basedOn w:val="Fuentedeprrafopredeter"/>
    <w:link w:val="Encabezado"/>
    <w:uiPriority w:val="99"/>
    <w:rsid w:val="00B53143"/>
  </w:style>
  <w:style w:type="paragraph" w:styleId="Piedepgina">
    <w:name w:val="footer"/>
    <w:basedOn w:val="Normal"/>
    <w:link w:val="PiedepginaCar"/>
    <w:uiPriority w:val="99"/>
    <w:unhideWhenUsed/>
    <w:rsid w:val="00B53143"/>
    <w:pPr>
      <w:tabs>
        <w:tab w:val="center" w:pos="4680"/>
        <w:tab w:val="right" w:pos="9360"/>
      </w:tabs>
    </w:pPr>
    <w:rPr>
      <w:rFonts w:asciiTheme="minorHAnsi" w:eastAsiaTheme="minorHAnsi" w:hAnsiTheme="minorHAnsi" w:cstheme="minorBidi"/>
      <w:sz w:val="22"/>
      <w:szCs w:val="22"/>
    </w:rPr>
  </w:style>
  <w:style w:type="character" w:customStyle="1" w:styleId="PiedepginaCar">
    <w:name w:val="Pie de página Car"/>
    <w:basedOn w:val="Fuentedeprrafopredeter"/>
    <w:link w:val="Piedepgina"/>
    <w:uiPriority w:val="99"/>
    <w:rsid w:val="00B53143"/>
  </w:style>
  <w:style w:type="character" w:styleId="Textoennegrita">
    <w:name w:val="Strong"/>
    <w:basedOn w:val="Fuentedeprrafopredeter"/>
    <w:uiPriority w:val="22"/>
    <w:qFormat/>
    <w:rsid w:val="00B53143"/>
    <w:rPr>
      <w:b/>
      <w:bCs/>
    </w:rPr>
  </w:style>
  <w:style w:type="paragraph" w:customStyle="1" w:styleId="Body">
    <w:name w:val="Body"/>
    <w:basedOn w:val="Normal"/>
    <w:rsid w:val="00EB4D55"/>
    <w:pPr>
      <w:widowControl w:val="0"/>
      <w:autoSpaceDE w:val="0"/>
      <w:autoSpaceDN w:val="0"/>
      <w:adjustRightInd w:val="0"/>
      <w:spacing w:line="360" w:lineRule="auto"/>
      <w:ind w:firstLine="340"/>
      <w:jc w:val="both"/>
      <w:textAlignment w:val="baseline"/>
    </w:pPr>
    <w:rPr>
      <w:rFonts w:eastAsia="BatangChe"/>
      <w:szCs w:val="20"/>
      <w:lang w:eastAsia="ko-KR"/>
    </w:rPr>
  </w:style>
  <w:style w:type="character" w:customStyle="1" w:styleId="Ttulo2Car">
    <w:name w:val="Título 2 Car"/>
    <w:basedOn w:val="Fuentedeprrafopredeter"/>
    <w:link w:val="Ttulo2"/>
    <w:rsid w:val="00EB4D55"/>
    <w:rPr>
      <w:rFonts w:ascii="Times New Roman" w:eastAsia="BatangChe" w:hAnsi="Times New Roman" w:cs="Times New Roman"/>
      <w:b/>
      <w:i/>
      <w:lang w:eastAsia="ko-KR"/>
    </w:rPr>
  </w:style>
  <w:style w:type="paragraph" w:customStyle="1" w:styleId="Bullet">
    <w:name w:val="Bullet"/>
    <w:basedOn w:val="Body"/>
    <w:rsid w:val="00EB4D55"/>
    <w:pPr>
      <w:ind w:left="576" w:hanging="288"/>
    </w:pPr>
  </w:style>
  <w:style w:type="paragraph" w:customStyle="1" w:styleId="SubBullet">
    <w:name w:val="SubBullet"/>
    <w:basedOn w:val="Body"/>
    <w:rsid w:val="00EB4D55"/>
    <w:pPr>
      <w:ind w:left="1145" w:hanging="283"/>
    </w:pPr>
  </w:style>
  <w:style w:type="paragraph" w:customStyle="1" w:styleId="Enumerated">
    <w:name w:val="Enumerated"/>
    <w:basedOn w:val="Bullet"/>
    <w:rsid w:val="00EB4D55"/>
  </w:style>
  <w:style w:type="paragraph" w:customStyle="1" w:styleId="FigureTitle">
    <w:name w:val="FigureTitle"/>
    <w:basedOn w:val="Body"/>
    <w:rsid w:val="00EB4D55"/>
    <w:pPr>
      <w:spacing w:after="120"/>
      <w:jc w:val="center"/>
    </w:pPr>
    <w:rPr>
      <w:i/>
    </w:rPr>
  </w:style>
  <w:style w:type="paragraph" w:customStyle="1" w:styleId="Equation">
    <w:name w:val="Equation"/>
    <w:basedOn w:val="Normal"/>
    <w:rsid w:val="00EB4D55"/>
    <w:pPr>
      <w:widowControl w:val="0"/>
      <w:tabs>
        <w:tab w:val="left" w:pos="0"/>
        <w:tab w:val="center" w:pos="2268"/>
        <w:tab w:val="right" w:pos="4706"/>
      </w:tabs>
      <w:autoSpaceDE w:val="0"/>
      <w:autoSpaceDN w:val="0"/>
      <w:adjustRightInd w:val="0"/>
      <w:spacing w:before="120" w:after="120" w:line="360" w:lineRule="auto"/>
      <w:jc w:val="both"/>
      <w:textAlignment w:val="baseline"/>
    </w:pPr>
    <w:rPr>
      <w:rFonts w:eastAsia="BatangChe"/>
      <w:sz w:val="22"/>
      <w:szCs w:val="20"/>
      <w:lang w:eastAsia="ko-KR"/>
    </w:rPr>
  </w:style>
  <w:style w:type="character" w:customStyle="1" w:styleId="Ttulo1Car">
    <w:name w:val="Título 1 Car"/>
    <w:basedOn w:val="Fuentedeprrafopredeter"/>
    <w:link w:val="Ttulo1"/>
    <w:uiPriority w:val="9"/>
    <w:rsid w:val="00EB4D55"/>
    <w:rPr>
      <w:rFonts w:asciiTheme="majorHAnsi" w:eastAsiaTheme="majorEastAsia" w:hAnsiTheme="majorHAnsi" w:cstheme="majorBidi"/>
      <w:color w:val="365F91" w:themeColor="accent1" w:themeShade="BF"/>
      <w:sz w:val="32"/>
      <w:szCs w:val="32"/>
    </w:rPr>
  </w:style>
  <w:style w:type="paragraph" w:customStyle="1" w:styleId="Tabletitle">
    <w:name w:val="Tabletitle"/>
    <w:basedOn w:val="Body"/>
    <w:rsid w:val="007E0220"/>
    <w:pPr>
      <w:spacing w:before="240" w:after="120"/>
      <w:jc w:val="center"/>
    </w:pPr>
    <w:rPr>
      <w:i/>
    </w:rPr>
  </w:style>
  <w:style w:type="character" w:customStyle="1" w:styleId="UnresolvedMention1">
    <w:name w:val="Unresolved Mention1"/>
    <w:basedOn w:val="Fuentedeprrafopredeter"/>
    <w:uiPriority w:val="99"/>
    <w:semiHidden/>
    <w:unhideWhenUsed/>
    <w:rsid w:val="00984240"/>
    <w:rPr>
      <w:color w:val="605E5C"/>
      <w:shd w:val="clear" w:color="auto" w:fill="E1DFDD"/>
    </w:rPr>
  </w:style>
  <w:style w:type="character" w:styleId="Nmerodepgina">
    <w:name w:val="page number"/>
    <w:basedOn w:val="Fuentedeprrafopredeter"/>
    <w:uiPriority w:val="99"/>
    <w:semiHidden/>
    <w:unhideWhenUsed/>
    <w:rsid w:val="00A91E9A"/>
  </w:style>
  <w:style w:type="paragraph" w:styleId="NormalWeb">
    <w:name w:val="Normal (Web)"/>
    <w:basedOn w:val="Normal"/>
    <w:uiPriority w:val="99"/>
    <w:unhideWhenUsed/>
    <w:rsid w:val="00A91E9A"/>
    <w:pPr>
      <w:spacing w:before="100" w:beforeAutospacing="1" w:after="100" w:afterAutospacing="1"/>
    </w:pPr>
  </w:style>
  <w:style w:type="character" w:styleId="Nmerodelnea">
    <w:name w:val="line number"/>
    <w:basedOn w:val="Fuentedeprrafopredeter"/>
    <w:uiPriority w:val="99"/>
    <w:semiHidden/>
    <w:unhideWhenUsed/>
    <w:rsid w:val="009171CA"/>
  </w:style>
  <w:style w:type="character" w:styleId="Refdecomentario">
    <w:name w:val="annotation reference"/>
    <w:basedOn w:val="Fuentedeprrafopredeter"/>
    <w:uiPriority w:val="99"/>
    <w:semiHidden/>
    <w:unhideWhenUsed/>
    <w:rsid w:val="00FA082D"/>
    <w:rPr>
      <w:sz w:val="16"/>
      <w:szCs w:val="16"/>
    </w:rPr>
  </w:style>
  <w:style w:type="paragraph" w:styleId="Asuntodelcomentario">
    <w:name w:val="annotation subject"/>
    <w:basedOn w:val="Textocomentario"/>
    <w:next w:val="Textocomentario"/>
    <w:link w:val="AsuntodelcomentarioCar"/>
    <w:uiPriority w:val="99"/>
    <w:semiHidden/>
    <w:unhideWhenUsed/>
    <w:rsid w:val="00FA082D"/>
    <w:rPr>
      <w:b/>
      <w:bCs/>
      <w:lang w:val="en-US"/>
    </w:rPr>
  </w:style>
  <w:style w:type="character" w:customStyle="1" w:styleId="AsuntodelcomentarioCar">
    <w:name w:val="Asunto del comentario Car"/>
    <w:basedOn w:val="TextocomentarioCar"/>
    <w:link w:val="Asuntodelcomentario"/>
    <w:uiPriority w:val="99"/>
    <w:semiHidden/>
    <w:rsid w:val="00FA082D"/>
    <w:rPr>
      <w:b/>
      <w:bCs/>
      <w:sz w:val="20"/>
      <w:szCs w:val="20"/>
      <w:lang w:val="id-ID"/>
    </w:rPr>
  </w:style>
  <w:style w:type="character" w:styleId="Hipervnculovisitado">
    <w:name w:val="FollowedHyperlink"/>
    <w:basedOn w:val="Fuentedeprrafopredeter"/>
    <w:uiPriority w:val="99"/>
    <w:semiHidden/>
    <w:unhideWhenUsed/>
    <w:rsid w:val="00A07C46"/>
    <w:rPr>
      <w:color w:val="800080" w:themeColor="followedHyperlink"/>
      <w:u w:val="single"/>
    </w:rPr>
  </w:style>
  <w:style w:type="character" w:customStyle="1" w:styleId="UnresolvedMention2">
    <w:name w:val="Unresolved Mention2"/>
    <w:basedOn w:val="Fuentedeprrafopredeter"/>
    <w:uiPriority w:val="99"/>
    <w:semiHidden/>
    <w:unhideWhenUsed/>
    <w:rsid w:val="00F62688"/>
    <w:rPr>
      <w:color w:val="605E5C"/>
      <w:shd w:val="clear" w:color="auto" w:fill="E1DFDD"/>
    </w:rPr>
  </w:style>
  <w:style w:type="paragraph" w:styleId="HTMLconformatoprevio">
    <w:name w:val="HTML Preformatted"/>
    <w:basedOn w:val="Normal"/>
    <w:link w:val="HTMLconformatoprevioCar"/>
    <w:uiPriority w:val="99"/>
    <w:unhideWhenUsed/>
    <w:rsid w:val="00EC5E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MX" w:eastAsia="es-MX"/>
    </w:rPr>
  </w:style>
  <w:style w:type="character" w:customStyle="1" w:styleId="HTMLconformatoprevioCar">
    <w:name w:val="HTML con formato previo Car"/>
    <w:basedOn w:val="Fuentedeprrafopredeter"/>
    <w:link w:val="HTMLconformatoprevio"/>
    <w:uiPriority w:val="99"/>
    <w:rsid w:val="00EC5E7E"/>
    <w:rPr>
      <w:rFonts w:ascii="Courier New" w:eastAsia="Times New Roman" w:hAnsi="Courier New" w:cs="Courier New"/>
      <w:sz w:val="20"/>
      <w:szCs w:val="20"/>
      <w:lang w:val="es-MX" w:eastAsia="es-MX"/>
    </w:rPr>
  </w:style>
  <w:style w:type="character" w:customStyle="1" w:styleId="Ttulo3Car">
    <w:name w:val="Título 3 Car"/>
    <w:basedOn w:val="Fuentedeprrafopredeter"/>
    <w:link w:val="Ttulo3"/>
    <w:uiPriority w:val="9"/>
    <w:semiHidden/>
    <w:rsid w:val="00C24740"/>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8997214">
      <w:bodyDiv w:val="1"/>
      <w:marLeft w:val="0"/>
      <w:marRight w:val="0"/>
      <w:marTop w:val="0"/>
      <w:marBottom w:val="0"/>
      <w:divBdr>
        <w:top w:val="none" w:sz="0" w:space="0" w:color="auto"/>
        <w:left w:val="none" w:sz="0" w:space="0" w:color="auto"/>
        <w:bottom w:val="none" w:sz="0" w:space="0" w:color="auto"/>
        <w:right w:val="none" w:sz="0" w:space="0" w:color="auto"/>
      </w:divBdr>
    </w:div>
    <w:div w:id="820199682">
      <w:bodyDiv w:val="1"/>
      <w:marLeft w:val="0"/>
      <w:marRight w:val="0"/>
      <w:marTop w:val="0"/>
      <w:marBottom w:val="0"/>
      <w:divBdr>
        <w:top w:val="none" w:sz="0" w:space="0" w:color="auto"/>
        <w:left w:val="none" w:sz="0" w:space="0" w:color="auto"/>
        <w:bottom w:val="none" w:sz="0" w:space="0" w:color="auto"/>
        <w:right w:val="none" w:sz="0" w:space="0" w:color="auto"/>
      </w:divBdr>
    </w:div>
    <w:div w:id="160268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C5849B-ED40-40A4-A2D5-B91F631F49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19</Pages>
  <Words>15115</Words>
  <Characters>83134</Characters>
  <Application>Microsoft Office Word</Application>
  <DocSecurity>0</DocSecurity>
  <Lines>692</Lines>
  <Paragraphs>196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okti</dc:creator>
  <cp:lastModifiedBy>Gustavo Toledo</cp:lastModifiedBy>
  <cp:revision>6</cp:revision>
  <cp:lastPrinted>2020-04-03T02:25:00Z</cp:lastPrinted>
  <dcterms:created xsi:type="dcterms:W3CDTF">2020-11-18T18:50:00Z</dcterms:created>
  <dcterms:modified xsi:type="dcterms:W3CDTF">2020-11-19T14:00:00Z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09ef6478-9b3a-3d55-b2ab-4117664f7a4a</vt:lpwstr>
  </property>
  <property fmtid="{D5CDD505-2E9C-101B-9397-08002B2CF9AE}" pid="24" name="Mendeley Citation Style_1">
    <vt:lpwstr>http://www.zotero.org/styles/apa</vt:lpwstr>
  </property>
</Properties>
</file>