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E1AC3" w14:textId="6E990A8B" w:rsidR="00383035" w:rsidRPr="00D4723A" w:rsidRDefault="0034716B" w:rsidP="00D4723A">
      <w:pPr>
        <w:spacing w:line="276" w:lineRule="auto"/>
        <w:jc w:val="right"/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</w:pPr>
      <w:r w:rsidRPr="00D4723A">
        <w:rPr>
          <w:rFonts w:ascii="Calibri" w:hAnsi="Calibri" w:cs="Calibri"/>
          <w:b/>
          <w:color w:val="000000" w:themeColor="text1"/>
          <w:sz w:val="36"/>
          <w:szCs w:val="36"/>
          <w:lang w:val="es-MX" w:eastAsia="es-MX"/>
        </w:rPr>
        <w:t>La exploración en el desarrollo del aprendizaje profundo</w:t>
      </w:r>
      <w:r w:rsidR="00A703C3" w:rsidRPr="00D4723A">
        <w:rPr>
          <w:rFonts w:ascii="Calibri" w:hAnsi="Calibri" w:cs="Calibri"/>
          <w:b/>
          <w:color w:val="000000" w:themeColor="text1"/>
          <w:sz w:val="36"/>
          <w:szCs w:val="36"/>
          <w:lang w:val="es-MX" w:eastAsia="es-MX"/>
        </w:rPr>
        <w:br/>
      </w:r>
      <w:r w:rsid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br/>
      </w:r>
      <w:r w:rsidR="003E33E1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 xml:space="preserve">The </w:t>
      </w:r>
      <w:r w:rsidR="00275A06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>E</w:t>
      </w:r>
      <w:r w:rsidR="003E33E1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 xml:space="preserve">xploration in the </w:t>
      </w:r>
      <w:r w:rsidR="00275A06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>D</w:t>
      </w:r>
      <w:r w:rsidR="003E33E1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 xml:space="preserve">evelop </w:t>
      </w:r>
      <w:r w:rsidR="00275A06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>D</w:t>
      </w:r>
      <w:r w:rsidR="003E33E1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 xml:space="preserve">eep </w:t>
      </w:r>
      <w:r w:rsidR="00275A06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>L</w:t>
      </w:r>
      <w:r w:rsidR="003E33E1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>earning</w:t>
      </w:r>
      <w:r w:rsidR="00383035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br/>
      </w:r>
      <w:r w:rsid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br/>
      </w:r>
      <w:r w:rsidR="0007066C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>La</w:t>
      </w:r>
      <w:r w:rsidR="003E33E1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 xml:space="preserve"> exploração no desenvolvimento de </w:t>
      </w:r>
      <w:r w:rsidR="0007066C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 xml:space="preserve">la </w:t>
      </w:r>
      <w:r w:rsidR="003E33E1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>aprendizagem profund</w:t>
      </w:r>
      <w:r w:rsidR="0007066C" w:rsidRPr="00D4723A">
        <w:rPr>
          <w:rFonts w:ascii="Calibri" w:hAnsi="Calibri" w:cs="Calibri"/>
          <w:b/>
          <w:i/>
          <w:color w:val="000000" w:themeColor="text1"/>
          <w:sz w:val="28"/>
          <w:szCs w:val="36"/>
          <w:lang w:val="es-MX" w:eastAsia="es-MX"/>
        </w:rPr>
        <w:t>a</w:t>
      </w:r>
    </w:p>
    <w:p w14:paraId="1B1CF196" w14:textId="77777777" w:rsidR="00C87260" w:rsidRPr="00275A06" w:rsidRDefault="00C87260" w:rsidP="00275A06"/>
    <w:p w14:paraId="7D5DE28E" w14:textId="582DF6D6" w:rsidR="00C87260" w:rsidRPr="00D4723A" w:rsidRDefault="00C87260" w:rsidP="00D4723A">
      <w:pPr>
        <w:spacing w:line="276" w:lineRule="auto"/>
        <w:jc w:val="right"/>
        <w:rPr>
          <w:rFonts w:ascii="Calibri" w:eastAsia="Calibri" w:hAnsi="Calibri" w:cs="Calibri"/>
          <w:b/>
          <w:color w:val="000000" w:themeColor="text1"/>
          <w:lang w:eastAsia="en-US"/>
        </w:rPr>
      </w:pPr>
      <w:r w:rsidRPr="00D4723A">
        <w:rPr>
          <w:rFonts w:ascii="Calibri" w:eastAsia="Calibri" w:hAnsi="Calibri" w:cs="Calibri"/>
          <w:b/>
          <w:color w:val="000000" w:themeColor="text1"/>
          <w:lang w:eastAsia="en-US"/>
        </w:rPr>
        <w:t>Jesús Antonio Álvarez</w:t>
      </w:r>
      <w:r w:rsidR="00192924" w:rsidRPr="00D4723A">
        <w:rPr>
          <w:rFonts w:ascii="Calibri" w:eastAsia="Calibri" w:hAnsi="Calibri" w:cs="Calibri"/>
          <w:b/>
          <w:color w:val="000000" w:themeColor="text1"/>
          <w:lang w:eastAsia="en-US"/>
        </w:rPr>
        <w:t xml:space="preserve"> </w:t>
      </w:r>
      <w:r w:rsidRPr="00D4723A">
        <w:rPr>
          <w:rFonts w:ascii="Calibri" w:eastAsia="Calibri" w:hAnsi="Calibri" w:cs="Calibri"/>
          <w:b/>
          <w:color w:val="000000" w:themeColor="text1"/>
          <w:lang w:eastAsia="en-US"/>
        </w:rPr>
        <w:t>Cedillo</w:t>
      </w:r>
    </w:p>
    <w:p w14:paraId="77C17E06" w14:textId="77777777" w:rsidR="00D4723A" w:rsidRDefault="00D4723A" w:rsidP="00D4723A">
      <w:pPr>
        <w:spacing w:line="276" w:lineRule="auto"/>
        <w:jc w:val="right"/>
      </w:pPr>
      <w:r w:rsidRPr="00D4723A">
        <w:t>Instituto Politécnico Nacional, México</w:t>
      </w:r>
    </w:p>
    <w:p w14:paraId="33B31122" w14:textId="5A8692FB" w:rsidR="00D4723A" w:rsidRDefault="00D4723A" w:rsidP="00D4723A">
      <w:pPr>
        <w:spacing w:line="276" w:lineRule="auto"/>
        <w:jc w:val="right"/>
        <w:rPr>
          <w:rFonts w:asciiTheme="minorHAnsi" w:eastAsiaTheme="minorHAnsi" w:hAnsiTheme="minorHAnsi" w:cstheme="minorHAnsi"/>
          <w:color w:val="FF0000"/>
          <w:szCs w:val="22"/>
          <w:lang w:val="es-ES_tradnl" w:eastAsia="es-MX"/>
        </w:rPr>
      </w:pPr>
      <w:r w:rsidRPr="00D4723A">
        <w:rPr>
          <w:rFonts w:asciiTheme="minorHAnsi" w:eastAsiaTheme="minorHAnsi" w:hAnsiTheme="minorHAnsi" w:cstheme="minorHAnsi"/>
          <w:color w:val="FF0000"/>
          <w:szCs w:val="22"/>
          <w:lang w:val="es-ES_tradnl" w:eastAsia="es-MX"/>
        </w:rPr>
        <w:t>jaalvarez@ipn.mx</w:t>
      </w:r>
    </w:p>
    <w:p w14:paraId="2B4B9D93" w14:textId="2FEB30C0" w:rsidR="00DA0496" w:rsidRPr="00781FD4" w:rsidRDefault="00DA0496" w:rsidP="00D4723A">
      <w:pPr>
        <w:spacing w:line="276" w:lineRule="auto"/>
        <w:jc w:val="right"/>
      </w:pPr>
      <w:r w:rsidRPr="00781FD4">
        <w:t>https://orcid.org/0000-0003-0823-4621</w:t>
      </w:r>
    </w:p>
    <w:p w14:paraId="3E77BA52" w14:textId="305FE2F8" w:rsidR="00C87260" w:rsidRPr="00D4723A" w:rsidRDefault="00D4723A" w:rsidP="00D4723A">
      <w:pPr>
        <w:spacing w:line="276" w:lineRule="auto"/>
        <w:jc w:val="right"/>
        <w:rPr>
          <w:rFonts w:ascii="Calibri" w:eastAsia="Calibri" w:hAnsi="Calibri" w:cs="Calibri"/>
          <w:b/>
          <w:color w:val="000000" w:themeColor="text1"/>
          <w:lang w:eastAsia="en-US"/>
        </w:rPr>
      </w:pPr>
      <w:r>
        <w:rPr>
          <w:rFonts w:eastAsia="Calibri"/>
          <w:bCs/>
          <w:lang w:eastAsia="en-US"/>
        </w:rPr>
        <w:br/>
      </w:r>
      <w:r w:rsidR="00C87260" w:rsidRPr="00D4723A">
        <w:rPr>
          <w:rFonts w:ascii="Calibri" w:eastAsia="Calibri" w:hAnsi="Calibri" w:cs="Calibri"/>
          <w:b/>
          <w:color w:val="000000" w:themeColor="text1"/>
          <w:lang w:eastAsia="en-US"/>
        </w:rPr>
        <w:t>Teodoro Álvarez</w:t>
      </w:r>
      <w:r w:rsidR="00192924" w:rsidRPr="00D4723A">
        <w:rPr>
          <w:rFonts w:ascii="Calibri" w:eastAsia="Calibri" w:hAnsi="Calibri" w:cs="Calibri"/>
          <w:b/>
          <w:color w:val="000000" w:themeColor="text1"/>
          <w:lang w:eastAsia="en-US"/>
        </w:rPr>
        <w:t xml:space="preserve"> </w:t>
      </w:r>
      <w:r w:rsidR="00C87260" w:rsidRPr="00D4723A">
        <w:rPr>
          <w:rFonts w:ascii="Calibri" w:eastAsia="Calibri" w:hAnsi="Calibri" w:cs="Calibri"/>
          <w:b/>
          <w:color w:val="000000" w:themeColor="text1"/>
          <w:lang w:eastAsia="en-US"/>
        </w:rPr>
        <w:t>Sánchez</w:t>
      </w:r>
    </w:p>
    <w:p w14:paraId="47633B9E" w14:textId="67240E8D" w:rsidR="00D4723A" w:rsidRDefault="00D4723A" w:rsidP="00D4723A">
      <w:pPr>
        <w:spacing w:line="276" w:lineRule="auto"/>
        <w:jc w:val="right"/>
        <w:rPr>
          <w:rFonts w:eastAsia="Calibri"/>
          <w:bCs/>
          <w:lang w:eastAsia="en-US"/>
        </w:rPr>
      </w:pPr>
      <w:r w:rsidRPr="00D4723A">
        <w:t>Instituto Politécnico Nacional, México</w:t>
      </w:r>
    </w:p>
    <w:p w14:paraId="38B20A43" w14:textId="214087AE" w:rsidR="00D4723A" w:rsidRDefault="00D4723A" w:rsidP="00D4723A">
      <w:pPr>
        <w:spacing w:line="276" w:lineRule="auto"/>
        <w:jc w:val="right"/>
        <w:rPr>
          <w:rFonts w:asciiTheme="minorHAnsi" w:eastAsiaTheme="minorHAnsi" w:hAnsiTheme="minorHAnsi" w:cstheme="minorHAnsi"/>
          <w:color w:val="FF0000"/>
          <w:szCs w:val="22"/>
          <w:lang w:val="es-ES_tradnl" w:eastAsia="es-MX"/>
        </w:rPr>
      </w:pPr>
      <w:r w:rsidRPr="00D4723A">
        <w:rPr>
          <w:rFonts w:asciiTheme="minorHAnsi" w:eastAsiaTheme="minorHAnsi" w:hAnsiTheme="minorHAnsi" w:cstheme="minorHAnsi"/>
          <w:color w:val="FF0000"/>
          <w:szCs w:val="22"/>
          <w:lang w:val="es-ES_tradnl" w:eastAsia="es-MX"/>
        </w:rPr>
        <w:t>talvarez@citedi.mx</w:t>
      </w:r>
    </w:p>
    <w:p w14:paraId="2A9EBC34" w14:textId="465ED041" w:rsidR="00DA0496" w:rsidRPr="00781FD4" w:rsidRDefault="00DA0496" w:rsidP="00D4723A">
      <w:pPr>
        <w:spacing w:line="276" w:lineRule="auto"/>
        <w:jc w:val="right"/>
      </w:pPr>
      <w:r w:rsidRPr="00781FD4">
        <w:t>http://orcid.org/0000-0002-2975-7125</w:t>
      </w:r>
    </w:p>
    <w:p w14:paraId="6820F4F1" w14:textId="69931311" w:rsidR="00C87260" w:rsidRDefault="00D4723A" w:rsidP="00D4723A">
      <w:pPr>
        <w:spacing w:line="276" w:lineRule="auto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br/>
      </w:r>
      <w:r w:rsidR="00C87260" w:rsidRPr="00D4723A">
        <w:rPr>
          <w:rFonts w:ascii="Calibri" w:eastAsia="Calibri" w:hAnsi="Calibri" w:cs="Calibri"/>
          <w:b/>
          <w:color w:val="000000" w:themeColor="text1"/>
          <w:lang w:eastAsia="en-US"/>
        </w:rPr>
        <w:t>Raúl Junior Sandoval Gómez</w:t>
      </w:r>
    </w:p>
    <w:p w14:paraId="4FE2A362" w14:textId="53F8654D" w:rsidR="00D4723A" w:rsidRDefault="00D4723A" w:rsidP="00D4723A">
      <w:pPr>
        <w:spacing w:line="276" w:lineRule="auto"/>
        <w:jc w:val="right"/>
        <w:rPr>
          <w:rFonts w:eastAsia="Calibri"/>
          <w:bCs/>
          <w:lang w:eastAsia="en-US"/>
        </w:rPr>
      </w:pPr>
      <w:r w:rsidRPr="00D4723A">
        <w:t>Instituto Politécnico Nacional, México</w:t>
      </w:r>
    </w:p>
    <w:p w14:paraId="3289C30D" w14:textId="6A0CA090" w:rsidR="00D4723A" w:rsidRDefault="00D4723A" w:rsidP="00D4723A">
      <w:pPr>
        <w:spacing w:line="276" w:lineRule="auto"/>
        <w:jc w:val="right"/>
        <w:rPr>
          <w:rFonts w:asciiTheme="minorHAnsi" w:eastAsiaTheme="minorHAnsi" w:hAnsiTheme="minorHAnsi" w:cstheme="minorHAnsi"/>
          <w:color w:val="FF0000"/>
          <w:szCs w:val="22"/>
          <w:lang w:val="es-ES_tradnl" w:eastAsia="es-MX"/>
        </w:rPr>
      </w:pPr>
      <w:r w:rsidRPr="00D4723A">
        <w:rPr>
          <w:rFonts w:asciiTheme="minorHAnsi" w:eastAsiaTheme="minorHAnsi" w:hAnsiTheme="minorHAnsi" w:cstheme="minorHAnsi"/>
          <w:color w:val="FF0000"/>
          <w:szCs w:val="22"/>
          <w:lang w:val="es-ES_tradnl" w:eastAsia="es-MX"/>
        </w:rPr>
        <w:t>rsandova@ipn.mx</w:t>
      </w:r>
    </w:p>
    <w:p w14:paraId="2D73D607" w14:textId="01322061" w:rsidR="00DA0496" w:rsidRPr="00781FD4" w:rsidRDefault="00DA0496" w:rsidP="00D4723A">
      <w:pPr>
        <w:spacing w:line="276" w:lineRule="auto"/>
        <w:jc w:val="right"/>
      </w:pPr>
      <w:r w:rsidRPr="00781FD4">
        <w:t>https://orcid.org/0000-0001-9335-2176</w:t>
      </w:r>
    </w:p>
    <w:p w14:paraId="26A6CF2C" w14:textId="4A4F5E3F" w:rsidR="00076870" w:rsidRDefault="00D4723A" w:rsidP="00D4723A">
      <w:pPr>
        <w:spacing w:line="276" w:lineRule="auto"/>
        <w:jc w:val="right"/>
        <w:rPr>
          <w:rFonts w:eastAsia="Calibri"/>
          <w:bCs/>
          <w:lang w:val="es-ES_tradnl" w:eastAsia="en-US"/>
        </w:rPr>
      </w:pPr>
      <w:r>
        <w:rPr>
          <w:rFonts w:eastAsia="Calibri"/>
          <w:bCs/>
          <w:lang w:val="es-ES_tradnl" w:eastAsia="en-US"/>
        </w:rPr>
        <w:br/>
      </w:r>
      <w:r w:rsidR="00C87260" w:rsidRPr="00D4723A">
        <w:rPr>
          <w:rFonts w:ascii="Calibri" w:eastAsia="Calibri" w:hAnsi="Calibri" w:cs="Calibri"/>
          <w:b/>
          <w:color w:val="000000" w:themeColor="text1"/>
          <w:lang w:eastAsia="en-US"/>
        </w:rPr>
        <w:t>Mario Aguilar Fernández</w:t>
      </w:r>
    </w:p>
    <w:p w14:paraId="40CBE93F" w14:textId="1379E935" w:rsidR="00D4723A" w:rsidRDefault="00D4723A" w:rsidP="00D4723A">
      <w:pPr>
        <w:spacing w:line="276" w:lineRule="auto"/>
        <w:jc w:val="right"/>
      </w:pPr>
      <w:r w:rsidRPr="00D4723A">
        <w:t>Instituto Politécnico Nacional, México</w:t>
      </w:r>
    </w:p>
    <w:p w14:paraId="46F4478E" w14:textId="246A005C" w:rsidR="00D4723A" w:rsidRDefault="00D4723A" w:rsidP="00D4723A">
      <w:pPr>
        <w:spacing w:line="276" w:lineRule="auto"/>
        <w:jc w:val="right"/>
        <w:rPr>
          <w:rFonts w:asciiTheme="minorHAnsi" w:eastAsiaTheme="minorHAnsi" w:hAnsiTheme="minorHAnsi" w:cstheme="minorHAnsi"/>
          <w:color w:val="FF0000"/>
          <w:szCs w:val="22"/>
          <w:lang w:val="es-ES_tradnl" w:eastAsia="es-MX"/>
        </w:rPr>
      </w:pPr>
      <w:r w:rsidRPr="00D4723A">
        <w:rPr>
          <w:rFonts w:asciiTheme="minorHAnsi" w:eastAsiaTheme="minorHAnsi" w:hAnsiTheme="minorHAnsi" w:cstheme="minorHAnsi"/>
          <w:color w:val="FF0000"/>
          <w:szCs w:val="22"/>
          <w:lang w:val="es-ES_tradnl" w:eastAsia="es-MX"/>
        </w:rPr>
        <w:t>maguilarfer@ipn.mx</w:t>
      </w:r>
    </w:p>
    <w:p w14:paraId="51B5D782" w14:textId="09C0F38F" w:rsidR="00DA0496" w:rsidRPr="00781FD4" w:rsidRDefault="00DA0496" w:rsidP="00D4723A">
      <w:pPr>
        <w:spacing w:line="276" w:lineRule="auto"/>
        <w:jc w:val="right"/>
      </w:pPr>
      <w:r w:rsidRPr="00781FD4">
        <w:t>https://orcid.org/0000-0002-7537-4504</w:t>
      </w:r>
    </w:p>
    <w:p w14:paraId="335BAD72" w14:textId="77777777" w:rsidR="00672382" w:rsidRPr="00275A06" w:rsidRDefault="00672382" w:rsidP="00275A06"/>
    <w:p w14:paraId="5F19C435" w14:textId="77777777" w:rsidR="002E487A" w:rsidRPr="00A40A41" w:rsidRDefault="002E487A" w:rsidP="00275A06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A40A41">
        <w:rPr>
          <w:rFonts w:ascii="Calibri" w:hAnsi="Calibri" w:cs="Calibri"/>
          <w:color w:val="000000"/>
          <w:sz w:val="28"/>
          <w:szCs w:val="28"/>
          <w:lang w:val="es-ES_tradnl" w:eastAsia="es-MX"/>
        </w:rPr>
        <w:t>Resumen</w:t>
      </w:r>
    </w:p>
    <w:p w14:paraId="20FDBD21" w14:textId="4937B4EA" w:rsidR="00A0328D" w:rsidRPr="00D4723A" w:rsidRDefault="00A0328D" w:rsidP="00D4723A">
      <w:pPr>
        <w:rPr>
          <w:color w:val="7030A0"/>
        </w:rPr>
      </w:pPr>
      <w:r w:rsidRPr="00D4723A">
        <w:t>El aprendizaje profundo debate el problema de</w:t>
      </w:r>
      <w:r w:rsidR="005D7CD3">
        <w:t>l</w:t>
      </w:r>
      <w:r w:rsidRPr="00D4723A">
        <w:t xml:space="preserve"> aprendizaje integral </w:t>
      </w:r>
      <w:r w:rsidR="00117EA4">
        <w:t>y se contrapone a</w:t>
      </w:r>
      <w:r w:rsidRPr="00D4723A">
        <w:t>l aprendizaje superficial</w:t>
      </w:r>
      <w:r w:rsidR="00117EA4">
        <w:t>,</w:t>
      </w:r>
      <w:r w:rsidRPr="00D4723A">
        <w:t xml:space="preserve"> donde se acepta el conocimiento de forma mecánica, pasiva y donde se almacena información privada. </w:t>
      </w:r>
      <w:r w:rsidR="006770A0">
        <w:t>De tal manera que el aprendizaje profundo</w:t>
      </w:r>
      <w:r w:rsidRPr="00D4723A">
        <w:t xml:space="preserve"> se</w:t>
      </w:r>
      <w:r w:rsidR="0075777B">
        <w:t xml:space="preserve"> enfoca en</w:t>
      </w:r>
      <w:r w:rsidRPr="00D4723A">
        <w:t> extraer detalles de la enseñanza activa. L</w:t>
      </w:r>
      <w:bookmarkStart w:id="0" w:name="_GoBack"/>
      <w:bookmarkEnd w:id="0"/>
      <w:r w:rsidRPr="00D4723A">
        <w:t>a planificación de este método requiere que los estudiantes entiendan el mundo exterior, a través de su propia iniciativa</w:t>
      </w:r>
      <w:r w:rsidR="00117EA4">
        <w:t>,</w:t>
      </w:r>
      <w:r w:rsidRPr="00D4723A">
        <w:t xml:space="preserve"> y proponga</w:t>
      </w:r>
      <w:r w:rsidR="005D7CD3">
        <w:t>n</w:t>
      </w:r>
      <w:r w:rsidRPr="00D4723A">
        <w:t xml:space="preserve"> un resultado positivo</w:t>
      </w:r>
      <w:r w:rsidR="005D7CD3">
        <w:t>.</w:t>
      </w:r>
    </w:p>
    <w:p w14:paraId="3D95D847" w14:textId="267E0BFE" w:rsidR="0075777B" w:rsidRDefault="005D7CD3" w:rsidP="00275A06">
      <w:pPr>
        <w:ind w:firstLine="708"/>
      </w:pPr>
      <w:r>
        <w:lastRenderedPageBreak/>
        <w:t>Asimismo,</w:t>
      </w:r>
      <w:r w:rsidR="00A0328D" w:rsidRPr="00D4723A">
        <w:t xml:space="preserve"> el aprendizaje profundo </w:t>
      </w:r>
      <w:r w:rsidR="0075777B">
        <w:t>adquiere un</w:t>
      </w:r>
      <w:r w:rsidR="00A0328D" w:rsidRPr="00D4723A">
        <w:t xml:space="preserve"> significado práctico y habilidoso </w:t>
      </w:r>
      <w:r w:rsidR="0075777B">
        <w:t>mediante</w:t>
      </w:r>
      <w:r w:rsidR="00A0328D" w:rsidRPr="00D4723A">
        <w:t xml:space="preserve"> el vínculo</w:t>
      </w:r>
      <w:r w:rsidR="0075777B">
        <w:t xml:space="preserve"> que establece</w:t>
      </w:r>
      <w:r w:rsidR="00A0328D" w:rsidRPr="00D4723A">
        <w:t xml:space="preserve"> entre el conocimiento existente</w:t>
      </w:r>
      <w:r w:rsidR="0075777B">
        <w:t xml:space="preserve"> y</w:t>
      </w:r>
      <w:r w:rsidR="0075777B" w:rsidRPr="00D4723A">
        <w:t xml:space="preserve"> </w:t>
      </w:r>
      <w:r w:rsidR="00A0328D" w:rsidRPr="00D4723A">
        <w:t>el nuevo conocimiento</w:t>
      </w:r>
      <w:r w:rsidR="0075777B">
        <w:t>, y</w:t>
      </w:r>
      <w:r w:rsidR="00A0328D" w:rsidRPr="00D4723A">
        <w:t xml:space="preserve"> </w:t>
      </w:r>
      <w:r w:rsidR="009A6F5E">
        <w:t>ofrece la posibilidad de extender</w:t>
      </w:r>
      <w:r w:rsidR="00A0328D" w:rsidRPr="00D4723A">
        <w:t xml:space="preserve"> el proceso creativo con la ayuda </w:t>
      </w:r>
      <w:r w:rsidR="009A6F5E">
        <w:t>de la tecnología</w:t>
      </w:r>
      <w:r w:rsidR="0075777B">
        <w:t>.</w:t>
      </w:r>
      <w:r w:rsidR="0075777B" w:rsidRPr="00D4723A">
        <w:t xml:space="preserve"> </w:t>
      </w:r>
      <w:r w:rsidR="007B3FF4">
        <w:t>E</w:t>
      </w:r>
      <w:r w:rsidR="007B3FF4" w:rsidRPr="00D4723A">
        <w:t xml:space="preserve">sto </w:t>
      </w:r>
      <w:r w:rsidR="00E41805">
        <w:t>potencia</w:t>
      </w:r>
      <w:r w:rsidR="009A6F5E">
        <w:t>, a su vez,</w:t>
      </w:r>
      <w:r w:rsidR="007B3FF4" w:rsidRPr="00D4723A">
        <w:t xml:space="preserve"> </w:t>
      </w:r>
      <w:r w:rsidR="007B3FF4">
        <w:t xml:space="preserve">la activación y participación de los </w:t>
      </w:r>
      <w:r w:rsidR="00A0328D" w:rsidRPr="00D4723A">
        <w:t>estudiantes</w:t>
      </w:r>
      <w:r w:rsidR="007B3FF4" w:rsidRPr="000D61C0" w:rsidDel="007B3FF4">
        <w:t xml:space="preserve"> </w:t>
      </w:r>
      <w:r w:rsidR="00A0328D" w:rsidRPr="00D4723A">
        <w:t xml:space="preserve">y tomar la experiencia adquirida para </w:t>
      </w:r>
      <w:r w:rsidR="007B3FF4" w:rsidRPr="00D4723A">
        <w:t>aplicarl</w:t>
      </w:r>
      <w:r w:rsidR="007B3FF4">
        <w:t>a</w:t>
      </w:r>
      <w:r w:rsidR="007B3FF4" w:rsidRPr="00D4723A">
        <w:t xml:space="preserve"> </w:t>
      </w:r>
      <w:r w:rsidR="00A0328D" w:rsidRPr="00D4723A">
        <w:t>en diferentes contextos</w:t>
      </w:r>
      <w:r w:rsidR="0075777B">
        <w:t xml:space="preserve">. </w:t>
      </w:r>
    </w:p>
    <w:p w14:paraId="03FD4887" w14:textId="0FF8503F" w:rsidR="00861ABD" w:rsidRPr="00D4723A" w:rsidRDefault="0075777B" w:rsidP="00275A06">
      <w:pPr>
        <w:ind w:firstLine="708"/>
        <w:rPr>
          <w:sz w:val="28"/>
          <w:szCs w:val="28"/>
        </w:rPr>
      </w:pPr>
      <w:r>
        <w:t>S</w:t>
      </w:r>
      <w:r w:rsidR="00A0328D" w:rsidRPr="00D4723A">
        <w:t xml:space="preserve">e concluye que el aprendizaje integral permite esbozar una serie de indicaciones respecto al qué, cuándo y cómo explorar y evaluar los conocimientos previos de </w:t>
      </w:r>
      <w:r w:rsidR="00E41805">
        <w:t>los</w:t>
      </w:r>
      <w:r w:rsidR="00E41805" w:rsidRPr="00D4723A">
        <w:t xml:space="preserve"> </w:t>
      </w:r>
      <w:r w:rsidR="00A0328D" w:rsidRPr="00D4723A">
        <w:t>alumnos</w:t>
      </w:r>
      <w:r w:rsidR="005D7CD3">
        <w:t>.</w:t>
      </w:r>
      <w:r w:rsidR="005D7CD3" w:rsidRPr="00D4723A">
        <w:t xml:space="preserve"> </w:t>
      </w:r>
      <w:r w:rsidR="005D7CD3">
        <w:t>E</w:t>
      </w:r>
      <w:r w:rsidR="005D7CD3" w:rsidRPr="00D4723A">
        <w:t xml:space="preserve">sta </w:t>
      </w:r>
      <w:r w:rsidR="00A0328D" w:rsidRPr="00D4723A">
        <w:t xml:space="preserve">integración permite aprender </w:t>
      </w:r>
      <w:r w:rsidR="005D7CD3">
        <w:t>de tres</w:t>
      </w:r>
      <w:r w:rsidR="005D7CD3" w:rsidRPr="00D4723A">
        <w:t xml:space="preserve"> </w:t>
      </w:r>
      <w:r w:rsidR="00A0328D" w:rsidRPr="00D4723A">
        <w:t xml:space="preserve">a </w:t>
      </w:r>
      <w:r w:rsidR="005D7CD3">
        <w:t>cinco</w:t>
      </w:r>
      <w:r w:rsidR="005D7CD3" w:rsidRPr="00D4723A">
        <w:t xml:space="preserve"> </w:t>
      </w:r>
      <w:r w:rsidR="00A0328D" w:rsidRPr="00D4723A">
        <w:t xml:space="preserve">veces más rápido, </w:t>
      </w:r>
      <w:r w:rsidR="005D7CD3">
        <w:t>despierta el</w:t>
      </w:r>
      <w:r w:rsidR="005D7CD3" w:rsidRPr="00D4723A">
        <w:t xml:space="preserve"> </w:t>
      </w:r>
      <w:r w:rsidR="00A0328D" w:rsidRPr="00D4723A">
        <w:t xml:space="preserve">interés y se incrementa la motivación para </w:t>
      </w:r>
      <w:r w:rsidR="005D7CD3">
        <w:t>alcanzar</w:t>
      </w:r>
      <w:r w:rsidR="00A0328D" w:rsidRPr="00D4723A">
        <w:t xml:space="preserve"> un aprendizaje profundo.</w:t>
      </w:r>
    </w:p>
    <w:p w14:paraId="748F6ECF" w14:textId="36F058A4" w:rsidR="002E487A" w:rsidRPr="000D61C0" w:rsidRDefault="00487EBC" w:rsidP="00D4723A">
      <w:r w:rsidRPr="00A40A41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>Palabras c</w:t>
      </w:r>
      <w:r w:rsidR="00D25D31" w:rsidRPr="00A40A41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>lave</w:t>
      </w:r>
      <w:r w:rsidR="00D17C5F" w:rsidRPr="00A40A41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>:</w:t>
      </w:r>
      <w:r w:rsidR="00D17C5F" w:rsidRPr="000D61C0">
        <w:rPr>
          <w:b/>
        </w:rPr>
        <w:t xml:space="preserve"> </w:t>
      </w:r>
      <w:r w:rsidR="00620271" w:rsidRPr="001314D3">
        <w:t>aprendizaje integral</w:t>
      </w:r>
      <w:r w:rsidR="00620271">
        <w:t>,</w:t>
      </w:r>
      <w:r w:rsidR="00620271" w:rsidRPr="000D61C0">
        <w:t xml:space="preserve"> </w:t>
      </w:r>
      <w:r w:rsidR="00CB78A0" w:rsidRPr="000D61C0">
        <w:t>aprendizaje profundo</w:t>
      </w:r>
      <w:r w:rsidR="00620271">
        <w:t xml:space="preserve">, </w:t>
      </w:r>
      <w:r w:rsidR="00CB78A0" w:rsidRPr="000D61C0">
        <w:t>aprendizaje su</w:t>
      </w:r>
      <w:r w:rsidR="001C7C96" w:rsidRPr="000D61C0">
        <w:t>perficial</w:t>
      </w:r>
      <w:r w:rsidR="00495E82" w:rsidRPr="000D61C0">
        <w:t>.</w:t>
      </w:r>
    </w:p>
    <w:p w14:paraId="007195F1" w14:textId="77777777" w:rsidR="00C8559D" w:rsidRPr="00275A06" w:rsidRDefault="00C8559D" w:rsidP="00275A06"/>
    <w:p w14:paraId="1D2F41FF" w14:textId="77777777" w:rsidR="00F76B0D" w:rsidRPr="00A40A41" w:rsidRDefault="00F76B0D" w:rsidP="00275A06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A40A41">
        <w:rPr>
          <w:rFonts w:ascii="Calibri" w:hAnsi="Calibri" w:cs="Calibri"/>
          <w:color w:val="000000"/>
          <w:sz w:val="28"/>
          <w:szCs w:val="28"/>
          <w:lang w:val="es-ES_tradnl" w:eastAsia="es-MX"/>
        </w:rPr>
        <w:t>Abstract</w:t>
      </w:r>
    </w:p>
    <w:p w14:paraId="27458979" w14:textId="59347059" w:rsidR="00A0328D" w:rsidRPr="00275A06" w:rsidRDefault="00A0328D" w:rsidP="00D4723A">
      <w:pPr>
        <w:pStyle w:val="NormalWeb"/>
        <w:spacing w:before="0" w:beforeAutospacing="0" w:after="0" w:afterAutospacing="0"/>
        <w:rPr>
          <w:lang w:val="en-US"/>
        </w:rPr>
      </w:pPr>
      <w:r w:rsidRPr="00275A06">
        <w:rPr>
          <w:lang w:val="en-US"/>
        </w:rPr>
        <w:t>Deep learning debates the problem of integral learning as opposed to superficial learning</w:t>
      </w:r>
      <w:r w:rsidR="009A6F5E">
        <w:rPr>
          <w:lang w:val="en-US"/>
        </w:rPr>
        <w:t>,</w:t>
      </w:r>
      <w:r w:rsidRPr="00275A06">
        <w:rPr>
          <w:lang w:val="en-US"/>
        </w:rPr>
        <w:t xml:space="preserve"> where knowledge is accepted mechanically, passively and where private information is stored</w:t>
      </w:r>
      <w:r w:rsidR="00DE4887">
        <w:rPr>
          <w:lang w:val="en-US"/>
        </w:rPr>
        <w:t>.</w:t>
      </w:r>
      <w:r w:rsidR="00DE4887" w:rsidRPr="00DE4887">
        <w:t xml:space="preserve"> </w:t>
      </w:r>
      <w:r w:rsidR="00DE4887" w:rsidRPr="00DE4887">
        <w:rPr>
          <w:lang w:val="en-US"/>
        </w:rPr>
        <w:t>Thus, deep learning focuses on extracting details from active teaching</w:t>
      </w:r>
      <w:r w:rsidRPr="00275A06">
        <w:rPr>
          <w:lang w:val="en-US"/>
        </w:rPr>
        <w:t>. The planning of this method requires that students understand the outside world, through their initiative</w:t>
      </w:r>
      <w:r w:rsidR="009A6F5E">
        <w:rPr>
          <w:lang w:val="en-US"/>
        </w:rPr>
        <w:t xml:space="preserve">, </w:t>
      </w:r>
      <w:r w:rsidRPr="00275A06">
        <w:rPr>
          <w:lang w:val="en-US"/>
        </w:rPr>
        <w:t>and propose a positive result or passively accept another proposal that demonstrates the strategy of deep learning.</w:t>
      </w:r>
    </w:p>
    <w:p w14:paraId="1DD8FB7E" w14:textId="42491505" w:rsidR="00620271" w:rsidRDefault="002D1803" w:rsidP="00275A06">
      <w:pPr>
        <w:pStyle w:val="NormalWeb"/>
        <w:spacing w:before="0" w:beforeAutospacing="0" w:after="0" w:afterAutospacing="0"/>
        <w:ind w:firstLine="708"/>
        <w:rPr>
          <w:lang w:val="en-US"/>
        </w:rPr>
      </w:pPr>
      <w:r>
        <w:rPr>
          <w:lang w:val="en-US"/>
        </w:rPr>
        <w:t>In addition</w:t>
      </w:r>
      <w:r w:rsidR="00A0328D" w:rsidRPr="00275A06">
        <w:rPr>
          <w:lang w:val="en-US"/>
        </w:rPr>
        <w:t xml:space="preserve">, deep learning </w:t>
      </w:r>
      <w:r>
        <w:rPr>
          <w:lang w:val="en-US"/>
        </w:rPr>
        <w:t>acquires</w:t>
      </w:r>
      <w:r w:rsidR="00465353">
        <w:rPr>
          <w:lang w:val="en-US"/>
        </w:rPr>
        <w:t xml:space="preserve"> a</w:t>
      </w:r>
      <w:r w:rsidR="00A0328D" w:rsidRPr="00275A06">
        <w:rPr>
          <w:lang w:val="en-US"/>
        </w:rPr>
        <w:t xml:space="preserve"> practical and </w:t>
      </w:r>
      <w:r w:rsidRPr="00275A06">
        <w:rPr>
          <w:lang w:val="en-US"/>
        </w:rPr>
        <w:t>skillful</w:t>
      </w:r>
      <w:r w:rsidR="00A0328D" w:rsidRPr="00275A06">
        <w:rPr>
          <w:lang w:val="en-US"/>
        </w:rPr>
        <w:t xml:space="preserve"> meaning</w:t>
      </w:r>
      <w:r>
        <w:rPr>
          <w:lang w:val="en-US"/>
        </w:rPr>
        <w:t xml:space="preserve"> through the link</w:t>
      </w:r>
      <w:r w:rsidR="00A0328D" w:rsidRPr="00275A06">
        <w:rPr>
          <w:lang w:val="en-US"/>
        </w:rPr>
        <w:t xml:space="preserve"> </w:t>
      </w:r>
      <w:r w:rsidR="002F79C3">
        <w:rPr>
          <w:lang w:val="en-US"/>
        </w:rPr>
        <w:t>established</w:t>
      </w:r>
      <w:r w:rsidR="00A0328D" w:rsidRPr="00275A06">
        <w:rPr>
          <w:lang w:val="en-US"/>
        </w:rPr>
        <w:t xml:space="preserve"> between existing knowledge</w:t>
      </w:r>
      <w:r w:rsidR="00B71E48">
        <w:rPr>
          <w:lang w:val="en-US"/>
        </w:rPr>
        <w:t xml:space="preserve"> and </w:t>
      </w:r>
      <w:r w:rsidR="00A0328D" w:rsidRPr="00275A06">
        <w:rPr>
          <w:lang w:val="en-US"/>
        </w:rPr>
        <w:t>new knowledge</w:t>
      </w:r>
      <w:r w:rsidR="00B71E48">
        <w:rPr>
          <w:lang w:val="en-US"/>
        </w:rPr>
        <w:t>,</w:t>
      </w:r>
      <w:r w:rsidR="00620271">
        <w:rPr>
          <w:lang w:val="en-US"/>
        </w:rPr>
        <w:t xml:space="preserve"> and </w:t>
      </w:r>
      <w:r w:rsidR="00620271" w:rsidRPr="00620271">
        <w:rPr>
          <w:lang w:val="en-US"/>
        </w:rPr>
        <w:t>offers the possibility of extending the creative process with the help of technology</w:t>
      </w:r>
      <w:r w:rsidR="00A0328D" w:rsidRPr="00275A06">
        <w:rPr>
          <w:lang w:val="en-US"/>
        </w:rPr>
        <w:t>; this will activate students with learned insight and take the acquired experience to apply it in different contexts</w:t>
      </w:r>
      <w:r w:rsidR="00620271">
        <w:rPr>
          <w:lang w:val="en-US"/>
        </w:rPr>
        <w:t>.</w:t>
      </w:r>
      <w:r w:rsidR="00A0328D" w:rsidRPr="00275A06">
        <w:rPr>
          <w:lang w:val="en-US"/>
        </w:rPr>
        <w:t xml:space="preserve"> </w:t>
      </w:r>
    </w:p>
    <w:p w14:paraId="1F6EE9AC" w14:textId="588A0055" w:rsidR="00A0328D" w:rsidRDefault="00420EB2" w:rsidP="00275A06">
      <w:pPr>
        <w:pStyle w:val="NormalWeb"/>
        <w:spacing w:before="0" w:beforeAutospacing="0" w:after="0" w:afterAutospacing="0"/>
        <w:ind w:firstLine="708"/>
        <w:rPr>
          <w:lang w:val="en-US"/>
        </w:rPr>
      </w:pPr>
      <w:r>
        <w:rPr>
          <w:lang w:val="en-US"/>
        </w:rPr>
        <w:t>I</w:t>
      </w:r>
      <w:r w:rsidRPr="00275A06">
        <w:rPr>
          <w:lang w:val="en-US"/>
        </w:rPr>
        <w:t>t</w:t>
      </w:r>
      <w:r>
        <w:rPr>
          <w:lang w:val="en-US"/>
        </w:rPr>
        <w:t xml:space="preserve"> is</w:t>
      </w:r>
      <w:r w:rsidRPr="00275A06">
        <w:rPr>
          <w:lang w:val="en-US"/>
        </w:rPr>
        <w:t xml:space="preserve"> </w:t>
      </w:r>
      <w:r w:rsidR="00A0328D" w:rsidRPr="00275A06">
        <w:rPr>
          <w:lang w:val="en-US"/>
        </w:rPr>
        <w:t xml:space="preserve">concluded that the integral learning allows outlining a series of indications regarding the what, when and how to explore and evaluate the previous knowledge of </w:t>
      </w:r>
      <w:r w:rsidR="00E41805">
        <w:rPr>
          <w:lang w:val="en-US"/>
        </w:rPr>
        <w:t>the</w:t>
      </w:r>
      <w:r w:rsidR="00E41805" w:rsidRPr="00275A06">
        <w:rPr>
          <w:lang w:val="en-US"/>
        </w:rPr>
        <w:t xml:space="preserve"> </w:t>
      </w:r>
      <w:r w:rsidR="00A0328D" w:rsidRPr="00275A06">
        <w:rPr>
          <w:lang w:val="en-US"/>
        </w:rPr>
        <w:t>students</w:t>
      </w:r>
      <w:r w:rsidR="00620271">
        <w:rPr>
          <w:lang w:val="en-US"/>
        </w:rPr>
        <w:t>.</w:t>
      </w:r>
      <w:r w:rsidR="00620271" w:rsidRPr="00275A06">
        <w:rPr>
          <w:lang w:val="en-US"/>
        </w:rPr>
        <w:t xml:space="preserve"> </w:t>
      </w:r>
      <w:r w:rsidR="00620271">
        <w:rPr>
          <w:lang w:val="en-US"/>
        </w:rPr>
        <w:t>T</w:t>
      </w:r>
      <w:r w:rsidR="00620271" w:rsidRPr="00275A06">
        <w:rPr>
          <w:lang w:val="en-US"/>
        </w:rPr>
        <w:t xml:space="preserve">his </w:t>
      </w:r>
      <w:r w:rsidR="00A0328D" w:rsidRPr="00275A06">
        <w:rPr>
          <w:lang w:val="en-US"/>
        </w:rPr>
        <w:t xml:space="preserve">integration will enable us to learn </w:t>
      </w:r>
      <w:r w:rsidR="00620271">
        <w:rPr>
          <w:lang w:val="en-US"/>
        </w:rPr>
        <w:t>three</w:t>
      </w:r>
      <w:r w:rsidR="00620271" w:rsidRPr="00275A06">
        <w:rPr>
          <w:lang w:val="en-US"/>
        </w:rPr>
        <w:t xml:space="preserve"> </w:t>
      </w:r>
      <w:r w:rsidR="00A0328D" w:rsidRPr="00275A06">
        <w:rPr>
          <w:lang w:val="en-US"/>
        </w:rPr>
        <w:t xml:space="preserve">to </w:t>
      </w:r>
      <w:r w:rsidR="00620271">
        <w:rPr>
          <w:lang w:val="en-US"/>
        </w:rPr>
        <w:t>five</w:t>
      </w:r>
      <w:r w:rsidR="00620271" w:rsidRPr="00275A06">
        <w:rPr>
          <w:lang w:val="en-US"/>
        </w:rPr>
        <w:t xml:space="preserve"> </w:t>
      </w:r>
      <w:r w:rsidR="00A0328D" w:rsidRPr="00275A06">
        <w:rPr>
          <w:lang w:val="en-US"/>
        </w:rPr>
        <w:t>times faster, arousing interest and increasing the motivation to achieve deep learning.</w:t>
      </w:r>
    </w:p>
    <w:p w14:paraId="59FE1734" w14:textId="27B035E0" w:rsidR="00D34891" w:rsidRPr="00275A06" w:rsidRDefault="002E487A" w:rsidP="00275A06">
      <w:pPr>
        <w:rPr>
          <w:lang w:val="en-US"/>
        </w:rPr>
      </w:pPr>
      <w:proofErr w:type="spellStart"/>
      <w:r w:rsidRPr="00A40A41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>Keywords</w:t>
      </w:r>
      <w:proofErr w:type="spellEnd"/>
      <w:r w:rsidRPr="00A40A41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>:</w:t>
      </w:r>
      <w:r w:rsidRPr="00275A06">
        <w:rPr>
          <w:b/>
          <w:lang w:val="en-US"/>
        </w:rPr>
        <w:t xml:space="preserve"> </w:t>
      </w:r>
      <w:r w:rsidR="00620271" w:rsidRPr="00275A06">
        <w:rPr>
          <w:lang w:val="en-US"/>
        </w:rPr>
        <w:t>integral learning</w:t>
      </w:r>
      <w:r w:rsidR="00620271">
        <w:rPr>
          <w:lang w:val="en-US"/>
        </w:rPr>
        <w:t>,</w:t>
      </w:r>
      <w:r w:rsidR="00620271" w:rsidRPr="00275A06">
        <w:rPr>
          <w:lang w:val="en-US"/>
        </w:rPr>
        <w:t xml:space="preserve"> </w:t>
      </w:r>
      <w:r w:rsidR="00CB78A0" w:rsidRPr="00275A06">
        <w:rPr>
          <w:lang w:val="en-US"/>
        </w:rPr>
        <w:t>deep learning</w:t>
      </w:r>
      <w:r w:rsidR="00620271">
        <w:rPr>
          <w:lang w:val="en-US"/>
        </w:rPr>
        <w:t>,</w:t>
      </w:r>
      <w:r w:rsidR="00620271" w:rsidRPr="00275A06">
        <w:rPr>
          <w:lang w:val="en-US"/>
        </w:rPr>
        <w:t xml:space="preserve"> </w:t>
      </w:r>
      <w:r w:rsidR="00CB78A0" w:rsidRPr="00275A06">
        <w:rPr>
          <w:lang w:val="en-US"/>
        </w:rPr>
        <w:t>surface learning.</w:t>
      </w:r>
    </w:p>
    <w:p w14:paraId="6ADD3635" w14:textId="7DB3862A" w:rsidR="00672382" w:rsidRDefault="00672382" w:rsidP="00275A06">
      <w:pPr>
        <w:rPr>
          <w:b/>
          <w:color w:val="000000"/>
          <w:sz w:val="28"/>
          <w:szCs w:val="28"/>
          <w:lang w:val="en-GB" w:eastAsia="es-MX"/>
        </w:rPr>
      </w:pPr>
    </w:p>
    <w:p w14:paraId="6B2F04C6" w14:textId="77777777" w:rsidR="00A40BF9" w:rsidRPr="00275A06" w:rsidRDefault="00A40BF9" w:rsidP="00275A06">
      <w:pPr>
        <w:rPr>
          <w:b/>
          <w:color w:val="000000"/>
          <w:sz w:val="28"/>
          <w:szCs w:val="28"/>
          <w:lang w:val="en-GB" w:eastAsia="es-MX"/>
        </w:rPr>
      </w:pPr>
    </w:p>
    <w:p w14:paraId="437575FB" w14:textId="77777777" w:rsidR="00383035" w:rsidRPr="00A40BF9" w:rsidRDefault="00383035" w:rsidP="00275A06">
      <w:pPr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</w:pPr>
      <w:r w:rsidRPr="00A40BF9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lastRenderedPageBreak/>
        <w:t>Resumo</w:t>
      </w:r>
    </w:p>
    <w:p w14:paraId="34DB2F91" w14:textId="77777777" w:rsidR="00DA0496" w:rsidRPr="00DA0496" w:rsidRDefault="00DA0496" w:rsidP="00DA0496">
      <w:pPr>
        <w:ind w:firstLine="700"/>
        <w:rPr>
          <w:lang w:val="es-MX" w:eastAsia="es-MX"/>
        </w:rPr>
      </w:pPr>
      <w:r w:rsidRPr="00DA0496">
        <w:rPr>
          <w:lang w:val="es-MX" w:eastAsia="es-MX"/>
        </w:rPr>
        <w:t>A aprendizagem profunda debate o problema da aprendizagem integral e se opõe à aprendizagem superficial, em que o conhecimento é aceito mecanicamente, passivamente e onde a informação privada é armazenada. De tal forma que a aprendizagem profunda se concentra em extrair detalhes do ensino ativo. O planejamento desse método exige que os alunos entendam o mundo exterior por iniciativa própria e proponham um resultado positivo.</w:t>
      </w:r>
    </w:p>
    <w:p w14:paraId="57BC9621" w14:textId="77777777" w:rsidR="00DA0496" w:rsidRPr="00DA0496" w:rsidRDefault="00DA0496" w:rsidP="00DA0496">
      <w:pPr>
        <w:ind w:firstLine="700"/>
        <w:rPr>
          <w:lang w:val="es-MX" w:eastAsia="es-MX"/>
        </w:rPr>
      </w:pPr>
      <w:r w:rsidRPr="00DA0496">
        <w:rPr>
          <w:lang w:val="es-MX" w:eastAsia="es-MX"/>
        </w:rPr>
        <w:t>Além disso, a aprendizagem profunda adquire um significado prático e habilidoso através do vínculo estabelecido entre o conhecimento existente e o novo conhecimento, e oferece a possibilidade de estender o processo criativo com a ajuda da tecnologia. Isso aumenta, por sua vez, a ativação e participação dos alunos e leva a experiência adquirida para aplicá-lo em diferentes contextos.</w:t>
      </w:r>
    </w:p>
    <w:p w14:paraId="18EF90A1" w14:textId="78D862A0" w:rsidR="00EB380E" w:rsidRDefault="00DA0496" w:rsidP="00DA0496">
      <w:pPr>
        <w:ind w:firstLine="700"/>
        <w:rPr>
          <w:lang w:val="es-MX" w:eastAsia="es-MX"/>
        </w:rPr>
      </w:pPr>
      <w:r w:rsidRPr="00DA0496">
        <w:rPr>
          <w:lang w:val="es-MX" w:eastAsia="es-MX"/>
        </w:rPr>
        <w:t>Conclui-se que a aprendizagem integral permite delinear uma série de indicações sobre o quê, quando e como explorar e avaliar o conhecimento prévio dos alunos. Esta integração permite aprender de três a cinco vezes mais rápido, desperta o interesse e aumenta a motivação para alcançar uma aprendizagem profunda.</w:t>
      </w:r>
    </w:p>
    <w:p w14:paraId="73D4CDC8" w14:textId="05D7022A" w:rsidR="00383035" w:rsidRDefault="00383035" w:rsidP="00275A06">
      <w:pPr>
        <w:rPr>
          <w:lang w:val="pt-BR"/>
        </w:rPr>
      </w:pPr>
      <w:proofErr w:type="spellStart"/>
      <w:r w:rsidRPr="00A40BF9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>Palavras</w:t>
      </w:r>
      <w:proofErr w:type="spellEnd"/>
      <w:r w:rsidRPr="00A40BF9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>-chave:</w:t>
      </w:r>
      <w:r w:rsidRPr="00D4723A">
        <w:rPr>
          <w:b/>
          <w:color w:val="000000"/>
          <w:lang w:val="pt-BR" w:eastAsia="es-MX"/>
        </w:rPr>
        <w:t xml:space="preserve"> </w:t>
      </w:r>
      <w:r w:rsidR="00620271" w:rsidRPr="001314D3">
        <w:rPr>
          <w:lang w:val="pt-BR"/>
        </w:rPr>
        <w:t>aprendizagem integral</w:t>
      </w:r>
      <w:r w:rsidR="00620271">
        <w:rPr>
          <w:lang w:val="pt-BR"/>
        </w:rPr>
        <w:t>,</w:t>
      </w:r>
      <w:r w:rsidR="00620271" w:rsidRPr="000D61C0">
        <w:rPr>
          <w:lang w:val="pt-BR"/>
        </w:rPr>
        <w:t xml:space="preserve"> </w:t>
      </w:r>
      <w:r w:rsidR="00CB78A0" w:rsidRPr="000D61C0">
        <w:rPr>
          <w:lang w:val="pt-BR"/>
        </w:rPr>
        <w:t>aprendizagem profunda</w:t>
      </w:r>
      <w:r w:rsidR="00620271">
        <w:rPr>
          <w:lang w:val="pt-BR"/>
        </w:rPr>
        <w:t>,</w:t>
      </w:r>
      <w:r w:rsidR="00620271" w:rsidRPr="000D61C0">
        <w:rPr>
          <w:lang w:val="pt-BR"/>
        </w:rPr>
        <w:t xml:space="preserve"> </w:t>
      </w:r>
      <w:r w:rsidR="00CB78A0" w:rsidRPr="000D61C0">
        <w:rPr>
          <w:lang w:val="pt-BR"/>
        </w:rPr>
        <w:t>aprendizagem de su</w:t>
      </w:r>
      <w:r w:rsidR="00A0328D" w:rsidRPr="000D61C0">
        <w:rPr>
          <w:lang w:val="pt-BR"/>
        </w:rPr>
        <w:t>perfície</w:t>
      </w:r>
      <w:r w:rsidR="00CB78A0" w:rsidRPr="000D61C0">
        <w:rPr>
          <w:lang w:val="pt-BR"/>
        </w:rPr>
        <w:t>.</w:t>
      </w:r>
    </w:p>
    <w:p w14:paraId="247ABDD5" w14:textId="497A7B81" w:rsidR="00A40BF9" w:rsidRPr="00D4723A" w:rsidRDefault="00A40BF9" w:rsidP="00275A06">
      <w:pPr>
        <w:rPr>
          <w:b/>
          <w:color w:val="000000"/>
          <w:lang w:val="pt-BR" w:eastAsia="es-MX"/>
        </w:rPr>
      </w:pPr>
      <w:r w:rsidRPr="00EB5020">
        <w:rPr>
          <w:b/>
        </w:rPr>
        <w:t>Fecha Recepción:</w:t>
      </w:r>
      <w:r w:rsidRPr="00EB5020">
        <w:t xml:space="preserve"> </w:t>
      </w:r>
      <w:r>
        <w:t>Septiembre</w:t>
      </w:r>
      <w:r w:rsidRPr="00EB5020">
        <w:t xml:space="preserve"> 2018                                 </w:t>
      </w:r>
      <w:r w:rsidRPr="00EB5020">
        <w:rPr>
          <w:b/>
        </w:rPr>
        <w:t>Fecha Aceptación:</w:t>
      </w:r>
      <w:r w:rsidRPr="00EB5020">
        <w:t xml:space="preserve"> </w:t>
      </w:r>
      <w:r>
        <w:t>Enero 2019</w:t>
      </w:r>
      <w:r w:rsidRPr="00FC594F">
        <w:rPr>
          <w:color w:val="000000" w:themeColor="text1"/>
        </w:rPr>
        <w:br/>
      </w:r>
      <w:r w:rsidR="001D222F">
        <w:rPr>
          <w:noProof/>
          <w:color w:val="000000" w:themeColor="text1"/>
        </w:rPr>
        <w:pict w14:anchorId="6BBE5785">
          <v:rect id="_x0000_i1025" alt="" style="width:436.6pt;height:.05pt;mso-width-percent:0;mso-height-percent:0;mso-width-percent:0;mso-height-percent:0" o:hrpct="988" o:hralign="center" o:hrstd="t" o:hr="t" fillcolor="#a0a0a0" stroked="f"/>
        </w:pict>
      </w:r>
    </w:p>
    <w:p w14:paraId="24D866E8" w14:textId="77777777" w:rsidR="00C87260" w:rsidRPr="00275A06" w:rsidRDefault="00C87260" w:rsidP="00275A06">
      <w:pPr>
        <w:rPr>
          <w:lang w:val="es-ES_tradnl" w:eastAsia="es-MX"/>
        </w:rPr>
      </w:pPr>
    </w:p>
    <w:p w14:paraId="56D4C709" w14:textId="77777777" w:rsidR="00E03C51" w:rsidRPr="00A40A41" w:rsidRDefault="00697A19" w:rsidP="00275A06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A40A41">
        <w:rPr>
          <w:rFonts w:ascii="Calibri" w:hAnsi="Calibri" w:cs="Calibri"/>
          <w:color w:val="000000"/>
          <w:sz w:val="28"/>
          <w:szCs w:val="28"/>
          <w:lang w:val="es-ES_tradnl" w:eastAsia="es-MX"/>
        </w:rPr>
        <w:t>Introducción</w:t>
      </w:r>
    </w:p>
    <w:p w14:paraId="0F60961D" w14:textId="7D1B2776" w:rsidR="00475516" w:rsidRPr="00275A06" w:rsidRDefault="00CB78A0">
      <w:pPr>
        <w:ind w:firstLine="708"/>
      </w:pPr>
      <w:r w:rsidRPr="00275A06">
        <w:t xml:space="preserve">Con </w:t>
      </w:r>
      <w:r w:rsidR="00A95CB1" w:rsidRPr="00275A06">
        <w:t xml:space="preserve">el </w:t>
      </w:r>
      <w:r w:rsidRPr="00275A06">
        <w:t>desarrollo exponencial de la</w:t>
      </w:r>
      <w:r w:rsidR="00C3458B">
        <w:t>s</w:t>
      </w:r>
      <w:r w:rsidRPr="00275A06">
        <w:t xml:space="preserve"> tecnología</w:t>
      </w:r>
      <w:r w:rsidR="00C3458B">
        <w:t>s</w:t>
      </w:r>
      <w:r w:rsidRPr="00275A06">
        <w:t xml:space="preserve"> de la información, la ciencia y la tecnología moderna, la cooperación interdisciplinaria se </w:t>
      </w:r>
      <w:r w:rsidR="00A95CB1" w:rsidRPr="00275A06">
        <w:t>está profundizando</w:t>
      </w:r>
      <w:r w:rsidR="00F177C4">
        <w:t>.</w:t>
      </w:r>
      <w:r w:rsidR="00F177C4" w:rsidRPr="00275A06">
        <w:t xml:space="preserve"> </w:t>
      </w:r>
      <w:r w:rsidR="00F177C4">
        <w:t xml:space="preserve">Y, </w:t>
      </w:r>
      <w:r w:rsidR="00A95CB1" w:rsidRPr="00275A06">
        <w:t xml:space="preserve">con ello, la exigencia de </w:t>
      </w:r>
      <w:r w:rsidRPr="00275A06">
        <w:t>mejorar la educación</w:t>
      </w:r>
      <w:r w:rsidR="00A95CB1" w:rsidRPr="00275A06">
        <w:t xml:space="preserve"> en todos los niveles</w:t>
      </w:r>
      <w:r w:rsidRPr="00275A06">
        <w:t>,</w:t>
      </w:r>
      <w:r w:rsidR="00956328">
        <w:t xml:space="preserve"> de</w:t>
      </w:r>
      <w:r w:rsidRPr="00275A06">
        <w:t xml:space="preserve"> aumentar la capacidad de aprendizaje</w:t>
      </w:r>
      <w:r w:rsidR="003F363B">
        <w:t xml:space="preserve"> de los alumnos</w:t>
      </w:r>
      <w:r w:rsidRPr="00275A06">
        <w:t xml:space="preserve"> para adaptarse rápidamente al desarrollo académico</w:t>
      </w:r>
      <w:r w:rsidR="00531752">
        <w:t xml:space="preserve"> </w:t>
      </w:r>
      <w:r w:rsidRPr="00275A06">
        <w:t xml:space="preserve">y </w:t>
      </w:r>
      <w:r w:rsidR="00531752">
        <w:t>a</w:t>
      </w:r>
      <w:r w:rsidR="00531752" w:rsidRPr="00275A06">
        <w:t xml:space="preserve">l </w:t>
      </w:r>
      <w:r w:rsidRPr="00275A06">
        <w:t>desarr</w:t>
      </w:r>
      <w:r w:rsidR="00475516" w:rsidRPr="00275A06">
        <w:t>ollo de talentos profesionales.</w:t>
      </w:r>
    </w:p>
    <w:p w14:paraId="6EE97381" w14:textId="3CD583A3" w:rsidR="00CB78A0" w:rsidRPr="00275A06" w:rsidRDefault="00CB78A0">
      <w:pPr>
        <w:ind w:firstLine="708"/>
      </w:pPr>
      <w:r w:rsidRPr="00275A06">
        <w:lastRenderedPageBreak/>
        <w:t>El aprendizaje profundo se centra en la promoción de la heurística, la investigación, la discusión</w:t>
      </w:r>
      <w:r w:rsidR="00F23136">
        <w:t xml:space="preserve"> y</w:t>
      </w:r>
      <w:r w:rsidR="00F23136" w:rsidRPr="00275A06">
        <w:t xml:space="preserve"> </w:t>
      </w:r>
      <w:r w:rsidRPr="00275A06">
        <w:t>la enseñanza participativa</w:t>
      </w:r>
      <w:r w:rsidR="00F23136">
        <w:t xml:space="preserve"> </w:t>
      </w:r>
      <w:r w:rsidRPr="00275A06">
        <w:t xml:space="preserve">con el fin principal de ayudar a los estudiantes a aprender a aprender. </w:t>
      </w:r>
    </w:p>
    <w:p w14:paraId="7B516FF1" w14:textId="48A1D4FC" w:rsidR="00CB78A0" w:rsidRPr="00275A06" w:rsidRDefault="00266656">
      <w:pPr>
        <w:ind w:firstLine="708"/>
      </w:pPr>
      <w:r>
        <w:t>F</w:t>
      </w:r>
      <w:r w:rsidR="00CB78A0" w:rsidRPr="00275A06">
        <w:t>ue utilizado por primera vez por dos académicos estadounidenses</w:t>
      </w:r>
      <w:r w:rsidR="00BA3ABF" w:rsidRPr="00275A06">
        <w:t xml:space="preserve"> </w:t>
      </w:r>
      <w:r w:rsidR="00A95CB1" w:rsidRPr="00275A06">
        <w:fldChar w:fldCharType="begin"/>
      </w:r>
      <w:r w:rsidR="00A95CB1" w:rsidRPr="00275A06">
        <w:instrText xml:space="preserve"> ADDIN EN.CITE &lt;EndNote&gt;&lt;Cite&gt;&lt;Author&gt;Marton&lt;/Author&gt;&lt;Year&gt;1976&lt;/Year&gt;&lt;RecNum&gt;11&lt;/RecNum&gt;&lt;DisplayText&gt;(Marton &amp;amp; Säljö, 1976)&lt;/DisplayText&gt;&lt;record&gt;&lt;rec-number&gt;11&lt;/rec-number&gt;&lt;foreign-keys&gt;&lt;key app="EN" db-id="xx5zwftv000sx5etrfjp0aajafzaxppv22ep" timestamp="1549920784"&gt;11&lt;/key&gt;&lt;/foreign-keys&gt;&lt;ref-type name="Journal Article"&gt;17&lt;/ref-type&gt;&lt;contributors&gt;&lt;authors&gt;&lt;author&gt;F. Marton&lt;/author&gt;&lt;author&gt;R. Säljö&lt;/author&gt;&lt;/authors&gt;&lt;/contributors&gt;&lt;titles&gt;&lt;title&gt;On qualitative difference in learning. I-Outcome and process&lt;/title&gt;&lt;secondary-title&gt;British Journal of Educational Psychology &lt;/secondary-title&gt;&lt;/titles&gt;&lt;periodical&gt;&lt;full-title&gt;British Journal of Educational Psychology&lt;/full-title&gt;&lt;/periodical&gt;&lt;pages&gt;4-11&lt;/pages&gt;&lt;volume&gt;46&lt;/volume&gt;&lt;dates&gt;&lt;year&gt;1976&lt;/year&gt;&lt;/dates&gt;&lt;urls&gt;&lt;/urls&gt;&lt;/record&gt;&lt;/Cite&gt;&lt;/EndNote&gt;</w:instrText>
      </w:r>
      <w:r w:rsidR="00A95CB1" w:rsidRPr="00275A06">
        <w:fldChar w:fldCharType="separate"/>
      </w:r>
      <w:r w:rsidR="00A95CB1" w:rsidRPr="00275A06">
        <w:rPr>
          <w:noProof/>
        </w:rPr>
        <w:t xml:space="preserve">(Marton </w:t>
      </w:r>
      <w:r w:rsidR="00531752">
        <w:rPr>
          <w:noProof/>
        </w:rPr>
        <w:t>y</w:t>
      </w:r>
      <w:r w:rsidR="00A95CB1" w:rsidRPr="00275A06">
        <w:rPr>
          <w:noProof/>
        </w:rPr>
        <w:t xml:space="preserve"> Säljö, 1976)</w:t>
      </w:r>
      <w:r w:rsidR="00A95CB1" w:rsidRPr="00275A06">
        <w:fldChar w:fldCharType="end"/>
      </w:r>
      <w:r w:rsidR="00CB78A0" w:rsidRPr="00275A06">
        <w:t xml:space="preserve">, </w:t>
      </w:r>
      <w:r w:rsidR="00531752" w:rsidRPr="00275A06">
        <w:t>qu</w:t>
      </w:r>
      <w:r w:rsidR="00531752">
        <w:t>ienes</w:t>
      </w:r>
      <w:r w:rsidR="00531752" w:rsidRPr="00275A06">
        <w:t xml:space="preserve"> </w:t>
      </w:r>
      <w:r w:rsidR="00C416BE">
        <w:t>emprendieron</w:t>
      </w:r>
      <w:r w:rsidR="00C416BE" w:rsidRPr="00275A06">
        <w:t xml:space="preserve"> </w:t>
      </w:r>
      <w:r w:rsidR="00CB78A0" w:rsidRPr="00275A06">
        <w:t>un estudio basado en la lectura de un artículo académico</w:t>
      </w:r>
      <w:r w:rsidR="00531752">
        <w:t xml:space="preserve"> y, al final,</w:t>
      </w:r>
      <w:r w:rsidR="00CB78A0" w:rsidRPr="00275A06">
        <w:t xml:space="preserve"> formularon preguntas sobre el texto. Los resultados mostraron que los estudiantes utilizan dos estrategias diferentes en el aprendizaje de la lectura. Una estrategia con</w:t>
      </w:r>
      <w:r w:rsidR="00EE7F1C" w:rsidRPr="00275A06">
        <w:t xml:space="preserve">siste en tratar de </w:t>
      </w:r>
      <w:r w:rsidR="000014B2" w:rsidRPr="00275A06">
        <w:t>comprender el</w:t>
      </w:r>
      <w:r w:rsidR="00EE7F1C" w:rsidRPr="00275A06">
        <w:t xml:space="preserve"> objetivo </w:t>
      </w:r>
      <w:r w:rsidR="00CB78A0" w:rsidRPr="00275A06">
        <w:t xml:space="preserve">de todo el </w:t>
      </w:r>
      <w:r w:rsidR="000014B2" w:rsidRPr="00275A06">
        <w:t>artículo</w:t>
      </w:r>
      <w:r w:rsidR="00F23136">
        <w:t xml:space="preserve"> y </w:t>
      </w:r>
      <w:r w:rsidR="00CB78A0" w:rsidRPr="00275A06">
        <w:t xml:space="preserve">entender </w:t>
      </w:r>
      <w:r w:rsidR="00B2072B" w:rsidRPr="00275A06">
        <w:t xml:space="preserve">el </w:t>
      </w:r>
      <w:r w:rsidR="00D470FC" w:rsidRPr="00275A06">
        <w:t>contexto</w:t>
      </w:r>
      <w:r w:rsidR="0074243B">
        <w:t xml:space="preserve"> del contenido</w:t>
      </w:r>
      <w:r w:rsidR="00CB78A0" w:rsidRPr="00275A06">
        <w:t>.</w:t>
      </w:r>
      <w:r w:rsidR="00D470FC" w:rsidRPr="00275A06">
        <w:t xml:space="preserve"> Estas son algunas </w:t>
      </w:r>
      <w:r w:rsidR="00CB78A0" w:rsidRPr="00275A06">
        <w:t>característica</w:t>
      </w:r>
      <w:r w:rsidR="006465D3" w:rsidRPr="00275A06">
        <w:t>s</w:t>
      </w:r>
      <w:r w:rsidR="00CB78A0" w:rsidRPr="00275A06">
        <w:t xml:space="preserve"> de</w:t>
      </w:r>
      <w:r w:rsidR="006465D3" w:rsidRPr="00275A06">
        <w:t>l</w:t>
      </w:r>
      <w:r w:rsidR="00CB78A0" w:rsidRPr="00275A06">
        <w:t xml:space="preserve"> </w:t>
      </w:r>
      <w:r w:rsidR="006465D3" w:rsidRPr="00275A06">
        <w:t xml:space="preserve">aprendizaje que </w:t>
      </w:r>
      <w:r w:rsidR="00CB78A0" w:rsidRPr="00275A06">
        <w:t xml:space="preserve">representa el aprendizaje profundo. </w:t>
      </w:r>
    </w:p>
    <w:p w14:paraId="39BC095F" w14:textId="3B44A8C3" w:rsidR="00A85FAB" w:rsidRPr="00275A06" w:rsidRDefault="006465D3" w:rsidP="00275A06">
      <w:pPr>
        <w:ind w:firstLine="708"/>
      </w:pPr>
      <w:r w:rsidRPr="00275A06">
        <w:t>Hay</w:t>
      </w:r>
      <w:r w:rsidR="00CB78A0" w:rsidRPr="00275A06">
        <w:t xml:space="preserve"> otra estrategia</w:t>
      </w:r>
      <w:r w:rsidR="00D461BF" w:rsidRPr="00275A06">
        <w:t xml:space="preserve"> </w:t>
      </w:r>
      <w:r w:rsidRPr="00275A06">
        <w:t xml:space="preserve">que </w:t>
      </w:r>
      <w:r w:rsidR="00CB78A0" w:rsidRPr="00275A06">
        <w:t>consiste</w:t>
      </w:r>
      <w:r w:rsidR="00C212D7" w:rsidRPr="00275A06">
        <w:t xml:space="preserve"> </w:t>
      </w:r>
      <w:r w:rsidR="00F23136">
        <w:t>en un</w:t>
      </w:r>
      <w:r w:rsidR="00F23136" w:rsidRPr="00275A06">
        <w:t xml:space="preserve"> </w:t>
      </w:r>
      <w:r w:rsidR="00D461BF" w:rsidRPr="00275A06">
        <w:t>aprendizaje</w:t>
      </w:r>
      <w:r w:rsidR="003F363B">
        <w:t xml:space="preserve"> más bien</w:t>
      </w:r>
      <w:r w:rsidR="00D461BF" w:rsidRPr="00275A06">
        <w:t xml:space="preserve"> </w:t>
      </w:r>
      <w:r w:rsidR="00C21CF4" w:rsidRPr="00275A06">
        <w:t>mecánico</w:t>
      </w:r>
      <w:r w:rsidR="00CB78A0" w:rsidRPr="00275A06">
        <w:t>, y representa el aprendizaje de superficie o estudio superficial</w:t>
      </w:r>
      <w:r w:rsidR="00BA3ABF" w:rsidRPr="00275A06">
        <w:t xml:space="preserve"> </w:t>
      </w:r>
      <w:r w:rsidR="00BA3ABF" w:rsidRPr="00275A06">
        <w:fldChar w:fldCharType="begin"/>
      </w:r>
      <w:r w:rsidR="00BA3ABF" w:rsidRPr="00275A06">
        <w:instrText xml:space="preserve"> ADDIN EN.CITE &lt;EndNote&gt;&lt;Cite&gt;&lt;Author&gt;Soler-Contreras&lt;/Author&gt;&lt;Year&gt;2017&lt;/Year&gt;&lt;RecNum&gt;17&lt;/RecNum&gt;&lt;DisplayText&gt;(Soler-Contreras, Cárdenas-Salgado, Hernández-Pina, &amp;amp; Monroy-Hernández, 2017)&lt;/DisplayText&gt;&lt;record&gt;&lt;rec-number&gt;17&lt;/rec-number&gt;&lt;foreign-keys&gt;&lt;key app="EN" db-id="xx5zwftv000sx5etrfjp0aajafzaxppv22ep" timestamp="1549922151"&gt;17&lt;/key&gt;&lt;/foreign-keys&gt;&lt;ref-type name="Journal Article"&gt;17&lt;/ref-type&gt;&lt;contributors&gt;&lt;authors&gt;&lt;author&gt;Manuel Guillermo Soler-Contreras&lt;/author&gt;&lt;author&gt;Fidel Antonio Cárdenas-Salgado&lt;/author&gt;&lt;author&gt;Fuensanta Hernández-Pina&lt;/author&gt;&lt;author&gt;esFuensanta Monroy-Hernández &lt;/author&gt;&lt;/authors&gt;&lt;/contributors&gt;&lt;titles&gt;&lt;title&gt;Enfoques de aprendizaje y enfoques de enseñanza: origen y evolución&lt;/title&gt;&lt;secondary-title&gt;Educación y Educadores&lt;/secondary-title&gt;&lt;/titles&gt;&lt;periodical&gt;&lt;full-title&gt;Educación y Educadores&lt;/full-title&gt;&lt;/periodical&gt;&lt;pages&gt;65-88&lt;/pages&gt;&lt;volume&gt;20&lt;/volume&gt;&lt;number&gt;1&lt;/number&gt;&lt;dates&gt;&lt;year&gt;2017&lt;/year&gt;&lt;/dates&gt;&lt;urls&gt;&lt;/urls&gt;&lt;/record&gt;&lt;/Cite&gt;&lt;/EndNote&gt;</w:instrText>
      </w:r>
      <w:r w:rsidR="00BA3ABF" w:rsidRPr="00275A06">
        <w:fldChar w:fldCharType="separate"/>
      </w:r>
      <w:r w:rsidR="00BA3ABF" w:rsidRPr="00275A06">
        <w:rPr>
          <w:noProof/>
        </w:rPr>
        <w:t>(Soler, Cárdenas, Hernández</w:t>
      </w:r>
      <w:r w:rsidR="0074243B">
        <w:rPr>
          <w:noProof/>
        </w:rPr>
        <w:t xml:space="preserve"> y</w:t>
      </w:r>
      <w:r w:rsidR="00BA3ABF" w:rsidRPr="00275A06">
        <w:rPr>
          <w:noProof/>
        </w:rPr>
        <w:t xml:space="preserve"> Monroy, 2017)</w:t>
      </w:r>
      <w:r w:rsidR="00BA3ABF" w:rsidRPr="00275A06">
        <w:fldChar w:fldCharType="end"/>
      </w:r>
      <w:r w:rsidR="00BA3ABF" w:rsidRPr="00275A06">
        <w:t>.</w:t>
      </w:r>
      <w:r w:rsidR="00CB78A0" w:rsidRPr="00275A06">
        <w:t xml:space="preserve"> </w:t>
      </w:r>
      <w:r w:rsidR="00C212D7" w:rsidRPr="00275A06">
        <w:t>También se tienen trabajos</w:t>
      </w:r>
      <w:r w:rsidR="00BA3ABF" w:rsidRPr="00275A06">
        <w:t xml:space="preserve"> </w:t>
      </w:r>
      <w:r w:rsidR="00C212D7" w:rsidRPr="00275A06">
        <w:t xml:space="preserve">desarrollados sobre la teoría del aprendizaje y la profundidad del aprendizaje </w:t>
      </w:r>
      <w:r w:rsidR="00830279" w:rsidRPr="00275A06">
        <w:fldChar w:fldCharType="begin"/>
      </w:r>
      <w:r w:rsidR="00830279" w:rsidRPr="00275A06">
        <w:instrText xml:space="preserve"> ADDIN EN.CITE &lt;EndNote&gt;&lt;Cite&gt;&lt;Author&gt;Sigüenza-Tamayo&lt;/Author&gt;&lt;Year&gt;2015&lt;/Year&gt;&lt;RecNum&gt;16&lt;/RecNum&gt;&lt;DisplayText&gt;(Sigüenza-Tamayo, Arsuaga-Uriarte, García-Alonso, &amp;amp; Martínez-Tola, 2015)&lt;/DisplayText&gt;&lt;record&gt;&lt;rec-number&gt;16&lt;/rec-number&gt;&lt;foreign-keys&gt;&lt;key app="EN" db-id="xx5zwftv000sx5etrfjp0aajafzaxppv22ep" timestamp="1549921945"&gt;16&lt;/key&gt;&lt;/foreign-keys&gt;&lt;ref-type name="Journal Article"&gt;17&lt;/ref-type&gt;&lt;contributors&gt;&lt;authors&gt;&lt;author&gt;Waleska Sigüenza-Tamayo&lt;/author&gt;&lt;author&gt;Ainara Arsuaga-Uriarte&lt;/author&gt;&lt;author&gt;Oihana García-Alonso&lt;/author&gt;&lt;author&gt;Elena Martínez-Tola&lt;/author&gt;&lt;/authors&gt;&lt;/contributors&gt;&lt;titles&gt;&lt;title&gt;Enfoques de aprendizaje antesy después del aprendizaje basadoen problemas&lt;/title&gt;&lt;secondary-title&gt;Opción&lt;/secondary-title&gt;&lt;/titles&gt;&lt;periodical&gt;&lt;full-title&gt;Opción&lt;/full-title&gt;&lt;/periodical&gt;&lt;pages&gt;927-945&lt;/pages&gt;&lt;volume&gt;Año 31&lt;/volume&gt;&lt;number&gt;Especial 4&lt;/number&gt;&lt;dates&gt;&lt;year&gt;2015&lt;/year&gt;&lt;/dates&gt;&lt;urls&gt;&lt;/urls&gt;&lt;/record&gt;&lt;/Cite&gt;&lt;/EndNote&gt;</w:instrText>
      </w:r>
      <w:r w:rsidR="00830279" w:rsidRPr="00275A06">
        <w:fldChar w:fldCharType="separate"/>
      </w:r>
      <w:r w:rsidR="00830279" w:rsidRPr="00275A06">
        <w:rPr>
          <w:noProof/>
        </w:rPr>
        <w:t>(Sigüenza, Arsuaga, García</w:t>
      </w:r>
      <w:r w:rsidR="0074243B">
        <w:rPr>
          <w:noProof/>
        </w:rPr>
        <w:t xml:space="preserve"> y</w:t>
      </w:r>
      <w:r w:rsidR="00830279" w:rsidRPr="00275A06">
        <w:rPr>
          <w:noProof/>
        </w:rPr>
        <w:t xml:space="preserve"> Martínez, 2015)</w:t>
      </w:r>
      <w:r w:rsidR="00830279" w:rsidRPr="00275A06">
        <w:fldChar w:fldCharType="end"/>
      </w:r>
      <w:r w:rsidR="00C212D7" w:rsidRPr="00275A06">
        <w:t>.</w:t>
      </w:r>
      <w:r w:rsidR="00BA3ABF" w:rsidRPr="00275A06">
        <w:t xml:space="preserve"> </w:t>
      </w:r>
    </w:p>
    <w:p w14:paraId="5791A623" w14:textId="77777777" w:rsidR="000D61C0" w:rsidRDefault="000D61C0" w:rsidP="00275A06">
      <w:pPr>
        <w:pStyle w:val="Ttulo2"/>
        <w:spacing w:before="0"/>
        <w:rPr>
          <w:szCs w:val="28"/>
          <w:lang w:eastAsia="es-ES"/>
        </w:rPr>
      </w:pPr>
    </w:p>
    <w:p w14:paraId="7DC04D7C" w14:textId="3F2DB550" w:rsidR="007E7451" w:rsidRPr="00A40A41" w:rsidRDefault="00EE7F1C" w:rsidP="00275A06">
      <w:pPr>
        <w:pStyle w:val="Ttulo2"/>
        <w:spacing w:before="0"/>
        <w:rPr>
          <w:sz w:val="24"/>
          <w:szCs w:val="24"/>
          <w:lang w:val="es-ES_tradnl" w:eastAsia="es-ES"/>
        </w:rPr>
      </w:pPr>
      <w:r w:rsidRPr="00A40A41">
        <w:rPr>
          <w:sz w:val="24"/>
          <w:szCs w:val="24"/>
          <w:lang w:val="es-ES_tradnl" w:eastAsia="es-ES"/>
        </w:rPr>
        <w:t>Av</w:t>
      </w:r>
      <w:r w:rsidR="001446C6" w:rsidRPr="00A40A41">
        <w:rPr>
          <w:sz w:val="24"/>
          <w:szCs w:val="24"/>
          <w:lang w:val="es-ES_tradnl" w:eastAsia="es-ES"/>
        </w:rPr>
        <w:t>ances tecnológicos</w:t>
      </w:r>
    </w:p>
    <w:p w14:paraId="4E9132D7" w14:textId="70B05869" w:rsidR="00CB78A0" w:rsidRPr="00275A06" w:rsidRDefault="00CB78A0" w:rsidP="00D4723A">
      <w:pPr>
        <w:ind w:firstLine="708"/>
        <w:rPr>
          <w:lang w:val="es-ES_tradnl"/>
        </w:rPr>
      </w:pPr>
      <w:r w:rsidRPr="00275A06">
        <w:rPr>
          <w:lang w:val="es-ES_tradnl"/>
        </w:rPr>
        <w:t xml:space="preserve">Con el desarrollo de </w:t>
      </w:r>
      <w:r w:rsidR="004610C0" w:rsidRPr="00275A06">
        <w:rPr>
          <w:lang w:val="es-ES_tradnl"/>
        </w:rPr>
        <w:t xml:space="preserve">las </w:t>
      </w:r>
      <w:r w:rsidRPr="00275A06">
        <w:rPr>
          <w:lang w:val="es-ES_tradnl"/>
        </w:rPr>
        <w:t xml:space="preserve">tecnologías de la información en los últimos años, </w:t>
      </w:r>
      <w:r w:rsidR="00067E80" w:rsidRPr="00275A06">
        <w:rPr>
          <w:lang w:val="es-ES_tradnl"/>
        </w:rPr>
        <w:t xml:space="preserve">diversos investigadores </w:t>
      </w:r>
      <w:r w:rsidRPr="00275A06">
        <w:rPr>
          <w:lang w:val="es-ES_tradnl"/>
        </w:rPr>
        <w:t xml:space="preserve">comenzaron </w:t>
      </w:r>
      <w:r w:rsidR="004610C0" w:rsidRPr="00275A06">
        <w:rPr>
          <w:lang w:val="es-ES_tradnl"/>
        </w:rPr>
        <w:t xml:space="preserve">a analizar </w:t>
      </w:r>
      <w:r w:rsidR="00D443D6" w:rsidRPr="00275A06">
        <w:rPr>
          <w:lang w:val="es-ES_tradnl"/>
        </w:rPr>
        <w:t>procesos de</w:t>
      </w:r>
      <w:r w:rsidR="00AC31C6" w:rsidRPr="00275A06">
        <w:rPr>
          <w:lang w:val="es-ES_tradnl"/>
        </w:rPr>
        <w:t xml:space="preserve"> aprendizaje profundo empleando </w:t>
      </w:r>
      <w:r w:rsidR="00BA3ABF" w:rsidRPr="00275A06">
        <w:rPr>
          <w:lang w:val="es-ES_tradnl"/>
        </w:rPr>
        <w:t>herramientas informáticas</w:t>
      </w:r>
      <w:r w:rsidR="00830279" w:rsidRPr="00275A06">
        <w:rPr>
          <w:lang w:val="es-ES_tradnl"/>
        </w:rPr>
        <w:t xml:space="preserve"> </w:t>
      </w:r>
      <w:r w:rsidR="00830279" w:rsidRPr="00275A06">
        <w:rPr>
          <w:lang w:val="es-ES_tradnl"/>
        </w:rPr>
        <w:fldChar w:fldCharType="begin"/>
      </w:r>
      <w:r w:rsidR="00830279" w:rsidRPr="00275A06">
        <w:rPr>
          <w:lang w:val="es-ES_tradnl"/>
        </w:rPr>
        <w:instrText xml:space="preserve"> ADDIN EN.CITE &lt;EndNote&gt;&lt;Cite&gt;&lt;Author&gt;Romero-Medina&lt;/Author&gt;&lt;Year&gt;2013&lt;/Year&gt;&lt;RecNum&gt;15&lt;/RecNum&gt;&lt;DisplayText&gt;(Elstad, Christophersen, &amp;amp; Turmo, 2012; Romero-Medina et al., 2013)&lt;/DisplayText&gt;&lt;record&gt;&lt;rec-number&gt;15&lt;/rec-number&gt;&lt;foreign-keys&gt;&lt;key app="EN" db-id="xx5zwftv000sx5etrfjp0aajafzaxppv22ep" timestamp="1549921772"&gt;15&lt;/key&gt;&lt;/foreign-keys&gt;&lt;ref-type name="Journal Article"&gt;17&lt;/ref-type&gt;&lt;contributors&gt;&lt;authors&gt;&lt;author&gt;Agustín Romero-Medina&lt;/author&gt;&lt;author&gt;Mª Dolores Hidalgo-Montesinos&lt;/author&gt;&lt;author&gt;Francisca González-Javier&lt;/author&gt;&lt;author&gt;Eduvigis Carrillo-Verdejo&lt;/author&gt;&lt;author&gt;María José Pedraja&lt;/author&gt;&lt;author&gt;Julia García-Sevilla&lt;/author&gt;&lt;author&gt;Miguel Angel Pérez-Sánchez&lt;/author&gt;&lt;/authors&gt;&lt;/contributors&gt;&lt;titles&gt;&lt;title&gt;Enfoques de aprendizaje en estudiantes universitarios: comparación de resultados con los cuestionarios ASSIST y R-SPQ-2F&lt;/title&gt;&lt;secondary-title&gt;Revista de Investigacion Educativa&lt;/secondary-title&gt;&lt;/titles&gt;&lt;periodical&gt;&lt;full-title&gt;Revista de Investigacion Educativa&lt;/full-title&gt;&lt;/periodical&gt;&lt;pages&gt;375-391&lt;/pages&gt;&lt;volume&gt;31&lt;/volume&gt;&lt;number&gt;2&lt;/number&gt;&lt;dates&gt;&lt;year&gt;2013&lt;/year&gt;&lt;/dates&gt;&lt;urls&gt;&lt;/urls&gt;&lt;/record&gt;&lt;/Cite&gt;&lt;Cite&gt;&lt;Author&gt;Elstad&lt;/Author&gt;&lt;Year&gt;2012&lt;/Year&gt;&lt;RecNum&gt;6&lt;/RecNum&gt;&lt;record&gt;&lt;rec-number&gt;6&lt;/rec-number&gt;&lt;foreign-keys&gt;&lt;key app="EN" db-id="xx5zwftv000sx5etrfjp0aajafzaxppv22ep" timestamp="1549919094"&gt;6&lt;/key&gt;&lt;/foreign-keys&gt;&lt;ref-type name="Journal Article"&gt;17&lt;/ref-type&gt;&lt;contributors&gt;&lt;authors&gt;&lt;author&gt;Eyvind Elstad&lt;/author&gt;&lt;author&gt;Knut-Andreas Christophersen&lt;/author&gt;&lt;author&gt;Are Turmo&lt;/author&gt;&lt;/authors&gt;&lt;/contributors&gt;&lt;titles&gt;&lt;title&gt;The influence of parents and teachers on the deep learning approach of pupils in norwegian upper-secondary schools&lt;/title&gt;&lt;secondary-title&gt;Electronic Journal of Research in Educational Psychology&lt;/secondary-title&gt;&lt;/titles&gt;&lt;periodical&gt;&lt;full-title&gt;Electronic Journal of Research in Educational Psychology&lt;/full-title&gt;&lt;/periodical&gt;&lt;pages&gt;35-56&lt;/pages&gt;&lt;volume&gt;10&lt;/volume&gt;&lt;number&gt;1&lt;/number&gt;&lt;dates&gt;&lt;year&gt;2012&lt;/year&gt;&lt;/dates&gt;&lt;urls&gt;&lt;/urls&gt;&lt;/record&gt;&lt;/Cite&gt;&lt;/EndNote&gt;</w:instrText>
      </w:r>
      <w:r w:rsidR="00830279" w:rsidRPr="00275A06">
        <w:rPr>
          <w:lang w:val="es-ES_tradnl"/>
        </w:rPr>
        <w:fldChar w:fldCharType="separate"/>
      </w:r>
      <w:r w:rsidR="00830279" w:rsidRPr="00275A06">
        <w:rPr>
          <w:noProof/>
          <w:lang w:val="es-ES_tradnl"/>
        </w:rPr>
        <w:t>(Elstad, Christophersen</w:t>
      </w:r>
      <w:r w:rsidR="0074243B">
        <w:rPr>
          <w:noProof/>
          <w:lang w:val="es-ES_tradnl"/>
        </w:rPr>
        <w:t xml:space="preserve"> y </w:t>
      </w:r>
      <w:r w:rsidR="00830279" w:rsidRPr="00275A06">
        <w:rPr>
          <w:noProof/>
          <w:lang w:val="es-ES_tradnl"/>
        </w:rPr>
        <w:t xml:space="preserve">Turmo, 2012; Romero </w:t>
      </w:r>
      <w:r w:rsidR="00830279" w:rsidRPr="00D4723A">
        <w:rPr>
          <w:i/>
          <w:iCs/>
          <w:noProof/>
          <w:lang w:val="es-ES_tradnl"/>
        </w:rPr>
        <w:t>et al</w:t>
      </w:r>
      <w:r w:rsidR="00830279" w:rsidRPr="00275A06">
        <w:rPr>
          <w:noProof/>
          <w:lang w:val="es-ES_tradnl"/>
        </w:rPr>
        <w:t>., 2013)</w:t>
      </w:r>
      <w:r w:rsidR="00830279" w:rsidRPr="00275A06">
        <w:rPr>
          <w:lang w:val="es-ES_tradnl"/>
        </w:rPr>
        <w:fldChar w:fldCharType="end"/>
      </w:r>
      <w:r w:rsidR="00BA3ABF" w:rsidRPr="00275A06">
        <w:rPr>
          <w:lang w:val="es-ES_tradnl"/>
        </w:rPr>
        <w:t>.</w:t>
      </w:r>
    </w:p>
    <w:p w14:paraId="00390ED5" w14:textId="18A05ACA" w:rsidR="00CB78A0" w:rsidRPr="00275A06" w:rsidRDefault="007B3529" w:rsidP="00D4723A">
      <w:pPr>
        <w:ind w:firstLine="708"/>
        <w:rPr>
          <w:lang w:val="es-ES_tradnl"/>
        </w:rPr>
      </w:pPr>
      <w:r>
        <w:rPr>
          <w:lang w:val="es-ES_tradnl"/>
        </w:rPr>
        <w:t>Por ejemplo</w:t>
      </w:r>
      <w:r w:rsidR="00067E80" w:rsidRPr="00275A06">
        <w:rPr>
          <w:lang w:val="es-ES_tradnl"/>
        </w:rPr>
        <w:t>,</w:t>
      </w:r>
      <w:r w:rsidR="00651464" w:rsidRPr="00275A06">
        <w:rPr>
          <w:lang w:val="es-ES_tradnl"/>
        </w:rPr>
        <w:t xml:space="preserve"> se analizó</w:t>
      </w:r>
      <w:r>
        <w:rPr>
          <w:lang w:val="es-ES_tradnl"/>
        </w:rPr>
        <w:t xml:space="preserve"> la</w:t>
      </w:r>
      <w:r w:rsidR="00CB78A0" w:rsidRPr="00275A06">
        <w:rPr>
          <w:lang w:val="es-ES_tradnl"/>
        </w:rPr>
        <w:t xml:space="preserve"> </w:t>
      </w:r>
      <w:r w:rsidR="00651464" w:rsidRPr="00275A06">
        <w:rPr>
          <w:lang w:val="es-ES_tradnl"/>
        </w:rPr>
        <w:t xml:space="preserve">lectura especializada </w:t>
      </w:r>
      <w:r>
        <w:rPr>
          <w:lang w:val="es-ES_tradnl"/>
        </w:rPr>
        <w:t>con el fin de</w:t>
      </w:r>
      <w:r w:rsidRPr="00275A06">
        <w:rPr>
          <w:lang w:val="es-ES_tradnl"/>
        </w:rPr>
        <w:t xml:space="preserve"> </w:t>
      </w:r>
      <w:r w:rsidR="001446C6" w:rsidRPr="00275A06">
        <w:rPr>
          <w:lang w:val="es-ES_tradnl"/>
        </w:rPr>
        <w:t>que los</w:t>
      </w:r>
      <w:r w:rsidR="00830279" w:rsidRPr="00275A06">
        <w:rPr>
          <w:lang w:val="es-ES_tradnl"/>
        </w:rPr>
        <w:t xml:space="preserve"> estudiantes</w:t>
      </w:r>
      <w:r w:rsidR="00651464" w:rsidRPr="00275A06">
        <w:rPr>
          <w:shd w:val="clear" w:color="auto" w:fill="FFFFFF"/>
        </w:rPr>
        <w:t> </w:t>
      </w:r>
      <w:r w:rsidR="00C416BE" w:rsidRPr="00275A06">
        <w:rPr>
          <w:shd w:val="clear" w:color="auto" w:fill="FFFFFF"/>
        </w:rPr>
        <w:t>llev</w:t>
      </w:r>
      <w:r w:rsidR="00C416BE">
        <w:rPr>
          <w:shd w:val="clear" w:color="auto" w:fill="FFFFFF"/>
        </w:rPr>
        <w:t>aran a</w:t>
      </w:r>
      <w:r w:rsidR="00651464" w:rsidRPr="00275A06">
        <w:rPr>
          <w:shd w:val="clear" w:color="auto" w:fill="FFFFFF"/>
        </w:rPr>
        <w:t xml:space="preserve"> cabo una sistematización bastante amplia acerca de </w:t>
      </w:r>
      <w:r w:rsidR="00C416BE">
        <w:rPr>
          <w:shd w:val="clear" w:color="auto" w:fill="FFFFFF"/>
        </w:rPr>
        <w:t xml:space="preserve">algunas </w:t>
      </w:r>
      <w:r w:rsidR="00651464" w:rsidRPr="00275A06">
        <w:rPr>
          <w:shd w:val="clear" w:color="auto" w:fill="FFFFFF"/>
        </w:rPr>
        <w:t>concepciones sobre</w:t>
      </w:r>
      <w:r w:rsidR="00651464" w:rsidRPr="00275A06">
        <w:rPr>
          <w:lang w:val="es-ES_tradnl"/>
        </w:rPr>
        <w:t xml:space="preserve"> </w:t>
      </w:r>
      <w:r w:rsidR="000E6BEE">
        <w:rPr>
          <w:lang w:val="es-ES_tradnl"/>
        </w:rPr>
        <w:t>el</w:t>
      </w:r>
      <w:r w:rsidR="000E6BEE" w:rsidRPr="00275A06">
        <w:rPr>
          <w:lang w:val="es-ES_tradnl"/>
        </w:rPr>
        <w:t xml:space="preserve"> </w:t>
      </w:r>
      <w:r w:rsidR="001446C6" w:rsidRPr="00275A06">
        <w:rPr>
          <w:lang w:val="es-ES_tradnl"/>
        </w:rPr>
        <w:t xml:space="preserve">aprendizaje </w:t>
      </w:r>
      <w:r w:rsidR="00CB78A0" w:rsidRPr="00275A06">
        <w:rPr>
          <w:lang w:val="es-ES_tradnl"/>
        </w:rPr>
        <w:t>profund</w:t>
      </w:r>
      <w:r w:rsidR="001446C6" w:rsidRPr="00275A06">
        <w:rPr>
          <w:lang w:val="es-ES_tradnl"/>
        </w:rPr>
        <w:t xml:space="preserve">o </w:t>
      </w:r>
      <w:r w:rsidR="00CB78A0" w:rsidRPr="00275A06">
        <w:rPr>
          <w:lang w:val="es-ES_tradnl"/>
        </w:rPr>
        <w:t>a través del uso de</w:t>
      </w:r>
      <w:r w:rsidR="00CF6D5A">
        <w:rPr>
          <w:lang w:val="es-ES_tradnl"/>
        </w:rPr>
        <w:t xml:space="preserve"> determinadas</w:t>
      </w:r>
      <w:r w:rsidR="00CB78A0" w:rsidRPr="00275A06">
        <w:rPr>
          <w:lang w:val="es-ES_tradnl"/>
        </w:rPr>
        <w:t xml:space="preserve"> h</w:t>
      </w:r>
      <w:r w:rsidR="001446C6" w:rsidRPr="00275A06">
        <w:rPr>
          <w:lang w:val="es-ES_tradnl"/>
        </w:rPr>
        <w:t xml:space="preserve">erramientas </w:t>
      </w:r>
      <w:r w:rsidR="000F1012" w:rsidRPr="00275A06">
        <w:rPr>
          <w:lang w:val="es-ES_tradnl"/>
        </w:rPr>
        <w:fldChar w:fldCharType="begin"/>
      </w:r>
      <w:r w:rsidR="000F1012" w:rsidRPr="00275A06">
        <w:rPr>
          <w:lang w:val="es-ES_tradnl"/>
        </w:rPr>
        <w:instrText xml:space="preserve"> ADDIN EN.CITE &lt;EndNote&gt;&lt;Cite&gt;&lt;Author&gt;Ortega-Díaz&lt;/Author&gt;&lt;Year&gt;2015&lt;/Year&gt;&lt;RecNum&gt;13&lt;/RecNum&gt;&lt;DisplayText&gt;(Ortega-Díaz &amp;amp; Hernández-Pérez, 2015; Ortega-Estrada, 2017)&lt;/DisplayText&gt;&lt;record&gt;&lt;rec-number&gt;13&lt;/rec-number&gt;&lt;foreign-keys&gt;&lt;key app="EN" db-id="xx5zwftv000sx5etrfjp0aajafzaxppv22ep" timestamp="1549921168"&gt;13&lt;/key&gt;&lt;/foreign-keys&gt;&lt;ref-type name="Journal Article"&gt;17&lt;/ref-type&gt;&lt;contributors&gt;&lt;authors&gt;&lt;author&gt;Cecilia Ortega-Díaz&lt;/author&gt;&lt;author&gt;Antonio Hernández-Pérez&lt;/author&gt;&lt;/authors&gt;&lt;/contributors&gt;&lt;titles&gt;&lt;title&gt;Hacia el aprendizaje profundo en la reflexión de la práctica docente&lt;/title&gt;&lt;secondary-title&gt;RA XIMHAI &lt;/secondary-title&gt;&lt;/titles&gt;&lt;periodical&gt;&lt;full-title&gt;RA XIMHAI&lt;/full-title&gt;&lt;/periodical&gt;&lt;pages&gt;213-220&lt;/pages&gt;&lt;volume&gt;11&lt;/volume&gt;&lt;number&gt;4&lt;/number&gt;&lt;dates&gt;&lt;year&gt;2015&lt;/year&gt;&lt;/dates&gt;&lt;urls&gt;&lt;/urls&gt;&lt;/record&gt;&lt;/Cite&gt;&lt;Cite&gt;&lt;Author&gt;Ortega-Estrada&lt;/Author&gt;&lt;Year&gt;2017&lt;/Year&gt;&lt;RecNum&gt;12&lt;/RecNum&gt;&lt;record&gt;&lt;rec-number&gt;12&lt;/rec-number&gt;&lt;foreign-keys&gt;&lt;key app="EN" db-id="xx5zwftv000sx5etrfjp0aajafzaxppv22ep" timestamp="1549920917"&gt;12&lt;/key&gt;&lt;/foreign-keys&gt;&lt;ref-type name="Journal Article"&gt;17&lt;/ref-type&gt;&lt;contributors&gt;&lt;authors&gt;&lt;author&gt;Federico Ortega-Estrada&lt;/author&gt;&lt;/authors&gt;&lt;/contributors&gt;&lt;titles&gt;&lt;title&gt;Principios e implicaciones del Nuevo Modelo Educativo&lt;/title&gt;&lt;secondary-title&gt;Revista Latinoamericana de Estudios Educativos&lt;/secondary-title&gt;&lt;/titles&gt;&lt;periodical&gt;&lt;full-title&gt;Revista Latinoamericana de Estudios Educativos&lt;/full-title&gt;&lt;/periodical&gt;&lt;pages&gt;43-62&lt;/pages&gt;&lt;volume&gt;XLVII&lt;/volume&gt;&lt;number&gt;1&lt;/number&gt;&lt;dates&gt;&lt;year&gt;2017&lt;/year&gt;&lt;/dates&gt;&lt;urls&gt;&lt;/urls&gt;&lt;/record&gt;&lt;/Cite&gt;&lt;/EndNote&gt;</w:instrText>
      </w:r>
      <w:r w:rsidR="000F1012" w:rsidRPr="00275A06">
        <w:rPr>
          <w:lang w:val="es-ES_tradnl"/>
        </w:rPr>
        <w:fldChar w:fldCharType="separate"/>
      </w:r>
      <w:r w:rsidR="000F1012" w:rsidRPr="00275A06">
        <w:rPr>
          <w:noProof/>
          <w:lang w:val="es-ES_tradnl"/>
        </w:rPr>
        <w:t xml:space="preserve">(Ortega </w:t>
      </w:r>
      <w:r w:rsidR="00CF6D5A">
        <w:rPr>
          <w:noProof/>
          <w:lang w:val="es-ES_tradnl"/>
        </w:rPr>
        <w:t>y</w:t>
      </w:r>
      <w:r w:rsidR="00CF6D5A" w:rsidRPr="00275A06">
        <w:rPr>
          <w:noProof/>
          <w:lang w:val="es-ES_tradnl"/>
        </w:rPr>
        <w:t xml:space="preserve"> </w:t>
      </w:r>
      <w:r w:rsidR="000F1012" w:rsidRPr="00275A06">
        <w:rPr>
          <w:noProof/>
          <w:lang w:val="es-ES_tradnl"/>
        </w:rPr>
        <w:t>Hernández, 2015; Ortega, 2017)</w:t>
      </w:r>
      <w:r w:rsidR="000F1012" w:rsidRPr="00275A06">
        <w:rPr>
          <w:lang w:val="es-ES_tradnl"/>
        </w:rPr>
        <w:fldChar w:fldCharType="end"/>
      </w:r>
      <w:r w:rsidR="00BA3ABF" w:rsidRPr="00275A06">
        <w:rPr>
          <w:lang w:val="es-ES_tradnl"/>
        </w:rPr>
        <w:t>.</w:t>
      </w:r>
    </w:p>
    <w:p w14:paraId="1954004C" w14:textId="678790F6" w:rsidR="007625D7" w:rsidRPr="00275A06" w:rsidRDefault="00CF6D5A">
      <w:pPr>
        <w:ind w:firstLine="708"/>
        <w:rPr>
          <w:lang w:val="es-ES_tradnl"/>
        </w:rPr>
      </w:pPr>
      <w:r>
        <w:rPr>
          <w:lang w:val="es-ES_tradnl"/>
        </w:rPr>
        <w:t>Como ya se mencionó, e</w:t>
      </w:r>
      <w:r w:rsidRPr="00275A06">
        <w:rPr>
          <w:lang w:val="es-ES_tradnl"/>
        </w:rPr>
        <w:t xml:space="preserve">l </w:t>
      </w:r>
      <w:r w:rsidR="00CB78A0" w:rsidRPr="00275A06">
        <w:rPr>
          <w:lang w:val="es-ES_tradnl"/>
        </w:rPr>
        <w:t>aprendizaje superficial representa un</w:t>
      </w:r>
      <w:r w:rsidR="004610C0" w:rsidRPr="00275A06">
        <w:rPr>
          <w:lang w:val="es-ES_tradnl"/>
        </w:rPr>
        <w:t>a forma mecánica de aprendizaje</w:t>
      </w:r>
      <w:r w:rsidR="000E6BEE">
        <w:rPr>
          <w:lang w:val="es-ES_tradnl"/>
        </w:rPr>
        <w:t>.</w:t>
      </w:r>
      <w:r w:rsidR="000E6BEE" w:rsidRPr="00275A06">
        <w:rPr>
          <w:lang w:val="es-ES_tradnl"/>
        </w:rPr>
        <w:t xml:space="preserve"> </w:t>
      </w:r>
      <w:r w:rsidR="000E6BEE">
        <w:rPr>
          <w:lang w:val="es-ES_tradnl"/>
        </w:rPr>
        <w:t>U</w:t>
      </w:r>
      <w:r w:rsidR="000E6BEE" w:rsidRPr="00275A06">
        <w:rPr>
          <w:lang w:val="es-ES_tradnl"/>
        </w:rPr>
        <w:t xml:space="preserve">n </w:t>
      </w:r>
      <w:r w:rsidR="004610C0" w:rsidRPr="00275A06">
        <w:rPr>
          <w:lang w:val="es-ES_tradnl"/>
        </w:rPr>
        <w:t>a</w:t>
      </w:r>
      <w:r w:rsidR="00067E80" w:rsidRPr="00275A06">
        <w:rPr>
          <w:lang w:val="es-ES_tradnl"/>
        </w:rPr>
        <w:t>lumno</w:t>
      </w:r>
      <w:r w:rsidR="000E6BEE">
        <w:rPr>
          <w:lang w:val="es-ES_tradnl"/>
        </w:rPr>
        <w:t>,</w:t>
      </w:r>
      <w:r w:rsidR="00067E80" w:rsidRPr="00275A06">
        <w:rPr>
          <w:lang w:val="es-ES_tradnl"/>
        </w:rPr>
        <w:t xml:space="preserve"> para completar una</w:t>
      </w:r>
      <w:r w:rsidR="00CB78A0" w:rsidRPr="00275A06">
        <w:rPr>
          <w:lang w:val="es-ES_tradnl"/>
        </w:rPr>
        <w:t xml:space="preserve"> tarea</w:t>
      </w:r>
      <w:r w:rsidR="000E6BEE">
        <w:rPr>
          <w:lang w:val="es-ES_tradnl"/>
        </w:rPr>
        <w:t>,</w:t>
      </w:r>
      <w:r w:rsidR="00CB78A0" w:rsidRPr="00275A06">
        <w:rPr>
          <w:lang w:val="es-ES_tradnl"/>
        </w:rPr>
        <w:t xml:space="preserve"> </w:t>
      </w:r>
      <w:r w:rsidR="004610C0" w:rsidRPr="00275A06">
        <w:rPr>
          <w:lang w:val="es-ES_tradnl"/>
        </w:rPr>
        <w:t xml:space="preserve">deberá </w:t>
      </w:r>
      <w:r w:rsidR="00CB78A0" w:rsidRPr="00275A06">
        <w:rPr>
          <w:lang w:val="es-ES_tradnl"/>
        </w:rPr>
        <w:t>aceptar</w:t>
      </w:r>
      <w:r w:rsidR="00067E80" w:rsidRPr="00275A06">
        <w:rPr>
          <w:lang w:val="es-ES_tradnl"/>
        </w:rPr>
        <w:t xml:space="preserve">, pasivamente, </w:t>
      </w:r>
      <w:r w:rsidR="00CB78A0" w:rsidRPr="00275A06">
        <w:rPr>
          <w:lang w:val="es-ES_tradnl"/>
        </w:rPr>
        <w:t>el contenido de</w:t>
      </w:r>
      <w:r w:rsidR="004610C0" w:rsidRPr="00275A06">
        <w:rPr>
          <w:lang w:val="es-ES_tradnl"/>
        </w:rPr>
        <w:t>l aprendizaje y</w:t>
      </w:r>
      <w:r w:rsidR="00CB78A0" w:rsidRPr="00275A06">
        <w:rPr>
          <w:lang w:val="es-ES_tradnl"/>
        </w:rPr>
        <w:t xml:space="preserve"> la información</w:t>
      </w:r>
      <w:r w:rsidR="00E72EFF">
        <w:rPr>
          <w:lang w:val="es-ES_tradnl"/>
        </w:rPr>
        <w:t>. Además, este tipo de aprendizaje</w:t>
      </w:r>
      <w:r w:rsidR="00A44BEA">
        <w:rPr>
          <w:lang w:val="es-ES_tradnl"/>
        </w:rPr>
        <w:t xml:space="preserve"> </w:t>
      </w:r>
      <w:r w:rsidR="00E72EFF">
        <w:rPr>
          <w:lang w:val="es-ES_tradnl"/>
        </w:rPr>
        <w:t>concibe</w:t>
      </w:r>
      <w:r w:rsidR="00A44BEA">
        <w:rPr>
          <w:lang w:val="es-ES_tradnl"/>
        </w:rPr>
        <w:t xml:space="preserve"> a ambos procesos como</w:t>
      </w:r>
      <w:r w:rsidR="004610C0" w:rsidRPr="00275A06">
        <w:rPr>
          <w:lang w:val="es-ES_tradnl"/>
        </w:rPr>
        <w:t xml:space="preserve"> aislados,</w:t>
      </w:r>
      <w:r w:rsidR="00A44BEA">
        <w:rPr>
          <w:lang w:val="es-ES_tradnl"/>
        </w:rPr>
        <w:t xml:space="preserve"> es decir,</w:t>
      </w:r>
      <w:r w:rsidR="00CB78A0" w:rsidRPr="00275A06">
        <w:rPr>
          <w:lang w:val="es-ES_tradnl"/>
        </w:rPr>
        <w:t xml:space="preserve"> </w:t>
      </w:r>
      <w:r w:rsidR="004610C0" w:rsidRPr="00275A06">
        <w:rPr>
          <w:lang w:val="es-ES_tradnl"/>
        </w:rPr>
        <w:t xml:space="preserve">representan </w:t>
      </w:r>
      <w:r w:rsidR="00CB78A0" w:rsidRPr="00275A06">
        <w:rPr>
          <w:lang w:val="es-ES_tradnl"/>
        </w:rPr>
        <w:t>hechos no relacionados</w:t>
      </w:r>
      <w:r w:rsidR="00BA3ABF" w:rsidRPr="00275A06">
        <w:rPr>
          <w:lang w:val="es-ES_tradnl"/>
        </w:rPr>
        <w:t xml:space="preserve"> </w:t>
      </w:r>
      <w:r w:rsidR="00270AA4" w:rsidRPr="00275A06">
        <w:rPr>
          <w:lang w:val="es-ES_tradnl"/>
        </w:rPr>
        <w:fldChar w:fldCharType="begin"/>
      </w:r>
      <w:r w:rsidR="00270AA4" w:rsidRPr="00275A06">
        <w:rPr>
          <w:lang w:val="es-ES_tradnl"/>
        </w:rPr>
        <w:instrText xml:space="preserve"> ADDIN EN.CITE &lt;EndNote&gt;&lt;Cite&gt;&lt;Author&gt;Díaz-Mujica&lt;/Author&gt;&lt;Year&gt;2013&lt;/Year&gt;&lt;RecNum&gt;5&lt;/RecNum&gt;&lt;DisplayText&gt;(Díaz-Mujica &amp;amp; Pérez-Villalobos, 2013)&lt;/DisplayText&gt;&lt;record&gt;&lt;rec-number&gt;5&lt;/rec-number&gt;&lt;foreign-keys&gt;&lt;key app="EN" db-id="xx5zwftv000sx5etrfjp0aajafzaxppv22ep" timestamp="1549915442"&gt;5&lt;/key&gt;&lt;/foreign-keys&gt;&lt;ref-type name="Journal Article"&gt;17&lt;/ref-type&gt;&lt;contributors&gt;&lt;authors&gt;&lt;author&gt;Alejandro Díaz-Mujica&lt;/author&gt;&lt;author&gt;Ma. Victoria Pérez-Villalobos&lt;/author&gt;&lt;/authors&gt;&lt;/contributors&gt;&lt;titles&gt;&lt;title&gt;Autoeficacia, enfoque de aprendizaje profundo y estrategias de aprendizaje&lt;/title&gt;&lt;secondary-title&gt;International Journal of Developmental and Educational Psychology&lt;/secondary-title&gt;&lt;/titles&gt;&lt;periodical&gt;&lt;full-title&gt;International Journal of Developmental and Educational Psychology&lt;/full-title&gt;&lt;/periodical&gt;&lt;pages&gt;341-346&lt;/pages&gt;&lt;volume&gt;2&lt;/volume&gt;&lt;number&gt;1&lt;/number&gt;&lt;dates&gt;&lt;year&gt;2013&lt;/year&gt;&lt;/dates&gt;&lt;urls&gt;&lt;/urls&gt;&lt;/record&gt;&lt;/Cite&gt;&lt;/EndNote&gt;</w:instrText>
      </w:r>
      <w:r w:rsidR="00270AA4" w:rsidRPr="00275A06">
        <w:rPr>
          <w:lang w:val="es-ES_tradnl"/>
        </w:rPr>
        <w:fldChar w:fldCharType="separate"/>
      </w:r>
      <w:r w:rsidR="00270AA4" w:rsidRPr="00275A06">
        <w:rPr>
          <w:noProof/>
          <w:lang w:val="es-ES_tradnl"/>
        </w:rPr>
        <w:t xml:space="preserve">(Díaz </w:t>
      </w:r>
      <w:r w:rsidR="00A44BEA">
        <w:rPr>
          <w:noProof/>
          <w:lang w:val="es-ES_tradnl"/>
        </w:rPr>
        <w:t>y</w:t>
      </w:r>
      <w:r w:rsidR="00A44BEA" w:rsidRPr="00275A06">
        <w:rPr>
          <w:noProof/>
          <w:lang w:val="es-ES_tradnl"/>
        </w:rPr>
        <w:t xml:space="preserve"> </w:t>
      </w:r>
      <w:r w:rsidR="00270AA4" w:rsidRPr="00275A06">
        <w:rPr>
          <w:noProof/>
          <w:lang w:val="es-ES_tradnl"/>
        </w:rPr>
        <w:t>Pérez, 2013)</w:t>
      </w:r>
      <w:r w:rsidR="00270AA4" w:rsidRPr="00275A06">
        <w:rPr>
          <w:lang w:val="es-ES_tradnl"/>
        </w:rPr>
        <w:fldChar w:fldCharType="end"/>
      </w:r>
      <w:r w:rsidR="00CB78A0" w:rsidRPr="00275A06">
        <w:rPr>
          <w:lang w:val="es-ES_tradnl"/>
        </w:rPr>
        <w:t>.</w:t>
      </w:r>
      <w:r w:rsidR="00067E80" w:rsidRPr="00275A06">
        <w:rPr>
          <w:lang w:val="es-ES_tradnl"/>
        </w:rPr>
        <w:t xml:space="preserve"> </w:t>
      </w:r>
      <w:r w:rsidR="00A44BEA">
        <w:rPr>
          <w:lang w:val="es-ES_tradnl"/>
        </w:rPr>
        <w:t>Precisamente en</w:t>
      </w:r>
      <w:r w:rsidR="00A44BEA" w:rsidRPr="00275A06">
        <w:rPr>
          <w:lang w:val="es-ES_tradnl"/>
        </w:rPr>
        <w:t xml:space="preserve"> </w:t>
      </w:r>
      <w:r w:rsidR="00A44BEA">
        <w:rPr>
          <w:lang w:val="es-ES_tradnl"/>
        </w:rPr>
        <w:t>el estudio de Díaz y Pérez (2013)</w:t>
      </w:r>
      <w:r w:rsidR="00A44BEA" w:rsidRPr="00275A06">
        <w:rPr>
          <w:lang w:val="es-ES_tradnl"/>
        </w:rPr>
        <w:t xml:space="preserve"> </w:t>
      </w:r>
      <w:r w:rsidR="00CB78A0" w:rsidRPr="00275A06">
        <w:rPr>
          <w:lang w:val="es-ES_tradnl"/>
        </w:rPr>
        <w:t xml:space="preserve">se analiza la memoria a corto plazo y la información </w:t>
      </w:r>
      <w:r w:rsidR="00A44BEA">
        <w:rPr>
          <w:lang w:val="es-ES_tradnl"/>
        </w:rPr>
        <w:t>con miras a</w:t>
      </w:r>
      <w:r w:rsidR="00A44BEA" w:rsidRPr="00275A06">
        <w:rPr>
          <w:lang w:val="es-ES_tradnl"/>
        </w:rPr>
        <w:t xml:space="preserve"> </w:t>
      </w:r>
      <w:r w:rsidR="00CB78A0" w:rsidRPr="00275A06">
        <w:rPr>
          <w:lang w:val="es-ES_tradnl"/>
        </w:rPr>
        <w:t>que los estudiantes después de la escuela no olviden lo aprendido. Para hacer lo anterior</w:t>
      </w:r>
      <w:r w:rsidR="00951B33" w:rsidRPr="00275A06">
        <w:rPr>
          <w:lang w:val="es-ES_tradnl"/>
        </w:rPr>
        <w:t>,</w:t>
      </w:r>
      <w:r w:rsidR="00E72EFF">
        <w:rPr>
          <w:lang w:val="es-ES_tradnl"/>
        </w:rPr>
        <w:t xml:space="preserve"> concluyeron estos investigadores,</w:t>
      </w:r>
      <w:r w:rsidR="00951B33" w:rsidRPr="00275A06">
        <w:rPr>
          <w:lang w:val="es-ES_tradnl"/>
        </w:rPr>
        <w:t xml:space="preserve"> </w:t>
      </w:r>
      <w:r w:rsidR="00CB78A0" w:rsidRPr="00275A06">
        <w:rPr>
          <w:lang w:val="es-ES_tradnl"/>
        </w:rPr>
        <w:t xml:space="preserve">los </w:t>
      </w:r>
      <w:r w:rsidR="00A44BEA">
        <w:rPr>
          <w:lang w:val="es-ES_tradnl"/>
        </w:rPr>
        <w:t>alumnos</w:t>
      </w:r>
      <w:r w:rsidR="00A44BEA" w:rsidRPr="00275A06">
        <w:rPr>
          <w:lang w:val="es-ES_tradnl"/>
        </w:rPr>
        <w:t xml:space="preserve"> </w:t>
      </w:r>
      <w:r w:rsidR="00CB78A0" w:rsidRPr="00275A06">
        <w:rPr>
          <w:lang w:val="es-ES_tradnl"/>
        </w:rPr>
        <w:t xml:space="preserve">necesitan </w:t>
      </w:r>
      <w:r w:rsidR="00CB78A0" w:rsidRPr="00275A06">
        <w:rPr>
          <w:lang w:val="es-ES_tradnl"/>
        </w:rPr>
        <w:lastRenderedPageBreak/>
        <w:t>aprender a conducir una fuerza externa, normalmente a través de una escala de calificación, como lo es aprobar el exame</w:t>
      </w:r>
      <w:r w:rsidR="00295B7F" w:rsidRPr="00275A06">
        <w:rPr>
          <w:lang w:val="es-ES_tradnl"/>
        </w:rPr>
        <w:t>n</w:t>
      </w:r>
      <w:r w:rsidR="00A44BEA">
        <w:rPr>
          <w:lang w:val="es-ES_tradnl"/>
        </w:rPr>
        <w:t>,</w:t>
      </w:r>
      <w:r w:rsidR="00295B7F" w:rsidRPr="00275A06">
        <w:rPr>
          <w:lang w:val="es-ES_tradnl"/>
        </w:rPr>
        <w:t xml:space="preserve"> o</w:t>
      </w:r>
      <w:r w:rsidR="00A44BEA">
        <w:rPr>
          <w:lang w:val="es-ES_tradnl"/>
        </w:rPr>
        <w:t xml:space="preserve"> mediante</w:t>
      </w:r>
      <w:r w:rsidR="00295B7F" w:rsidRPr="00275A06">
        <w:rPr>
          <w:lang w:val="es-ES_tradnl"/>
        </w:rPr>
        <w:t xml:space="preserve"> actividades de seguimiento.</w:t>
      </w:r>
    </w:p>
    <w:p w14:paraId="29F7017A" w14:textId="5BB11EF1" w:rsidR="00BA3ABF" w:rsidRPr="00275A06" w:rsidRDefault="009E4D12" w:rsidP="00D4723A">
      <w:pPr>
        <w:ind w:firstLine="708"/>
        <w:rPr>
          <w:lang w:val="es-ES_tradnl"/>
        </w:rPr>
      </w:pPr>
      <w:r>
        <w:rPr>
          <w:lang w:val="es-ES_tradnl"/>
        </w:rPr>
        <w:t>Sin embargo, de acuerdo con el aprendizaje profundo, los</w:t>
      </w:r>
      <w:r w:rsidR="007625D7" w:rsidRPr="00275A06">
        <w:rPr>
          <w:lang w:val="es-ES_tradnl"/>
        </w:rPr>
        <w:t xml:space="preserve"> </w:t>
      </w:r>
      <w:r w:rsidR="00CB78A0" w:rsidRPr="00275A06">
        <w:rPr>
          <w:lang w:val="es-ES_tradnl"/>
        </w:rPr>
        <w:t>alumnos pueden aprender nuevas ideas y hechos críticamente</w:t>
      </w:r>
      <w:r w:rsidR="00D56A18" w:rsidRPr="00275A06">
        <w:rPr>
          <w:lang w:val="es-ES_tradnl"/>
        </w:rPr>
        <w:t>,</w:t>
      </w:r>
      <w:r w:rsidR="00CB78A0" w:rsidRPr="00275A06">
        <w:rPr>
          <w:lang w:val="es-ES_tradnl"/>
        </w:rPr>
        <w:t xml:space="preserve"> e incorporar</w:t>
      </w:r>
      <w:r>
        <w:rPr>
          <w:lang w:val="es-ES_tradnl"/>
        </w:rPr>
        <w:t>los</w:t>
      </w:r>
      <w:r w:rsidR="00CB78A0" w:rsidRPr="00275A06">
        <w:rPr>
          <w:lang w:val="es-ES_tradnl"/>
        </w:rPr>
        <w:t xml:space="preserve"> </w:t>
      </w:r>
      <w:r w:rsidR="007B1E65">
        <w:rPr>
          <w:lang w:val="es-ES_tradnl"/>
        </w:rPr>
        <w:t>a</w:t>
      </w:r>
      <w:r w:rsidR="00162F0E" w:rsidRPr="00275A06">
        <w:rPr>
          <w:lang w:val="es-ES_tradnl"/>
        </w:rPr>
        <w:t xml:space="preserve"> </w:t>
      </w:r>
      <w:r w:rsidR="00CB78A0" w:rsidRPr="00275A06">
        <w:rPr>
          <w:lang w:val="es-ES_tradnl"/>
        </w:rPr>
        <w:t>su e</w:t>
      </w:r>
      <w:r w:rsidR="00D56A18" w:rsidRPr="00275A06">
        <w:rPr>
          <w:lang w:val="es-ES_tradnl"/>
        </w:rPr>
        <w:t>structura cognitiva existente</w:t>
      </w:r>
      <w:r w:rsidR="00A56CC0">
        <w:rPr>
          <w:lang w:val="es-ES_tradnl"/>
        </w:rPr>
        <w:t xml:space="preserve">. </w:t>
      </w:r>
      <w:r w:rsidR="00C81387">
        <w:rPr>
          <w:lang w:val="es-ES_tradnl"/>
        </w:rPr>
        <w:t>Es decir, según esta visión,</w:t>
      </w:r>
      <w:r w:rsidR="00A56CC0">
        <w:rPr>
          <w:lang w:val="es-ES_tradnl"/>
        </w:rPr>
        <w:t xml:space="preserve"> es</w:t>
      </w:r>
      <w:r w:rsidR="00CB78A0" w:rsidRPr="00275A06">
        <w:rPr>
          <w:lang w:val="es-ES_tradnl"/>
        </w:rPr>
        <w:t xml:space="preserve"> posible poner en contacto las numerosas ideas y poder </w:t>
      </w:r>
      <w:r w:rsidR="00A56CC0">
        <w:rPr>
          <w:lang w:val="es-ES_tradnl"/>
        </w:rPr>
        <w:t xml:space="preserve">llevar a cabo </w:t>
      </w:r>
      <w:r w:rsidR="00CB78A0" w:rsidRPr="00275A06">
        <w:rPr>
          <w:lang w:val="es-ES_tradnl"/>
        </w:rPr>
        <w:t>la migración de los conocimientos existentes a nuevas situaciones,</w:t>
      </w:r>
      <w:r w:rsidR="00A56CC0">
        <w:rPr>
          <w:lang w:val="es-ES_tradnl"/>
        </w:rPr>
        <w:t xml:space="preserve"> hacia la</w:t>
      </w:r>
      <w:r w:rsidR="00CB78A0" w:rsidRPr="00275A06">
        <w:rPr>
          <w:lang w:val="es-ES_tradnl"/>
        </w:rPr>
        <w:t xml:space="preserve"> toma</w:t>
      </w:r>
      <w:r w:rsidR="00A56CC0">
        <w:rPr>
          <w:lang w:val="es-ES_tradnl"/>
        </w:rPr>
        <w:t xml:space="preserve"> de</w:t>
      </w:r>
      <w:r w:rsidR="00CB78A0" w:rsidRPr="00275A06">
        <w:rPr>
          <w:lang w:val="es-ES_tradnl"/>
        </w:rPr>
        <w:t xml:space="preserve"> decisiones y </w:t>
      </w:r>
      <w:r w:rsidR="00A56CC0" w:rsidRPr="00275A06">
        <w:rPr>
          <w:lang w:val="es-ES_tradnl"/>
        </w:rPr>
        <w:t>resol</w:t>
      </w:r>
      <w:r w:rsidR="00A56CC0">
        <w:rPr>
          <w:lang w:val="es-ES_tradnl"/>
        </w:rPr>
        <w:t>ución de</w:t>
      </w:r>
      <w:r w:rsidR="00A56CC0" w:rsidRPr="00275A06">
        <w:rPr>
          <w:lang w:val="es-ES_tradnl"/>
        </w:rPr>
        <w:t xml:space="preserve"> </w:t>
      </w:r>
      <w:r w:rsidR="00CB78A0" w:rsidRPr="00275A06">
        <w:rPr>
          <w:lang w:val="es-ES_tradnl"/>
        </w:rPr>
        <w:t>problemas</w:t>
      </w:r>
      <w:r w:rsidR="00162F0E">
        <w:rPr>
          <w:lang w:val="es-ES_tradnl"/>
        </w:rPr>
        <w:t>,</w:t>
      </w:r>
      <w:r w:rsidR="00BA3ABF" w:rsidRPr="00275A06">
        <w:rPr>
          <w:lang w:val="es-ES_tradnl"/>
        </w:rPr>
        <w:t xml:space="preserve"> </w:t>
      </w:r>
      <w:r w:rsidR="00951B33" w:rsidRPr="00275A06">
        <w:rPr>
          <w:lang w:val="es-ES_tradnl"/>
        </w:rPr>
        <w:fldChar w:fldCharType="begin"/>
      </w:r>
      <w:r w:rsidR="00951B33" w:rsidRPr="00275A06">
        <w:rPr>
          <w:lang w:val="es-ES_tradnl"/>
        </w:rPr>
        <w:instrText xml:space="preserve"> ADDIN EN.CITE &lt;EndNote&gt;&lt;Cite&gt;&lt;Year&gt;1997&lt;/Year&gt;&lt;RecNum&gt;8&lt;/RecNum&gt;&lt;DisplayText&gt;(González-Cabanach, 1997)&lt;/DisplayText&gt;&lt;record&gt;&lt;rec-number&gt;8&lt;/rec-number&gt;&lt;foreign-keys&gt;&lt;key app="EN" db-id="xx5zwftv000sx5etrfjp0aajafzaxppv22ep" timestamp="1549919484"&gt;8&lt;/key&gt;&lt;/foreign-keys&gt;&lt;ref-type name="Journal Article"&gt;17&lt;/ref-type&gt;&lt;contributors&gt;&lt;authors&gt;&lt;author&gt;Ramón González-Cabanach&lt;/author&gt;&lt;/authors&gt;&lt;/contributors&gt;&lt;titles&gt;&lt;title&gt;Concepciones y enfoques de aprendizaje&lt;/title&gt;&lt;secondary-title&gt;Revista de Psicodidáctica&lt;/secondary-title&gt;&lt;/titles&gt;&lt;periodical&gt;&lt;full-title&gt;Revista de Psicodidáctica&lt;/full-title&gt;&lt;/periodical&gt;&lt;pages&gt;5-39&lt;/pages&gt;&lt;number&gt;4&lt;/number&gt;&lt;dates&gt;&lt;year&gt;1997&lt;/year&gt;&lt;/dates&gt;&lt;urls&gt;&lt;/urls&gt;&lt;/record&gt;&lt;/Cite&gt;&lt;/EndNote&gt;</w:instrText>
      </w:r>
      <w:r w:rsidR="00951B33" w:rsidRPr="00275A06">
        <w:rPr>
          <w:lang w:val="es-ES_tradnl"/>
        </w:rPr>
        <w:fldChar w:fldCharType="separate"/>
      </w:r>
      <w:r w:rsidR="00951B33" w:rsidRPr="00275A06">
        <w:rPr>
          <w:noProof/>
          <w:lang w:val="es-ES_tradnl"/>
        </w:rPr>
        <w:t>(González, 1997)</w:t>
      </w:r>
      <w:r w:rsidR="00951B33" w:rsidRPr="00275A06">
        <w:rPr>
          <w:lang w:val="es-ES_tradnl"/>
        </w:rPr>
        <w:fldChar w:fldCharType="end"/>
      </w:r>
      <w:r w:rsidR="000D61C0">
        <w:rPr>
          <w:lang w:val="es-ES_tradnl"/>
        </w:rPr>
        <w:t>.</w:t>
      </w:r>
    </w:p>
    <w:p w14:paraId="46EB821A" w14:textId="73CFD181" w:rsidR="00CB78A0" w:rsidRPr="00275A06" w:rsidRDefault="00896A2C" w:rsidP="00D4723A">
      <w:pPr>
        <w:ind w:firstLine="708"/>
        <w:rPr>
          <w:lang w:val="es-ES_tradnl"/>
        </w:rPr>
      </w:pPr>
      <w:r>
        <w:rPr>
          <w:lang w:val="es-ES_tradnl"/>
        </w:rPr>
        <w:t>Sin duda s</w:t>
      </w:r>
      <w:r w:rsidR="00EE6E94" w:rsidRPr="00275A06">
        <w:rPr>
          <w:lang w:val="es-ES_tradnl"/>
        </w:rPr>
        <w:t>e requiere que</w:t>
      </w:r>
      <w:r w:rsidR="00CB78A0" w:rsidRPr="00275A06">
        <w:rPr>
          <w:lang w:val="es-ES_tradnl"/>
        </w:rPr>
        <w:t xml:space="preserve"> los estudiantes </w:t>
      </w:r>
      <w:r w:rsidR="00EE6E94" w:rsidRPr="00275A06">
        <w:rPr>
          <w:lang w:val="es-ES_tradnl"/>
        </w:rPr>
        <w:t>entiendan</w:t>
      </w:r>
      <w:r w:rsidR="00CB78A0" w:rsidRPr="00275A06">
        <w:rPr>
          <w:lang w:val="es-ES_tradnl"/>
        </w:rPr>
        <w:t xml:space="preserve"> el significado completo de los contenidos de aprendizaje, incl</w:t>
      </w:r>
      <w:r w:rsidR="00EE6E94" w:rsidRPr="00275A06">
        <w:rPr>
          <w:lang w:val="es-ES_tradnl"/>
        </w:rPr>
        <w:t xml:space="preserve">uyendo </w:t>
      </w:r>
      <w:r>
        <w:rPr>
          <w:lang w:val="es-ES_tradnl"/>
        </w:rPr>
        <w:t xml:space="preserve">los </w:t>
      </w:r>
      <w:r w:rsidR="00EE6E94" w:rsidRPr="00275A06">
        <w:rPr>
          <w:lang w:val="es-ES_tradnl"/>
        </w:rPr>
        <w:t>vínculos entre el contenido y</w:t>
      </w:r>
      <w:r w:rsidR="00CB78A0" w:rsidRPr="00275A06">
        <w:rPr>
          <w:lang w:val="es-ES_tradnl"/>
        </w:rPr>
        <w:t xml:space="preserve"> otros temas y conceptos</w:t>
      </w:r>
      <w:r w:rsidR="00BA3ABF" w:rsidRPr="00275A06">
        <w:rPr>
          <w:lang w:val="es-ES_tradnl"/>
        </w:rPr>
        <w:t xml:space="preserve"> </w:t>
      </w:r>
      <w:r w:rsidR="00270AA4" w:rsidRPr="00275A06">
        <w:rPr>
          <w:lang w:val="es-ES_tradnl"/>
        </w:rPr>
        <w:fldChar w:fldCharType="begin"/>
      </w:r>
      <w:r w:rsidR="00270AA4" w:rsidRPr="00275A06">
        <w:rPr>
          <w:lang w:val="es-ES_tradnl"/>
        </w:rPr>
        <w:instrText xml:space="preserve"> ADDIN EN.CITE &lt;EndNote&gt;&lt;Cite&gt;&lt;Author&gt;Pérez&lt;/Author&gt;&lt;Year&gt;2010&lt;/Year&gt;&lt;RecNum&gt;14&lt;/RecNum&gt;&lt;DisplayText&gt;(Pérez, Díaz-Mujica, González-Pienda, &amp;amp; Núñez, 2010)&lt;/DisplayText&gt;&lt;record&gt;&lt;rec-number&gt;14&lt;/rec-number&gt;&lt;foreign-keys&gt;&lt;key app="EN" db-id="xx5zwftv000sx5etrfjp0aajafzaxppv22ep" timestamp="1549921337"&gt;14&lt;/key&gt;&lt;/foreign-keys&gt;&lt;ref-type name="Journal Article"&gt;17&lt;/ref-type&gt;&lt;contributors&gt;&lt;authors&gt;&lt;author&gt;María Victoria Pérez&lt;/author&gt;&lt;author&gt;Alejandro Díaz-Mujica&lt;/author&gt;&lt;author&gt;Julio Antonio González-Pienda&lt;/author&gt;&lt;author&gt;José Carlos Núñez&lt;/author&gt;&lt;/authors&gt;&lt;/contributors&gt;&lt;titles&gt;&lt;title&gt;Docencia para facilitar el aprendizaje activo y autorregulado&lt;/title&gt;&lt;secondary-title&gt;Revista Diálogo Educacional&lt;/secondary-title&gt;&lt;/titles&gt;&lt;periodical&gt;&lt;full-title&gt;Revista Diálogo Educacional&lt;/full-title&gt;&lt;/periodical&gt;&lt;pages&gt;409-424&lt;/pages&gt;&lt;volume&gt;10&lt;/volume&gt;&lt;number&gt;30&lt;/number&gt;&lt;dates&gt;&lt;year&gt;2010&lt;/year&gt;&lt;/dates&gt;&lt;urls&gt;&lt;/urls&gt;&lt;/record&gt;&lt;/Cite&gt;&lt;/EndNote&gt;</w:instrText>
      </w:r>
      <w:r w:rsidR="00270AA4" w:rsidRPr="00275A06">
        <w:rPr>
          <w:lang w:val="es-ES_tradnl"/>
        </w:rPr>
        <w:fldChar w:fldCharType="separate"/>
      </w:r>
      <w:r w:rsidR="00270AA4" w:rsidRPr="00275A06">
        <w:rPr>
          <w:noProof/>
          <w:lang w:val="es-ES_tradnl"/>
        </w:rPr>
        <w:t>(Pérez, Díaz, González</w:t>
      </w:r>
      <w:r>
        <w:rPr>
          <w:noProof/>
          <w:lang w:val="es-ES_tradnl"/>
        </w:rPr>
        <w:t xml:space="preserve"> y</w:t>
      </w:r>
      <w:r w:rsidR="00270AA4" w:rsidRPr="00275A06">
        <w:rPr>
          <w:noProof/>
          <w:lang w:val="es-ES_tradnl"/>
        </w:rPr>
        <w:t xml:space="preserve"> Núñez, 2010)</w:t>
      </w:r>
      <w:r w:rsidR="00270AA4" w:rsidRPr="00275A06">
        <w:rPr>
          <w:lang w:val="es-ES_tradnl"/>
        </w:rPr>
        <w:fldChar w:fldCharType="end"/>
      </w:r>
      <w:r w:rsidR="00BA3ABF" w:rsidRPr="00275A06">
        <w:rPr>
          <w:lang w:val="es-ES_tradnl"/>
        </w:rPr>
        <w:t>.</w:t>
      </w:r>
      <w:r w:rsidR="00CB78A0" w:rsidRPr="00275A06">
        <w:rPr>
          <w:color w:val="FF0000"/>
          <w:lang w:val="es-ES_tradnl"/>
        </w:rPr>
        <w:t xml:space="preserve"> </w:t>
      </w:r>
    </w:p>
    <w:p w14:paraId="7A39025E" w14:textId="38966C9C" w:rsidR="00CB78A0" w:rsidRPr="00275A06" w:rsidRDefault="007F1506" w:rsidP="00D4723A">
      <w:pPr>
        <w:ind w:firstLine="708"/>
        <w:rPr>
          <w:lang w:val="es-ES_tradnl"/>
        </w:rPr>
      </w:pPr>
      <w:r>
        <w:rPr>
          <w:lang w:val="es-ES_tradnl"/>
        </w:rPr>
        <w:t>U</w:t>
      </w:r>
      <w:r w:rsidR="007C1653" w:rsidRPr="00275A06">
        <w:rPr>
          <w:lang w:val="es-ES_tradnl"/>
        </w:rPr>
        <w:t xml:space="preserve">na estrategia </w:t>
      </w:r>
      <w:r>
        <w:rPr>
          <w:lang w:val="es-ES_tradnl"/>
        </w:rPr>
        <w:t>de</w:t>
      </w:r>
      <w:r w:rsidRPr="00275A06">
        <w:rPr>
          <w:lang w:val="es-ES_tradnl"/>
        </w:rPr>
        <w:t xml:space="preserve"> </w:t>
      </w:r>
      <w:r w:rsidR="00CB78A0" w:rsidRPr="00275A06">
        <w:rPr>
          <w:lang w:val="es-ES_tradnl"/>
        </w:rPr>
        <w:t>aprendizaje</w:t>
      </w:r>
      <w:r w:rsidR="00080FB8" w:rsidRPr="00275A06">
        <w:rPr>
          <w:lang w:val="es-ES_tradnl"/>
        </w:rPr>
        <w:t xml:space="preserve"> profundo</w:t>
      </w:r>
      <w:r w:rsidR="002B051D" w:rsidRPr="00275A06">
        <w:rPr>
          <w:lang w:val="es-ES_tradnl"/>
        </w:rPr>
        <w:t xml:space="preserve"> </w:t>
      </w:r>
      <w:r>
        <w:rPr>
          <w:lang w:val="es-ES_tradnl"/>
        </w:rPr>
        <w:t>debe ser visualizada como</w:t>
      </w:r>
      <w:r w:rsidRPr="00275A06">
        <w:rPr>
          <w:lang w:val="es-ES_tradnl"/>
        </w:rPr>
        <w:t xml:space="preserve"> </w:t>
      </w:r>
      <w:r>
        <w:rPr>
          <w:lang w:val="es-ES_tradnl"/>
        </w:rPr>
        <w:t>una</w:t>
      </w:r>
      <w:r w:rsidRPr="00275A06">
        <w:rPr>
          <w:lang w:val="es-ES_tradnl"/>
        </w:rPr>
        <w:t xml:space="preserve"> </w:t>
      </w:r>
      <w:r w:rsidR="007D36AB" w:rsidRPr="00275A06">
        <w:rPr>
          <w:lang w:val="es-ES_tradnl"/>
        </w:rPr>
        <w:t xml:space="preserve">forma de </w:t>
      </w:r>
      <w:r w:rsidR="00970619">
        <w:rPr>
          <w:lang w:val="es-ES_tradnl"/>
        </w:rPr>
        <w:t>incitar al pensamiento</w:t>
      </w:r>
      <w:r w:rsidR="00CB78A0" w:rsidRPr="00275A06">
        <w:rPr>
          <w:lang w:val="es-ES_tradnl"/>
        </w:rPr>
        <w:t xml:space="preserve"> </w:t>
      </w:r>
      <w:r w:rsidR="007B1E65" w:rsidRPr="00275A06">
        <w:rPr>
          <w:lang w:val="es-ES_tradnl"/>
        </w:rPr>
        <w:t>crític</w:t>
      </w:r>
      <w:r w:rsidR="007B1E65">
        <w:rPr>
          <w:lang w:val="es-ES_tradnl"/>
        </w:rPr>
        <w:t>o</w:t>
      </w:r>
      <w:r w:rsidR="00CB78A0" w:rsidRPr="00275A06">
        <w:rPr>
          <w:lang w:val="es-ES_tradnl"/>
        </w:rPr>
        <w:t xml:space="preserve">, </w:t>
      </w:r>
      <w:r w:rsidR="007D36AB" w:rsidRPr="00275A06">
        <w:rPr>
          <w:lang w:val="es-ES_tradnl"/>
        </w:rPr>
        <w:t xml:space="preserve">con el fin de </w:t>
      </w:r>
      <w:r w:rsidR="00CB78A0" w:rsidRPr="00275A06">
        <w:rPr>
          <w:lang w:val="es-ES_tradnl"/>
        </w:rPr>
        <w:t>evitar rece</w:t>
      </w:r>
      <w:r w:rsidR="007D36AB" w:rsidRPr="00275A06">
        <w:rPr>
          <w:lang w:val="es-ES_tradnl"/>
        </w:rPr>
        <w:t>ptores pasivos de conocimientos</w:t>
      </w:r>
      <w:r>
        <w:rPr>
          <w:lang w:val="es-ES_tradnl"/>
        </w:rPr>
        <w:t>,</w:t>
      </w:r>
      <w:r w:rsidR="007D36AB" w:rsidRPr="00275A06">
        <w:rPr>
          <w:lang w:val="es-ES_tradnl"/>
        </w:rPr>
        <w:t xml:space="preserve"> y</w:t>
      </w:r>
      <w:r w:rsidR="00CB78A0" w:rsidRPr="00275A06">
        <w:rPr>
          <w:lang w:val="es-ES_tradnl"/>
        </w:rPr>
        <w:t xml:space="preserve"> consiste en la integración de la información, </w:t>
      </w:r>
      <w:r w:rsidR="007D36AB" w:rsidRPr="00275A06">
        <w:rPr>
          <w:lang w:val="es-ES_tradnl"/>
        </w:rPr>
        <w:t xml:space="preserve">las </w:t>
      </w:r>
      <w:r w:rsidR="00CB78A0" w:rsidRPr="00275A06">
        <w:rPr>
          <w:lang w:val="es-ES_tradnl"/>
        </w:rPr>
        <w:t>necesidades de los alumnos</w:t>
      </w:r>
      <w:r w:rsidR="007D36AB" w:rsidRPr="00275A06">
        <w:rPr>
          <w:lang w:val="es-ES_tradnl"/>
        </w:rPr>
        <w:t>, la historia de su propio desarrollo</w:t>
      </w:r>
      <w:r w:rsidR="00CB78A0" w:rsidRPr="00275A06">
        <w:rPr>
          <w:lang w:val="es-ES_tradnl"/>
        </w:rPr>
        <w:t>, el aprendizaje fuera de la escuela</w:t>
      </w:r>
      <w:r w:rsidR="007D36AB" w:rsidRPr="00275A06">
        <w:rPr>
          <w:lang w:val="es-ES_tradnl"/>
        </w:rPr>
        <w:t>,</w:t>
      </w:r>
      <w:r w:rsidR="00CB78A0" w:rsidRPr="00275A06">
        <w:rPr>
          <w:lang w:val="es-ES_tradnl"/>
        </w:rPr>
        <w:t xml:space="preserve"> en el tiempo y en el espacio después de </w:t>
      </w:r>
      <w:r w:rsidR="007D36AB" w:rsidRPr="00275A06">
        <w:rPr>
          <w:lang w:val="es-ES_tradnl"/>
        </w:rPr>
        <w:t xml:space="preserve">las </w:t>
      </w:r>
      <w:r w:rsidR="00CB78A0" w:rsidRPr="00275A06">
        <w:rPr>
          <w:lang w:val="es-ES_tradnl"/>
        </w:rPr>
        <w:t>limitaciones</w:t>
      </w:r>
      <w:r w:rsidR="007D36AB" w:rsidRPr="00275A06">
        <w:rPr>
          <w:lang w:val="es-ES_tradnl"/>
        </w:rPr>
        <w:t xml:space="preserve"> del ambiente</w:t>
      </w:r>
      <w:r w:rsidR="00597287" w:rsidRPr="00275A06">
        <w:rPr>
          <w:lang w:val="es-ES_tradnl"/>
        </w:rPr>
        <w:t xml:space="preserve"> </w:t>
      </w:r>
      <w:r w:rsidR="00597287" w:rsidRPr="00275A06">
        <w:rPr>
          <w:lang w:val="es-ES_tradnl"/>
        </w:rPr>
        <w:fldChar w:fldCharType="begin"/>
      </w:r>
      <w:r w:rsidR="00597287" w:rsidRPr="00275A06">
        <w:rPr>
          <w:lang w:val="es-ES_tradnl"/>
        </w:rPr>
        <w:instrText xml:space="preserve"> ADDIN EN.CITE &lt;EndNote&gt;&lt;Cite&gt;&lt;Author&gt;Báez-Alcaíno&lt;/Author&gt;&lt;Year&gt;2016&lt;/Year&gt;&lt;RecNum&gt;2&lt;/RecNum&gt;&lt;DisplayText&gt;(Báez-Alcaíno &amp;amp; Onrubia-Goñi, 2016)&lt;/DisplayText&gt;&lt;record&gt;&lt;rec-number&gt;2&lt;/rec-number&gt;&lt;foreign-keys&gt;&lt;key app="EN" db-id="xx5zwftv000sx5etrfjp0aajafzaxppv22ep" timestamp="1549914449"&gt;2&lt;/key&gt;&lt;/foreign-keys&gt;&lt;ref-type name="Journal Article"&gt;17&lt;/ref-type&gt;&lt;contributors&gt;&lt;authors&gt;&lt;author&gt;Javier Báez-Alcaíno&lt;/author&gt;&lt;author&gt;Javier Onrubia-Goñi&lt;/author&gt;&lt;/authors&gt;&lt;/contributors&gt;&lt;titles&gt;&lt;title&gt;Una revisión de tres modelos para enseñar las habilidades de pensamiento en el marco escolar&lt;/title&gt;&lt;secondary-title&gt;Perspectiva Educacional. Formación de Profesores&lt;/secondary-title&gt;&lt;/titles&gt;&lt;periodical&gt;&lt;full-title&gt;Perspectiva Educacional. Formación de Profesores&lt;/full-title&gt;&lt;/periodical&gt;&lt;pages&gt;94-113&lt;/pages&gt;&lt;volume&gt;55&lt;/volume&gt;&lt;number&gt;5&lt;/number&gt;&lt;dates&gt;&lt;year&gt;2016&lt;/year&gt;&lt;/dates&gt;&lt;urls&gt;&lt;/urls&gt;&lt;/record&gt;&lt;/Cite&gt;&lt;/EndNote&gt;</w:instrText>
      </w:r>
      <w:r w:rsidR="00597287" w:rsidRPr="00275A06">
        <w:rPr>
          <w:lang w:val="es-ES_tradnl"/>
        </w:rPr>
        <w:fldChar w:fldCharType="separate"/>
      </w:r>
      <w:r w:rsidR="00597287" w:rsidRPr="00275A06">
        <w:rPr>
          <w:noProof/>
          <w:lang w:val="es-ES_tradnl"/>
        </w:rPr>
        <w:t xml:space="preserve">(Báez </w:t>
      </w:r>
      <w:r w:rsidR="00970619">
        <w:rPr>
          <w:noProof/>
          <w:lang w:val="es-ES_tradnl"/>
        </w:rPr>
        <w:t>y</w:t>
      </w:r>
      <w:r w:rsidR="00970619" w:rsidRPr="00275A06">
        <w:rPr>
          <w:noProof/>
          <w:lang w:val="es-ES_tradnl"/>
        </w:rPr>
        <w:t xml:space="preserve"> </w:t>
      </w:r>
      <w:r w:rsidR="00597287" w:rsidRPr="00275A06">
        <w:rPr>
          <w:noProof/>
          <w:lang w:val="es-ES_tradnl"/>
        </w:rPr>
        <w:t>Onrubia, 2016)</w:t>
      </w:r>
      <w:r w:rsidR="00597287" w:rsidRPr="00275A06">
        <w:rPr>
          <w:lang w:val="es-ES_tradnl"/>
        </w:rPr>
        <w:fldChar w:fldCharType="end"/>
      </w:r>
      <w:r w:rsidR="00BA3ABF" w:rsidRPr="00275A06">
        <w:rPr>
          <w:lang w:val="es-ES_tradnl"/>
        </w:rPr>
        <w:t>.</w:t>
      </w:r>
    </w:p>
    <w:p w14:paraId="44BA31A3" w14:textId="2DF08F67" w:rsidR="000D61C0" w:rsidRPr="00275A06" w:rsidRDefault="00970619" w:rsidP="00D4723A">
      <w:pPr>
        <w:ind w:firstLine="708"/>
        <w:rPr>
          <w:color w:val="FF0000"/>
          <w:lang w:val="es-ES_tradnl"/>
        </w:rPr>
      </w:pPr>
      <w:r>
        <w:rPr>
          <w:lang w:val="es-ES_tradnl"/>
        </w:rPr>
        <w:t xml:space="preserve">Según </w:t>
      </w:r>
      <w:r w:rsidRPr="00275A06">
        <w:rPr>
          <w:noProof/>
          <w:lang w:val="es-ES_tradnl"/>
        </w:rPr>
        <w:t>Ademar</w:t>
      </w:r>
      <w:r>
        <w:rPr>
          <w:noProof/>
          <w:lang w:val="es-ES_tradnl"/>
        </w:rPr>
        <w:t xml:space="preserve"> (2013),</w:t>
      </w:r>
      <w:r w:rsidRPr="00275A06">
        <w:rPr>
          <w:lang w:val="es-ES_tradnl"/>
        </w:rPr>
        <w:t xml:space="preserve"> </w:t>
      </w:r>
      <w:r>
        <w:rPr>
          <w:lang w:val="es-ES_tradnl"/>
        </w:rPr>
        <w:t>h</w:t>
      </w:r>
      <w:r w:rsidRPr="00275A06">
        <w:rPr>
          <w:lang w:val="es-ES_tradnl"/>
        </w:rPr>
        <w:t xml:space="preserve">ablar </w:t>
      </w:r>
      <w:r w:rsidR="003C6EAC" w:rsidRPr="00275A06">
        <w:rPr>
          <w:lang w:val="es-ES_tradnl"/>
        </w:rPr>
        <w:t xml:space="preserve">de la </w:t>
      </w:r>
      <w:r w:rsidR="00CB78A0" w:rsidRPr="00275A06">
        <w:rPr>
          <w:lang w:val="es-ES_tradnl"/>
        </w:rPr>
        <w:t>educación humana</w:t>
      </w:r>
      <w:r w:rsidR="003C6EAC" w:rsidRPr="00275A06">
        <w:rPr>
          <w:lang w:val="es-ES_tradnl"/>
        </w:rPr>
        <w:t xml:space="preserve"> implica hacer referencia</w:t>
      </w:r>
      <w:r w:rsidR="00CB78A0" w:rsidRPr="00275A06">
        <w:rPr>
          <w:lang w:val="es-ES_tradnl"/>
        </w:rPr>
        <w:t xml:space="preserve"> </w:t>
      </w:r>
      <w:r w:rsidR="003C6EAC" w:rsidRPr="00275A06">
        <w:rPr>
          <w:lang w:val="es-ES_tradnl"/>
        </w:rPr>
        <w:t>a</w:t>
      </w:r>
      <w:r w:rsidR="00CB78A0" w:rsidRPr="00275A06">
        <w:rPr>
          <w:lang w:val="es-ES_tradnl"/>
        </w:rPr>
        <w:t xml:space="preserve"> tres categorías</w:t>
      </w:r>
      <w:r>
        <w:rPr>
          <w:lang w:val="es-ES_tradnl"/>
        </w:rPr>
        <w:t>:</w:t>
      </w:r>
    </w:p>
    <w:p w14:paraId="02AE92D3" w14:textId="00BA2E53" w:rsidR="00CB78A0" w:rsidRPr="00275A06" w:rsidRDefault="00CB78A0" w:rsidP="00D4723A">
      <w:pPr>
        <w:pStyle w:val="Prrafodelista"/>
        <w:numPr>
          <w:ilvl w:val="0"/>
          <w:numId w:val="4"/>
        </w:numPr>
        <w:ind w:left="0" w:firstLine="709"/>
        <w:rPr>
          <w:lang w:val="es-ES_tradnl"/>
        </w:rPr>
      </w:pPr>
      <w:r w:rsidRPr="00275A06">
        <w:rPr>
          <w:lang w:val="es-ES_tradnl"/>
        </w:rPr>
        <w:t xml:space="preserve">El aprendizaje: los estudiantes </w:t>
      </w:r>
      <w:r w:rsidR="007E27CB" w:rsidRPr="00275A06">
        <w:rPr>
          <w:lang w:val="es-ES_tradnl"/>
        </w:rPr>
        <w:t>s</w:t>
      </w:r>
      <w:r w:rsidR="007E27CB">
        <w:rPr>
          <w:lang w:val="es-ES_tradnl"/>
        </w:rPr>
        <w:t>o</w:t>
      </w:r>
      <w:r w:rsidR="007E27CB" w:rsidRPr="00275A06">
        <w:rPr>
          <w:lang w:val="es-ES_tradnl"/>
        </w:rPr>
        <w:t xml:space="preserve">lo </w:t>
      </w:r>
      <w:r w:rsidRPr="00275A06">
        <w:rPr>
          <w:lang w:val="es-ES_tradnl"/>
        </w:rPr>
        <w:t>pueden repet</w:t>
      </w:r>
      <w:r w:rsidR="000014B2" w:rsidRPr="00275A06">
        <w:rPr>
          <w:lang w:val="es-ES_tradnl"/>
        </w:rPr>
        <w:t xml:space="preserve">ir palabras y enseñanzas </w:t>
      </w:r>
      <w:r w:rsidR="009B6D6C" w:rsidRPr="00275A06">
        <w:rPr>
          <w:lang w:val="es-ES_tradnl"/>
        </w:rPr>
        <w:t>del maestro.</w:t>
      </w:r>
    </w:p>
    <w:p w14:paraId="7E436484" w14:textId="069FA709" w:rsidR="00CB78A0" w:rsidRPr="00275A06" w:rsidRDefault="00CB78A0" w:rsidP="00D4723A">
      <w:pPr>
        <w:pStyle w:val="Prrafodelista"/>
        <w:numPr>
          <w:ilvl w:val="0"/>
          <w:numId w:val="4"/>
        </w:numPr>
        <w:ind w:left="0" w:firstLine="709"/>
        <w:rPr>
          <w:color w:val="000000" w:themeColor="text1"/>
          <w:lang w:val="es-ES_tradnl"/>
        </w:rPr>
      </w:pPr>
      <w:r w:rsidRPr="00275A06">
        <w:rPr>
          <w:lang w:val="es-ES_tradnl"/>
        </w:rPr>
        <w:t>Plan de estudios: los requisitos de educación para los estudiantes qu</w:t>
      </w:r>
      <w:r w:rsidR="009B6D6C" w:rsidRPr="00275A06">
        <w:rPr>
          <w:lang w:val="es-ES_tradnl"/>
        </w:rPr>
        <w:t>e les asignan diversos cursos. E</w:t>
      </w:r>
      <w:r w:rsidRPr="00275A06">
        <w:rPr>
          <w:lang w:val="es-ES_tradnl"/>
        </w:rPr>
        <w:t>ste tipo de edu</w:t>
      </w:r>
      <w:r w:rsidR="009B6D6C" w:rsidRPr="00275A06">
        <w:rPr>
          <w:lang w:val="es-ES_tradnl"/>
        </w:rPr>
        <w:t xml:space="preserve">cación es más </w:t>
      </w:r>
      <w:r w:rsidR="009B6D6C" w:rsidRPr="00275A06">
        <w:rPr>
          <w:color w:val="000000" w:themeColor="text1"/>
          <w:lang w:val="es-ES_tradnl"/>
        </w:rPr>
        <w:t xml:space="preserve">como </w:t>
      </w:r>
      <w:r w:rsidR="007E27CB">
        <w:rPr>
          <w:color w:val="000000" w:themeColor="text1"/>
          <w:lang w:val="es-ES_tradnl"/>
        </w:rPr>
        <w:t>“</w:t>
      </w:r>
      <w:r w:rsidR="009B6D6C" w:rsidRPr="00275A06">
        <w:rPr>
          <w:color w:val="000000" w:themeColor="text1"/>
          <w:lang w:val="es-ES_tradnl"/>
        </w:rPr>
        <w:t>formación</w:t>
      </w:r>
      <w:r w:rsidR="007E27CB">
        <w:rPr>
          <w:color w:val="000000" w:themeColor="text1"/>
          <w:lang w:val="es-ES_tradnl"/>
        </w:rPr>
        <w:t>”</w:t>
      </w:r>
      <w:r w:rsidR="007E27CB" w:rsidRPr="00275A06">
        <w:rPr>
          <w:color w:val="000000" w:themeColor="text1"/>
          <w:lang w:val="es-ES_tradnl"/>
        </w:rPr>
        <w:t>.</w:t>
      </w:r>
    </w:p>
    <w:p w14:paraId="5429AA9E" w14:textId="4C00095A" w:rsidR="00CB78A0" w:rsidRPr="000D61C0" w:rsidRDefault="00CB78A0" w:rsidP="00D4723A">
      <w:pPr>
        <w:pStyle w:val="Prrafodelista"/>
        <w:numPr>
          <w:ilvl w:val="0"/>
          <w:numId w:val="4"/>
        </w:numPr>
        <w:ind w:left="0" w:firstLine="709"/>
        <w:rPr>
          <w:lang w:val="es-ES_tradnl"/>
        </w:rPr>
      </w:pPr>
      <w:r w:rsidRPr="00275A06">
        <w:rPr>
          <w:color w:val="000000" w:themeColor="text1"/>
          <w:lang w:val="es-ES_tradnl"/>
        </w:rPr>
        <w:t>El socratismo: a través de una serie de preguntas, el diálogo, los diversos cuestiona</w:t>
      </w:r>
      <w:r w:rsidR="007D36AB" w:rsidRPr="00275A06">
        <w:rPr>
          <w:color w:val="000000" w:themeColor="text1"/>
          <w:lang w:val="es-ES_tradnl"/>
        </w:rPr>
        <w:t xml:space="preserve">mientos, lleva a buscar </w:t>
      </w:r>
      <w:r w:rsidRPr="00275A06">
        <w:rPr>
          <w:color w:val="000000" w:themeColor="text1"/>
          <w:lang w:val="es-ES_tradnl"/>
        </w:rPr>
        <w:t>una reflexión más profunda</w:t>
      </w:r>
      <w:r w:rsidR="008A4E06">
        <w:rPr>
          <w:color w:val="000000" w:themeColor="text1"/>
          <w:lang w:val="es-ES_tradnl"/>
        </w:rPr>
        <w:t>.</w:t>
      </w:r>
      <w:r w:rsidR="008A4E06" w:rsidRPr="00275A06">
        <w:rPr>
          <w:color w:val="000000" w:themeColor="text1"/>
          <w:lang w:val="es-ES_tradnl"/>
        </w:rPr>
        <w:t xml:space="preserve"> </w:t>
      </w:r>
      <w:r w:rsidR="008A4E06">
        <w:rPr>
          <w:color w:val="000000" w:themeColor="text1"/>
          <w:lang w:val="es-ES_tradnl"/>
        </w:rPr>
        <w:t>L</w:t>
      </w:r>
      <w:r w:rsidR="008A4E06" w:rsidRPr="00275A06">
        <w:rPr>
          <w:color w:val="000000" w:themeColor="text1"/>
          <w:lang w:val="es-ES_tradnl"/>
        </w:rPr>
        <w:t xml:space="preserve">a </w:t>
      </w:r>
      <w:r w:rsidRPr="00275A06">
        <w:rPr>
          <w:color w:val="000000" w:themeColor="text1"/>
          <w:lang w:val="es-ES_tradnl"/>
        </w:rPr>
        <w:t>idea de buscar bases. De esta manera, la mente humana está totalmente movilizada</w:t>
      </w:r>
      <w:r w:rsidR="005C041E" w:rsidRPr="00275A06">
        <w:rPr>
          <w:color w:val="000000" w:themeColor="text1"/>
          <w:lang w:val="es-ES_tradnl"/>
        </w:rPr>
        <w:t xml:space="preserve"> </w:t>
      </w:r>
      <w:r w:rsidR="009B6D6C" w:rsidRPr="00275A06">
        <w:rPr>
          <w:color w:val="000000" w:themeColor="text1"/>
          <w:lang w:val="es-ES_tradnl"/>
        </w:rPr>
        <w:fldChar w:fldCharType="begin"/>
      </w:r>
      <w:r w:rsidR="009B6D6C" w:rsidRPr="00275A06">
        <w:rPr>
          <w:color w:val="000000" w:themeColor="text1"/>
          <w:lang w:val="es-ES_tradnl"/>
        </w:rPr>
        <w:instrText xml:space="preserve"> ADDIN EN.CITE &lt;EndNote&gt;&lt;Cite&gt;&lt;Author&gt;Goldratt&lt;/Author&gt;&lt;Year&gt;1999&lt;/Year&gt;&lt;RecNum&gt;19&lt;/RecNum&gt;&lt;DisplayText&gt;(Goldratt &amp;amp; Cox, 1999)&lt;/DisplayText&gt;&lt;record&gt;&lt;rec-number&gt;19&lt;/rec-number&gt;&lt;foreign-keys&gt;&lt;key app="EN" db-id="xx5zwftv000sx5etrfjp0aajafzaxppv22ep" timestamp="1549982942"&gt;19&lt;/key&gt;&lt;/foreign-keys&gt;&lt;ref-type name="Book"&gt;6&lt;/ref-type&gt;&lt;contributors&gt;&lt;authors&gt;&lt;author&gt;Eliyahu M Goldratt&lt;/author&gt;&lt;author&gt;Jeff Cox&lt;/author&gt;&lt;/authors&gt;&lt;/contributors&gt;&lt;titles&gt;&lt;title&gt;La Meta: Un proceso de mejora continua&lt;/title&gt;&lt;/titles&gt;&lt;edition&gt;2nd&lt;/edition&gt;&lt;dates&gt;&lt;year&gt;1999&lt;/year&gt;&lt;/dates&gt;&lt;pub-location&gt;USA&lt;/pub-location&gt;&lt;publisher&gt;North River Press&lt;/publisher&gt;&lt;urls&gt;&lt;/urls&gt;&lt;/record&gt;&lt;/Cite&gt;&lt;/EndNote&gt;</w:instrText>
      </w:r>
      <w:r w:rsidR="009B6D6C" w:rsidRPr="00275A06">
        <w:rPr>
          <w:color w:val="000000" w:themeColor="text1"/>
          <w:lang w:val="es-ES_tradnl"/>
        </w:rPr>
        <w:fldChar w:fldCharType="separate"/>
      </w:r>
      <w:r w:rsidR="009B6D6C" w:rsidRPr="00275A06">
        <w:rPr>
          <w:noProof/>
          <w:color w:val="000000" w:themeColor="text1"/>
          <w:lang w:val="es-ES_tradnl"/>
        </w:rPr>
        <w:t xml:space="preserve">(Goldratt </w:t>
      </w:r>
      <w:r w:rsidR="004A003F">
        <w:rPr>
          <w:noProof/>
          <w:color w:val="000000" w:themeColor="text1"/>
          <w:lang w:val="es-ES_tradnl"/>
        </w:rPr>
        <w:t>y</w:t>
      </w:r>
      <w:r w:rsidR="004A003F" w:rsidRPr="00275A06">
        <w:rPr>
          <w:noProof/>
          <w:color w:val="000000" w:themeColor="text1"/>
          <w:lang w:val="es-ES_tradnl"/>
        </w:rPr>
        <w:t xml:space="preserve"> </w:t>
      </w:r>
      <w:r w:rsidR="009B6D6C" w:rsidRPr="00275A06">
        <w:rPr>
          <w:noProof/>
          <w:color w:val="000000" w:themeColor="text1"/>
          <w:lang w:val="es-ES_tradnl"/>
        </w:rPr>
        <w:t>Cox, 1999)</w:t>
      </w:r>
      <w:r w:rsidR="009B6D6C" w:rsidRPr="00275A06">
        <w:rPr>
          <w:color w:val="000000" w:themeColor="text1"/>
          <w:lang w:val="es-ES_tradnl"/>
        </w:rPr>
        <w:fldChar w:fldCharType="end"/>
      </w:r>
      <w:r w:rsidR="009B6D6C" w:rsidRPr="00275A06">
        <w:rPr>
          <w:color w:val="000000" w:themeColor="text1"/>
          <w:lang w:val="es-ES_tradnl"/>
        </w:rPr>
        <w:t>.</w:t>
      </w:r>
    </w:p>
    <w:p w14:paraId="3A4A569F" w14:textId="7FAC407E" w:rsidR="00CB78A0" w:rsidRPr="00275A06" w:rsidRDefault="00580DE1" w:rsidP="00D4723A">
      <w:pPr>
        <w:ind w:firstLine="708"/>
        <w:rPr>
          <w:lang w:val="es-ES_tradnl"/>
        </w:rPr>
      </w:pPr>
      <w:r>
        <w:rPr>
          <w:lang w:val="es-ES_tradnl"/>
        </w:rPr>
        <w:t>Las</w:t>
      </w:r>
      <w:r w:rsidR="00CB78A0" w:rsidRPr="00275A06">
        <w:rPr>
          <w:lang w:val="es-ES_tradnl"/>
        </w:rPr>
        <w:t xml:space="preserve"> d</w:t>
      </w:r>
      <w:r w:rsidR="003C6EAC" w:rsidRPr="00275A06">
        <w:rPr>
          <w:lang w:val="es-ES_tradnl"/>
        </w:rPr>
        <w:t>os primeras categorías</w:t>
      </w:r>
      <w:r w:rsidR="00C21CF4" w:rsidRPr="00275A06">
        <w:rPr>
          <w:lang w:val="es-ES_tradnl"/>
        </w:rPr>
        <w:t xml:space="preserve"> </w:t>
      </w:r>
      <w:r>
        <w:rPr>
          <w:lang w:val="es-ES_tradnl"/>
        </w:rPr>
        <w:t>arriba mencionadas</w:t>
      </w:r>
      <w:r w:rsidR="004A003F" w:rsidRPr="00275A06">
        <w:rPr>
          <w:lang w:val="es-ES_tradnl"/>
        </w:rPr>
        <w:t xml:space="preserve"> </w:t>
      </w:r>
      <w:r>
        <w:rPr>
          <w:lang w:val="es-ES_tradnl"/>
        </w:rPr>
        <w:t>forman parte d</w:t>
      </w:r>
      <w:r w:rsidR="00CB78A0" w:rsidRPr="00275A06">
        <w:rPr>
          <w:lang w:val="es-ES_tradnl"/>
        </w:rPr>
        <w:t xml:space="preserve">el </w:t>
      </w:r>
      <w:r w:rsidR="003C6EAC" w:rsidRPr="00275A06">
        <w:rPr>
          <w:lang w:val="es-ES_tradnl"/>
        </w:rPr>
        <w:t>aprendizaje superficial</w:t>
      </w:r>
      <w:r>
        <w:rPr>
          <w:lang w:val="es-ES_tradnl"/>
        </w:rPr>
        <w:t>;</w:t>
      </w:r>
      <w:r w:rsidRPr="00275A06">
        <w:rPr>
          <w:lang w:val="es-ES_tradnl"/>
        </w:rPr>
        <w:t xml:space="preserve"> </w:t>
      </w:r>
      <w:r w:rsidR="003C6EAC" w:rsidRPr="00275A06">
        <w:rPr>
          <w:lang w:val="es-ES_tradnl"/>
        </w:rPr>
        <w:t>y en la tercera</w:t>
      </w:r>
      <w:r w:rsidR="00CB78A0" w:rsidRPr="00275A06">
        <w:rPr>
          <w:lang w:val="es-ES_tradnl"/>
        </w:rPr>
        <w:t xml:space="preserve"> se muestra el espíritu verdadero del aprendizaje profundo.</w:t>
      </w:r>
      <w:r w:rsidR="006916EA">
        <w:rPr>
          <w:lang w:val="es-ES_tradnl"/>
        </w:rPr>
        <w:t xml:space="preserve"> A partir de </w:t>
      </w:r>
      <w:r w:rsidR="00CB78A0" w:rsidRPr="00275A06">
        <w:rPr>
          <w:lang w:val="es-ES_tradnl"/>
        </w:rPr>
        <w:t>lo anterior</w:t>
      </w:r>
      <w:r w:rsidR="006916EA">
        <w:rPr>
          <w:lang w:val="es-ES_tradnl"/>
        </w:rPr>
        <w:t>,</w:t>
      </w:r>
      <w:r w:rsidR="00CB78A0" w:rsidRPr="00275A06">
        <w:rPr>
          <w:lang w:val="es-ES_tradnl"/>
        </w:rPr>
        <w:t xml:space="preserve"> </w:t>
      </w:r>
      <w:r w:rsidR="007B1E65">
        <w:rPr>
          <w:lang w:val="es-ES_tradnl"/>
        </w:rPr>
        <w:t>se formula la siguiente</w:t>
      </w:r>
      <w:r w:rsidR="006916EA" w:rsidRPr="00275A06">
        <w:rPr>
          <w:lang w:val="es-ES_tradnl"/>
        </w:rPr>
        <w:t xml:space="preserve"> </w:t>
      </w:r>
      <w:r w:rsidR="00CB78A0" w:rsidRPr="00275A06">
        <w:rPr>
          <w:lang w:val="es-ES_tradnl"/>
        </w:rPr>
        <w:t>pregunta de investigación: ¿</w:t>
      </w:r>
      <w:r w:rsidR="006916EA">
        <w:rPr>
          <w:lang w:val="es-ES_tradnl"/>
        </w:rPr>
        <w:t>P</w:t>
      </w:r>
      <w:r w:rsidR="006916EA" w:rsidRPr="00275A06">
        <w:rPr>
          <w:lang w:val="es-ES_tradnl"/>
        </w:rPr>
        <w:t xml:space="preserve">or </w:t>
      </w:r>
      <w:r w:rsidR="00C21CF4" w:rsidRPr="00275A06">
        <w:rPr>
          <w:lang w:val="es-ES_tradnl"/>
        </w:rPr>
        <w:t>qué los estudiantes eligen</w:t>
      </w:r>
      <w:r w:rsidR="00CB78A0" w:rsidRPr="00275A06">
        <w:rPr>
          <w:lang w:val="es-ES_tradnl"/>
        </w:rPr>
        <w:t xml:space="preserve"> la estrategia </w:t>
      </w:r>
      <w:r w:rsidR="00C21CF4" w:rsidRPr="00275A06">
        <w:rPr>
          <w:lang w:val="es-ES_tradnl"/>
        </w:rPr>
        <w:t>de aprendizaje más superficial?</w:t>
      </w:r>
    </w:p>
    <w:p w14:paraId="389E8904" w14:textId="3A50E110" w:rsidR="00CB78A0" w:rsidRPr="00275A06" w:rsidRDefault="006916EA" w:rsidP="00D4723A">
      <w:pPr>
        <w:ind w:firstLine="708"/>
        <w:rPr>
          <w:lang w:val="es-ES_tradnl"/>
        </w:rPr>
      </w:pPr>
      <w:r>
        <w:rPr>
          <w:lang w:val="es-ES_tradnl"/>
        </w:rPr>
        <w:t>En lo que</w:t>
      </w:r>
      <w:r w:rsidR="000D31F5" w:rsidRPr="00275A06">
        <w:rPr>
          <w:lang w:val="es-ES_tradnl"/>
        </w:rPr>
        <w:t xml:space="preserve"> respecta a</w:t>
      </w:r>
      <w:r>
        <w:rPr>
          <w:lang w:val="es-ES_tradnl"/>
        </w:rPr>
        <w:t xml:space="preserve"> los</w:t>
      </w:r>
      <w:r w:rsidR="000D31F5" w:rsidRPr="00275A06">
        <w:rPr>
          <w:lang w:val="es-ES_tradnl"/>
        </w:rPr>
        <w:t xml:space="preserve"> </w:t>
      </w:r>
      <w:r w:rsidR="00CB78A0" w:rsidRPr="00275A06">
        <w:rPr>
          <w:lang w:val="es-ES_tradnl"/>
        </w:rPr>
        <w:t>f</w:t>
      </w:r>
      <w:r w:rsidR="000D31F5" w:rsidRPr="00275A06">
        <w:rPr>
          <w:lang w:val="es-ES_tradnl"/>
        </w:rPr>
        <w:t>actores</w:t>
      </w:r>
      <w:r w:rsidR="002B051D" w:rsidRPr="00275A06">
        <w:rPr>
          <w:lang w:val="es-ES_tradnl"/>
        </w:rPr>
        <w:t xml:space="preserve"> </w:t>
      </w:r>
      <w:r w:rsidR="00391B67" w:rsidRPr="00275A06">
        <w:rPr>
          <w:lang w:val="es-ES_tradnl"/>
        </w:rPr>
        <w:t xml:space="preserve">de la estrategia </w:t>
      </w:r>
      <w:r w:rsidR="000D31F5" w:rsidRPr="00275A06">
        <w:rPr>
          <w:lang w:val="es-ES_tradnl"/>
        </w:rPr>
        <w:t>d</w:t>
      </w:r>
      <w:r w:rsidR="00F562E1">
        <w:rPr>
          <w:lang w:val="es-ES_tradnl"/>
        </w:rPr>
        <w:t>e</w:t>
      </w:r>
      <w:r w:rsidR="000D31F5" w:rsidRPr="00275A06">
        <w:rPr>
          <w:lang w:val="es-ES_tradnl"/>
        </w:rPr>
        <w:t xml:space="preserve"> aprendizaje</w:t>
      </w:r>
      <w:r w:rsidR="00F562E1">
        <w:rPr>
          <w:lang w:val="es-ES_tradnl"/>
        </w:rPr>
        <w:t xml:space="preserve"> superficial</w:t>
      </w:r>
      <w:r>
        <w:rPr>
          <w:lang w:val="es-ES_tradnl"/>
        </w:rPr>
        <w:t>,</w:t>
      </w:r>
      <w:r w:rsidR="00CB78A0" w:rsidRPr="00275A06">
        <w:rPr>
          <w:lang w:val="es-ES_tradnl"/>
        </w:rPr>
        <w:t xml:space="preserve"> </w:t>
      </w:r>
      <w:r>
        <w:rPr>
          <w:lang w:val="es-ES_tradnl"/>
        </w:rPr>
        <w:t>se presenta lo puesto a continuación</w:t>
      </w:r>
      <w:r w:rsidR="000D31F5" w:rsidRPr="00275A06">
        <w:rPr>
          <w:lang w:val="es-ES_tradnl"/>
        </w:rPr>
        <w:t xml:space="preserve"> </w:t>
      </w:r>
      <w:r w:rsidR="000D31F5" w:rsidRPr="00275A06">
        <w:rPr>
          <w:lang w:val="es-ES_tradnl"/>
        </w:rPr>
        <w:fldChar w:fldCharType="begin"/>
      </w:r>
      <w:r w:rsidR="000D31F5" w:rsidRPr="00275A06">
        <w:rPr>
          <w:lang w:val="es-ES_tradnl"/>
        </w:rPr>
        <w:instrText xml:space="preserve"> ADDIN EN.CITE &lt;EndNote&gt;&lt;Cite&gt;&lt;Author&gt;Hernández-Pina&lt;/Author&gt;&lt;Year&gt;2005&lt;/Year&gt;&lt;RecNum&gt;9&lt;/RecNum&gt;&lt;DisplayText&gt;(Hernández-Pina &amp;amp; Hervás-Avilés, 2005)&lt;/DisplayText&gt;&lt;record&gt;&lt;rec-number&gt;9&lt;/rec-number&gt;&lt;foreign-keys&gt;&lt;key app="EN" db-id="xx5zwftv000sx5etrfjp0aajafzaxppv22ep" timestamp="1549920131"&gt;9&lt;/key&gt;&lt;/foreign-keys&gt;&lt;ref-type name="Journal Article"&gt;17&lt;/ref-type&gt;&lt;contributors&gt;&lt;authors&gt;&lt;author&gt;Fuensanta Hernández-Pina&lt;/author&gt;&lt;author&gt;Rosa María Hervás-Avilés&lt;/author&gt;&lt;/authors&gt;&lt;/contributors&gt;&lt;titles&gt;&lt;title&gt;Enfoques y estilos de aprendizaje en educación superior&lt;/title&gt;&lt;secondary-title&gt;Revista Española de Orientación y Psicopedagogía&lt;/secondary-title&gt;&lt;/titles&gt;&lt;periodical&gt;&lt;full-title&gt;Revista Española de Orientación y Psicopedagogía&lt;/full-title&gt;&lt;/periodical&gt;&lt;pages&gt;283-299&lt;/pages&gt;&lt;volume&gt;16&lt;/volume&gt;&lt;number&gt;2&lt;/number&gt;&lt;dates&gt;&lt;year&gt;2005&lt;/year&gt;&lt;/dates&gt;&lt;urls&gt;&lt;/urls&gt;&lt;/record&gt;&lt;/Cite&gt;&lt;/EndNote&gt;</w:instrText>
      </w:r>
      <w:r w:rsidR="000D31F5" w:rsidRPr="00275A06">
        <w:rPr>
          <w:lang w:val="es-ES_tradnl"/>
        </w:rPr>
        <w:fldChar w:fldCharType="separate"/>
      </w:r>
      <w:r w:rsidR="000D31F5" w:rsidRPr="00275A06">
        <w:rPr>
          <w:noProof/>
          <w:lang w:val="es-ES_tradnl"/>
        </w:rPr>
        <w:t>(</w:t>
      </w:r>
      <w:bookmarkStart w:id="1" w:name="_Hlk4949063"/>
      <w:r w:rsidR="000D31F5" w:rsidRPr="00275A06">
        <w:rPr>
          <w:noProof/>
          <w:lang w:val="es-ES_tradnl"/>
        </w:rPr>
        <w:t xml:space="preserve">Hernández </w:t>
      </w:r>
      <w:r>
        <w:rPr>
          <w:noProof/>
          <w:lang w:val="es-ES_tradnl"/>
        </w:rPr>
        <w:t>y</w:t>
      </w:r>
      <w:r w:rsidRPr="00275A06">
        <w:rPr>
          <w:noProof/>
          <w:lang w:val="es-ES_tradnl"/>
        </w:rPr>
        <w:t xml:space="preserve"> </w:t>
      </w:r>
      <w:r w:rsidR="000D31F5" w:rsidRPr="00275A06">
        <w:rPr>
          <w:noProof/>
          <w:lang w:val="es-ES_tradnl"/>
        </w:rPr>
        <w:t>Hervás, 2005</w:t>
      </w:r>
      <w:bookmarkEnd w:id="1"/>
      <w:r w:rsidR="000D31F5" w:rsidRPr="00275A06">
        <w:rPr>
          <w:noProof/>
          <w:lang w:val="es-ES_tradnl"/>
        </w:rPr>
        <w:t>)</w:t>
      </w:r>
      <w:r w:rsidR="000D31F5" w:rsidRPr="00275A06">
        <w:rPr>
          <w:lang w:val="es-ES_tradnl"/>
        </w:rPr>
        <w:fldChar w:fldCharType="end"/>
      </w:r>
      <w:r w:rsidR="00CB78A0" w:rsidRPr="00275A06">
        <w:rPr>
          <w:lang w:val="es-ES_tradnl"/>
        </w:rPr>
        <w:t>:</w:t>
      </w:r>
    </w:p>
    <w:p w14:paraId="34FB2A82" w14:textId="13CE2158" w:rsidR="00CB78A0" w:rsidRPr="00275A06" w:rsidRDefault="00CB78A0" w:rsidP="00D4723A">
      <w:pPr>
        <w:pStyle w:val="Prrafodelista"/>
        <w:numPr>
          <w:ilvl w:val="0"/>
          <w:numId w:val="5"/>
        </w:numPr>
        <w:ind w:left="0" w:firstLine="709"/>
        <w:rPr>
          <w:lang w:val="es-ES_tradnl"/>
        </w:rPr>
      </w:pPr>
      <w:r w:rsidRPr="00275A06">
        <w:rPr>
          <w:lang w:val="es-ES_tradnl"/>
        </w:rPr>
        <w:lastRenderedPageBreak/>
        <w:t>En el proceso de enseñanza algunas veces no se realiza una descripción clara de los objetivos generales de enseñanza</w:t>
      </w:r>
      <w:r w:rsidR="006916EA">
        <w:rPr>
          <w:lang w:val="es-ES_tradnl"/>
        </w:rPr>
        <w:t>.</w:t>
      </w:r>
      <w:r w:rsidR="006916EA" w:rsidRPr="00275A06">
        <w:rPr>
          <w:lang w:val="es-ES_tradnl"/>
        </w:rPr>
        <w:t xml:space="preserve"> </w:t>
      </w:r>
      <w:r w:rsidRPr="00275A06">
        <w:rPr>
          <w:lang w:val="es-ES_tradnl"/>
        </w:rPr>
        <w:t xml:space="preserve">En dicha estructura </w:t>
      </w:r>
      <w:r w:rsidR="00F069D2" w:rsidRPr="00275A06">
        <w:rPr>
          <w:lang w:val="es-ES_tradnl"/>
        </w:rPr>
        <w:t xml:space="preserve">el </w:t>
      </w:r>
      <w:r w:rsidRPr="00275A06">
        <w:rPr>
          <w:lang w:val="es-ES_tradnl"/>
        </w:rPr>
        <w:t xml:space="preserve">programa de enseñanza </w:t>
      </w:r>
      <w:r w:rsidR="007D36AB" w:rsidRPr="00275A06">
        <w:rPr>
          <w:lang w:val="es-ES_tradnl"/>
        </w:rPr>
        <w:t>se basa en el</w:t>
      </w:r>
      <w:r w:rsidRPr="00275A06">
        <w:rPr>
          <w:lang w:val="es-ES_tradnl"/>
        </w:rPr>
        <w:t xml:space="preserve"> contenido temático </w:t>
      </w:r>
      <w:r w:rsidR="007D36AB" w:rsidRPr="00275A06">
        <w:rPr>
          <w:lang w:val="es-ES_tradnl"/>
        </w:rPr>
        <w:t xml:space="preserve">que fue </w:t>
      </w:r>
      <w:r w:rsidRPr="00275A06">
        <w:rPr>
          <w:lang w:val="es-ES_tradnl"/>
        </w:rPr>
        <w:t>genera</w:t>
      </w:r>
      <w:r w:rsidR="007D36AB" w:rsidRPr="00275A06">
        <w:rPr>
          <w:lang w:val="es-ES_tradnl"/>
        </w:rPr>
        <w:t>do</w:t>
      </w:r>
      <w:r w:rsidRPr="00275A06">
        <w:rPr>
          <w:lang w:val="es-ES_tradnl"/>
        </w:rPr>
        <w:t xml:space="preserve"> fuera de línea, por lo que los estudiantes no pueden comprender el sistema de conocimiento </w:t>
      </w:r>
      <w:r w:rsidR="006916EA">
        <w:rPr>
          <w:lang w:val="es-ES_tradnl"/>
        </w:rPr>
        <w:t xml:space="preserve">puesto estrechamente </w:t>
      </w:r>
      <w:r w:rsidRPr="00275A06">
        <w:rPr>
          <w:lang w:val="es-ES_tradnl"/>
        </w:rPr>
        <w:t>alrededor del objetivo</w:t>
      </w:r>
      <w:r w:rsidR="006916EA">
        <w:rPr>
          <w:lang w:val="es-ES_tradnl"/>
        </w:rPr>
        <w:t>.</w:t>
      </w:r>
    </w:p>
    <w:p w14:paraId="229A7EB7" w14:textId="285A8555" w:rsidR="00CB78A0" w:rsidRPr="00275A06" w:rsidRDefault="00CB78A0" w:rsidP="00D4723A">
      <w:pPr>
        <w:pStyle w:val="Prrafodelista"/>
        <w:numPr>
          <w:ilvl w:val="0"/>
          <w:numId w:val="5"/>
        </w:numPr>
        <w:ind w:left="0" w:firstLine="709"/>
        <w:rPr>
          <w:lang w:val="es-ES_tradnl"/>
        </w:rPr>
      </w:pPr>
      <w:r w:rsidRPr="00275A06">
        <w:rPr>
          <w:lang w:val="es-ES_tradnl"/>
        </w:rPr>
        <w:t>No tiene en cuenta los conocimientos previos de los alumnos: Si el estudio contiene una gran cantidad de nueva información</w:t>
      </w:r>
      <w:r w:rsidR="00505751" w:rsidRPr="00275A06">
        <w:rPr>
          <w:lang w:val="es-ES_tradnl"/>
        </w:rPr>
        <w:t>,</w:t>
      </w:r>
      <w:r w:rsidRPr="00275A06">
        <w:rPr>
          <w:lang w:val="es-ES_tradnl"/>
        </w:rPr>
        <w:t xml:space="preserve"> o requisitos dentro de un tiempo limitado para adquirir nuevos conocimientos, los estudiantes se ven obligados a hacer frente a la educación sin búsqueda exhaustiva</w:t>
      </w:r>
      <w:r w:rsidR="006916EA">
        <w:rPr>
          <w:lang w:val="es-ES_tradnl"/>
        </w:rPr>
        <w:t>.</w:t>
      </w:r>
    </w:p>
    <w:p w14:paraId="1BFC02E2" w14:textId="14A07BB2" w:rsidR="00CB78A0" w:rsidRPr="00275A06" w:rsidRDefault="00CB78A0" w:rsidP="00D4723A">
      <w:pPr>
        <w:pStyle w:val="Prrafodelista"/>
        <w:numPr>
          <w:ilvl w:val="0"/>
          <w:numId w:val="5"/>
        </w:numPr>
        <w:ind w:left="0" w:firstLine="709"/>
        <w:rPr>
          <w:lang w:val="es-ES_tradnl"/>
        </w:rPr>
      </w:pPr>
      <w:r w:rsidRPr="00275A06">
        <w:rPr>
          <w:lang w:val="es-ES_tradnl"/>
        </w:rPr>
        <w:t xml:space="preserve">Los métodos de enseñanza son centrados en el profesor: </w:t>
      </w:r>
      <w:r w:rsidR="006916EA">
        <w:rPr>
          <w:lang w:val="es-ES_tradnl"/>
        </w:rPr>
        <w:t>E</w:t>
      </w:r>
      <w:r w:rsidR="006916EA" w:rsidRPr="00275A06">
        <w:rPr>
          <w:lang w:val="es-ES_tradnl"/>
        </w:rPr>
        <w:t xml:space="preserve">l </w:t>
      </w:r>
      <w:r w:rsidRPr="00275A06">
        <w:rPr>
          <w:lang w:val="es-ES_tradnl"/>
        </w:rPr>
        <w:t xml:space="preserve">énfasis </w:t>
      </w:r>
      <w:r w:rsidR="00F562E1">
        <w:rPr>
          <w:lang w:val="es-ES_tradnl"/>
        </w:rPr>
        <w:t xml:space="preserve">está puesto </w:t>
      </w:r>
      <w:r w:rsidRPr="00275A06">
        <w:rPr>
          <w:lang w:val="es-ES_tradnl"/>
        </w:rPr>
        <w:t xml:space="preserve">en la transmisión de información, en lugar de </w:t>
      </w:r>
      <w:r w:rsidR="00F562E1">
        <w:rPr>
          <w:lang w:val="es-ES_tradnl"/>
        </w:rPr>
        <w:t xml:space="preserve">centrarse en </w:t>
      </w:r>
      <w:r w:rsidRPr="00275A06">
        <w:rPr>
          <w:lang w:val="es-ES_tradnl"/>
        </w:rPr>
        <w:t>la comprensión</w:t>
      </w:r>
      <w:r w:rsidR="00505751" w:rsidRPr="00275A06">
        <w:rPr>
          <w:lang w:val="es-ES_tradnl"/>
        </w:rPr>
        <w:t xml:space="preserve"> en profundidad del pensamiento</w:t>
      </w:r>
      <w:r w:rsidR="00F562E1">
        <w:rPr>
          <w:lang w:val="es-ES_tradnl"/>
        </w:rPr>
        <w:t>.</w:t>
      </w:r>
      <w:r w:rsidR="00F562E1" w:rsidRPr="00275A06">
        <w:rPr>
          <w:lang w:val="es-ES_tradnl"/>
        </w:rPr>
        <w:t xml:space="preserve"> </w:t>
      </w:r>
      <w:r w:rsidR="00F562E1">
        <w:rPr>
          <w:lang w:val="es-ES_tradnl"/>
        </w:rPr>
        <w:t>L</w:t>
      </w:r>
      <w:r w:rsidR="00F562E1" w:rsidRPr="00275A06">
        <w:rPr>
          <w:lang w:val="es-ES_tradnl"/>
        </w:rPr>
        <w:t xml:space="preserve">os </w:t>
      </w:r>
      <w:r w:rsidRPr="00275A06">
        <w:rPr>
          <w:lang w:val="es-ES_tradnl"/>
        </w:rPr>
        <w:t xml:space="preserve">maestros que enseñan </w:t>
      </w:r>
      <w:r w:rsidR="007D36AB" w:rsidRPr="00275A06">
        <w:rPr>
          <w:lang w:val="es-ES_tradnl"/>
        </w:rPr>
        <w:t xml:space="preserve">por medios </w:t>
      </w:r>
      <w:r w:rsidRPr="00275A06">
        <w:rPr>
          <w:lang w:val="es-ES_tradnl"/>
        </w:rPr>
        <w:t>negativos también contribuyen al aprendizaje superficial</w:t>
      </w:r>
      <w:r w:rsidR="00F562E1">
        <w:rPr>
          <w:lang w:val="es-ES_tradnl"/>
        </w:rPr>
        <w:t>.</w:t>
      </w:r>
    </w:p>
    <w:p w14:paraId="2D5872A0" w14:textId="466DCC51" w:rsidR="00F43888" w:rsidRPr="00275A06" w:rsidRDefault="00F43888" w:rsidP="00D4723A">
      <w:pPr>
        <w:pStyle w:val="Prrafodelista"/>
        <w:numPr>
          <w:ilvl w:val="0"/>
          <w:numId w:val="5"/>
        </w:numPr>
        <w:ind w:left="0" w:firstLine="709"/>
        <w:rPr>
          <w:lang w:val="es-ES_tradnl"/>
        </w:rPr>
      </w:pPr>
      <w:r w:rsidRPr="00275A06">
        <w:rPr>
          <w:lang w:val="es-ES_tradnl"/>
        </w:rPr>
        <w:t xml:space="preserve">Los estudiantes no pueden ver el valor intrínseco de los maestros hacia el proceso de enseñanza. </w:t>
      </w:r>
    </w:p>
    <w:p w14:paraId="6858A508" w14:textId="6BB611AF" w:rsidR="00CB78A0" w:rsidRPr="00275A06" w:rsidRDefault="00CB78A0" w:rsidP="00D4723A">
      <w:pPr>
        <w:pStyle w:val="Prrafodelista"/>
        <w:numPr>
          <w:ilvl w:val="0"/>
          <w:numId w:val="5"/>
        </w:numPr>
        <w:ind w:left="0" w:firstLine="709"/>
        <w:rPr>
          <w:lang w:val="es-ES_tradnl"/>
        </w:rPr>
      </w:pPr>
      <w:r w:rsidRPr="00275A06">
        <w:rPr>
          <w:lang w:val="es-ES_tradnl"/>
        </w:rPr>
        <w:t>La falta de procesos de retroalimentación de aprendizaje y métodos de evaluación mecánica sutilmente fomenta el aprendizaje superficial.</w:t>
      </w:r>
    </w:p>
    <w:p w14:paraId="02255B27" w14:textId="7D8D162F" w:rsidR="00686A25" w:rsidRPr="00275A06" w:rsidRDefault="00F562E1" w:rsidP="00D4723A">
      <w:pPr>
        <w:pStyle w:val="Prrafodelista"/>
        <w:numPr>
          <w:ilvl w:val="0"/>
          <w:numId w:val="5"/>
        </w:numPr>
        <w:ind w:left="0" w:firstLine="709"/>
        <w:rPr>
          <w:lang w:val="es-ES_tradnl"/>
        </w:rPr>
      </w:pPr>
      <w:r>
        <w:rPr>
          <w:lang w:val="es-ES_tradnl"/>
        </w:rPr>
        <w:t>N</w:t>
      </w:r>
      <w:r w:rsidRPr="00275A06">
        <w:rPr>
          <w:lang w:val="es-ES_tradnl"/>
        </w:rPr>
        <w:t>o es propicio para los estudiantes</w:t>
      </w:r>
      <w:r>
        <w:rPr>
          <w:lang w:val="es-ES_tradnl"/>
        </w:rPr>
        <w:t xml:space="preserve"> recurrir al</w:t>
      </w:r>
      <w:r w:rsidRPr="00275A06">
        <w:rPr>
          <w:lang w:val="es-ES_tradnl"/>
        </w:rPr>
        <w:t xml:space="preserve"> aprendizaje superficial</w:t>
      </w:r>
      <w:r>
        <w:rPr>
          <w:lang w:val="es-ES_tradnl"/>
        </w:rPr>
        <w:t xml:space="preserve"> si se desea alcanzar un verdadero conocimiento.</w:t>
      </w:r>
    </w:p>
    <w:p w14:paraId="4947B0E6" w14:textId="77777777" w:rsidR="007B1DF5" w:rsidRPr="00275A06" w:rsidRDefault="007B1DF5" w:rsidP="00275A06"/>
    <w:p w14:paraId="46B378D3" w14:textId="77777777" w:rsidR="00B14073" w:rsidRPr="00A40A41" w:rsidRDefault="00B56753" w:rsidP="00A40A41">
      <w:pPr>
        <w:pStyle w:val="Ttulo2"/>
        <w:spacing w:before="0"/>
        <w:rPr>
          <w:sz w:val="24"/>
          <w:szCs w:val="24"/>
          <w:lang w:val="es-ES_tradnl" w:eastAsia="es-ES"/>
        </w:rPr>
      </w:pPr>
      <w:r w:rsidRPr="00A40A41">
        <w:rPr>
          <w:sz w:val="24"/>
          <w:szCs w:val="24"/>
          <w:lang w:val="es-ES_tradnl" w:eastAsia="es-ES"/>
        </w:rPr>
        <w:t>La educación innovadora</w:t>
      </w:r>
    </w:p>
    <w:p w14:paraId="1EC96140" w14:textId="1E8FFB99" w:rsidR="00B56753" w:rsidRPr="00275A06" w:rsidRDefault="00A61058">
      <w:pPr>
        <w:ind w:firstLine="708"/>
        <w:rPr>
          <w:lang w:val="es-MX"/>
        </w:rPr>
      </w:pPr>
      <w:r w:rsidRPr="00275A06">
        <w:rPr>
          <w:lang w:val="es-ES_tradnl"/>
        </w:rPr>
        <w:t>El</w:t>
      </w:r>
      <w:r w:rsidRPr="00275A06">
        <w:t xml:space="preserve"> académico estadounidense</w:t>
      </w:r>
      <w:r w:rsidR="00B56753" w:rsidRPr="00275A06">
        <w:t xml:space="preserve"> </w:t>
      </w:r>
      <w:r w:rsidRPr="00275A06">
        <w:t>Charles</w:t>
      </w:r>
      <w:r w:rsidR="00B56753" w:rsidRPr="00275A06">
        <w:t xml:space="preserve"> Kirkpatrick</w:t>
      </w:r>
      <w:r w:rsidRPr="00275A06">
        <w:t xml:space="preserve"> escribió</w:t>
      </w:r>
      <w:r w:rsidR="00DE4887">
        <w:t xml:space="preserve"> </w:t>
      </w:r>
      <w:r w:rsidR="00DE4887" w:rsidRPr="00275A06">
        <w:t>en 1941</w:t>
      </w:r>
      <w:r w:rsidR="00B56753" w:rsidRPr="00275A06">
        <w:t xml:space="preserve"> un </w:t>
      </w:r>
      <w:r w:rsidR="00A93A62" w:rsidRPr="00275A06">
        <w:t>artículo</w:t>
      </w:r>
      <w:r w:rsidRPr="00275A06">
        <w:t xml:space="preserve"> titulado</w:t>
      </w:r>
      <w:r w:rsidR="00B56753" w:rsidRPr="00275A06">
        <w:t xml:space="preserve"> </w:t>
      </w:r>
      <w:r w:rsidR="00DE4887">
        <w:t>“</w:t>
      </w:r>
      <w:proofErr w:type="spellStart"/>
      <w:r w:rsidR="00B56753" w:rsidRPr="00D4723A">
        <w:rPr>
          <w:iCs/>
        </w:rPr>
        <w:t>An</w:t>
      </w:r>
      <w:proofErr w:type="spellEnd"/>
      <w:r w:rsidR="00B56753" w:rsidRPr="00D4723A">
        <w:rPr>
          <w:iCs/>
        </w:rPr>
        <w:t xml:space="preserve"> </w:t>
      </w:r>
      <w:proofErr w:type="spellStart"/>
      <w:r w:rsidR="00B56753" w:rsidRPr="00D4723A">
        <w:rPr>
          <w:iCs/>
        </w:rPr>
        <w:t>Unknown</w:t>
      </w:r>
      <w:proofErr w:type="spellEnd"/>
      <w:r w:rsidR="00B56753" w:rsidRPr="00D4723A">
        <w:rPr>
          <w:iCs/>
        </w:rPr>
        <w:t xml:space="preserve"> Future and a </w:t>
      </w:r>
      <w:proofErr w:type="spellStart"/>
      <w:r w:rsidR="00B56753" w:rsidRPr="00D4723A">
        <w:rPr>
          <w:iCs/>
        </w:rPr>
        <w:t>Doubtful</w:t>
      </w:r>
      <w:proofErr w:type="spellEnd"/>
      <w:r w:rsidR="00B56753" w:rsidRPr="00D4723A">
        <w:rPr>
          <w:iCs/>
        </w:rPr>
        <w:t xml:space="preserve"> </w:t>
      </w:r>
      <w:proofErr w:type="spellStart"/>
      <w:r w:rsidR="00B56753" w:rsidRPr="00D4723A">
        <w:rPr>
          <w:iCs/>
        </w:rPr>
        <w:t>Present</w:t>
      </w:r>
      <w:proofErr w:type="spellEnd"/>
      <w:r w:rsidR="00B56753" w:rsidRPr="00D4723A">
        <w:rPr>
          <w:iCs/>
        </w:rPr>
        <w:t xml:space="preserve">: </w:t>
      </w:r>
      <w:proofErr w:type="spellStart"/>
      <w:r w:rsidR="00B56753" w:rsidRPr="00D4723A">
        <w:rPr>
          <w:iCs/>
        </w:rPr>
        <w:t>Writing</w:t>
      </w:r>
      <w:proofErr w:type="spellEnd"/>
      <w:r w:rsidR="00B56753" w:rsidRPr="00D4723A">
        <w:rPr>
          <w:iCs/>
        </w:rPr>
        <w:t xml:space="preserve"> </w:t>
      </w:r>
      <w:proofErr w:type="spellStart"/>
      <w:r w:rsidR="00B56753" w:rsidRPr="00D4723A">
        <w:rPr>
          <w:iCs/>
        </w:rPr>
        <w:t>the</w:t>
      </w:r>
      <w:proofErr w:type="spellEnd"/>
      <w:r w:rsidR="00B56753" w:rsidRPr="00D4723A">
        <w:rPr>
          <w:iCs/>
        </w:rPr>
        <w:t xml:space="preserve"> </w:t>
      </w:r>
      <w:proofErr w:type="spellStart"/>
      <w:r w:rsidR="00B56753" w:rsidRPr="00D4723A">
        <w:rPr>
          <w:iCs/>
        </w:rPr>
        <w:t>Victory</w:t>
      </w:r>
      <w:proofErr w:type="spellEnd"/>
      <w:r w:rsidR="00B56753" w:rsidRPr="00D4723A">
        <w:rPr>
          <w:iCs/>
        </w:rPr>
        <w:t xml:space="preserve"> Plan </w:t>
      </w:r>
      <w:proofErr w:type="spellStart"/>
      <w:r w:rsidR="00B56753" w:rsidRPr="00D4723A">
        <w:rPr>
          <w:iCs/>
        </w:rPr>
        <w:t>of</w:t>
      </w:r>
      <w:proofErr w:type="spellEnd"/>
      <w:r w:rsidR="00B56753" w:rsidRPr="00D4723A">
        <w:rPr>
          <w:iCs/>
        </w:rPr>
        <w:t xml:space="preserve"> 1941</w:t>
      </w:r>
      <w:r w:rsidR="00DE4887">
        <w:rPr>
          <w:iCs/>
        </w:rPr>
        <w:t>”</w:t>
      </w:r>
      <w:r w:rsidR="00B56753" w:rsidRPr="00275A06">
        <w:t xml:space="preserve">, el cual se considera </w:t>
      </w:r>
      <w:r w:rsidR="00E10359">
        <w:t>piedra fundacional</w:t>
      </w:r>
      <w:r w:rsidR="00B56753" w:rsidRPr="00275A06">
        <w:t xml:space="preserve"> de la educación innovadora</w:t>
      </w:r>
      <w:r w:rsidR="00BA3ABF" w:rsidRPr="00275A06">
        <w:t xml:space="preserve"> </w:t>
      </w:r>
      <w:r w:rsidRPr="00275A06">
        <w:fldChar w:fldCharType="begin"/>
      </w:r>
      <w:r w:rsidRPr="00275A06">
        <w:instrText xml:space="preserve"> ADDIN EN.CITE &lt;EndNote&gt;&lt;Cite&gt;&lt;Author&gt;Kirkpatrick&lt;/Author&gt;&lt;Year&gt;2015&lt;/Year&gt;&lt;RecNum&gt;3&lt;/RecNum&gt;&lt;DisplayText&gt;(Kirkpatrick, 2015)&lt;/DisplayText&gt;&lt;record&gt;&lt;rec-number&gt;3&lt;/rec-number&gt;&lt;foreign-keys&gt;&lt;key app="EN" db-id="xx5zwftv000sx5etrfjp0aajafzaxppv22ep" timestamp="1549914856"&gt;3&lt;/key&gt;&lt;/foreign-keys&gt;&lt;ref-type name="Book"&gt;6&lt;/ref-type&gt;&lt;contributors&gt;&lt;authors&gt;&lt;author&gt;Charles E. Kirkpatrick&lt;/author&gt;&lt;/authors&gt;&lt;/contributors&gt;&lt;titles&gt;&lt;title&gt;An unknown future and a doubtful present: writing the victory plan of 1941&lt;/title&gt;&lt;/titles&gt;&lt;dates&gt;&lt;year&gt;2015&lt;/year&gt;&lt;/dates&gt;&lt;publisher&gt;CreateSpace Independent Publishing Platform&lt;/publisher&gt;&lt;urls&gt;&lt;/urls&gt;&lt;/record&gt;&lt;/Cite&gt;&lt;/EndNote&gt;</w:instrText>
      </w:r>
      <w:r w:rsidRPr="00275A06">
        <w:fldChar w:fldCharType="separate"/>
      </w:r>
      <w:r w:rsidRPr="00275A06">
        <w:rPr>
          <w:noProof/>
        </w:rPr>
        <w:t>(Kirkpatrick, 2015)</w:t>
      </w:r>
      <w:r w:rsidRPr="00275A06">
        <w:fldChar w:fldCharType="end"/>
      </w:r>
      <w:r w:rsidR="00B56753" w:rsidRPr="00275A06">
        <w:t xml:space="preserve">. </w:t>
      </w:r>
    </w:p>
    <w:p w14:paraId="79E93160" w14:textId="23BB1964" w:rsidR="00B56753" w:rsidRPr="00275A06" w:rsidRDefault="00B56753">
      <w:pPr>
        <w:ind w:firstLine="708"/>
      </w:pPr>
      <w:r w:rsidRPr="00275A06">
        <w:t xml:space="preserve">A partir de </w:t>
      </w:r>
      <w:r w:rsidR="00441137" w:rsidRPr="00275A06">
        <w:t>est</w:t>
      </w:r>
      <w:r w:rsidR="00441137">
        <w:t>e hecho</w:t>
      </w:r>
      <w:r w:rsidR="00A61058" w:rsidRPr="00275A06">
        <w:t>,</w:t>
      </w:r>
      <w:r w:rsidRPr="00275A06">
        <w:t xml:space="preserve"> en Estados Unidos se estableció formalmente </w:t>
      </w:r>
      <w:r w:rsidRPr="00441137">
        <w:t xml:space="preserve">la </w:t>
      </w:r>
      <w:proofErr w:type="spellStart"/>
      <w:r w:rsidRPr="00D4723A">
        <w:t>Creative</w:t>
      </w:r>
      <w:proofErr w:type="spellEnd"/>
      <w:r w:rsidRPr="00D4723A">
        <w:t xml:space="preserve"> </w:t>
      </w:r>
      <w:proofErr w:type="spellStart"/>
      <w:r w:rsidRPr="00D4723A">
        <w:t>Education</w:t>
      </w:r>
      <w:proofErr w:type="spellEnd"/>
      <w:r w:rsidRPr="00D4723A">
        <w:t xml:space="preserve"> </w:t>
      </w:r>
      <w:proofErr w:type="spellStart"/>
      <w:r w:rsidRPr="00D4723A">
        <w:t>Foundation</w:t>
      </w:r>
      <w:proofErr w:type="spellEnd"/>
      <w:r w:rsidRPr="00275A06">
        <w:t xml:space="preserve">, </w:t>
      </w:r>
      <w:r w:rsidR="00441137">
        <w:t>la cual</w:t>
      </w:r>
      <w:r w:rsidRPr="00275A06">
        <w:t xml:space="preserve"> creó muchas universidades e instituciones educativas y de investigación</w:t>
      </w:r>
      <w:r w:rsidR="00BA3ABF" w:rsidRPr="00275A06">
        <w:t xml:space="preserve"> </w:t>
      </w:r>
      <w:r w:rsidR="00A61058" w:rsidRPr="00275A06">
        <w:fldChar w:fldCharType="begin"/>
      </w:r>
      <w:r w:rsidR="00A61058" w:rsidRPr="00275A06">
        <w:instrText xml:space="preserve"> ADDIN EN.CITE &lt;EndNote&gt;&lt;Cite&gt;&lt;Author&gt;Westby&lt;/Author&gt;&lt;Year&gt;1995&lt;/Year&gt;&lt;RecNum&gt;18&lt;/RecNum&gt;&lt;DisplayText&gt;(Westby &amp;amp; Dawson, 1995)&lt;/DisplayText&gt;&lt;record&gt;&lt;rec-number&gt;18&lt;/rec-number&gt;&lt;foreign-keys&gt;&lt;key app="EN" db-id="xx5zwftv000sx5etrfjp0aajafzaxppv22ep" timestamp="1549922461"&gt;18&lt;/key&gt;&lt;/foreign-keys&gt;&lt;ref-type name="Journal Article"&gt;17&lt;/ref-type&gt;&lt;contributors&gt;&lt;authors&gt;&lt;author&gt;Erik L. Westby&lt;/author&gt;&lt;author&gt;V.L. Dawson&lt;/author&gt;&lt;/authors&gt;&lt;/contributors&gt;&lt;titles&gt;&lt;title&gt;Creativity: Asset or burden in the classroom?&lt;/title&gt;&lt;secondary-title&gt;Journal Creativity Research Journal&lt;/secondary-title&gt;&lt;/titles&gt;&lt;periodical&gt;&lt;full-title&gt;Journal Creativity Research Journal&lt;/full-title&gt;&lt;/periodical&gt;&lt;pages&gt;1-10&lt;/pages&gt;&lt;volume&gt;8&lt;/volume&gt;&lt;number&gt;1&lt;/number&gt;&lt;dates&gt;&lt;year&gt;1995&lt;/year&gt;&lt;/dates&gt;&lt;urls&gt;&lt;/urls&gt;&lt;/record&gt;&lt;/Cite&gt;&lt;/EndNote&gt;</w:instrText>
      </w:r>
      <w:r w:rsidR="00A61058" w:rsidRPr="00275A06">
        <w:fldChar w:fldCharType="separate"/>
      </w:r>
      <w:r w:rsidR="00A61058" w:rsidRPr="00275A06">
        <w:rPr>
          <w:noProof/>
        </w:rPr>
        <w:t xml:space="preserve">(Westby </w:t>
      </w:r>
      <w:r w:rsidR="00441137">
        <w:rPr>
          <w:noProof/>
        </w:rPr>
        <w:t>y</w:t>
      </w:r>
      <w:r w:rsidR="00441137" w:rsidRPr="00275A06">
        <w:rPr>
          <w:noProof/>
        </w:rPr>
        <w:t xml:space="preserve"> </w:t>
      </w:r>
      <w:r w:rsidR="00A61058" w:rsidRPr="00275A06">
        <w:rPr>
          <w:noProof/>
        </w:rPr>
        <w:t>Dawson, 1995)</w:t>
      </w:r>
      <w:r w:rsidR="00A61058" w:rsidRPr="00275A06">
        <w:fldChar w:fldCharType="end"/>
      </w:r>
      <w:r w:rsidR="00BA3ABF" w:rsidRPr="00275A06">
        <w:t>.</w:t>
      </w:r>
      <w:r w:rsidRPr="00275A06">
        <w:rPr>
          <w:color w:val="FF0000"/>
        </w:rPr>
        <w:t xml:space="preserve"> </w:t>
      </w:r>
      <w:r w:rsidR="00A61058" w:rsidRPr="00275A06">
        <w:t>En la</w:t>
      </w:r>
      <w:r w:rsidRPr="00275A06">
        <w:t xml:space="preserve"> década de </w:t>
      </w:r>
      <w:r w:rsidR="00A61058" w:rsidRPr="00275A06">
        <w:t xml:space="preserve">los </w:t>
      </w:r>
      <w:r w:rsidRPr="00275A06">
        <w:t xml:space="preserve">80, el primer ministro japonés, </w:t>
      </w:r>
      <w:proofErr w:type="spellStart"/>
      <w:r w:rsidRPr="00275A06">
        <w:t>Takeo</w:t>
      </w:r>
      <w:proofErr w:type="spellEnd"/>
      <w:r w:rsidRPr="00275A06">
        <w:t xml:space="preserve"> </w:t>
      </w:r>
      <w:proofErr w:type="spellStart"/>
      <w:r w:rsidRPr="00275A06">
        <w:t>Fukuda</w:t>
      </w:r>
      <w:proofErr w:type="spellEnd"/>
      <w:r w:rsidR="00A61058" w:rsidRPr="00275A06">
        <w:t>,</w:t>
      </w:r>
      <w:r w:rsidRPr="00275A06">
        <w:t xml:space="preserve"> pe</w:t>
      </w:r>
      <w:r w:rsidR="00A61058" w:rsidRPr="00275A06">
        <w:t>rsonalmente presidió la reunión</w:t>
      </w:r>
      <w:r w:rsidRPr="00275A06">
        <w:t xml:space="preserve"> </w:t>
      </w:r>
      <w:r w:rsidR="007D36AB" w:rsidRPr="00275A06">
        <w:t xml:space="preserve">de un </w:t>
      </w:r>
      <w:r w:rsidRPr="00275A06">
        <w:t xml:space="preserve">movimiento para mejorar la creatividad de la mayoría de los ciudadanos </w:t>
      </w:r>
      <w:r w:rsidR="00F562E1">
        <w:t>que se estaban preparando</w:t>
      </w:r>
      <w:r w:rsidR="00F562E1" w:rsidRPr="00275A06">
        <w:t xml:space="preserve"> </w:t>
      </w:r>
      <w:r w:rsidR="007D36AB" w:rsidRPr="00275A06">
        <w:t xml:space="preserve">para el </w:t>
      </w:r>
      <w:r w:rsidRPr="00275A06">
        <w:t xml:space="preserve">siglo XXI. </w:t>
      </w:r>
    </w:p>
    <w:p w14:paraId="584C7E6B" w14:textId="0C1C9C77" w:rsidR="00B56753" w:rsidRPr="00275A06" w:rsidRDefault="00F562E1">
      <w:pPr>
        <w:ind w:firstLine="708"/>
      </w:pPr>
      <w:r>
        <w:lastRenderedPageBreak/>
        <w:t>En ese contexto, los</w:t>
      </w:r>
      <w:r w:rsidRPr="00275A06">
        <w:t xml:space="preserve"> </w:t>
      </w:r>
      <w:r w:rsidR="00B56753" w:rsidRPr="00275A06">
        <w:t>métodos tradicionales de enseñanza</w:t>
      </w:r>
      <w:r w:rsidR="00441137">
        <w:t>,</w:t>
      </w:r>
      <w:r w:rsidR="00B56753" w:rsidRPr="00275A06">
        <w:t xml:space="preserve"> </w:t>
      </w:r>
      <w:r w:rsidR="007D36AB" w:rsidRPr="00275A06">
        <w:t>desde el punto de vista</w:t>
      </w:r>
      <w:r w:rsidR="00B56753" w:rsidRPr="00275A06">
        <w:t xml:space="preserve"> de los defensores de la educación</w:t>
      </w:r>
      <w:r w:rsidR="00441137">
        <w:t>,</w:t>
      </w:r>
      <w:r w:rsidR="00B56753" w:rsidRPr="00275A06">
        <w:t xml:space="preserve"> </w:t>
      </w:r>
      <w:r w:rsidR="00441137">
        <w:t>se caracterizan de la siguiente manera</w:t>
      </w:r>
      <w:r w:rsidR="007D36AB" w:rsidRPr="00275A06">
        <w:t xml:space="preserve">: </w:t>
      </w:r>
      <w:r w:rsidR="00B56753" w:rsidRPr="00275A06">
        <w:t xml:space="preserve">ideológicos rígidos, </w:t>
      </w:r>
      <w:r w:rsidR="004F101B" w:rsidRPr="00275A06">
        <w:t xml:space="preserve">que </w:t>
      </w:r>
      <w:r w:rsidR="007D36AB" w:rsidRPr="00275A06">
        <w:t xml:space="preserve">crean </w:t>
      </w:r>
      <w:r w:rsidR="00B56753" w:rsidRPr="00275A06">
        <w:t xml:space="preserve">estudiantes pasivos </w:t>
      </w:r>
      <w:r w:rsidR="004F101B" w:rsidRPr="00275A06">
        <w:t xml:space="preserve">y </w:t>
      </w:r>
      <w:r w:rsidR="007D36AB" w:rsidRPr="00275A06">
        <w:t>estimulan el uso de la</w:t>
      </w:r>
      <w:r w:rsidR="00B56753" w:rsidRPr="00275A06">
        <w:t xml:space="preserve"> memoria, </w:t>
      </w:r>
      <w:r w:rsidR="00951F29">
        <w:t>gracias a lo cual</w:t>
      </w:r>
      <w:r w:rsidR="004F101B" w:rsidRPr="00275A06">
        <w:t xml:space="preserve"> </w:t>
      </w:r>
      <w:r w:rsidR="007D36AB" w:rsidRPr="00275A06">
        <w:t xml:space="preserve">propician </w:t>
      </w:r>
      <w:r w:rsidR="00B56753" w:rsidRPr="00275A06">
        <w:t>una falta general de interés en el aprendizaje</w:t>
      </w:r>
      <w:r w:rsidR="00951F29">
        <w:t>; lo alumnos simplemente flotan</w:t>
      </w:r>
      <w:r w:rsidR="00B56753" w:rsidRPr="00275A06">
        <w:t xml:space="preserve"> en la superficie,</w:t>
      </w:r>
      <w:r w:rsidR="007C3CC5" w:rsidRPr="00275A06">
        <w:t xml:space="preserve"> </w:t>
      </w:r>
      <w:r w:rsidR="00951F29" w:rsidRPr="00275A06">
        <w:t>acepta</w:t>
      </w:r>
      <w:r w:rsidR="00951F29">
        <w:t>n</w:t>
      </w:r>
      <w:r w:rsidR="00951F29" w:rsidRPr="00275A06">
        <w:t xml:space="preserve"> </w:t>
      </w:r>
      <w:r w:rsidR="00B56753" w:rsidRPr="00275A06">
        <w:t xml:space="preserve">pasivamente el adoctrinamiento. </w:t>
      </w:r>
      <w:r w:rsidR="007C3CC5" w:rsidRPr="00275A06">
        <w:t xml:space="preserve">En otras </w:t>
      </w:r>
      <w:r w:rsidR="00B56753" w:rsidRPr="00275A06">
        <w:t>palabras</w:t>
      </w:r>
      <w:r w:rsidR="004A369A" w:rsidRPr="00275A06">
        <w:t xml:space="preserve">, </w:t>
      </w:r>
      <w:r w:rsidR="00B56753" w:rsidRPr="00275A06">
        <w:t>los est</w:t>
      </w:r>
      <w:r w:rsidR="007C3CC5" w:rsidRPr="00275A06">
        <w:t xml:space="preserve">udiantes se convierten en seres robotizados </w:t>
      </w:r>
      <w:r w:rsidR="00B56753" w:rsidRPr="00275A06">
        <w:t xml:space="preserve">llenos de materiales de enseñanza </w:t>
      </w:r>
      <w:r w:rsidR="00E15B4D" w:rsidRPr="00275A06">
        <w:fldChar w:fldCharType="begin"/>
      </w:r>
      <w:r w:rsidR="00E15B4D" w:rsidRPr="00275A06">
        <w:instrText xml:space="preserve"> ADDIN EN.CITE &lt;EndNote&gt;&lt;Cite&gt;&lt;Author&gt;Testa&lt;/Author&gt;&lt;Year&gt;2010&lt;/Year&gt;&lt;RecNum&gt;20&lt;/RecNum&gt;&lt;DisplayText&gt;(Testa &amp;amp; Paim, 2010)&lt;/DisplayText&gt;&lt;record&gt;&lt;rec-number&gt;20&lt;/rec-number&gt;&lt;foreign-keys&gt;&lt;key app="EN" db-id="xx5zwftv000sx5etrfjp0aajafzaxppv22ep" timestamp="1550152463"&gt;20&lt;/key&gt;&lt;/foreign-keys&gt;&lt;ref-type name="Journal Article"&gt;17&lt;/ref-type&gt;&lt;contributors&gt;&lt;authors&gt;&lt;author&gt;Mario Testa&lt;/author&gt;&lt;author&gt;Jairnilson Silva Paim&lt;/author&gt;&lt;/authors&gt;&lt;/contributors&gt;&lt;titles&gt;&lt;title&gt;Memoria e Historia: diálogo entre Mario Testa y Jairnilson Silva Paim&lt;/title&gt;&lt;secondary-title&gt;Salud Colectiva&lt;/secondary-title&gt;&lt;/titles&gt;&lt;periodical&gt;&lt;full-title&gt;Salud Colectiva&lt;/full-title&gt;&lt;/periodical&gt;&lt;pages&gt;211-227&lt;/pages&gt;&lt;volume&gt;6&lt;/volume&gt;&lt;number&gt;2&lt;/number&gt;&lt;dates&gt;&lt;year&gt;2010&lt;/year&gt;&lt;/dates&gt;&lt;urls&gt;&lt;/urls&gt;&lt;/record&gt;&lt;/Cite&gt;&lt;/EndNote&gt;</w:instrText>
      </w:r>
      <w:r w:rsidR="00E15B4D" w:rsidRPr="00275A06">
        <w:fldChar w:fldCharType="separate"/>
      </w:r>
      <w:r w:rsidR="00E15B4D" w:rsidRPr="00275A06">
        <w:rPr>
          <w:noProof/>
        </w:rPr>
        <w:t xml:space="preserve">(Testa </w:t>
      </w:r>
      <w:r w:rsidR="00951F29">
        <w:rPr>
          <w:noProof/>
        </w:rPr>
        <w:t>y</w:t>
      </w:r>
      <w:r w:rsidR="00951F29" w:rsidRPr="00275A06">
        <w:rPr>
          <w:noProof/>
        </w:rPr>
        <w:t xml:space="preserve"> </w:t>
      </w:r>
      <w:r w:rsidR="00E15B4D" w:rsidRPr="00275A06">
        <w:rPr>
          <w:noProof/>
        </w:rPr>
        <w:t>Paim, 2010)</w:t>
      </w:r>
      <w:r w:rsidR="00E15B4D" w:rsidRPr="00275A06">
        <w:fldChar w:fldCharType="end"/>
      </w:r>
      <w:r w:rsidR="00B56753" w:rsidRPr="00275A06">
        <w:t xml:space="preserve">. </w:t>
      </w:r>
    </w:p>
    <w:p w14:paraId="0D5E1EC2" w14:textId="1A0DD117" w:rsidR="00B56753" w:rsidRPr="00275A06" w:rsidRDefault="00B56753" w:rsidP="00316248">
      <w:pPr>
        <w:ind w:firstLine="708"/>
      </w:pPr>
      <w:r w:rsidRPr="00275A06">
        <w:t>En necesario recurrir al pensamiento educativo innovador para permitir que esta situación cambie</w:t>
      </w:r>
      <w:r w:rsidR="00F562E1">
        <w:t>.</w:t>
      </w:r>
      <w:r w:rsidR="00F562E1" w:rsidRPr="00275A06">
        <w:t xml:space="preserve"> </w:t>
      </w:r>
      <w:r w:rsidR="00F562E1">
        <w:t>S</w:t>
      </w:r>
      <w:r w:rsidR="00F562E1" w:rsidRPr="00275A06">
        <w:t xml:space="preserve">e </w:t>
      </w:r>
      <w:r w:rsidR="007D36AB" w:rsidRPr="00275A06">
        <w:t xml:space="preserve">debe de alentar a que </w:t>
      </w:r>
      <w:r w:rsidRPr="00275A06">
        <w:t xml:space="preserve">la educación </w:t>
      </w:r>
      <w:r w:rsidR="007D36AB" w:rsidRPr="00275A06">
        <w:t>sea</w:t>
      </w:r>
      <w:r w:rsidRPr="00275A06">
        <w:t xml:space="preserve"> una manifestación </w:t>
      </w:r>
      <w:r w:rsidR="007D36AB" w:rsidRPr="00275A06">
        <w:t xml:space="preserve">creativa e innovadora en </w:t>
      </w:r>
      <w:r w:rsidRPr="00275A06">
        <w:t>los estudiantes</w:t>
      </w:r>
      <w:r w:rsidR="00F562E1">
        <w:t>,</w:t>
      </w:r>
      <w:r w:rsidRPr="00275A06">
        <w:t xml:space="preserve"> </w:t>
      </w:r>
      <w:r w:rsidR="007D36AB" w:rsidRPr="00275A06">
        <w:t xml:space="preserve">que </w:t>
      </w:r>
      <w:r w:rsidR="00F562E1" w:rsidRPr="00275A06">
        <w:t>acrec</w:t>
      </w:r>
      <w:r w:rsidR="00316248">
        <w:t>i</w:t>
      </w:r>
      <w:r w:rsidR="00F562E1" w:rsidRPr="00275A06">
        <w:t>ent</w:t>
      </w:r>
      <w:r w:rsidR="00F562E1">
        <w:t>e</w:t>
      </w:r>
      <w:r w:rsidR="00F562E1" w:rsidRPr="00275A06">
        <w:t xml:space="preserve"> </w:t>
      </w:r>
      <w:r w:rsidRPr="00275A06">
        <w:t>el espíritu innovador</w:t>
      </w:r>
      <w:r w:rsidR="00FD1358">
        <w:t>.</w:t>
      </w:r>
      <w:r w:rsidR="00FD1358" w:rsidRPr="00275A06">
        <w:t xml:space="preserve"> </w:t>
      </w:r>
      <w:r w:rsidR="00FD1358">
        <w:t>L</w:t>
      </w:r>
      <w:r w:rsidR="00FD1358" w:rsidRPr="00275A06">
        <w:t xml:space="preserve">a </w:t>
      </w:r>
      <w:r w:rsidRPr="00275A06">
        <w:t xml:space="preserve">educación para todos los estudiantes es la formación integral de todo </w:t>
      </w:r>
      <w:r w:rsidR="00FD1358">
        <w:t>un</w:t>
      </w:r>
      <w:r w:rsidR="00FD1358" w:rsidRPr="00275A06">
        <w:t xml:space="preserve"> </w:t>
      </w:r>
      <w:r w:rsidRPr="00275A06">
        <w:t xml:space="preserve">proceso, es la educación permanente. Al mismo tiempo, la innovación y la educación </w:t>
      </w:r>
      <w:r w:rsidR="00FD1358">
        <w:t>son</w:t>
      </w:r>
      <w:r w:rsidR="00FD1358" w:rsidRPr="00275A06">
        <w:t xml:space="preserve"> </w:t>
      </w:r>
      <w:r w:rsidRPr="00275A06">
        <w:t>un método de enseñanza, refleja el espíritu y el propósito de la expresión de su núcleo</w:t>
      </w:r>
      <w:r w:rsidR="00B334D0" w:rsidRPr="00275A06">
        <w:t>, que</w:t>
      </w:r>
      <w:r w:rsidRPr="00275A06">
        <w:t xml:space="preserve"> proporciona un fuerte apoyo para el aprendizaje profundo. </w:t>
      </w:r>
    </w:p>
    <w:p w14:paraId="6ECEB0E5" w14:textId="41500F74" w:rsidR="00B56753" w:rsidRPr="00275A06" w:rsidRDefault="00B56753">
      <w:pPr>
        <w:ind w:firstLine="708"/>
        <w:rPr>
          <w:color w:val="FF0000"/>
        </w:rPr>
      </w:pPr>
      <w:r w:rsidRPr="00275A06">
        <w:t xml:space="preserve">Su contenido básico puede ser </w:t>
      </w:r>
      <w:r w:rsidR="00FD1358">
        <w:t>formulado</w:t>
      </w:r>
      <w:r w:rsidR="00FD1358" w:rsidRPr="00275A06">
        <w:t xml:space="preserve"> </w:t>
      </w:r>
      <w:r w:rsidRPr="00275A06">
        <w:t>en torno a tres niveles de innovación</w:t>
      </w:r>
      <w:r w:rsidR="00BA3ABF" w:rsidRPr="00275A06">
        <w:t xml:space="preserve"> </w:t>
      </w:r>
      <w:r w:rsidR="00B334D0" w:rsidRPr="00275A06">
        <w:fldChar w:fldCharType="begin"/>
      </w:r>
      <w:r w:rsidR="00B334D0" w:rsidRPr="00275A06">
        <w:instrText xml:space="preserve"> ADDIN EN.CITE &lt;EndNote&gt;&lt;Cite&gt;&lt;Author&gt;Maldonado-Fuentes&lt;/Author&gt;&lt;Year&gt;2016&lt;/Year&gt;&lt;RecNum&gt;10&lt;/RecNum&gt;&lt;DisplayText&gt;(Maldonado-Fuentes &amp;amp; Rodríguez-Alveal, 2016)&lt;/DisplayText&gt;&lt;record&gt;&lt;rec-number&gt;10&lt;/rec-number&gt;&lt;foreign-keys&gt;&lt;key app="EN" db-id="xx5zwftv000sx5etrfjp0aajafzaxppv22ep" timestamp="1549920423"&gt;10&lt;/key&gt;&lt;/foreign-keys&gt;&lt;ref-type name="Journal Article"&gt;17&lt;/ref-type&gt;&lt;contributors&gt;&lt;authors&gt;&lt;author&gt;Ana Carolina Maldonado-Fuentes&lt;/author&gt;&lt;author&gt;Francisco Enrique Rodríguez-Alveal&lt;/author&gt;&lt;/authors&gt;&lt;/contributors&gt;&lt;titles&gt;&lt;title&gt;Innovación en los procesos de enseñanza-aprendizaje: Un estudio de casos con la enseñanza justo a tiempo y la instrucción entre pares&lt;/title&gt;&lt;secondary-title&gt;Revista Electrónica Educare&lt;/secondary-title&gt;&lt;/titles&gt;&lt;periodical&gt;&lt;full-title&gt;Revista Electrónica Educare&lt;/full-title&gt;&lt;/periodical&gt;&lt;pages&gt;1-21&lt;/pages&gt;&lt;volume&gt;20&lt;/volume&gt;&lt;number&gt;2&lt;/number&gt;&lt;dates&gt;&lt;year&gt;2016&lt;/year&gt;&lt;/dates&gt;&lt;urls&gt;&lt;/urls&gt;&lt;/record&gt;&lt;/Cite&gt;&lt;/EndNote&gt;</w:instrText>
      </w:r>
      <w:r w:rsidR="00B334D0" w:rsidRPr="00275A06">
        <w:fldChar w:fldCharType="separate"/>
      </w:r>
      <w:r w:rsidR="00B334D0" w:rsidRPr="00275A06">
        <w:rPr>
          <w:noProof/>
        </w:rPr>
        <w:t xml:space="preserve">(Maldonado </w:t>
      </w:r>
      <w:r w:rsidR="00FD1358">
        <w:rPr>
          <w:noProof/>
        </w:rPr>
        <w:t>y</w:t>
      </w:r>
      <w:r w:rsidR="00FD1358" w:rsidRPr="00275A06">
        <w:rPr>
          <w:noProof/>
        </w:rPr>
        <w:t xml:space="preserve"> </w:t>
      </w:r>
      <w:r w:rsidR="00B334D0" w:rsidRPr="00275A06">
        <w:rPr>
          <w:noProof/>
        </w:rPr>
        <w:t>Rodríguez, 2016)</w:t>
      </w:r>
      <w:r w:rsidR="00B334D0" w:rsidRPr="00275A06">
        <w:fldChar w:fldCharType="end"/>
      </w:r>
      <w:r w:rsidR="00BA3ABF" w:rsidRPr="00275A06">
        <w:t>:</w:t>
      </w:r>
    </w:p>
    <w:p w14:paraId="0A6538C8" w14:textId="2F76870D" w:rsidR="00B56753" w:rsidRPr="00275A06" w:rsidRDefault="00B56753" w:rsidP="00275A06">
      <w:pPr>
        <w:ind w:firstLine="708"/>
      </w:pPr>
      <w:r w:rsidRPr="00275A06">
        <w:t>1.</w:t>
      </w:r>
      <w:r w:rsidRPr="00275A06">
        <w:tab/>
        <w:t>Cultivar el espíritu de exploración: propicia la autoexploración</w:t>
      </w:r>
      <w:r w:rsidR="00FD1358">
        <w:t>.</w:t>
      </w:r>
      <w:r w:rsidR="00FD1358" w:rsidRPr="00275A06">
        <w:t xml:space="preserve"> </w:t>
      </w:r>
      <w:r w:rsidR="00FD1358">
        <w:t>D</w:t>
      </w:r>
      <w:r w:rsidR="00FD1358" w:rsidRPr="00275A06">
        <w:t xml:space="preserve">e </w:t>
      </w:r>
      <w:r w:rsidRPr="00275A06">
        <w:t>esta manera</w:t>
      </w:r>
      <w:r w:rsidR="00FD1358">
        <w:t>,</w:t>
      </w:r>
      <w:r w:rsidRPr="00275A06">
        <w:t xml:space="preserve"> el proceso de aprendizaje se consolida en un ser humano y desarrolla el conocimiento. Aprender a explorar permite la comprensión global del conocimiento entre el conocimiento y el contacto. </w:t>
      </w:r>
    </w:p>
    <w:p w14:paraId="6840003C" w14:textId="5CB4D86C" w:rsidR="00B56753" w:rsidRPr="00275A06" w:rsidRDefault="00B56753" w:rsidP="00275A06">
      <w:pPr>
        <w:ind w:firstLine="708"/>
      </w:pPr>
      <w:r w:rsidRPr="00275A06">
        <w:t>2.</w:t>
      </w:r>
      <w:r w:rsidRPr="00275A06">
        <w:tab/>
        <w:t xml:space="preserve">Desarrollo de la capacidad: La capacidad global es la capacidad para reagrupar los conocimientos existentes </w:t>
      </w:r>
      <w:r w:rsidR="00251AC5">
        <w:t>y formular</w:t>
      </w:r>
      <w:r w:rsidR="00251AC5" w:rsidRPr="00275A06">
        <w:t xml:space="preserve"> </w:t>
      </w:r>
      <w:r w:rsidRPr="00275A06">
        <w:t>nuevos</w:t>
      </w:r>
      <w:r w:rsidR="00251AC5">
        <w:t>;</w:t>
      </w:r>
      <w:r w:rsidR="00251AC5" w:rsidRPr="00275A06">
        <w:t xml:space="preserve"> </w:t>
      </w:r>
      <w:r w:rsidRPr="00275A06">
        <w:t xml:space="preserve">combinación única de innovación y nuevas marcas. </w:t>
      </w:r>
    </w:p>
    <w:p w14:paraId="7A55E4BF" w14:textId="20DF8ABE" w:rsidR="00B56753" w:rsidRPr="00275A06" w:rsidRDefault="00B56753" w:rsidP="00275A06">
      <w:pPr>
        <w:ind w:firstLine="708"/>
      </w:pPr>
      <w:r w:rsidRPr="00275A06">
        <w:t>3.</w:t>
      </w:r>
      <w:r w:rsidRPr="00275A06">
        <w:tab/>
        <w:t>Crear conciencia y cultivar la capacidad creativa: Crear conciencia de las motivaciones psicológicas</w:t>
      </w:r>
      <w:r w:rsidR="00251AC5">
        <w:t xml:space="preserve"> que</w:t>
      </w:r>
      <w:r w:rsidRPr="00275A06">
        <w:t xml:space="preserve"> impulsan </w:t>
      </w:r>
      <w:r w:rsidR="00B334D0" w:rsidRPr="00275A06">
        <w:t xml:space="preserve">a los individuos a </w:t>
      </w:r>
      <w:r w:rsidR="00702F4A">
        <w:t>emprender</w:t>
      </w:r>
      <w:r w:rsidR="00702F4A" w:rsidRPr="00275A06">
        <w:t xml:space="preserve"> </w:t>
      </w:r>
      <w:r w:rsidR="00B334D0" w:rsidRPr="00275A06">
        <w:t xml:space="preserve">actos </w:t>
      </w:r>
      <w:r w:rsidRPr="00275A06">
        <w:t>de interés y la curiosidad por el conocimiento</w:t>
      </w:r>
      <w:r w:rsidR="007C3CC5" w:rsidRPr="00275A06">
        <w:t xml:space="preserve"> y actitud.</w:t>
      </w:r>
    </w:p>
    <w:p w14:paraId="465507A9" w14:textId="1D991E45" w:rsidR="00B334D0" w:rsidRDefault="00B334D0" w:rsidP="00275A06"/>
    <w:p w14:paraId="162AF9E9" w14:textId="09C22601" w:rsidR="002C3BAC" w:rsidRDefault="002C3BAC" w:rsidP="00275A06"/>
    <w:p w14:paraId="7838BD57" w14:textId="33C4AFA9" w:rsidR="002C3BAC" w:rsidRDefault="002C3BAC" w:rsidP="00275A06"/>
    <w:p w14:paraId="1B93C661" w14:textId="77777777" w:rsidR="002C3BAC" w:rsidRPr="00275A06" w:rsidRDefault="002C3BAC" w:rsidP="00275A06"/>
    <w:p w14:paraId="6AD87D23" w14:textId="654447AF" w:rsidR="00B56753" w:rsidRPr="00A40A41" w:rsidRDefault="00B56753" w:rsidP="00A40A41">
      <w:pPr>
        <w:pStyle w:val="Ttulo2"/>
        <w:spacing w:before="0"/>
        <w:rPr>
          <w:sz w:val="24"/>
          <w:szCs w:val="24"/>
          <w:lang w:val="es-ES_tradnl" w:eastAsia="es-ES"/>
        </w:rPr>
      </w:pPr>
      <w:r w:rsidRPr="00A40A41">
        <w:rPr>
          <w:sz w:val="24"/>
          <w:szCs w:val="24"/>
          <w:lang w:val="es-ES_tradnl" w:eastAsia="es-ES"/>
        </w:rPr>
        <w:lastRenderedPageBreak/>
        <w:t>La educación posmodernista</w:t>
      </w:r>
    </w:p>
    <w:p w14:paraId="1E2E57D0" w14:textId="5D4E256B" w:rsidR="00B56753" w:rsidRPr="00275A06" w:rsidRDefault="00B56753" w:rsidP="00A44857">
      <w:pPr>
        <w:ind w:firstLine="708"/>
      </w:pPr>
      <w:r w:rsidRPr="00275A06">
        <w:t>El posmodernismo es un</w:t>
      </w:r>
      <w:r w:rsidR="00A44857">
        <w:t>a</w:t>
      </w:r>
      <w:r w:rsidRPr="00275A06">
        <w:t xml:space="preserve"> tendencia multicultural prevalente en el mundo occidental desde la década de 1960</w:t>
      </w:r>
      <w:r w:rsidR="00130076" w:rsidRPr="00275A06">
        <w:t>,</w:t>
      </w:r>
      <w:r w:rsidRPr="00275A06">
        <w:t xml:space="preserve"> y también es defendida como la filosofía moderna </w:t>
      </w:r>
      <w:r w:rsidR="00130076" w:rsidRPr="00275A06">
        <w:t xml:space="preserve">de la </w:t>
      </w:r>
      <w:r w:rsidRPr="00275A06">
        <w:t>orientación de val</w:t>
      </w:r>
      <w:r w:rsidR="00130076" w:rsidRPr="00275A06">
        <w:t xml:space="preserve">or cultural y espiritual. </w:t>
      </w:r>
      <w:r w:rsidR="008B61DE">
        <w:t>Al igual que como</w:t>
      </w:r>
      <w:r w:rsidRPr="00275A06">
        <w:t xml:space="preserve"> una forma filosófica del pensamiento que modera las</w:t>
      </w:r>
      <w:r w:rsidR="00130076" w:rsidRPr="00275A06">
        <w:t xml:space="preserve"> actitudes de la crítica y de la </w:t>
      </w:r>
      <w:r w:rsidRPr="00275A06">
        <w:t>construcción</w:t>
      </w:r>
      <w:r w:rsidR="00BA3ABF" w:rsidRPr="00275A06">
        <w:t xml:space="preserve"> </w:t>
      </w:r>
      <w:r w:rsidR="005100ED" w:rsidRPr="00275A06">
        <w:fldChar w:fldCharType="begin"/>
      </w:r>
      <w:r w:rsidR="005100ED" w:rsidRPr="00275A06">
        <w:instrText xml:space="preserve"> ADDIN EN.CITE &lt;EndNote&gt;&lt;Cite&gt;&lt;Author&gt;García-León&lt;/Author&gt;&lt;Year&gt;2013&lt;/Year&gt;&lt;RecNum&gt;7&lt;/RecNum&gt;&lt;DisplayText&gt;(García-León &amp;amp; García-León, 2013)&lt;/DisplayText&gt;&lt;record&gt;&lt;rec-number&gt;7&lt;/rec-number&gt;&lt;foreign-keys&gt;&lt;key app="EN" db-id="xx5zwftv000sx5etrfjp0aajafzaxppv22ep" timestamp="1549919281"&gt;7&lt;/key&gt;&lt;/foreign-keys&gt;&lt;ref-type name="Journal Article"&gt;17&lt;/ref-type&gt;&lt;contributors&gt;&lt;authors&gt;&lt;author&gt;Javier Enrique García-León&lt;/author&gt;&lt;author&gt;David Leonardo García-León&lt;/author&gt;&lt;/authors&gt;&lt;/contributors&gt;&lt;titles&gt;&lt;title&gt;Educar en la posmodernidad: hacia una concepción pluralista y política&lt;/title&gt;&lt;secondary-title&gt;Educere: Revista Venezolana de Educación&lt;/secondary-title&gt;&lt;/titles&gt;&lt;periodical&gt;&lt;full-title&gt;Educere: Revista Venezolana de Educación&lt;/full-title&gt;&lt;/periodical&gt;&lt;pages&gt;27-32&lt;/pages&gt;&lt;number&gt;56&lt;/number&gt;&lt;dates&gt;&lt;year&gt;2013&lt;/year&gt;&lt;/dates&gt;&lt;urls&gt;&lt;/urls&gt;&lt;/record&gt;&lt;/Cite&gt;&lt;/EndNote&gt;</w:instrText>
      </w:r>
      <w:r w:rsidR="005100ED" w:rsidRPr="00275A06">
        <w:fldChar w:fldCharType="separate"/>
      </w:r>
      <w:r w:rsidR="005100ED" w:rsidRPr="00275A06">
        <w:rPr>
          <w:noProof/>
        </w:rPr>
        <w:t xml:space="preserve">(García </w:t>
      </w:r>
      <w:r w:rsidR="008B61DE">
        <w:rPr>
          <w:noProof/>
        </w:rPr>
        <w:t>y</w:t>
      </w:r>
      <w:r w:rsidR="008B61DE" w:rsidRPr="00275A06">
        <w:rPr>
          <w:noProof/>
        </w:rPr>
        <w:t xml:space="preserve"> </w:t>
      </w:r>
      <w:r w:rsidR="005100ED" w:rsidRPr="00275A06">
        <w:rPr>
          <w:noProof/>
        </w:rPr>
        <w:t>García, 2013)</w:t>
      </w:r>
      <w:r w:rsidR="005100ED" w:rsidRPr="00275A06">
        <w:fldChar w:fldCharType="end"/>
      </w:r>
      <w:r w:rsidR="00BA3ABF" w:rsidRPr="00275A06">
        <w:t>.</w:t>
      </w:r>
    </w:p>
    <w:p w14:paraId="268610FD" w14:textId="33B67286" w:rsidR="00B56753" w:rsidRPr="00275A06" w:rsidRDefault="00B56753">
      <w:pPr>
        <w:ind w:firstLine="708"/>
      </w:pPr>
      <w:r w:rsidRPr="00275A06">
        <w:t xml:space="preserve">El pensamiento educativo posmodernista hace hincapié en </w:t>
      </w:r>
      <w:r w:rsidR="008B61DE">
        <w:t>la</w:t>
      </w:r>
      <w:r w:rsidRPr="00275A06">
        <w:t xml:space="preserve"> diversidad</w:t>
      </w:r>
      <w:r w:rsidR="008B61DE">
        <w:t xml:space="preserve"> y en</w:t>
      </w:r>
      <w:r w:rsidR="008B61DE" w:rsidRPr="00275A06">
        <w:t xml:space="preserve"> </w:t>
      </w:r>
      <w:r w:rsidR="007D36AB" w:rsidRPr="00275A06">
        <w:t>el respeto a las diferencias</w:t>
      </w:r>
      <w:r w:rsidR="008B61DE">
        <w:t>;</w:t>
      </w:r>
      <w:r w:rsidR="008B61DE" w:rsidRPr="00275A06">
        <w:t xml:space="preserve"> </w:t>
      </w:r>
      <w:r w:rsidRPr="00275A06">
        <w:t>permite pr</w:t>
      </w:r>
      <w:r w:rsidR="00075A46" w:rsidRPr="00275A06">
        <w:t xml:space="preserve">estar atención </w:t>
      </w:r>
      <w:r w:rsidR="00B24EA4">
        <w:t xml:space="preserve">en </w:t>
      </w:r>
      <w:r w:rsidR="00075A46" w:rsidRPr="00275A06">
        <w:t>la igualdad y</w:t>
      </w:r>
      <w:r w:rsidR="00B24EA4">
        <w:t xml:space="preserve"> en</w:t>
      </w:r>
      <w:r w:rsidRPr="00275A06">
        <w:t xml:space="preserve"> crear autoestima. </w:t>
      </w:r>
      <w:r w:rsidR="007D36AB" w:rsidRPr="00275A06">
        <w:t>Por su parte</w:t>
      </w:r>
      <w:r w:rsidR="008B61DE">
        <w:t>,</w:t>
      </w:r>
      <w:r w:rsidR="007D36AB" w:rsidRPr="00275A06">
        <w:t xml:space="preserve"> el a</w:t>
      </w:r>
      <w:r w:rsidRPr="00275A06">
        <w:t>prendizaje de concepto posmodernista permite adoptar</w:t>
      </w:r>
      <w:r w:rsidR="00075A46" w:rsidRPr="00275A06">
        <w:t xml:space="preserve"> el pensamiento educativo basado</w:t>
      </w:r>
      <w:r w:rsidRPr="00275A06">
        <w:t xml:space="preserve"> en la idea de la investigación, </w:t>
      </w:r>
      <w:r w:rsidR="0092262C">
        <w:t>esto es, en</w:t>
      </w:r>
      <w:r w:rsidRPr="00275A06">
        <w:t xml:space="preserve"> el conocimiento del pensamiento crítico, donde se obtiene la comprensión y aplicación del conocimiento para solucionar problemas. </w:t>
      </w:r>
    </w:p>
    <w:p w14:paraId="2E73E05D" w14:textId="4D8429DD" w:rsidR="00B56753" w:rsidRPr="00275A06" w:rsidRDefault="00B56753">
      <w:pPr>
        <w:ind w:firstLine="708"/>
      </w:pPr>
      <w:r w:rsidRPr="00275A06">
        <w:t>En la investigación es posible romper el estado cerrado de la enseñanza, donde los estudiantes</w:t>
      </w:r>
      <w:r w:rsidR="00075A46" w:rsidRPr="00275A06">
        <w:t>,</w:t>
      </w:r>
      <w:r w:rsidRPr="00275A06">
        <w:t xml:space="preserve"> </w:t>
      </w:r>
      <w:r w:rsidR="007D36AB" w:rsidRPr="00275A06">
        <w:t>situados</w:t>
      </w:r>
      <w:r w:rsidRPr="00275A06">
        <w:t xml:space="preserve"> en un entorno de aprendizaje abierto y diverso, a través de la exploración y </w:t>
      </w:r>
      <w:r w:rsidR="007D36AB" w:rsidRPr="00275A06">
        <w:t xml:space="preserve">la aplicación del conocimiento, y con el uso </w:t>
      </w:r>
      <w:r w:rsidRPr="00275A06">
        <w:t>herramientas</w:t>
      </w:r>
      <w:r w:rsidR="0092262C">
        <w:t>,</w:t>
      </w:r>
      <w:r w:rsidRPr="00275A06">
        <w:t xml:space="preserve"> </w:t>
      </w:r>
      <w:r w:rsidR="003F363B">
        <w:t>pueden</w:t>
      </w:r>
      <w:r w:rsidR="007D36AB" w:rsidRPr="00275A06">
        <w:t xml:space="preserve"> </w:t>
      </w:r>
      <w:r w:rsidRPr="00275A06">
        <w:t>res</w:t>
      </w:r>
      <w:r w:rsidR="007D36AB" w:rsidRPr="00275A06">
        <w:t>olver</w:t>
      </w:r>
      <w:r w:rsidRPr="00275A06">
        <w:t xml:space="preserve"> con eficacia el problema del conocimiento general</w:t>
      </w:r>
      <w:r w:rsidR="007D36AB" w:rsidRPr="00275A06">
        <w:t xml:space="preserve"> </w:t>
      </w:r>
      <w:r w:rsidR="003F363B">
        <w:t>a través de la fragmentación</w:t>
      </w:r>
      <w:r w:rsidRPr="00275A06">
        <w:t xml:space="preserve"> </w:t>
      </w:r>
      <w:r w:rsidR="007D36AB" w:rsidRPr="00275A06">
        <w:t>para</w:t>
      </w:r>
      <w:r w:rsidRPr="00275A06">
        <w:t xml:space="preserve"> establecer una estructura de conocimiento razonable</w:t>
      </w:r>
      <w:r w:rsidR="00075A46" w:rsidRPr="00275A06">
        <w:t xml:space="preserve"> </w:t>
      </w:r>
      <w:r w:rsidR="00075A46" w:rsidRPr="00275A06">
        <w:fldChar w:fldCharType="begin"/>
      </w:r>
      <w:r w:rsidR="00075A46" w:rsidRPr="00275A06">
        <w:instrText xml:space="preserve"> ADDIN EN.CITE &lt;EndNote&gt;&lt;Cite&gt;&lt;Author&gt;Cobo-Romaní&lt;/Author&gt;&lt;Year&gt;2007&lt;/Year&gt;&lt;RecNum&gt;4&lt;/RecNum&gt;&lt;DisplayText&gt;(Cobo-Romaní, 2007)&lt;/DisplayText&gt;&lt;record&gt;&lt;rec-number&gt;4&lt;/rec-number&gt;&lt;foreign-keys&gt;&lt;key app="EN" db-id="xx5zwftv000sx5etrfjp0aajafzaxppv22ep" timestamp="1549915247"&gt;4&lt;/key&gt;&lt;/foreign-keys&gt;&lt;ref-type name="Journal Article"&gt;17&lt;/ref-type&gt;&lt;contributors&gt;&lt;authors&gt;&lt;author&gt;Cristóbal Cobo-Romaní&lt;/author&gt;&lt;/authors&gt;&lt;/contributors&gt;&lt;titles&gt;&lt;title&gt;Modelo de aprendizaje abierto&lt;/title&gt;&lt;secondary-title&gt;Innovación Educativa&lt;/secondary-title&gt;&lt;/titles&gt;&lt;periodical&gt;&lt;full-title&gt;Innovación Educativa&lt;/full-title&gt;&lt;/periodical&gt;&lt;pages&gt;5-17&lt;/pages&gt;&lt;volume&gt;7&lt;/volume&gt;&lt;number&gt;41&lt;/number&gt;&lt;dates&gt;&lt;year&gt;2007&lt;/year&gt;&lt;/dates&gt;&lt;urls&gt;&lt;/urls&gt;&lt;/record&gt;&lt;/Cite&gt;&lt;/EndNote&gt;</w:instrText>
      </w:r>
      <w:r w:rsidR="00075A46" w:rsidRPr="00275A06">
        <w:fldChar w:fldCharType="separate"/>
      </w:r>
      <w:r w:rsidR="00075A46" w:rsidRPr="00275A06">
        <w:rPr>
          <w:noProof/>
        </w:rPr>
        <w:t>(Cobo, 2007)</w:t>
      </w:r>
      <w:r w:rsidR="00075A46" w:rsidRPr="00275A06">
        <w:fldChar w:fldCharType="end"/>
      </w:r>
      <w:r w:rsidR="00BA3ABF" w:rsidRPr="00275A06">
        <w:t>.</w:t>
      </w:r>
    </w:p>
    <w:p w14:paraId="10C379B3" w14:textId="08CC2C1A" w:rsidR="00B56753" w:rsidRPr="00275A06" w:rsidRDefault="00B56753">
      <w:pPr>
        <w:ind w:firstLine="708"/>
      </w:pPr>
      <w:r w:rsidRPr="00275A06">
        <w:t>La planificación de este método de aprendizaje requiere que los estudiantes entiendan el mundo exterior</w:t>
      </w:r>
      <w:r w:rsidR="00075A46" w:rsidRPr="00275A06">
        <w:t>,</w:t>
      </w:r>
      <w:r w:rsidRPr="00275A06">
        <w:t xml:space="preserve"> a través de su propia iniciativa</w:t>
      </w:r>
      <w:r w:rsidR="003F363B">
        <w:t>,</w:t>
      </w:r>
      <w:r w:rsidRPr="00275A06">
        <w:t xml:space="preserve"> y </w:t>
      </w:r>
      <w:r w:rsidR="007D36AB" w:rsidRPr="00275A06">
        <w:t xml:space="preserve">generen un </w:t>
      </w:r>
      <w:r w:rsidRPr="00275A06">
        <w:t>resultado positivo</w:t>
      </w:r>
      <w:r w:rsidR="007D36AB" w:rsidRPr="00275A06">
        <w:t xml:space="preserve"> después de</w:t>
      </w:r>
      <w:r w:rsidRPr="00275A06">
        <w:t xml:space="preserve"> la selección, el procesamiento y la construcción</w:t>
      </w:r>
      <w:r w:rsidR="003F363B">
        <w:t>;</w:t>
      </w:r>
      <w:r w:rsidR="003F363B" w:rsidRPr="00275A06">
        <w:t xml:space="preserve"> </w:t>
      </w:r>
      <w:r w:rsidRPr="00275A06">
        <w:t xml:space="preserve">en lugar de aceptar pasivamente </w:t>
      </w:r>
      <w:r w:rsidR="003F363B">
        <w:t xml:space="preserve">lo </w:t>
      </w:r>
      <w:r w:rsidR="00075A46" w:rsidRPr="00275A06">
        <w:t>que se les presenta</w:t>
      </w:r>
      <w:r w:rsidRPr="00275A06">
        <w:t xml:space="preserve">, que es precisamente la estrategia </w:t>
      </w:r>
      <w:r w:rsidR="00075A46" w:rsidRPr="00275A06">
        <w:t xml:space="preserve">que </w:t>
      </w:r>
      <w:r w:rsidRPr="00275A06">
        <w:t xml:space="preserve">refleja la profundidad del aprendizaje. </w:t>
      </w:r>
    </w:p>
    <w:p w14:paraId="16853D2B" w14:textId="1BC48530" w:rsidR="00B56753" w:rsidRPr="00275A06" w:rsidRDefault="00B56753" w:rsidP="00275A06">
      <w:pPr>
        <w:ind w:firstLine="708"/>
      </w:pPr>
      <w:r w:rsidRPr="00275A06">
        <w:t>Las activi</w:t>
      </w:r>
      <w:r w:rsidR="008A439E" w:rsidRPr="00275A06">
        <w:t>dades de aprendizaje permiten ex</w:t>
      </w:r>
      <w:r w:rsidRPr="00275A06">
        <w:t xml:space="preserve">tender </w:t>
      </w:r>
      <w:r w:rsidR="007B1DF5" w:rsidRPr="00275A06">
        <w:t>el proceso</w:t>
      </w:r>
      <w:r w:rsidRPr="00275A06">
        <w:t xml:space="preserve"> </w:t>
      </w:r>
      <w:r w:rsidR="007B1DF5" w:rsidRPr="00275A06">
        <w:t>creativo</w:t>
      </w:r>
      <w:r w:rsidR="00A059F1">
        <w:t>;</w:t>
      </w:r>
      <w:r w:rsidR="00A059F1" w:rsidRPr="00275A06">
        <w:t xml:space="preserve"> </w:t>
      </w:r>
      <w:r w:rsidR="007B1DF5" w:rsidRPr="00275A06">
        <w:t>permiten</w:t>
      </w:r>
      <w:r w:rsidRPr="00275A06">
        <w:t xml:space="preserve"> activar en los estudiantes el conocimiento previo, el uso de la experiencia y los alienta a tomar la iniciativa</w:t>
      </w:r>
      <w:r w:rsidR="00075A46" w:rsidRPr="00275A06">
        <w:t xml:space="preserve">, así como </w:t>
      </w:r>
      <w:r w:rsidRPr="00275A06">
        <w:t xml:space="preserve">construir activamente </w:t>
      </w:r>
      <w:r w:rsidR="008A439E" w:rsidRPr="00275A06">
        <w:t xml:space="preserve">una </w:t>
      </w:r>
      <w:r w:rsidRPr="00275A06">
        <w:t>rep</w:t>
      </w:r>
      <w:r w:rsidR="008A439E" w:rsidRPr="00275A06">
        <w:t>resentación mental interna del</w:t>
      </w:r>
      <w:r w:rsidRPr="00275A06">
        <w:t xml:space="preserve"> proceso significativo. </w:t>
      </w:r>
    </w:p>
    <w:p w14:paraId="2162FA13" w14:textId="6B296A30" w:rsidR="007D36AB" w:rsidRPr="00275A06" w:rsidRDefault="00B56753" w:rsidP="00D4723A">
      <w:pPr>
        <w:ind w:firstLine="708"/>
      </w:pPr>
      <w:r w:rsidRPr="00275A06">
        <w:t xml:space="preserve">Este proceso de aprendizaje incluye tanto una fase de aprendizaje superficial (conocimiento estructural de dominar el proceso </w:t>
      </w:r>
      <w:r w:rsidR="007D36AB" w:rsidRPr="00275A06">
        <w:t xml:space="preserve">para </w:t>
      </w:r>
      <w:r w:rsidRPr="00275A06">
        <w:t>obten</w:t>
      </w:r>
      <w:r w:rsidR="007D36AB" w:rsidRPr="00275A06">
        <w:t>er</w:t>
      </w:r>
      <w:r w:rsidRPr="00275A06">
        <w:t xml:space="preserve"> de esta manera alumno</w:t>
      </w:r>
      <w:r w:rsidR="007D36AB" w:rsidRPr="00275A06">
        <w:t>s</w:t>
      </w:r>
      <w:r w:rsidRPr="00275A06">
        <w:t xml:space="preserve"> </w:t>
      </w:r>
      <w:r w:rsidR="007D36AB" w:rsidRPr="00275A06">
        <w:t xml:space="preserve">universales, fundamentados en hechos </w:t>
      </w:r>
      <w:r w:rsidR="007B1DF5" w:rsidRPr="00275A06">
        <w:t>abstractos,</w:t>
      </w:r>
      <w:r w:rsidR="007D36AB" w:rsidRPr="00275A06">
        <w:t xml:space="preserve"> </w:t>
      </w:r>
      <w:r w:rsidRPr="00275A06">
        <w:t xml:space="preserve">conceptos y principios) </w:t>
      </w:r>
      <w:r w:rsidR="003F363B">
        <w:t>como</w:t>
      </w:r>
      <w:r w:rsidR="003F363B" w:rsidRPr="00275A06">
        <w:t xml:space="preserve"> </w:t>
      </w:r>
      <w:r w:rsidRPr="00275A06">
        <w:t xml:space="preserve">también </w:t>
      </w:r>
      <w:r w:rsidR="008A439E" w:rsidRPr="00275A06">
        <w:t xml:space="preserve">una </w:t>
      </w:r>
      <w:r w:rsidRPr="00275A06">
        <w:t xml:space="preserve">fase de aprendizaje en profundidad (no </w:t>
      </w:r>
      <w:r w:rsidR="00A059F1" w:rsidRPr="00275A06">
        <w:t>s</w:t>
      </w:r>
      <w:r w:rsidR="00A059F1">
        <w:t>o</w:t>
      </w:r>
      <w:r w:rsidR="00A059F1" w:rsidRPr="00275A06">
        <w:t xml:space="preserve">lo </w:t>
      </w:r>
      <w:r w:rsidR="008A439E" w:rsidRPr="00275A06">
        <w:t xml:space="preserve">para comprender el concepto de </w:t>
      </w:r>
      <w:r w:rsidR="008A439E" w:rsidRPr="00275A06">
        <w:lastRenderedPageBreak/>
        <w:t>complejidad, sino</w:t>
      </w:r>
      <w:r w:rsidRPr="00275A06">
        <w:t xml:space="preserve"> tambié</w:t>
      </w:r>
      <w:r w:rsidR="008A439E" w:rsidRPr="00275A06">
        <w:t xml:space="preserve">n </w:t>
      </w:r>
      <w:r w:rsidR="006A7A9D">
        <w:t>para que</w:t>
      </w:r>
      <w:r w:rsidR="008A439E" w:rsidRPr="00275A06">
        <w:t xml:space="preserve"> puede</w:t>
      </w:r>
      <w:r w:rsidRPr="00275A06">
        <w:t xml:space="preserve"> </w:t>
      </w:r>
      <w:r w:rsidR="006A7A9D">
        <w:t>ser aplicado</w:t>
      </w:r>
      <w:r w:rsidRPr="00275A06">
        <w:t xml:space="preserve"> de manera </w:t>
      </w:r>
      <w:r w:rsidR="006A7A9D" w:rsidRPr="00275A06">
        <w:t>flexibl</w:t>
      </w:r>
      <w:r w:rsidR="006A7A9D">
        <w:t>e;</w:t>
      </w:r>
      <w:r w:rsidRPr="00275A06">
        <w:t xml:space="preserve"> situaciones específicas para resolver problemas prácticos)</w:t>
      </w:r>
      <w:r w:rsidR="000D61C0">
        <w:t>.</w:t>
      </w:r>
    </w:p>
    <w:p w14:paraId="6D9A4386" w14:textId="61FDB4C7" w:rsidR="004E75F8" w:rsidRPr="00275A06" w:rsidRDefault="00E60695" w:rsidP="00D4723A">
      <w:pPr>
        <w:ind w:firstLine="708"/>
      </w:pPr>
      <w:r w:rsidRPr="00275A06">
        <w:t>Lo</w:t>
      </w:r>
      <w:r w:rsidR="00B56753" w:rsidRPr="00275A06">
        <w:t xml:space="preserve">s </w:t>
      </w:r>
      <w:r w:rsidRPr="00275A06">
        <w:t>argumentos</w:t>
      </w:r>
      <w:r w:rsidR="00B56753" w:rsidRPr="00275A06">
        <w:t xml:space="preserve"> </w:t>
      </w:r>
      <w:r w:rsidR="006A7A9D">
        <w:t>comentados</w:t>
      </w:r>
      <w:r w:rsidR="00B56753" w:rsidRPr="00275A06">
        <w:t xml:space="preserve"> en los apartados anteriores permite</w:t>
      </w:r>
      <w:r w:rsidR="006A7A9D">
        <w:t>n</w:t>
      </w:r>
      <w:r w:rsidR="00B56753" w:rsidRPr="00275A06">
        <w:t xml:space="preserve"> esbozar una serie de indicaciones respecto al qué, cuándo y cómo explorar y evaluar los conocimientos previos de nuestros alumnos</w:t>
      </w:r>
      <w:r w:rsidR="004E75F8" w:rsidRPr="00275A06">
        <w:t xml:space="preserve"> para lograr un aprendizaje profundo</w:t>
      </w:r>
      <w:r w:rsidR="00B56753" w:rsidRPr="00275A06">
        <w:t>.</w:t>
      </w:r>
    </w:p>
    <w:p w14:paraId="521D528E" w14:textId="22F0253F" w:rsidR="00B56753" w:rsidRPr="00275A06" w:rsidRDefault="00C71034" w:rsidP="00275A06">
      <w:pPr>
        <w:ind w:firstLine="708"/>
      </w:pPr>
      <w:r w:rsidRPr="00275A06">
        <w:t>En relación con la pregunta de investigación:</w:t>
      </w:r>
      <w:r w:rsidR="00B56753" w:rsidRPr="00275A06">
        <w:rPr>
          <w:lang w:val="es-ES_tradnl"/>
        </w:rPr>
        <w:t xml:space="preserve"> ¿</w:t>
      </w:r>
      <w:r w:rsidR="006A7A9D">
        <w:rPr>
          <w:lang w:val="es-ES_tradnl"/>
        </w:rPr>
        <w:t>P</w:t>
      </w:r>
      <w:r w:rsidR="006A7A9D" w:rsidRPr="00275A06">
        <w:rPr>
          <w:lang w:val="es-ES_tradnl"/>
        </w:rPr>
        <w:t xml:space="preserve">or </w:t>
      </w:r>
      <w:r w:rsidRPr="00275A06">
        <w:rPr>
          <w:lang w:val="es-ES_tradnl"/>
        </w:rPr>
        <w:t>qué los estudiantes eligen</w:t>
      </w:r>
      <w:r w:rsidR="00B56753" w:rsidRPr="00275A06">
        <w:rPr>
          <w:lang w:val="es-ES_tradnl"/>
        </w:rPr>
        <w:t xml:space="preserve"> la estrategia de aprendiza</w:t>
      </w:r>
      <w:r w:rsidR="00F81599" w:rsidRPr="00275A06">
        <w:rPr>
          <w:lang w:val="es-ES_tradnl"/>
        </w:rPr>
        <w:t>je más superficial?</w:t>
      </w:r>
      <w:r w:rsidR="006A7A9D">
        <w:rPr>
          <w:lang w:val="es-ES_tradnl"/>
        </w:rPr>
        <w:t>,</w:t>
      </w:r>
      <w:r w:rsidR="00F81599" w:rsidRPr="00275A06">
        <w:rPr>
          <w:lang w:val="es-ES_tradnl"/>
        </w:rPr>
        <w:t xml:space="preserve"> </w:t>
      </w:r>
      <w:r w:rsidR="000014B2" w:rsidRPr="00275A06">
        <w:t>se</w:t>
      </w:r>
      <w:r w:rsidR="00B56753" w:rsidRPr="00275A06">
        <w:t xml:space="preserve"> desprenden dos indicaciones de tipo general que deben concretarse en función del nivel y el momento temporal del proceso en que llevemos a cabo la exploración. El objeto de nuestra indagación serán los conocimientos previos de los </w:t>
      </w:r>
      <w:r w:rsidR="006A7A9D">
        <w:t>estudiantes,</w:t>
      </w:r>
      <w:r w:rsidR="006A7A9D" w:rsidRPr="00275A06">
        <w:t xml:space="preserve"> </w:t>
      </w:r>
      <w:r w:rsidR="00B56753" w:rsidRPr="00275A06">
        <w:t xml:space="preserve">que son necesarios para </w:t>
      </w:r>
      <w:r w:rsidR="004E75F8" w:rsidRPr="00275A06">
        <w:t>adoptar</w:t>
      </w:r>
      <w:r w:rsidR="00B56753" w:rsidRPr="00275A06">
        <w:t xml:space="preserve"> el aprendizaje de los nuevos contenidos. </w:t>
      </w:r>
    </w:p>
    <w:p w14:paraId="2E3E5FF5" w14:textId="704573C1" w:rsidR="007B1DF5" w:rsidRPr="00A40A41" w:rsidRDefault="007B1DF5" w:rsidP="00A40A4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</w:p>
    <w:p w14:paraId="49F4FA8F" w14:textId="71D195E2" w:rsidR="004E75F8" w:rsidRPr="00A40A41" w:rsidRDefault="00E60695" w:rsidP="00D4723A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A40A41">
        <w:rPr>
          <w:rFonts w:ascii="Calibri" w:hAnsi="Calibri" w:cs="Calibri"/>
          <w:color w:val="000000"/>
          <w:sz w:val="28"/>
          <w:szCs w:val="28"/>
          <w:lang w:val="es-ES_tradnl" w:eastAsia="es-MX"/>
        </w:rPr>
        <w:t>Conclusiones</w:t>
      </w:r>
    </w:p>
    <w:p w14:paraId="45B194FF" w14:textId="2ED434A7" w:rsidR="00CE7404" w:rsidRPr="00275A06" w:rsidRDefault="005B67EF">
      <w:pPr>
        <w:ind w:firstLine="708"/>
      </w:pPr>
      <w:r w:rsidRPr="00275A06">
        <w:t>El aprendizaje profundo es un área que falta explorar</w:t>
      </w:r>
      <w:r w:rsidR="00F23136">
        <w:t>.</w:t>
      </w:r>
      <w:r w:rsidR="00F23136" w:rsidRPr="00275A06">
        <w:t xml:space="preserve"> </w:t>
      </w:r>
      <w:r w:rsidR="00F23136">
        <w:t xml:space="preserve">Apenas </w:t>
      </w:r>
      <w:r w:rsidRPr="00275A06">
        <w:t xml:space="preserve">se está en una etapa muy elemental. </w:t>
      </w:r>
      <w:r w:rsidR="00B56753" w:rsidRPr="00275A06">
        <w:t xml:space="preserve">Por otra parte, las indicaciones que proporciona la concepción constructivista amplían notablemente la respuesta tradicional a la cuestión del cuándo, es decir, en qué momento conviene llevar a cabo la exploración y evaluación de los conocimientos previos. En una primera aproximación, la respuesta es obvia y simple: siempre que </w:t>
      </w:r>
      <w:r w:rsidR="003D252D" w:rsidRPr="00275A06">
        <w:t>se considere n</w:t>
      </w:r>
      <w:r w:rsidR="00B56753" w:rsidRPr="00275A06">
        <w:t xml:space="preserve">ecesario y útil para llevar a cabo </w:t>
      </w:r>
      <w:r w:rsidR="006A7A9D">
        <w:t>la</w:t>
      </w:r>
      <w:r w:rsidR="006A7A9D" w:rsidRPr="00275A06">
        <w:t xml:space="preserve"> </w:t>
      </w:r>
      <w:r w:rsidR="00B56753" w:rsidRPr="00275A06">
        <w:t>labor</w:t>
      </w:r>
      <w:r w:rsidR="006A7A9D">
        <w:t xml:space="preserve"> docente</w:t>
      </w:r>
      <w:r w:rsidR="00B56753" w:rsidRPr="00275A06">
        <w:t xml:space="preserve"> y</w:t>
      </w:r>
      <w:r w:rsidR="00F23136">
        <w:t xml:space="preserve"> para</w:t>
      </w:r>
      <w:r w:rsidR="00B56753" w:rsidRPr="00275A06">
        <w:t xml:space="preserve"> ayudar a los alumnos en su aprendizaje. </w:t>
      </w:r>
    </w:p>
    <w:p w14:paraId="03C4C005" w14:textId="77777777" w:rsidR="00E03C51" w:rsidRPr="00275A06" w:rsidRDefault="00E03C51" w:rsidP="00275A06"/>
    <w:p w14:paraId="6D206438" w14:textId="2CF059F5" w:rsidR="007D36AB" w:rsidRPr="00A40A41" w:rsidRDefault="00DA41AD" w:rsidP="00D4723A">
      <w:pPr>
        <w:pStyle w:val="Ttulo2"/>
        <w:spacing w:before="0"/>
        <w:rPr>
          <w:sz w:val="24"/>
          <w:szCs w:val="24"/>
          <w:lang w:val="es-ES_tradnl" w:eastAsia="es-ES"/>
        </w:rPr>
      </w:pPr>
      <w:r w:rsidRPr="00A40A41">
        <w:rPr>
          <w:sz w:val="24"/>
          <w:szCs w:val="24"/>
          <w:lang w:val="es-ES_tradnl" w:eastAsia="es-ES"/>
        </w:rPr>
        <w:t>Agradecimientos</w:t>
      </w:r>
    </w:p>
    <w:p w14:paraId="765C58EE" w14:textId="1BB7C746" w:rsidR="00672382" w:rsidRPr="00275A06" w:rsidRDefault="004E75F8" w:rsidP="00D4723A">
      <w:pPr>
        <w:ind w:firstLine="708"/>
        <w:rPr>
          <w:lang w:val="es-ES_tradnl"/>
        </w:rPr>
      </w:pPr>
      <w:r w:rsidRPr="00275A06">
        <w:rPr>
          <w:lang w:val="es-ES_tradnl"/>
        </w:rPr>
        <w:t>Agradecemos las facilidades otorgadas para la realización de este trabajo al Instituto Politécnico Nacional</w:t>
      </w:r>
      <w:r w:rsidR="006A7A9D">
        <w:rPr>
          <w:lang w:val="es-ES_tradnl"/>
        </w:rPr>
        <w:t>,</w:t>
      </w:r>
      <w:r w:rsidRPr="00275A06">
        <w:rPr>
          <w:lang w:val="es-ES_tradnl"/>
        </w:rPr>
        <w:t xml:space="preserve"> a través de la Secretaría de</w:t>
      </w:r>
      <w:r w:rsidR="00E25E64" w:rsidRPr="00275A06">
        <w:rPr>
          <w:lang w:val="es-ES_tradnl"/>
        </w:rPr>
        <w:t xml:space="preserve"> Investigación y Posgrado con los</w:t>
      </w:r>
      <w:r w:rsidRPr="00275A06">
        <w:rPr>
          <w:lang w:val="es-ES_tradnl"/>
        </w:rPr>
        <w:t xml:space="preserve"> proyecto</w:t>
      </w:r>
      <w:r w:rsidR="00E25E64" w:rsidRPr="00275A06">
        <w:rPr>
          <w:lang w:val="es-ES_tradnl"/>
        </w:rPr>
        <w:t>s</w:t>
      </w:r>
      <w:r w:rsidRPr="00275A06">
        <w:rPr>
          <w:lang w:val="es-ES_tradnl"/>
        </w:rPr>
        <w:t xml:space="preserve"> SIP 2018002</w:t>
      </w:r>
      <w:r w:rsidR="00E25E64" w:rsidRPr="00275A06">
        <w:rPr>
          <w:lang w:val="es-ES_tradnl"/>
        </w:rPr>
        <w:t xml:space="preserve"> y SIP 20180688</w:t>
      </w:r>
      <w:r w:rsidRPr="00275A06">
        <w:rPr>
          <w:lang w:val="es-ES_tradnl"/>
        </w:rPr>
        <w:t xml:space="preserve">. A la Unidad Interdisciplinaria de Ingeniería y Ciencias Sociales y Administrativas y </w:t>
      </w:r>
      <w:r w:rsidR="00E971E0">
        <w:rPr>
          <w:lang w:val="es-ES_tradnl"/>
        </w:rPr>
        <w:t>a</w:t>
      </w:r>
      <w:r w:rsidR="00E971E0" w:rsidRPr="00275A06">
        <w:rPr>
          <w:lang w:val="es-ES_tradnl"/>
        </w:rPr>
        <w:t xml:space="preserve">l </w:t>
      </w:r>
      <w:r w:rsidRPr="00275A06">
        <w:rPr>
          <w:lang w:val="es-ES_tradnl"/>
        </w:rPr>
        <w:t xml:space="preserve">Centro de Investigación y Desarrollo de </w:t>
      </w:r>
      <w:r w:rsidR="00E25E64" w:rsidRPr="00275A06">
        <w:rPr>
          <w:lang w:val="es-ES_tradnl"/>
        </w:rPr>
        <w:t>Tecnología</w:t>
      </w:r>
      <w:r w:rsidRPr="00275A06">
        <w:rPr>
          <w:lang w:val="es-ES_tradnl"/>
        </w:rPr>
        <w:t xml:space="preserve"> Digital. Asimismo, al Programa de Estímulo al Desempeño de los Investigadores (EDI) y al Programa de Estímulo al Desempeño Docente (EDD).</w:t>
      </w:r>
    </w:p>
    <w:p w14:paraId="23CED4E1" w14:textId="77777777" w:rsidR="007B1DF5" w:rsidRPr="00275A06" w:rsidRDefault="007B1DF5" w:rsidP="00275A06">
      <w:pPr>
        <w:rPr>
          <w:lang w:val="es-ES_tradnl"/>
        </w:rPr>
      </w:pPr>
    </w:p>
    <w:p w14:paraId="7541CB44" w14:textId="77777777" w:rsidR="00E03C51" w:rsidRPr="00A40A41" w:rsidRDefault="00E03C51" w:rsidP="00275A06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A40A41">
        <w:rPr>
          <w:rFonts w:ascii="Calibri" w:hAnsi="Calibri" w:cs="Calibri"/>
          <w:color w:val="000000"/>
          <w:sz w:val="28"/>
          <w:szCs w:val="28"/>
          <w:lang w:val="es-ES_tradnl" w:eastAsia="es-MX"/>
        </w:rPr>
        <w:lastRenderedPageBreak/>
        <w:t>Referencias</w:t>
      </w:r>
      <w:r w:rsidR="008D4FE0" w:rsidRPr="00A40A41">
        <w:rPr>
          <w:rFonts w:ascii="Calibri" w:hAnsi="Calibri" w:cs="Calibri"/>
          <w:color w:val="000000"/>
          <w:sz w:val="28"/>
          <w:szCs w:val="28"/>
          <w:lang w:val="es-ES_tradnl" w:eastAsia="es-MX"/>
        </w:rPr>
        <w:t xml:space="preserve"> </w:t>
      </w:r>
    </w:p>
    <w:p w14:paraId="62FA7EFD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Ademar, H. (2013). La educación: clave para el desarrollo humano. Una perspectiva desde la educación auténtica. Análisis(82), 57-85. </w:t>
      </w:r>
    </w:p>
    <w:p w14:paraId="3EE6A7A5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Báez, J. y Onrubia, J. (2016). Una revisión de tres modelos para enseñar las habilidades de pensamiento en el marco escolar. Perspectiva Educacional. Formación de Profesores, 55(5), 94-113. </w:t>
      </w:r>
    </w:p>
    <w:p w14:paraId="31BA48D2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Cobo, C. (2007). Modelo de aprendizaje abierto. Innovación Educativa, 7(41), 5-17. </w:t>
      </w:r>
    </w:p>
    <w:p w14:paraId="52887EFF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Díaz, A. y Pérez, M. V. (2013). Autoeficacia, enfoque de aprendizaje profundo y estrategias de aprendizaje. International Journal of Developmental and Educational Psychology, 2(1), 341-346. </w:t>
      </w:r>
    </w:p>
    <w:p w14:paraId="597CED41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Elstad, E., Christophersen, K. A. and Turmo, A. (2012). The influence of parents and teachers on the deep learning approach of pupils in norwegian upper-secondary schools. Electronic Journal of Research in Educational Psychology, 10(1), 35-56. </w:t>
      </w:r>
    </w:p>
    <w:p w14:paraId="28A6B0AE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García, J. E. y García, D. L. (2013). Educar en la posmodernidad: hacia una concepción pluralista y política. Educere: Revista Venezolana de Educación, (56), 27-32. </w:t>
      </w:r>
    </w:p>
    <w:p w14:paraId="1DD4C36D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>Goldratt, E. M. y Cox, J. (1999). La meta: Un proceso de mejora continua (2.a ed.). Estados Unidos: North River Press.</w:t>
      </w:r>
    </w:p>
    <w:p w14:paraId="0659F9A1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González, R. (1997). Concepciones y enfoques de aprendizaje. Revista de Psicodidáctica, (4), 5-39. </w:t>
      </w:r>
    </w:p>
    <w:p w14:paraId="44CA3E79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Hernández, F. y Hervás, R. M. (2005). Enfoques y estilos de aprendizaje en educación superior. Revista Española de Orientación y Psicopedagogía, 16(2), 283-299. </w:t>
      </w:r>
    </w:p>
    <w:p w14:paraId="1DCB8F83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>Kirkpatrick, C. E. (2015). An unknown future and a doubtful present: writing the victory plan of 1941. United States: CreateSpace Independent Publishing Platform.</w:t>
      </w:r>
    </w:p>
    <w:p w14:paraId="254D491E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Maldonado, A. C. y Rodríguez, F. E. (2016). Innovación en los procesos de enseñanza-aprendizaje: Un estudio de casos con la enseñanza justo a tiempo y la instrucción entre pares. Revista Electrónica Educare, 20(2), 1-21. </w:t>
      </w:r>
    </w:p>
    <w:p w14:paraId="20FAC40A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Marton, F. and Säljö, R. (1976). On qualitative difference in learning. I-Outcome and process. British Journal of Educational Psychology, 46, 4-11. </w:t>
      </w:r>
    </w:p>
    <w:p w14:paraId="4F3F79B1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Ortega, C. y Hernández, A. (2015). Hacia el aprendizaje profundo en la reflexión de la práctica docente. RA XIMHAI, 11(4), 213-220. </w:t>
      </w:r>
    </w:p>
    <w:p w14:paraId="512C4EC5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lastRenderedPageBreak/>
        <w:t xml:space="preserve">Ortega, F. (2017). Principios e implicaciones del Nuevo Modelo Educativo. Revista Latinoamericana de Estudios Educativos, 47(1), 43-62. </w:t>
      </w:r>
    </w:p>
    <w:p w14:paraId="2BD6C2BF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Pérez, M. V., Díaz, A., González, J. A. y Núñez, J. C. (2010). Docencia para facilitar el aprendizaje activo y autorregulado. Revista Diálogo Educacional, 10(30), 409-424. </w:t>
      </w:r>
    </w:p>
    <w:p w14:paraId="68F9D16E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Romero, A., Hidalgo, M. D., González, F., Carrillo, E., Pedraja, M. J., García, J., y Pérez, M. A. (2013). Enfoques de aprendizaje en estudiantes universitarios: comparación de resultados con los cuestionarios ASSIST y R-SPQ-2F. Revista de Investigación Educativa, 31(2), 375-391. </w:t>
      </w:r>
    </w:p>
    <w:p w14:paraId="52E46411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Sigüenza, W., Arsuaga, A., García, O. y Martínez, E. (2015). Enfoques de aprendizaje antes y después del aprendizaje basado en problemas. Opción, Año 31(Especial 4), 927-945. </w:t>
      </w:r>
    </w:p>
    <w:p w14:paraId="1EDFCABA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Soler, M. G., Cárdenas, F. A., Hernández, F. y Monroy, E. (2017). Enfoques de aprendizaje y enfoques de enseñanza: origen y evolución. Educación y Educadores, 20(1), 65-88. </w:t>
      </w:r>
    </w:p>
    <w:p w14:paraId="0A71004A" w14:textId="77777777" w:rsidR="00A40A41" w:rsidRPr="00A40A41" w:rsidRDefault="00A40A41" w:rsidP="00A40A41">
      <w:pPr>
        <w:pStyle w:val="Ttulo1"/>
        <w:ind w:left="709" w:hanging="709"/>
        <w:rPr>
          <w:b w:val="0"/>
          <w:noProof/>
          <w:sz w:val="24"/>
          <w:lang w:val="en-GB"/>
        </w:rPr>
      </w:pPr>
      <w:r w:rsidRPr="00A40A41">
        <w:rPr>
          <w:b w:val="0"/>
          <w:noProof/>
          <w:sz w:val="24"/>
          <w:lang w:val="en-GB"/>
        </w:rPr>
        <w:t xml:space="preserve">Testa, M. y Paim, J. S. (2010). Memoria e Historia: diálogo entre Mario Testa y Jairnilson Silva Paim. Salud Colectiva, 6(2), 211-227. </w:t>
      </w:r>
    </w:p>
    <w:p w14:paraId="7403BF79" w14:textId="77777777" w:rsidR="002C3BAC" w:rsidRDefault="00A40A41" w:rsidP="00A40A41">
      <w:pPr>
        <w:pStyle w:val="EndNoteBibliography"/>
        <w:spacing w:line="360" w:lineRule="auto"/>
        <w:ind w:left="709" w:hanging="709"/>
        <w:rPr>
          <w:lang w:val="en-GB"/>
        </w:rPr>
      </w:pPr>
      <w:r w:rsidRPr="00A40A41">
        <w:rPr>
          <w:lang w:val="en-GB"/>
        </w:rPr>
        <w:t>Westby, E. L. and Dawson, V. L. (1995). Creativity: Asset or burden in the classroom? Journal Creativity Research Journal, 8(1), 1-10.</w:t>
      </w:r>
    </w:p>
    <w:p w14:paraId="6EFDD7AD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p w14:paraId="327B6E4D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p w14:paraId="63559AB6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p w14:paraId="07CA6D33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p w14:paraId="5C030CDA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p w14:paraId="2E062E69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p w14:paraId="33D3FEA3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p w14:paraId="3763D504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p w14:paraId="0934A3FE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p w14:paraId="3A2E9E4D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p w14:paraId="0B8A12CB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p w14:paraId="4B8A92B5" w14:textId="77777777" w:rsidR="002C3BAC" w:rsidRDefault="002C3BAC" w:rsidP="00A40A41">
      <w:pPr>
        <w:pStyle w:val="EndNoteBibliography"/>
        <w:spacing w:line="360" w:lineRule="auto"/>
        <w:ind w:left="709" w:hanging="709"/>
        <w:rPr>
          <w:lang w:val="en-GB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2C3BAC" w:rsidRPr="0048642A" w14:paraId="617B9660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0DE4F" w14:textId="77777777" w:rsidR="002C3BAC" w:rsidRPr="0048642A" w:rsidRDefault="002C3BAC" w:rsidP="00643464">
            <w:pPr>
              <w:pStyle w:val="Ttulo3"/>
              <w:widowControl w:val="0"/>
              <w:spacing w:before="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D484E" w14:textId="1CB69B00" w:rsidR="002C3BAC" w:rsidRPr="0048642A" w:rsidRDefault="002C3BAC" w:rsidP="00643464">
            <w:pPr>
              <w:pStyle w:val="Ttulo3"/>
              <w:widowControl w:val="0"/>
              <w:spacing w:before="0" w:line="240" w:lineRule="auto"/>
              <w:rPr>
                <w:sz w:val="20"/>
                <w:lang w:val="es-MX"/>
              </w:rPr>
            </w:pPr>
            <w:bookmarkStart w:id="2" w:name="_btsjgdfgjwkr" w:colFirst="0" w:colLast="0"/>
            <w:bookmarkEnd w:id="2"/>
            <w:r>
              <w:rPr>
                <w:sz w:val="20"/>
                <w:lang w:val="es-MX"/>
              </w:rPr>
              <w:t>Autor (es)</w:t>
            </w:r>
          </w:p>
        </w:tc>
      </w:tr>
      <w:tr w:rsidR="002C3BAC" w:rsidRPr="0048642A" w14:paraId="1049A342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4C9FF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35C5" w14:textId="77777777" w:rsidR="002C3BAC" w:rsidRPr="002C3BAC" w:rsidRDefault="002C3BAC" w:rsidP="00643464">
            <w:pPr>
              <w:spacing w:line="276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Jesús Antonio Álvarez Cedillo</w:t>
            </w:r>
          </w:p>
        </w:tc>
      </w:tr>
      <w:tr w:rsidR="002C3BAC" w:rsidRPr="0048642A" w14:paraId="3FFA8569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C289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BFE61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Raúl Junior Sandoval Gómez</w:t>
            </w:r>
          </w:p>
        </w:tc>
      </w:tr>
      <w:tr w:rsidR="002C3BAC" w:rsidRPr="0048642A" w14:paraId="13C1087A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CF380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2DA0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Jesús Antonio Álvarez Cedillo.</w:t>
            </w:r>
          </w:p>
        </w:tc>
      </w:tr>
      <w:tr w:rsidR="002C3BAC" w:rsidRPr="0048642A" w14:paraId="017C81D5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F062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C50F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Mario Aguilar Fernández.</w:t>
            </w:r>
          </w:p>
        </w:tc>
      </w:tr>
      <w:tr w:rsidR="002C3BAC" w:rsidRPr="0048642A" w14:paraId="20AB3D0E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7065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D8604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Jesús Antonio Álvarez Cedillo ,Teodoro Álvarez Sánchez (IGUAL)</w:t>
            </w:r>
          </w:p>
        </w:tc>
      </w:tr>
      <w:tr w:rsidR="002C3BAC" w:rsidRPr="0048642A" w14:paraId="5D6DC222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0C0A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Investigac</w:t>
            </w:r>
            <w:r w:rsidRPr="0048642A">
              <w:rPr>
                <w:b/>
                <w:sz w:val="18"/>
                <w:szCs w:val="18"/>
                <w:lang w:val="es-MX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C030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Jesús Antonio Álvarez Cedillo ,Teodoro Álvarez Sánchez (IGUAL)</w:t>
            </w:r>
          </w:p>
        </w:tc>
      </w:tr>
      <w:tr w:rsidR="002C3BAC" w:rsidRPr="0048642A" w14:paraId="3D487340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843E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71BF6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Raúl Junior Sandoval Gómez.</w:t>
            </w:r>
          </w:p>
        </w:tc>
      </w:tr>
      <w:tr w:rsidR="002C3BAC" w:rsidRPr="0048642A" w14:paraId="08B4FF57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A31A6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6727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Mario Aguilar Fernández.</w:t>
            </w:r>
          </w:p>
        </w:tc>
      </w:tr>
      <w:tr w:rsidR="002C3BAC" w:rsidRPr="0048642A" w14:paraId="66FA4C57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5A9D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00BD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Jesús Antonio Álvarez Cedillo</w:t>
            </w:r>
          </w:p>
        </w:tc>
      </w:tr>
      <w:tr w:rsidR="002C3BAC" w:rsidRPr="0048642A" w14:paraId="73054046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A536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C8E8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Raúl Junior Sandoval Gómez.</w:t>
            </w:r>
          </w:p>
        </w:tc>
      </w:tr>
      <w:tr w:rsidR="002C3BAC" w:rsidRPr="0048642A" w14:paraId="725C6263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AF06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3ABE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Mario Aguilar Fernández.</w:t>
            </w:r>
          </w:p>
        </w:tc>
      </w:tr>
      <w:tr w:rsidR="002C3BAC" w:rsidRPr="0048642A" w14:paraId="521B6518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76839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4114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Jesús Antonio Álvarez Cedillo</w:t>
            </w:r>
          </w:p>
        </w:tc>
      </w:tr>
      <w:tr w:rsidR="002C3BAC" w:rsidRPr="0048642A" w14:paraId="1491841B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38D7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51E4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Jesús Antonio Álvarez Cedillo</w:t>
            </w:r>
          </w:p>
        </w:tc>
      </w:tr>
      <w:tr w:rsidR="002C3BAC" w:rsidRPr="0048642A" w14:paraId="6DFAA397" w14:textId="77777777" w:rsidTr="0064346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ACD8" w14:textId="77777777" w:rsidR="002C3BAC" w:rsidRPr="0048642A" w:rsidRDefault="002C3BAC" w:rsidP="00643464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944F" w14:textId="77777777" w:rsidR="002C3BAC" w:rsidRPr="002C3BAC" w:rsidRDefault="002C3BAC" w:rsidP="00643464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2C3BAC">
              <w:rPr>
                <w:b/>
                <w:sz w:val="18"/>
                <w:szCs w:val="18"/>
                <w:lang w:val="es-MX"/>
              </w:rPr>
              <w:t>Raúl Junior Sandoval Gómez.</w:t>
            </w:r>
          </w:p>
        </w:tc>
      </w:tr>
    </w:tbl>
    <w:p w14:paraId="78323DD9" w14:textId="497E7A4C" w:rsidR="00A40A41" w:rsidRPr="00275A06" w:rsidRDefault="00A95CB1" w:rsidP="00A40A41">
      <w:pPr>
        <w:pStyle w:val="EndNoteBibliography"/>
        <w:spacing w:line="360" w:lineRule="auto"/>
        <w:ind w:left="709" w:hanging="709"/>
      </w:pPr>
      <w:r w:rsidRPr="00275A06">
        <w:rPr>
          <w:lang w:val="en-GB"/>
        </w:rPr>
        <w:fldChar w:fldCharType="begin"/>
      </w:r>
      <w:r w:rsidRPr="00275A06">
        <w:rPr>
          <w:lang w:val="es-MX"/>
        </w:rPr>
        <w:instrText xml:space="preserve"> ADDIN EN.REFLIST </w:instrText>
      </w:r>
      <w:r w:rsidRPr="00275A06">
        <w:rPr>
          <w:lang w:val="en-GB"/>
        </w:rPr>
        <w:fldChar w:fldCharType="separate"/>
      </w:r>
    </w:p>
    <w:p w14:paraId="6FE057B2" w14:textId="3C82AE6F" w:rsidR="00BA3ABF" w:rsidRPr="00275A06" w:rsidRDefault="00BA3ABF" w:rsidP="00A40A41">
      <w:pPr>
        <w:pStyle w:val="EndNoteBibliography"/>
        <w:spacing w:line="360" w:lineRule="auto"/>
        <w:ind w:left="709" w:hanging="709"/>
      </w:pPr>
      <w:r w:rsidRPr="00275A06">
        <w:t xml:space="preserve"> </w:t>
      </w:r>
    </w:p>
    <w:p w14:paraId="198283B8" w14:textId="5E72A993" w:rsidR="00B56753" w:rsidRPr="00275A06" w:rsidRDefault="00A95CB1" w:rsidP="00A40A41">
      <w:pPr>
        <w:pStyle w:val="Bibliografa"/>
        <w:spacing w:after="0" w:line="360" w:lineRule="auto"/>
        <w:ind w:left="709" w:hanging="709"/>
        <w:rPr>
          <w:noProof/>
          <w:lang w:val="en-GB"/>
        </w:rPr>
      </w:pPr>
      <w:r w:rsidRPr="00275A06">
        <w:rPr>
          <w:noProof/>
          <w:lang w:val="en-GB"/>
        </w:rPr>
        <w:fldChar w:fldCharType="end"/>
      </w:r>
    </w:p>
    <w:sectPr w:rsidR="00B56753" w:rsidRPr="00275A06" w:rsidSect="00A40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985" w:right="1701" w:bottom="1417" w:left="1701" w:header="720" w:footer="5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CBF0" w14:textId="77777777" w:rsidR="001D222F" w:rsidRDefault="001D222F" w:rsidP="0003603D">
      <w:r>
        <w:separator/>
      </w:r>
    </w:p>
    <w:p w14:paraId="0B007907" w14:textId="77777777" w:rsidR="001D222F" w:rsidRDefault="001D222F" w:rsidP="0003603D"/>
  </w:endnote>
  <w:endnote w:type="continuationSeparator" w:id="0">
    <w:p w14:paraId="3D62D0F0" w14:textId="77777777" w:rsidR="001D222F" w:rsidRDefault="001D222F" w:rsidP="0003603D">
      <w:r>
        <w:continuationSeparator/>
      </w:r>
    </w:p>
    <w:p w14:paraId="12F6557E" w14:textId="77777777" w:rsidR="001D222F" w:rsidRDefault="001D222F" w:rsidP="00036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1FF68" w14:textId="5DF5A5D2" w:rsidR="00B56753" w:rsidRPr="00383035" w:rsidRDefault="00D4723A" w:rsidP="00383035">
    <w:pPr>
      <w:jc w:val="center"/>
      <w:rPr>
        <w:rFonts w:ascii="Calibri" w:hAnsi="Calibri" w:cs="Calibri"/>
      </w:rPr>
    </w:pPr>
    <w:r w:rsidRPr="005F17B0">
      <w:rPr>
        <w:rFonts w:asciiTheme="minorHAnsi" w:hAnsiTheme="minorHAnsi" w:cstheme="minorHAnsi"/>
        <w:b/>
        <w:sz w:val="22"/>
      </w:rPr>
      <w:t>Vol. 9, Núm. 18                   Enero - Junio 2019                       DOI: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2509" w14:textId="53C15915" w:rsidR="00B56753" w:rsidRPr="00D818CA" w:rsidRDefault="00A40BF9" w:rsidP="00A40BF9">
    <w:pPr>
      <w:jc w:val="center"/>
      <w:rPr>
        <w:lang w:val="en-GB"/>
      </w:rPr>
    </w:pPr>
    <w:r w:rsidRPr="005F17B0">
      <w:rPr>
        <w:rFonts w:asciiTheme="minorHAnsi" w:hAnsiTheme="minorHAnsi" w:cstheme="minorHAnsi"/>
        <w:b/>
        <w:sz w:val="22"/>
      </w:rPr>
      <w:t>Vol. 9, Núm. 18                   Enero - Junio 2019                       DOI:</w:t>
    </w:r>
  </w:p>
  <w:p w14:paraId="25847B0D" w14:textId="16AE719D" w:rsidR="00B56753" w:rsidRPr="00801D3B" w:rsidRDefault="00B56753" w:rsidP="00383035">
    <w:pPr>
      <w:jc w:val="center"/>
      <w:rPr>
        <w:rFonts w:ascii="Calibri" w:hAnsi="Calibri" w:cs="Calibri"/>
        <w:b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8875A" w14:textId="50563598" w:rsidR="00B56753" w:rsidRPr="00801D3B" w:rsidRDefault="00D4723A" w:rsidP="00383035">
    <w:pPr>
      <w:pStyle w:val="Piedepgina"/>
      <w:jc w:val="center"/>
      <w:rPr>
        <w:rFonts w:ascii="Calibri" w:hAnsi="Calibri" w:cs="Calibri"/>
        <w:b/>
        <w:sz w:val="22"/>
      </w:rPr>
    </w:pPr>
    <w:r w:rsidRPr="005F17B0">
      <w:rPr>
        <w:rFonts w:asciiTheme="minorHAnsi" w:hAnsiTheme="minorHAnsi" w:cstheme="minorHAnsi"/>
        <w:b/>
        <w:sz w:val="22"/>
      </w:rPr>
      <w:t xml:space="preserve">Vol. 9, Núm. 18                   Enero - Junio 2019                      </w:t>
    </w:r>
    <w:r w:rsidR="00BC1EBB" w:rsidRPr="00BC1EBB">
      <w:rPr>
        <w:rFonts w:asciiTheme="minorHAnsi" w:hAnsiTheme="minorHAnsi" w:cstheme="minorHAnsi"/>
        <w:b/>
        <w:sz w:val="22"/>
      </w:rPr>
      <w:t>https://doi.org/10.23913/ride.v9i18.47</w:t>
    </w:r>
    <w:r w:rsidR="00D470B9">
      <w:rPr>
        <w:rFonts w:asciiTheme="minorHAnsi" w:hAnsiTheme="minorHAnsi" w:cstheme="minorHAnsi"/>
        <w:b/>
        <w:sz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C88FA" w14:textId="77777777" w:rsidR="001D222F" w:rsidRDefault="001D222F" w:rsidP="0003603D">
      <w:r>
        <w:separator/>
      </w:r>
    </w:p>
    <w:p w14:paraId="1E9F95AC" w14:textId="77777777" w:rsidR="001D222F" w:rsidRDefault="001D222F" w:rsidP="0003603D"/>
  </w:footnote>
  <w:footnote w:type="continuationSeparator" w:id="0">
    <w:p w14:paraId="353523A0" w14:textId="77777777" w:rsidR="001D222F" w:rsidRDefault="001D222F" w:rsidP="0003603D">
      <w:r>
        <w:continuationSeparator/>
      </w:r>
    </w:p>
    <w:p w14:paraId="52A4905C" w14:textId="77777777" w:rsidR="001D222F" w:rsidRDefault="001D222F" w:rsidP="00036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CF92E" w14:textId="479EB9B5" w:rsidR="00B56753" w:rsidRDefault="00D4723A" w:rsidP="00D4723A">
    <w:pPr>
      <w:pStyle w:val="HTMLconformatoprevio"/>
      <w:jc w:val="center"/>
    </w:pPr>
    <w:r w:rsidRPr="005A563C">
      <w:rPr>
        <w:noProof/>
        <w:lang w:val="en-US" w:eastAsia="en-US"/>
      </w:rPr>
      <w:drawing>
        <wp:inline distT="0" distB="0" distL="0" distR="0" wp14:anchorId="2F472202" wp14:editId="56F0649E">
          <wp:extent cx="5610225" cy="65722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13688" w14:textId="0279D01D" w:rsidR="00B56753" w:rsidRDefault="00A40BF9" w:rsidP="00383035">
    <w:pPr>
      <w:pStyle w:val="Encabezado"/>
      <w:jc w:val="center"/>
    </w:pPr>
    <w:r w:rsidRPr="005A563C">
      <w:rPr>
        <w:noProof/>
        <w:lang w:val="en-US" w:eastAsia="en-US"/>
      </w:rPr>
      <w:drawing>
        <wp:inline distT="0" distB="0" distL="0" distR="0" wp14:anchorId="16319DD0" wp14:editId="087FEDAA">
          <wp:extent cx="5610225" cy="657225"/>
          <wp:effectExtent l="0" t="0" r="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B66C7" w14:textId="570083FB" w:rsidR="00B56753" w:rsidRDefault="00D4723A" w:rsidP="00383035">
    <w:pPr>
      <w:pStyle w:val="Encabezado"/>
      <w:jc w:val="center"/>
    </w:pPr>
    <w:r w:rsidRPr="005A563C">
      <w:rPr>
        <w:noProof/>
        <w:lang w:val="en-US" w:eastAsia="en-US"/>
      </w:rPr>
      <w:drawing>
        <wp:inline distT="0" distB="0" distL="0" distR="0" wp14:anchorId="49D42506" wp14:editId="6A9D4625">
          <wp:extent cx="5610225" cy="657225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5D1"/>
    <w:multiLevelType w:val="hybridMultilevel"/>
    <w:tmpl w:val="92C05F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620F"/>
    <w:multiLevelType w:val="hybridMultilevel"/>
    <w:tmpl w:val="790EA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0F8E"/>
    <w:multiLevelType w:val="hybridMultilevel"/>
    <w:tmpl w:val="C4D47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1FB3"/>
    <w:multiLevelType w:val="hybridMultilevel"/>
    <w:tmpl w:val="9ED02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C5B9E"/>
    <w:multiLevelType w:val="hybridMultilevel"/>
    <w:tmpl w:val="07269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VE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VE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pt-BR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4096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pt-BR" w:vendorID="1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5zwftv000sx5etrfjp0aajafzaxppv22ep&quot;&gt;RIDE 1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/record-ids&gt;&lt;/item&gt;&lt;/Libraries&gt;"/>
  </w:docVars>
  <w:rsids>
    <w:rsidRoot w:val="005C2B3A"/>
    <w:rsid w:val="000014B2"/>
    <w:rsid w:val="0000156E"/>
    <w:rsid w:val="00014B4B"/>
    <w:rsid w:val="00015CB5"/>
    <w:rsid w:val="00015DD6"/>
    <w:rsid w:val="00016639"/>
    <w:rsid w:val="00022543"/>
    <w:rsid w:val="000231CC"/>
    <w:rsid w:val="00026283"/>
    <w:rsid w:val="00030583"/>
    <w:rsid w:val="00030CD7"/>
    <w:rsid w:val="00031C77"/>
    <w:rsid w:val="00033811"/>
    <w:rsid w:val="00033DC4"/>
    <w:rsid w:val="00033F19"/>
    <w:rsid w:val="00034CC2"/>
    <w:rsid w:val="0003603D"/>
    <w:rsid w:val="00037F34"/>
    <w:rsid w:val="000439BF"/>
    <w:rsid w:val="00047871"/>
    <w:rsid w:val="00050312"/>
    <w:rsid w:val="000537F1"/>
    <w:rsid w:val="00055AF2"/>
    <w:rsid w:val="00057F8E"/>
    <w:rsid w:val="00062D99"/>
    <w:rsid w:val="00065BE7"/>
    <w:rsid w:val="000660FC"/>
    <w:rsid w:val="00067E80"/>
    <w:rsid w:val="0007066C"/>
    <w:rsid w:val="00075A46"/>
    <w:rsid w:val="00076870"/>
    <w:rsid w:val="00076C26"/>
    <w:rsid w:val="00077B8C"/>
    <w:rsid w:val="00080FB8"/>
    <w:rsid w:val="00082649"/>
    <w:rsid w:val="00082EEF"/>
    <w:rsid w:val="00083855"/>
    <w:rsid w:val="00092B68"/>
    <w:rsid w:val="00093653"/>
    <w:rsid w:val="00095C88"/>
    <w:rsid w:val="00096A86"/>
    <w:rsid w:val="000A06B6"/>
    <w:rsid w:val="000A1C6C"/>
    <w:rsid w:val="000A42C8"/>
    <w:rsid w:val="000A60AC"/>
    <w:rsid w:val="000B20E2"/>
    <w:rsid w:val="000C084F"/>
    <w:rsid w:val="000C0E80"/>
    <w:rsid w:val="000C1939"/>
    <w:rsid w:val="000C409A"/>
    <w:rsid w:val="000C4E90"/>
    <w:rsid w:val="000C78AA"/>
    <w:rsid w:val="000C7E70"/>
    <w:rsid w:val="000D31F5"/>
    <w:rsid w:val="000D61C0"/>
    <w:rsid w:val="000D61D2"/>
    <w:rsid w:val="000D7758"/>
    <w:rsid w:val="000E11B8"/>
    <w:rsid w:val="000E5591"/>
    <w:rsid w:val="000E6BEE"/>
    <w:rsid w:val="000F0505"/>
    <w:rsid w:val="000F1012"/>
    <w:rsid w:val="000F313C"/>
    <w:rsid w:val="000F3770"/>
    <w:rsid w:val="000F3937"/>
    <w:rsid w:val="000F69CA"/>
    <w:rsid w:val="000F69E2"/>
    <w:rsid w:val="00100BB1"/>
    <w:rsid w:val="00101423"/>
    <w:rsid w:val="00101E9A"/>
    <w:rsid w:val="00107274"/>
    <w:rsid w:val="00107DD0"/>
    <w:rsid w:val="001110BC"/>
    <w:rsid w:val="001145DB"/>
    <w:rsid w:val="0011533C"/>
    <w:rsid w:val="00117EA4"/>
    <w:rsid w:val="0012092C"/>
    <w:rsid w:val="00120E0C"/>
    <w:rsid w:val="0012252D"/>
    <w:rsid w:val="00123223"/>
    <w:rsid w:val="00125A1A"/>
    <w:rsid w:val="00130076"/>
    <w:rsid w:val="00131020"/>
    <w:rsid w:val="001311A1"/>
    <w:rsid w:val="001345E1"/>
    <w:rsid w:val="00136D51"/>
    <w:rsid w:val="00141311"/>
    <w:rsid w:val="0014226D"/>
    <w:rsid w:val="0014264C"/>
    <w:rsid w:val="0014341B"/>
    <w:rsid w:val="001444C0"/>
    <w:rsid w:val="001446C6"/>
    <w:rsid w:val="00147290"/>
    <w:rsid w:val="001560C4"/>
    <w:rsid w:val="001612EE"/>
    <w:rsid w:val="00162497"/>
    <w:rsid w:val="00162F0E"/>
    <w:rsid w:val="00165007"/>
    <w:rsid w:val="001668FA"/>
    <w:rsid w:val="00172B0E"/>
    <w:rsid w:val="00182BC5"/>
    <w:rsid w:val="00192924"/>
    <w:rsid w:val="001A18EF"/>
    <w:rsid w:val="001A2A17"/>
    <w:rsid w:val="001A7383"/>
    <w:rsid w:val="001B3C9A"/>
    <w:rsid w:val="001C1028"/>
    <w:rsid w:val="001C3761"/>
    <w:rsid w:val="001C7C96"/>
    <w:rsid w:val="001D222F"/>
    <w:rsid w:val="001D24BF"/>
    <w:rsid w:val="001D7059"/>
    <w:rsid w:val="001D77C7"/>
    <w:rsid w:val="001E0880"/>
    <w:rsid w:val="001E4F18"/>
    <w:rsid w:val="001F46C6"/>
    <w:rsid w:val="001F5B78"/>
    <w:rsid w:val="001F6575"/>
    <w:rsid w:val="002076F6"/>
    <w:rsid w:val="0021042A"/>
    <w:rsid w:val="00210511"/>
    <w:rsid w:val="0021584B"/>
    <w:rsid w:val="002206E0"/>
    <w:rsid w:val="00223BEE"/>
    <w:rsid w:val="00224FE4"/>
    <w:rsid w:val="002264C6"/>
    <w:rsid w:val="00240B49"/>
    <w:rsid w:val="00241142"/>
    <w:rsid w:val="00241E99"/>
    <w:rsid w:val="002433E4"/>
    <w:rsid w:val="002468DA"/>
    <w:rsid w:val="00251AC5"/>
    <w:rsid w:val="0025470D"/>
    <w:rsid w:val="00260AC7"/>
    <w:rsid w:val="00266656"/>
    <w:rsid w:val="00270AA4"/>
    <w:rsid w:val="00270C3D"/>
    <w:rsid w:val="00272BE6"/>
    <w:rsid w:val="00274CCD"/>
    <w:rsid w:val="00275A06"/>
    <w:rsid w:val="002764D7"/>
    <w:rsid w:val="002810FE"/>
    <w:rsid w:val="002817BE"/>
    <w:rsid w:val="002825E3"/>
    <w:rsid w:val="00284095"/>
    <w:rsid w:val="002853A1"/>
    <w:rsid w:val="00286839"/>
    <w:rsid w:val="00294407"/>
    <w:rsid w:val="00295B7F"/>
    <w:rsid w:val="00296B1F"/>
    <w:rsid w:val="002A027C"/>
    <w:rsid w:val="002A710F"/>
    <w:rsid w:val="002B051D"/>
    <w:rsid w:val="002B5660"/>
    <w:rsid w:val="002B682B"/>
    <w:rsid w:val="002B6F81"/>
    <w:rsid w:val="002B6FCA"/>
    <w:rsid w:val="002B7BCA"/>
    <w:rsid w:val="002C1805"/>
    <w:rsid w:val="002C2F7F"/>
    <w:rsid w:val="002C3BAC"/>
    <w:rsid w:val="002C4365"/>
    <w:rsid w:val="002C492A"/>
    <w:rsid w:val="002D1803"/>
    <w:rsid w:val="002E0DAC"/>
    <w:rsid w:val="002E391D"/>
    <w:rsid w:val="002E487A"/>
    <w:rsid w:val="002E7BCA"/>
    <w:rsid w:val="002F372F"/>
    <w:rsid w:val="002F59E4"/>
    <w:rsid w:val="002F5F8C"/>
    <w:rsid w:val="002F79C3"/>
    <w:rsid w:val="003011A8"/>
    <w:rsid w:val="00306AD8"/>
    <w:rsid w:val="00306CA1"/>
    <w:rsid w:val="0031223A"/>
    <w:rsid w:val="00316248"/>
    <w:rsid w:val="00321FC6"/>
    <w:rsid w:val="0032337C"/>
    <w:rsid w:val="00324401"/>
    <w:rsid w:val="00324B69"/>
    <w:rsid w:val="00325B05"/>
    <w:rsid w:val="00330A2E"/>
    <w:rsid w:val="00331EB8"/>
    <w:rsid w:val="00332CC5"/>
    <w:rsid w:val="00336193"/>
    <w:rsid w:val="00346295"/>
    <w:rsid w:val="0034716B"/>
    <w:rsid w:val="003531AB"/>
    <w:rsid w:val="00354E32"/>
    <w:rsid w:val="00356991"/>
    <w:rsid w:val="00357463"/>
    <w:rsid w:val="003609EC"/>
    <w:rsid w:val="00360EB5"/>
    <w:rsid w:val="00361572"/>
    <w:rsid w:val="00366A96"/>
    <w:rsid w:val="0037022B"/>
    <w:rsid w:val="00374B0D"/>
    <w:rsid w:val="00374DDD"/>
    <w:rsid w:val="00375036"/>
    <w:rsid w:val="00376199"/>
    <w:rsid w:val="00377ABF"/>
    <w:rsid w:val="003802BF"/>
    <w:rsid w:val="00380AAE"/>
    <w:rsid w:val="00382167"/>
    <w:rsid w:val="00383035"/>
    <w:rsid w:val="003840E7"/>
    <w:rsid w:val="00385261"/>
    <w:rsid w:val="00387506"/>
    <w:rsid w:val="00391B67"/>
    <w:rsid w:val="00393257"/>
    <w:rsid w:val="003A0492"/>
    <w:rsid w:val="003A0DDE"/>
    <w:rsid w:val="003A2CDB"/>
    <w:rsid w:val="003A5AB7"/>
    <w:rsid w:val="003A5B4A"/>
    <w:rsid w:val="003A7682"/>
    <w:rsid w:val="003B0555"/>
    <w:rsid w:val="003B1532"/>
    <w:rsid w:val="003B382C"/>
    <w:rsid w:val="003C2B08"/>
    <w:rsid w:val="003C6EAC"/>
    <w:rsid w:val="003C795A"/>
    <w:rsid w:val="003D252D"/>
    <w:rsid w:val="003D25D3"/>
    <w:rsid w:val="003D34FE"/>
    <w:rsid w:val="003D3DE0"/>
    <w:rsid w:val="003D664F"/>
    <w:rsid w:val="003E1624"/>
    <w:rsid w:val="003E33E1"/>
    <w:rsid w:val="003F2267"/>
    <w:rsid w:val="003F2E5D"/>
    <w:rsid w:val="003F363B"/>
    <w:rsid w:val="003F6C95"/>
    <w:rsid w:val="003F7D56"/>
    <w:rsid w:val="004124BE"/>
    <w:rsid w:val="00415277"/>
    <w:rsid w:val="004160F8"/>
    <w:rsid w:val="00420EB2"/>
    <w:rsid w:val="0042731C"/>
    <w:rsid w:val="00427957"/>
    <w:rsid w:val="004317C0"/>
    <w:rsid w:val="00433EC3"/>
    <w:rsid w:val="0043477F"/>
    <w:rsid w:val="004404E0"/>
    <w:rsid w:val="00441137"/>
    <w:rsid w:val="004436DC"/>
    <w:rsid w:val="00443A40"/>
    <w:rsid w:val="00451FAD"/>
    <w:rsid w:val="00455D1D"/>
    <w:rsid w:val="004610C0"/>
    <w:rsid w:val="00465353"/>
    <w:rsid w:val="0046612C"/>
    <w:rsid w:val="00475516"/>
    <w:rsid w:val="00475ECF"/>
    <w:rsid w:val="00480CA2"/>
    <w:rsid w:val="00481B44"/>
    <w:rsid w:val="00481C0C"/>
    <w:rsid w:val="00483AC2"/>
    <w:rsid w:val="00484490"/>
    <w:rsid w:val="004873A2"/>
    <w:rsid w:val="00487EBC"/>
    <w:rsid w:val="00490B6E"/>
    <w:rsid w:val="00492074"/>
    <w:rsid w:val="004921E6"/>
    <w:rsid w:val="00492D60"/>
    <w:rsid w:val="004954C2"/>
    <w:rsid w:val="0049575A"/>
    <w:rsid w:val="00495E82"/>
    <w:rsid w:val="004A003F"/>
    <w:rsid w:val="004A1387"/>
    <w:rsid w:val="004A1EA4"/>
    <w:rsid w:val="004A2277"/>
    <w:rsid w:val="004A369A"/>
    <w:rsid w:val="004A5969"/>
    <w:rsid w:val="004A5D33"/>
    <w:rsid w:val="004A7FA8"/>
    <w:rsid w:val="004B1332"/>
    <w:rsid w:val="004B3375"/>
    <w:rsid w:val="004B44DD"/>
    <w:rsid w:val="004B6173"/>
    <w:rsid w:val="004B682C"/>
    <w:rsid w:val="004B75C8"/>
    <w:rsid w:val="004C4829"/>
    <w:rsid w:val="004D1881"/>
    <w:rsid w:val="004D722B"/>
    <w:rsid w:val="004E5C69"/>
    <w:rsid w:val="004E75F8"/>
    <w:rsid w:val="004F101B"/>
    <w:rsid w:val="004F267C"/>
    <w:rsid w:val="004F5442"/>
    <w:rsid w:val="004F642F"/>
    <w:rsid w:val="005044D7"/>
    <w:rsid w:val="00505212"/>
    <w:rsid w:val="00505751"/>
    <w:rsid w:val="00506299"/>
    <w:rsid w:val="005100ED"/>
    <w:rsid w:val="00511366"/>
    <w:rsid w:val="00521ADA"/>
    <w:rsid w:val="0052221C"/>
    <w:rsid w:val="00522B58"/>
    <w:rsid w:val="005232E0"/>
    <w:rsid w:val="00531752"/>
    <w:rsid w:val="00532ADB"/>
    <w:rsid w:val="00535480"/>
    <w:rsid w:val="00542853"/>
    <w:rsid w:val="00543124"/>
    <w:rsid w:val="005457EE"/>
    <w:rsid w:val="0055136E"/>
    <w:rsid w:val="00552684"/>
    <w:rsid w:val="005545C4"/>
    <w:rsid w:val="0056035B"/>
    <w:rsid w:val="00567175"/>
    <w:rsid w:val="00567D3E"/>
    <w:rsid w:val="00571295"/>
    <w:rsid w:val="00572148"/>
    <w:rsid w:val="005808DF"/>
    <w:rsid w:val="00580DE1"/>
    <w:rsid w:val="00581AD3"/>
    <w:rsid w:val="00582C76"/>
    <w:rsid w:val="00583B64"/>
    <w:rsid w:val="005914C5"/>
    <w:rsid w:val="005937B5"/>
    <w:rsid w:val="00597287"/>
    <w:rsid w:val="005A14BC"/>
    <w:rsid w:val="005A2069"/>
    <w:rsid w:val="005A7288"/>
    <w:rsid w:val="005A77A2"/>
    <w:rsid w:val="005B412F"/>
    <w:rsid w:val="005B45F6"/>
    <w:rsid w:val="005B67EF"/>
    <w:rsid w:val="005B7810"/>
    <w:rsid w:val="005C041E"/>
    <w:rsid w:val="005C1AF7"/>
    <w:rsid w:val="005C2B3A"/>
    <w:rsid w:val="005C31B4"/>
    <w:rsid w:val="005C335B"/>
    <w:rsid w:val="005C7A53"/>
    <w:rsid w:val="005D72B2"/>
    <w:rsid w:val="005D7CD3"/>
    <w:rsid w:val="005E30B4"/>
    <w:rsid w:val="005F1D82"/>
    <w:rsid w:val="005F5B46"/>
    <w:rsid w:val="005F6E78"/>
    <w:rsid w:val="00604118"/>
    <w:rsid w:val="00606316"/>
    <w:rsid w:val="00610F60"/>
    <w:rsid w:val="00620271"/>
    <w:rsid w:val="00626EDA"/>
    <w:rsid w:val="00631BBF"/>
    <w:rsid w:val="00633EE4"/>
    <w:rsid w:val="00636523"/>
    <w:rsid w:val="00636629"/>
    <w:rsid w:val="0063671F"/>
    <w:rsid w:val="00637083"/>
    <w:rsid w:val="00637542"/>
    <w:rsid w:val="00637F6A"/>
    <w:rsid w:val="00640695"/>
    <w:rsid w:val="006436F8"/>
    <w:rsid w:val="006454C2"/>
    <w:rsid w:val="006465D3"/>
    <w:rsid w:val="00651464"/>
    <w:rsid w:val="006548C6"/>
    <w:rsid w:val="00654B67"/>
    <w:rsid w:val="0065562D"/>
    <w:rsid w:val="006556BA"/>
    <w:rsid w:val="00655A2E"/>
    <w:rsid w:val="0066178C"/>
    <w:rsid w:val="00661B51"/>
    <w:rsid w:val="00664EB0"/>
    <w:rsid w:val="00664F19"/>
    <w:rsid w:val="0066525A"/>
    <w:rsid w:val="00666137"/>
    <w:rsid w:val="00666786"/>
    <w:rsid w:val="006678BE"/>
    <w:rsid w:val="00672382"/>
    <w:rsid w:val="006770A0"/>
    <w:rsid w:val="00677510"/>
    <w:rsid w:val="00681664"/>
    <w:rsid w:val="00681CF6"/>
    <w:rsid w:val="006860F8"/>
    <w:rsid w:val="0068620C"/>
    <w:rsid w:val="00686A25"/>
    <w:rsid w:val="006916EA"/>
    <w:rsid w:val="00692D22"/>
    <w:rsid w:val="00693B77"/>
    <w:rsid w:val="0069461D"/>
    <w:rsid w:val="006975AD"/>
    <w:rsid w:val="00697A19"/>
    <w:rsid w:val="006A7A9D"/>
    <w:rsid w:val="006B083B"/>
    <w:rsid w:val="006B148C"/>
    <w:rsid w:val="006B45D7"/>
    <w:rsid w:val="006B562E"/>
    <w:rsid w:val="006C1761"/>
    <w:rsid w:val="006C36D2"/>
    <w:rsid w:val="006C3F09"/>
    <w:rsid w:val="006C49E7"/>
    <w:rsid w:val="006C6409"/>
    <w:rsid w:val="006C64A8"/>
    <w:rsid w:val="006D1AC0"/>
    <w:rsid w:val="006D50FA"/>
    <w:rsid w:val="006E1EDA"/>
    <w:rsid w:val="006E6A42"/>
    <w:rsid w:val="006F085A"/>
    <w:rsid w:val="006F3EA6"/>
    <w:rsid w:val="006F718E"/>
    <w:rsid w:val="00702F4A"/>
    <w:rsid w:val="007158F1"/>
    <w:rsid w:val="00715A34"/>
    <w:rsid w:val="00725775"/>
    <w:rsid w:val="00726756"/>
    <w:rsid w:val="00730C8C"/>
    <w:rsid w:val="00732DA2"/>
    <w:rsid w:val="00736A88"/>
    <w:rsid w:val="00737996"/>
    <w:rsid w:val="00741F9A"/>
    <w:rsid w:val="00741FE6"/>
    <w:rsid w:val="0074243B"/>
    <w:rsid w:val="00743CE4"/>
    <w:rsid w:val="00751ACA"/>
    <w:rsid w:val="00756198"/>
    <w:rsid w:val="0075777B"/>
    <w:rsid w:val="007625D7"/>
    <w:rsid w:val="00772B30"/>
    <w:rsid w:val="00775C38"/>
    <w:rsid w:val="00776A03"/>
    <w:rsid w:val="00780858"/>
    <w:rsid w:val="00781FD4"/>
    <w:rsid w:val="0078750A"/>
    <w:rsid w:val="00791D97"/>
    <w:rsid w:val="0079348A"/>
    <w:rsid w:val="0079550F"/>
    <w:rsid w:val="00796C12"/>
    <w:rsid w:val="007A18B6"/>
    <w:rsid w:val="007A4395"/>
    <w:rsid w:val="007B1DF5"/>
    <w:rsid w:val="007B1E65"/>
    <w:rsid w:val="007B3079"/>
    <w:rsid w:val="007B3529"/>
    <w:rsid w:val="007B3558"/>
    <w:rsid w:val="007B3FF4"/>
    <w:rsid w:val="007B5C8D"/>
    <w:rsid w:val="007B7F7D"/>
    <w:rsid w:val="007C1653"/>
    <w:rsid w:val="007C3CC5"/>
    <w:rsid w:val="007C7794"/>
    <w:rsid w:val="007D36AB"/>
    <w:rsid w:val="007D67F2"/>
    <w:rsid w:val="007D6BB5"/>
    <w:rsid w:val="007E27CB"/>
    <w:rsid w:val="007E281F"/>
    <w:rsid w:val="007E5C43"/>
    <w:rsid w:val="007E7451"/>
    <w:rsid w:val="007E7DEF"/>
    <w:rsid w:val="007F1506"/>
    <w:rsid w:val="007F30F1"/>
    <w:rsid w:val="007F5B80"/>
    <w:rsid w:val="007F65D8"/>
    <w:rsid w:val="007F77AC"/>
    <w:rsid w:val="00800533"/>
    <w:rsid w:val="008016D4"/>
    <w:rsid w:val="00801D3B"/>
    <w:rsid w:val="00806795"/>
    <w:rsid w:val="008170CC"/>
    <w:rsid w:val="0081783A"/>
    <w:rsid w:val="00820FD9"/>
    <w:rsid w:val="00824C8C"/>
    <w:rsid w:val="008261A0"/>
    <w:rsid w:val="00830279"/>
    <w:rsid w:val="00837993"/>
    <w:rsid w:val="008439A9"/>
    <w:rsid w:val="00843FC7"/>
    <w:rsid w:val="00845B49"/>
    <w:rsid w:val="00857A4E"/>
    <w:rsid w:val="00860443"/>
    <w:rsid w:val="00861ABD"/>
    <w:rsid w:val="008643BF"/>
    <w:rsid w:val="0086654D"/>
    <w:rsid w:val="008700C8"/>
    <w:rsid w:val="00870C51"/>
    <w:rsid w:val="00870D40"/>
    <w:rsid w:val="0089497B"/>
    <w:rsid w:val="00896A2C"/>
    <w:rsid w:val="008A1684"/>
    <w:rsid w:val="008A193C"/>
    <w:rsid w:val="008A439E"/>
    <w:rsid w:val="008A4E06"/>
    <w:rsid w:val="008A5A25"/>
    <w:rsid w:val="008B61DE"/>
    <w:rsid w:val="008B639C"/>
    <w:rsid w:val="008C2D2B"/>
    <w:rsid w:val="008C6327"/>
    <w:rsid w:val="008D380F"/>
    <w:rsid w:val="008D4CE1"/>
    <w:rsid w:val="008D4FE0"/>
    <w:rsid w:val="008F24E8"/>
    <w:rsid w:val="008F29F9"/>
    <w:rsid w:val="008F5810"/>
    <w:rsid w:val="008F5DE6"/>
    <w:rsid w:val="008F6B53"/>
    <w:rsid w:val="009023C5"/>
    <w:rsid w:val="0090335D"/>
    <w:rsid w:val="009044D5"/>
    <w:rsid w:val="00906D84"/>
    <w:rsid w:val="00907741"/>
    <w:rsid w:val="00912844"/>
    <w:rsid w:val="0092262C"/>
    <w:rsid w:val="00924476"/>
    <w:rsid w:val="0093032F"/>
    <w:rsid w:val="009343A2"/>
    <w:rsid w:val="009458AE"/>
    <w:rsid w:val="0094595D"/>
    <w:rsid w:val="00945D70"/>
    <w:rsid w:val="009504F6"/>
    <w:rsid w:val="00951B33"/>
    <w:rsid w:val="00951F29"/>
    <w:rsid w:val="009521E7"/>
    <w:rsid w:val="009534B7"/>
    <w:rsid w:val="00954469"/>
    <w:rsid w:val="00954537"/>
    <w:rsid w:val="00956328"/>
    <w:rsid w:val="00960D49"/>
    <w:rsid w:val="00961D5C"/>
    <w:rsid w:val="00962C43"/>
    <w:rsid w:val="00963D9D"/>
    <w:rsid w:val="00964817"/>
    <w:rsid w:val="00966461"/>
    <w:rsid w:val="00967A40"/>
    <w:rsid w:val="00970619"/>
    <w:rsid w:val="0097296B"/>
    <w:rsid w:val="00972E03"/>
    <w:rsid w:val="00980A08"/>
    <w:rsid w:val="00985851"/>
    <w:rsid w:val="0098739C"/>
    <w:rsid w:val="009952B9"/>
    <w:rsid w:val="009A1B0A"/>
    <w:rsid w:val="009A2F3E"/>
    <w:rsid w:val="009A47CC"/>
    <w:rsid w:val="009A6F5E"/>
    <w:rsid w:val="009B6D6C"/>
    <w:rsid w:val="009C0F11"/>
    <w:rsid w:val="009C2B4C"/>
    <w:rsid w:val="009C3C79"/>
    <w:rsid w:val="009C7BBB"/>
    <w:rsid w:val="009D1897"/>
    <w:rsid w:val="009D2731"/>
    <w:rsid w:val="009D7590"/>
    <w:rsid w:val="009E11AE"/>
    <w:rsid w:val="009E1884"/>
    <w:rsid w:val="009E3888"/>
    <w:rsid w:val="009E3EB5"/>
    <w:rsid w:val="009E4338"/>
    <w:rsid w:val="009E46FF"/>
    <w:rsid w:val="009E4D12"/>
    <w:rsid w:val="009E6FA6"/>
    <w:rsid w:val="009F2323"/>
    <w:rsid w:val="00A0328D"/>
    <w:rsid w:val="00A03326"/>
    <w:rsid w:val="00A059F1"/>
    <w:rsid w:val="00A05BA1"/>
    <w:rsid w:val="00A061FC"/>
    <w:rsid w:val="00A10456"/>
    <w:rsid w:val="00A20CA2"/>
    <w:rsid w:val="00A20D73"/>
    <w:rsid w:val="00A23065"/>
    <w:rsid w:val="00A232F9"/>
    <w:rsid w:val="00A2409F"/>
    <w:rsid w:val="00A2487C"/>
    <w:rsid w:val="00A24A5E"/>
    <w:rsid w:val="00A2771B"/>
    <w:rsid w:val="00A32E92"/>
    <w:rsid w:val="00A33D07"/>
    <w:rsid w:val="00A40A41"/>
    <w:rsid w:val="00A40BF9"/>
    <w:rsid w:val="00A44857"/>
    <w:rsid w:val="00A44BEA"/>
    <w:rsid w:val="00A516FD"/>
    <w:rsid w:val="00A52362"/>
    <w:rsid w:val="00A54F23"/>
    <w:rsid w:val="00A56CC0"/>
    <w:rsid w:val="00A61058"/>
    <w:rsid w:val="00A6327F"/>
    <w:rsid w:val="00A63D41"/>
    <w:rsid w:val="00A655AD"/>
    <w:rsid w:val="00A659CF"/>
    <w:rsid w:val="00A703C3"/>
    <w:rsid w:val="00A81B24"/>
    <w:rsid w:val="00A85515"/>
    <w:rsid w:val="00A85FAB"/>
    <w:rsid w:val="00A91DE7"/>
    <w:rsid w:val="00A93A62"/>
    <w:rsid w:val="00A94553"/>
    <w:rsid w:val="00A95A6C"/>
    <w:rsid w:val="00A95CB1"/>
    <w:rsid w:val="00A95E58"/>
    <w:rsid w:val="00A96329"/>
    <w:rsid w:val="00AA2A40"/>
    <w:rsid w:val="00AA48BF"/>
    <w:rsid w:val="00AA737C"/>
    <w:rsid w:val="00AB3FB8"/>
    <w:rsid w:val="00AC31C6"/>
    <w:rsid w:val="00AD1B16"/>
    <w:rsid w:val="00AD3059"/>
    <w:rsid w:val="00AD48B7"/>
    <w:rsid w:val="00AD7502"/>
    <w:rsid w:val="00AE045E"/>
    <w:rsid w:val="00AE22D2"/>
    <w:rsid w:val="00AE773F"/>
    <w:rsid w:val="00AE78A5"/>
    <w:rsid w:val="00B0454D"/>
    <w:rsid w:val="00B0468F"/>
    <w:rsid w:val="00B10013"/>
    <w:rsid w:val="00B1304D"/>
    <w:rsid w:val="00B1316B"/>
    <w:rsid w:val="00B14073"/>
    <w:rsid w:val="00B17BE5"/>
    <w:rsid w:val="00B2072B"/>
    <w:rsid w:val="00B24EA4"/>
    <w:rsid w:val="00B25E99"/>
    <w:rsid w:val="00B26A55"/>
    <w:rsid w:val="00B27251"/>
    <w:rsid w:val="00B27BEF"/>
    <w:rsid w:val="00B3026A"/>
    <w:rsid w:val="00B334D0"/>
    <w:rsid w:val="00B3663F"/>
    <w:rsid w:val="00B419F5"/>
    <w:rsid w:val="00B41FB8"/>
    <w:rsid w:val="00B42AFB"/>
    <w:rsid w:val="00B43FEE"/>
    <w:rsid w:val="00B44BD3"/>
    <w:rsid w:val="00B47B36"/>
    <w:rsid w:val="00B51C6F"/>
    <w:rsid w:val="00B52B37"/>
    <w:rsid w:val="00B52D59"/>
    <w:rsid w:val="00B56753"/>
    <w:rsid w:val="00B615B1"/>
    <w:rsid w:val="00B65475"/>
    <w:rsid w:val="00B6575A"/>
    <w:rsid w:val="00B67DF1"/>
    <w:rsid w:val="00B71E48"/>
    <w:rsid w:val="00B7241C"/>
    <w:rsid w:val="00B72771"/>
    <w:rsid w:val="00B825F8"/>
    <w:rsid w:val="00B87F4E"/>
    <w:rsid w:val="00B87F9A"/>
    <w:rsid w:val="00B96211"/>
    <w:rsid w:val="00BA3ABF"/>
    <w:rsid w:val="00BA736A"/>
    <w:rsid w:val="00BB1770"/>
    <w:rsid w:val="00BB1E80"/>
    <w:rsid w:val="00BB3639"/>
    <w:rsid w:val="00BB4607"/>
    <w:rsid w:val="00BB50E2"/>
    <w:rsid w:val="00BC1EBB"/>
    <w:rsid w:val="00BD38B7"/>
    <w:rsid w:val="00BE34F8"/>
    <w:rsid w:val="00BF21A7"/>
    <w:rsid w:val="00BF22AF"/>
    <w:rsid w:val="00BF2FB4"/>
    <w:rsid w:val="00BF4AEB"/>
    <w:rsid w:val="00C02F46"/>
    <w:rsid w:val="00C100C9"/>
    <w:rsid w:val="00C10E71"/>
    <w:rsid w:val="00C1299C"/>
    <w:rsid w:val="00C130AB"/>
    <w:rsid w:val="00C13DAE"/>
    <w:rsid w:val="00C212D7"/>
    <w:rsid w:val="00C21CF4"/>
    <w:rsid w:val="00C25817"/>
    <w:rsid w:val="00C30EAF"/>
    <w:rsid w:val="00C311D3"/>
    <w:rsid w:val="00C32E0C"/>
    <w:rsid w:val="00C3458B"/>
    <w:rsid w:val="00C416BE"/>
    <w:rsid w:val="00C418B4"/>
    <w:rsid w:val="00C41A1A"/>
    <w:rsid w:val="00C423D1"/>
    <w:rsid w:val="00C473CF"/>
    <w:rsid w:val="00C47D80"/>
    <w:rsid w:val="00C55A53"/>
    <w:rsid w:val="00C56A9B"/>
    <w:rsid w:val="00C62F26"/>
    <w:rsid w:val="00C63594"/>
    <w:rsid w:val="00C65D24"/>
    <w:rsid w:val="00C71034"/>
    <w:rsid w:val="00C75A3A"/>
    <w:rsid w:val="00C76EF8"/>
    <w:rsid w:val="00C77413"/>
    <w:rsid w:val="00C81387"/>
    <w:rsid w:val="00C8205A"/>
    <w:rsid w:val="00C8559D"/>
    <w:rsid w:val="00C87260"/>
    <w:rsid w:val="00C93C8A"/>
    <w:rsid w:val="00C9582E"/>
    <w:rsid w:val="00CB78A0"/>
    <w:rsid w:val="00CC619D"/>
    <w:rsid w:val="00CC7929"/>
    <w:rsid w:val="00CD0500"/>
    <w:rsid w:val="00CD06BE"/>
    <w:rsid w:val="00CD0734"/>
    <w:rsid w:val="00CE24CF"/>
    <w:rsid w:val="00CE2518"/>
    <w:rsid w:val="00CE3677"/>
    <w:rsid w:val="00CE5F60"/>
    <w:rsid w:val="00CE66D2"/>
    <w:rsid w:val="00CE737D"/>
    <w:rsid w:val="00CE7404"/>
    <w:rsid w:val="00CF4A4C"/>
    <w:rsid w:val="00CF6D5A"/>
    <w:rsid w:val="00D003EB"/>
    <w:rsid w:val="00D02FFA"/>
    <w:rsid w:val="00D03748"/>
    <w:rsid w:val="00D1048A"/>
    <w:rsid w:val="00D152BE"/>
    <w:rsid w:val="00D15D4F"/>
    <w:rsid w:val="00D17C5F"/>
    <w:rsid w:val="00D22CDD"/>
    <w:rsid w:val="00D22CF7"/>
    <w:rsid w:val="00D239F4"/>
    <w:rsid w:val="00D2592E"/>
    <w:rsid w:val="00D25D31"/>
    <w:rsid w:val="00D34891"/>
    <w:rsid w:val="00D362A0"/>
    <w:rsid w:val="00D443D6"/>
    <w:rsid w:val="00D44489"/>
    <w:rsid w:val="00D461BF"/>
    <w:rsid w:val="00D470B9"/>
    <w:rsid w:val="00D470FC"/>
    <w:rsid w:val="00D4723A"/>
    <w:rsid w:val="00D51B2B"/>
    <w:rsid w:val="00D5483B"/>
    <w:rsid w:val="00D54C8C"/>
    <w:rsid w:val="00D54D9C"/>
    <w:rsid w:val="00D56A18"/>
    <w:rsid w:val="00D56A2E"/>
    <w:rsid w:val="00D56D28"/>
    <w:rsid w:val="00D61B76"/>
    <w:rsid w:val="00D61DD6"/>
    <w:rsid w:val="00D67247"/>
    <w:rsid w:val="00D75A10"/>
    <w:rsid w:val="00D81053"/>
    <w:rsid w:val="00D818CA"/>
    <w:rsid w:val="00D85462"/>
    <w:rsid w:val="00D86726"/>
    <w:rsid w:val="00D86BCF"/>
    <w:rsid w:val="00D90536"/>
    <w:rsid w:val="00D90F98"/>
    <w:rsid w:val="00D91D1A"/>
    <w:rsid w:val="00DA0496"/>
    <w:rsid w:val="00DA3792"/>
    <w:rsid w:val="00DA41AD"/>
    <w:rsid w:val="00DA719B"/>
    <w:rsid w:val="00DB1A84"/>
    <w:rsid w:val="00DB4530"/>
    <w:rsid w:val="00DB50E7"/>
    <w:rsid w:val="00DC28ED"/>
    <w:rsid w:val="00DC3C67"/>
    <w:rsid w:val="00DD053E"/>
    <w:rsid w:val="00DD1345"/>
    <w:rsid w:val="00DD65A3"/>
    <w:rsid w:val="00DD710E"/>
    <w:rsid w:val="00DE1798"/>
    <w:rsid w:val="00DE29B9"/>
    <w:rsid w:val="00DE3C36"/>
    <w:rsid w:val="00DE3D69"/>
    <w:rsid w:val="00DE4887"/>
    <w:rsid w:val="00DE50B6"/>
    <w:rsid w:val="00DF0EB8"/>
    <w:rsid w:val="00DF159C"/>
    <w:rsid w:val="00DF4D69"/>
    <w:rsid w:val="00DF66A4"/>
    <w:rsid w:val="00E03C51"/>
    <w:rsid w:val="00E04B5B"/>
    <w:rsid w:val="00E10359"/>
    <w:rsid w:val="00E1166E"/>
    <w:rsid w:val="00E15B4D"/>
    <w:rsid w:val="00E16D4B"/>
    <w:rsid w:val="00E23316"/>
    <w:rsid w:val="00E24BEF"/>
    <w:rsid w:val="00E25972"/>
    <w:rsid w:val="00E25E64"/>
    <w:rsid w:val="00E272A6"/>
    <w:rsid w:val="00E33E05"/>
    <w:rsid w:val="00E345E3"/>
    <w:rsid w:val="00E36E6E"/>
    <w:rsid w:val="00E37C34"/>
    <w:rsid w:val="00E403D6"/>
    <w:rsid w:val="00E41805"/>
    <w:rsid w:val="00E459F7"/>
    <w:rsid w:val="00E56371"/>
    <w:rsid w:val="00E60695"/>
    <w:rsid w:val="00E65CF0"/>
    <w:rsid w:val="00E67483"/>
    <w:rsid w:val="00E72EFF"/>
    <w:rsid w:val="00E8017E"/>
    <w:rsid w:val="00E8257D"/>
    <w:rsid w:val="00E8442D"/>
    <w:rsid w:val="00E91C29"/>
    <w:rsid w:val="00E93883"/>
    <w:rsid w:val="00E971E0"/>
    <w:rsid w:val="00E97870"/>
    <w:rsid w:val="00EA4F71"/>
    <w:rsid w:val="00EB28B7"/>
    <w:rsid w:val="00EB380E"/>
    <w:rsid w:val="00EC0544"/>
    <w:rsid w:val="00EC3D44"/>
    <w:rsid w:val="00EC4251"/>
    <w:rsid w:val="00ED1F73"/>
    <w:rsid w:val="00ED53CC"/>
    <w:rsid w:val="00EE6E94"/>
    <w:rsid w:val="00EE7F1C"/>
    <w:rsid w:val="00EF5D20"/>
    <w:rsid w:val="00F010A6"/>
    <w:rsid w:val="00F037FB"/>
    <w:rsid w:val="00F069D2"/>
    <w:rsid w:val="00F0738E"/>
    <w:rsid w:val="00F158BF"/>
    <w:rsid w:val="00F167F4"/>
    <w:rsid w:val="00F17692"/>
    <w:rsid w:val="00F177C4"/>
    <w:rsid w:val="00F22B71"/>
    <w:rsid w:val="00F23136"/>
    <w:rsid w:val="00F246C1"/>
    <w:rsid w:val="00F27651"/>
    <w:rsid w:val="00F3189A"/>
    <w:rsid w:val="00F32603"/>
    <w:rsid w:val="00F32CF2"/>
    <w:rsid w:val="00F33181"/>
    <w:rsid w:val="00F36920"/>
    <w:rsid w:val="00F43888"/>
    <w:rsid w:val="00F4641F"/>
    <w:rsid w:val="00F472D3"/>
    <w:rsid w:val="00F5081F"/>
    <w:rsid w:val="00F562E1"/>
    <w:rsid w:val="00F576E4"/>
    <w:rsid w:val="00F76B0D"/>
    <w:rsid w:val="00F81599"/>
    <w:rsid w:val="00F85485"/>
    <w:rsid w:val="00F87394"/>
    <w:rsid w:val="00F915E9"/>
    <w:rsid w:val="00FA23F4"/>
    <w:rsid w:val="00FA4578"/>
    <w:rsid w:val="00FB28F5"/>
    <w:rsid w:val="00FB3C4D"/>
    <w:rsid w:val="00FB5C43"/>
    <w:rsid w:val="00FC0875"/>
    <w:rsid w:val="00FC40D1"/>
    <w:rsid w:val="00FD1358"/>
    <w:rsid w:val="00FE0EA7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3D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03D"/>
    <w:pPr>
      <w:spacing w:line="360" w:lineRule="auto"/>
      <w:jc w:val="both"/>
    </w:pPr>
    <w:rPr>
      <w:sz w:val="24"/>
      <w:szCs w:val="24"/>
      <w:lang w:val="es-ES" w:eastAsia="es-ES"/>
    </w:rPr>
  </w:style>
  <w:style w:type="paragraph" w:styleId="Ttulo1">
    <w:name w:val="heading 1"/>
    <w:basedOn w:val="Ttulo"/>
    <w:next w:val="Normal"/>
    <w:link w:val="Ttulo1Car"/>
    <w:uiPriority w:val="9"/>
    <w:qFormat/>
    <w:rsid w:val="00A05BA1"/>
    <w:pPr>
      <w:outlineLvl w:val="0"/>
    </w:pPr>
  </w:style>
  <w:style w:type="paragraph" w:styleId="Ttulo2">
    <w:name w:val="heading 2"/>
    <w:basedOn w:val="Ttulo3"/>
    <w:next w:val="Normal"/>
    <w:qFormat/>
    <w:rsid w:val="006860F8"/>
    <w:pPr>
      <w:outlineLvl w:val="1"/>
    </w:pPr>
    <w:rPr>
      <w:i w:val="0"/>
      <w:sz w:val="28"/>
      <w:lang w:val="es-ES"/>
    </w:rPr>
  </w:style>
  <w:style w:type="paragraph" w:styleId="Ttulo3">
    <w:name w:val="heading 3"/>
    <w:basedOn w:val="Normal"/>
    <w:next w:val="Normal"/>
    <w:qFormat/>
    <w:rsid w:val="007A4395"/>
    <w:pPr>
      <w:keepNext/>
      <w:tabs>
        <w:tab w:val="center" w:pos="1134"/>
      </w:tabs>
      <w:spacing w:before="120"/>
      <w:outlineLvl w:val="2"/>
    </w:pPr>
    <w:rPr>
      <w:b/>
      <w:i/>
      <w:sz w:val="22"/>
      <w:szCs w:val="20"/>
      <w:lang w:val="en-GB" w:eastAsia="en-US"/>
    </w:rPr>
  </w:style>
  <w:style w:type="paragraph" w:styleId="Ttulo4">
    <w:name w:val="heading 4"/>
    <w:basedOn w:val="Normal"/>
    <w:next w:val="Normal"/>
    <w:qFormat/>
    <w:rsid w:val="00CE24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color w:val="000000"/>
      <w:szCs w:val="20"/>
      <w:lang w:val="en-GB" w:eastAsia="en-US"/>
    </w:rPr>
  </w:style>
  <w:style w:type="paragraph" w:styleId="Ttulo6">
    <w:name w:val="heading 6"/>
    <w:basedOn w:val="NormalWeb"/>
    <w:next w:val="Normal"/>
    <w:qFormat/>
    <w:rsid w:val="00B825F8"/>
    <w:pPr>
      <w:outlineLvl w:val="5"/>
    </w:pPr>
  </w:style>
  <w:style w:type="paragraph" w:styleId="Ttulo7">
    <w:name w:val="heading 7"/>
    <w:basedOn w:val="Normal"/>
    <w:next w:val="Normal"/>
    <w:qFormat/>
    <w:pPr>
      <w:keepNext/>
      <w:spacing w:before="120"/>
      <w:jc w:val="center"/>
      <w:outlineLvl w:val="6"/>
    </w:pPr>
    <w:rPr>
      <w:rFonts w:ascii="Arial" w:hAnsi="Arial"/>
      <w:b/>
      <w:sz w:val="20"/>
      <w:szCs w:val="20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05BA1"/>
    <w:rPr>
      <w:b/>
      <w:sz w:val="32"/>
    </w:rPr>
  </w:style>
  <w:style w:type="paragraph" w:styleId="Subttulo">
    <w:name w:val="Subtitle"/>
    <w:basedOn w:val="Normal"/>
    <w:qFormat/>
    <w:pPr>
      <w:spacing w:line="480" w:lineRule="auto"/>
      <w:jc w:val="center"/>
    </w:pPr>
    <w:rPr>
      <w:sz w:val="3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rPr>
      <w:rFonts w:ascii="Arial" w:hAnsi="Arial"/>
      <w:color w:val="000000"/>
      <w:szCs w:val="20"/>
      <w:lang w:val="en-GB" w:eastAsia="en-US"/>
    </w:r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ind w:left="567" w:hanging="567"/>
    </w:pPr>
    <w:rPr>
      <w:rFonts w:ascii="Arial" w:hAnsi="Arial"/>
      <w:color w:val="000000"/>
      <w:szCs w:val="20"/>
      <w:lang w:val="en-GB" w:eastAsia="en-US"/>
    </w:rPr>
  </w:style>
  <w:style w:type="paragraph" w:styleId="Textonotaalfinal">
    <w:name w:val="endnote text"/>
    <w:basedOn w:val="Normal"/>
    <w:semiHidden/>
    <w:rPr>
      <w:rFonts w:ascii="Arial" w:hAnsi="Arial"/>
      <w:sz w:val="20"/>
      <w:szCs w:val="20"/>
      <w:lang w:val="en-GB" w:eastAsia="en-US"/>
    </w:rPr>
  </w:style>
  <w:style w:type="paragraph" w:styleId="Sangra3detindependiente">
    <w:name w:val="Body Text Indent 3"/>
    <w:basedOn w:val="Normal"/>
    <w:pPr>
      <w:ind w:left="993" w:hanging="993"/>
    </w:pPr>
    <w:rPr>
      <w:rFonts w:ascii="Arial" w:hAnsi="Arial"/>
      <w:b/>
      <w:szCs w:val="20"/>
      <w:lang w:val="en-GB" w:eastAsia="en-US"/>
    </w:rPr>
  </w:style>
  <w:style w:type="paragraph" w:styleId="Textonotapie">
    <w:name w:val="footnote text"/>
    <w:basedOn w:val="Normal"/>
    <w:semiHidden/>
    <w:rPr>
      <w:rFonts w:ascii="Arial" w:hAnsi="Arial"/>
      <w:sz w:val="20"/>
      <w:szCs w:val="20"/>
      <w:lang w:val="en-GB" w:eastAsia="en-US"/>
    </w:rPr>
  </w:style>
  <w:style w:type="character" w:styleId="Hipervnculovisitado">
    <w:name w:val="FollowedHyperlink"/>
    <w:rPr>
      <w:color w:val="800080"/>
      <w:u w:val="single"/>
    </w:rPr>
  </w:style>
  <w:style w:type="character" w:styleId="Refdenotaalpie">
    <w:name w:val="footnote reference"/>
    <w:semiHidden/>
    <w:rPr>
      <w:vertAlign w:val="superscript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F010A6"/>
    <w:pPr>
      <w:spacing w:after="120"/>
    </w:pPr>
  </w:style>
  <w:style w:type="table" w:styleId="Tablaconcuadrcula">
    <w:name w:val="Table Grid"/>
    <w:basedOn w:val="Tablanormal"/>
    <w:uiPriority w:val="39"/>
    <w:rsid w:val="00B140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42731C"/>
    <w:pPr>
      <w:spacing w:after="160" w:line="259" w:lineRule="auto"/>
    </w:pPr>
    <w:rPr>
      <w:rFonts w:eastAsia="Calibri"/>
      <w:lang w:val="es-MX" w:eastAsia="en-US"/>
    </w:rPr>
  </w:style>
  <w:style w:type="character" w:styleId="Refdecomentario">
    <w:name w:val="annotation reference"/>
    <w:rsid w:val="000A60A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A60AC"/>
    <w:rPr>
      <w:sz w:val="20"/>
      <w:szCs w:val="20"/>
    </w:rPr>
  </w:style>
  <w:style w:type="character" w:customStyle="1" w:styleId="TextocomentarioCar">
    <w:name w:val="Texto comentario Car"/>
    <w:link w:val="Textocomentario"/>
    <w:rsid w:val="000A60A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A60AC"/>
    <w:rPr>
      <w:b/>
      <w:bCs/>
    </w:rPr>
  </w:style>
  <w:style w:type="character" w:customStyle="1" w:styleId="AsuntodelcomentarioCar">
    <w:name w:val="Asunto del comentario Car"/>
    <w:link w:val="Asuntodelcomentario"/>
    <w:rsid w:val="000A60AC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0A6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A60AC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147290"/>
    <w:rPr>
      <w:sz w:val="24"/>
      <w:szCs w:val="24"/>
      <w:lang w:val="es-ES" w:eastAsia="es-ES"/>
    </w:rPr>
  </w:style>
  <w:style w:type="character" w:styleId="Nmerodelnea">
    <w:name w:val="line number"/>
    <w:rsid w:val="002B682B"/>
  </w:style>
  <w:style w:type="character" w:customStyle="1" w:styleId="Ttulo1Car">
    <w:name w:val="Título 1 Car"/>
    <w:link w:val="Ttulo1"/>
    <w:uiPriority w:val="9"/>
    <w:rsid w:val="00A05BA1"/>
    <w:rPr>
      <w:b/>
      <w:sz w:val="32"/>
      <w:szCs w:val="24"/>
    </w:rPr>
  </w:style>
  <w:style w:type="paragraph" w:styleId="Prrafodelista">
    <w:name w:val="List Paragraph"/>
    <w:basedOn w:val="Normal"/>
    <w:uiPriority w:val="34"/>
    <w:qFormat/>
    <w:rsid w:val="00CB78A0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ar"/>
    <w:rsid w:val="00A95CB1"/>
    <w:pPr>
      <w:jc w:val="center"/>
    </w:pPr>
    <w:rPr>
      <w:noProof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A95CB1"/>
    <w:rPr>
      <w:noProof/>
      <w:sz w:val="24"/>
      <w:szCs w:val="24"/>
      <w:lang w:val="es-ES" w:eastAsia="es-ES"/>
    </w:rPr>
  </w:style>
  <w:style w:type="paragraph" w:customStyle="1" w:styleId="EndNoteBibliography">
    <w:name w:val="EndNote Bibliography"/>
    <w:basedOn w:val="Normal"/>
    <w:link w:val="EndNoteBibliographyCar"/>
    <w:rsid w:val="00A95CB1"/>
    <w:pPr>
      <w:spacing w:line="240" w:lineRule="auto"/>
    </w:pPr>
    <w:rPr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A95CB1"/>
    <w:rPr>
      <w:noProof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Ade16</b:Tag>
    <b:SourceType>JournalArticle</b:SourceType>
    <b:Guid>{31288E86-6A92-4C5B-9328-D5D8BCCB9CA4}</b:Guid>
    <b:LCID>en-US</b:LCID>
    <b:Title>Usability Evaluation of Mobile Access to Institutional Repository</b:Title>
    <b:JournalName>International Journal of Pharmacy &amp; Technology</b:JournalName>
    <b:Year>2016</b:Year>
    <b:Pages>22892-22905</b:Pages>
    <b:Author>
      <b:Author>
        <b:NameList>
          <b:Person>
            <b:Last>Adewumi</b:Last>
            <b:First>Adewole</b:First>
          </b:Person>
          <b:Person>
            <b:Last>Omoregbe</b:Last>
            <b:First>Nicholas</b:First>
          </b:Person>
          <b:Person>
            <b:Last>Misra</b:Last>
            <b:First>Sanjay</b:First>
          </b:Person>
        </b:NameList>
      </b:Author>
    </b:Author>
    <b:RefOrder>1</b:RefOrder>
  </b:Source>
  <b:Source>
    <b:Tag>Bab10</b:Tag>
    <b:SourceType>JournalArticle</b:SourceType>
    <b:Guid>{87741198-BB94-4D60-86B3-B6547536D6C1}</b:Guid>
    <b:LCID>es-MX</b:LCID>
    <b:Title>Construcción social de repositorios institucionales: el caso de un repositorio de américa latina y el caribe</b:Title>
    <b:JournalName>Información, cultura y sociedad</b:JournalName>
    <b:Year>2010</b:Year>
    <b:Pages>63-92</b:Pages>
    <b:Author>
      <b:Author>
        <b:NameList>
          <b:Person>
            <b:Last>Babini</b:Last>
            <b:First>Dominique</b:First>
          </b:Person>
          <b:Person>
            <b:Last>González</b:Last>
            <b:First>Jessica</b:First>
          </b:Person>
          <b:Person>
            <b:Last>López</b:Last>
            <b:First>Fernando</b:First>
          </b:Person>
          <b:Person>
            <b:Last>Medici</b:Last>
            <b:First>Flavia</b:First>
          </b:Person>
        </b:NameList>
      </b:Author>
    </b:Author>
    <b:RefOrder>2</b:RefOrder>
  </b:Source>
  <b:Source>
    <b:Tag>Ber13</b:Tag>
    <b:SourceType>JournalArticle</b:SourceType>
    <b:Guid>{D78BFA96-AB2C-4776-BB7A-79854BEFA478}</b:Guid>
    <b:Title>Cómo aplicar árboles de decisión en SPSS</b:Title>
    <b:Pages>65-9</b:Pages>
    <b:Year>2013</b:Year>
    <b:Author>
      <b:Author>
        <b:NameList>
          <b:Person>
            <b:Last>Berlanga</b:Last>
            <b:Middle>Vanesa</b:Middle>
            <b:First>Silvente</b:First>
          </b:Person>
          <b:Person>
            <b:Last>Rubio</b:Last>
            <b:Middle>María José</b:Middle>
            <b:First>Hurtado</b:First>
          </b:Person>
          <b:Person>
            <b:Last>Vilá Baños</b:Last>
            <b:First>Ruth</b:First>
          </b:Person>
        </b:NameList>
      </b:Author>
    </b:Author>
    <b:LCID>es-MX</b:LCID>
    <b:JournalName>REIRE Revista d'Innovació i Recerca in Educació</b:JournalName>
    <b:RefOrder>3</b:RefOrder>
  </b:Source>
  <b:Source>
    <b:Tag>Her11</b:Tag>
    <b:SourceType>JournalArticle</b:SourceType>
    <b:Guid>{36D72EBD-87AA-401B-9FC5-6E89AAA967C1}</b:Guid>
    <b:Title>La importancia de la satisfacción del usuario</b:Title>
    <b:JournalName>Documentación de las ciencias de la información</b:JournalName>
    <b:Year>2011</b:Year>
    <b:Pages>349-368</b:Pages>
    <b:Author>
      <b:Author>
        <b:NameList>
          <b:Person>
            <b:Last>Hernández Salazar</b:Last>
            <b:First>Patricia</b:First>
          </b:Person>
        </b:NameList>
      </b:Author>
    </b:Author>
    <b:RefOrder>4</b:RefOrder>
  </b:Source>
  <b:Source>
    <b:Tag>Iri10</b:Tag>
    <b:SourceType>ConferenceProceedings</b:SourceType>
    <b:Guid>{2A431BD4-5BA9-42D0-A06B-836CFC77F285}</b:Guid>
    <b:Title>Satisfacción y Uso del campus virtual UCM: La perspectiva de los estudiantes</b:Title>
    <b:Year>2010</b:Year>
    <b:Pages>1-31</b:Pages>
    <b:Author>
      <b:Author>
        <b:NameList>
          <b:Person>
            <b:Last>Iriondo</b:Last>
            <b:First>Iñaqui</b:First>
          </b:Person>
          <b:Person>
            <b:Last>Vázquez</b:Last>
            <b:First>Elena</b:First>
          </b:Person>
          <b:Person>
            <b:Last>Jiménez</b:Last>
            <b:First>Juan Manuel</b:First>
          </b:Person>
        </b:NameList>
      </b:Author>
    </b:Author>
    <b:LCID>es-MX</b:LCID>
    <b:ConferenceName>VI Jornadas de Campus Virtual UCM</b:ConferenceName>
    <b:City>Madrid, España</b:City>
    <b:Publisher>Universidad Complutense de Madrid</b:Publisher>
    <b:RefOrder>5</b:RefOrder>
  </b:Source>
  <b:Source>
    <b:Tag>McK07</b:Tag>
    <b:SourceType>JournalArticle</b:SourceType>
    <b:Guid>{E132DE99-1D1E-4783-805C-A4F82BAA7E32}</b:Guid>
    <b:Title>Institutional Repositories and Their 'Other' Users: Usability Beyond Authors</b:Title>
    <b:JournalName>ARIADNE. Web Magazine for Information Professionals</b:JournalName>
    <b:Year>2007</b:Year>
    <b:Author>
      <b:Author>
        <b:NameList>
          <b:Person>
            <b:Last>McKay</b:Last>
            <b:First>Dana</b:First>
          </b:Person>
        </b:NameList>
      </b:Author>
    </b:Author>
    <b:LCID>en-US</b:LCID>
    <b:RefOrder>6</b:RefOrder>
  </b:Source>
  <b:Source>
    <b:Tag>Pér55</b:Tag>
    <b:SourceType>Book</b:SourceType>
    <b:Guid>{FBA49A52-B948-4E44-B678-9D1D3220A5DA}</b:Guid>
    <b:Title>Minería de daos a través de ejemplos</b:Title>
    <b:Year>2015</b:Year>
    <b:LCID>es-MX</b:LCID>
    <b:City>México</b:City>
    <b:Publisher>Alfaomega</b:Publisher>
    <b:Author>
      <b:Author>
        <b:NameList>
          <b:Person>
            <b:Last>Pérez Marqués</b:Last>
            <b:First>María</b:First>
          </b:Person>
        </b:NameList>
      </b:Author>
    </b:Author>
    <b:RefOrder>7</b:RefOrder>
  </b:Source>
  <b:Source>
    <b:Tag>San10</b:Tag>
    <b:SourceType>JournalArticle</b:SourceType>
    <b:Guid>{F90FBD94-BCC4-418F-923D-7C1E8B5EEFCE}</b:Guid>
    <b:LCID>es-MX</b:LCID>
    <b:Title>Propuesta de un sistema de actividades docentes para el conocimiento de los repositorios científicos</b:Title>
    <b:JournalName>Ciencias de la Información</b:JournalName>
    <b:Year>2010</b:Year>
    <b:Pages>39-44</b:Pages>
    <b:Author>
      <b:Author>
        <b:NameList>
          <b:Person>
            <b:Last>Santovenia Díaz</b:Last>
            <b:Middle>Ramón</b:Middle>
            <b:First>Juan </b:First>
          </b:Person>
        </b:NameList>
      </b:Author>
    </b:Author>
    <b:RefOrder>8</b:RefOrder>
  </b:Source>
  <b:Source>
    <b:Tag>SON15</b:Tag>
    <b:SourceType>JournalArticle</b:SourceType>
    <b:Guid>{B7ADD941-DB20-4EC3-BE9F-7C4B5220307C}</b:Guid>
    <b:LCID>en-US</b:LCID>
    <b:Title>Decision tree methods: applications for classification and prediction</b:Title>
    <b:JournalName>Shanghai Archives of Psychiatry</b:JournalName>
    <b:Year>2015</b:Year>
    <b:Pages>130-135</b:Pages>
    <b:Author>
      <b:Author>
        <b:NameList>
          <b:Person>
            <b:Last>Song</b:Last>
            <b:First>Yan-yan</b:First>
          </b:Person>
          <b:Person>
            <b:Last>Lu</b:Last>
            <b:First>Ying</b:First>
          </b:Person>
        </b:NameList>
      </b:Author>
    </b:Author>
    <b:RefOrder>9</b:RefOrder>
  </b:Source>
  <b:Source>
    <b:Tag>Vel14</b:Tag>
    <b:SourceType>ConferenceProceedings</b:SourceType>
    <b:Guid>{AE6487F5-39F8-458F-A06F-14F7FFF8831A}</b:Guid>
    <b:LCID>es-MX</b:LCID>
    <b:Title>Un estudio de la satisfacción obtenida con el uso de objetos de aprendizaje</b:Title>
    <b:Pages>248-256</b:Pages>
    <b:Year>2014</b:Year>
    <b:ConferenceName>IX Latin American Conference on Learning Objects and Technologies</b:ConferenceName>
    <b:City>Manizales, Colombia</b:City>
    <b:Author>
      <b:Author>
        <b:NameList>
          <b:Person>
            <b:Last>Velázquez</b:Last>
            <b:First>César</b:First>
          </b:Person>
          <b:Person>
            <b:Last>Álvarez</b:Last>
            <b:First>Francisco</b:First>
          </b:Person>
          <b:Person>
            <b:Last>Muñoz</b:Last>
            <b:First>Jaime</b:First>
          </b:Person>
          <b:Person>
            <b:Last>Cardona</b:Last>
            <b:First>Pedro</b:First>
          </b:Person>
          <b:Person>
            <b:Last>Silva</b:Last>
            <b:First>Antonio</b:First>
          </b:Person>
          <b:Person>
            <b:Last>Hernández</b:Last>
            <b:First>Yosly</b:First>
          </b:Person>
          <b:Person>
            <b:Last>Cechinel</b:Last>
            <b:First>Cristian</b:First>
          </b:Person>
        </b:NameList>
      </b:Author>
    </b:Author>
    <b:RefOrder>10</b:RefOrder>
  </b:Source>
  <b:Source>
    <b:Tag>Zik12</b:Tag>
    <b:SourceType>Book</b:SourceType>
    <b:Guid>{E8BE3EBE-3CB6-4678-A207-F8C31149A701}</b:Guid>
    <b:Title>Business Research Methods</b:Title>
    <b:Year>2013</b:Year>
    <b:Publisher>Cengage Learning</b:Publisher>
    <b:Author>
      <b:Author>
        <b:NameList>
          <b:Person>
            <b:Last>Zikmund</b:Last>
            <b:First>William</b:First>
          </b:Person>
          <b:Person>
            <b:Last>Barry</b:Last>
            <b:First>Babin</b:First>
          </b:Person>
          <b:Person>
            <b:Last>Carr</b:Last>
            <b:First>Jon</b:First>
          </b:Person>
          <b:Person>
            <b:Last>Griffin</b:Last>
            <b:First>Mitch</b:First>
          </b:Person>
        </b:NameList>
      </b:Author>
    </b:Author>
    <b:LCID>en-US</b:LCID>
    <b:City>Mason, Ohio, Estados Unidos</b:City>
    <b:RefOrder>11</b:RefOrder>
  </b:Source>
</b:Sources>
</file>

<file path=customXml/itemProps1.xml><?xml version="1.0" encoding="utf-8"?>
<ds:datastoreItem xmlns:ds="http://schemas.openxmlformats.org/officeDocument/2006/customXml" ds:itemID="{80BEEF4C-061A-46F8-87D1-6C1214C7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5798</Words>
  <Characters>31893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37616</CharactersWithSpaces>
  <SharedDoc>false</SharedDoc>
  <HLinks>
    <vt:vector size="30" baseType="variant">
      <vt:variant>
        <vt:i4>7209030</vt:i4>
      </vt:variant>
      <vt:variant>
        <vt:i4>12</vt:i4>
      </vt:variant>
      <vt:variant>
        <vt:i4>0</vt:i4>
      </vt:variant>
      <vt:variant>
        <vt:i4>5</vt:i4>
      </vt:variant>
      <vt:variant>
        <vt:lpwstr>http://www.scielo.org.ar/scielo.php?script=sci_arttext&amp;pid=S1851-17402010000200004</vt:lpwstr>
      </vt:variant>
      <vt:variant>
        <vt:lpwstr/>
      </vt:variant>
      <vt:variant>
        <vt:i4>1179771</vt:i4>
      </vt:variant>
      <vt:variant>
        <vt:i4>9</vt:i4>
      </vt:variant>
      <vt:variant>
        <vt:i4>0</vt:i4>
      </vt:variant>
      <vt:variant>
        <vt:i4>5</vt:i4>
      </vt:variant>
      <vt:variant>
        <vt:lpwstr>mailto:dAbrego@uat.edu.mx</vt:lpwstr>
      </vt:variant>
      <vt:variant>
        <vt:lpwstr/>
      </vt:variant>
      <vt:variant>
        <vt:i4>3407952</vt:i4>
      </vt:variant>
      <vt:variant>
        <vt:i4>6</vt:i4>
      </vt:variant>
      <vt:variant>
        <vt:i4>0</vt:i4>
      </vt:variant>
      <vt:variant>
        <vt:i4>5</vt:i4>
      </vt:variant>
      <vt:variant>
        <vt:lpwstr>mailto:aLopez@uat.edu.mx</vt:lpwstr>
      </vt:variant>
      <vt:variant>
        <vt:lpwstr/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mailto:jMedinaq@uat.edu.mx</vt:lpwstr>
      </vt:variant>
      <vt:variant>
        <vt:lpwstr/>
      </vt:variant>
      <vt:variant>
        <vt:i4>589945</vt:i4>
      </vt:variant>
      <vt:variant>
        <vt:i4>0</vt:i4>
      </vt:variant>
      <vt:variant>
        <vt:i4>0</vt:i4>
      </vt:variant>
      <vt:variant>
        <vt:i4>5</vt:i4>
      </vt:variant>
      <vt:variant>
        <vt:lpwstr>mailto:rvHernandez@uat.edu.mx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2019-05-21T23:43:00Z</dcterms:created>
  <dcterms:modified xsi:type="dcterms:W3CDTF">2019-05-22T12:46:00Z</dcterms:modified>
</cp:coreProperties>
</file>