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3ECD" w14:textId="4D9DA18F" w:rsidR="00084CD2" w:rsidRPr="00172A5A" w:rsidRDefault="00172A5A" w:rsidP="00084CD2">
      <w:pPr>
        <w:spacing w:before="240" w:line="360" w:lineRule="auto"/>
        <w:jc w:val="right"/>
        <w:rPr>
          <w:rFonts w:ascii="Times New Roman" w:hAnsi="Times New Roman"/>
          <w:b/>
          <w:bCs/>
          <w:i/>
          <w:iCs/>
          <w:color w:val="000000" w:themeColor="text1"/>
          <w:sz w:val="24"/>
          <w:szCs w:val="24"/>
        </w:rPr>
      </w:pPr>
      <w:r w:rsidRPr="00172A5A">
        <w:rPr>
          <w:rFonts w:ascii="Times New Roman" w:hAnsi="Times New Roman"/>
          <w:b/>
          <w:bCs/>
          <w:i/>
          <w:iCs/>
          <w:color w:val="000000" w:themeColor="text1"/>
          <w:sz w:val="24"/>
          <w:szCs w:val="24"/>
        </w:rPr>
        <w:t>https://doi.org/10.23913/ride.v16i32.2947</w:t>
      </w:r>
    </w:p>
    <w:p w14:paraId="6CD04CBD" w14:textId="4C6F3BAA" w:rsidR="00084CD2" w:rsidRPr="00084CD2" w:rsidRDefault="00084CD2" w:rsidP="00084CD2">
      <w:pPr>
        <w:spacing w:before="240" w:line="360" w:lineRule="auto"/>
        <w:jc w:val="right"/>
        <w:rPr>
          <w:rFonts w:ascii="Times New Roman" w:hAnsi="Times New Roman" w:cs="Times New Roman"/>
          <w:b/>
          <w:sz w:val="36"/>
          <w:szCs w:val="36"/>
        </w:rPr>
      </w:pPr>
      <w:r w:rsidRPr="00084CD2">
        <w:rPr>
          <w:rFonts w:ascii="Times New Roman" w:hAnsi="Times New Roman"/>
          <w:b/>
          <w:bCs/>
          <w:i/>
          <w:iCs/>
          <w:color w:val="000000" w:themeColor="text1"/>
          <w:sz w:val="24"/>
          <w:szCs w:val="24"/>
        </w:rPr>
        <w:t>Artículos científicos</w:t>
      </w:r>
    </w:p>
    <w:p w14:paraId="6BAEA359" w14:textId="6381275F" w:rsidR="00813EAD" w:rsidRPr="00084CD2" w:rsidRDefault="00761018" w:rsidP="00084CD2">
      <w:pPr>
        <w:spacing w:after="0"/>
        <w:contextualSpacing/>
        <w:jc w:val="right"/>
        <w:rPr>
          <w:rFonts w:cstheme="minorHAnsi"/>
          <w:b/>
          <w:sz w:val="32"/>
          <w:szCs w:val="32"/>
        </w:rPr>
      </w:pPr>
      <w:r w:rsidRPr="00084CD2">
        <w:rPr>
          <w:rFonts w:cstheme="minorHAnsi"/>
          <w:b/>
          <w:sz w:val="32"/>
          <w:szCs w:val="32"/>
        </w:rPr>
        <w:t>Predicción del Índice Nacional de Precios al Consumidor en México</w:t>
      </w:r>
    </w:p>
    <w:p w14:paraId="25BD79E8" w14:textId="77777777" w:rsidR="006C55CB" w:rsidRPr="00084CD2" w:rsidRDefault="006C55CB" w:rsidP="00084CD2">
      <w:pPr>
        <w:spacing w:after="0"/>
        <w:contextualSpacing/>
        <w:jc w:val="right"/>
        <w:rPr>
          <w:rFonts w:ascii="Times New Roman" w:hAnsi="Times New Roman" w:cs="Times New Roman"/>
          <w:b/>
          <w:sz w:val="24"/>
          <w:szCs w:val="24"/>
        </w:rPr>
      </w:pPr>
    </w:p>
    <w:p w14:paraId="70FA7466" w14:textId="4B2C3D53" w:rsidR="006C55CB" w:rsidRPr="00084CD2" w:rsidRDefault="00761018" w:rsidP="00084CD2">
      <w:pPr>
        <w:spacing w:after="0"/>
        <w:contextualSpacing/>
        <w:jc w:val="right"/>
        <w:rPr>
          <w:rFonts w:cstheme="minorHAnsi"/>
          <w:b/>
          <w:i/>
          <w:iCs/>
          <w:sz w:val="28"/>
          <w:szCs w:val="28"/>
          <w:lang w:val="en"/>
        </w:rPr>
      </w:pPr>
      <w:r w:rsidRPr="00084CD2">
        <w:rPr>
          <w:rFonts w:cstheme="minorHAnsi"/>
          <w:b/>
          <w:i/>
          <w:iCs/>
          <w:sz w:val="28"/>
          <w:szCs w:val="28"/>
          <w:lang w:val="en"/>
        </w:rPr>
        <w:t>Prediction of the National Consumer Price Index in Mexico</w:t>
      </w:r>
    </w:p>
    <w:p w14:paraId="06D0F3FE" w14:textId="77777777" w:rsidR="00084CD2" w:rsidRPr="00084CD2" w:rsidRDefault="00084CD2" w:rsidP="00084CD2">
      <w:pPr>
        <w:spacing w:after="0"/>
        <w:contextualSpacing/>
        <w:jc w:val="right"/>
        <w:rPr>
          <w:rFonts w:cstheme="minorHAnsi"/>
          <w:b/>
          <w:i/>
          <w:iCs/>
          <w:sz w:val="24"/>
          <w:szCs w:val="24"/>
          <w:lang w:val="en"/>
        </w:rPr>
      </w:pPr>
    </w:p>
    <w:p w14:paraId="6D6197AF" w14:textId="5CF321FA" w:rsidR="00084CD2" w:rsidRPr="00084CD2" w:rsidRDefault="00084CD2" w:rsidP="00084CD2">
      <w:pPr>
        <w:spacing w:after="0"/>
        <w:contextualSpacing/>
        <w:jc w:val="right"/>
        <w:rPr>
          <w:rFonts w:cstheme="minorHAnsi"/>
          <w:b/>
          <w:i/>
          <w:iCs/>
          <w:sz w:val="28"/>
          <w:szCs w:val="28"/>
        </w:rPr>
      </w:pPr>
      <w:proofErr w:type="spellStart"/>
      <w:r w:rsidRPr="00084CD2">
        <w:rPr>
          <w:rFonts w:cstheme="minorHAnsi"/>
          <w:b/>
          <w:i/>
          <w:iCs/>
          <w:sz w:val="28"/>
          <w:szCs w:val="28"/>
        </w:rPr>
        <w:t>Previsão</w:t>
      </w:r>
      <w:proofErr w:type="spellEnd"/>
      <w:r w:rsidRPr="00084CD2">
        <w:rPr>
          <w:rFonts w:cstheme="minorHAnsi"/>
          <w:b/>
          <w:i/>
          <w:iCs/>
          <w:sz w:val="28"/>
          <w:szCs w:val="28"/>
        </w:rPr>
        <w:t xml:space="preserve"> do Índice Nacional de </w:t>
      </w:r>
      <w:proofErr w:type="spellStart"/>
      <w:r w:rsidRPr="00084CD2">
        <w:rPr>
          <w:rFonts w:cstheme="minorHAnsi"/>
          <w:b/>
          <w:i/>
          <w:iCs/>
          <w:sz w:val="28"/>
          <w:szCs w:val="28"/>
        </w:rPr>
        <w:t>Preços</w:t>
      </w:r>
      <w:proofErr w:type="spellEnd"/>
      <w:r w:rsidRPr="00084CD2">
        <w:rPr>
          <w:rFonts w:cstheme="minorHAnsi"/>
          <w:b/>
          <w:i/>
          <w:iCs/>
          <w:sz w:val="28"/>
          <w:szCs w:val="28"/>
        </w:rPr>
        <w:t xml:space="preserve"> </w:t>
      </w:r>
      <w:proofErr w:type="spellStart"/>
      <w:r w:rsidRPr="00084CD2">
        <w:rPr>
          <w:rFonts w:cstheme="minorHAnsi"/>
          <w:b/>
          <w:i/>
          <w:iCs/>
          <w:sz w:val="28"/>
          <w:szCs w:val="28"/>
        </w:rPr>
        <w:t>ao</w:t>
      </w:r>
      <w:proofErr w:type="spellEnd"/>
      <w:r w:rsidRPr="00084CD2">
        <w:rPr>
          <w:rFonts w:cstheme="minorHAnsi"/>
          <w:b/>
          <w:i/>
          <w:iCs/>
          <w:sz w:val="28"/>
          <w:szCs w:val="28"/>
        </w:rPr>
        <w:t xml:space="preserve"> Consumidor no México</w:t>
      </w:r>
    </w:p>
    <w:p w14:paraId="535052F5" w14:textId="77777777" w:rsidR="00D24B59" w:rsidRPr="00084CD2" w:rsidRDefault="00D24B59" w:rsidP="000F35DD">
      <w:pPr>
        <w:spacing w:after="0" w:line="360" w:lineRule="auto"/>
        <w:contextualSpacing/>
        <w:rPr>
          <w:rFonts w:ascii="Times New Roman" w:hAnsi="Times New Roman" w:cs="Times New Roman"/>
          <w:sz w:val="24"/>
          <w:szCs w:val="24"/>
        </w:rPr>
      </w:pPr>
    </w:p>
    <w:p w14:paraId="4B8B5C0B" w14:textId="3C87AAB1" w:rsidR="00D24B59" w:rsidRPr="00084CD2" w:rsidRDefault="00D24B59" w:rsidP="00084CD2">
      <w:pPr>
        <w:spacing w:after="0"/>
        <w:contextualSpacing/>
        <w:jc w:val="right"/>
        <w:rPr>
          <w:rFonts w:cstheme="minorHAnsi"/>
          <w:b/>
          <w:bCs/>
          <w:sz w:val="24"/>
          <w:szCs w:val="24"/>
          <w:vertAlign w:val="superscript"/>
        </w:rPr>
      </w:pPr>
      <w:r w:rsidRPr="00084CD2">
        <w:rPr>
          <w:rFonts w:cstheme="minorHAnsi"/>
          <w:b/>
          <w:bCs/>
          <w:sz w:val="24"/>
          <w:szCs w:val="24"/>
        </w:rPr>
        <w:t xml:space="preserve">Julio César </w:t>
      </w:r>
      <w:proofErr w:type="spellStart"/>
      <w:r w:rsidRPr="00084CD2">
        <w:rPr>
          <w:rFonts w:cstheme="minorHAnsi"/>
          <w:b/>
          <w:bCs/>
          <w:sz w:val="24"/>
          <w:szCs w:val="24"/>
        </w:rPr>
        <w:t>Ayllon</w:t>
      </w:r>
      <w:proofErr w:type="spellEnd"/>
      <w:r w:rsidRPr="00084CD2">
        <w:rPr>
          <w:rFonts w:cstheme="minorHAnsi"/>
          <w:b/>
          <w:bCs/>
          <w:sz w:val="24"/>
          <w:szCs w:val="24"/>
        </w:rPr>
        <w:t>-Benítez</w:t>
      </w:r>
    </w:p>
    <w:p w14:paraId="518CF0B3" w14:textId="0C4F8714" w:rsidR="00084CD2" w:rsidRPr="00084CD2" w:rsidRDefault="00084CD2" w:rsidP="00084CD2">
      <w:pPr>
        <w:spacing w:after="0"/>
        <w:contextualSpacing/>
        <w:jc w:val="right"/>
        <w:rPr>
          <w:rFonts w:ascii="Times New Roman" w:hAnsi="Times New Roman" w:cs="Times New Roman"/>
          <w:bCs/>
          <w:sz w:val="24"/>
          <w:szCs w:val="24"/>
        </w:rPr>
      </w:pPr>
      <w:r w:rsidRPr="00084CD2">
        <w:rPr>
          <w:rFonts w:ascii="Times New Roman" w:hAnsi="Times New Roman" w:cs="Times New Roman"/>
          <w:bCs/>
          <w:sz w:val="24"/>
          <w:szCs w:val="24"/>
        </w:rPr>
        <w:t>Tecnológico Nacional de México, México</w:t>
      </w:r>
    </w:p>
    <w:p w14:paraId="1FAB8B0F" w14:textId="5C626AD8" w:rsidR="00084CD2" w:rsidRPr="00084CD2" w:rsidRDefault="00084CD2" w:rsidP="00084CD2">
      <w:pPr>
        <w:spacing w:after="0"/>
        <w:contextualSpacing/>
        <w:jc w:val="right"/>
        <w:rPr>
          <w:rStyle w:val="Hipervnculo"/>
          <w:rFonts w:cstheme="minorHAnsi"/>
          <w:bCs/>
          <w:color w:val="FF0000"/>
          <w:sz w:val="24"/>
          <w:szCs w:val="24"/>
        </w:rPr>
      </w:pPr>
      <w:r w:rsidRPr="00084CD2">
        <w:rPr>
          <w:rFonts w:cstheme="minorHAnsi"/>
          <w:bCs/>
          <w:color w:val="FF0000"/>
          <w:sz w:val="24"/>
          <w:szCs w:val="24"/>
        </w:rPr>
        <w:t>ayllonjulio@hotmail.com</w:t>
      </w:r>
    </w:p>
    <w:p w14:paraId="180A8B89" w14:textId="6797CDE0" w:rsidR="00084CD2" w:rsidRPr="00084CD2" w:rsidRDefault="00084CD2" w:rsidP="00084CD2">
      <w:pPr>
        <w:spacing w:after="0"/>
        <w:contextualSpacing/>
        <w:jc w:val="right"/>
        <w:rPr>
          <w:rFonts w:ascii="Times New Roman" w:hAnsi="Times New Roman" w:cs="Times New Roman"/>
          <w:bCs/>
          <w:sz w:val="24"/>
          <w:szCs w:val="24"/>
        </w:rPr>
      </w:pPr>
      <w:r w:rsidRPr="00084CD2">
        <w:rPr>
          <w:rFonts w:ascii="Times New Roman" w:hAnsi="Times New Roman" w:cs="Times New Roman"/>
          <w:bCs/>
          <w:sz w:val="24"/>
          <w:szCs w:val="24"/>
        </w:rPr>
        <w:t>https://orcid.org/0000-0002-5051-5411</w:t>
      </w:r>
    </w:p>
    <w:p w14:paraId="11C19309" w14:textId="77777777" w:rsidR="00F0183D" w:rsidRPr="00084CD2" w:rsidRDefault="00F0183D" w:rsidP="00084CD2">
      <w:pPr>
        <w:spacing w:after="0" w:line="360" w:lineRule="auto"/>
        <w:contextualSpacing/>
        <w:rPr>
          <w:rFonts w:ascii="Times New Roman" w:hAnsi="Times New Roman" w:cs="Times New Roman"/>
          <w:b/>
          <w:sz w:val="24"/>
          <w:szCs w:val="24"/>
        </w:rPr>
      </w:pPr>
    </w:p>
    <w:p w14:paraId="63ABC510" w14:textId="4D75D5D6" w:rsidR="004D5842" w:rsidRPr="00084CD2" w:rsidRDefault="00EF2556" w:rsidP="000F35DD">
      <w:pPr>
        <w:spacing w:after="0" w:line="360" w:lineRule="auto"/>
        <w:contextualSpacing/>
        <w:rPr>
          <w:rFonts w:cstheme="minorHAnsi"/>
          <w:b/>
          <w:sz w:val="28"/>
          <w:szCs w:val="28"/>
        </w:rPr>
      </w:pPr>
      <w:r w:rsidRPr="00084CD2">
        <w:rPr>
          <w:rFonts w:cstheme="minorHAnsi"/>
          <w:b/>
          <w:sz w:val="28"/>
          <w:szCs w:val="28"/>
        </w:rPr>
        <w:t>R</w:t>
      </w:r>
      <w:r w:rsidR="001E6E5B" w:rsidRPr="00084CD2">
        <w:rPr>
          <w:rFonts w:cstheme="minorHAnsi"/>
          <w:b/>
          <w:sz w:val="28"/>
          <w:szCs w:val="28"/>
        </w:rPr>
        <w:t>esumen</w:t>
      </w:r>
    </w:p>
    <w:p w14:paraId="4149DD7A" w14:textId="73D71EE2" w:rsidR="007959E3" w:rsidRPr="00084CD2" w:rsidRDefault="00E63554" w:rsidP="000F35DD">
      <w:pPr>
        <w:spacing w:after="0"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rPr>
        <w:t>Los</w:t>
      </w:r>
      <w:r w:rsidR="00BE5C30" w:rsidRPr="00084CD2">
        <w:rPr>
          <w:rFonts w:ascii="Times New Roman" w:hAnsi="Times New Roman" w:cs="Times New Roman"/>
          <w:sz w:val="24"/>
          <w:szCs w:val="24"/>
        </w:rPr>
        <w:t xml:space="preserve"> </w:t>
      </w:r>
      <w:r w:rsidRPr="00084CD2">
        <w:rPr>
          <w:rFonts w:ascii="Times New Roman" w:hAnsi="Times New Roman" w:cs="Times New Roman"/>
          <w:sz w:val="24"/>
          <w:szCs w:val="24"/>
        </w:rPr>
        <w:t>p</w:t>
      </w:r>
      <w:r w:rsidR="00BE5C30" w:rsidRPr="00084CD2">
        <w:rPr>
          <w:rFonts w:ascii="Times New Roman" w:hAnsi="Times New Roman" w:cs="Times New Roman"/>
          <w:sz w:val="24"/>
          <w:szCs w:val="24"/>
        </w:rPr>
        <w:t xml:space="preserve">recios al </w:t>
      </w:r>
      <w:r w:rsidRPr="00084CD2">
        <w:rPr>
          <w:rFonts w:ascii="Times New Roman" w:hAnsi="Times New Roman" w:cs="Times New Roman"/>
          <w:sz w:val="24"/>
          <w:szCs w:val="24"/>
        </w:rPr>
        <w:t>c</w:t>
      </w:r>
      <w:r w:rsidR="00BE5C30" w:rsidRPr="00084CD2">
        <w:rPr>
          <w:rFonts w:ascii="Times New Roman" w:hAnsi="Times New Roman" w:cs="Times New Roman"/>
          <w:sz w:val="24"/>
          <w:szCs w:val="24"/>
        </w:rPr>
        <w:t xml:space="preserve">onsumidor </w:t>
      </w:r>
      <w:r w:rsidRPr="00084CD2">
        <w:rPr>
          <w:rFonts w:ascii="Times New Roman" w:hAnsi="Times New Roman" w:cs="Times New Roman"/>
          <w:sz w:val="24"/>
          <w:szCs w:val="24"/>
        </w:rPr>
        <w:t xml:space="preserve">integran el </w:t>
      </w:r>
      <w:r w:rsidR="00BE5C30" w:rsidRPr="00084CD2">
        <w:rPr>
          <w:rFonts w:ascii="Times New Roman" w:hAnsi="Times New Roman" w:cs="Times New Roman"/>
          <w:sz w:val="24"/>
          <w:szCs w:val="24"/>
        </w:rPr>
        <w:t>indicador fundamental para medir el cambio en el costo de una canasta representativa de bienes y servicios, ponderada conforme a su importancia económica</w:t>
      </w:r>
      <w:r w:rsidRPr="00084CD2">
        <w:rPr>
          <w:rFonts w:ascii="Times New Roman" w:hAnsi="Times New Roman" w:cs="Times New Roman"/>
          <w:sz w:val="24"/>
          <w:szCs w:val="24"/>
        </w:rPr>
        <w:t xml:space="preserve">, el cual </w:t>
      </w:r>
      <w:r w:rsidR="00BE5C30" w:rsidRPr="00084CD2">
        <w:rPr>
          <w:rFonts w:ascii="Times New Roman" w:hAnsi="Times New Roman" w:cs="Times New Roman"/>
          <w:sz w:val="24"/>
          <w:szCs w:val="24"/>
        </w:rPr>
        <w:t xml:space="preserve">se utiliza como referencia principal para estimar la inflación. </w:t>
      </w:r>
      <w:r w:rsidRPr="00084CD2">
        <w:rPr>
          <w:rFonts w:ascii="Times New Roman" w:hAnsi="Times New Roman" w:cs="Times New Roman"/>
          <w:sz w:val="24"/>
          <w:szCs w:val="24"/>
        </w:rPr>
        <w:t>La</w:t>
      </w:r>
      <w:r w:rsidR="002E6AE1" w:rsidRPr="00084CD2">
        <w:rPr>
          <w:rFonts w:ascii="Times New Roman" w:hAnsi="Times New Roman" w:cs="Times New Roman"/>
          <w:sz w:val="24"/>
          <w:szCs w:val="24"/>
        </w:rPr>
        <w:t xml:space="preserve"> investigación tuvo como </w:t>
      </w:r>
      <w:r w:rsidR="00BE5C30" w:rsidRPr="00084CD2">
        <w:rPr>
          <w:rFonts w:ascii="Times New Roman" w:hAnsi="Times New Roman" w:cs="Times New Roman"/>
          <w:sz w:val="24"/>
          <w:szCs w:val="24"/>
        </w:rPr>
        <w:t>objetivo</w:t>
      </w:r>
      <w:r w:rsidRPr="00084CD2">
        <w:rPr>
          <w:rFonts w:ascii="Times New Roman" w:hAnsi="Times New Roman" w:cs="Times New Roman"/>
          <w:sz w:val="24"/>
          <w:szCs w:val="24"/>
        </w:rPr>
        <w:t xml:space="preserve"> predecir el Índice Nacional de Precios al Consumidor </w:t>
      </w:r>
      <w:r w:rsidR="00146A8B" w:rsidRPr="00084CD2">
        <w:rPr>
          <w:rFonts w:ascii="Times New Roman" w:hAnsi="Times New Roman" w:cs="Times New Roman"/>
          <w:sz w:val="24"/>
          <w:szCs w:val="24"/>
        </w:rPr>
        <w:t xml:space="preserve">(INPC) </w:t>
      </w:r>
      <w:r w:rsidRPr="00084CD2">
        <w:rPr>
          <w:rFonts w:ascii="Times New Roman" w:hAnsi="Times New Roman" w:cs="Times New Roman"/>
          <w:sz w:val="24"/>
          <w:szCs w:val="24"/>
        </w:rPr>
        <w:t xml:space="preserve">empleando dos enfoques de series de tiempo: </w:t>
      </w:r>
      <w:r w:rsidR="00BB0F77" w:rsidRPr="00084CD2">
        <w:rPr>
          <w:rFonts w:ascii="Times New Roman" w:hAnsi="Times New Roman" w:cs="Times New Roman"/>
          <w:sz w:val="24"/>
          <w:szCs w:val="24"/>
        </w:rPr>
        <w:t>c</w:t>
      </w:r>
      <w:r w:rsidRPr="00084CD2">
        <w:rPr>
          <w:rFonts w:ascii="Times New Roman" w:hAnsi="Times New Roman" w:cs="Times New Roman"/>
          <w:sz w:val="24"/>
          <w:szCs w:val="24"/>
        </w:rPr>
        <w:t xml:space="preserve">omponentes no </w:t>
      </w:r>
      <w:r w:rsidR="00BB0F77" w:rsidRPr="00084CD2">
        <w:rPr>
          <w:rFonts w:ascii="Times New Roman" w:hAnsi="Times New Roman" w:cs="Times New Roman"/>
          <w:sz w:val="24"/>
          <w:szCs w:val="24"/>
        </w:rPr>
        <w:t>o</w:t>
      </w:r>
      <w:r w:rsidRPr="00084CD2">
        <w:rPr>
          <w:rFonts w:ascii="Times New Roman" w:hAnsi="Times New Roman" w:cs="Times New Roman"/>
          <w:sz w:val="24"/>
          <w:szCs w:val="24"/>
        </w:rPr>
        <w:t xml:space="preserve">bservables (UCM) y el modelo </w:t>
      </w:r>
      <w:r w:rsidR="00BB0F77" w:rsidRPr="00084CD2">
        <w:rPr>
          <w:rFonts w:ascii="Times New Roman" w:hAnsi="Times New Roman" w:cs="Times New Roman"/>
          <w:sz w:val="24"/>
          <w:szCs w:val="24"/>
        </w:rPr>
        <w:t>e</w:t>
      </w:r>
      <w:r w:rsidRPr="00084CD2">
        <w:rPr>
          <w:rFonts w:ascii="Times New Roman" w:hAnsi="Times New Roman" w:cs="Times New Roman"/>
          <w:sz w:val="24"/>
          <w:szCs w:val="24"/>
        </w:rPr>
        <w:t xml:space="preserve">stacional </w:t>
      </w:r>
      <w:r w:rsidR="00BB0F77" w:rsidRPr="00084CD2">
        <w:rPr>
          <w:rFonts w:ascii="Times New Roman" w:hAnsi="Times New Roman" w:cs="Times New Roman"/>
          <w:sz w:val="24"/>
          <w:szCs w:val="24"/>
        </w:rPr>
        <w:t>a</w:t>
      </w:r>
      <w:r w:rsidRPr="00084CD2">
        <w:rPr>
          <w:rFonts w:ascii="Times New Roman" w:hAnsi="Times New Roman" w:cs="Times New Roman"/>
          <w:sz w:val="24"/>
          <w:szCs w:val="24"/>
        </w:rPr>
        <w:t xml:space="preserve">utorregresivo </w:t>
      </w:r>
      <w:r w:rsidR="00BB0F77" w:rsidRPr="00084CD2">
        <w:rPr>
          <w:rFonts w:ascii="Times New Roman" w:hAnsi="Times New Roman" w:cs="Times New Roman"/>
          <w:sz w:val="24"/>
          <w:szCs w:val="24"/>
        </w:rPr>
        <w:t>i</w:t>
      </w:r>
      <w:r w:rsidRPr="00084CD2">
        <w:rPr>
          <w:rFonts w:ascii="Times New Roman" w:hAnsi="Times New Roman" w:cs="Times New Roman"/>
          <w:sz w:val="24"/>
          <w:szCs w:val="24"/>
        </w:rPr>
        <w:t xml:space="preserve">ntegrado de </w:t>
      </w:r>
      <w:r w:rsidR="00BB0F77" w:rsidRPr="00084CD2">
        <w:rPr>
          <w:rFonts w:ascii="Times New Roman" w:hAnsi="Times New Roman" w:cs="Times New Roman"/>
          <w:sz w:val="24"/>
          <w:szCs w:val="24"/>
        </w:rPr>
        <w:t>m</w:t>
      </w:r>
      <w:r w:rsidRPr="00084CD2">
        <w:rPr>
          <w:rFonts w:ascii="Times New Roman" w:hAnsi="Times New Roman" w:cs="Times New Roman"/>
          <w:sz w:val="24"/>
          <w:szCs w:val="24"/>
        </w:rPr>
        <w:t xml:space="preserve">edia </w:t>
      </w:r>
      <w:r w:rsidR="00BB0F77" w:rsidRPr="00084CD2">
        <w:rPr>
          <w:rFonts w:ascii="Times New Roman" w:hAnsi="Times New Roman" w:cs="Times New Roman"/>
          <w:sz w:val="24"/>
          <w:szCs w:val="24"/>
        </w:rPr>
        <w:t>m</w:t>
      </w:r>
      <w:r w:rsidRPr="00084CD2">
        <w:rPr>
          <w:rFonts w:ascii="Times New Roman" w:hAnsi="Times New Roman" w:cs="Times New Roman"/>
          <w:sz w:val="24"/>
          <w:szCs w:val="24"/>
        </w:rPr>
        <w:t xml:space="preserve">óvil (SARIMA) para contrastar su desempeño. </w:t>
      </w:r>
      <w:r w:rsidR="002E6AE1" w:rsidRPr="00084CD2">
        <w:rPr>
          <w:rFonts w:ascii="Times New Roman" w:hAnsi="Times New Roman" w:cs="Times New Roman"/>
          <w:sz w:val="24"/>
          <w:szCs w:val="24"/>
        </w:rPr>
        <w:t>Se empleó una metodología cuantitativa de tipo descriptiv</w:t>
      </w:r>
      <w:r w:rsidR="00437AE7" w:rsidRPr="00084CD2">
        <w:rPr>
          <w:rFonts w:ascii="Times New Roman" w:hAnsi="Times New Roman" w:cs="Times New Roman"/>
          <w:sz w:val="24"/>
          <w:szCs w:val="24"/>
        </w:rPr>
        <w:t>o</w:t>
      </w:r>
      <w:r w:rsidR="00BE5C30" w:rsidRPr="00084CD2">
        <w:rPr>
          <w:rFonts w:ascii="Times New Roman" w:hAnsi="Times New Roman" w:cs="Times New Roman"/>
          <w:sz w:val="24"/>
          <w:szCs w:val="24"/>
        </w:rPr>
        <w:t xml:space="preserve"> y explicativ</w:t>
      </w:r>
      <w:r w:rsidR="00437AE7" w:rsidRPr="00084CD2">
        <w:rPr>
          <w:rFonts w:ascii="Times New Roman" w:hAnsi="Times New Roman" w:cs="Times New Roman"/>
          <w:sz w:val="24"/>
          <w:szCs w:val="24"/>
        </w:rPr>
        <w:t>o</w:t>
      </w:r>
      <w:r w:rsidR="002E6AE1" w:rsidRPr="00084CD2">
        <w:rPr>
          <w:rFonts w:ascii="Times New Roman" w:hAnsi="Times New Roman" w:cs="Times New Roman"/>
          <w:sz w:val="24"/>
          <w:szCs w:val="24"/>
        </w:rPr>
        <w:t>, utilizando 2</w:t>
      </w:r>
      <w:r w:rsidR="00310300" w:rsidRPr="00084CD2">
        <w:rPr>
          <w:rFonts w:ascii="Times New Roman" w:hAnsi="Times New Roman" w:cs="Times New Roman"/>
          <w:sz w:val="24"/>
          <w:szCs w:val="24"/>
        </w:rPr>
        <w:t>88</w:t>
      </w:r>
      <w:r w:rsidR="002E6AE1" w:rsidRPr="00084CD2">
        <w:rPr>
          <w:rFonts w:ascii="Times New Roman" w:hAnsi="Times New Roman" w:cs="Times New Roman"/>
          <w:sz w:val="24"/>
          <w:szCs w:val="24"/>
        </w:rPr>
        <w:t xml:space="preserve"> observaciones mensuales comprendidas entre enero</w:t>
      </w:r>
      <w:r w:rsidR="00310300" w:rsidRPr="00084CD2">
        <w:rPr>
          <w:rFonts w:ascii="Times New Roman" w:hAnsi="Times New Roman" w:cs="Times New Roman"/>
          <w:sz w:val="24"/>
          <w:szCs w:val="24"/>
        </w:rPr>
        <w:t xml:space="preserve"> </w:t>
      </w:r>
      <w:r w:rsidR="00437AE7" w:rsidRPr="00084CD2">
        <w:rPr>
          <w:rFonts w:ascii="Times New Roman" w:hAnsi="Times New Roman" w:cs="Times New Roman"/>
          <w:sz w:val="24"/>
          <w:szCs w:val="24"/>
        </w:rPr>
        <w:t xml:space="preserve">de </w:t>
      </w:r>
      <w:r w:rsidR="002E6AE1" w:rsidRPr="00084CD2">
        <w:rPr>
          <w:rFonts w:ascii="Times New Roman" w:hAnsi="Times New Roman" w:cs="Times New Roman"/>
          <w:sz w:val="24"/>
          <w:szCs w:val="24"/>
        </w:rPr>
        <w:t xml:space="preserve">2002 y </w:t>
      </w:r>
      <w:r w:rsidR="00310300" w:rsidRPr="00084CD2">
        <w:rPr>
          <w:rFonts w:ascii="Times New Roman" w:hAnsi="Times New Roman" w:cs="Times New Roman"/>
          <w:sz w:val="24"/>
          <w:szCs w:val="24"/>
        </w:rPr>
        <w:t xml:space="preserve">diciembre </w:t>
      </w:r>
      <w:r w:rsidR="00437AE7" w:rsidRPr="00084CD2">
        <w:rPr>
          <w:rFonts w:ascii="Times New Roman" w:hAnsi="Times New Roman" w:cs="Times New Roman"/>
          <w:sz w:val="24"/>
          <w:szCs w:val="24"/>
        </w:rPr>
        <w:t xml:space="preserve">de </w:t>
      </w:r>
      <w:r w:rsidR="00310300" w:rsidRPr="00084CD2">
        <w:rPr>
          <w:rFonts w:ascii="Times New Roman" w:hAnsi="Times New Roman" w:cs="Times New Roman"/>
          <w:sz w:val="24"/>
          <w:szCs w:val="24"/>
        </w:rPr>
        <w:t>2025</w:t>
      </w:r>
      <w:r w:rsidR="002E6AE1" w:rsidRPr="00084CD2">
        <w:rPr>
          <w:rFonts w:ascii="Times New Roman" w:hAnsi="Times New Roman" w:cs="Times New Roman"/>
          <w:sz w:val="24"/>
          <w:szCs w:val="24"/>
        </w:rPr>
        <w:t>. Ambos modelos fueron ajustados mediante el software estadístico SAS® y su desempeño se comparó con base en la raíz del error cuadrático medio (RECM) fuera de muestra (</w:t>
      </w:r>
      <w:r w:rsidR="00310300" w:rsidRPr="00084CD2">
        <w:rPr>
          <w:rFonts w:ascii="Times New Roman" w:hAnsi="Times New Roman" w:cs="Times New Roman"/>
          <w:sz w:val="24"/>
          <w:szCs w:val="24"/>
        </w:rPr>
        <w:t>enero 2023 a diciembre 2025</w:t>
      </w:r>
      <w:r w:rsidR="002E6AE1" w:rsidRPr="00084CD2">
        <w:rPr>
          <w:rFonts w:ascii="Times New Roman" w:hAnsi="Times New Roman" w:cs="Times New Roman"/>
          <w:sz w:val="24"/>
          <w:szCs w:val="24"/>
        </w:rPr>
        <w:t>), así como los criterios de información de Akaike (AIC) y Schwarz (SBC).</w:t>
      </w:r>
      <w:r w:rsidR="00BE5C30" w:rsidRPr="00084CD2">
        <w:rPr>
          <w:rFonts w:ascii="Times New Roman" w:hAnsi="Times New Roman" w:cs="Times New Roman"/>
          <w:sz w:val="24"/>
          <w:szCs w:val="24"/>
        </w:rPr>
        <w:t xml:space="preserve"> En los resultados</w:t>
      </w:r>
      <w:r w:rsidR="00B90782" w:rsidRPr="00084CD2">
        <w:rPr>
          <w:rFonts w:ascii="Times New Roman" w:hAnsi="Times New Roman" w:cs="Times New Roman"/>
          <w:sz w:val="24"/>
          <w:szCs w:val="24"/>
        </w:rPr>
        <w:t>,</w:t>
      </w:r>
      <w:r w:rsidR="00BE5C30" w:rsidRPr="00084CD2">
        <w:rPr>
          <w:rFonts w:ascii="Times New Roman" w:hAnsi="Times New Roman" w:cs="Times New Roman"/>
          <w:sz w:val="24"/>
          <w:szCs w:val="24"/>
        </w:rPr>
        <w:t xml:space="preserve"> e</w:t>
      </w:r>
      <w:r w:rsidR="002E6AE1" w:rsidRPr="00084CD2">
        <w:rPr>
          <w:rFonts w:ascii="Times New Roman" w:hAnsi="Times New Roman" w:cs="Times New Roman"/>
          <w:sz w:val="24"/>
          <w:szCs w:val="24"/>
        </w:rPr>
        <w:t>l modelo SARIMA (2,1,</w:t>
      </w:r>
      <w:proofErr w:type="gramStart"/>
      <w:r w:rsidR="002E6AE1" w:rsidRPr="00084CD2">
        <w:rPr>
          <w:rFonts w:ascii="Times New Roman" w:hAnsi="Times New Roman" w:cs="Times New Roman"/>
          <w:sz w:val="24"/>
          <w:szCs w:val="24"/>
        </w:rPr>
        <w:t>0)(</w:t>
      </w:r>
      <w:proofErr w:type="gramEnd"/>
      <w:r w:rsidR="002E6AE1" w:rsidRPr="00084CD2">
        <w:rPr>
          <w:rFonts w:ascii="Times New Roman" w:hAnsi="Times New Roman" w:cs="Times New Roman"/>
          <w:sz w:val="24"/>
          <w:szCs w:val="24"/>
        </w:rPr>
        <w:t xml:space="preserve">0,1,1)[12] </w:t>
      </w:r>
      <w:r w:rsidR="008E67AA" w:rsidRPr="00084CD2">
        <w:rPr>
          <w:rFonts w:ascii="Times New Roman" w:hAnsi="Times New Roman" w:cs="Times New Roman"/>
          <w:sz w:val="24"/>
          <w:szCs w:val="24"/>
        </w:rPr>
        <w:t>presentó</w:t>
      </w:r>
      <w:r w:rsidR="002E6AE1" w:rsidRPr="00084CD2">
        <w:rPr>
          <w:rFonts w:ascii="Times New Roman" w:hAnsi="Times New Roman" w:cs="Times New Roman"/>
          <w:sz w:val="24"/>
          <w:szCs w:val="24"/>
        </w:rPr>
        <w:t xml:space="preserve"> un menor RECM, coeficientes estadísticamente significativos y valores </w:t>
      </w:r>
      <w:r w:rsidR="008E67AA" w:rsidRPr="00084CD2">
        <w:rPr>
          <w:rFonts w:ascii="Times New Roman" w:hAnsi="Times New Roman" w:cs="Times New Roman"/>
          <w:sz w:val="24"/>
          <w:szCs w:val="24"/>
        </w:rPr>
        <w:t>más bajos de</w:t>
      </w:r>
      <w:r w:rsidR="002E6AE1" w:rsidRPr="00084CD2">
        <w:rPr>
          <w:rFonts w:ascii="Times New Roman" w:hAnsi="Times New Roman" w:cs="Times New Roman"/>
          <w:sz w:val="24"/>
          <w:szCs w:val="24"/>
        </w:rPr>
        <w:t xml:space="preserve"> AIC y SBC, superando al modelo UCM.</w:t>
      </w:r>
      <w:r w:rsidR="00BE5C30" w:rsidRPr="00084CD2">
        <w:rPr>
          <w:rFonts w:ascii="Times New Roman" w:hAnsi="Times New Roman" w:cs="Times New Roman"/>
          <w:sz w:val="24"/>
          <w:szCs w:val="24"/>
        </w:rPr>
        <w:t xml:space="preserve"> </w:t>
      </w:r>
      <w:r w:rsidR="002E6AE1" w:rsidRPr="00084CD2">
        <w:rPr>
          <w:rFonts w:ascii="Times New Roman" w:hAnsi="Times New Roman" w:cs="Times New Roman"/>
          <w:sz w:val="24"/>
          <w:szCs w:val="24"/>
        </w:rPr>
        <w:t>El análisis se limita a una serie temporal específica del INPC mexicano, por lo que su aplicación a otros contextos requiere precaución. La sensibilidad de UCM ante cambios estructurales plantea una ventaja en escenarios con alta volatilidad.</w:t>
      </w:r>
      <w:r w:rsidR="00BE5C30" w:rsidRPr="00084CD2">
        <w:rPr>
          <w:rFonts w:ascii="Times New Roman" w:hAnsi="Times New Roman" w:cs="Times New Roman"/>
          <w:sz w:val="24"/>
          <w:szCs w:val="24"/>
        </w:rPr>
        <w:t xml:space="preserve"> En conclusión, e</w:t>
      </w:r>
      <w:r w:rsidR="002E6AE1" w:rsidRPr="00084CD2">
        <w:rPr>
          <w:rFonts w:ascii="Times New Roman" w:hAnsi="Times New Roman" w:cs="Times New Roman"/>
          <w:sz w:val="24"/>
          <w:szCs w:val="24"/>
        </w:rPr>
        <w:t xml:space="preserve">l modelo SARIMA demostró </w:t>
      </w:r>
      <w:r w:rsidR="002E6AE1" w:rsidRPr="00084CD2">
        <w:rPr>
          <w:rFonts w:ascii="Times New Roman" w:hAnsi="Times New Roman" w:cs="Times New Roman"/>
          <w:sz w:val="24"/>
          <w:szCs w:val="24"/>
        </w:rPr>
        <w:lastRenderedPageBreak/>
        <w:t xml:space="preserve">mejor capacidad predictiva y </w:t>
      </w:r>
      <w:r w:rsidR="004D357F" w:rsidRPr="00084CD2">
        <w:rPr>
          <w:rFonts w:ascii="Times New Roman" w:hAnsi="Times New Roman" w:cs="Times New Roman"/>
          <w:sz w:val="24"/>
          <w:szCs w:val="24"/>
        </w:rPr>
        <w:t>bondad de ajuste</w:t>
      </w:r>
      <w:r w:rsidR="002E6AE1" w:rsidRPr="00084CD2">
        <w:rPr>
          <w:rFonts w:ascii="Times New Roman" w:hAnsi="Times New Roman" w:cs="Times New Roman"/>
          <w:sz w:val="24"/>
          <w:szCs w:val="24"/>
        </w:rPr>
        <w:t xml:space="preserve"> en comparación con el modelo UCM, lo que</w:t>
      </w:r>
      <w:r w:rsidR="004D357F" w:rsidRPr="00084CD2">
        <w:rPr>
          <w:rFonts w:ascii="Times New Roman" w:hAnsi="Times New Roman" w:cs="Times New Roman"/>
          <w:sz w:val="24"/>
          <w:szCs w:val="24"/>
        </w:rPr>
        <w:t xml:space="preserve"> sugiere que es </w:t>
      </w:r>
      <w:r w:rsidR="002E6AE1" w:rsidRPr="00084CD2">
        <w:rPr>
          <w:rFonts w:ascii="Times New Roman" w:hAnsi="Times New Roman" w:cs="Times New Roman"/>
          <w:sz w:val="24"/>
          <w:szCs w:val="24"/>
        </w:rPr>
        <w:t>una herramienta eficaz para el análisis prospectivo del comportamiento inflacionario en México</w:t>
      </w:r>
      <w:r w:rsidR="00146A8B" w:rsidRPr="00084CD2">
        <w:rPr>
          <w:rFonts w:ascii="Times New Roman" w:hAnsi="Times New Roman" w:cs="Times New Roman"/>
          <w:sz w:val="24"/>
          <w:szCs w:val="24"/>
        </w:rPr>
        <w:t xml:space="preserve"> y </w:t>
      </w:r>
      <w:r w:rsidR="00A97D94" w:rsidRPr="00084CD2">
        <w:rPr>
          <w:rFonts w:ascii="Times New Roman" w:hAnsi="Times New Roman" w:cs="Times New Roman"/>
          <w:sz w:val="24"/>
          <w:szCs w:val="24"/>
        </w:rPr>
        <w:t>para la toma de decisiones en políticas públicas</w:t>
      </w:r>
      <w:r w:rsidR="002E6AE1" w:rsidRPr="00084CD2">
        <w:rPr>
          <w:rFonts w:ascii="Times New Roman" w:hAnsi="Times New Roman" w:cs="Times New Roman"/>
          <w:sz w:val="24"/>
          <w:szCs w:val="24"/>
        </w:rPr>
        <w:t>.</w:t>
      </w:r>
    </w:p>
    <w:p w14:paraId="49C269CF" w14:textId="3A2810BB" w:rsidR="00636E4D" w:rsidRPr="00084CD2" w:rsidRDefault="00636E4D" w:rsidP="000F35DD">
      <w:pPr>
        <w:spacing w:after="0" w:line="360" w:lineRule="auto"/>
        <w:contextualSpacing/>
        <w:jc w:val="both"/>
        <w:rPr>
          <w:rFonts w:ascii="Times New Roman" w:hAnsi="Times New Roman" w:cs="Times New Roman"/>
          <w:sz w:val="24"/>
          <w:szCs w:val="24"/>
        </w:rPr>
      </w:pPr>
      <w:r w:rsidRPr="00084CD2">
        <w:rPr>
          <w:rFonts w:cstheme="minorHAnsi"/>
          <w:b/>
          <w:sz w:val="28"/>
          <w:szCs w:val="28"/>
        </w:rPr>
        <w:t>Palabras clave:</w:t>
      </w:r>
      <w:r w:rsidR="009B23CC" w:rsidRPr="00084CD2">
        <w:rPr>
          <w:rFonts w:ascii="Times New Roman" w:hAnsi="Times New Roman" w:cs="Times New Roman"/>
          <w:sz w:val="24"/>
          <w:szCs w:val="24"/>
        </w:rPr>
        <w:t xml:space="preserve"> </w:t>
      </w:r>
      <w:r w:rsidR="007907BC" w:rsidRPr="00084CD2">
        <w:rPr>
          <w:rFonts w:ascii="Times New Roman" w:hAnsi="Times New Roman" w:cs="Times New Roman"/>
          <w:sz w:val="24"/>
          <w:szCs w:val="24"/>
        </w:rPr>
        <w:t xml:space="preserve">Box-Jenkins SARIMA, economía, </w:t>
      </w:r>
      <w:r w:rsidR="00451216" w:rsidRPr="00084CD2">
        <w:rPr>
          <w:rFonts w:ascii="Times New Roman" w:hAnsi="Times New Roman" w:cs="Times New Roman"/>
          <w:sz w:val="24"/>
          <w:szCs w:val="24"/>
        </w:rPr>
        <w:t>inflación,</w:t>
      </w:r>
      <w:r w:rsidR="007907BC" w:rsidRPr="00084CD2">
        <w:rPr>
          <w:rFonts w:ascii="Times New Roman" w:hAnsi="Times New Roman" w:cs="Times New Roman"/>
          <w:sz w:val="24"/>
          <w:szCs w:val="24"/>
        </w:rPr>
        <w:t xml:space="preserve"> </w:t>
      </w:r>
      <w:r w:rsidR="00B95829" w:rsidRPr="00084CD2">
        <w:rPr>
          <w:rFonts w:ascii="Times New Roman" w:hAnsi="Times New Roman" w:cs="Times New Roman"/>
          <w:sz w:val="24"/>
          <w:szCs w:val="24"/>
        </w:rPr>
        <w:t xml:space="preserve">modelos de </w:t>
      </w:r>
      <w:r w:rsidR="007907BC" w:rsidRPr="00084CD2">
        <w:rPr>
          <w:rFonts w:ascii="Times New Roman" w:hAnsi="Times New Roman" w:cs="Times New Roman"/>
          <w:sz w:val="24"/>
          <w:szCs w:val="24"/>
        </w:rPr>
        <w:t>series de tiempo.</w:t>
      </w:r>
    </w:p>
    <w:p w14:paraId="281FBEBC" w14:textId="77777777" w:rsidR="00146A8B" w:rsidRPr="00084CD2" w:rsidRDefault="00146A8B" w:rsidP="000F35DD">
      <w:pPr>
        <w:spacing w:after="0" w:line="360" w:lineRule="auto"/>
        <w:contextualSpacing/>
        <w:jc w:val="center"/>
        <w:rPr>
          <w:rFonts w:ascii="Times New Roman" w:hAnsi="Times New Roman" w:cs="Times New Roman"/>
          <w:sz w:val="24"/>
          <w:szCs w:val="24"/>
        </w:rPr>
      </w:pPr>
    </w:p>
    <w:p w14:paraId="4FF9FBE8" w14:textId="605AFEF4" w:rsidR="006D63B1" w:rsidRPr="00084CD2" w:rsidRDefault="006D63B1" w:rsidP="000F35DD">
      <w:pPr>
        <w:spacing w:after="0" w:line="360" w:lineRule="auto"/>
        <w:contextualSpacing/>
        <w:rPr>
          <w:rFonts w:cstheme="minorHAnsi"/>
          <w:b/>
          <w:sz w:val="28"/>
          <w:szCs w:val="28"/>
        </w:rPr>
      </w:pPr>
      <w:r w:rsidRPr="00084CD2">
        <w:rPr>
          <w:rFonts w:cstheme="minorHAnsi"/>
          <w:b/>
          <w:sz w:val="28"/>
          <w:szCs w:val="28"/>
        </w:rPr>
        <w:t>A</w:t>
      </w:r>
      <w:r w:rsidR="001E6E5B" w:rsidRPr="00084CD2">
        <w:rPr>
          <w:rFonts w:cstheme="minorHAnsi"/>
          <w:b/>
          <w:sz w:val="28"/>
          <w:szCs w:val="28"/>
        </w:rPr>
        <w:t>bstract</w:t>
      </w:r>
    </w:p>
    <w:p w14:paraId="3E941679" w14:textId="6F0242A4" w:rsidR="004D357F" w:rsidRPr="00084CD2" w:rsidRDefault="00146A8B" w:rsidP="004D357F">
      <w:pPr>
        <w:spacing w:line="360" w:lineRule="auto"/>
        <w:contextualSpacing/>
        <w:jc w:val="both"/>
        <w:rPr>
          <w:rFonts w:ascii="Times New Roman" w:hAnsi="Times New Roman" w:cs="Times New Roman"/>
          <w:sz w:val="24"/>
          <w:szCs w:val="24"/>
          <w:lang w:val="en"/>
        </w:rPr>
      </w:pPr>
      <w:r w:rsidRPr="00084CD2">
        <w:rPr>
          <w:rFonts w:ascii="Times New Roman" w:hAnsi="Times New Roman" w:cs="Times New Roman"/>
          <w:sz w:val="24"/>
          <w:szCs w:val="24"/>
          <w:lang w:val="en-US"/>
        </w:rPr>
        <w:t xml:space="preserve">Consumer prices constitute the core indicator used to measure changes in the cost of a representative basket of goods and services, weighted according to their economic relevance, and serve as the main reference for estimating inflation. The objective of this study was to forecast the Mexican National Consumer Price Index (INPC) using two time series approaches: </w:t>
      </w:r>
      <w:r w:rsidR="00BB0F77" w:rsidRPr="00084CD2">
        <w:rPr>
          <w:rFonts w:ascii="Times New Roman" w:hAnsi="Times New Roman" w:cs="Times New Roman"/>
          <w:sz w:val="24"/>
          <w:szCs w:val="24"/>
          <w:lang w:val="en-US"/>
        </w:rPr>
        <w:t>u</w:t>
      </w:r>
      <w:r w:rsidRPr="00084CD2">
        <w:rPr>
          <w:rFonts w:ascii="Times New Roman" w:hAnsi="Times New Roman" w:cs="Times New Roman"/>
          <w:sz w:val="24"/>
          <w:szCs w:val="24"/>
          <w:lang w:val="en-US"/>
        </w:rPr>
        <w:t xml:space="preserve">nobserved </w:t>
      </w:r>
      <w:r w:rsidR="00BB0F77" w:rsidRPr="00084CD2">
        <w:rPr>
          <w:rFonts w:ascii="Times New Roman" w:hAnsi="Times New Roman" w:cs="Times New Roman"/>
          <w:sz w:val="24"/>
          <w:szCs w:val="24"/>
          <w:lang w:val="en-US"/>
        </w:rPr>
        <w:t>c</w:t>
      </w:r>
      <w:r w:rsidRPr="00084CD2">
        <w:rPr>
          <w:rFonts w:ascii="Times New Roman" w:hAnsi="Times New Roman" w:cs="Times New Roman"/>
          <w:sz w:val="24"/>
          <w:szCs w:val="24"/>
          <w:lang w:val="en-US"/>
        </w:rPr>
        <w:t xml:space="preserve">omponents </w:t>
      </w:r>
      <w:r w:rsidR="00BB0F77" w:rsidRPr="00084CD2">
        <w:rPr>
          <w:rFonts w:ascii="Times New Roman" w:hAnsi="Times New Roman" w:cs="Times New Roman"/>
          <w:sz w:val="24"/>
          <w:szCs w:val="24"/>
          <w:lang w:val="en-US"/>
        </w:rPr>
        <w:t>m</w:t>
      </w:r>
      <w:r w:rsidRPr="00084CD2">
        <w:rPr>
          <w:rFonts w:ascii="Times New Roman" w:hAnsi="Times New Roman" w:cs="Times New Roman"/>
          <w:sz w:val="24"/>
          <w:szCs w:val="24"/>
          <w:lang w:val="en-US"/>
        </w:rPr>
        <w:t xml:space="preserve">odels (UCM) and the </w:t>
      </w:r>
      <w:r w:rsidR="00BB0F77" w:rsidRPr="00084CD2">
        <w:rPr>
          <w:rFonts w:ascii="Times New Roman" w:hAnsi="Times New Roman" w:cs="Times New Roman"/>
          <w:sz w:val="24"/>
          <w:szCs w:val="24"/>
          <w:lang w:val="en-US"/>
        </w:rPr>
        <w:t>s</w:t>
      </w:r>
      <w:r w:rsidRPr="00084CD2">
        <w:rPr>
          <w:rFonts w:ascii="Times New Roman" w:hAnsi="Times New Roman" w:cs="Times New Roman"/>
          <w:sz w:val="24"/>
          <w:szCs w:val="24"/>
          <w:lang w:val="en-US"/>
        </w:rPr>
        <w:t xml:space="preserve">easonal </w:t>
      </w:r>
      <w:r w:rsidR="00BB0F77" w:rsidRPr="00084CD2">
        <w:rPr>
          <w:rFonts w:ascii="Times New Roman" w:hAnsi="Times New Roman" w:cs="Times New Roman"/>
          <w:sz w:val="24"/>
          <w:szCs w:val="24"/>
          <w:lang w:val="en-US"/>
        </w:rPr>
        <w:t>a</w:t>
      </w:r>
      <w:r w:rsidRPr="00084CD2">
        <w:rPr>
          <w:rFonts w:ascii="Times New Roman" w:hAnsi="Times New Roman" w:cs="Times New Roman"/>
          <w:sz w:val="24"/>
          <w:szCs w:val="24"/>
          <w:lang w:val="en-US"/>
        </w:rPr>
        <w:t xml:space="preserve">utoregressive </w:t>
      </w:r>
      <w:r w:rsidR="00BB0F77" w:rsidRPr="00084CD2">
        <w:rPr>
          <w:rFonts w:ascii="Times New Roman" w:hAnsi="Times New Roman" w:cs="Times New Roman"/>
          <w:sz w:val="24"/>
          <w:szCs w:val="24"/>
          <w:lang w:val="en-US"/>
        </w:rPr>
        <w:t>i</w:t>
      </w:r>
      <w:r w:rsidRPr="00084CD2">
        <w:rPr>
          <w:rFonts w:ascii="Times New Roman" w:hAnsi="Times New Roman" w:cs="Times New Roman"/>
          <w:sz w:val="24"/>
          <w:szCs w:val="24"/>
          <w:lang w:val="en-US"/>
        </w:rPr>
        <w:t xml:space="preserve">ntegrated </w:t>
      </w:r>
      <w:r w:rsidR="00BB0F77" w:rsidRPr="00084CD2">
        <w:rPr>
          <w:rFonts w:ascii="Times New Roman" w:hAnsi="Times New Roman" w:cs="Times New Roman"/>
          <w:sz w:val="24"/>
          <w:szCs w:val="24"/>
          <w:lang w:val="en-US"/>
        </w:rPr>
        <w:t>m</w:t>
      </w:r>
      <w:r w:rsidRPr="00084CD2">
        <w:rPr>
          <w:rFonts w:ascii="Times New Roman" w:hAnsi="Times New Roman" w:cs="Times New Roman"/>
          <w:sz w:val="24"/>
          <w:szCs w:val="24"/>
          <w:lang w:val="en-US"/>
        </w:rPr>
        <w:t xml:space="preserve">oving </w:t>
      </w:r>
      <w:r w:rsidR="00BB0F77" w:rsidRPr="00084CD2">
        <w:rPr>
          <w:rFonts w:ascii="Times New Roman" w:hAnsi="Times New Roman" w:cs="Times New Roman"/>
          <w:sz w:val="24"/>
          <w:szCs w:val="24"/>
          <w:lang w:val="en-US"/>
        </w:rPr>
        <w:t>a</w:t>
      </w:r>
      <w:r w:rsidRPr="00084CD2">
        <w:rPr>
          <w:rFonts w:ascii="Times New Roman" w:hAnsi="Times New Roman" w:cs="Times New Roman"/>
          <w:sz w:val="24"/>
          <w:szCs w:val="24"/>
          <w:lang w:val="en-US"/>
        </w:rPr>
        <w:t xml:space="preserve">verage model (SARIMA), in order to compare their predictive performance. A quantitative descriptive and explanatory methodology was employed, using 288 monthly observations from </w:t>
      </w:r>
      <w:proofErr w:type="spellStart"/>
      <w:r w:rsidRPr="00084CD2">
        <w:rPr>
          <w:rFonts w:ascii="Times New Roman" w:hAnsi="Times New Roman" w:cs="Times New Roman"/>
          <w:sz w:val="24"/>
          <w:szCs w:val="24"/>
          <w:lang w:val="en-US"/>
        </w:rPr>
        <w:t>january</w:t>
      </w:r>
      <w:proofErr w:type="spellEnd"/>
      <w:r w:rsidRPr="00084CD2">
        <w:rPr>
          <w:rFonts w:ascii="Times New Roman" w:hAnsi="Times New Roman" w:cs="Times New Roman"/>
          <w:sz w:val="24"/>
          <w:szCs w:val="24"/>
          <w:lang w:val="en-US"/>
        </w:rPr>
        <w:t xml:space="preserve"> 2002 to </w:t>
      </w:r>
      <w:proofErr w:type="spellStart"/>
      <w:r w:rsidRPr="00084CD2">
        <w:rPr>
          <w:rFonts w:ascii="Times New Roman" w:hAnsi="Times New Roman" w:cs="Times New Roman"/>
          <w:sz w:val="24"/>
          <w:szCs w:val="24"/>
          <w:lang w:val="en-US"/>
        </w:rPr>
        <w:t>december</w:t>
      </w:r>
      <w:proofErr w:type="spellEnd"/>
      <w:r w:rsidRPr="00084CD2">
        <w:rPr>
          <w:rFonts w:ascii="Times New Roman" w:hAnsi="Times New Roman" w:cs="Times New Roman"/>
          <w:sz w:val="24"/>
          <w:szCs w:val="24"/>
          <w:lang w:val="en-US"/>
        </w:rPr>
        <w:t xml:space="preserve"> 2025. Both models were fitted using the SAS® statistical software, and their performance was evaluated based on out-of-sample Root Mean Squared Error (RMSE) for the period </w:t>
      </w:r>
      <w:proofErr w:type="spellStart"/>
      <w:r w:rsidRPr="00084CD2">
        <w:rPr>
          <w:rFonts w:ascii="Times New Roman" w:hAnsi="Times New Roman" w:cs="Times New Roman"/>
          <w:sz w:val="24"/>
          <w:szCs w:val="24"/>
          <w:lang w:val="en-US"/>
        </w:rPr>
        <w:t>january</w:t>
      </w:r>
      <w:proofErr w:type="spellEnd"/>
      <w:r w:rsidRPr="00084CD2">
        <w:rPr>
          <w:rFonts w:ascii="Times New Roman" w:hAnsi="Times New Roman" w:cs="Times New Roman"/>
          <w:sz w:val="24"/>
          <w:szCs w:val="24"/>
          <w:lang w:val="en-US"/>
        </w:rPr>
        <w:t xml:space="preserve"> 2023 to </w:t>
      </w:r>
      <w:proofErr w:type="spellStart"/>
      <w:r w:rsidRPr="00084CD2">
        <w:rPr>
          <w:rFonts w:ascii="Times New Roman" w:hAnsi="Times New Roman" w:cs="Times New Roman"/>
          <w:sz w:val="24"/>
          <w:szCs w:val="24"/>
          <w:lang w:val="en-US"/>
        </w:rPr>
        <w:t>december</w:t>
      </w:r>
      <w:proofErr w:type="spellEnd"/>
      <w:r w:rsidRPr="00084CD2">
        <w:rPr>
          <w:rFonts w:ascii="Times New Roman" w:hAnsi="Times New Roman" w:cs="Times New Roman"/>
          <w:sz w:val="24"/>
          <w:szCs w:val="24"/>
          <w:lang w:val="en-US"/>
        </w:rPr>
        <w:t xml:space="preserve"> 2025, as well as the Akaike Information Criterion (AIC) and Schwarz Bayesian Criterion (SBC). </w:t>
      </w:r>
      <w:r w:rsidR="00A97D94" w:rsidRPr="00084CD2">
        <w:rPr>
          <w:rFonts w:ascii="Times New Roman" w:hAnsi="Times New Roman" w:cs="Times New Roman"/>
          <w:sz w:val="24"/>
          <w:szCs w:val="24"/>
          <w:lang w:val="en"/>
        </w:rPr>
        <w:t>In the results, the SARIMA (2,1,</w:t>
      </w:r>
      <w:proofErr w:type="gramStart"/>
      <w:r w:rsidR="00A97D94" w:rsidRPr="00084CD2">
        <w:rPr>
          <w:rFonts w:ascii="Times New Roman" w:hAnsi="Times New Roman" w:cs="Times New Roman"/>
          <w:sz w:val="24"/>
          <w:szCs w:val="24"/>
          <w:lang w:val="en"/>
        </w:rPr>
        <w:t>0)(</w:t>
      </w:r>
      <w:proofErr w:type="gramEnd"/>
      <w:r w:rsidR="00A97D94" w:rsidRPr="00084CD2">
        <w:rPr>
          <w:rFonts w:ascii="Times New Roman" w:hAnsi="Times New Roman" w:cs="Times New Roman"/>
          <w:sz w:val="24"/>
          <w:szCs w:val="24"/>
          <w:lang w:val="en"/>
        </w:rPr>
        <w:t>0,1,1)[12] model showed a lower RECM, statistically significant coefficients and lower AIC and SBC values, surpassing the UCM model</w:t>
      </w:r>
      <w:r w:rsidRPr="00084CD2">
        <w:rPr>
          <w:rFonts w:ascii="Times New Roman" w:hAnsi="Times New Roman" w:cs="Times New Roman"/>
          <w:sz w:val="24"/>
          <w:szCs w:val="24"/>
          <w:lang w:val="en-US"/>
        </w:rPr>
        <w:t xml:space="preserve">. The analysis is limited to a specific time series of the Mexican INPC; therefore, caution should be exercised when extending the results to other contexts. The sensitivity of UCM to structural changes suggests potential advantages in scenarios with elevated volatility. </w:t>
      </w:r>
      <w:r w:rsidR="004D357F" w:rsidRPr="00084CD2">
        <w:rPr>
          <w:rFonts w:ascii="Times New Roman" w:hAnsi="Times New Roman" w:cs="Times New Roman"/>
          <w:sz w:val="24"/>
          <w:szCs w:val="24"/>
          <w:lang w:val="en"/>
        </w:rPr>
        <w:t>In conclusion, the SARIMA model demonstrated better predictive capacity and goodness of fit compared to the UCM model, suggesting that it is an effective tool for prospective analysis of inflationary behavior in Mexico and for decision-making in public policies.</w:t>
      </w:r>
    </w:p>
    <w:p w14:paraId="6F4D1918" w14:textId="1C054F57" w:rsidR="006D63B1" w:rsidRPr="00084CD2" w:rsidRDefault="006D63B1" w:rsidP="00A97D94">
      <w:pPr>
        <w:spacing w:line="360" w:lineRule="auto"/>
        <w:contextualSpacing/>
        <w:jc w:val="both"/>
        <w:rPr>
          <w:rFonts w:ascii="Times New Roman" w:hAnsi="Times New Roman" w:cs="Times New Roman"/>
          <w:sz w:val="24"/>
          <w:szCs w:val="24"/>
          <w:lang w:val="en-US"/>
        </w:rPr>
      </w:pPr>
      <w:r w:rsidRPr="00172A5A">
        <w:rPr>
          <w:rFonts w:cstheme="minorHAnsi"/>
          <w:b/>
          <w:sz w:val="28"/>
          <w:szCs w:val="28"/>
          <w:lang w:val="en-US"/>
        </w:rPr>
        <w:t>Keywords:</w:t>
      </w:r>
      <w:r w:rsidRPr="00084CD2">
        <w:rPr>
          <w:rFonts w:ascii="Times New Roman" w:hAnsi="Times New Roman" w:cs="Times New Roman"/>
          <w:sz w:val="24"/>
          <w:szCs w:val="24"/>
          <w:lang w:val="en-US"/>
        </w:rPr>
        <w:t xml:space="preserve"> Box-Jenkins SARIMA, economics, inflation, time series</w:t>
      </w:r>
      <w:r w:rsidR="00B95829" w:rsidRPr="00084CD2">
        <w:rPr>
          <w:rFonts w:ascii="Times New Roman" w:hAnsi="Times New Roman" w:cs="Times New Roman"/>
          <w:sz w:val="24"/>
          <w:szCs w:val="24"/>
          <w:lang w:val="en-US"/>
        </w:rPr>
        <w:t xml:space="preserve"> models</w:t>
      </w:r>
      <w:r w:rsidRPr="00084CD2">
        <w:rPr>
          <w:rFonts w:ascii="Times New Roman" w:hAnsi="Times New Roman" w:cs="Times New Roman"/>
          <w:sz w:val="24"/>
          <w:szCs w:val="24"/>
          <w:lang w:val="en-US"/>
        </w:rPr>
        <w:t>.</w:t>
      </w:r>
    </w:p>
    <w:p w14:paraId="3C856419" w14:textId="77777777" w:rsidR="00084CD2" w:rsidRDefault="00084CD2" w:rsidP="00A97D94">
      <w:pPr>
        <w:spacing w:line="360" w:lineRule="auto"/>
        <w:contextualSpacing/>
        <w:jc w:val="both"/>
        <w:rPr>
          <w:rFonts w:ascii="Times New Roman" w:hAnsi="Times New Roman" w:cs="Times New Roman"/>
          <w:sz w:val="24"/>
          <w:szCs w:val="24"/>
          <w:lang w:val="en-US"/>
        </w:rPr>
      </w:pPr>
    </w:p>
    <w:p w14:paraId="609BF305" w14:textId="77777777" w:rsidR="00172A5A" w:rsidRDefault="00172A5A" w:rsidP="00A97D94">
      <w:pPr>
        <w:spacing w:line="360" w:lineRule="auto"/>
        <w:contextualSpacing/>
        <w:jc w:val="both"/>
        <w:rPr>
          <w:rFonts w:ascii="Times New Roman" w:hAnsi="Times New Roman" w:cs="Times New Roman"/>
          <w:sz w:val="24"/>
          <w:szCs w:val="24"/>
          <w:lang w:val="en-US"/>
        </w:rPr>
      </w:pPr>
    </w:p>
    <w:p w14:paraId="3F0CAE8A" w14:textId="77777777" w:rsidR="00172A5A" w:rsidRDefault="00172A5A" w:rsidP="00A97D94">
      <w:pPr>
        <w:spacing w:line="360" w:lineRule="auto"/>
        <w:contextualSpacing/>
        <w:jc w:val="both"/>
        <w:rPr>
          <w:rFonts w:ascii="Times New Roman" w:hAnsi="Times New Roman" w:cs="Times New Roman"/>
          <w:sz w:val="24"/>
          <w:szCs w:val="24"/>
          <w:lang w:val="en-US"/>
        </w:rPr>
      </w:pPr>
    </w:p>
    <w:p w14:paraId="1D4E083B" w14:textId="77777777" w:rsidR="00172A5A" w:rsidRDefault="00172A5A" w:rsidP="00A97D94">
      <w:pPr>
        <w:spacing w:line="360" w:lineRule="auto"/>
        <w:contextualSpacing/>
        <w:jc w:val="both"/>
        <w:rPr>
          <w:rFonts w:ascii="Times New Roman" w:hAnsi="Times New Roman" w:cs="Times New Roman"/>
          <w:sz w:val="24"/>
          <w:szCs w:val="24"/>
          <w:lang w:val="en-US"/>
        </w:rPr>
      </w:pPr>
    </w:p>
    <w:p w14:paraId="3B93FBD7" w14:textId="77777777" w:rsidR="00172A5A" w:rsidRPr="00084CD2" w:rsidRDefault="00172A5A" w:rsidP="00A97D94">
      <w:pPr>
        <w:spacing w:line="360" w:lineRule="auto"/>
        <w:contextualSpacing/>
        <w:jc w:val="both"/>
        <w:rPr>
          <w:rFonts w:ascii="Times New Roman" w:hAnsi="Times New Roman" w:cs="Times New Roman"/>
          <w:sz w:val="24"/>
          <w:szCs w:val="24"/>
          <w:lang w:val="en-US"/>
        </w:rPr>
      </w:pPr>
    </w:p>
    <w:p w14:paraId="03F4D8CA" w14:textId="0C92B5C5" w:rsidR="00084CD2" w:rsidRPr="00084CD2" w:rsidRDefault="00084CD2" w:rsidP="00A97D94">
      <w:pPr>
        <w:spacing w:line="360" w:lineRule="auto"/>
        <w:contextualSpacing/>
        <w:jc w:val="both"/>
        <w:rPr>
          <w:rFonts w:cstheme="minorHAnsi"/>
          <w:b/>
          <w:sz w:val="28"/>
          <w:szCs w:val="28"/>
        </w:rPr>
      </w:pPr>
      <w:r w:rsidRPr="00084CD2">
        <w:rPr>
          <w:rFonts w:cstheme="minorHAnsi"/>
          <w:b/>
          <w:sz w:val="28"/>
          <w:szCs w:val="28"/>
        </w:rPr>
        <w:lastRenderedPageBreak/>
        <w:t>Resumo</w:t>
      </w:r>
    </w:p>
    <w:p w14:paraId="60D06E14" w14:textId="40EDB018" w:rsidR="00084CD2" w:rsidRPr="00084CD2" w:rsidRDefault="00084CD2" w:rsidP="00084CD2">
      <w:pPr>
        <w:spacing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Os </w:t>
      </w:r>
      <w:proofErr w:type="spellStart"/>
      <w:r w:rsidRPr="00084CD2">
        <w:rPr>
          <w:rFonts w:ascii="Times New Roman" w:hAnsi="Times New Roman" w:cs="Times New Roman"/>
          <w:sz w:val="24"/>
          <w:szCs w:val="24"/>
        </w:rPr>
        <w:t>preços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ao</w:t>
      </w:r>
      <w:proofErr w:type="spellEnd"/>
      <w:r w:rsidRPr="00084CD2">
        <w:rPr>
          <w:rFonts w:ascii="Times New Roman" w:hAnsi="Times New Roman" w:cs="Times New Roman"/>
          <w:sz w:val="24"/>
          <w:szCs w:val="24"/>
        </w:rPr>
        <w:t xml:space="preserve"> consumidor </w:t>
      </w:r>
      <w:proofErr w:type="spellStart"/>
      <w:r w:rsidRPr="00084CD2">
        <w:rPr>
          <w:rFonts w:ascii="Times New Roman" w:hAnsi="Times New Roman" w:cs="Times New Roman"/>
          <w:sz w:val="24"/>
          <w:szCs w:val="24"/>
        </w:rPr>
        <w:t>são</w:t>
      </w:r>
      <w:proofErr w:type="spellEnd"/>
      <w:r w:rsidRPr="00084CD2">
        <w:rPr>
          <w:rFonts w:ascii="Times New Roman" w:hAnsi="Times New Roman" w:cs="Times New Roman"/>
          <w:sz w:val="24"/>
          <w:szCs w:val="24"/>
        </w:rPr>
        <w:t xml:space="preserve"> o indicador fundamental para medir as </w:t>
      </w:r>
      <w:proofErr w:type="spellStart"/>
      <w:r w:rsidRPr="00084CD2">
        <w:rPr>
          <w:rFonts w:ascii="Times New Roman" w:hAnsi="Times New Roman" w:cs="Times New Roman"/>
          <w:sz w:val="24"/>
          <w:szCs w:val="24"/>
        </w:rPr>
        <w:t>variações</w:t>
      </w:r>
      <w:proofErr w:type="spellEnd"/>
      <w:r w:rsidRPr="00084CD2">
        <w:rPr>
          <w:rFonts w:ascii="Times New Roman" w:hAnsi="Times New Roman" w:cs="Times New Roman"/>
          <w:sz w:val="24"/>
          <w:szCs w:val="24"/>
        </w:rPr>
        <w:t xml:space="preserve"> no </w:t>
      </w:r>
      <w:proofErr w:type="spellStart"/>
      <w:r w:rsidRPr="00084CD2">
        <w:rPr>
          <w:rFonts w:ascii="Times New Roman" w:hAnsi="Times New Roman" w:cs="Times New Roman"/>
          <w:sz w:val="24"/>
          <w:szCs w:val="24"/>
        </w:rPr>
        <w:t>custo</w:t>
      </w:r>
      <w:proofErr w:type="spellEnd"/>
      <w:r w:rsidRPr="00084CD2">
        <w:rPr>
          <w:rFonts w:ascii="Times New Roman" w:hAnsi="Times New Roman" w:cs="Times New Roman"/>
          <w:sz w:val="24"/>
          <w:szCs w:val="24"/>
        </w:rPr>
        <w:t xml:space="preserve"> de </w:t>
      </w:r>
      <w:proofErr w:type="spellStart"/>
      <w:r w:rsidRPr="00084CD2">
        <w:rPr>
          <w:rFonts w:ascii="Times New Roman" w:hAnsi="Times New Roman" w:cs="Times New Roman"/>
          <w:sz w:val="24"/>
          <w:szCs w:val="24"/>
        </w:rPr>
        <w:t>uma</w:t>
      </w:r>
      <w:proofErr w:type="spellEnd"/>
      <w:r w:rsidRPr="00084CD2">
        <w:rPr>
          <w:rFonts w:ascii="Times New Roman" w:hAnsi="Times New Roman" w:cs="Times New Roman"/>
          <w:sz w:val="24"/>
          <w:szCs w:val="24"/>
        </w:rPr>
        <w:t xml:space="preserve"> cesta representativa de </w:t>
      </w:r>
      <w:proofErr w:type="spellStart"/>
      <w:r w:rsidRPr="00084CD2">
        <w:rPr>
          <w:rFonts w:ascii="Times New Roman" w:hAnsi="Times New Roman" w:cs="Times New Roman"/>
          <w:sz w:val="24"/>
          <w:szCs w:val="24"/>
        </w:rPr>
        <w:t>bens</w:t>
      </w:r>
      <w:proofErr w:type="spellEnd"/>
      <w:r w:rsidRPr="00084CD2">
        <w:rPr>
          <w:rFonts w:ascii="Times New Roman" w:hAnsi="Times New Roman" w:cs="Times New Roman"/>
          <w:sz w:val="24"/>
          <w:szCs w:val="24"/>
        </w:rPr>
        <w:t xml:space="preserve"> e </w:t>
      </w:r>
      <w:proofErr w:type="spellStart"/>
      <w:r w:rsidRPr="00084CD2">
        <w:rPr>
          <w:rFonts w:ascii="Times New Roman" w:hAnsi="Times New Roman" w:cs="Times New Roman"/>
          <w:sz w:val="24"/>
          <w:szCs w:val="24"/>
        </w:rPr>
        <w:t>serviços</w:t>
      </w:r>
      <w:proofErr w:type="spellEnd"/>
      <w:r w:rsidRPr="00084CD2">
        <w:rPr>
          <w:rFonts w:ascii="Times New Roman" w:hAnsi="Times New Roman" w:cs="Times New Roman"/>
          <w:sz w:val="24"/>
          <w:szCs w:val="24"/>
        </w:rPr>
        <w:t xml:space="preserve">, ponderada de </w:t>
      </w:r>
      <w:proofErr w:type="spellStart"/>
      <w:r w:rsidRPr="00084CD2">
        <w:rPr>
          <w:rFonts w:ascii="Times New Roman" w:hAnsi="Times New Roman" w:cs="Times New Roman"/>
          <w:sz w:val="24"/>
          <w:szCs w:val="24"/>
        </w:rPr>
        <w:t>acordo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com</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sua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importância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econômica</w:t>
      </w:r>
      <w:proofErr w:type="spellEnd"/>
      <w:r w:rsidRPr="00084CD2">
        <w:rPr>
          <w:rFonts w:ascii="Times New Roman" w:hAnsi="Times New Roman" w:cs="Times New Roman"/>
          <w:sz w:val="24"/>
          <w:szCs w:val="24"/>
        </w:rPr>
        <w:t xml:space="preserve">, e </w:t>
      </w:r>
      <w:proofErr w:type="spellStart"/>
      <w:r w:rsidRPr="00084CD2">
        <w:rPr>
          <w:rFonts w:ascii="Times New Roman" w:hAnsi="Times New Roman" w:cs="Times New Roman"/>
          <w:sz w:val="24"/>
          <w:szCs w:val="24"/>
        </w:rPr>
        <w:t>são</w:t>
      </w:r>
      <w:proofErr w:type="spellEnd"/>
      <w:r w:rsidRPr="00084CD2">
        <w:rPr>
          <w:rFonts w:ascii="Times New Roman" w:hAnsi="Times New Roman" w:cs="Times New Roman"/>
          <w:sz w:val="24"/>
          <w:szCs w:val="24"/>
        </w:rPr>
        <w:t xml:space="preserve"> utilizados como principal </w:t>
      </w:r>
      <w:proofErr w:type="spellStart"/>
      <w:r w:rsidRPr="00084CD2">
        <w:rPr>
          <w:rFonts w:ascii="Times New Roman" w:hAnsi="Times New Roman" w:cs="Times New Roman"/>
          <w:sz w:val="24"/>
          <w:szCs w:val="24"/>
        </w:rPr>
        <w:t>referência</w:t>
      </w:r>
      <w:proofErr w:type="spellEnd"/>
      <w:r w:rsidRPr="00084CD2">
        <w:rPr>
          <w:rFonts w:ascii="Times New Roman" w:hAnsi="Times New Roman" w:cs="Times New Roman"/>
          <w:sz w:val="24"/>
          <w:szCs w:val="24"/>
        </w:rPr>
        <w:t xml:space="preserve"> para estimar a </w:t>
      </w:r>
      <w:proofErr w:type="spellStart"/>
      <w:r w:rsidRPr="00084CD2">
        <w:rPr>
          <w:rFonts w:ascii="Times New Roman" w:hAnsi="Times New Roman" w:cs="Times New Roman"/>
          <w:sz w:val="24"/>
          <w:szCs w:val="24"/>
        </w:rPr>
        <w:t>inflação</w:t>
      </w:r>
      <w:proofErr w:type="spellEnd"/>
      <w:r w:rsidRPr="00084CD2">
        <w:rPr>
          <w:rFonts w:ascii="Times New Roman" w:hAnsi="Times New Roman" w:cs="Times New Roman"/>
          <w:sz w:val="24"/>
          <w:szCs w:val="24"/>
        </w:rPr>
        <w:t xml:space="preserve">. Esta pesquisa teve como objetivo prever o Índice Nacional de </w:t>
      </w:r>
      <w:proofErr w:type="spellStart"/>
      <w:r w:rsidRPr="00084CD2">
        <w:rPr>
          <w:rFonts w:ascii="Times New Roman" w:hAnsi="Times New Roman" w:cs="Times New Roman"/>
          <w:sz w:val="24"/>
          <w:szCs w:val="24"/>
        </w:rPr>
        <w:t>Preços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ao</w:t>
      </w:r>
      <w:proofErr w:type="spellEnd"/>
      <w:r w:rsidRPr="00084CD2">
        <w:rPr>
          <w:rFonts w:ascii="Times New Roman" w:hAnsi="Times New Roman" w:cs="Times New Roman"/>
          <w:sz w:val="24"/>
          <w:szCs w:val="24"/>
        </w:rPr>
        <w:t xml:space="preserve"> Consumidor (INPC) utilizando </w:t>
      </w:r>
      <w:proofErr w:type="spellStart"/>
      <w:r w:rsidRPr="00084CD2">
        <w:rPr>
          <w:rFonts w:ascii="Times New Roman" w:hAnsi="Times New Roman" w:cs="Times New Roman"/>
          <w:sz w:val="24"/>
          <w:szCs w:val="24"/>
        </w:rPr>
        <w:t>duas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abordagens</w:t>
      </w:r>
      <w:proofErr w:type="spellEnd"/>
      <w:r w:rsidRPr="00084CD2">
        <w:rPr>
          <w:rFonts w:ascii="Times New Roman" w:hAnsi="Times New Roman" w:cs="Times New Roman"/>
          <w:sz w:val="24"/>
          <w:szCs w:val="24"/>
        </w:rPr>
        <w:t xml:space="preserve"> de </w:t>
      </w:r>
      <w:proofErr w:type="spellStart"/>
      <w:r w:rsidRPr="00084CD2">
        <w:rPr>
          <w:rFonts w:ascii="Times New Roman" w:hAnsi="Times New Roman" w:cs="Times New Roman"/>
          <w:sz w:val="24"/>
          <w:szCs w:val="24"/>
        </w:rPr>
        <w:t>séries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temporais</w:t>
      </w:r>
      <w:proofErr w:type="spellEnd"/>
      <w:r w:rsidRPr="00084CD2">
        <w:rPr>
          <w:rFonts w:ascii="Times New Roman" w:hAnsi="Times New Roman" w:cs="Times New Roman"/>
          <w:sz w:val="24"/>
          <w:szCs w:val="24"/>
        </w:rPr>
        <w:t xml:space="preserve">: componentes </w:t>
      </w:r>
      <w:proofErr w:type="spellStart"/>
      <w:r w:rsidRPr="00084CD2">
        <w:rPr>
          <w:rFonts w:ascii="Times New Roman" w:hAnsi="Times New Roman" w:cs="Times New Roman"/>
          <w:sz w:val="24"/>
          <w:szCs w:val="24"/>
        </w:rPr>
        <w:t>não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observáveis</w:t>
      </w:r>
      <w:proofErr w:type="spellEnd"/>
      <w:r w:rsidRPr="00084CD2">
        <w:rPr>
          <w:rFonts w:ascii="Times New Roman" w:hAnsi="Times New Roman" w:cs="Times New Roman"/>
          <w:sz w:val="24"/>
          <w:szCs w:val="24"/>
        </w:rPr>
        <w:t xml:space="preserve"> ​​(UCM) e o modelo </w:t>
      </w:r>
      <w:proofErr w:type="spellStart"/>
      <w:r w:rsidRPr="00084CD2">
        <w:rPr>
          <w:rFonts w:ascii="Times New Roman" w:hAnsi="Times New Roman" w:cs="Times New Roman"/>
          <w:sz w:val="24"/>
          <w:szCs w:val="24"/>
        </w:rPr>
        <w:t>autorregressivo</w:t>
      </w:r>
      <w:proofErr w:type="spellEnd"/>
      <w:r w:rsidRPr="00084CD2">
        <w:rPr>
          <w:rFonts w:ascii="Times New Roman" w:hAnsi="Times New Roman" w:cs="Times New Roman"/>
          <w:sz w:val="24"/>
          <w:szCs w:val="24"/>
        </w:rPr>
        <w:t xml:space="preserve"> integrado de </w:t>
      </w:r>
      <w:proofErr w:type="spellStart"/>
      <w:r w:rsidRPr="00084CD2">
        <w:rPr>
          <w:rFonts w:ascii="Times New Roman" w:hAnsi="Times New Roman" w:cs="Times New Roman"/>
          <w:sz w:val="24"/>
          <w:szCs w:val="24"/>
        </w:rPr>
        <w:t>médias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móveis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sazonais</w:t>
      </w:r>
      <w:proofErr w:type="spellEnd"/>
      <w:r w:rsidRPr="00084CD2">
        <w:rPr>
          <w:rFonts w:ascii="Times New Roman" w:hAnsi="Times New Roman" w:cs="Times New Roman"/>
          <w:sz w:val="24"/>
          <w:szCs w:val="24"/>
        </w:rPr>
        <w:t xml:space="preserve"> (SARIMA), para comparar </w:t>
      </w:r>
      <w:proofErr w:type="spellStart"/>
      <w:r w:rsidRPr="00084CD2">
        <w:rPr>
          <w:rFonts w:ascii="Times New Roman" w:hAnsi="Times New Roman" w:cs="Times New Roman"/>
          <w:sz w:val="24"/>
          <w:szCs w:val="24"/>
        </w:rPr>
        <w:t>seu</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desempenho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Foi</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empregada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uma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metodologia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quantitativa</w:t>
      </w:r>
      <w:proofErr w:type="spellEnd"/>
      <w:r w:rsidRPr="00084CD2">
        <w:rPr>
          <w:rFonts w:ascii="Times New Roman" w:hAnsi="Times New Roman" w:cs="Times New Roman"/>
          <w:sz w:val="24"/>
          <w:szCs w:val="24"/>
        </w:rPr>
        <w:t xml:space="preserve"> de </w:t>
      </w:r>
      <w:proofErr w:type="spellStart"/>
      <w:r w:rsidRPr="00084CD2">
        <w:rPr>
          <w:rFonts w:ascii="Times New Roman" w:hAnsi="Times New Roman" w:cs="Times New Roman"/>
          <w:sz w:val="24"/>
          <w:szCs w:val="24"/>
        </w:rPr>
        <w:t>natureza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descritiva</w:t>
      </w:r>
      <w:proofErr w:type="spellEnd"/>
      <w:r w:rsidRPr="00084CD2">
        <w:rPr>
          <w:rFonts w:ascii="Times New Roman" w:hAnsi="Times New Roman" w:cs="Times New Roman"/>
          <w:sz w:val="24"/>
          <w:szCs w:val="24"/>
        </w:rPr>
        <w:t xml:space="preserve"> e explicativa, utilizando 288 </w:t>
      </w:r>
      <w:proofErr w:type="spellStart"/>
      <w:r w:rsidRPr="00084CD2">
        <w:rPr>
          <w:rFonts w:ascii="Times New Roman" w:hAnsi="Times New Roman" w:cs="Times New Roman"/>
          <w:sz w:val="24"/>
          <w:szCs w:val="24"/>
        </w:rPr>
        <w:t>observações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mensais</w:t>
      </w:r>
      <w:proofErr w:type="spellEnd"/>
      <w:r w:rsidRPr="00084CD2">
        <w:rPr>
          <w:rFonts w:ascii="Times New Roman" w:hAnsi="Times New Roman" w:cs="Times New Roman"/>
          <w:sz w:val="24"/>
          <w:szCs w:val="24"/>
        </w:rPr>
        <w:t xml:space="preserve"> de janeiro de 2023 a </w:t>
      </w:r>
      <w:proofErr w:type="spellStart"/>
      <w:r w:rsidRPr="00084CD2">
        <w:rPr>
          <w:rFonts w:ascii="Times New Roman" w:hAnsi="Times New Roman" w:cs="Times New Roman"/>
          <w:sz w:val="24"/>
          <w:szCs w:val="24"/>
        </w:rPr>
        <w:t>dezembro</w:t>
      </w:r>
      <w:proofErr w:type="spellEnd"/>
      <w:r w:rsidRPr="00084CD2">
        <w:rPr>
          <w:rFonts w:ascii="Times New Roman" w:hAnsi="Times New Roman" w:cs="Times New Roman"/>
          <w:sz w:val="24"/>
          <w:szCs w:val="24"/>
        </w:rPr>
        <w:t xml:space="preserve"> de 2025. Ambos os modelos </w:t>
      </w:r>
      <w:proofErr w:type="spellStart"/>
      <w:r w:rsidRPr="00084CD2">
        <w:rPr>
          <w:rFonts w:ascii="Times New Roman" w:hAnsi="Times New Roman" w:cs="Times New Roman"/>
          <w:sz w:val="24"/>
          <w:szCs w:val="24"/>
        </w:rPr>
        <w:t>foram</w:t>
      </w:r>
      <w:proofErr w:type="spellEnd"/>
      <w:r w:rsidRPr="00084CD2">
        <w:rPr>
          <w:rFonts w:ascii="Times New Roman" w:hAnsi="Times New Roman" w:cs="Times New Roman"/>
          <w:sz w:val="24"/>
          <w:szCs w:val="24"/>
        </w:rPr>
        <w:t xml:space="preserve"> ajustados utilizando o software </w:t>
      </w:r>
      <w:proofErr w:type="spellStart"/>
      <w:r w:rsidRPr="00084CD2">
        <w:rPr>
          <w:rFonts w:ascii="Times New Roman" w:hAnsi="Times New Roman" w:cs="Times New Roman"/>
          <w:sz w:val="24"/>
          <w:szCs w:val="24"/>
        </w:rPr>
        <w:t>estatístico</w:t>
      </w:r>
      <w:proofErr w:type="spellEnd"/>
      <w:r w:rsidRPr="00084CD2">
        <w:rPr>
          <w:rFonts w:ascii="Times New Roman" w:hAnsi="Times New Roman" w:cs="Times New Roman"/>
          <w:sz w:val="24"/>
          <w:szCs w:val="24"/>
        </w:rPr>
        <w:t xml:space="preserve"> SAS®, e </w:t>
      </w:r>
      <w:proofErr w:type="spellStart"/>
      <w:r w:rsidRPr="00084CD2">
        <w:rPr>
          <w:rFonts w:ascii="Times New Roman" w:hAnsi="Times New Roman" w:cs="Times New Roman"/>
          <w:sz w:val="24"/>
          <w:szCs w:val="24"/>
        </w:rPr>
        <w:t>seu</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desempenho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foi</w:t>
      </w:r>
      <w:proofErr w:type="spellEnd"/>
      <w:r w:rsidRPr="00084CD2">
        <w:rPr>
          <w:rFonts w:ascii="Times New Roman" w:hAnsi="Times New Roman" w:cs="Times New Roman"/>
          <w:sz w:val="24"/>
          <w:szCs w:val="24"/>
        </w:rPr>
        <w:t xml:space="preserve"> comparado </w:t>
      </w:r>
      <w:proofErr w:type="spellStart"/>
      <w:r w:rsidRPr="00084CD2">
        <w:rPr>
          <w:rFonts w:ascii="Times New Roman" w:hAnsi="Times New Roman" w:cs="Times New Roman"/>
          <w:sz w:val="24"/>
          <w:szCs w:val="24"/>
        </w:rPr>
        <w:t>com</w:t>
      </w:r>
      <w:proofErr w:type="spellEnd"/>
      <w:r w:rsidRPr="00084CD2">
        <w:rPr>
          <w:rFonts w:ascii="Times New Roman" w:hAnsi="Times New Roman" w:cs="Times New Roman"/>
          <w:sz w:val="24"/>
          <w:szCs w:val="24"/>
        </w:rPr>
        <w:t xml:space="preserve"> base no erro </w:t>
      </w:r>
      <w:proofErr w:type="spellStart"/>
      <w:r w:rsidRPr="00084CD2">
        <w:rPr>
          <w:rFonts w:ascii="Times New Roman" w:hAnsi="Times New Roman" w:cs="Times New Roman"/>
          <w:sz w:val="24"/>
          <w:szCs w:val="24"/>
        </w:rPr>
        <w:t>quadrático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médio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fora</w:t>
      </w:r>
      <w:proofErr w:type="spellEnd"/>
      <w:r w:rsidRPr="00084CD2">
        <w:rPr>
          <w:rFonts w:ascii="Times New Roman" w:hAnsi="Times New Roman" w:cs="Times New Roman"/>
          <w:sz w:val="24"/>
          <w:szCs w:val="24"/>
        </w:rPr>
        <w:t xml:space="preserve"> da </w:t>
      </w:r>
      <w:proofErr w:type="spellStart"/>
      <w:r w:rsidRPr="00084CD2">
        <w:rPr>
          <w:rFonts w:ascii="Times New Roman" w:hAnsi="Times New Roman" w:cs="Times New Roman"/>
          <w:sz w:val="24"/>
          <w:szCs w:val="24"/>
        </w:rPr>
        <w:t>amostra</w:t>
      </w:r>
      <w:proofErr w:type="spellEnd"/>
      <w:r w:rsidRPr="00084CD2">
        <w:rPr>
          <w:rFonts w:ascii="Times New Roman" w:hAnsi="Times New Roman" w:cs="Times New Roman"/>
          <w:sz w:val="24"/>
          <w:szCs w:val="24"/>
        </w:rPr>
        <w:t xml:space="preserve"> (RECM) (janeiro de 2023 a </w:t>
      </w:r>
      <w:proofErr w:type="spellStart"/>
      <w:r w:rsidRPr="00084CD2">
        <w:rPr>
          <w:rFonts w:ascii="Times New Roman" w:hAnsi="Times New Roman" w:cs="Times New Roman"/>
          <w:sz w:val="24"/>
          <w:szCs w:val="24"/>
        </w:rPr>
        <w:t>dezembro</w:t>
      </w:r>
      <w:proofErr w:type="spellEnd"/>
      <w:r w:rsidRPr="00084CD2">
        <w:rPr>
          <w:rFonts w:ascii="Times New Roman" w:hAnsi="Times New Roman" w:cs="Times New Roman"/>
          <w:sz w:val="24"/>
          <w:szCs w:val="24"/>
        </w:rPr>
        <w:t xml:space="preserve"> de 2025), </w:t>
      </w:r>
      <w:proofErr w:type="spellStart"/>
      <w:r w:rsidRPr="00084CD2">
        <w:rPr>
          <w:rFonts w:ascii="Times New Roman" w:hAnsi="Times New Roman" w:cs="Times New Roman"/>
          <w:sz w:val="24"/>
          <w:szCs w:val="24"/>
        </w:rPr>
        <w:t>bem</w:t>
      </w:r>
      <w:proofErr w:type="spellEnd"/>
      <w:r w:rsidRPr="00084CD2">
        <w:rPr>
          <w:rFonts w:ascii="Times New Roman" w:hAnsi="Times New Roman" w:cs="Times New Roman"/>
          <w:sz w:val="24"/>
          <w:szCs w:val="24"/>
        </w:rPr>
        <w:t xml:space="preserve"> como nos </w:t>
      </w:r>
      <w:proofErr w:type="spellStart"/>
      <w:r w:rsidRPr="00084CD2">
        <w:rPr>
          <w:rFonts w:ascii="Times New Roman" w:hAnsi="Times New Roman" w:cs="Times New Roman"/>
          <w:sz w:val="24"/>
          <w:szCs w:val="24"/>
        </w:rPr>
        <w:t>critérios</w:t>
      </w:r>
      <w:proofErr w:type="spellEnd"/>
      <w:r w:rsidRPr="00084CD2">
        <w:rPr>
          <w:rFonts w:ascii="Times New Roman" w:hAnsi="Times New Roman" w:cs="Times New Roman"/>
          <w:sz w:val="24"/>
          <w:szCs w:val="24"/>
        </w:rPr>
        <w:t xml:space="preserve"> de </w:t>
      </w:r>
      <w:proofErr w:type="spellStart"/>
      <w:r w:rsidRPr="00084CD2">
        <w:rPr>
          <w:rFonts w:ascii="Times New Roman" w:hAnsi="Times New Roman" w:cs="Times New Roman"/>
          <w:sz w:val="24"/>
          <w:szCs w:val="24"/>
        </w:rPr>
        <w:t>informação</w:t>
      </w:r>
      <w:proofErr w:type="spellEnd"/>
      <w:r w:rsidRPr="00084CD2">
        <w:rPr>
          <w:rFonts w:ascii="Times New Roman" w:hAnsi="Times New Roman" w:cs="Times New Roman"/>
          <w:sz w:val="24"/>
          <w:szCs w:val="24"/>
        </w:rPr>
        <w:t xml:space="preserve"> de Akaike (AIC) e de Schwarz (SBC). Nos resultados, o modelo SARIMA (2,1,</w:t>
      </w:r>
      <w:proofErr w:type="gramStart"/>
      <w:r w:rsidRPr="00084CD2">
        <w:rPr>
          <w:rFonts w:ascii="Times New Roman" w:hAnsi="Times New Roman" w:cs="Times New Roman"/>
          <w:sz w:val="24"/>
          <w:szCs w:val="24"/>
        </w:rPr>
        <w:t>0)(</w:t>
      </w:r>
      <w:proofErr w:type="gramEnd"/>
      <w:r w:rsidRPr="00084CD2">
        <w:rPr>
          <w:rFonts w:ascii="Times New Roman" w:hAnsi="Times New Roman" w:cs="Times New Roman"/>
          <w:sz w:val="24"/>
          <w:szCs w:val="24"/>
        </w:rPr>
        <w:t xml:space="preserve">0,1,1)[12] </w:t>
      </w:r>
      <w:proofErr w:type="spellStart"/>
      <w:r w:rsidRPr="00084CD2">
        <w:rPr>
          <w:rFonts w:ascii="Times New Roman" w:hAnsi="Times New Roman" w:cs="Times New Roman"/>
          <w:sz w:val="24"/>
          <w:szCs w:val="24"/>
        </w:rPr>
        <w:t>apresentou</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um</w:t>
      </w:r>
      <w:proofErr w:type="spellEnd"/>
      <w:r w:rsidRPr="00084CD2">
        <w:rPr>
          <w:rFonts w:ascii="Times New Roman" w:hAnsi="Times New Roman" w:cs="Times New Roman"/>
          <w:sz w:val="24"/>
          <w:szCs w:val="24"/>
        </w:rPr>
        <w:t xml:space="preserve"> RECM menor, coeficientes </w:t>
      </w:r>
      <w:proofErr w:type="spellStart"/>
      <w:r w:rsidRPr="00084CD2">
        <w:rPr>
          <w:rFonts w:ascii="Times New Roman" w:hAnsi="Times New Roman" w:cs="Times New Roman"/>
          <w:sz w:val="24"/>
          <w:szCs w:val="24"/>
        </w:rPr>
        <w:t>estatisticamente</w:t>
      </w:r>
      <w:proofErr w:type="spellEnd"/>
      <w:r w:rsidRPr="00084CD2">
        <w:rPr>
          <w:rFonts w:ascii="Times New Roman" w:hAnsi="Times New Roman" w:cs="Times New Roman"/>
          <w:sz w:val="24"/>
          <w:szCs w:val="24"/>
        </w:rPr>
        <w:t xml:space="preserve"> significativos e valores de AIC e SBC menores, superando o modelo UCM. A </w:t>
      </w:r>
      <w:proofErr w:type="spellStart"/>
      <w:r w:rsidRPr="00084CD2">
        <w:rPr>
          <w:rFonts w:ascii="Times New Roman" w:hAnsi="Times New Roman" w:cs="Times New Roman"/>
          <w:sz w:val="24"/>
          <w:szCs w:val="24"/>
        </w:rPr>
        <w:t>análise</w:t>
      </w:r>
      <w:proofErr w:type="spellEnd"/>
      <w:r w:rsidRPr="00084CD2">
        <w:rPr>
          <w:rFonts w:ascii="Times New Roman" w:hAnsi="Times New Roman" w:cs="Times New Roman"/>
          <w:sz w:val="24"/>
          <w:szCs w:val="24"/>
        </w:rPr>
        <w:t xml:space="preserve"> se limita a </w:t>
      </w:r>
      <w:proofErr w:type="spellStart"/>
      <w:r w:rsidRPr="00084CD2">
        <w:rPr>
          <w:rFonts w:ascii="Times New Roman" w:hAnsi="Times New Roman" w:cs="Times New Roman"/>
          <w:sz w:val="24"/>
          <w:szCs w:val="24"/>
        </w:rPr>
        <w:t>uma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série</w:t>
      </w:r>
      <w:proofErr w:type="spellEnd"/>
      <w:r w:rsidRPr="00084CD2">
        <w:rPr>
          <w:rFonts w:ascii="Times New Roman" w:hAnsi="Times New Roman" w:cs="Times New Roman"/>
          <w:sz w:val="24"/>
          <w:szCs w:val="24"/>
        </w:rPr>
        <w:t xml:space="preserve"> temporal específica do IPC mexicano, </w:t>
      </w:r>
      <w:proofErr w:type="spellStart"/>
      <w:r w:rsidRPr="00084CD2">
        <w:rPr>
          <w:rFonts w:ascii="Times New Roman" w:hAnsi="Times New Roman" w:cs="Times New Roman"/>
          <w:sz w:val="24"/>
          <w:szCs w:val="24"/>
        </w:rPr>
        <w:t>portanto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sua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aplicação</w:t>
      </w:r>
      <w:proofErr w:type="spellEnd"/>
      <w:r w:rsidRPr="00084CD2">
        <w:rPr>
          <w:rFonts w:ascii="Times New Roman" w:hAnsi="Times New Roman" w:cs="Times New Roman"/>
          <w:sz w:val="24"/>
          <w:szCs w:val="24"/>
        </w:rPr>
        <w:t xml:space="preserve"> a </w:t>
      </w:r>
      <w:proofErr w:type="spellStart"/>
      <w:r w:rsidRPr="00084CD2">
        <w:rPr>
          <w:rFonts w:ascii="Times New Roman" w:hAnsi="Times New Roman" w:cs="Times New Roman"/>
          <w:sz w:val="24"/>
          <w:szCs w:val="24"/>
        </w:rPr>
        <w:t>outros</w:t>
      </w:r>
      <w:proofErr w:type="spellEnd"/>
      <w:r w:rsidRPr="00084CD2">
        <w:rPr>
          <w:rFonts w:ascii="Times New Roman" w:hAnsi="Times New Roman" w:cs="Times New Roman"/>
          <w:sz w:val="24"/>
          <w:szCs w:val="24"/>
        </w:rPr>
        <w:t xml:space="preserve"> contextos </w:t>
      </w:r>
      <w:proofErr w:type="spellStart"/>
      <w:r w:rsidRPr="00084CD2">
        <w:rPr>
          <w:rFonts w:ascii="Times New Roman" w:hAnsi="Times New Roman" w:cs="Times New Roman"/>
          <w:sz w:val="24"/>
          <w:szCs w:val="24"/>
        </w:rPr>
        <w:t>requer</w:t>
      </w:r>
      <w:proofErr w:type="spellEnd"/>
      <w:r w:rsidRPr="00084CD2">
        <w:rPr>
          <w:rFonts w:ascii="Times New Roman" w:hAnsi="Times New Roman" w:cs="Times New Roman"/>
          <w:sz w:val="24"/>
          <w:szCs w:val="24"/>
        </w:rPr>
        <w:t xml:space="preserve"> cautela. A </w:t>
      </w:r>
      <w:proofErr w:type="spellStart"/>
      <w:r w:rsidRPr="00084CD2">
        <w:rPr>
          <w:rFonts w:ascii="Times New Roman" w:hAnsi="Times New Roman" w:cs="Times New Roman"/>
          <w:sz w:val="24"/>
          <w:szCs w:val="24"/>
        </w:rPr>
        <w:t>sensibilidade</w:t>
      </w:r>
      <w:proofErr w:type="spellEnd"/>
      <w:r w:rsidRPr="00084CD2">
        <w:rPr>
          <w:rFonts w:ascii="Times New Roman" w:hAnsi="Times New Roman" w:cs="Times New Roman"/>
          <w:sz w:val="24"/>
          <w:szCs w:val="24"/>
        </w:rPr>
        <w:t xml:space="preserve"> do UCM a </w:t>
      </w:r>
      <w:proofErr w:type="spellStart"/>
      <w:r w:rsidRPr="00084CD2">
        <w:rPr>
          <w:rFonts w:ascii="Times New Roman" w:hAnsi="Times New Roman" w:cs="Times New Roman"/>
          <w:sz w:val="24"/>
          <w:szCs w:val="24"/>
        </w:rPr>
        <w:t>mudanças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estruturais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oferece</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uma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vantagem</w:t>
      </w:r>
      <w:proofErr w:type="spellEnd"/>
      <w:r w:rsidRPr="00084CD2">
        <w:rPr>
          <w:rFonts w:ascii="Times New Roman" w:hAnsi="Times New Roman" w:cs="Times New Roman"/>
          <w:sz w:val="24"/>
          <w:szCs w:val="24"/>
        </w:rPr>
        <w:t xml:space="preserve"> em </w:t>
      </w:r>
      <w:proofErr w:type="spellStart"/>
      <w:r w:rsidRPr="00084CD2">
        <w:rPr>
          <w:rFonts w:ascii="Times New Roman" w:hAnsi="Times New Roman" w:cs="Times New Roman"/>
          <w:sz w:val="24"/>
          <w:szCs w:val="24"/>
        </w:rPr>
        <w:t>cenários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com</w:t>
      </w:r>
      <w:proofErr w:type="spellEnd"/>
      <w:r w:rsidRPr="00084CD2">
        <w:rPr>
          <w:rFonts w:ascii="Times New Roman" w:hAnsi="Times New Roman" w:cs="Times New Roman"/>
          <w:sz w:val="24"/>
          <w:szCs w:val="24"/>
        </w:rPr>
        <w:t xml:space="preserve"> alta </w:t>
      </w:r>
      <w:proofErr w:type="spellStart"/>
      <w:r w:rsidRPr="00084CD2">
        <w:rPr>
          <w:rFonts w:ascii="Times New Roman" w:hAnsi="Times New Roman" w:cs="Times New Roman"/>
          <w:sz w:val="24"/>
          <w:szCs w:val="24"/>
        </w:rPr>
        <w:t>volatilidade</w:t>
      </w:r>
      <w:proofErr w:type="spellEnd"/>
      <w:r w:rsidRPr="00084CD2">
        <w:rPr>
          <w:rFonts w:ascii="Times New Roman" w:hAnsi="Times New Roman" w:cs="Times New Roman"/>
          <w:sz w:val="24"/>
          <w:szCs w:val="24"/>
        </w:rPr>
        <w:t xml:space="preserve">. Em </w:t>
      </w:r>
      <w:proofErr w:type="spellStart"/>
      <w:r w:rsidRPr="00084CD2">
        <w:rPr>
          <w:rFonts w:ascii="Times New Roman" w:hAnsi="Times New Roman" w:cs="Times New Roman"/>
          <w:sz w:val="24"/>
          <w:szCs w:val="24"/>
        </w:rPr>
        <w:t>conclusão</w:t>
      </w:r>
      <w:proofErr w:type="spellEnd"/>
      <w:r w:rsidRPr="00084CD2">
        <w:rPr>
          <w:rFonts w:ascii="Times New Roman" w:hAnsi="Times New Roman" w:cs="Times New Roman"/>
          <w:sz w:val="24"/>
          <w:szCs w:val="24"/>
        </w:rPr>
        <w:t xml:space="preserve">, o modelo SARIMA </w:t>
      </w:r>
      <w:proofErr w:type="spellStart"/>
      <w:r w:rsidRPr="00084CD2">
        <w:rPr>
          <w:rFonts w:ascii="Times New Roman" w:hAnsi="Times New Roman" w:cs="Times New Roman"/>
          <w:sz w:val="24"/>
          <w:szCs w:val="24"/>
        </w:rPr>
        <w:t>demonstrou</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melhor</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capacidade</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preditiva</w:t>
      </w:r>
      <w:proofErr w:type="spellEnd"/>
      <w:r w:rsidRPr="00084CD2">
        <w:rPr>
          <w:rFonts w:ascii="Times New Roman" w:hAnsi="Times New Roman" w:cs="Times New Roman"/>
          <w:sz w:val="24"/>
          <w:szCs w:val="24"/>
        </w:rPr>
        <w:t xml:space="preserve"> e ajuste </w:t>
      </w:r>
      <w:proofErr w:type="spellStart"/>
      <w:r w:rsidRPr="00084CD2">
        <w:rPr>
          <w:rFonts w:ascii="Times New Roman" w:hAnsi="Times New Roman" w:cs="Times New Roman"/>
          <w:sz w:val="24"/>
          <w:szCs w:val="24"/>
        </w:rPr>
        <w:t>aos</w:t>
      </w:r>
      <w:proofErr w:type="spellEnd"/>
      <w:r w:rsidRPr="00084CD2">
        <w:rPr>
          <w:rFonts w:ascii="Times New Roman" w:hAnsi="Times New Roman" w:cs="Times New Roman"/>
          <w:sz w:val="24"/>
          <w:szCs w:val="24"/>
        </w:rPr>
        <w:t xml:space="preserve"> dados em </w:t>
      </w:r>
      <w:proofErr w:type="spellStart"/>
      <w:r w:rsidRPr="00084CD2">
        <w:rPr>
          <w:rFonts w:ascii="Times New Roman" w:hAnsi="Times New Roman" w:cs="Times New Roman"/>
          <w:sz w:val="24"/>
          <w:szCs w:val="24"/>
        </w:rPr>
        <w:t>comparação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ao</w:t>
      </w:r>
      <w:proofErr w:type="spellEnd"/>
      <w:r w:rsidRPr="00084CD2">
        <w:rPr>
          <w:rFonts w:ascii="Times New Roman" w:hAnsi="Times New Roman" w:cs="Times New Roman"/>
          <w:sz w:val="24"/>
          <w:szCs w:val="24"/>
        </w:rPr>
        <w:t xml:space="preserve"> modelo UCM, </w:t>
      </w:r>
      <w:proofErr w:type="spellStart"/>
      <w:r w:rsidRPr="00084CD2">
        <w:rPr>
          <w:rFonts w:ascii="Times New Roman" w:hAnsi="Times New Roman" w:cs="Times New Roman"/>
          <w:sz w:val="24"/>
          <w:szCs w:val="24"/>
        </w:rPr>
        <w:t>sugerindo</w:t>
      </w:r>
      <w:proofErr w:type="spellEnd"/>
      <w:r w:rsidRPr="00084CD2">
        <w:rPr>
          <w:rFonts w:ascii="Times New Roman" w:hAnsi="Times New Roman" w:cs="Times New Roman"/>
          <w:sz w:val="24"/>
          <w:szCs w:val="24"/>
        </w:rPr>
        <w:t xml:space="preserve"> que ele é </w:t>
      </w:r>
      <w:proofErr w:type="spellStart"/>
      <w:r w:rsidRPr="00084CD2">
        <w:rPr>
          <w:rFonts w:ascii="Times New Roman" w:hAnsi="Times New Roman" w:cs="Times New Roman"/>
          <w:sz w:val="24"/>
          <w:szCs w:val="24"/>
        </w:rPr>
        <w:t>uma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ferramenta</w:t>
      </w:r>
      <w:proofErr w:type="spellEnd"/>
      <w:r w:rsidRPr="00084CD2">
        <w:rPr>
          <w:rFonts w:ascii="Times New Roman" w:hAnsi="Times New Roman" w:cs="Times New Roman"/>
          <w:sz w:val="24"/>
          <w:szCs w:val="24"/>
        </w:rPr>
        <w:t xml:space="preserve"> eficaz para a </w:t>
      </w:r>
      <w:proofErr w:type="spellStart"/>
      <w:r w:rsidRPr="00084CD2">
        <w:rPr>
          <w:rFonts w:ascii="Times New Roman" w:hAnsi="Times New Roman" w:cs="Times New Roman"/>
          <w:sz w:val="24"/>
          <w:szCs w:val="24"/>
        </w:rPr>
        <w:t>análise</w:t>
      </w:r>
      <w:proofErr w:type="spellEnd"/>
      <w:r w:rsidRPr="00084CD2">
        <w:rPr>
          <w:rFonts w:ascii="Times New Roman" w:hAnsi="Times New Roman" w:cs="Times New Roman"/>
          <w:sz w:val="24"/>
          <w:szCs w:val="24"/>
        </w:rPr>
        <w:t xml:space="preserve"> prospectiva do </w:t>
      </w:r>
      <w:proofErr w:type="spellStart"/>
      <w:r w:rsidRPr="00084CD2">
        <w:rPr>
          <w:rFonts w:ascii="Times New Roman" w:hAnsi="Times New Roman" w:cs="Times New Roman"/>
          <w:sz w:val="24"/>
          <w:szCs w:val="24"/>
        </w:rPr>
        <w:t>comportamento</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inflacionário</w:t>
      </w:r>
      <w:proofErr w:type="spellEnd"/>
      <w:r w:rsidRPr="00084CD2">
        <w:rPr>
          <w:rFonts w:ascii="Times New Roman" w:hAnsi="Times New Roman" w:cs="Times New Roman"/>
          <w:sz w:val="24"/>
          <w:szCs w:val="24"/>
        </w:rPr>
        <w:t xml:space="preserve"> no México </w:t>
      </w:r>
      <w:proofErr w:type="gramStart"/>
      <w:r w:rsidRPr="00084CD2">
        <w:rPr>
          <w:rFonts w:ascii="Times New Roman" w:hAnsi="Times New Roman" w:cs="Times New Roman"/>
          <w:sz w:val="24"/>
          <w:szCs w:val="24"/>
        </w:rPr>
        <w:t>e</w:t>
      </w:r>
      <w:proofErr w:type="gramEnd"/>
      <w:r w:rsidRPr="00084CD2">
        <w:rPr>
          <w:rFonts w:ascii="Times New Roman" w:hAnsi="Times New Roman" w:cs="Times New Roman"/>
          <w:sz w:val="24"/>
          <w:szCs w:val="24"/>
        </w:rPr>
        <w:t xml:space="preserve"> para a tomada de </w:t>
      </w:r>
      <w:proofErr w:type="spellStart"/>
      <w:r w:rsidRPr="00084CD2">
        <w:rPr>
          <w:rFonts w:ascii="Times New Roman" w:hAnsi="Times New Roman" w:cs="Times New Roman"/>
          <w:sz w:val="24"/>
          <w:szCs w:val="24"/>
        </w:rPr>
        <w:t>decisões</w:t>
      </w:r>
      <w:proofErr w:type="spellEnd"/>
      <w:r w:rsidRPr="00084CD2">
        <w:rPr>
          <w:rFonts w:ascii="Times New Roman" w:hAnsi="Times New Roman" w:cs="Times New Roman"/>
          <w:sz w:val="24"/>
          <w:szCs w:val="24"/>
        </w:rPr>
        <w:t xml:space="preserve"> de políticas públicas.</w:t>
      </w:r>
    </w:p>
    <w:p w14:paraId="72B55EB5" w14:textId="371BCF55" w:rsidR="00084CD2" w:rsidRPr="00084CD2" w:rsidRDefault="00084CD2" w:rsidP="00084CD2">
      <w:pPr>
        <w:spacing w:line="360" w:lineRule="auto"/>
        <w:contextualSpacing/>
        <w:jc w:val="both"/>
        <w:rPr>
          <w:rFonts w:ascii="Times New Roman" w:hAnsi="Times New Roman" w:cs="Times New Roman"/>
          <w:sz w:val="24"/>
          <w:szCs w:val="24"/>
        </w:rPr>
      </w:pPr>
      <w:proofErr w:type="spellStart"/>
      <w:r w:rsidRPr="00084CD2">
        <w:rPr>
          <w:rFonts w:cstheme="minorHAnsi"/>
          <w:b/>
          <w:sz w:val="28"/>
          <w:szCs w:val="28"/>
        </w:rPr>
        <w:t>Palavras</w:t>
      </w:r>
      <w:proofErr w:type="spellEnd"/>
      <w:r w:rsidRPr="00084CD2">
        <w:rPr>
          <w:rFonts w:cstheme="minorHAnsi"/>
          <w:b/>
          <w:sz w:val="28"/>
          <w:szCs w:val="28"/>
        </w:rPr>
        <w:t>-chave:</w:t>
      </w:r>
      <w:r w:rsidRPr="00084CD2">
        <w:rPr>
          <w:rFonts w:ascii="Times New Roman" w:hAnsi="Times New Roman" w:cs="Times New Roman"/>
          <w:sz w:val="24"/>
          <w:szCs w:val="24"/>
        </w:rPr>
        <w:t xml:space="preserve"> Box-Jenkins SARIMA, </w:t>
      </w:r>
      <w:proofErr w:type="spellStart"/>
      <w:r w:rsidRPr="00084CD2">
        <w:rPr>
          <w:rFonts w:ascii="Times New Roman" w:hAnsi="Times New Roman" w:cs="Times New Roman"/>
          <w:sz w:val="24"/>
          <w:szCs w:val="24"/>
        </w:rPr>
        <w:t>economia</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inflação</w:t>
      </w:r>
      <w:proofErr w:type="spellEnd"/>
      <w:r w:rsidRPr="00084CD2">
        <w:rPr>
          <w:rFonts w:ascii="Times New Roman" w:hAnsi="Times New Roman" w:cs="Times New Roman"/>
          <w:sz w:val="24"/>
          <w:szCs w:val="24"/>
        </w:rPr>
        <w:t xml:space="preserve">, modelos de </w:t>
      </w:r>
      <w:proofErr w:type="spellStart"/>
      <w:r w:rsidRPr="00084CD2">
        <w:rPr>
          <w:rFonts w:ascii="Times New Roman" w:hAnsi="Times New Roman" w:cs="Times New Roman"/>
          <w:sz w:val="24"/>
          <w:szCs w:val="24"/>
        </w:rPr>
        <w:t>séries</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temporais</w:t>
      </w:r>
      <w:proofErr w:type="spellEnd"/>
      <w:r w:rsidRPr="00084CD2">
        <w:rPr>
          <w:rFonts w:ascii="Times New Roman" w:hAnsi="Times New Roman" w:cs="Times New Roman"/>
          <w:sz w:val="24"/>
          <w:szCs w:val="24"/>
        </w:rPr>
        <w:t>.</w:t>
      </w:r>
    </w:p>
    <w:p w14:paraId="60B4173B" w14:textId="1C3B288C" w:rsidR="00084CD2" w:rsidRPr="00084CD2" w:rsidRDefault="00084CD2" w:rsidP="00084CD2">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084CD2">
        <w:rPr>
          <w:rFonts w:ascii="Times New Roman" w:eastAsiaTheme="minorEastAsia" w:hAnsi="Times New Roman" w:cs="Consolas"/>
          <w:b/>
          <w:color w:val="000000"/>
          <w:sz w:val="24"/>
          <w:szCs w:val="20"/>
          <w:lang w:val="es-ES" w:eastAsia="es-ES"/>
        </w:rPr>
        <w:t xml:space="preserve">Fecha Recepción: </w:t>
      </w:r>
      <w:proofErr w:type="gramStart"/>
      <w:r w:rsidRPr="00084CD2">
        <w:rPr>
          <w:rFonts w:ascii="Times New Roman" w:eastAsiaTheme="minorEastAsia" w:hAnsi="Times New Roman" w:cs="Consolas"/>
          <w:color w:val="000000"/>
          <w:sz w:val="24"/>
          <w:szCs w:val="20"/>
          <w:lang w:val="es-ES" w:eastAsia="es-ES"/>
        </w:rPr>
        <w:t>Enero</w:t>
      </w:r>
      <w:proofErr w:type="gramEnd"/>
      <w:r w:rsidRPr="00084CD2">
        <w:rPr>
          <w:rFonts w:ascii="Times New Roman" w:eastAsiaTheme="minorEastAsia" w:hAnsi="Times New Roman" w:cs="Consolas"/>
          <w:color w:val="000000"/>
          <w:sz w:val="24"/>
          <w:szCs w:val="20"/>
          <w:lang w:val="es-ES" w:eastAsia="es-ES"/>
        </w:rPr>
        <w:t xml:space="preserve"> 2026                                              </w:t>
      </w:r>
      <w:r w:rsidRPr="00084CD2">
        <w:rPr>
          <w:rFonts w:ascii="Times New Roman" w:eastAsiaTheme="minorEastAsia" w:hAnsi="Times New Roman" w:cs="Consolas"/>
          <w:b/>
          <w:color w:val="000000"/>
          <w:sz w:val="24"/>
          <w:szCs w:val="20"/>
          <w:lang w:val="es-ES" w:eastAsia="es-ES"/>
        </w:rPr>
        <w:t xml:space="preserve">Fecha Aceptación: </w:t>
      </w:r>
      <w:r w:rsidRPr="00084CD2">
        <w:rPr>
          <w:rFonts w:ascii="Times New Roman" w:eastAsiaTheme="minorEastAsia" w:hAnsi="Times New Roman" w:cs="Consolas"/>
          <w:color w:val="000000"/>
          <w:sz w:val="24"/>
          <w:szCs w:val="20"/>
          <w:lang w:val="es-ES" w:eastAsia="es-ES"/>
        </w:rPr>
        <w:t>Mayo 2026</w:t>
      </w:r>
    </w:p>
    <w:p w14:paraId="77EC2F09" w14:textId="77777777" w:rsidR="00084CD2" w:rsidRPr="00084CD2" w:rsidRDefault="00172A5A" w:rsidP="00084CD2">
      <w:pPr>
        <w:spacing w:after="0" w:line="360" w:lineRule="auto"/>
        <w:jc w:val="both"/>
        <w:rPr>
          <w:rFonts w:eastAsia="Times New Roman" w:cs="Times New Roman"/>
          <w:b/>
          <w:bCs/>
          <w:kern w:val="2"/>
        </w:rPr>
      </w:pPr>
      <w:r>
        <w:rPr>
          <w:rFonts w:eastAsia="Times New Roman" w:cs="Times New Roman"/>
          <w:noProof/>
          <w:kern w:val="2"/>
        </w:rPr>
        <w:pict w14:anchorId="7BA76AAB">
          <v:rect id="_x0000_i1025" style="width:441.9pt;height:.05pt" o:hralign="center" o:hrstd="t" o:hr="t" fillcolor="#a0a0a0" stroked="f"/>
        </w:pict>
      </w:r>
    </w:p>
    <w:p w14:paraId="2E1EB7C1" w14:textId="1DF3C876" w:rsidR="00B862EF" w:rsidRPr="00084CD2" w:rsidRDefault="00EF2556" w:rsidP="000F35DD">
      <w:pPr>
        <w:spacing w:after="0" w:line="360" w:lineRule="auto"/>
        <w:contextualSpacing/>
        <w:jc w:val="center"/>
        <w:rPr>
          <w:rFonts w:ascii="Times New Roman" w:hAnsi="Times New Roman" w:cs="Times New Roman"/>
          <w:b/>
          <w:sz w:val="32"/>
          <w:szCs w:val="32"/>
        </w:rPr>
      </w:pPr>
      <w:r w:rsidRPr="00084CD2">
        <w:rPr>
          <w:rFonts w:ascii="Times New Roman" w:hAnsi="Times New Roman" w:cs="Times New Roman"/>
          <w:b/>
          <w:sz w:val="32"/>
          <w:szCs w:val="32"/>
        </w:rPr>
        <w:t>I</w:t>
      </w:r>
      <w:r w:rsidR="00C05BE0" w:rsidRPr="00084CD2">
        <w:rPr>
          <w:rFonts w:ascii="Times New Roman" w:hAnsi="Times New Roman" w:cs="Times New Roman"/>
          <w:b/>
          <w:sz w:val="32"/>
          <w:szCs w:val="32"/>
        </w:rPr>
        <w:t>ntroducción</w:t>
      </w:r>
    </w:p>
    <w:p w14:paraId="6B7C2587" w14:textId="20DDC59F" w:rsidR="00B1226F" w:rsidRPr="00084CD2" w:rsidRDefault="002D69D7"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El Índice Nacional de Precios al Consumidor (INPC) </w:t>
      </w:r>
      <w:r w:rsidR="00D877E0" w:rsidRPr="00084CD2">
        <w:rPr>
          <w:rFonts w:ascii="Times New Roman" w:hAnsi="Times New Roman" w:cs="Times New Roman"/>
          <w:sz w:val="24"/>
          <w:szCs w:val="24"/>
        </w:rPr>
        <w:t xml:space="preserve">es el </w:t>
      </w:r>
      <w:r w:rsidR="006B1794" w:rsidRPr="00084CD2">
        <w:rPr>
          <w:rFonts w:ascii="Times New Roman" w:hAnsi="Times New Roman" w:cs="Times New Roman"/>
          <w:sz w:val="24"/>
          <w:szCs w:val="24"/>
        </w:rPr>
        <w:t xml:space="preserve">referente </w:t>
      </w:r>
      <w:r w:rsidR="00D877E0" w:rsidRPr="00084CD2">
        <w:rPr>
          <w:rFonts w:ascii="Times New Roman" w:hAnsi="Times New Roman" w:cs="Times New Roman"/>
          <w:sz w:val="24"/>
          <w:szCs w:val="24"/>
        </w:rPr>
        <w:t xml:space="preserve">rector para evaluar la evolución </w:t>
      </w:r>
      <w:r w:rsidRPr="00084CD2">
        <w:rPr>
          <w:rFonts w:ascii="Times New Roman" w:hAnsi="Times New Roman" w:cs="Times New Roman"/>
          <w:sz w:val="24"/>
          <w:szCs w:val="24"/>
        </w:rPr>
        <w:t>de</w:t>
      </w:r>
      <w:r w:rsidR="00D877E0" w:rsidRPr="00084CD2">
        <w:rPr>
          <w:rFonts w:ascii="Times New Roman" w:hAnsi="Times New Roman" w:cs="Times New Roman"/>
          <w:sz w:val="24"/>
          <w:szCs w:val="24"/>
        </w:rPr>
        <w:t xml:space="preserve">l </w:t>
      </w:r>
      <w:r w:rsidR="006B1794" w:rsidRPr="00084CD2">
        <w:rPr>
          <w:rFonts w:ascii="Times New Roman" w:hAnsi="Times New Roman" w:cs="Times New Roman"/>
          <w:sz w:val="24"/>
          <w:szCs w:val="24"/>
        </w:rPr>
        <w:t>nivel de precios</w:t>
      </w:r>
      <w:r w:rsidRPr="00084CD2">
        <w:rPr>
          <w:rFonts w:ascii="Times New Roman" w:hAnsi="Times New Roman" w:cs="Times New Roman"/>
          <w:sz w:val="24"/>
          <w:szCs w:val="24"/>
        </w:rPr>
        <w:t xml:space="preserve"> de </w:t>
      </w:r>
      <w:r w:rsidR="00D877E0" w:rsidRPr="00084CD2">
        <w:rPr>
          <w:rFonts w:ascii="Times New Roman" w:hAnsi="Times New Roman" w:cs="Times New Roman"/>
          <w:sz w:val="24"/>
          <w:szCs w:val="24"/>
        </w:rPr>
        <w:t xml:space="preserve">una canasta de </w:t>
      </w:r>
      <w:r w:rsidRPr="00084CD2">
        <w:rPr>
          <w:rFonts w:ascii="Times New Roman" w:hAnsi="Times New Roman" w:cs="Times New Roman"/>
          <w:sz w:val="24"/>
          <w:szCs w:val="24"/>
        </w:rPr>
        <w:t xml:space="preserve">bienes y servicios, ponderada según su relevancia económica, y constituye </w:t>
      </w:r>
      <w:r w:rsidR="0078251C" w:rsidRPr="00084CD2">
        <w:rPr>
          <w:rFonts w:ascii="Times New Roman" w:hAnsi="Times New Roman" w:cs="Times New Roman"/>
          <w:sz w:val="24"/>
          <w:szCs w:val="24"/>
        </w:rPr>
        <w:t>el</w:t>
      </w:r>
      <w:r w:rsidRPr="00084CD2">
        <w:rPr>
          <w:rFonts w:ascii="Times New Roman" w:hAnsi="Times New Roman" w:cs="Times New Roman"/>
          <w:sz w:val="24"/>
          <w:szCs w:val="24"/>
        </w:rPr>
        <w:t xml:space="preserve"> principal </w:t>
      </w:r>
      <w:r w:rsidR="0078251C" w:rsidRPr="00084CD2">
        <w:rPr>
          <w:rFonts w:ascii="Times New Roman" w:hAnsi="Times New Roman" w:cs="Times New Roman"/>
          <w:sz w:val="24"/>
          <w:szCs w:val="24"/>
        </w:rPr>
        <w:t>indicador para evaluar la</w:t>
      </w:r>
      <w:r w:rsidRPr="00084CD2">
        <w:rPr>
          <w:rFonts w:ascii="Times New Roman" w:hAnsi="Times New Roman" w:cs="Times New Roman"/>
          <w:sz w:val="24"/>
          <w:szCs w:val="24"/>
        </w:rPr>
        <w:t xml:space="preserve"> inflación. Con base en el periodo de julio </w:t>
      </w:r>
      <w:r w:rsidR="006B1794" w:rsidRPr="00084CD2">
        <w:rPr>
          <w:rFonts w:ascii="Times New Roman" w:hAnsi="Times New Roman" w:cs="Times New Roman"/>
          <w:sz w:val="24"/>
          <w:szCs w:val="24"/>
        </w:rPr>
        <w:t xml:space="preserve">de </w:t>
      </w:r>
      <w:r w:rsidRPr="00084CD2">
        <w:rPr>
          <w:rFonts w:ascii="Times New Roman" w:hAnsi="Times New Roman" w:cs="Times New Roman"/>
          <w:sz w:val="24"/>
          <w:szCs w:val="24"/>
        </w:rPr>
        <w:t xml:space="preserve">2018=100, su elaboración incluye la recolección quincenal de más de 159 mil precios en 55 ciudades del país, abarcando 299 conceptos genéricos distribuidos en </w:t>
      </w:r>
      <w:r w:rsidR="0078251C" w:rsidRPr="00084CD2">
        <w:rPr>
          <w:rFonts w:ascii="Times New Roman" w:hAnsi="Times New Roman" w:cs="Times New Roman"/>
          <w:sz w:val="24"/>
          <w:szCs w:val="24"/>
        </w:rPr>
        <w:t>91 sectores que conforman la estructura económica</w:t>
      </w:r>
      <w:r w:rsidR="006B1794" w:rsidRPr="00084CD2">
        <w:rPr>
          <w:rFonts w:ascii="Times New Roman" w:hAnsi="Times New Roman" w:cs="Times New Roman"/>
          <w:sz w:val="24"/>
          <w:szCs w:val="24"/>
        </w:rPr>
        <w:t xml:space="preserve"> nacional</w:t>
      </w:r>
      <w:r w:rsidRPr="00084CD2">
        <w:rPr>
          <w:rFonts w:ascii="Times New Roman" w:hAnsi="Times New Roman" w:cs="Times New Roman"/>
          <w:sz w:val="24"/>
          <w:szCs w:val="24"/>
        </w:rPr>
        <w:t xml:space="preserve">. La recopilación de datos se realiza una o dos veces por quincena, dependiendo del producto </w:t>
      </w:r>
      <w:r w:rsidRPr="00084CD2">
        <w:rPr>
          <w:rFonts w:ascii="Times New Roman" w:hAnsi="Times New Roman" w:cs="Times New Roman"/>
          <w:sz w:val="24"/>
          <w:szCs w:val="24"/>
        </w:rPr>
        <w:lastRenderedPageBreak/>
        <w:t xml:space="preserve">(Heath, 2012; </w:t>
      </w:r>
      <w:r w:rsidR="00987C08" w:rsidRPr="00084CD2">
        <w:rPr>
          <w:rFonts w:ascii="Times New Roman" w:hAnsi="Times New Roman" w:cs="Times New Roman"/>
          <w:sz w:val="24"/>
          <w:szCs w:val="24"/>
        </w:rPr>
        <w:t xml:space="preserve">Salas, </w:t>
      </w:r>
      <w:r w:rsidR="00F85E36" w:rsidRPr="00084CD2">
        <w:rPr>
          <w:rFonts w:ascii="Times New Roman" w:hAnsi="Times New Roman" w:cs="Times New Roman"/>
          <w:sz w:val="24"/>
          <w:szCs w:val="24"/>
        </w:rPr>
        <w:t xml:space="preserve">2021; </w:t>
      </w:r>
      <w:r w:rsidRPr="00084CD2">
        <w:rPr>
          <w:rFonts w:ascii="Times New Roman" w:hAnsi="Times New Roman" w:cs="Times New Roman"/>
          <w:sz w:val="24"/>
          <w:szCs w:val="24"/>
        </w:rPr>
        <w:t>Alonso y Rivera, 2017;</w:t>
      </w:r>
      <w:r w:rsidR="006B1794" w:rsidRPr="00084CD2">
        <w:rPr>
          <w:rFonts w:ascii="Times New Roman" w:hAnsi="Times New Roman" w:cs="Times New Roman"/>
          <w:sz w:val="24"/>
          <w:szCs w:val="24"/>
        </w:rPr>
        <w:t xml:space="preserve"> </w:t>
      </w:r>
      <w:r w:rsidR="00852CDB" w:rsidRPr="00084CD2">
        <w:rPr>
          <w:rFonts w:ascii="Times New Roman" w:hAnsi="Times New Roman" w:cs="Times New Roman"/>
          <w:sz w:val="24"/>
          <w:szCs w:val="24"/>
        </w:rPr>
        <w:t>Banco de México</w:t>
      </w:r>
      <w:r w:rsidR="006B1794" w:rsidRPr="00084CD2">
        <w:rPr>
          <w:rFonts w:ascii="Times New Roman" w:hAnsi="Times New Roman" w:cs="Times New Roman"/>
          <w:sz w:val="24"/>
          <w:szCs w:val="24"/>
        </w:rPr>
        <w:t xml:space="preserve"> [BANXICO]</w:t>
      </w:r>
      <w:r w:rsidR="00B1226F" w:rsidRPr="00084CD2">
        <w:rPr>
          <w:rFonts w:ascii="Times New Roman" w:hAnsi="Times New Roman" w:cs="Times New Roman"/>
          <w:sz w:val="24"/>
          <w:szCs w:val="24"/>
        </w:rPr>
        <w:t>, 20</w:t>
      </w:r>
      <w:r w:rsidR="003E4379" w:rsidRPr="00084CD2">
        <w:rPr>
          <w:rFonts w:ascii="Times New Roman" w:hAnsi="Times New Roman" w:cs="Times New Roman"/>
          <w:sz w:val="24"/>
          <w:szCs w:val="24"/>
        </w:rPr>
        <w:t>25</w:t>
      </w:r>
      <w:r w:rsidR="00B1226F" w:rsidRPr="00084CD2">
        <w:rPr>
          <w:rFonts w:ascii="Times New Roman" w:hAnsi="Times New Roman" w:cs="Times New Roman"/>
          <w:sz w:val="24"/>
          <w:szCs w:val="24"/>
        </w:rPr>
        <w:t>;</w:t>
      </w:r>
      <w:r w:rsidR="006B1794" w:rsidRPr="00084CD2">
        <w:rPr>
          <w:rFonts w:ascii="Times New Roman" w:hAnsi="Times New Roman" w:cs="Times New Roman"/>
          <w:sz w:val="24"/>
          <w:szCs w:val="24"/>
        </w:rPr>
        <w:t xml:space="preserve"> </w:t>
      </w:r>
      <w:r w:rsidR="009F0ECD" w:rsidRPr="00084CD2">
        <w:rPr>
          <w:rFonts w:ascii="Times New Roman" w:hAnsi="Times New Roman" w:cs="Times New Roman"/>
          <w:sz w:val="24"/>
          <w:szCs w:val="24"/>
        </w:rPr>
        <w:t>Instituto Nacional de Estadística y Geografía</w:t>
      </w:r>
      <w:r w:rsidR="006B1794" w:rsidRPr="00084CD2">
        <w:rPr>
          <w:rFonts w:ascii="Times New Roman" w:hAnsi="Times New Roman" w:cs="Times New Roman"/>
          <w:sz w:val="24"/>
          <w:szCs w:val="24"/>
        </w:rPr>
        <w:t xml:space="preserve"> [INEGI]</w:t>
      </w:r>
      <w:r w:rsidR="00B1226F" w:rsidRPr="00084CD2">
        <w:rPr>
          <w:rFonts w:ascii="Times New Roman" w:hAnsi="Times New Roman" w:cs="Times New Roman"/>
          <w:sz w:val="24"/>
          <w:szCs w:val="24"/>
        </w:rPr>
        <w:t>, 20</w:t>
      </w:r>
      <w:r w:rsidR="003E4379" w:rsidRPr="00084CD2">
        <w:rPr>
          <w:rFonts w:ascii="Times New Roman" w:hAnsi="Times New Roman" w:cs="Times New Roman"/>
          <w:sz w:val="24"/>
          <w:szCs w:val="24"/>
        </w:rPr>
        <w:t>25</w:t>
      </w:r>
      <w:r w:rsidR="00A55AB6" w:rsidRPr="00084CD2">
        <w:rPr>
          <w:rFonts w:ascii="Times New Roman" w:hAnsi="Times New Roman" w:cs="Times New Roman"/>
          <w:sz w:val="24"/>
          <w:szCs w:val="24"/>
        </w:rPr>
        <w:t>a</w:t>
      </w:r>
      <w:r w:rsidR="00B1226F" w:rsidRPr="00084CD2">
        <w:rPr>
          <w:rFonts w:ascii="Times New Roman" w:hAnsi="Times New Roman" w:cs="Times New Roman"/>
          <w:sz w:val="24"/>
          <w:szCs w:val="24"/>
        </w:rPr>
        <w:t xml:space="preserve">). </w:t>
      </w:r>
    </w:p>
    <w:p w14:paraId="04C3D70E" w14:textId="601678AD" w:rsidR="00D67626" w:rsidRPr="00084CD2" w:rsidRDefault="002C3AE2" w:rsidP="009F0ECD">
      <w:pPr>
        <w:autoSpaceDE w:val="0"/>
        <w:autoSpaceDN w:val="0"/>
        <w:adjustRightInd w:val="0"/>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El enfoque clásico de series </w:t>
      </w:r>
      <w:r w:rsidR="005C7F28" w:rsidRPr="00084CD2">
        <w:rPr>
          <w:rFonts w:ascii="Times New Roman" w:hAnsi="Times New Roman" w:cs="Times New Roman"/>
          <w:sz w:val="24"/>
          <w:szCs w:val="24"/>
        </w:rPr>
        <w:t>cronológicas</w:t>
      </w:r>
      <w:r w:rsidR="00D67626" w:rsidRPr="00084CD2">
        <w:rPr>
          <w:rFonts w:ascii="Times New Roman" w:hAnsi="Times New Roman" w:cs="Times New Roman"/>
          <w:sz w:val="24"/>
          <w:szCs w:val="24"/>
        </w:rPr>
        <w:t xml:space="preserve"> descompone </w:t>
      </w:r>
      <w:r w:rsidR="00B1226F" w:rsidRPr="00084CD2">
        <w:rPr>
          <w:rFonts w:ascii="Times New Roman" w:hAnsi="Times New Roman" w:cs="Times New Roman"/>
          <w:sz w:val="24"/>
          <w:szCs w:val="24"/>
        </w:rPr>
        <w:t>una serie t</w:t>
      </w:r>
      <w:r w:rsidR="005C7F28" w:rsidRPr="00084CD2">
        <w:rPr>
          <w:rFonts w:ascii="Times New Roman" w:hAnsi="Times New Roman" w:cs="Times New Roman"/>
          <w:sz w:val="24"/>
          <w:szCs w:val="24"/>
        </w:rPr>
        <w:t>emporal</w:t>
      </w:r>
      <w:r w:rsidR="00B1226F" w:rsidRPr="00084CD2">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B1226F" w:rsidRPr="00084CD2">
        <w:rPr>
          <w:rFonts w:ascii="Times New Roman" w:eastAsiaTheme="minorEastAsia" w:hAnsi="Times New Roman" w:cs="Times New Roman"/>
          <w:sz w:val="24"/>
          <w:szCs w:val="24"/>
        </w:rPr>
        <w:t xml:space="preserve"> en</w:t>
      </w:r>
      <w:r w:rsidR="00D67626" w:rsidRPr="00084CD2">
        <w:rPr>
          <w:rFonts w:ascii="Times New Roman" w:eastAsiaTheme="minorEastAsia" w:hAnsi="Times New Roman" w:cs="Times New Roman"/>
          <w:sz w:val="24"/>
          <w:szCs w:val="24"/>
        </w:rPr>
        <w:t>:</w:t>
      </w:r>
      <w:r w:rsidR="00B1226F" w:rsidRPr="00084CD2">
        <w:rPr>
          <w:rFonts w:ascii="Times New Roman" w:eastAsiaTheme="minorEastAsia" w:hAnsi="Times New Roman" w:cs="Times New Roman"/>
          <w:sz w:val="24"/>
          <w:szCs w:val="24"/>
        </w:rPr>
        <w:t xml:space="preserve"> tendencia, estacionalidad, ciclo e irregular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+I</m:t>
        </m:r>
      </m:oMath>
      <w:r w:rsidR="00B1226F" w:rsidRPr="00084CD2">
        <w:rPr>
          <w:rFonts w:ascii="Times New Roman" w:eastAsiaTheme="minorEastAsia" w:hAnsi="Times New Roman" w:cs="Times New Roman"/>
          <w:sz w:val="24"/>
          <w:szCs w:val="24"/>
        </w:rPr>
        <w:t xml:space="preserve">), </w:t>
      </w:r>
      <w:r w:rsidR="005C7F28" w:rsidRPr="00084CD2">
        <w:rPr>
          <w:rFonts w:ascii="Times New Roman" w:eastAsiaTheme="minorEastAsia" w:hAnsi="Times New Roman" w:cs="Times New Roman"/>
          <w:sz w:val="24"/>
          <w:szCs w:val="24"/>
        </w:rPr>
        <w:t>donde</w:t>
      </w:r>
      <w:r w:rsidR="00B1226F" w:rsidRPr="00084CD2">
        <w:rPr>
          <w:rFonts w:ascii="Times New Roman" w:eastAsiaTheme="minorEastAsia" w:hAnsi="Times New Roman" w:cs="Times New Roman"/>
          <w:sz w:val="24"/>
          <w:szCs w:val="24"/>
        </w:rPr>
        <w:t xml:space="preserve"> esta </w:t>
      </w:r>
      <w:r w:rsidR="005C7F28" w:rsidRPr="00084CD2">
        <w:rPr>
          <w:rFonts w:ascii="Times New Roman" w:eastAsiaTheme="minorEastAsia" w:hAnsi="Times New Roman" w:cs="Times New Roman"/>
          <w:sz w:val="24"/>
          <w:szCs w:val="24"/>
        </w:rPr>
        <w:t>elección de desagregación radica en que facilita separar los efectos visibles de los que permanecen ocultos en el comportamiento de la variable analizada</w:t>
      </w:r>
      <w:r w:rsidR="00B1226F" w:rsidRPr="00084CD2">
        <w:rPr>
          <w:rFonts w:ascii="Times New Roman" w:eastAsiaTheme="minorEastAsia" w:hAnsi="Times New Roman" w:cs="Times New Roman"/>
          <w:sz w:val="24"/>
          <w:szCs w:val="24"/>
        </w:rPr>
        <w:t xml:space="preserve">. </w:t>
      </w:r>
      <w:r w:rsidR="00D67626" w:rsidRPr="00084CD2">
        <w:rPr>
          <w:rFonts w:ascii="Times New Roman" w:eastAsiaTheme="minorEastAsia" w:hAnsi="Times New Roman" w:cs="Times New Roman"/>
          <w:sz w:val="24"/>
          <w:szCs w:val="24"/>
        </w:rPr>
        <w:t>No obstante</w:t>
      </w:r>
      <w:r w:rsidR="00B1226F" w:rsidRPr="00084CD2">
        <w:rPr>
          <w:rFonts w:ascii="Times New Roman" w:eastAsiaTheme="minorEastAsia" w:hAnsi="Times New Roman" w:cs="Times New Roman"/>
          <w:sz w:val="24"/>
          <w:szCs w:val="24"/>
        </w:rPr>
        <w:t xml:space="preserve">, </w:t>
      </w:r>
      <w:r w:rsidR="00B1226F" w:rsidRPr="00084CD2">
        <w:rPr>
          <w:rFonts w:ascii="Times New Roman" w:hAnsi="Times New Roman" w:cs="Times New Roman"/>
          <w:sz w:val="24"/>
          <w:szCs w:val="24"/>
        </w:rPr>
        <w:t xml:space="preserve">Harvey (1989) </w:t>
      </w:r>
      <w:r w:rsidR="00D67626" w:rsidRPr="00084CD2">
        <w:rPr>
          <w:rFonts w:ascii="Times New Roman" w:hAnsi="Times New Roman" w:cs="Times New Roman"/>
          <w:sz w:val="24"/>
          <w:szCs w:val="24"/>
        </w:rPr>
        <w:t>propuso un modelo más completo mediante componentes no observables (UCM</w:t>
      </w:r>
      <w:r w:rsidR="00A97D94" w:rsidRPr="00084CD2">
        <w:rPr>
          <w:rFonts w:ascii="Times New Roman" w:hAnsi="Times New Roman" w:cs="Times New Roman"/>
          <w:sz w:val="24"/>
          <w:szCs w:val="24"/>
        </w:rPr>
        <w:t>-por sus siglas en inglés</w:t>
      </w:r>
      <w:r w:rsidR="00D67626" w:rsidRPr="00084CD2">
        <w:rPr>
          <w:rFonts w:ascii="Times New Roman" w:hAnsi="Times New Roman" w:cs="Times New Roman"/>
          <w:sz w:val="24"/>
          <w:szCs w:val="24"/>
        </w:rPr>
        <w:t xml:space="preserve">), </w:t>
      </w:r>
      <w:r w:rsidR="007102D1" w:rsidRPr="00084CD2">
        <w:rPr>
          <w:rFonts w:ascii="Times New Roman" w:hAnsi="Times New Roman" w:cs="Times New Roman"/>
          <w:sz w:val="24"/>
          <w:szCs w:val="24"/>
        </w:rPr>
        <w:t>donde</w:t>
      </w:r>
      <w:r w:rsidR="00D67626" w:rsidRPr="00084CD2">
        <w:rPr>
          <w:rFonts w:ascii="Times New Roman" w:hAnsi="Times New Roman" w:cs="Times New Roman"/>
          <w:sz w:val="24"/>
          <w:szCs w:val="24"/>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m:t>
            </m:r>
          </m:sub>
        </m:sSub>
      </m:oMath>
      <w:r w:rsidR="00D67626" w:rsidRPr="00084CD2">
        <w:rPr>
          <w:rFonts w:ascii="Times New Roman" w:hAnsi="Times New Roman" w:cs="Times New Roman"/>
          <w:sz w:val="24"/>
          <w:szCs w:val="24"/>
        </w:rPr>
        <w:t xml:space="preserve"> </w:t>
      </w:r>
      <w:r w:rsidR="007102D1" w:rsidRPr="00084CD2">
        <w:rPr>
          <w:rFonts w:ascii="Times New Roman" w:hAnsi="Times New Roman" w:cs="Times New Roman"/>
          <w:sz w:val="24"/>
          <w:szCs w:val="24"/>
        </w:rPr>
        <w:t xml:space="preserve">es </w:t>
      </w:r>
      <w:r w:rsidR="00D67626" w:rsidRPr="00084CD2">
        <w:rPr>
          <w:rFonts w:ascii="Times New Roman" w:hAnsi="Times New Roman" w:cs="Times New Roman"/>
          <w:sz w:val="24"/>
          <w:szCs w:val="24"/>
        </w:rPr>
        <w:t xml:space="preserve">la suma de </w:t>
      </w:r>
      <w:r w:rsidR="0020198E" w:rsidRPr="00084CD2">
        <w:rPr>
          <w:rFonts w:ascii="Times New Roman" w:hAnsi="Times New Roman" w:cs="Times New Roman"/>
          <w:sz w:val="24"/>
          <w:szCs w:val="24"/>
        </w:rPr>
        <w:t>elementos</w:t>
      </w:r>
      <w:r w:rsidR="00D67626" w:rsidRPr="00084CD2">
        <w:rPr>
          <w:rFonts w:ascii="Times New Roman" w:hAnsi="Times New Roman" w:cs="Times New Roman"/>
          <w:sz w:val="24"/>
          <w:szCs w:val="24"/>
        </w:rPr>
        <w:t xml:space="preserve"> estructurales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μ</m:t>
            </m:r>
          </m:e>
          <m:sub>
            <m:r>
              <w:rPr>
                <w:rFonts w:ascii="Cambria Math" w:hAnsi="Cambria Math" w:cs="Times New Roman"/>
                <w:sz w:val="24"/>
                <w:szCs w:val="24"/>
                <w:shd w:val="clear" w:color="auto" w:fill="FFFFFF"/>
              </w:rPr>
              <m:t>t</m:t>
            </m:r>
          </m:sub>
        </m:sSub>
      </m:oMath>
      <w:r w:rsidR="00D67626" w:rsidRPr="00084CD2">
        <w:rPr>
          <w:rFonts w:ascii="Times New Roman" w:hAnsi="Times New Roman" w:cs="Times New Roman"/>
          <w:sz w:val="24"/>
          <w:szCs w:val="24"/>
          <w:shd w:val="clear" w:color="auto" w:fill="FFFFFF"/>
        </w:rPr>
        <w:t xml:space="preserve"> = tendencia,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γ</m:t>
            </m:r>
          </m:e>
          <m:sub>
            <m:r>
              <w:rPr>
                <w:rFonts w:ascii="Cambria Math" w:hAnsi="Cambria Math" w:cs="Times New Roman"/>
                <w:sz w:val="24"/>
                <w:szCs w:val="24"/>
                <w:shd w:val="clear" w:color="auto" w:fill="FFFFFF"/>
              </w:rPr>
              <m:t>t</m:t>
            </m:r>
          </m:sub>
        </m:sSub>
      </m:oMath>
      <w:r w:rsidR="00D67626" w:rsidRPr="00084CD2">
        <w:rPr>
          <w:rFonts w:ascii="Times New Roman" w:hAnsi="Times New Roman" w:cs="Times New Roman"/>
          <w:sz w:val="24"/>
          <w:szCs w:val="24"/>
          <w:shd w:val="clear" w:color="auto" w:fill="FFFFFF"/>
        </w:rPr>
        <w:t xml:space="preserve"> = estacionalidad,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ψ</m:t>
            </m:r>
          </m:e>
          <m:sub>
            <m:r>
              <w:rPr>
                <w:rFonts w:ascii="Cambria Math" w:hAnsi="Cambria Math" w:cs="Times New Roman"/>
                <w:sz w:val="24"/>
                <w:szCs w:val="24"/>
                <w:shd w:val="clear" w:color="auto" w:fill="FFFFFF"/>
              </w:rPr>
              <m:t>t</m:t>
            </m:r>
          </m:sub>
        </m:sSub>
      </m:oMath>
      <w:r w:rsidR="00D67626" w:rsidRPr="00084CD2">
        <w:rPr>
          <w:rFonts w:ascii="Times New Roman" w:hAnsi="Times New Roman" w:cs="Times New Roman"/>
          <w:sz w:val="24"/>
          <w:szCs w:val="24"/>
          <w:shd w:val="clear" w:color="auto" w:fill="FFFFFF"/>
        </w:rPr>
        <w:t xml:space="preserve"> = cicl</w:t>
      </w:r>
      <w:r w:rsidR="00E6599D" w:rsidRPr="00084CD2">
        <w:rPr>
          <w:rFonts w:ascii="Times New Roman" w:hAnsi="Times New Roman" w:cs="Times New Roman"/>
          <w:sz w:val="24"/>
          <w:szCs w:val="24"/>
          <w:shd w:val="clear" w:color="auto" w:fill="FFFFFF"/>
        </w:rPr>
        <w:t>o</w:t>
      </w:r>
      <w:r w:rsidR="00D67626" w:rsidRPr="00084CD2">
        <w:rPr>
          <w:rFonts w:ascii="Times New Roman" w:hAnsi="Times New Roman" w:cs="Times New Roman"/>
          <w:sz w:val="24"/>
          <w:szCs w:val="24"/>
          <w:shd w:val="clear" w:color="auto" w:fill="FFFFFF"/>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r</m:t>
            </m:r>
          </m:e>
          <m:sub>
            <m:r>
              <w:rPr>
                <w:rFonts w:ascii="Cambria Math" w:hAnsi="Cambria Math" w:cs="Times New Roman"/>
                <w:sz w:val="24"/>
                <w:szCs w:val="24"/>
                <w:shd w:val="clear" w:color="auto" w:fill="FFFFFF"/>
              </w:rPr>
              <m:t>t</m:t>
            </m:r>
          </m:sub>
        </m:sSub>
      </m:oMath>
      <w:r w:rsidR="00D67626" w:rsidRPr="00084CD2">
        <w:rPr>
          <w:rFonts w:ascii="Times New Roman" w:hAnsi="Times New Roman" w:cs="Times New Roman"/>
          <w:sz w:val="24"/>
          <w:szCs w:val="24"/>
          <w:shd w:val="clear" w:color="auto" w:fill="FFFFFF"/>
        </w:rPr>
        <w:t xml:space="preserve"> = autorregresivo, </w:t>
      </w:r>
      <m:oMath>
        <m:nary>
          <m:naryPr>
            <m:chr m:val="∑"/>
            <m:limLoc m:val="undOvr"/>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i=1</m:t>
            </m:r>
          </m:sub>
          <m:sup>
            <m:r>
              <w:rPr>
                <w:rFonts w:ascii="Cambria Math" w:hAnsi="Cambria Math" w:cs="Times New Roman"/>
                <w:sz w:val="24"/>
                <w:szCs w:val="24"/>
                <w:shd w:val="clear" w:color="auto" w:fill="FFFFFF"/>
              </w:rPr>
              <m:t>p</m:t>
            </m:r>
          </m:sup>
          <m:e>
            <m:sSub>
              <m:sSubPr>
                <m:ctrlPr>
                  <w:rPr>
                    <w:rFonts w:ascii="Cambria Math"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ϕ</m:t>
                </m:r>
              </m:e>
              <m:sub>
                <m:r>
                  <w:rPr>
                    <w:rFonts w:ascii="Cambria Math" w:hAnsi="Cambria Math" w:cs="Times New Roman"/>
                    <w:sz w:val="24"/>
                    <w:szCs w:val="24"/>
                    <w:shd w:val="clear" w:color="auto" w:fill="FFFFFF"/>
                  </w:rPr>
                  <m:t>i</m:t>
                </m:r>
              </m:sub>
            </m:sSub>
            <m:sSub>
              <m:sSubPr>
                <m:ctrlPr>
                  <w:rPr>
                    <w:rFonts w:ascii="Cambria Math"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t-i</m:t>
                </m:r>
              </m:sub>
            </m:sSub>
          </m:e>
        </m:nary>
      </m:oMath>
      <w:r w:rsidR="00D67626" w:rsidRPr="00084CD2">
        <w:rPr>
          <w:rFonts w:ascii="Times New Roman" w:hAnsi="Times New Roman" w:cs="Times New Roman"/>
          <w:sz w:val="24"/>
          <w:szCs w:val="24"/>
          <w:shd w:val="clear" w:color="auto" w:fill="FFFFFF"/>
        </w:rPr>
        <w:t xml:space="preserve"> = variable </w:t>
      </w:r>
      <w:r w:rsidR="00E6599D" w:rsidRPr="00084CD2">
        <w:rPr>
          <w:rFonts w:ascii="Times New Roman" w:hAnsi="Times New Roman" w:cs="Times New Roman"/>
          <w:sz w:val="24"/>
          <w:szCs w:val="24"/>
          <w:shd w:val="clear" w:color="auto" w:fill="FFFFFF"/>
        </w:rPr>
        <w:t>rezagada</w:t>
      </w:r>
      <w:r w:rsidR="00D67626" w:rsidRPr="00084CD2">
        <w:rPr>
          <w:rFonts w:ascii="Times New Roman" w:hAnsi="Times New Roman" w:cs="Times New Roman"/>
          <w:sz w:val="24"/>
          <w:szCs w:val="24"/>
          <w:shd w:val="clear" w:color="auto" w:fill="FFFFFF"/>
        </w:rPr>
        <w:t xml:space="preserve">, </w:t>
      </w:r>
      <m:oMath>
        <m:nary>
          <m:naryPr>
            <m:chr m:val="∑"/>
            <m:limLoc m:val="undOvr"/>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j=1</m:t>
            </m:r>
          </m:sub>
          <m:sup>
            <m:r>
              <w:rPr>
                <w:rFonts w:ascii="Cambria Math" w:hAnsi="Cambria Math" w:cs="Times New Roman"/>
                <w:sz w:val="24"/>
                <w:szCs w:val="24"/>
                <w:shd w:val="clear" w:color="auto" w:fill="FFFFFF"/>
              </w:rPr>
              <m:t>m</m:t>
            </m:r>
          </m:sup>
          <m:e>
            <m:sSub>
              <m:sSubPr>
                <m:ctrlPr>
                  <w:rPr>
                    <w:rFonts w:ascii="Cambria Math"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β</m:t>
                </m:r>
              </m:e>
              <m:sub>
                <m:r>
                  <w:rPr>
                    <w:rFonts w:ascii="Cambria Math" w:hAnsi="Cambria Math" w:cs="Times New Roman"/>
                    <w:sz w:val="24"/>
                    <w:szCs w:val="24"/>
                    <w:shd w:val="clear" w:color="auto" w:fill="FFFFFF"/>
                  </w:rPr>
                  <m:t>j</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 xml:space="preserve">jt </m:t>
                </m:r>
              </m:sub>
            </m:sSub>
          </m:e>
        </m:nary>
      </m:oMath>
      <w:r w:rsidR="00D67626" w:rsidRPr="00084CD2">
        <w:rPr>
          <w:rFonts w:ascii="Times New Roman" w:hAnsi="Times New Roman" w:cs="Times New Roman"/>
          <w:sz w:val="24"/>
          <w:szCs w:val="24"/>
          <w:shd w:val="clear" w:color="auto" w:fill="FFFFFF"/>
        </w:rPr>
        <w:t xml:space="preserve"> = variable explicat</w:t>
      </w:r>
      <w:r w:rsidR="005C7F28" w:rsidRPr="00084CD2">
        <w:rPr>
          <w:rFonts w:ascii="Times New Roman" w:hAnsi="Times New Roman" w:cs="Times New Roman"/>
          <w:sz w:val="24"/>
          <w:szCs w:val="24"/>
          <w:shd w:val="clear" w:color="auto" w:fill="FFFFFF"/>
        </w:rPr>
        <w:t>iva</w:t>
      </w:r>
      <w:r w:rsidR="00D67626" w:rsidRPr="00084CD2">
        <w:rPr>
          <w:rFonts w:ascii="Times New Roman" w:hAnsi="Times New Roman" w:cs="Times New Roman"/>
          <w:sz w:val="24"/>
          <w:szCs w:val="24"/>
          <w:shd w:val="clear" w:color="auto" w:fill="FFFFFF"/>
        </w:rPr>
        <w:t xml:space="preserve"> y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ε</m:t>
            </m:r>
          </m:e>
          <m:sub>
            <m:r>
              <w:rPr>
                <w:rFonts w:ascii="Cambria Math" w:hAnsi="Cambria Math" w:cs="Times New Roman"/>
                <w:sz w:val="24"/>
                <w:szCs w:val="24"/>
                <w:shd w:val="clear" w:color="auto" w:fill="FFFFFF"/>
              </w:rPr>
              <m:t>t</m:t>
            </m:r>
          </m:sub>
        </m:sSub>
      </m:oMath>
      <w:r w:rsidR="00D67626" w:rsidRPr="00084CD2">
        <w:rPr>
          <w:rFonts w:ascii="Times New Roman" w:hAnsi="Times New Roman" w:cs="Times New Roman"/>
          <w:sz w:val="24"/>
          <w:szCs w:val="24"/>
          <w:shd w:val="clear" w:color="auto" w:fill="FFFFFF"/>
        </w:rPr>
        <w:t xml:space="preserve"> = </w:t>
      </w:r>
      <w:r w:rsidR="00F01C7B" w:rsidRPr="00084CD2">
        <w:rPr>
          <w:rFonts w:ascii="Times New Roman" w:hAnsi="Times New Roman" w:cs="Times New Roman"/>
          <w:sz w:val="24"/>
          <w:szCs w:val="24"/>
          <w:shd w:val="clear" w:color="auto" w:fill="FFFFFF"/>
        </w:rPr>
        <w:t>perturbación aleatoria</w:t>
      </w:r>
      <w:r w:rsidR="00D67626" w:rsidRPr="00084CD2">
        <w:rPr>
          <w:rFonts w:ascii="Times New Roman" w:hAnsi="Times New Roman" w:cs="Times New Roman"/>
          <w:sz w:val="24"/>
          <w:szCs w:val="24"/>
          <w:shd w:val="clear" w:color="auto" w:fill="FFFFFF"/>
        </w:rPr>
        <w:t>).</w:t>
      </w:r>
    </w:p>
    <w:p w14:paraId="6E34BAC9" w14:textId="4FEA316D" w:rsidR="00D67626" w:rsidRPr="00084CD2" w:rsidRDefault="00F01C7B" w:rsidP="009F0ECD">
      <w:pPr>
        <w:autoSpaceDE w:val="0"/>
        <w:autoSpaceDN w:val="0"/>
        <w:adjustRightInd w:val="0"/>
        <w:spacing w:after="0" w:line="360" w:lineRule="auto"/>
        <w:ind w:firstLine="1134"/>
        <w:contextualSpacing/>
        <w:jc w:val="both"/>
        <w:rPr>
          <w:rFonts w:ascii="Times New Roman" w:hAnsi="Times New Roman" w:cs="Times New Roman"/>
          <w:sz w:val="24"/>
          <w:szCs w:val="24"/>
          <w:shd w:val="clear" w:color="auto" w:fill="FFFFFF"/>
        </w:rPr>
      </w:pPr>
      <w:r w:rsidRPr="00084CD2">
        <w:rPr>
          <w:rFonts w:ascii="Times New Roman" w:hAnsi="Times New Roman" w:cs="Times New Roman"/>
          <w:sz w:val="24"/>
          <w:szCs w:val="24"/>
          <w:shd w:val="clear" w:color="auto" w:fill="FFFFFF"/>
        </w:rPr>
        <w:t>El método estructurado</w:t>
      </w:r>
      <w:r w:rsidR="00D67626" w:rsidRPr="00084CD2">
        <w:rPr>
          <w:rFonts w:ascii="Times New Roman" w:hAnsi="Times New Roman" w:cs="Times New Roman"/>
          <w:sz w:val="24"/>
          <w:szCs w:val="24"/>
          <w:shd w:val="clear" w:color="auto" w:fill="FFFFFF"/>
        </w:rPr>
        <w:t xml:space="preserve"> Box-Jenkins comprende cuatro fases: identificación, estimación, validación y aplicación del modelo, fundamentándose en valores pasados de la serie para construir modelos</w:t>
      </w:r>
      <w:r w:rsidR="0012309E" w:rsidRPr="00084CD2">
        <w:rPr>
          <w:rFonts w:ascii="Times New Roman" w:hAnsi="Times New Roman" w:cs="Times New Roman"/>
          <w:sz w:val="24"/>
          <w:szCs w:val="24"/>
          <w:shd w:val="clear" w:color="auto" w:fill="FFFFFF"/>
        </w:rPr>
        <w:t xml:space="preserve"> </w:t>
      </w:r>
      <w:r w:rsidR="003766BE" w:rsidRPr="00084CD2">
        <w:rPr>
          <w:rFonts w:ascii="Times New Roman" w:hAnsi="Times New Roman" w:cs="Times New Roman"/>
          <w:sz w:val="24"/>
          <w:szCs w:val="24"/>
          <w:shd w:val="clear" w:color="auto" w:fill="FFFFFF"/>
        </w:rPr>
        <w:t xml:space="preserve">que </w:t>
      </w:r>
      <w:r w:rsidR="00D67626" w:rsidRPr="00084CD2">
        <w:rPr>
          <w:rFonts w:ascii="Times New Roman" w:hAnsi="Times New Roman" w:cs="Times New Roman"/>
          <w:sz w:val="24"/>
          <w:szCs w:val="24"/>
          <w:shd w:val="clear" w:color="auto" w:fill="FFFFFF"/>
        </w:rPr>
        <w:t xml:space="preserve">combinan </w:t>
      </w:r>
      <w:r w:rsidR="0020198E" w:rsidRPr="00084CD2">
        <w:rPr>
          <w:rFonts w:ascii="Times New Roman" w:hAnsi="Times New Roman" w:cs="Times New Roman"/>
          <w:sz w:val="24"/>
          <w:szCs w:val="24"/>
          <w:shd w:val="clear" w:color="auto" w:fill="FFFFFF"/>
        </w:rPr>
        <w:t xml:space="preserve">elementos </w:t>
      </w:r>
      <w:r w:rsidR="00D67626" w:rsidRPr="00084CD2">
        <w:rPr>
          <w:rFonts w:ascii="Times New Roman" w:hAnsi="Times New Roman" w:cs="Times New Roman"/>
          <w:sz w:val="24"/>
          <w:szCs w:val="24"/>
          <w:shd w:val="clear" w:color="auto" w:fill="FFFFFF"/>
        </w:rPr>
        <w:t xml:space="preserve">autorregresivos, </w:t>
      </w:r>
      <w:r w:rsidR="008A2DFC" w:rsidRPr="00084CD2">
        <w:rPr>
          <w:rFonts w:ascii="Times New Roman" w:hAnsi="Times New Roman" w:cs="Times New Roman"/>
          <w:sz w:val="24"/>
          <w:szCs w:val="24"/>
          <w:shd w:val="clear" w:color="auto" w:fill="FFFFFF"/>
        </w:rPr>
        <w:t xml:space="preserve">términos de diferenciación </w:t>
      </w:r>
      <w:r w:rsidR="00D67626" w:rsidRPr="00084CD2">
        <w:rPr>
          <w:rFonts w:ascii="Times New Roman" w:hAnsi="Times New Roman" w:cs="Times New Roman"/>
          <w:sz w:val="24"/>
          <w:szCs w:val="24"/>
          <w:shd w:val="clear" w:color="auto" w:fill="FFFFFF"/>
        </w:rPr>
        <w:t>y media móvil</w:t>
      </w:r>
      <w:r w:rsidR="0012309E" w:rsidRPr="00084CD2">
        <w:rPr>
          <w:rFonts w:ascii="Times New Roman" w:hAnsi="Times New Roman" w:cs="Times New Roman"/>
          <w:sz w:val="24"/>
          <w:szCs w:val="24"/>
          <w:shd w:val="clear" w:color="auto" w:fill="FFFFFF"/>
        </w:rPr>
        <w:t xml:space="preserve"> (ARIMA</w:t>
      </w:r>
      <w:r w:rsidR="00A97D94" w:rsidRPr="00084CD2">
        <w:rPr>
          <w:rFonts w:ascii="Times New Roman" w:hAnsi="Times New Roman" w:cs="Times New Roman"/>
          <w:sz w:val="24"/>
          <w:szCs w:val="24"/>
          <w:shd w:val="clear" w:color="auto" w:fill="FFFFFF"/>
        </w:rPr>
        <w:t>-por sus siglas en inglés</w:t>
      </w:r>
      <w:r w:rsidR="0012309E" w:rsidRPr="00084CD2">
        <w:rPr>
          <w:rFonts w:ascii="Times New Roman" w:hAnsi="Times New Roman" w:cs="Times New Roman"/>
          <w:sz w:val="24"/>
          <w:szCs w:val="24"/>
          <w:shd w:val="clear" w:color="auto" w:fill="FFFFFF"/>
        </w:rPr>
        <w:t>)</w:t>
      </w:r>
      <w:r w:rsidR="00D67626" w:rsidRPr="00084CD2">
        <w:rPr>
          <w:rFonts w:ascii="Times New Roman" w:hAnsi="Times New Roman" w:cs="Times New Roman"/>
          <w:sz w:val="24"/>
          <w:szCs w:val="24"/>
          <w:shd w:val="clear" w:color="auto" w:fill="FFFFFF"/>
        </w:rPr>
        <w:t>. Estos modelos requieren que la serie sea estacionaria</w:t>
      </w:r>
      <w:r w:rsidR="0012309E" w:rsidRPr="00084CD2">
        <w:rPr>
          <w:rFonts w:ascii="Times New Roman" w:hAnsi="Times New Roman" w:cs="Times New Roman"/>
          <w:sz w:val="24"/>
          <w:szCs w:val="24"/>
          <w:shd w:val="clear" w:color="auto" w:fill="FFFFFF"/>
        </w:rPr>
        <w:t>, es decir</w:t>
      </w:r>
      <w:r w:rsidR="00D67626" w:rsidRPr="00084CD2">
        <w:rPr>
          <w:rFonts w:ascii="Times New Roman" w:hAnsi="Times New Roman" w:cs="Times New Roman"/>
          <w:sz w:val="24"/>
          <w:szCs w:val="24"/>
          <w:shd w:val="clear" w:color="auto" w:fill="FFFFFF"/>
        </w:rPr>
        <w:t xml:space="preserve">, con media, varianza y covarianza constantes. Para ello, se aplican transformaciones que estabilizan la varianza (Guerrero, 2009) y diferencias que estabilizan el nivel, guiadas por los análisis de autocorrelación </w:t>
      </w:r>
      <w:r w:rsidR="003766BE" w:rsidRPr="00084CD2">
        <w:rPr>
          <w:rFonts w:ascii="Times New Roman" w:hAnsi="Times New Roman" w:cs="Times New Roman"/>
          <w:sz w:val="24"/>
          <w:szCs w:val="24"/>
          <w:shd w:val="clear" w:color="auto" w:fill="FFFFFF"/>
        </w:rPr>
        <w:t xml:space="preserve">(FAC) </w:t>
      </w:r>
      <w:r w:rsidR="00D67626" w:rsidRPr="00084CD2">
        <w:rPr>
          <w:rFonts w:ascii="Times New Roman" w:hAnsi="Times New Roman" w:cs="Times New Roman"/>
          <w:sz w:val="24"/>
          <w:szCs w:val="24"/>
          <w:shd w:val="clear" w:color="auto" w:fill="FFFFFF"/>
        </w:rPr>
        <w:t xml:space="preserve">y autocorrelación parcial </w:t>
      </w:r>
      <w:r w:rsidR="0012309E" w:rsidRPr="00084CD2">
        <w:rPr>
          <w:rFonts w:ascii="Times New Roman" w:hAnsi="Times New Roman" w:cs="Times New Roman"/>
          <w:sz w:val="24"/>
          <w:szCs w:val="24"/>
          <w:shd w:val="clear" w:color="auto" w:fill="FFFFFF"/>
        </w:rPr>
        <w:t xml:space="preserve">(FACP) </w:t>
      </w:r>
      <w:r w:rsidR="00D67626" w:rsidRPr="00084CD2">
        <w:rPr>
          <w:rFonts w:ascii="Times New Roman" w:hAnsi="Times New Roman" w:cs="Times New Roman"/>
          <w:sz w:val="24"/>
          <w:szCs w:val="24"/>
          <w:shd w:val="clear" w:color="auto" w:fill="FFFFFF"/>
        </w:rPr>
        <w:t>(</w:t>
      </w:r>
      <w:proofErr w:type="gramStart"/>
      <w:r w:rsidR="00D67626" w:rsidRPr="00084CD2">
        <w:rPr>
          <w:rFonts w:ascii="Times New Roman" w:hAnsi="Times New Roman" w:cs="Times New Roman"/>
          <w:sz w:val="24"/>
          <w:szCs w:val="24"/>
          <w:shd w:val="clear" w:color="auto" w:fill="FFFFFF"/>
        </w:rPr>
        <w:t>Gujarati</w:t>
      </w:r>
      <w:proofErr w:type="gramEnd"/>
      <w:r w:rsidR="00D67626" w:rsidRPr="00084CD2">
        <w:rPr>
          <w:rFonts w:ascii="Times New Roman" w:hAnsi="Times New Roman" w:cs="Times New Roman"/>
          <w:sz w:val="24"/>
          <w:szCs w:val="24"/>
          <w:shd w:val="clear" w:color="auto" w:fill="FFFFFF"/>
        </w:rPr>
        <w:t xml:space="preserve"> y Porter, 2010).</w:t>
      </w:r>
    </w:p>
    <w:p w14:paraId="56D4E78B" w14:textId="5F2B9E8B" w:rsidR="00B1226F" w:rsidRPr="00084CD2" w:rsidRDefault="00600656" w:rsidP="009F0ECD">
      <w:pPr>
        <w:spacing w:after="0" w:line="360" w:lineRule="auto"/>
        <w:ind w:firstLine="1134"/>
        <w:contextualSpacing/>
        <w:jc w:val="both"/>
        <w:rPr>
          <w:rFonts w:ascii="Times New Roman" w:hAnsi="Times New Roman" w:cs="Times New Roman"/>
          <w:sz w:val="24"/>
          <w:szCs w:val="24"/>
          <w:lang w:val="es-ES"/>
        </w:rPr>
      </w:pPr>
      <w:r w:rsidRPr="00084CD2">
        <w:rPr>
          <w:rFonts w:ascii="Times New Roman" w:hAnsi="Times New Roman" w:cs="Times New Roman"/>
          <w:sz w:val="24"/>
          <w:szCs w:val="24"/>
        </w:rPr>
        <w:t xml:space="preserve">La precisión de un modelo de pronóstico se evalúa mediante métricas como el error medio (ME), el error absoluto medio (MAE), el error porcentual medio (MPE), el error porcentual absoluto medio (MAPE) y el error cuadrático medio (MSE). </w:t>
      </w:r>
      <w:r w:rsidR="000F5F3F" w:rsidRPr="00084CD2">
        <w:rPr>
          <w:rFonts w:ascii="Times New Roman" w:hAnsi="Times New Roman" w:cs="Times New Roman"/>
          <w:sz w:val="24"/>
          <w:szCs w:val="24"/>
        </w:rPr>
        <w:t xml:space="preserve">A menor valor </w:t>
      </w:r>
      <w:r w:rsidRPr="00084CD2">
        <w:rPr>
          <w:rFonts w:ascii="Times New Roman" w:hAnsi="Times New Roman" w:cs="Times New Roman"/>
          <w:sz w:val="24"/>
          <w:szCs w:val="24"/>
        </w:rPr>
        <w:t>de estas medidas, mayor exactitud del modelo predictivo</w:t>
      </w:r>
      <w:r w:rsidRPr="00084CD2">
        <w:rPr>
          <w:rFonts w:ascii="Times New Roman" w:hAnsi="Times New Roman" w:cs="Times New Roman"/>
          <w:sz w:val="24"/>
          <w:szCs w:val="24"/>
          <w:lang w:val="es-ES"/>
        </w:rPr>
        <w:t xml:space="preserve"> </w:t>
      </w:r>
      <w:r w:rsidR="00B1226F" w:rsidRPr="00084CD2">
        <w:rPr>
          <w:rFonts w:ascii="Times New Roman" w:hAnsi="Times New Roman" w:cs="Times New Roman"/>
          <w:sz w:val="24"/>
          <w:szCs w:val="24"/>
          <w:lang w:val="es-ES"/>
        </w:rPr>
        <w:t>(Farrera, 2013).</w:t>
      </w:r>
    </w:p>
    <w:p w14:paraId="4B1F0E4C" w14:textId="53102BF5" w:rsidR="00ED0E14" w:rsidRPr="00084CD2" w:rsidRDefault="00581E8F"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Para evaluar estos modelos, e</w:t>
      </w:r>
      <w:r w:rsidR="00ED0E14" w:rsidRPr="00084CD2">
        <w:rPr>
          <w:rFonts w:ascii="Times New Roman" w:hAnsi="Times New Roman" w:cs="Times New Roman"/>
          <w:sz w:val="24"/>
          <w:szCs w:val="24"/>
        </w:rPr>
        <w:t>n la literatura reciente diversos estudios han aplicado modelos de series de tiempo para el pronóstico de variables macroeconómicas, particularmente en contextos inflacionarios. Los modelos SARIMA han demostrado alta capacidad predictiva en economías emergentes al capturar patrones estacionales y dinámicas de corto plazo, siendo ampliamente utilizados para el análisis de inflación, tipo de cambio y crecimiento económico (</w:t>
      </w:r>
      <w:proofErr w:type="spellStart"/>
      <w:r w:rsidR="00835E20" w:rsidRPr="00084CD2">
        <w:rPr>
          <w:rFonts w:ascii="Times New Roman" w:hAnsi="Times New Roman" w:cs="Times New Roman"/>
          <w:sz w:val="24"/>
          <w:szCs w:val="24"/>
        </w:rPr>
        <w:t>Hyndman</w:t>
      </w:r>
      <w:proofErr w:type="spellEnd"/>
      <w:r w:rsidR="00835E20" w:rsidRPr="00084CD2">
        <w:rPr>
          <w:rFonts w:ascii="Times New Roman" w:hAnsi="Times New Roman" w:cs="Times New Roman"/>
          <w:sz w:val="24"/>
          <w:szCs w:val="24"/>
        </w:rPr>
        <w:t xml:space="preserve"> &amp; </w:t>
      </w:r>
      <w:proofErr w:type="spellStart"/>
      <w:r w:rsidR="00835E20" w:rsidRPr="00084CD2">
        <w:rPr>
          <w:rFonts w:ascii="Times New Roman" w:hAnsi="Times New Roman" w:cs="Times New Roman"/>
          <w:sz w:val="24"/>
          <w:szCs w:val="24"/>
        </w:rPr>
        <w:t>Athanasopoulos</w:t>
      </w:r>
      <w:proofErr w:type="spellEnd"/>
      <w:r w:rsidR="00835E20" w:rsidRPr="00084CD2">
        <w:rPr>
          <w:rFonts w:ascii="Times New Roman" w:hAnsi="Times New Roman" w:cs="Times New Roman"/>
          <w:sz w:val="24"/>
          <w:szCs w:val="24"/>
        </w:rPr>
        <w:t>, 2021</w:t>
      </w:r>
      <w:r w:rsidR="00ED0E14" w:rsidRPr="00084CD2">
        <w:rPr>
          <w:rFonts w:ascii="Times New Roman" w:hAnsi="Times New Roman" w:cs="Times New Roman"/>
          <w:sz w:val="24"/>
          <w:szCs w:val="24"/>
        </w:rPr>
        <w:t>). En el caso de México, Flores (2017) evidencia que los modelos estacionales mejoran significativamente la precisión en horizontes de corto plazo.</w:t>
      </w:r>
    </w:p>
    <w:p w14:paraId="65818228" w14:textId="37314BF6" w:rsidR="00ED0E14" w:rsidRPr="00084CD2" w:rsidRDefault="00ED0E14" w:rsidP="00172A5A">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Por otra parte, los modelos estructurales de componentes no observables (UCM) han sido empleados para descomponer series económicas en tendencia, ciclo y estacionalidad, permitiendo una interpretación más profunda del comportamiento </w:t>
      </w:r>
      <w:r w:rsidRPr="00084CD2">
        <w:rPr>
          <w:rFonts w:ascii="Times New Roman" w:hAnsi="Times New Roman" w:cs="Times New Roman"/>
          <w:sz w:val="24"/>
          <w:szCs w:val="24"/>
        </w:rPr>
        <w:lastRenderedPageBreak/>
        <w:t>macroeconómico (</w:t>
      </w:r>
      <w:r w:rsidR="003F1A88" w:rsidRPr="00084CD2">
        <w:rPr>
          <w:rFonts w:ascii="Times New Roman" w:hAnsi="Times New Roman" w:cs="Times New Roman"/>
          <w:sz w:val="24"/>
          <w:szCs w:val="24"/>
        </w:rPr>
        <w:t xml:space="preserve">Durbin &amp; </w:t>
      </w:r>
      <w:proofErr w:type="spellStart"/>
      <w:r w:rsidR="003F1A88" w:rsidRPr="00084CD2">
        <w:rPr>
          <w:rFonts w:ascii="Times New Roman" w:hAnsi="Times New Roman" w:cs="Times New Roman"/>
          <w:sz w:val="24"/>
          <w:szCs w:val="24"/>
        </w:rPr>
        <w:t>Koopman</w:t>
      </w:r>
      <w:proofErr w:type="spellEnd"/>
      <w:r w:rsidR="003F1A88" w:rsidRPr="00084CD2">
        <w:rPr>
          <w:rFonts w:ascii="Times New Roman" w:hAnsi="Times New Roman" w:cs="Times New Roman"/>
          <w:sz w:val="24"/>
          <w:szCs w:val="24"/>
        </w:rPr>
        <w:t>, 2012</w:t>
      </w:r>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Ercolani</w:t>
      </w:r>
      <w:proofErr w:type="spellEnd"/>
      <w:r w:rsidRPr="00084CD2">
        <w:rPr>
          <w:rFonts w:ascii="Times New Roman" w:hAnsi="Times New Roman" w:cs="Times New Roman"/>
          <w:sz w:val="24"/>
          <w:szCs w:val="24"/>
        </w:rPr>
        <w:t>, 2023). Su aplicación ha sido relevante en el análisis de inflación subyacente y en la identificación de choques estructurales (</w:t>
      </w:r>
      <w:proofErr w:type="spellStart"/>
      <w:r w:rsidRPr="00084CD2">
        <w:rPr>
          <w:rFonts w:ascii="Times New Roman" w:hAnsi="Times New Roman" w:cs="Times New Roman"/>
          <w:sz w:val="24"/>
          <w:szCs w:val="24"/>
        </w:rPr>
        <w:t>Sujata</w:t>
      </w:r>
      <w:proofErr w:type="spellEnd"/>
      <w:r w:rsidRPr="00084CD2">
        <w:rPr>
          <w:rFonts w:ascii="Times New Roman" w:hAnsi="Times New Roman" w:cs="Times New Roman"/>
          <w:sz w:val="24"/>
          <w:szCs w:val="24"/>
        </w:rPr>
        <w:t xml:space="preserve">, 2010; </w:t>
      </w:r>
      <w:proofErr w:type="spellStart"/>
      <w:r w:rsidRPr="00084CD2">
        <w:rPr>
          <w:rFonts w:ascii="Times New Roman" w:hAnsi="Times New Roman" w:cs="Times New Roman"/>
          <w:sz w:val="24"/>
          <w:szCs w:val="24"/>
        </w:rPr>
        <w:t>Brintha</w:t>
      </w:r>
      <w:proofErr w:type="spellEnd"/>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et al</w:t>
      </w:r>
      <w:r w:rsidRPr="00084CD2">
        <w:rPr>
          <w:rFonts w:ascii="Times New Roman" w:hAnsi="Times New Roman" w:cs="Times New Roman"/>
          <w:sz w:val="24"/>
          <w:szCs w:val="24"/>
        </w:rPr>
        <w:t>., 2014).</w:t>
      </w:r>
    </w:p>
    <w:p w14:paraId="1B748F82" w14:textId="2E732A00" w:rsidR="008D0929" w:rsidRPr="00084CD2" w:rsidRDefault="00ED0E14"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No obstante, la evidencia empírica sugiere que existe una dualidad entre capacidad predictiva e interpretación estructural, donde los modelos SARIMA tienden a optimizar el pronóstico, mientras que los modelos UCM aportan mayor comprensión del comportamiento económico subyacente. Esta brecha justifica la comparación metodológica planteada en la presente investigación.</w:t>
      </w:r>
      <w:r w:rsidR="00E02E75" w:rsidRPr="00084CD2">
        <w:rPr>
          <w:rFonts w:ascii="Times New Roman" w:hAnsi="Times New Roman" w:cs="Times New Roman"/>
          <w:sz w:val="24"/>
          <w:szCs w:val="24"/>
        </w:rPr>
        <w:t xml:space="preserve"> Sin embargo, enfoques híbridos </w:t>
      </w:r>
      <w:r w:rsidR="003F1A88" w:rsidRPr="00084CD2">
        <w:rPr>
          <w:rFonts w:ascii="Times New Roman" w:hAnsi="Times New Roman" w:cs="Times New Roman"/>
          <w:sz w:val="24"/>
          <w:szCs w:val="24"/>
        </w:rPr>
        <w:t>(</w:t>
      </w:r>
      <w:proofErr w:type="spellStart"/>
      <w:r w:rsidR="003F1A88" w:rsidRPr="00084CD2">
        <w:rPr>
          <w:rFonts w:ascii="Times New Roman" w:hAnsi="Times New Roman" w:cs="Times New Roman"/>
          <w:sz w:val="24"/>
          <w:szCs w:val="24"/>
        </w:rPr>
        <w:t>Makridakis</w:t>
      </w:r>
      <w:proofErr w:type="spellEnd"/>
      <w:r w:rsidR="003F1A88" w:rsidRPr="00084CD2">
        <w:rPr>
          <w:rFonts w:ascii="Times New Roman" w:hAnsi="Times New Roman" w:cs="Times New Roman"/>
          <w:sz w:val="24"/>
          <w:szCs w:val="24"/>
        </w:rPr>
        <w:t xml:space="preserve"> </w:t>
      </w:r>
      <w:r w:rsidR="003F1A88" w:rsidRPr="00084CD2">
        <w:rPr>
          <w:rFonts w:ascii="Times New Roman" w:hAnsi="Times New Roman" w:cs="Times New Roman"/>
          <w:i/>
          <w:iCs/>
          <w:sz w:val="24"/>
          <w:szCs w:val="24"/>
        </w:rPr>
        <w:t>et al</w:t>
      </w:r>
      <w:r w:rsidR="003F1A88" w:rsidRPr="00084CD2">
        <w:rPr>
          <w:rFonts w:ascii="Times New Roman" w:hAnsi="Times New Roman" w:cs="Times New Roman"/>
          <w:sz w:val="24"/>
          <w:szCs w:val="24"/>
        </w:rPr>
        <w:t xml:space="preserve">., 2022) </w:t>
      </w:r>
      <w:r w:rsidR="00E02E75" w:rsidRPr="00084CD2">
        <w:rPr>
          <w:rFonts w:ascii="Times New Roman" w:hAnsi="Times New Roman" w:cs="Times New Roman"/>
          <w:sz w:val="24"/>
          <w:szCs w:val="24"/>
        </w:rPr>
        <w:t xml:space="preserve">han mostrado mejoras significativas al emplear técnicas de machine </w:t>
      </w:r>
      <w:proofErr w:type="spellStart"/>
      <w:r w:rsidR="00E02E75" w:rsidRPr="00084CD2">
        <w:rPr>
          <w:rFonts w:ascii="Times New Roman" w:hAnsi="Times New Roman" w:cs="Times New Roman"/>
          <w:sz w:val="24"/>
          <w:szCs w:val="24"/>
        </w:rPr>
        <w:t>learning</w:t>
      </w:r>
      <w:proofErr w:type="spellEnd"/>
      <w:r w:rsidR="00E02E75" w:rsidRPr="00084CD2">
        <w:rPr>
          <w:rFonts w:ascii="Times New Roman" w:hAnsi="Times New Roman" w:cs="Times New Roman"/>
          <w:sz w:val="24"/>
          <w:szCs w:val="24"/>
        </w:rPr>
        <w:t xml:space="preserve"> (</w:t>
      </w:r>
      <w:proofErr w:type="spellStart"/>
      <w:r w:rsidR="00E02E75" w:rsidRPr="00084CD2">
        <w:rPr>
          <w:rFonts w:ascii="Times New Roman" w:hAnsi="Times New Roman" w:cs="Times New Roman"/>
          <w:sz w:val="24"/>
          <w:szCs w:val="24"/>
        </w:rPr>
        <w:t>Hewamalage</w:t>
      </w:r>
      <w:proofErr w:type="spellEnd"/>
      <w:r w:rsidR="00E02E75" w:rsidRPr="00084CD2">
        <w:rPr>
          <w:rFonts w:ascii="Times New Roman" w:hAnsi="Times New Roman" w:cs="Times New Roman"/>
          <w:sz w:val="24"/>
          <w:szCs w:val="24"/>
        </w:rPr>
        <w:t xml:space="preserve"> </w:t>
      </w:r>
      <w:r w:rsidR="00E02E75" w:rsidRPr="00084CD2">
        <w:rPr>
          <w:rFonts w:ascii="Times New Roman" w:hAnsi="Times New Roman" w:cs="Times New Roman"/>
          <w:i/>
          <w:iCs/>
          <w:sz w:val="24"/>
          <w:szCs w:val="24"/>
        </w:rPr>
        <w:t>et al</w:t>
      </w:r>
      <w:r w:rsidR="00E02E75" w:rsidRPr="00084CD2">
        <w:rPr>
          <w:rFonts w:ascii="Times New Roman" w:hAnsi="Times New Roman" w:cs="Times New Roman"/>
          <w:sz w:val="24"/>
          <w:szCs w:val="24"/>
        </w:rPr>
        <w:t>., 2021).</w:t>
      </w:r>
    </w:p>
    <w:p w14:paraId="40C39391" w14:textId="49957B01" w:rsidR="00B1226F" w:rsidRPr="00084CD2" w:rsidRDefault="00484B70"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A pesar de ello</w:t>
      </w:r>
      <w:r w:rsidR="008D0929" w:rsidRPr="00084CD2">
        <w:rPr>
          <w:rFonts w:ascii="Times New Roman" w:hAnsi="Times New Roman" w:cs="Times New Roman"/>
          <w:sz w:val="24"/>
          <w:szCs w:val="24"/>
        </w:rPr>
        <w:t xml:space="preserve">, puede persistir la sobreestimación, la cual puede atribuirse a la presencia de choques estructurales recientes en la economía, particularmente asociados a presiones inflacionarias </w:t>
      </w:r>
      <w:proofErr w:type="spellStart"/>
      <w:r w:rsidR="008D0929" w:rsidRPr="00084CD2">
        <w:rPr>
          <w:rFonts w:ascii="Times New Roman" w:hAnsi="Times New Roman" w:cs="Times New Roman"/>
          <w:sz w:val="24"/>
          <w:szCs w:val="24"/>
        </w:rPr>
        <w:t>post-pandemia</w:t>
      </w:r>
      <w:proofErr w:type="spellEnd"/>
      <w:r w:rsidR="008D0929" w:rsidRPr="00084CD2">
        <w:rPr>
          <w:rFonts w:ascii="Times New Roman" w:hAnsi="Times New Roman" w:cs="Times New Roman"/>
          <w:sz w:val="24"/>
          <w:szCs w:val="24"/>
        </w:rPr>
        <w:t>, ajustes en la política monetaria y disrupciones en cadenas de suministro (</w:t>
      </w:r>
      <w:r w:rsidR="0051147B" w:rsidRPr="00084CD2">
        <w:rPr>
          <w:rFonts w:ascii="Times New Roman" w:hAnsi="Times New Roman" w:cs="Times New Roman"/>
          <w:sz w:val="24"/>
          <w:szCs w:val="24"/>
        </w:rPr>
        <w:t>FMI</w:t>
      </w:r>
      <w:r w:rsidR="008D0929" w:rsidRPr="00084CD2">
        <w:rPr>
          <w:rFonts w:ascii="Times New Roman" w:hAnsi="Times New Roman" w:cs="Times New Roman"/>
          <w:sz w:val="24"/>
          <w:szCs w:val="24"/>
        </w:rPr>
        <w:t xml:space="preserve">, 2023). Dado que ambos enfoques corresponden a modelos </w:t>
      </w:r>
      <w:proofErr w:type="spellStart"/>
      <w:r w:rsidR="008D0929" w:rsidRPr="00084CD2">
        <w:rPr>
          <w:rFonts w:ascii="Times New Roman" w:hAnsi="Times New Roman" w:cs="Times New Roman"/>
          <w:sz w:val="24"/>
          <w:szCs w:val="24"/>
        </w:rPr>
        <w:t>univariados</w:t>
      </w:r>
      <w:proofErr w:type="spellEnd"/>
      <w:r w:rsidR="008D0929" w:rsidRPr="00084CD2">
        <w:rPr>
          <w:rFonts w:ascii="Times New Roman" w:hAnsi="Times New Roman" w:cs="Times New Roman"/>
          <w:sz w:val="24"/>
          <w:szCs w:val="24"/>
        </w:rPr>
        <w:t>, su capacidad para incorporar cambios abruptos en variables exógenas es limitada, lo que puede inducir sesgos sistemáticos en el horizonte de proyección. En este sentido, la sobreestimación observada no representa una deficiencia metodológica, sino una evidencia empírica de las restricciones inherentes a este tipo de modelos</w:t>
      </w:r>
      <w:r w:rsidR="00205879" w:rsidRPr="00084CD2">
        <w:rPr>
          <w:rFonts w:ascii="Times New Roman" w:hAnsi="Times New Roman" w:cs="Times New Roman"/>
          <w:sz w:val="24"/>
          <w:szCs w:val="24"/>
        </w:rPr>
        <w:t xml:space="preserve"> (Duran </w:t>
      </w:r>
      <w:r w:rsidR="00205879" w:rsidRPr="00084CD2">
        <w:rPr>
          <w:rFonts w:ascii="Times New Roman" w:hAnsi="Times New Roman" w:cs="Times New Roman"/>
          <w:i/>
          <w:iCs/>
          <w:sz w:val="24"/>
          <w:szCs w:val="24"/>
        </w:rPr>
        <w:t>et al</w:t>
      </w:r>
      <w:r w:rsidR="00205879" w:rsidRPr="00084CD2">
        <w:rPr>
          <w:rFonts w:ascii="Times New Roman" w:hAnsi="Times New Roman" w:cs="Times New Roman"/>
          <w:sz w:val="24"/>
          <w:szCs w:val="24"/>
        </w:rPr>
        <w:t>., 2012)</w:t>
      </w:r>
      <w:r w:rsidR="00084CD2">
        <w:rPr>
          <w:rFonts w:ascii="Times New Roman" w:hAnsi="Times New Roman" w:cs="Times New Roman"/>
          <w:sz w:val="24"/>
          <w:szCs w:val="24"/>
        </w:rPr>
        <w:t>.</w:t>
      </w:r>
    </w:p>
    <w:p w14:paraId="5BA650C8" w14:textId="282F407F" w:rsidR="00A75E68" w:rsidRPr="00084CD2" w:rsidRDefault="00E63554"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El trabajo de investigación tuvo como objetivo predecir el Índice Nacional de Precios al Consumidor empleando dos enfoques de series de tiempo: </w:t>
      </w:r>
      <w:r w:rsidR="00BB0F77" w:rsidRPr="00084CD2">
        <w:rPr>
          <w:rFonts w:ascii="Times New Roman" w:hAnsi="Times New Roman" w:cs="Times New Roman"/>
          <w:sz w:val="24"/>
          <w:szCs w:val="24"/>
        </w:rPr>
        <w:t>c</w:t>
      </w:r>
      <w:r w:rsidRPr="00084CD2">
        <w:rPr>
          <w:rFonts w:ascii="Times New Roman" w:hAnsi="Times New Roman" w:cs="Times New Roman"/>
          <w:sz w:val="24"/>
          <w:szCs w:val="24"/>
        </w:rPr>
        <w:t xml:space="preserve">omponentes no </w:t>
      </w:r>
      <w:r w:rsidR="00BB0F77" w:rsidRPr="00084CD2">
        <w:rPr>
          <w:rFonts w:ascii="Times New Roman" w:hAnsi="Times New Roman" w:cs="Times New Roman"/>
          <w:sz w:val="24"/>
          <w:szCs w:val="24"/>
        </w:rPr>
        <w:t>o</w:t>
      </w:r>
      <w:r w:rsidRPr="00084CD2">
        <w:rPr>
          <w:rFonts w:ascii="Times New Roman" w:hAnsi="Times New Roman" w:cs="Times New Roman"/>
          <w:sz w:val="24"/>
          <w:szCs w:val="24"/>
        </w:rPr>
        <w:t xml:space="preserve">bservables (UCM) y el modelo </w:t>
      </w:r>
      <w:r w:rsidR="00BB0F77" w:rsidRPr="00084CD2">
        <w:rPr>
          <w:rFonts w:ascii="Times New Roman" w:hAnsi="Times New Roman" w:cs="Times New Roman"/>
          <w:sz w:val="24"/>
          <w:szCs w:val="24"/>
        </w:rPr>
        <w:t>e</w:t>
      </w:r>
      <w:r w:rsidRPr="00084CD2">
        <w:rPr>
          <w:rFonts w:ascii="Times New Roman" w:hAnsi="Times New Roman" w:cs="Times New Roman"/>
          <w:sz w:val="24"/>
          <w:szCs w:val="24"/>
        </w:rPr>
        <w:t xml:space="preserve">stacional </w:t>
      </w:r>
      <w:r w:rsidR="00BB0F77" w:rsidRPr="00084CD2">
        <w:rPr>
          <w:rFonts w:ascii="Times New Roman" w:hAnsi="Times New Roman" w:cs="Times New Roman"/>
          <w:sz w:val="24"/>
          <w:szCs w:val="24"/>
        </w:rPr>
        <w:t>a</w:t>
      </w:r>
      <w:r w:rsidRPr="00084CD2">
        <w:rPr>
          <w:rFonts w:ascii="Times New Roman" w:hAnsi="Times New Roman" w:cs="Times New Roman"/>
          <w:sz w:val="24"/>
          <w:szCs w:val="24"/>
        </w:rPr>
        <w:t xml:space="preserve">utorregresivo </w:t>
      </w:r>
      <w:r w:rsidR="00BB0F77" w:rsidRPr="00084CD2">
        <w:rPr>
          <w:rFonts w:ascii="Times New Roman" w:hAnsi="Times New Roman" w:cs="Times New Roman"/>
          <w:sz w:val="24"/>
          <w:szCs w:val="24"/>
        </w:rPr>
        <w:t>i</w:t>
      </w:r>
      <w:r w:rsidRPr="00084CD2">
        <w:rPr>
          <w:rFonts w:ascii="Times New Roman" w:hAnsi="Times New Roman" w:cs="Times New Roman"/>
          <w:sz w:val="24"/>
          <w:szCs w:val="24"/>
        </w:rPr>
        <w:t xml:space="preserve">ntegrado de </w:t>
      </w:r>
      <w:r w:rsidR="00BB0F77" w:rsidRPr="00084CD2">
        <w:rPr>
          <w:rFonts w:ascii="Times New Roman" w:hAnsi="Times New Roman" w:cs="Times New Roman"/>
          <w:sz w:val="24"/>
          <w:szCs w:val="24"/>
        </w:rPr>
        <w:t>m</w:t>
      </w:r>
      <w:r w:rsidRPr="00084CD2">
        <w:rPr>
          <w:rFonts w:ascii="Times New Roman" w:hAnsi="Times New Roman" w:cs="Times New Roman"/>
          <w:sz w:val="24"/>
          <w:szCs w:val="24"/>
        </w:rPr>
        <w:t xml:space="preserve">edia </w:t>
      </w:r>
      <w:r w:rsidR="00BB0F77" w:rsidRPr="00084CD2">
        <w:rPr>
          <w:rFonts w:ascii="Times New Roman" w:hAnsi="Times New Roman" w:cs="Times New Roman"/>
          <w:sz w:val="24"/>
          <w:szCs w:val="24"/>
        </w:rPr>
        <w:t>m</w:t>
      </w:r>
      <w:r w:rsidRPr="00084CD2">
        <w:rPr>
          <w:rFonts w:ascii="Times New Roman" w:hAnsi="Times New Roman" w:cs="Times New Roman"/>
          <w:sz w:val="24"/>
          <w:szCs w:val="24"/>
        </w:rPr>
        <w:t xml:space="preserve">óvil (SARIMA) para contrastar su desempeño. </w:t>
      </w:r>
      <w:r w:rsidR="00A75E68" w:rsidRPr="00084CD2">
        <w:rPr>
          <w:rFonts w:ascii="Times New Roman" w:hAnsi="Times New Roman" w:cs="Times New Roman"/>
          <w:sz w:val="24"/>
          <w:szCs w:val="24"/>
        </w:rPr>
        <w:t>Bajo el criterio de parsimonia, se planteó que, al comparar ambos métodos, el modelo estructural UCM presentaría una configuración de</w:t>
      </w:r>
      <w:r w:rsidR="00484B70" w:rsidRPr="00084CD2">
        <w:rPr>
          <w:rFonts w:ascii="Times New Roman" w:hAnsi="Times New Roman" w:cs="Times New Roman"/>
          <w:sz w:val="24"/>
          <w:szCs w:val="24"/>
        </w:rPr>
        <w:t xml:space="preserve"> componentes </w:t>
      </w:r>
      <w:r w:rsidR="00A75E68" w:rsidRPr="00084CD2">
        <w:rPr>
          <w:rFonts w:ascii="Times New Roman" w:hAnsi="Times New Roman" w:cs="Times New Roman"/>
          <w:sz w:val="24"/>
          <w:szCs w:val="24"/>
        </w:rPr>
        <w:t>equivalente a la del modelo SARIMA, además de que su descomposición reflejaría de manera clara los periodos de estabilidad o variabilidad presentes en la serie analizada.</w:t>
      </w:r>
    </w:p>
    <w:p w14:paraId="32EB6078" w14:textId="77777777" w:rsidR="00F0183D" w:rsidRPr="00084CD2" w:rsidRDefault="00F0183D" w:rsidP="000F35DD">
      <w:pPr>
        <w:spacing w:after="0" w:line="360" w:lineRule="auto"/>
        <w:contextualSpacing/>
        <w:jc w:val="both"/>
        <w:rPr>
          <w:rFonts w:ascii="Times New Roman" w:hAnsi="Times New Roman" w:cs="Times New Roman"/>
          <w:sz w:val="24"/>
          <w:szCs w:val="24"/>
        </w:rPr>
      </w:pPr>
    </w:p>
    <w:p w14:paraId="1A155080" w14:textId="2C5E06F9" w:rsidR="004D5842" w:rsidRPr="00084CD2" w:rsidRDefault="00EF2556" w:rsidP="000F35DD">
      <w:pPr>
        <w:spacing w:after="0" w:line="360" w:lineRule="auto"/>
        <w:contextualSpacing/>
        <w:jc w:val="center"/>
        <w:rPr>
          <w:rFonts w:ascii="Times New Roman" w:hAnsi="Times New Roman" w:cs="Times New Roman"/>
          <w:b/>
          <w:sz w:val="32"/>
          <w:szCs w:val="32"/>
        </w:rPr>
      </w:pPr>
      <w:r w:rsidRPr="00084CD2">
        <w:rPr>
          <w:rFonts w:ascii="Times New Roman" w:hAnsi="Times New Roman" w:cs="Times New Roman"/>
          <w:b/>
          <w:sz w:val="32"/>
          <w:szCs w:val="32"/>
        </w:rPr>
        <w:t>M</w:t>
      </w:r>
      <w:r w:rsidR="00C05BE0" w:rsidRPr="00084CD2">
        <w:rPr>
          <w:rFonts w:ascii="Times New Roman" w:hAnsi="Times New Roman" w:cs="Times New Roman"/>
          <w:b/>
          <w:sz w:val="32"/>
          <w:szCs w:val="32"/>
        </w:rPr>
        <w:t>ateriales y métodos</w:t>
      </w:r>
    </w:p>
    <w:p w14:paraId="7CEE61EA" w14:textId="76F32160" w:rsidR="00600656" w:rsidRPr="00084CD2" w:rsidRDefault="008A2DFC"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Se recurrió a un</w:t>
      </w:r>
      <w:r w:rsidR="00484B70" w:rsidRPr="00084CD2">
        <w:rPr>
          <w:rFonts w:ascii="Times New Roman" w:hAnsi="Times New Roman" w:cs="Times New Roman"/>
          <w:sz w:val="24"/>
          <w:szCs w:val="24"/>
        </w:rPr>
        <w:t xml:space="preserve">a serie histórica </w:t>
      </w:r>
      <w:r w:rsidRPr="00084CD2">
        <w:rPr>
          <w:rFonts w:ascii="Times New Roman" w:hAnsi="Times New Roman" w:cs="Times New Roman"/>
          <w:sz w:val="24"/>
          <w:szCs w:val="24"/>
        </w:rPr>
        <w:t>de datos acumulados</w:t>
      </w:r>
      <w:r w:rsidR="00600656" w:rsidRPr="00084CD2">
        <w:rPr>
          <w:rFonts w:ascii="Times New Roman" w:hAnsi="Times New Roman" w:cs="Times New Roman"/>
          <w:sz w:val="24"/>
          <w:szCs w:val="24"/>
        </w:rPr>
        <w:t xml:space="preserve"> del INPC</w:t>
      </w:r>
      <w:r w:rsidRPr="00084CD2">
        <w:rPr>
          <w:rFonts w:ascii="Times New Roman" w:hAnsi="Times New Roman" w:cs="Times New Roman"/>
          <w:sz w:val="24"/>
          <w:szCs w:val="24"/>
        </w:rPr>
        <w:t>,</w:t>
      </w:r>
      <w:r w:rsidR="00600656" w:rsidRPr="00084CD2">
        <w:rPr>
          <w:rFonts w:ascii="Times New Roman" w:hAnsi="Times New Roman" w:cs="Times New Roman"/>
          <w:sz w:val="24"/>
          <w:szCs w:val="24"/>
        </w:rPr>
        <w:t xml:space="preserve"> que abarcó de enero de 2002 a</w:t>
      </w:r>
      <w:r w:rsidR="004E5106" w:rsidRPr="00084CD2">
        <w:rPr>
          <w:rFonts w:ascii="Times New Roman" w:hAnsi="Times New Roman" w:cs="Times New Roman"/>
          <w:sz w:val="24"/>
          <w:szCs w:val="24"/>
        </w:rPr>
        <w:t xml:space="preserve"> diciembre</w:t>
      </w:r>
      <w:r w:rsidR="00600656" w:rsidRPr="00084CD2">
        <w:rPr>
          <w:rFonts w:ascii="Times New Roman" w:hAnsi="Times New Roman" w:cs="Times New Roman"/>
          <w:sz w:val="24"/>
          <w:szCs w:val="24"/>
        </w:rPr>
        <w:t xml:space="preserve"> de 202</w:t>
      </w:r>
      <w:r w:rsidR="004E5106" w:rsidRPr="00084CD2">
        <w:rPr>
          <w:rFonts w:ascii="Times New Roman" w:hAnsi="Times New Roman" w:cs="Times New Roman"/>
          <w:sz w:val="24"/>
          <w:szCs w:val="24"/>
        </w:rPr>
        <w:t>5</w:t>
      </w:r>
      <w:r w:rsidR="00600656" w:rsidRPr="00084CD2">
        <w:rPr>
          <w:rFonts w:ascii="Times New Roman" w:hAnsi="Times New Roman" w:cs="Times New Roman"/>
          <w:sz w:val="24"/>
          <w:szCs w:val="24"/>
        </w:rPr>
        <w:t xml:space="preserve"> (INEGI, 202</w:t>
      </w:r>
      <w:r w:rsidR="003E4379" w:rsidRPr="00084CD2">
        <w:rPr>
          <w:rFonts w:ascii="Times New Roman" w:hAnsi="Times New Roman" w:cs="Times New Roman"/>
          <w:sz w:val="24"/>
          <w:szCs w:val="24"/>
        </w:rPr>
        <w:t>5</w:t>
      </w:r>
      <w:r w:rsidR="00A55AB6" w:rsidRPr="00084CD2">
        <w:rPr>
          <w:rFonts w:ascii="Times New Roman" w:hAnsi="Times New Roman" w:cs="Times New Roman"/>
          <w:sz w:val="24"/>
          <w:szCs w:val="24"/>
        </w:rPr>
        <w:t>b</w:t>
      </w:r>
      <w:r w:rsidR="00600656" w:rsidRPr="00084CD2">
        <w:rPr>
          <w:rFonts w:ascii="Times New Roman" w:hAnsi="Times New Roman" w:cs="Times New Roman"/>
          <w:sz w:val="24"/>
          <w:szCs w:val="24"/>
        </w:rPr>
        <w:t xml:space="preserve">). </w:t>
      </w:r>
      <w:r w:rsidR="00484B70" w:rsidRPr="00084CD2">
        <w:rPr>
          <w:rFonts w:ascii="Times New Roman" w:hAnsi="Times New Roman" w:cs="Times New Roman"/>
          <w:sz w:val="24"/>
          <w:szCs w:val="24"/>
        </w:rPr>
        <w:t>Se aplicó una</w:t>
      </w:r>
      <w:r w:rsidR="00600656" w:rsidRPr="00084CD2">
        <w:rPr>
          <w:rFonts w:ascii="Times New Roman" w:hAnsi="Times New Roman" w:cs="Times New Roman"/>
          <w:sz w:val="24"/>
          <w:szCs w:val="24"/>
        </w:rPr>
        <w:t xml:space="preserve"> </w:t>
      </w:r>
      <w:r w:rsidR="00484B70" w:rsidRPr="00084CD2">
        <w:rPr>
          <w:rFonts w:ascii="Times New Roman" w:hAnsi="Times New Roman" w:cs="Times New Roman"/>
          <w:sz w:val="24"/>
          <w:szCs w:val="24"/>
        </w:rPr>
        <w:t xml:space="preserve">transformación </w:t>
      </w:r>
      <w:r w:rsidR="00600656" w:rsidRPr="00084CD2">
        <w:rPr>
          <w:rFonts w:ascii="Times New Roman" w:hAnsi="Times New Roman" w:cs="Times New Roman"/>
          <w:sz w:val="24"/>
          <w:szCs w:val="24"/>
        </w:rPr>
        <w:t>logarítmica a la serie para evitar problemas de unidades o magnitudes (</w:t>
      </w:r>
      <w:proofErr w:type="spellStart"/>
      <w:r w:rsidR="00600656" w:rsidRPr="00084CD2">
        <w:rPr>
          <w:rFonts w:ascii="Times New Roman" w:hAnsi="Times New Roman" w:cs="Times New Roman"/>
          <w:sz w:val="24"/>
          <w:szCs w:val="24"/>
        </w:rPr>
        <w:t>Sabau</w:t>
      </w:r>
      <w:proofErr w:type="spellEnd"/>
      <w:r w:rsidR="00600656" w:rsidRPr="00084CD2">
        <w:rPr>
          <w:rFonts w:ascii="Times New Roman" w:hAnsi="Times New Roman" w:cs="Times New Roman"/>
          <w:sz w:val="24"/>
          <w:szCs w:val="24"/>
        </w:rPr>
        <w:t>, 2011) y facilitar la comparación entre modelos.</w:t>
      </w:r>
    </w:p>
    <w:p w14:paraId="0FFF941B" w14:textId="2E3E4976" w:rsidR="004D5842" w:rsidRPr="00084CD2" w:rsidRDefault="00290E7A" w:rsidP="00084CD2">
      <w:pPr>
        <w:spacing w:after="0" w:line="360" w:lineRule="auto"/>
        <w:contextualSpacing/>
        <w:jc w:val="center"/>
        <w:rPr>
          <w:rFonts w:ascii="Times New Roman" w:hAnsi="Times New Roman" w:cs="Times New Roman"/>
          <w:b/>
          <w:sz w:val="28"/>
          <w:szCs w:val="28"/>
        </w:rPr>
      </w:pPr>
      <w:r w:rsidRPr="00084CD2">
        <w:rPr>
          <w:rFonts w:ascii="Times New Roman" w:hAnsi="Times New Roman" w:cs="Times New Roman"/>
          <w:b/>
          <w:sz w:val="28"/>
          <w:szCs w:val="28"/>
        </w:rPr>
        <w:lastRenderedPageBreak/>
        <w:t>Modelo UCM</w:t>
      </w:r>
    </w:p>
    <w:p w14:paraId="17260853" w14:textId="069CA744" w:rsidR="00337F9A" w:rsidRPr="00084CD2" w:rsidRDefault="00245667"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Se desarrolló la configuración básica del modelo estructural </w:t>
      </w:r>
      <w:r w:rsidR="00290E7A" w:rsidRPr="00084CD2">
        <w:rPr>
          <w:rFonts w:ascii="Times New Roman" w:hAnsi="Times New Roman" w:cs="Times New Roman"/>
          <w:sz w:val="24"/>
          <w:szCs w:val="24"/>
        </w:rPr>
        <w:t>(BSM, por sus siglas en inglés)</w:t>
      </w:r>
      <w:r w:rsidR="007A3357" w:rsidRPr="00084CD2">
        <w:rPr>
          <w:rFonts w:ascii="Times New Roman" w:hAnsi="Times New Roman" w:cs="Times New Roman"/>
          <w:sz w:val="24"/>
          <w:szCs w:val="24"/>
        </w:rPr>
        <w:t xml:space="preserve">, en referencia a </w:t>
      </w:r>
      <w:proofErr w:type="spellStart"/>
      <w:r w:rsidR="007A3357" w:rsidRPr="00084CD2">
        <w:rPr>
          <w:rFonts w:ascii="Times New Roman" w:hAnsi="Times New Roman" w:cs="Times New Roman"/>
          <w:sz w:val="24"/>
          <w:szCs w:val="24"/>
        </w:rPr>
        <w:t>Pelagatti</w:t>
      </w:r>
      <w:proofErr w:type="spellEnd"/>
      <w:r w:rsidR="007A3357" w:rsidRPr="00084CD2">
        <w:rPr>
          <w:rFonts w:ascii="Times New Roman" w:hAnsi="Times New Roman" w:cs="Times New Roman"/>
          <w:sz w:val="24"/>
          <w:szCs w:val="24"/>
        </w:rPr>
        <w:t xml:space="preserve"> (2016) donde</w:t>
      </w:r>
      <w:r w:rsidR="00484B70" w:rsidRPr="00084CD2">
        <w:rPr>
          <w:rFonts w:ascii="Times New Roman" w:hAnsi="Times New Roman" w:cs="Times New Roman"/>
          <w:sz w:val="24"/>
          <w:szCs w:val="24"/>
        </w:rPr>
        <w:t>,</w:t>
      </w:r>
      <w:r w:rsidR="007A3357" w:rsidRPr="00084CD2">
        <w:rPr>
          <w:rFonts w:ascii="Times New Roman" w:hAnsi="Times New Roman" w:cs="Times New Roman"/>
          <w:sz w:val="24"/>
          <w:szCs w:val="24"/>
        </w:rPr>
        <w:t xml:space="preserve"> con ajustes metodológicos propios</w:t>
      </w:r>
      <w:r w:rsidR="00484B70" w:rsidRPr="00084CD2">
        <w:rPr>
          <w:rFonts w:ascii="Times New Roman" w:hAnsi="Times New Roman" w:cs="Times New Roman"/>
          <w:sz w:val="24"/>
          <w:szCs w:val="24"/>
        </w:rPr>
        <w:t xml:space="preserve">, </w:t>
      </w:r>
      <w:r w:rsidR="007A3357" w:rsidRPr="00084CD2">
        <w:rPr>
          <w:rFonts w:ascii="Times New Roman" w:hAnsi="Times New Roman" w:cs="Times New Roman"/>
          <w:sz w:val="24"/>
          <w:szCs w:val="24"/>
        </w:rPr>
        <w:t>l</w:t>
      </w:r>
      <w:r w:rsidR="00290E7A" w:rsidRPr="00084CD2">
        <w:rPr>
          <w:rFonts w:ascii="Times New Roman" w:hAnsi="Times New Roman" w:cs="Times New Roman"/>
          <w:sz w:val="24"/>
          <w:szCs w:val="24"/>
        </w:rPr>
        <w:t>a ecuación estimada es:</w:t>
      </w:r>
    </w:p>
    <w:p w14:paraId="6A702C4D" w14:textId="42C97D45" w:rsidR="00D92C72" w:rsidRPr="00084CD2" w:rsidRDefault="00172A5A" w:rsidP="000F35DD">
      <w:pPr>
        <w:spacing w:after="0" w:line="360" w:lineRule="auto"/>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290E7A" w:rsidRPr="00084CD2">
        <w:rPr>
          <w:rFonts w:ascii="Times New Roman" w:hAnsi="Times New Roman" w:cs="Times New Roman"/>
          <w:sz w:val="24"/>
          <w:szCs w:val="24"/>
        </w:rPr>
        <w:t xml:space="preserve"> </w:t>
      </w:r>
      <w:r w:rsidR="00341FD4" w:rsidRPr="00084CD2">
        <w:rPr>
          <w:rFonts w:ascii="Times New Roman" w:hAnsi="Times New Roman" w:cs="Times New Roman"/>
          <w:sz w:val="24"/>
          <w:szCs w:val="24"/>
        </w:rPr>
        <w:t xml:space="preserve">                                                                                                       (1)</w:t>
      </w:r>
    </w:p>
    <w:p w14:paraId="6C606E1F" w14:textId="77777777" w:rsidR="00341FD4" w:rsidRPr="00084CD2" w:rsidRDefault="00341FD4" w:rsidP="000F35DD">
      <w:pPr>
        <w:spacing w:after="0"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rPr>
        <w:t>Donde:</w:t>
      </w:r>
    </w:p>
    <w:p w14:paraId="4A6D8788" w14:textId="10C50843" w:rsidR="00AB1170" w:rsidRPr="00084CD2" w:rsidRDefault="00172A5A" w:rsidP="000F35DD">
      <w:pPr>
        <w:spacing w:after="0" w:line="360" w:lineRule="auto"/>
        <w:contextualSpacing/>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t</m:t>
            </m:r>
          </m:sub>
        </m:sSub>
      </m:oMath>
      <w:r w:rsidR="00AB1170" w:rsidRPr="00084CD2">
        <w:rPr>
          <w:rFonts w:ascii="Times New Roman" w:eastAsiaTheme="minorEastAsia" w:hAnsi="Times New Roman" w:cs="Times New Roman"/>
          <w:sz w:val="24"/>
          <w:szCs w:val="24"/>
        </w:rPr>
        <w:t xml:space="preserve">                                                                                                          </w:t>
      </w:r>
      <w:r w:rsidR="00AB1170" w:rsidRPr="00084CD2">
        <w:rPr>
          <w:rFonts w:ascii="Times New Roman" w:hAnsi="Times New Roman" w:cs="Times New Roman"/>
          <w:sz w:val="24"/>
          <w:szCs w:val="24"/>
        </w:rPr>
        <w:t>(1.1)</w:t>
      </w:r>
    </w:p>
    <w:p w14:paraId="6D4C5142" w14:textId="46D7A84B" w:rsidR="00025DE2" w:rsidRPr="00084CD2" w:rsidRDefault="00172A5A" w:rsidP="000F35DD">
      <w:pPr>
        <w:spacing w:after="0" w:line="36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ξ</m:t>
              </m:r>
            </m:e>
            <m:sub>
              <m:r>
                <w:rPr>
                  <w:rFonts w:ascii="Cambria Math" w:eastAsiaTheme="minorEastAsia" w:hAnsi="Cambria Math" w:cs="Times New Roman"/>
                  <w:sz w:val="24"/>
                  <w:szCs w:val="24"/>
                </w:rPr>
                <m:t>t</m:t>
              </m:r>
            </m:sub>
          </m:sSub>
        </m:oMath>
      </m:oMathPara>
    </w:p>
    <w:p w14:paraId="6FE9A3F9" w14:textId="5A60121F" w:rsidR="005625BA" w:rsidRPr="00084CD2" w:rsidRDefault="007A3357" w:rsidP="00084CD2">
      <w:pPr>
        <w:spacing w:after="0" w:line="360" w:lineRule="auto"/>
        <w:ind w:firstLine="1134"/>
        <w:contextualSpacing/>
        <w:jc w:val="both"/>
        <w:rPr>
          <w:rFonts w:ascii="Times New Roman" w:hAnsi="Times New Roman" w:cs="Times New Roman"/>
          <w:sz w:val="24"/>
          <w:szCs w:val="24"/>
        </w:rPr>
      </w:pPr>
      <w:r w:rsidRPr="00084CD2">
        <w:rPr>
          <w:rFonts w:ascii="Times New Roman" w:eastAsiaTheme="minorEastAsia" w:hAnsi="Times New Roman" w:cs="Times New Roman"/>
          <w:sz w:val="24"/>
          <w:szCs w:val="24"/>
        </w:rPr>
        <w:t>En el modelo estructural,</w:t>
      </w:r>
      <w:r w:rsidR="00B1314A" w:rsidRPr="00084CD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484B70" w:rsidRPr="00084CD2">
        <w:rPr>
          <w:rFonts w:ascii="Times New Roman" w:eastAsiaTheme="minorEastAsia" w:hAnsi="Times New Roman" w:cs="Times New Roman"/>
          <w:sz w:val="24"/>
          <w:szCs w:val="24"/>
        </w:rPr>
        <w:t xml:space="preserve"> </w:t>
      </w:r>
      <w:r w:rsidR="00A006AE" w:rsidRPr="00084CD2">
        <w:rPr>
          <w:rFonts w:ascii="Times New Roman" w:eastAsiaTheme="minorEastAsia" w:hAnsi="Times New Roman" w:cs="Times New Roman"/>
          <w:sz w:val="24"/>
          <w:szCs w:val="24"/>
        </w:rPr>
        <w:t>corresponde al conjunto de datos temporales que se estudia y para el cual se estiman proyecciones</w:t>
      </w:r>
      <w:r w:rsidR="00B1314A" w:rsidRPr="00084CD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w:r w:rsidR="00341FD4" w:rsidRPr="00084CD2">
        <w:rPr>
          <w:rFonts w:ascii="Times New Roman" w:hAnsi="Times New Roman" w:cs="Times New Roman"/>
          <w:sz w:val="24"/>
          <w:szCs w:val="24"/>
        </w:rPr>
        <w:t xml:space="preserve"> </w:t>
      </w:r>
      <w:r w:rsidR="00484B70" w:rsidRPr="00084CD2">
        <w:rPr>
          <w:rFonts w:ascii="Times New Roman" w:hAnsi="Times New Roman" w:cs="Times New Roman"/>
          <w:sz w:val="24"/>
          <w:szCs w:val="24"/>
        </w:rPr>
        <w:t xml:space="preserve">es el </w:t>
      </w:r>
      <w:r w:rsidR="0020198E" w:rsidRPr="00084CD2">
        <w:rPr>
          <w:rFonts w:ascii="Times New Roman" w:hAnsi="Times New Roman" w:cs="Times New Roman"/>
          <w:sz w:val="24"/>
          <w:szCs w:val="24"/>
        </w:rPr>
        <w:t>elemento</w:t>
      </w:r>
      <w:r w:rsidR="00B1314A" w:rsidRPr="00084CD2">
        <w:rPr>
          <w:rFonts w:ascii="Times New Roman" w:hAnsi="Times New Roman" w:cs="Times New Roman"/>
          <w:sz w:val="24"/>
          <w:szCs w:val="24"/>
        </w:rPr>
        <w:t xml:space="preserve"> de </w:t>
      </w:r>
      <w:r w:rsidR="00341FD4" w:rsidRPr="00084CD2">
        <w:rPr>
          <w:rFonts w:ascii="Times New Roman" w:hAnsi="Times New Roman" w:cs="Times New Roman"/>
          <w:sz w:val="24"/>
          <w:szCs w:val="24"/>
        </w:rPr>
        <w:t>tendencia</w:t>
      </w:r>
      <w:r w:rsidR="00B1314A" w:rsidRPr="00084CD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oMath>
      <w:r w:rsidR="00B1314A" w:rsidRPr="00084CD2">
        <w:rPr>
          <w:rFonts w:ascii="Times New Roman" w:eastAsiaTheme="minorEastAsia" w:hAnsi="Times New Roman" w:cs="Times New Roman"/>
          <w:sz w:val="24"/>
          <w:szCs w:val="24"/>
        </w:rPr>
        <w:t xml:space="preserve"> nivel,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m:t>
            </m:r>
          </m:sub>
        </m:sSub>
      </m:oMath>
      <w:r w:rsidR="00484B70" w:rsidRPr="00084CD2">
        <w:rPr>
          <w:rFonts w:ascii="Times New Roman" w:eastAsiaTheme="minorEastAsia" w:hAnsi="Times New Roman" w:cs="Times New Roman"/>
          <w:sz w:val="24"/>
          <w:szCs w:val="24"/>
        </w:rPr>
        <w:t xml:space="preserve"> </w:t>
      </w:r>
      <w:r w:rsidR="00B1314A" w:rsidRPr="00084CD2">
        <w:rPr>
          <w:rFonts w:ascii="Times New Roman" w:eastAsiaTheme="minorEastAsia" w:hAnsi="Times New Roman" w:cs="Times New Roman"/>
          <w:sz w:val="24"/>
          <w:szCs w:val="24"/>
        </w:rPr>
        <w:t>pendiente</w:t>
      </w:r>
      <w:r w:rsidR="002D5C1B" w:rsidRPr="00084CD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t</m:t>
            </m:r>
          </m:sub>
        </m:sSub>
      </m:oMath>
      <w:r w:rsidR="002D5C1B" w:rsidRPr="00084CD2">
        <w:rPr>
          <w:rFonts w:ascii="Times New Roman" w:eastAsiaTheme="minorEastAsia" w:hAnsi="Times New Roman" w:cs="Times New Roman"/>
          <w:sz w:val="24"/>
          <w:szCs w:val="24"/>
        </w:rPr>
        <w:t xml:space="preserve"> ruido blanco con varianza </w:t>
      </w:r>
      <m:oMath>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σ</m:t>
            </m:r>
          </m:e>
          <m:sub>
            <m:r>
              <w:rPr>
                <w:rFonts w:ascii="Cambria Math" w:hAnsi="Cambria Math"/>
                <w:sz w:val="24"/>
                <w:szCs w:val="24"/>
                <w:shd w:val="clear" w:color="auto" w:fill="FFFFFF"/>
              </w:rPr>
              <m:t>η</m:t>
            </m:r>
          </m:sub>
          <m:sup>
            <m:r>
              <w:rPr>
                <w:rFonts w:ascii="Cambria Math" w:hAnsi="Cambria Math"/>
                <w:sz w:val="24"/>
                <w:szCs w:val="24"/>
                <w:shd w:val="clear" w:color="auto" w:fill="FFFFFF"/>
              </w:rPr>
              <m:t>2</m:t>
            </m:r>
          </m:sup>
        </m:sSubSup>
      </m:oMath>
      <w:r w:rsidR="002D5C1B" w:rsidRPr="00084CD2">
        <w:rPr>
          <w:rFonts w:ascii="Times New Roman" w:eastAsiaTheme="minorEastAsia" w:hAnsi="Times New Roman" w:cs="Times New Roman"/>
          <w:sz w:val="24"/>
          <w:szCs w:val="24"/>
          <w:shd w:val="clear" w:color="auto" w:fill="FFFFFF"/>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ξ</m:t>
            </m:r>
          </m:e>
          <m:sub>
            <m:r>
              <w:rPr>
                <w:rFonts w:ascii="Cambria Math" w:eastAsiaTheme="minorEastAsia" w:hAnsi="Cambria Math" w:cs="Times New Roman"/>
                <w:sz w:val="24"/>
                <w:szCs w:val="24"/>
              </w:rPr>
              <m:t>t</m:t>
            </m:r>
          </m:sub>
        </m:sSub>
      </m:oMath>
      <w:r w:rsidR="002D5C1B" w:rsidRPr="00084CD2">
        <w:rPr>
          <w:rFonts w:ascii="Times New Roman" w:eastAsiaTheme="minorEastAsia" w:hAnsi="Times New Roman" w:cs="Times New Roman"/>
          <w:sz w:val="24"/>
          <w:szCs w:val="24"/>
        </w:rPr>
        <w:t xml:space="preserve"> ruido blanco con varianza </w:t>
      </w:r>
      <m:oMath>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σ</m:t>
            </m:r>
          </m:e>
          <m:sub>
            <m:r>
              <w:rPr>
                <w:rFonts w:ascii="Cambria Math" w:hAnsi="Cambria Math"/>
                <w:sz w:val="24"/>
                <w:szCs w:val="24"/>
                <w:shd w:val="clear" w:color="auto" w:fill="FFFFFF"/>
              </w:rPr>
              <m:t>ξ</m:t>
            </m:r>
          </m:sub>
          <m:sup>
            <m:r>
              <w:rPr>
                <w:rFonts w:ascii="Cambria Math" w:hAnsi="Cambria Math"/>
                <w:sz w:val="24"/>
                <w:szCs w:val="24"/>
                <w:shd w:val="clear" w:color="auto" w:fill="FFFFFF"/>
              </w:rPr>
              <m:t>2</m:t>
            </m:r>
          </m:sup>
        </m:sSubSup>
      </m:oMath>
      <w:r w:rsidR="00B1314A" w:rsidRPr="00084CD2">
        <w:rPr>
          <w:rFonts w:ascii="Times New Roman" w:eastAsiaTheme="minorEastAsia" w:hAnsi="Times New Roman" w:cs="Times New Roman"/>
          <w:sz w:val="24"/>
          <w:szCs w:val="24"/>
        </w:rPr>
        <w:t>)</w:t>
      </w:r>
      <w:r w:rsidR="00341FD4" w:rsidRPr="00084CD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oMath>
      <w:r w:rsidR="00341FD4" w:rsidRPr="00084CD2">
        <w:rPr>
          <w:rFonts w:ascii="Times New Roman" w:hAnsi="Times New Roman" w:cs="Times New Roman"/>
          <w:sz w:val="24"/>
          <w:szCs w:val="24"/>
        </w:rPr>
        <w:t xml:space="preserve"> </w:t>
      </w:r>
      <w:r w:rsidR="00A006AE" w:rsidRPr="00084CD2">
        <w:rPr>
          <w:rFonts w:ascii="Times New Roman" w:hAnsi="Times New Roman" w:cs="Times New Roman"/>
          <w:sz w:val="24"/>
          <w:szCs w:val="24"/>
        </w:rPr>
        <w:t>elemento</w:t>
      </w:r>
      <w:r w:rsidR="00B1314A" w:rsidRPr="00084CD2">
        <w:rPr>
          <w:rFonts w:ascii="Times New Roman" w:hAnsi="Times New Roman" w:cs="Times New Roman"/>
          <w:sz w:val="24"/>
          <w:szCs w:val="24"/>
        </w:rPr>
        <w:t xml:space="preserve"> estacional,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t</m:t>
            </m:r>
          </m:sub>
        </m:sSub>
      </m:oMath>
      <w:r w:rsidR="00A006AE" w:rsidRPr="00084CD2">
        <w:rPr>
          <w:rFonts w:ascii="Times New Roman" w:hAnsi="Times New Roman" w:cs="Times New Roman"/>
          <w:sz w:val="24"/>
          <w:szCs w:val="24"/>
        </w:rPr>
        <w:t xml:space="preserve"> elemento </w:t>
      </w:r>
      <w:r w:rsidR="00B1314A" w:rsidRPr="00084CD2">
        <w:rPr>
          <w:rFonts w:ascii="Times New Roman" w:hAnsi="Times New Roman" w:cs="Times New Roman"/>
          <w:sz w:val="24"/>
          <w:szCs w:val="24"/>
        </w:rPr>
        <w:t>de ciclo</w:t>
      </w:r>
      <w:r w:rsidR="00341FD4" w:rsidRPr="00084CD2">
        <w:rPr>
          <w:rFonts w:ascii="Times New Roman" w:hAnsi="Times New Roman" w:cs="Times New Roman"/>
          <w:sz w:val="24"/>
          <w:szCs w:val="24"/>
        </w:rPr>
        <w:t>,</w:t>
      </w:r>
      <w:r w:rsidR="00B1314A" w:rsidRPr="00084CD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B1314A" w:rsidRPr="00084CD2">
        <w:rPr>
          <w:rFonts w:ascii="Times New Roman" w:hAnsi="Times New Roman" w:cs="Times New Roman"/>
          <w:sz w:val="24"/>
          <w:szCs w:val="24"/>
        </w:rPr>
        <w:t xml:space="preserve"> </w:t>
      </w:r>
      <w:r w:rsidR="00A006AE" w:rsidRPr="00084CD2">
        <w:rPr>
          <w:rFonts w:ascii="Times New Roman" w:hAnsi="Times New Roman" w:cs="Times New Roman"/>
          <w:sz w:val="24"/>
          <w:szCs w:val="24"/>
        </w:rPr>
        <w:t>elemento</w:t>
      </w:r>
      <w:r w:rsidR="00B1314A" w:rsidRPr="00084CD2">
        <w:rPr>
          <w:rFonts w:ascii="Times New Roman" w:hAnsi="Times New Roman" w:cs="Times New Roman"/>
          <w:sz w:val="24"/>
          <w:szCs w:val="24"/>
        </w:rPr>
        <w:t xml:space="preserve"> irregular.</w:t>
      </w:r>
      <w:r w:rsidR="00AB49D8" w:rsidRPr="00084CD2">
        <w:rPr>
          <w:rFonts w:ascii="Times New Roman" w:hAnsi="Times New Roman" w:cs="Times New Roman"/>
          <w:sz w:val="24"/>
          <w:szCs w:val="24"/>
        </w:rPr>
        <w:t xml:space="preserve"> </w:t>
      </w:r>
      <w:r w:rsidRPr="00084CD2">
        <w:rPr>
          <w:rFonts w:ascii="Times New Roman" w:hAnsi="Times New Roman" w:cs="Times New Roman"/>
          <w:sz w:val="24"/>
          <w:szCs w:val="24"/>
        </w:rPr>
        <w:t>Según</w:t>
      </w:r>
      <w:r w:rsidR="00BA5BEE" w:rsidRPr="00084CD2">
        <w:rPr>
          <w:rFonts w:ascii="Times New Roman" w:hAnsi="Times New Roman" w:cs="Times New Roman"/>
          <w:sz w:val="24"/>
          <w:szCs w:val="24"/>
        </w:rPr>
        <w:t xml:space="preserve"> </w:t>
      </w:r>
      <w:proofErr w:type="spellStart"/>
      <w:r w:rsidR="00BA5BEE" w:rsidRPr="00084CD2">
        <w:rPr>
          <w:rFonts w:ascii="Times New Roman" w:hAnsi="Times New Roman" w:cs="Times New Roman"/>
          <w:sz w:val="24"/>
          <w:szCs w:val="24"/>
        </w:rPr>
        <w:t>Sabau</w:t>
      </w:r>
      <w:proofErr w:type="spellEnd"/>
      <w:r w:rsidR="00BA5BEE" w:rsidRPr="00084CD2">
        <w:rPr>
          <w:rFonts w:ascii="Times New Roman" w:hAnsi="Times New Roman" w:cs="Times New Roman"/>
          <w:sz w:val="24"/>
          <w:szCs w:val="24"/>
        </w:rPr>
        <w:t xml:space="preserve"> (2011)</w:t>
      </w:r>
      <w:r w:rsidR="00BC32A1" w:rsidRPr="00084CD2">
        <w:rPr>
          <w:rFonts w:ascii="Times New Roman" w:hAnsi="Times New Roman" w:cs="Times New Roman"/>
          <w:sz w:val="24"/>
          <w:szCs w:val="24"/>
        </w:rPr>
        <w:t>,</w:t>
      </w:r>
      <w:r w:rsidR="00BA5BEE" w:rsidRPr="00084CD2">
        <w:rPr>
          <w:rFonts w:ascii="Times New Roman" w:hAnsi="Times New Roman" w:cs="Times New Roman"/>
          <w:sz w:val="24"/>
          <w:szCs w:val="24"/>
        </w:rPr>
        <w:t xml:space="preserve"> </w:t>
      </w:r>
      <w:r w:rsidRPr="00084CD2">
        <w:rPr>
          <w:rFonts w:ascii="Times New Roman" w:hAnsi="Times New Roman" w:cs="Times New Roman"/>
          <w:sz w:val="24"/>
          <w:szCs w:val="24"/>
        </w:rPr>
        <w:t xml:space="preserve">los ciclos con periodicidades distintas a la estacional se modelan mediante </w:t>
      </w:r>
      <w:r w:rsidR="00A006AE" w:rsidRPr="00084CD2">
        <w:rPr>
          <w:rFonts w:ascii="Times New Roman" w:hAnsi="Times New Roman" w:cs="Times New Roman"/>
          <w:sz w:val="24"/>
          <w:szCs w:val="24"/>
        </w:rPr>
        <w:t>razones</w:t>
      </w:r>
      <w:r w:rsidRPr="00084CD2">
        <w:rPr>
          <w:rFonts w:ascii="Times New Roman" w:hAnsi="Times New Roman" w:cs="Times New Roman"/>
          <w:sz w:val="24"/>
          <w:szCs w:val="24"/>
        </w:rPr>
        <w:t xml:space="preserve"> trigonométricas como el seno y el coseno. </w:t>
      </w:r>
      <w:proofErr w:type="spellStart"/>
      <w:r w:rsidRPr="00084CD2">
        <w:rPr>
          <w:rFonts w:ascii="Times New Roman" w:hAnsi="Times New Roman" w:cs="Times New Roman"/>
          <w:sz w:val="24"/>
          <w:szCs w:val="24"/>
        </w:rPr>
        <w:t>Fomby</w:t>
      </w:r>
      <w:proofErr w:type="spellEnd"/>
      <w:r w:rsidRPr="00084CD2">
        <w:rPr>
          <w:rFonts w:ascii="Times New Roman" w:hAnsi="Times New Roman" w:cs="Times New Roman"/>
          <w:sz w:val="24"/>
          <w:szCs w:val="24"/>
        </w:rPr>
        <w:t xml:space="preserve"> (2008) propuso una formulación del </w:t>
      </w:r>
      <w:r w:rsidR="00A006AE" w:rsidRPr="00084CD2">
        <w:rPr>
          <w:rFonts w:ascii="Times New Roman" w:hAnsi="Times New Roman" w:cs="Times New Roman"/>
          <w:sz w:val="24"/>
          <w:szCs w:val="24"/>
        </w:rPr>
        <w:t>elemento</w:t>
      </w:r>
      <w:r w:rsidRPr="00084CD2">
        <w:rPr>
          <w:rFonts w:ascii="Times New Roman" w:hAnsi="Times New Roman" w:cs="Times New Roman"/>
          <w:sz w:val="24"/>
          <w:szCs w:val="24"/>
        </w:rPr>
        <w:t xml:space="preserve"> cíclico que se presenta a continuación:</w:t>
      </w:r>
    </w:p>
    <w:p w14:paraId="7144784C" w14:textId="68644254" w:rsidR="002D5C1B" w:rsidRPr="00084CD2" w:rsidRDefault="00172A5A" w:rsidP="000F35DD">
      <w:pPr>
        <w:spacing w:after="0" w:line="360" w:lineRule="auto"/>
        <w:contextualSpacing/>
        <w:jc w:val="both"/>
        <w:rPr>
          <w:rFonts w:ascii="Times New Roman" w:hAnsi="Times New Roman" w:cs="Times New Roman"/>
          <w:sz w:val="24"/>
          <w:szCs w:val="24"/>
        </w:rPr>
      </w:pP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m:t>
            </m:r>
          </m:sub>
        </m:sSub>
        <m:r>
          <w:rPr>
            <w:rFonts w:ascii="Cambria Math" w:eastAsiaTheme="minorEastAsia" w:hAnsi="Cambria Math" w:cs="Times New Roman"/>
            <w:sz w:val="24"/>
            <w:szCs w:val="24"/>
            <w:shd w:val="clear" w:color="auto" w:fill="FFFFFF"/>
          </w:rPr>
          <m:t>=</m:t>
        </m:r>
        <m:r>
          <w:rPr>
            <w:rFonts w:ascii="Cambria Math" w:hAnsi="Cambria Math"/>
            <w:sz w:val="24"/>
            <w:szCs w:val="24"/>
            <w:shd w:val="clear" w:color="auto" w:fill="FFFFFF"/>
          </w:rPr>
          <m:t>cosλ</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Sub>
        <m:r>
          <w:rPr>
            <w:rFonts w:ascii="Cambria Math" w:hAnsi="Cambria Math"/>
            <w:sz w:val="24"/>
            <w:szCs w:val="24"/>
            <w:shd w:val="clear" w:color="auto" w:fill="FFFFFF"/>
          </w:rPr>
          <m:t>+senλ</m:t>
        </m:r>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up>
            <m:r>
              <w:rPr>
                <w:rFonts w:ascii="Cambria Math" w:hAnsi="Cambria Math"/>
                <w:sz w:val="24"/>
                <w:szCs w:val="24"/>
                <w:shd w:val="clear" w:color="auto" w:fill="FFFFFF"/>
              </w:rPr>
              <m:t>*</m:t>
            </m:r>
          </m:sup>
        </m:sSubSup>
        <m:r>
          <w:rPr>
            <w:rFonts w:ascii="Cambria Math" w:hAnsi="Cambria Math"/>
            <w:sz w:val="24"/>
            <w:szCs w:val="24"/>
            <w:shd w:val="clear" w:color="auto" w:fill="FFFFFF"/>
          </w:rPr>
          <m:t>+</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v</m:t>
            </m:r>
          </m:e>
          <m:sub>
            <m:r>
              <w:rPr>
                <w:rFonts w:ascii="Cambria Math" w:hAnsi="Cambria Math"/>
                <w:sz w:val="24"/>
                <w:szCs w:val="24"/>
                <w:shd w:val="clear" w:color="auto" w:fill="FFFFFF"/>
              </w:rPr>
              <m:t>t</m:t>
            </m:r>
          </m:sub>
        </m:sSub>
      </m:oMath>
      <w:r w:rsidR="00AB1170" w:rsidRPr="00084CD2">
        <w:rPr>
          <w:rFonts w:ascii="Times New Roman" w:eastAsiaTheme="minorEastAsia" w:hAnsi="Times New Roman" w:cs="Times New Roman"/>
          <w:sz w:val="24"/>
          <w:szCs w:val="24"/>
          <w:shd w:val="clear" w:color="auto" w:fill="FFFFFF"/>
        </w:rPr>
        <w:t xml:space="preserve">                                                                                    </w:t>
      </w:r>
      <w:r w:rsidR="00AB1170" w:rsidRPr="00084CD2">
        <w:rPr>
          <w:rFonts w:ascii="Times New Roman" w:hAnsi="Times New Roman" w:cs="Times New Roman"/>
          <w:sz w:val="24"/>
          <w:szCs w:val="24"/>
        </w:rPr>
        <w:t>(1.2)</w:t>
      </w:r>
    </w:p>
    <w:p w14:paraId="2596068D" w14:textId="5C14A410" w:rsidR="005E3A90" w:rsidRPr="00084CD2" w:rsidRDefault="00172A5A" w:rsidP="000F35DD">
      <w:pPr>
        <w:spacing w:after="0" w:line="360" w:lineRule="auto"/>
        <w:contextualSpacing/>
        <w:jc w:val="both"/>
        <w:rPr>
          <w:rFonts w:ascii="Times New Roman" w:eastAsiaTheme="minorEastAsia" w:hAnsi="Times New Roman" w:cs="Times New Roman"/>
          <w:sz w:val="24"/>
          <w:szCs w:val="24"/>
          <w:shd w:val="clear" w:color="auto" w:fill="FFFFFF"/>
        </w:rPr>
      </w:pP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m:t>
            </m:r>
          </m:sub>
        </m:sSub>
        <m:r>
          <w:rPr>
            <w:rFonts w:ascii="Cambria Math" w:eastAsiaTheme="minorEastAsia" w:hAnsi="Cambria Math" w:cs="Times New Roman"/>
            <w:sz w:val="24"/>
            <w:szCs w:val="24"/>
            <w:shd w:val="clear" w:color="auto" w:fill="FFFFFF"/>
          </w:rPr>
          <m:t>=-</m:t>
        </m:r>
        <m:r>
          <w:rPr>
            <w:rFonts w:ascii="Cambria Math" w:hAnsi="Cambria Math"/>
            <w:sz w:val="24"/>
            <w:szCs w:val="24"/>
            <w:shd w:val="clear" w:color="auto" w:fill="FFFFFF"/>
          </w:rPr>
          <m:t>senλ</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Sub>
        <m:r>
          <w:rPr>
            <w:rFonts w:ascii="Cambria Math" w:hAnsi="Cambria Math"/>
            <w:sz w:val="24"/>
            <w:szCs w:val="24"/>
            <w:shd w:val="clear" w:color="auto" w:fill="FFFFFF"/>
          </w:rPr>
          <m:t>+cosλ</m:t>
        </m:r>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up>
            <m:r>
              <w:rPr>
                <w:rFonts w:ascii="Cambria Math" w:hAnsi="Cambria Math"/>
                <w:sz w:val="24"/>
                <w:szCs w:val="24"/>
                <w:shd w:val="clear" w:color="auto" w:fill="FFFFFF"/>
              </w:rPr>
              <m:t>*</m:t>
            </m:r>
          </m:sup>
        </m:sSubSup>
        <m:r>
          <w:rPr>
            <w:rFonts w:ascii="Cambria Math" w:eastAsiaTheme="minorEastAsia" w:hAnsi="Cambria Math" w:cs="Times New Roman"/>
            <w:sz w:val="24"/>
            <w:szCs w:val="24"/>
            <w:shd w:val="clear" w:color="auto" w:fill="FFFFFF"/>
          </w:rPr>
          <m:t>+</m:t>
        </m:r>
        <m:sSubSup>
          <m:sSubSupPr>
            <m:ctrlPr>
              <w:rPr>
                <w:rFonts w:ascii="Cambria Math" w:eastAsiaTheme="minorEastAsia" w:hAnsi="Cambria Math" w:cs="Times New Roman"/>
                <w:i/>
                <w:sz w:val="24"/>
                <w:szCs w:val="24"/>
                <w:shd w:val="clear" w:color="auto" w:fill="FFFFFF"/>
              </w:rPr>
            </m:ctrlPr>
          </m:sSubSupPr>
          <m:e>
            <m:r>
              <w:rPr>
                <w:rFonts w:ascii="Cambria Math" w:eastAsiaTheme="minorEastAsia" w:hAnsi="Cambria Math" w:cs="Times New Roman"/>
                <w:sz w:val="24"/>
                <w:szCs w:val="24"/>
                <w:shd w:val="clear" w:color="auto" w:fill="FFFFFF"/>
              </w:rPr>
              <m:t>ν</m:t>
            </m:r>
          </m:e>
          <m:sub>
            <m:r>
              <w:rPr>
                <w:rFonts w:ascii="Cambria Math" w:eastAsiaTheme="minorEastAsia" w:hAnsi="Cambria Math" w:cs="Times New Roman"/>
                <w:sz w:val="24"/>
                <w:szCs w:val="24"/>
                <w:shd w:val="clear" w:color="auto" w:fill="FFFFFF"/>
              </w:rPr>
              <m:t>t</m:t>
            </m:r>
          </m:sub>
          <m:sup>
            <m:r>
              <w:rPr>
                <w:rFonts w:ascii="Cambria Math" w:eastAsiaTheme="minorEastAsia" w:hAnsi="Cambria Math" w:cs="Times New Roman"/>
                <w:sz w:val="24"/>
                <w:szCs w:val="24"/>
                <w:shd w:val="clear" w:color="auto" w:fill="FFFFFF"/>
              </w:rPr>
              <m:t>*</m:t>
            </m:r>
          </m:sup>
        </m:sSubSup>
      </m:oMath>
      <w:r w:rsidR="00084CD2">
        <w:rPr>
          <w:rFonts w:ascii="Times New Roman" w:eastAsiaTheme="minorEastAsia" w:hAnsi="Times New Roman" w:cs="Times New Roman"/>
          <w:sz w:val="24"/>
          <w:szCs w:val="24"/>
          <w:shd w:val="clear" w:color="auto" w:fill="FFFFFF"/>
        </w:rPr>
        <w:t>z</w:t>
      </w:r>
    </w:p>
    <w:p w14:paraId="73918231" w14:textId="1EE6D3F4" w:rsidR="005625BA" w:rsidRPr="00084CD2" w:rsidRDefault="007A3357"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Las funciones trigonométricas básicas seno y coseno permiten representar el </w:t>
      </w:r>
      <w:r w:rsidR="0020198E" w:rsidRPr="00084CD2">
        <w:rPr>
          <w:rFonts w:ascii="Times New Roman" w:hAnsi="Times New Roman" w:cs="Times New Roman"/>
          <w:sz w:val="24"/>
          <w:szCs w:val="24"/>
        </w:rPr>
        <w:t>elemento</w:t>
      </w:r>
      <w:r w:rsidRPr="00084CD2">
        <w:rPr>
          <w:rFonts w:ascii="Times New Roman" w:hAnsi="Times New Roman" w:cs="Times New Roman"/>
          <w:sz w:val="24"/>
          <w:szCs w:val="24"/>
        </w:rPr>
        <w:t xml:space="preserve"> cíclico, en el cual </w:t>
      </w: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v</m:t>
            </m:r>
          </m:e>
          <m:sub>
            <m:r>
              <w:rPr>
                <w:rFonts w:ascii="Cambria Math" w:hAnsi="Cambria Math"/>
                <w:sz w:val="24"/>
                <w:szCs w:val="24"/>
                <w:shd w:val="clear" w:color="auto" w:fill="FFFFFF"/>
              </w:rPr>
              <m:t>t</m:t>
            </m:r>
          </m:sub>
        </m:sSub>
      </m:oMath>
      <w:r w:rsidRPr="00084CD2">
        <w:rPr>
          <w:rFonts w:ascii="Times New Roman" w:eastAsiaTheme="minorEastAsia" w:hAnsi="Times New Roman" w:cs="Times New Roman"/>
          <w:sz w:val="24"/>
          <w:szCs w:val="24"/>
          <w:shd w:val="clear" w:color="auto" w:fill="FFFFFF"/>
        </w:rPr>
        <w:t xml:space="preserve"> y </w:t>
      </w:r>
      <m:oMath>
        <m:sSubSup>
          <m:sSubSupPr>
            <m:ctrlPr>
              <w:rPr>
                <w:rFonts w:ascii="Cambria Math" w:eastAsiaTheme="minorEastAsia" w:hAnsi="Cambria Math" w:cs="Times New Roman"/>
                <w:i/>
                <w:sz w:val="24"/>
                <w:szCs w:val="24"/>
                <w:shd w:val="clear" w:color="auto" w:fill="FFFFFF"/>
              </w:rPr>
            </m:ctrlPr>
          </m:sSubSupPr>
          <m:e>
            <m:r>
              <w:rPr>
                <w:rFonts w:ascii="Cambria Math" w:eastAsiaTheme="minorEastAsia" w:hAnsi="Cambria Math" w:cs="Times New Roman"/>
                <w:sz w:val="24"/>
                <w:szCs w:val="24"/>
                <w:shd w:val="clear" w:color="auto" w:fill="FFFFFF"/>
              </w:rPr>
              <m:t>ν</m:t>
            </m:r>
          </m:e>
          <m:sub>
            <m:r>
              <w:rPr>
                <w:rFonts w:ascii="Cambria Math" w:eastAsiaTheme="minorEastAsia" w:hAnsi="Cambria Math" w:cs="Times New Roman"/>
                <w:sz w:val="24"/>
                <w:szCs w:val="24"/>
                <w:shd w:val="clear" w:color="auto" w:fill="FFFFFF"/>
              </w:rPr>
              <m:t>t</m:t>
            </m:r>
          </m:sub>
          <m:sup>
            <m:r>
              <w:rPr>
                <w:rFonts w:ascii="Cambria Math" w:eastAsiaTheme="minorEastAsia" w:hAnsi="Cambria Math" w:cs="Times New Roman"/>
                <w:sz w:val="24"/>
                <w:szCs w:val="24"/>
                <w:shd w:val="clear" w:color="auto" w:fill="FFFFFF"/>
              </w:rPr>
              <m:t>*</m:t>
            </m:r>
          </m:sup>
        </m:sSubSup>
      </m:oMath>
      <w:r w:rsidRPr="00084CD2">
        <w:rPr>
          <w:rFonts w:ascii="Times New Roman" w:hAnsi="Times New Roman" w:cs="Times New Roman"/>
          <w:sz w:val="24"/>
          <w:szCs w:val="24"/>
        </w:rPr>
        <w:t xml:space="preserve"> son perturbaciones aleatorias no correlacionadas entre sí ni con otros</w:t>
      </w:r>
      <w:r w:rsidR="0020198E" w:rsidRPr="00084CD2">
        <w:rPr>
          <w:rFonts w:ascii="Times New Roman" w:hAnsi="Times New Roman" w:cs="Times New Roman"/>
          <w:sz w:val="24"/>
          <w:szCs w:val="24"/>
        </w:rPr>
        <w:t xml:space="preserve"> elementos</w:t>
      </w:r>
      <w:r w:rsidRPr="00084CD2">
        <w:rPr>
          <w:rFonts w:ascii="Times New Roman" w:hAnsi="Times New Roman" w:cs="Times New Roman"/>
          <w:sz w:val="24"/>
          <w:szCs w:val="24"/>
        </w:rPr>
        <w:t>, y comparten una misma varianza</w:t>
      </w:r>
      <w:r w:rsidR="005F29F0" w:rsidRPr="00084CD2">
        <w:rPr>
          <w:rFonts w:ascii="Times New Roman" w:hAnsi="Times New Roman" w:cs="Times New Roman"/>
          <w:sz w:val="24"/>
          <w:szCs w:val="24"/>
        </w:rPr>
        <w:t xml:space="preserve"> </w:t>
      </w:r>
      <m:oMath>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σ</m:t>
            </m:r>
          </m:e>
          <m:sub>
            <m:r>
              <w:rPr>
                <w:rFonts w:ascii="Cambria Math" w:hAnsi="Cambria Math"/>
                <w:sz w:val="24"/>
                <w:szCs w:val="24"/>
                <w:shd w:val="clear" w:color="auto" w:fill="FFFFFF"/>
              </w:rPr>
              <m:t>ν</m:t>
            </m:r>
          </m:sub>
          <m:sup>
            <m:r>
              <w:rPr>
                <w:rFonts w:ascii="Cambria Math" w:hAnsi="Cambria Math"/>
                <w:sz w:val="24"/>
                <w:szCs w:val="24"/>
                <w:shd w:val="clear" w:color="auto" w:fill="FFFFFF"/>
              </w:rPr>
              <m:t>2</m:t>
            </m:r>
          </m:sup>
        </m:sSubSup>
      </m:oMath>
      <w:r w:rsidRPr="00084CD2">
        <w:rPr>
          <w:rFonts w:ascii="Times New Roman" w:hAnsi="Times New Roman" w:cs="Times New Roman"/>
          <w:sz w:val="24"/>
          <w:szCs w:val="24"/>
        </w:rPr>
        <w:t>​. La frecuencia</w:t>
      </w:r>
      <w:r w:rsidR="005F29F0" w:rsidRPr="00084CD2">
        <w:rPr>
          <w:rFonts w:ascii="Times New Roman" w:hAnsi="Times New Roman" w:cs="Times New Roman"/>
          <w:sz w:val="24"/>
          <w:szCs w:val="24"/>
        </w:rPr>
        <w:t xml:space="preserve"> </w:t>
      </w:r>
      <m:oMath>
        <m:r>
          <w:rPr>
            <w:rFonts w:ascii="Cambria Math" w:hAnsi="Cambria Math"/>
            <w:sz w:val="24"/>
            <w:szCs w:val="24"/>
            <w:shd w:val="clear" w:color="auto" w:fill="FFFFFF"/>
          </w:rPr>
          <m:t>λ</m:t>
        </m:r>
      </m:oMath>
      <w:r w:rsidR="005F29F0" w:rsidRPr="00084CD2">
        <w:rPr>
          <w:rFonts w:ascii="Times New Roman" w:eastAsiaTheme="minorEastAsia" w:hAnsi="Times New Roman" w:cs="Times New Roman"/>
          <w:sz w:val="24"/>
          <w:szCs w:val="24"/>
          <w:shd w:val="clear" w:color="auto" w:fill="FFFFFF"/>
        </w:rPr>
        <w:t>,</w:t>
      </w:r>
      <w:r w:rsidRPr="00084CD2">
        <w:rPr>
          <w:rFonts w:ascii="Times New Roman" w:hAnsi="Times New Roman" w:cs="Times New Roman"/>
          <w:sz w:val="24"/>
          <w:szCs w:val="24"/>
        </w:rPr>
        <w:t xml:space="preserve"> expresada en radianes, indica cuántas veces se repite el ciclo en un periodo de</w:t>
      </w:r>
      <w:r w:rsidR="005F29F0" w:rsidRPr="00084CD2">
        <w:rPr>
          <w:rFonts w:ascii="Times New Roman" w:hAnsi="Times New Roman" w:cs="Times New Roman"/>
          <w:sz w:val="24"/>
          <w:szCs w:val="24"/>
        </w:rPr>
        <w:t xml:space="preserve"> </w:t>
      </w:r>
      <w:r w:rsidR="005F29F0" w:rsidRPr="00084CD2">
        <w:rPr>
          <w:rFonts w:ascii="Times New Roman" w:eastAsiaTheme="minorEastAsia" w:hAnsi="Times New Roman" w:cs="Times New Roman"/>
          <w:bCs/>
          <w:sz w:val="24"/>
          <w:szCs w:val="24"/>
          <w:shd w:val="clear" w:color="auto" w:fill="FFFFFF"/>
        </w:rPr>
        <w:t>2π</w:t>
      </w:r>
      <w:r w:rsidRPr="00084CD2">
        <w:rPr>
          <w:rFonts w:ascii="Times New Roman" w:hAnsi="Times New Roman" w:cs="Times New Roman"/>
          <w:sz w:val="24"/>
          <w:szCs w:val="24"/>
        </w:rPr>
        <w:t xml:space="preserve">, por lo que el ciclo tiene una duración de </w:t>
      </w:r>
      <m:oMath>
        <m:f>
          <m:fPr>
            <m:type m:val="lin"/>
            <m:ctrlPr>
              <w:rPr>
                <w:rFonts w:ascii="Cambria Math" w:hAnsi="Cambria Math"/>
                <w:bCs/>
                <w:i/>
                <w:sz w:val="24"/>
                <w:szCs w:val="24"/>
                <w:shd w:val="clear" w:color="auto" w:fill="FFFFFF"/>
              </w:rPr>
            </m:ctrlPr>
          </m:fPr>
          <m:num>
            <m:r>
              <w:rPr>
                <w:rFonts w:ascii="Cambria Math" w:hAnsi="Cambria Math"/>
                <w:sz w:val="24"/>
                <w:szCs w:val="24"/>
                <w:shd w:val="clear" w:color="auto" w:fill="FFFFFF"/>
              </w:rPr>
              <m:t>2π</m:t>
            </m:r>
          </m:num>
          <m:den>
            <m:r>
              <w:rPr>
                <w:rFonts w:ascii="Cambria Math" w:hAnsi="Cambria Math"/>
                <w:sz w:val="24"/>
                <w:szCs w:val="24"/>
                <w:shd w:val="clear" w:color="auto" w:fill="FFFFFF"/>
              </w:rPr>
              <m:t>λ</m:t>
            </m:r>
          </m:den>
        </m:f>
      </m:oMath>
      <w:r w:rsidRPr="00084CD2">
        <w:rPr>
          <w:rFonts w:ascii="Times New Roman" w:hAnsi="Times New Roman" w:cs="Times New Roman"/>
          <w:sz w:val="24"/>
          <w:szCs w:val="24"/>
        </w:rPr>
        <w:t xml:space="preserve">. Según Vidal y Fundora (2004), complementando a Harvey (1989) y Fomby (2008), para capturar ciclos </w:t>
      </w:r>
      <w:r w:rsidR="005F29F0" w:rsidRPr="00084CD2">
        <w:rPr>
          <w:rFonts w:ascii="Times New Roman" w:hAnsi="Times New Roman" w:cs="Times New Roman"/>
          <w:sz w:val="24"/>
          <w:szCs w:val="24"/>
        </w:rPr>
        <w:t>falsos</w:t>
      </w:r>
      <w:r w:rsidRPr="00084CD2">
        <w:rPr>
          <w:rFonts w:ascii="Times New Roman" w:hAnsi="Times New Roman" w:cs="Times New Roman"/>
          <w:sz w:val="24"/>
          <w:szCs w:val="24"/>
        </w:rPr>
        <w:t xml:space="preserve"> típicos </w:t>
      </w:r>
      <w:r w:rsidR="005F29F0" w:rsidRPr="00084CD2">
        <w:rPr>
          <w:rFonts w:ascii="Times New Roman" w:hAnsi="Times New Roman" w:cs="Times New Roman"/>
          <w:sz w:val="24"/>
          <w:szCs w:val="24"/>
        </w:rPr>
        <w:t xml:space="preserve">que caracterizan </w:t>
      </w:r>
      <w:r w:rsidRPr="00084CD2">
        <w:rPr>
          <w:rFonts w:ascii="Times New Roman" w:hAnsi="Times New Roman" w:cs="Times New Roman"/>
          <w:sz w:val="24"/>
          <w:szCs w:val="24"/>
        </w:rPr>
        <w:t>series económicas, se incorpora un factor de amortiguació</w:t>
      </w:r>
      <w:r w:rsidR="005F29F0" w:rsidRPr="00084CD2">
        <w:rPr>
          <w:rFonts w:ascii="Times New Roman" w:hAnsi="Times New Roman" w:cs="Times New Roman"/>
          <w:sz w:val="24"/>
          <w:szCs w:val="24"/>
        </w:rPr>
        <w:t xml:space="preserve">n </w:t>
      </w:r>
      <m:oMath>
        <m:r>
          <w:rPr>
            <w:rFonts w:ascii="Cambria Math" w:hAnsi="Cambria Math"/>
            <w:sz w:val="24"/>
            <w:szCs w:val="24"/>
            <w:shd w:val="clear" w:color="auto" w:fill="FFFFFF"/>
          </w:rPr>
          <m:t>ρ</m:t>
        </m:r>
      </m:oMath>
      <w:r w:rsidRPr="00084CD2">
        <w:rPr>
          <w:rFonts w:ascii="Times New Roman" w:hAnsi="Times New Roman" w:cs="Times New Roman"/>
          <w:sz w:val="24"/>
          <w:szCs w:val="24"/>
        </w:rPr>
        <w:t>, que otorga mayor flexibilidad a la dinámica cíclica del modelo:</w:t>
      </w:r>
    </w:p>
    <w:p w14:paraId="303C7D79" w14:textId="512918DF" w:rsidR="002627E3" w:rsidRPr="00084CD2" w:rsidRDefault="00172A5A" w:rsidP="000F35DD">
      <w:pPr>
        <w:spacing w:after="0" w:line="360" w:lineRule="auto"/>
        <w:contextualSpacing/>
        <w:jc w:val="both"/>
        <w:rPr>
          <w:rFonts w:ascii="Times New Roman" w:hAnsi="Times New Roman" w:cs="Times New Roman"/>
          <w:sz w:val="24"/>
          <w:szCs w:val="24"/>
        </w:rPr>
      </w:pP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m:t>
            </m:r>
          </m:sub>
        </m:sSub>
        <m:r>
          <w:rPr>
            <w:rFonts w:ascii="Cambria Math" w:eastAsiaTheme="minorEastAsia" w:hAnsi="Cambria Math" w:cs="Times New Roman"/>
            <w:sz w:val="24"/>
            <w:szCs w:val="24"/>
            <w:shd w:val="clear" w:color="auto" w:fill="FFFFFF"/>
          </w:rPr>
          <m:t>=</m:t>
        </m:r>
        <m:r>
          <w:rPr>
            <w:rFonts w:ascii="Cambria Math" w:hAnsi="Cambria Math"/>
            <w:sz w:val="24"/>
            <w:szCs w:val="24"/>
            <w:shd w:val="clear" w:color="auto" w:fill="FFFFFF"/>
          </w:rPr>
          <m:t>ρcosλ</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Sub>
        <m:r>
          <w:rPr>
            <w:rFonts w:ascii="Cambria Math" w:hAnsi="Cambria Math"/>
            <w:sz w:val="24"/>
            <w:szCs w:val="24"/>
            <w:shd w:val="clear" w:color="auto" w:fill="FFFFFF"/>
          </w:rPr>
          <m:t>+ρsenλ</m:t>
        </m:r>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up>
            <m:r>
              <w:rPr>
                <w:rFonts w:ascii="Cambria Math" w:hAnsi="Cambria Math"/>
                <w:sz w:val="24"/>
                <w:szCs w:val="24"/>
                <w:shd w:val="clear" w:color="auto" w:fill="FFFFFF"/>
              </w:rPr>
              <m:t>*</m:t>
            </m:r>
          </m:sup>
        </m:sSubSup>
        <m:r>
          <w:rPr>
            <w:rFonts w:ascii="Cambria Math" w:hAnsi="Cambria Math"/>
            <w:sz w:val="24"/>
            <w:szCs w:val="24"/>
            <w:shd w:val="clear" w:color="auto" w:fill="FFFFFF"/>
          </w:rPr>
          <m:t>+</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v</m:t>
            </m:r>
          </m:e>
          <m:sub>
            <m:r>
              <w:rPr>
                <w:rFonts w:ascii="Cambria Math" w:hAnsi="Cambria Math"/>
                <w:sz w:val="24"/>
                <w:szCs w:val="24"/>
                <w:shd w:val="clear" w:color="auto" w:fill="FFFFFF"/>
              </w:rPr>
              <m:t>t</m:t>
            </m:r>
          </m:sub>
        </m:sSub>
      </m:oMath>
      <w:r w:rsidR="00AB1170" w:rsidRPr="00084CD2">
        <w:rPr>
          <w:rFonts w:ascii="Times New Roman" w:eastAsiaTheme="minorEastAsia" w:hAnsi="Times New Roman" w:cs="Times New Roman"/>
          <w:sz w:val="24"/>
          <w:szCs w:val="24"/>
          <w:shd w:val="clear" w:color="auto" w:fill="FFFFFF"/>
        </w:rPr>
        <w:t xml:space="preserve">                                                                                </w:t>
      </w:r>
      <w:r w:rsidR="00AB1170" w:rsidRPr="00084CD2">
        <w:rPr>
          <w:rFonts w:ascii="Times New Roman" w:hAnsi="Times New Roman" w:cs="Times New Roman"/>
          <w:sz w:val="24"/>
          <w:szCs w:val="24"/>
        </w:rPr>
        <w:t>(1.3)</w:t>
      </w:r>
    </w:p>
    <w:p w14:paraId="1BA6658C" w14:textId="77777777" w:rsidR="002627E3" w:rsidRPr="00084CD2" w:rsidRDefault="00172A5A" w:rsidP="000F35DD">
      <w:pPr>
        <w:spacing w:after="0" w:line="360" w:lineRule="auto"/>
        <w:contextualSpacing/>
        <w:jc w:val="both"/>
        <w:rPr>
          <w:rFonts w:ascii="Times New Roman" w:eastAsiaTheme="minorEastAsia" w:hAnsi="Times New Roman" w:cs="Times New Roman"/>
          <w:sz w:val="24"/>
          <w:szCs w:val="24"/>
          <w:shd w:val="clear" w:color="auto" w:fill="FFFFFF"/>
        </w:rPr>
      </w:pPr>
      <m:oMathPara>
        <m:oMathParaPr>
          <m:jc m:val="left"/>
        </m:oMathParaP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m:t>
              </m:r>
            </m:sub>
          </m:sSub>
          <m:r>
            <w:rPr>
              <w:rFonts w:ascii="Cambria Math" w:eastAsiaTheme="minorEastAsia" w:hAnsi="Cambria Math" w:cs="Times New Roman"/>
              <w:sz w:val="24"/>
              <w:szCs w:val="24"/>
              <w:shd w:val="clear" w:color="auto" w:fill="FFFFFF"/>
            </w:rPr>
            <m:t>=</m:t>
          </m:r>
          <m:r>
            <w:rPr>
              <w:rFonts w:ascii="Cambria Math" w:hAnsi="Cambria Math"/>
              <w:sz w:val="24"/>
              <w:szCs w:val="24"/>
              <w:shd w:val="clear" w:color="auto" w:fill="FFFFFF"/>
            </w:rPr>
            <m:t>ρsenλ</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Sub>
          <m:r>
            <w:rPr>
              <w:rFonts w:ascii="Cambria Math" w:hAnsi="Cambria Math"/>
              <w:sz w:val="24"/>
              <w:szCs w:val="24"/>
              <w:shd w:val="clear" w:color="auto" w:fill="FFFFFF"/>
            </w:rPr>
            <m:t>+ρcosλ</m:t>
          </m:r>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ψ</m:t>
              </m:r>
            </m:e>
            <m:sub>
              <m:r>
                <w:rPr>
                  <w:rFonts w:ascii="Cambria Math" w:hAnsi="Cambria Math"/>
                  <w:sz w:val="24"/>
                  <w:szCs w:val="24"/>
                  <w:shd w:val="clear" w:color="auto" w:fill="FFFFFF"/>
                </w:rPr>
                <m:t>t-1</m:t>
              </m:r>
            </m:sub>
            <m:sup>
              <m:r>
                <w:rPr>
                  <w:rFonts w:ascii="Cambria Math" w:hAnsi="Cambria Math"/>
                  <w:sz w:val="24"/>
                  <w:szCs w:val="24"/>
                  <w:shd w:val="clear" w:color="auto" w:fill="FFFFFF"/>
                </w:rPr>
                <m:t>*</m:t>
              </m:r>
            </m:sup>
          </m:sSubSup>
          <m:r>
            <w:rPr>
              <w:rFonts w:ascii="Cambria Math" w:eastAsiaTheme="minorEastAsia" w:hAnsi="Cambria Math" w:cs="Times New Roman"/>
              <w:sz w:val="24"/>
              <w:szCs w:val="24"/>
              <w:shd w:val="clear" w:color="auto" w:fill="FFFFFF"/>
            </w:rPr>
            <m:t>+</m:t>
          </m:r>
          <m:sSubSup>
            <m:sSubSupPr>
              <m:ctrlPr>
                <w:rPr>
                  <w:rFonts w:ascii="Cambria Math" w:eastAsiaTheme="minorEastAsia" w:hAnsi="Cambria Math" w:cs="Times New Roman"/>
                  <w:i/>
                  <w:sz w:val="24"/>
                  <w:szCs w:val="24"/>
                  <w:shd w:val="clear" w:color="auto" w:fill="FFFFFF"/>
                </w:rPr>
              </m:ctrlPr>
            </m:sSubSupPr>
            <m:e>
              <m:r>
                <w:rPr>
                  <w:rFonts w:ascii="Cambria Math" w:eastAsiaTheme="minorEastAsia" w:hAnsi="Cambria Math" w:cs="Times New Roman"/>
                  <w:sz w:val="24"/>
                  <w:szCs w:val="24"/>
                  <w:shd w:val="clear" w:color="auto" w:fill="FFFFFF"/>
                </w:rPr>
                <m:t>ν</m:t>
              </m:r>
            </m:e>
            <m:sub>
              <m:r>
                <w:rPr>
                  <w:rFonts w:ascii="Cambria Math" w:eastAsiaTheme="minorEastAsia" w:hAnsi="Cambria Math" w:cs="Times New Roman"/>
                  <w:sz w:val="24"/>
                  <w:szCs w:val="24"/>
                  <w:shd w:val="clear" w:color="auto" w:fill="FFFFFF"/>
                </w:rPr>
                <m:t>t</m:t>
              </m:r>
            </m:sub>
            <m:sup>
              <m:r>
                <w:rPr>
                  <w:rFonts w:ascii="Cambria Math" w:eastAsiaTheme="minorEastAsia" w:hAnsi="Cambria Math" w:cs="Times New Roman"/>
                  <w:sz w:val="24"/>
                  <w:szCs w:val="24"/>
                  <w:shd w:val="clear" w:color="auto" w:fill="FFFFFF"/>
                </w:rPr>
                <m:t>*</m:t>
              </m:r>
            </m:sup>
          </m:sSubSup>
        </m:oMath>
      </m:oMathPara>
    </w:p>
    <w:p w14:paraId="62D86FF3" w14:textId="185DFED3" w:rsidR="005625BA" w:rsidRPr="00084CD2" w:rsidRDefault="00A006AE" w:rsidP="000F35DD">
      <w:pPr>
        <w:spacing w:after="0" w:line="360" w:lineRule="auto"/>
        <w:contextualSpacing/>
        <w:jc w:val="both"/>
        <w:rPr>
          <w:rFonts w:ascii="Times New Roman" w:eastAsiaTheme="minorEastAsia" w:hAnsi="Times New Roman" w:cs="Times New Roman"/>
          <w:bCs/>
          <w:sz w:val="24"/>
          <w:szCs w:val="24"/>
          <w:shd w:val="clear" w:color="auto" w:fill="FFFFFF"/>
        </w:rPr>
      </w:pPr>
      <w:r w:rsidRPr="00084CD2">
        <w:rPr>
          <w:rFonts w:ascii="Times New Roman" w:hAnsi="Times New Roman" w:cs="Times New Roman"/>
          <w:sz w:val="24"/>
          <w:szCs w:val="24"/>
        </w:rPr>
        <w:t>Derivado del análisis anterior, el ciclo se define como estacionario siempre que</w:t>
      </w:r>
      <w:r w:rsidR="002627E3" w:rsidRPr="00084CD2">
        <w:rPr>
          <w:rFonts w:ascii="Times New Roman" w:hAnsi="Times New Roman" w:cs="Times New Roman"/>
          <w:sz w:val="24"/>
          <w:szCs w:val="24"/>
        </w:rPr>
        <w:t xml:space="preserve"> </w:t>
      </w:r>
      <m:oMath>
        <m:d>
          <m:dPr>
            <m:begChr m:val="|"/>
            <m:endChr m:val="|"/>
            <m:ctrlPr>
              <w:rPr>
                <w:rFonts w:ascii="Cambria Math" w:hAnsi="Cambria Math"/>
                <w:bCs/>
                <w:i/>
                <w:sz w:val="24"/>
                <w:szCs w:val="24"/>
                <w:shd w:val="clear" w:color="auto" w:fill="FFFFFF"/>
              </w:rPr>
            </m:ctrlPr>
          </m:dPr>
          <m:e>
            <m:r>
              <w:rPr>
                <w:rFonts w:ascii="Cambria Math" w:hAnsi="Cambria Math"/>
                <w:sz w:val="24"/>
                <w:szCs w:val="24"/>
                <w:shd w:val="clear" w:color="auto" w:fill="FFFFFF"/>
              </w:rPr>
              <m:t>ρ</m:t>
            </m:r>
          </m:e>
        </m:d>
        <m:r>
          <w:rPr>
            <w:rFonts w:ascii="Cambria Math" w:hAnsi="Cambria Math"/>
            <w:sz w:val="24"/>
            <w:szCs w:val="24"/>
            <w:shd w:val="clear" w:color="auto" w:fill="FFFFFF"/>
          </w:rPr>
          <m:t>&lt;1</m:t>
        </m:r>
      </m:oMath>
      <w:r w:rsidR="00480DC9" w:rsidRPr="00084CD2">
        <w:rPr>
          <w:rFonts w:ascii="Times New Roman" w:eastAsiaTheme="minorEastAsia" w:hAnsi="Times New Roman" w:cs="Times New Roman"/>
          <w:bCs/>
          <w:sz w:val="24"/>
          <w:szCs w:val="24"/>
          <w:shd w:val="clear" w:color="auto" w:fill="FFFFFF"/>
        </w:rPr>
        <w:t>.</w:t>
      </w:r>
    </w:p>
    <w:p w14:paraId="244BB59D" w14:textId="59985950" w:rsidR="002E4E31" w:rsidRPr="00084CD2" w:rsidRDefault="00A2399D" w:rsidP="000F35DD">
      <w:pPr>
        <w:spacing w:after="0" w:line="360" w:lineRule="auto"/>
        <w:contextualSpacing/>
        <w:jc w:val="both"/>
        <w:rPr>
          <w:rFonts w:ascii="Times New Roman" w:eastAsiaTheme="minorEastAsia" w:hAnsi="Times New Roman" w:cs="Times New Roman"/>
          <w:bCs/>
          <w:sz w:val="24"/>
          <w:szCs w:val="24"/>
          <w:shd w:val="clear" w:color="auto" w:fill="FFFFFF"/>
        </w:rPr>
      </w:pPr>
      <w:r w:rsidRPr="00084CD2">
        <w:rPr>
          <w:rFonts w:ascii="Times New Roman" w:eastAsiaTheme="minorEastAsia" w:hAnsi="Times New Roman" w:cs="Times New Roman"/>
          <w:bCs/>
          <w:sz w:val="24"/>
          <w:szCs w:val="24"/>
          <w:shd w:val="clear" w:color="auto" w:fill="FFFFFF"/>
        </w:rPr>
        <w:t xml:space="preserve">Para el </w:t>
      </w:r>
      <w:r w:rsidR="00A006AE" w:rsidRPr="00084CD2">
        <w:rPr>
          <w:rFonts w:ascii="Times New Roman" w:eastAsiaTheme="minorEastAsia" w:hAnsi="Times New Roman" w:cs="Times New Roman"/>
          <w:bCs/>
          <w:sz w:val="24"/>
          <w:szCs w:val="24"/>
          <w:shd w:val="clear" w:color="auto" w:fill="FFFFFF"/>
        </w:rPr>
        <w:t>elemento</w:t>
      </w:r>
      <w:r w:rsidRPr="00084CD2">
        <w:rPr>
          <w:rFonts w:ascii="Times New Roman" w:eastAsiaTheme="minorEastAsia" w:hAnsi="Times New Roman" w:cs="Times New Roman"/>
          <w:bCs/>
          <w:sz w:val="24"/>
          <w:szCs w:val="24"/>
          <w:shd w:val="clear" w:color="auto" w:fill="FFFFFF"/>
        </w:rPr>
        <w:t xml:space="preserve"> estacional: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19"/>
      </w:tblGrid>
      <w:tr w:rsidR="002E4E31" w:rsidRPr="00084CD2" w14:paraId="4DC421B6" w14:textId="77777777" w:rsidTr="002E4E31">
        <w:tc>
          <w:tcPr>
            <w:tcW w:w="4772" w:type="dxa"/>
          </w:tcPr>
          <w:p w14:paraId="078316F0" w14:textId="77777777" w:rsidR="002E4E31" w:rsidRPr="00084CD2" w:rsidRDefault="00172A5A" w:rsidP="000F35DD">
            <w:pPr>
              <w:spacing w:line="360" w:lineRule="auto"/>
              <w:contextualSpacing/>
              <w:jc w:val="both"/>
              <w:rPr>
                <w:rFonts w:ascii="Times New Roman" w:eastAsiaTheme="minorEastAsia" w:hAnsi="Times New Roman" w:cs="Times New Roman"/>
                <w:bCs/>
                <w:sz w:val="24"/>
                <w:szCs w:val="24"/>
                <w:shd w:val="clear" w:color="auto" w:fill="FFFFFF"/>
              </w:rPr>
            </w:pPr>
            <m:oMathPara>
              <m:oMathParaPr>
                <m:jc m:val="left"/>
              </m:oMathParaPr>
              <m:oMath>
                <m:nary>
                  <m:naryPr>
                    <m:chr m:val="∑"/>
                    <m:limLoc m:val="undOvr"/>
                    <m:ctrlPr>
                      <w:rPr>
                        <w:rFonts w:ascii="Cambria Math" w:hAnsi="Cambria Math"/>
                        <w:i/>
                        <w:sz w:val="24"/>
                        <w:szCs w:val="24"/>
                        <w:shd w:val="clear" w:color="auto" w:fill="FFFFFF"/>
                      </w:rPr>
                    </m:ctrlPr>
                  </m:naryPr>
                  <m:sub>
                    <m:r>
                      <w:rPr>
                        <w:rFonts w:ascii="Cambria Math" w:hAnsi="Cambria Math"/>
                        <w:sz w:val="24"/>
                        <w:szCs w:val="24"/>
                        <w:shd w:val="clear" w:color="auto" w:fill="FFFFFF"/>
                      </w:rPr>
                      <m:t>i=0</m:t>
                    </m:r>
                  </m:sub>
                  <m:sup>
                    <m:r>
                      <w:rPr>
                        <w:rFonts w:ascii="Cambria Math" w:hAnsi="Cambria Math"/>
                        <w:sz w:val="24"/>
                        <w:szCs w:val="24"/>
                        <w:shd w:val="clear" w:color="auto" w:fill="FFFFFF"/>
                      </w:rPr>
                      <m:t>s-1</m:t>
                    </m:r>
                  </m:sup>
                  <m:e>
                    <m:sSub>
                      <m:sSubPr>
                        <m:ctrlPr>
                          <w:rPr>
                            <w:rFonts w:ascii="Cambria Math" w:hAnsi="Cambria Math"/>
                            <w:i/>
                            <w:shd w:val="clear" w:color="auto" w:fill="FFFFFF"/>
                          </w:rPr>
                        </m:ctrlPr>
                      </m:sSubPr>
                      <m:e>
                        <m:r>
                          <w:rPr>
                            <w:rFonts w:ascii="Cambria Math" w:hAnsi="Cambria Math"/>
                            <w:shd w:val="clear" w:color="auto" w:fill="FFFFFF"/>
                          </w:rPr>
                          <m:t>γ</m:t>
                        </m:r>
                      </m:e>
                      <m:sub>
                        <m:r>
                          <w:rPr>
                            <w:rFonts w:ascii="Cambria Math" w:hAnsi="Cambria Math"/>
                            <w:shd w:val="clear" w:color="auto" w:fill="FFFFFF"/>
                          </w:rPr>
                          <m:t>t-i</m:t>
                        </m:r>
                      </m:sub>
                    </m:sSub>
                  </m:e>
                </m:nary>
                <m:r>
                  <w:rPr>
                    <w:rFonts w:ascii="Cambria Math" w:hAnsi="Cambria Math"/>
                    <w:sz w:val="24"/>
                    <w:szCs w:val="24"/>
                    <w:shd w:val="clear" w:color="auto" w:fill="FFFFFF"/>
                  </w:rPr>
                  <m:t>=</m:t>
                </m:r>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ω</m:t>
                    </m:r>
                  </m:e>
                  <m:sub>
                    <m:r>
                      <w:rPr>
                        <w:rFonts w:ascii="Cambria Math" w:hAnsi="Cambria Math"/>
                        <w:sz w:val="24"/>
                        <w:szCs w:val="24"/>
                        <w:shd w:val="clear" w:color="auto" w:fill="FFFFFF"/>
                      </w:rPr>
                      <m:t>t</m:t>
                    </m:r>
                  </m:sub>
                </m:sSub>
                <m:r>
                  <w:rPr>
                    <w:rFonts w:ascii="Cambria Math" w:hAnsi="Cambria Math"/>
                    <w:sz w:val="24"/>
                    <w:szCs w:val="24"/>
                    <w:shd w:val="clear" w:color="auto" w:fill="FFFFFF"/>
                  </w:rPr>
                  <m:t xml:space="preserve"> </m:t>
                </m:r>
              </m:oMath>
            </m:oMathPara>
          </w:p>
        </w:tc>
        <w:tc>
          <w:tcPr>
            <w:tcW w:w="4772" w:type="dxa"/>
          </w:tcPr>
          <w:p w14:paraId="4B13B2EE" w14:textId="77777777" w:rsidR="002E4E31" w:rsidRPr="00084CD2" w:rsidRDefault="002E4E31" w:rsidP="000F35DD">
            <w:pPr>
              <w:spacing w:line="360" w:lineRule="auto"/>
              <w:contextualSpacing/>
              <w:jc w:val="right"/>
              <w:rPr>
                <w:rFonts w:ascii="Times New Roman" w:eastAsiaTheme="minorEastAsia" w:hAnsi="Times New Roman" w:cs="Times New Roman"/>
                <w:bCs/>
                <w:sz w:val="24"/>
                <w:szCs w:val="24"/>
                <w:shd w:val="clear" w:color="auto" w:fill="FFFFFF"/>
              </w:rPr>
            </w:pPr>
            <w:r w:rsidRPr="00084CD2">
              <w:rPr>
                <w:rFonts w:ascii="Times New Roman" w:eastAsiaTheme="minorEastAsia" w:hAnsi="Times New Roman" w:cs="Times New Roman"/>
                <w:bCs/>
                <w:sz w:val="24"/>
                <w:szCs w:val="24"/>
                <w:shd w:val="clear" w:color="auto" w:fill="FFFFFF"/>
              </w:rPr>
              <w:t xml:space="preserve">                                                            </w:t>
            </w:r>
            <w:r w:rsidR="00F319A5" w:rsidRPr="00084CD2">
              <w:rPr>
                <w:rFonts w:ascii="Times New Roman" w:eastAsiaTheme="minorEastAsia" w:hAnsi="Times New Roman" w:cs="Times New Roman"/>
                <w:bCs/>
                <w:sz w:val="24"/>
                <w:szCs w:val="24"/>
                <w:shd w:val="clear" w:color="auto" w:fill="FFFFFF"/>
              </w:rPr>
              <w:t xml:space="preserve">     </w:t>
            </w:r>
            <w:r w:rsidRPr="00084CD2">
              <w:rPr>
                <w:rFonts w:ascii="Times New Roman" w:eastAsiaTheme="minorEastAsia" w:hAnsi="Times New Roman" w:cs="Times New Roman"/>
                <w:bCs/>
                <w:sz w:val="24"/>
                <w:szCs w:val="24"/>
                <w:shd w:val="clear" w:color="auto" w:fill="FFFFFF"/>
              </w:rPr>
              <w:t xml:space="preserve">   (1.4)</w:t>
            </w:r>
          </w:p>
        </w:tc>
      </w:tr>
    </w:tbl>
    <w:p w14:paraId="2D177A38" w14:textId="12C30422" w:rsidR="003102F0" w:rsidRPr="00084CD2" w:rsidRDefault="00A006AE" w:rsidP="009F0ECD">
      <w:pPr>
        <w:spacing w:after="0" w:line="360" w:lineRule="auto"/>
        <w:ind w:firstLine="1134"/>
        <w:contextualSpacing/>
        <w:jc w:val="both"/>
        <w:rPr>
          <w:rFonts w:ascii="Times New Roman" w:eastAsiaTheme="minorEastAsia" w:hAnsi="Times New Roman" w:cs="Times New Roman"/>
          <w:sz w:val="24"/>
          <w:szCs w:val="24"/>
          <w:shd w:val="clear" w:color="auto" w:fill="FFFFFF"/>
        </w:rPr>
      </w:pPr>
      <w:r w:rsidRPr="00084CD2">
        <w:rPr>
          <w:rFonts w:ascii="Times New Roman" w:eastAsiaTheme="minorEastAsia" w:hAnsi="Times New Roman" w:cs="Times New Roman"/>
          <w:bCs/>
          <w:sz w:val="24"/>
          <w:szCs w:val="24"/>
          <w:shd w:val="clear" w:color="auto" w:fill="FFFFFF"/>
        </w:rPr>
        <w:lastRenderedPageBreak/>
        <w:t>La acumulación de los impactos derivados de los efectos estacionales</w:t>
      </w:r>
      <w:r w:rsidR="005F617F" w:rsidRPr="00084CD2">
        <w:rPr>
          <w:rFonts w:ascii="Times New Roman" w:eastAsiaTheme="minorEastAsia" w:hAnsi="Times New Roman" w:cs="Times New Roman"/>
          <w:bCs/>
          <w:sz w:val="24"/>
          <w:szCs w:val="24"/>
          <w:shd w:val="clear" w:color="auto" w:fill="FFFFFF"/>
        </w:rPr>
        <w:t xml:space="preserve"> (</w:t>
      </w:r>
      <m:oMath>
        <m:sSub>
          <m:sSubPr>
            <m:ctrlPr>
              <w:rPr>
                <w:rFonts w:ascii="Cambria Math" w:hAnsi="Cambria Math"/>
                <w:i/>
                <w:sz w:val="24"/>
                <w:szCs w:val="24"/>
                <w:shd w:val="clear" w:color="auto" w:fill="FFFFFF"/>
              </w:rPr>
            </m:ctrlPr>
          </m:sSubPr>
          <m:e>
            <m:r>
              <w:rPr>
                <w:rFonts w:ascii="Cambria Math" w:hAnsi="Cambria Math"/>
                <w:sz w:val="24"/>
                <w:szCs w:val="24"/>
                <w:shd w:val="clear" w:color="auto" w:fill="FFFFFF"/>
              </w:rPr>
              <m:t>ω</m:t>
            </m:r>
          </m:e>
          <m:sub>
            <m:r>
              <w:rPr>
                <w:rFonts w:ascii="Cambria Math" w:hAnsi="Cambria Math"/>
                <w:sz w:val="24"/>
                <w:szCs w:val="24"/>
                <w:shd w:val="clear" w:color="auto" w:fill="FFFFFF"/>
              </w:rPr>
              <m:t>t</m:t>
            </m:r>
          </m:sub>
        </m:sSub>
      </m:oMath>
      <w:r w:rsidR="005F617F" w:rsidRPr="00084CD2">
        <w:rPr>
          <w:rFonts w:ascii="Times New Roman" w:eastAsiaTheme="minorEastAsia" w:hAnsi="Times New Roman" w:cs="Times New Roman"/>
          <w:sz w:val="24"/>
          <w:szCs w:val="24"/>
          <w:shd w:val="clear" w:color="auto" w:fill="FFFFFF"/>
        </w:rPr>
        <w:t xml:space="preserve">) </w:t>
      </w:r>
      <w:r w:rsidR="00246D99" w:rsidRPr="00084CD2">
        <w:rPr>
          <w:rFonts w:ascii="Times New Roman" w:eastAsiaTheme="minorEastAsia" w:hAnsi="Times New Roman" w:cs="Times New Roman"/>
          <w:sz w:val="24"/>
          <w:szCs w:val="24"/>
          <w:shd w:val="clear" w:color="auto" w:fill="FFFFFF"/>
        </w:rPr>
        <w:t>asume</w:t>
      </w:r>
      <w:r w:rsidR="005F617F" w:rsidRPr="00084CD2">
        <w:rPr>
          <w:rFonts w:ascii="Times New Roman" w:eastAsiaTheme="minorEastAsia" w:hAnsi="Times New Roman" w:cs="Times New Roman"/>
          <w:sz w:val="24"/>
          <w:szCs w:val="24"/>
          <w:shd w:val="clear" w:color="auto" w:fill="FFFFFF"/>
        </w:rPr>
        <w:t xml:space="preserve"> media </w:t>
      </w:r>
      <w:r w:rsidR="005E3A90" w:rsidRPr="00084CD2">
        <w:rPr>
          <w:rFonts w:ascii="Times New Roman" w:eastAsiaTheme="minorEastAsia" w:hAnsi="Times New Roman" w:cs="Times New Roman"/>
          <w:sz w:val="24"/>
          <w:szCs w:val="24"/>
          <w:shd w:val="clear" w:color="auto" w:fill="FFFFFF"/>
        </w:rPr>
        <w:t>cero, sin</w:t>
      </w:r>
      <w:r w:rsidR="005F29F0" w:rsidRPr="00084CD2">
        <w:rPr>
          <w:rFonts w:ascii="Times New Roman" w:eastAsiaTheme="minorEastAsia" w:hAnsi="Times New Roman" w:cs="Times New Roman"/>
          <w:sz w:val="24"/>
          <w:szCs w:val="24"/>
          <w:shd w:val="clear" w:color="auto" w:fill="FFFFFF"/>
        </w:rPr>
        <w:t xml:space="preserve"> embargo, su evolución depende de la varianza </w:t>
      </w:r>
      <m:oMath>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σ</m:t>
            </m:r>
          </m:e>
          <m:sub>
            <m:r>
              <w:rPr>
                <w:rFonts w:ascii="Cambria Math" w:hAnsi="Cambria Math"/>
                <w:sz w:val="24"/>
                <w:szCs w:val="24"/>
                <w:shd w:val="clear" w:color="auto" w:fill="FFFFFF"/>
              </w:rPr>
              <m:t>ω</m:t>
            </m:r>
          </m:sub>
          <m:sup>
            <m:r>
              <w:rPr>
                <w:rFonts w:ascii="Cambria Math" w:hAnsi="Cambria Math"/>
                <w:sz w:val="24"/>
                <w:szCs w:val="24"/>
                <w:shd w:val="clear" w:color="auto" w:fill="FFFFFF"/>
              </w:rPr>
              <m:t>2</m:t>
            </m:r>
          </m:sup>
        </m:sSubSup>
      </m:oMath>
      <w:r w:rsidR="005F29F0" w:rsidRPr="00084CD2">
        <w:rPr>
          <w:rFonts w:ascii="Times New Roman" w:eastAsiaTheme="minorEastAsia" w:hAnsi="Times New Roman" w:cs="Times New Roman"/>
          <w:sz w:val="24"/>
          <w:szCs w:val="24"/>
          <w:shd w:val="clear" w:color="auto" w:fill="FFFFFF"/>
        </w:rPr>
        <w:t xml:space="preserve">: si esta es pequeña, los efectos estacionales cambian lentamente; si es grande, se disipan rápidamente. </w:t>
      </w:r>
      <w:r w:rsidR="005F617F" w:rsidRPr="00084CD2">
        <w:rPr>
          <w:rFonts w:ascii="Times New Roman" w:eastAsiaTheme="minorEastAsia" w:hAnsi="Times New Roman" w:cs="Times New Roman"/>
          <w:sz w:val="24"/>
          <w:szCs w:val="24"/>
          <w:shd w:val="clear" w:color="auto" w:fill="FFFFFF"/>
        </w:rPr>
        <w:t xml:space="preserve">Cuando </w:t>
      </w:r>
      <m:oMath>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σ</m:t>
            </m:r>
          </m:e>
          <m:sub>
            <m:r>
              <w:rPr>
                <w:rFonts w:ascii="Cambria Math" w:hAnsi="Cambria Math"/>
                <w:sz w:val="24"/>
                <w:szCs w:val="24"/>
                <w:shd w:val="clear" w:color="auto" w:fill="FFFFFF"/>
              </w:rPr>
              <m:t>ω</m:t>
            </m:r>
          </m:sub>
          <m:sup>
            <m:r>
              <w:rPr>
                <w:rFonts w:ascii="Cambria Math" w:hAnsi="Cambria Math"/>
                <w:sz w:val="24"/>
                <w:szCs w:val="24"/>
                <w:shd w:val="clear" w:color="auto" w:fill="FFFFFF"/>
              </w:rPr>
              <m:t>2</m:t>
            </m:r>
          </m:sup>
        </m:sSubSup>
        <m:r>
          <w:rPr>
            <w:rFonts w:ascii="Cambria Math" w:hAnsi="Cambria Math"/>
            <w:sz w:val="24"/>
            <w:szCs w:val="24"/>
            <w:shd w:val="clear" w:color="auto" w:fill="FFFFFF"/>
          </w:rPr>
          <m:t>=0</m:t>
        </m:r>
      </m:oMath>
      <w:r w:rsidR="005F617F" w:rsidRPr="00084CD2">
        <w:rPr>
          <w:rFonts w:ascii="Times New Roman" w:eastAsiaTheme="minorEastAsia" w:hAnsi="Times New Roman" w:cs="Times New Roman"/>
          <w:sz w:val="24"/>
          <w:szCs w:val="24"/>
          <w:shd w:val="clear" w:color="auto" w:fill="FFFFFF"/>
        </w:rPr>
        <w:t xml:space="preserve">, </w:t>
      </w:r>
      <w:r w:rsidR="006D19A1" w:rsidRPr="00084CD2">
        <w:rPr>
          <w:rFonts w:ascii="Times New Roman" w:eastAsiaTheme="minorEastAsia" w:hAnsi="Times New Roman" w:cs="Times New Roman"/>
          <w:sz w:val="24"/>
          <w:szCs w:val="24"/>
          <w:shd w:val="clear" w:color="auto" w:fill="FFFFFF"/>
        </w:rPr>
        <w:t xml:space="preserve">las fluctuaciones estacionales permanecen constantes y no muestran cambios a lo largo del periodo analizado </w:t>
      </w:r>
      <w:r w:rsidR="00DF22AD" w:rsidRPr="00084CD2">
        <w:rPr>
          <w:rFonts w:ascii="Times New Roman" w:eastAsiaTheme="minorEastAsia" w:hAnsi="Times New Roman" w:cs="Times New Roman"/>
          <w:sz w:val="24"/>
          <w:szCs w:val="24"/>
          <w:shd w:val="clear" w:color="auto" w:fill="FFFFFF"/>
        </w:rPr>
        <w:t>(</w:t>
      </w:r>
      <w:proofErr w:type="spellStart"/>
      <w:r w:rsidR="00DF22AD" w:rsidRPr="00084CD2">
        <w:rPr>
          <w:rFonts w:ascii="Times New Roman" w:eastAsiaTheme="minorEastAsia" w:hAnsi="Times New Roman" w:cs="Times New Roman"/>
          <w:bCs/>
          <w:sz w:val="24"/>
          <w:szCs w:val="24"/>
          <w:shd w:val="clear" w:color="auto" w:fill="FFFFFF"/>
        </w:rPr>
        <w:t>Fomby</w:t>
      </w:r>
      <w:proofErr w:type="spellEnd"/>
      <w:r w:rsidR="00DF22AD" w:rsidRPr="00084CD2">
        <w:rPr>
          <w:rFonts w:ascii="Times New Roman" w:eastAsiaTheme="minorEastAsia" w:hAnsi="Times New Roman" w:cs="Times New Roman"/>
          <w:bCs/>
          <w:sz w:val="24"/>
          <w:szCs w:val="24"/>
          <w:shd w:val="clear" w:color="auto" w:fill="FFFFFF"/>
        </w:rPr>
        <w:t xml:space="preserve">, </w:t>
      </w:r>
      <w:r w:rsidR="005F617F" w:rsidRPr="00084CD2">
        <w:rPr>
          <w:rFonts w:ascii="Times New Roman" w:eastAsiaTheme="minorEastAsia" w:hAnsi="Times New Roman" w:cs="Times New Roman"/>
          <w:bCs/>
          <w:sz w:val="24"/>
          <w:szCs w:val="24"/>
          <w:shd w:val="clear" w:color="auto" w:fill="FFFFFF"/>
        </w:rPr>
        <w:t>2008)</w:t>
      </w:r>
      <w:r w:rsidR="00DF22AD" w:rsidRPr="00084CD2">
        <w:rPr>
          <w:rFonts w:ascii="Times New Roman" w:eastAsiaTheme="minorEastAsia" w:hAnsi="Times New Roman" w:cs="Times New Roman"/>
          <w:bCs/>
          <w:sz w:val="24"/>
          <w:szCs w:val="24"/>
          <w:shd w:val="clear" w:color="auto" w:fill="FFFFFF"/>
        </w:rPr>
        <w:t xml:space="preserve">. </w:t>
      </w:r>
      <w:r w:rsidR="005F29F0" w:rsidRPr="00084CD2">
        <w:rPr>
          <w:rFonts w:ascii="Times New Roman" w:eastAsiaTheme="minorEastAsia" w:hAnsi="Times New Roman" w:cs="Times New Roman"/>
          <w:bCs/>
          <w:sz w:val="24"/>
          <w:szCs w:val="24"/>
          <w:shd w:val="clear" w:color="auto" w:fill="FFFFFF"/>
        </w:rPr>
        <w:t xml:space="preserve">Según Vidal y </w:t>
      </w:r>
      <w:proofErr w:type="spellStart"/>
      <w:r w:rsidR="005F29F0" w:rsidRPr="00084CD2">
        <w:rPr>
          <w:rFonts w:ascii="Times New Roman" w:eastAsiaTheme="minorEastAsia" w:hAnsi="Times New Roman" w:cs="Times New Roman"/>
          <w:bCs/>
          <w:sz w:val="24"/>
          <w:szCs w:val="24"/>
          <w:shd w:val="clear" w:color="auto" w:fill="FFFFFF"/>
        </w:rPr>
        <w:t>Fundora</w:t>
      </w:r>
      <w:proofErr w:type="spellEnd"/>
      <w:r w:rsidR="005F29F0" w:rsidRPr="00084CD2">
        <w:rPr>
          <w:rFonts w:ascii="Times New Roman" w:eastAsiaTheme="minorEastAsia" w:hAnsi="Times New Roman" w:cs="Times New Roman"/>
          <w:bCs/>
          <w:sz w:val="24"/>
          <w:szCs w:val="24"/>
          <w:shd w:val="clear" w:color="auto" w:fill="FFFFFF"/>
        </w:rPr>
        <w:t xml:space="preserve"> (2004)</w:t>
      </w:r>
      <w:r w:rsidR="003102F0" w:rsidRPr="00084CD2">
        <w:rPr>
          <w:rFonts w:ascii="Times New Roman" w:eastAsiaTheme="minorEastAsia" w:hAnsi="Times New Roman" w:cs="Times New Roman"/>
          <w:bCs/>
          <w:sz w:val="24"/>
          <w:szCs w:val="24"/>
          <w:shd w:val="clear" w:color="auto" w:fill="FFFFFF"/>
        </w:rPr>
        <w:t xml:space="preserve">, se recomienda un enfoque determinista cuando hay pocos años de datos y no se puede establecer un patrón estacional; en cambio, si la estacionalidad varía con el tiempo, se modela como estocástica, implicando </w:t>
      </w:r>
      <m:oMath>
        <m:sSubSup>
          <m:sSubSupPr>
            <m:ctrlPr>
              <w:rPr>
                <w:rFonts w:ascii="Cambria Math" w:hAnsi="Cambria Math"/>
                <w:i/>
                <w:sz w:val="24"/>
                <w:szCs w:val="24"/>
                <w:shd w:val="clear" w:color="auto" w:fill="FFFFFF"/>
              </w:rPr>
            </m:ctrlPr>
          </m:sSubSupPr>
          <m:e>
            <m:r>
              <w:rPr>
                <w:rFonts w:ascii="Cambria Math" w:hAnsi="Cambria Math"/>
                <w:sz w:val="24"/>
                <w:szCs w:val="24"/>
                <w:shd w:val="clear" w:color="auto" w:fill="FFFFFF"/>
              </w:rPr>
              <m:t>σ</m:t>
            </m:r>
          </m:e>
          <m:sub>
            <m:r>
              <w:rPr>
                <w:rFonts w:ascii="Cambria Math" w:hAnsi="Cambria Math"/>
                <w:sz w:val="24"/>
                <w:szCs w:val="24"/>
                <w:shd w:val="clear" w:color="auto" w:fill="FFFFFF"/>
              </w:rPr>
              <m:t>ω</m:t>
            </m:r>
          </m:sub>
          <m:sup>
            <m:r>
              <w:rPr>
                <w:rFonts w:ascii="Cambria Math" w:hAnsi="Cambria Math"/>
                <w:sz w:val="24"/>
                <w:szCs w:val="24"/>
                <w:shd w:val="clear" w:color="auto" w:fill="FFFFFF"/>
              </w:rPr>
              <m:t>2</m:t>
            </m:r>
          </m:sup>
        </m:sSubSup>
        <m:r>
          <w:rPr>
            <w:rFonts w:ascii="Cambria Math" w:hAnsi="Cambria Math"/>
            <w:sz w:val="24"/>
            <w:szCs w:val="24"/>
            <w:shd w:val="clear" w:color="auto" w:fill="FFFFFF"/>
          </w:rPr>
          <m:t>≠0</m:t>
        </m:r>
      </m:oMath>
      <w:r w:rsidR="003102F0" w:rsidRPr="00084CD2">
        <w:rPr>
          <w:rFonts w:ascii="Times New Roman" w:eastAsiaTheme="minorEastAsia" w:hAnsi="Times New Roman" w:cs="Times New Roman"/>
          <w:bCs/>
          <w:sz w:val="24"/>
          <w:szCs w:val="24"/>
          <w:shd w:val="clear" w:color="auto" w:fill="FFFFFF"/>
        </w:rPr>
        <w:t>.</w:t>
      </w:r>
    </w:p>
    <w:p w14:paraId="3A90A91D" w14:textId="77777777" w:rsidR="004A2826" w:rsidRPr="00084CD2" w:rsidRDefault="004A2826" w:rsidP="000F35DD">
      <w:pPr>
        <w:spacing w:after="0" w:line="360" w:lineRule="auto"/>
        <w:contextualSpacing/>
        <w:jc w:val="both"/>
        <w:rPr>
          <w:rFonts w:ascii="Times New Roman" w:hAnsi="Times New Roman" w:cs="Times New Roman"/>
          <w:b/>
          <w:sz w:val="24"/>
          <w:szCs w:val="24"/>
        </w:rPr>
      </w:pPr>
    </w:p>
    <w:p w14:paraId="5E7BDFE6" w14:textId="269506E4" w:rsidR="002E4E31" w:rsidRPr="00084CD2" w:rsidRDefault="004A2826" w:rsidP="00084CD2">
      <w:pPr>
        <w:spacing w:after="0" w:line="360" w:lineRule="auto"/>
        <w:contextualSpacing/>
        <w:jc w:val="center"/>
        <w:rPr>
          <w:rFonts w:ascii="Times New Roman" w:hAnsi="Times New Roman" w:cs="Times New Roman"/>
          <w:b/>
          <w:sz w:val="24"/>
          <w:szCs w:val="24"/>
        </w:rPr>
      </w:pPr>
      <w:r w:rsidRPr="00084CD2">
        <w:rPr>
          <w:rFonts w:ascii="Times New Roman" w:hAnsi="Times New Roman" w:cs="Times New Roman"/>
          <w:b/>
          <w:sz w:val="24"/>
          <w:szCs w:val="24"/>
        </w:rPr>
        <w:t>Modelo SARIMA</w:t>
      </w:r>
    </w:p>
    <w:p w14:paraId="1D7E84AB" w14:textId="0E96BBDB" w:rsidR="009B4279" w:rsidRPr="00084CD2" w:rsidRDefault="009B4279"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El modelo SARIMA, derivado de ARIMA, incorpora </w:t>
      </w:r>
      <w:r w:rsidR="0020198E" w:rsidRPr="00084CD2">
        <w:rPr>
          <w:rFonts w:ascii="Times New Roman" w:hAnsi="Times New Roman" w:cs="Times New Roman"/>
          <w:sz w:val="24"/>
          <w:szCs w:val="24"/>
        </w:rPr>
        <w:t>elementos</w:t>
      </w:r>
      <w:r w:rsidRPr="00084CD2">
        <w:rPr>
          <w:rFonts w:ascii="Times New Roman" w:hAnsi="Times New Roman" w:cs="Times New Roman"/>
          <w:sz w:val="24"/>
          <w:szCs w:val="24"/>
        </w:rPr>
        <w:t xml:space="preserve"> estacionales en la estructura de series de tiempo (Box </w:t>
      </w:r>
      <w:r w:rsidRPr="00084CD2">
        <w:rPr>
          <w:rFonts w:ascii="Times New Roman" w:hAnsi="Times New Roman" w:cs="Times New Roman"/>
          <w:i/>
          <w:iCs/>
          <w:sz w:val="24"/>
          <w:szCs w:val="24"/>
        </w:rPr>
        <w:t>et al</w:t>
      </w:r>
      <w:r w:rsidRPr="00084CD2">
        <w:rPr>
          <w:rFonts w:ascii="Times New Roman" w:hAnsi="Times New Roman" w:cs="Times New Roman"/>
          <w:sz w:val="24"/>
          <w:szCs w:val="24"/>
        </w:rPr>
        <w:t xml:space="preserve">., 2008). Esta metodología predice valores presentes y futuros de una variable con base en promedios ponderados de sus propios valores históricos. La especificación del modelo incluye </w:t>
      </w:r>
      <w:r w:rsidR="00136BE7" w:rsidRPr="00084CD2">
        <w:rPr>
          <w:rFonts w:ascii="Times New Roman" w:hAnsi="Times New Roman" w:cs="Times New Roman"/>
          <w:sz w:val="24"/>
          <w:szCs w:val="24"/>
        </w:rPr>
        <w:t>elementos</w:t>
      </w:r>
      <w:r w:rsidRPr="00084CD2">
        <w:rPr>
          <w:rFonts w:ascii="Times New Roman" w:hAnsi="Times New Roman" w:cs="Times New Roman"/>
          <w:sz w:val="24"/>
          <w:szCs w:val="24"/>
        </w:rPr>
        <w:t xml:space="preserve"> no estacionales (p,</w:t>
      </w:r>
      <w:r w:rsidR="009646DE" w:rsidRPr="00084CD2">
        <w:rPr>
          <w:rFonts w:ascii="Times New Roman" w:hAnsi="Times New Roman" w:cs="Times New Roman"/>
          <w:sz w:val="24"/>
          <w:szCs w:val="24"/>
        </w:rPr>
        <w:t xml:space="preserve"> </w:t>
      </w:r>
      <w:r w:rsidRPr="00084CD2">
        <w:rPr>
          <w:rFonts w:ascii="Times New Roman" w:hAnsi="Times New Roman" w:cs="Times New Roman"/>
          <w:sz w:val="24"/>
          <w:szCs w:val="24"/>
        </w:rPr>
        <w:t>d,</w:t>
      </w:r>
      <w:r w:rsidR="009646DE" w:rsidRPr="00084CD2">
        <w:rPr>
          <w:rFonts w:ascii="Times New Roman" w:hAnsi="Times New Roman" w:cs="Times New Roman"/>
          <w:sz w:val="24"/>
          <w:szCs w:val="24"/>
        </w:rPr>
        <w:t xml:space="preserve"> </w:t>
      </w:r>
      <w:r w:rsidRPr="00084CD2">
        <w:rPr>
          <w:rFonts w:ascii="Times New Roman" w:hAnsi="Times New Roman" w:cs="Times New Roman"/>
          <w:sz w:val="24"/>
          <w:szCs w:val="24"/>
        </w:rPr>
        <w:t>q)</w:t>
      </w:r>
      <w:r w:rsidR="006021A0" w:rsidRPr="00084CD2">
        <w:rPr>
          <w:rFonts w:ascii="Times New Roman" w:hAnsi="Times New Roman" w:cs="Times New Roman"/>
          <w:sz w:val="24"/>
          <w:szCs w:val="24"/>
        </w:rPr>
        <w:t xml:space="preserve"> </w:t>
      </w:r>
      <w:r w:rsidRPr="00084CD2">
        <w:rPr>
          <w:rFonts w:ascii="Times New Roman" w:hAnsi="Times New Roman" w:cs="Times New Roman"/>
          <w:sz w:val="24"/>
          <w:szCs w:val="24"/>
        </w:rPr>
        <w:t>y estacionales (P,</w:t>
      </w:r>
      <w:r w:rsidR="009646DE" w:rsidRPr="00084CD2">
        <w:rPr>
          <w:rFonts w:ascii="Times New Roman" w:hAnsi="Times New Roman" w:cs="Times New Roman"/>
          <w:sz w:val="24"/>
          <w:szCs w:val="24"/>
        </w:rPr>
        <w:t xml:space="preserve"> </w:t>
      </w:r>
      <w:r w:rsidRPr="00084CD2">
        <w:rPr>
          <w:rFonts w:ascii="Times New Roman" w:hAnsi="Times New Roman" w:cs="Times New Roman"/>
          <w:sz w:val="24"/>
          <w:szCs w:val="24"/>
        </w:rPr>
        <w:t>D,</w:t>
      </w:r>
      <w:r w:rsidR="009646DE" w:rsidRPr="00084CD2">
        <w:rPr>
          <w:rFonts w:ascii="Times New Roman" w:hAnsi="Times New Roman" w:cs="Times New Roman"/>
          <w:sz w:val="24"/>
          <w:szCs w:val="24"/>
        </w:rPr>
        <w:t xml:space="preserve"> </w:t>
      </w:r>
      <w:r w:rsidRPr="00084CD2">
        <w:rPr>
          <w:rFonts w:ascii="Times New Roman" w:hAnsi="Times New Roman" w:cs="Times New Roman"/>
          <w:sz w:val="24"/>
          <w:szCs w:val="24"/>
        </w:rPr>
        <w:t xml:space="preserve">Q), permitiendo capturar tanto patrones a corto como a largo plazo en la serie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9646DE" w:rsidRPr="00084CD2">
        <w:rPr>
          <w:rFonts w:ascii="Times New Roman" w:eastAsiaTheme="minorEastAsia" w:hAnsi="Times New Roman" w:cs="Times New Roman"/>
          <w:sz w:val="24"/>
          <w:szCs w:val="24"/>
        </w:rPr>
        <w:t>:</w:t>
      </w:r>
    </w:p>
    <w:p w14:paraId="05291904" w14:textId="77777777" w:rsidR="0063498B" w:rsidRPr="00084CD2" w:rsidRDefault="0063498B" w:rsidP="000F35DD">
      <w:pPr>
        <w:spacing w:after="0" w:line="360" w:lineRule="auto"/>
        <w:contextualSpacing/>
        <w:jc w:val="both"/>
        <w:rPr>
          <w:rFonts w:ascii="Times New Roman" w:hAnsi="Times New Roman" w:cs="Times New Roman"/>
          <w:sz w:val="24"/>
          <w:szCs w:val="24"/>
        </w:rPr>
      </w:pPr>
    </w:p>
    <w:p w14:paraId="14B14FB9" w14:textId="2C0E5549" w:rsidR="00813C03" w:rsidRPr="00084CD2" w:rsidRDefault="0063498B" w:rsidP="000F35DD">
      <w:pPr>
        <w:spacing w:after="0" w:line="360" w:lineRule="auto"/>
        <w:contextualSpacing/>
        <w:jc w:val="both"/>
        <w:rPr>
          <w:rFonts w:ascii="Times New Roman" w:eastAsiaTheme="minorEastAsia" w:hAnsi="Times New Roman" w:cs="Times New Roman"/>
          <w:sz w:val="24"/>
          <w:szCs w:val="24"/>
        </w:rPr>
      </w:pPr>
      <m:oMath>
        <m:r>
          <w:rPr>
            <w:rFonts w:ascii="Cambria Math" w:hAnsi="Cambria Math"/>
            <w:sz w:val="24"/>
            <w:szCs w:val="24"/>
          </w:rPr>
          <m:t>ϕ</m:t>
        </m:r>
        <m:d>
          <m:dPr>
            <m:ctrlPr>
              <w:rPr>
                <w:rFonts w:ascii="Cambria Math" w:hAnsi="Cambria Math"/>
                <w:i/>
                <w:sz w:val="24"/>
                <w:szCs w:val="24"/>
              </w:rPr>
            </m:ctrlPr>
          </m:dPr>
          <m:e>
            <m:r>
              <w:rPr>
                <w:rFonts w:ascii="Cambria Math" w:hAnsi="Cambria Math"/>
                <w:sz w:val="24"/>
                <w:szCs w:val="24"/>
              </w:rPr>
              <m:t>B</m:t>
            </m:r>
          </m:e>
        </m:d>
        <m:r>
          <m:rPr>
            <m:sty m:val="p"/>
          </m:rPr>
          <w:rPr>
            <w:rFonts w:ascii="Cambria Math" w:hAnsi="Cambria Math"/>
            <w:sz w:val="24"/>
            <w:szCs w:val="24"/>
          </w:rPr>
          <m:t>Φ</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s</m:t>
                </m:r>
              </m:sup>
            </m:sSup>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1-B</m:t>
                </m:r>
              </m:e>
            </m:d>
          </m:e>
          <m:sup>
            <m:r>
              <w:rPr>
                <w:rFonts w:ascii="Cambria Math" w:hAnsi="Cambria Math"/>
                <w:sz w:val="24"/>
                <w:szCs w:val="24"/>
              </w:rPr>
              <m:t>d</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s</m:t>
                    </m:r>
                  </m:sup>
                </m:sSup>
              </m:e>
            </m:d>
          </m:e>
          <m:sup>
            <m:r>
              <w:rPr>
                <w:rFonts w:ascii="Cambria Math" w:hAnsi="Cambria Math"/>
                <w:sz w:val="24"/>
                <w:szCs w:val="24"/>
              </w:rPr>
              <m:t>D</m:t>
            </m:r>
          </m:sup>
        </m:sSup>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=θ(B)</m:t>
        </m:r>
        <m:r>
          <m:rPr>
            <m:sty m:val="p"/>
          </m:rPr>
          <w:rPr>
            <w:rFonts w:ascii="Cambria Math" w:hAnsi="Cambria Math"/>
            <w:sz w:val="24"/>
            <w:szCs w:val="24"/>
          </w:rPr>
          <m:t>Θ</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s</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oMath>
      <w:r w:rsidRPr="00084CD2">
        <w:rPr>
          <w:rFonts w:eastAsiaTheme="minorEastAsia"/>
          <w:sz w:val="24"/>
          <w:szCs w:val="24"/>
        </w:rPr>
        <w:t xml:space="preserve">                                                              </w:t>
      </w:r>
      <w:r w:rsidR="000F35DD" w:rsidRPr="00084CD2">
        <w:rPr>
          <w:rFonts w:eastAsiaTheme="minorEastAsia"/>
          <w:sz w:val="24"/>
          <w:szCs w:val="24"/>
        </w:rPr>
        <w:t xml:space="preserve">   </w:t>
      </w:r>
      <w:r w:rsidRPr="00084CD2">
        <w:rPr>
          <w:rFonts w:eastAsiaTheme="minorEastAsia"/>
          <w:sz w:val="24"/>
          <w:szCs w:val="24"/>
        </w:rPr>
        <w:t xml:space="preserve"> </w:t>
      </w:r>
      <w:r w:rsidRPr="00084CD2">
        <w:rPr>
          <w:rFonts w:ascii="Times New Roman" w:eastAsiaTheme="minorEastAsia" w:hAnsi="Times New Roman" w:cs="Times New Roman"/>
          <w:sz w:val="24"/>
          <w:szCs w:val="24"/>
        </w:rPr>
        <w:t>(2)</w:t>
      </w:r>
    </w:p>
    <w:p w14:paraId="714C388E" w14:textId="77777777" w:rsidR="00A02F07" w:rsidRPr="00084CD2" w:rsidRDefault="00A02F07" w:rsidP="000F35DD">
      <w:pPr>
        <w:spacing w:after="0" w:line="360" w:lineRule="auto"/>
        <w:contextualSpacing/>
        <w:jc w:val="both"/>
        <w:rPr>
          <w:rFonts w:ascii="Times New Roman" w:eastAsiaTheme="minorEastAsia" w:hAnsi="Times New Roman" w:cs="Times New Roman"/>
          <w:sz w:val="24"/>
          <w:szCs w:val="24"/>
        </w:rPr>
      </w:pPr>
    </w:p>
    <w:p w14:paraId="0FDFF421" w14:textId="40103DD2" w:rsidR="004C3CF9" w:rsidRDefault="00B86210" w:rsidP="009F0ECD">
      <w:pPr>
        <w:spacing w:after="0" w:line="360" w:lineRule="auto"/>
        <w:ind w:firstLine="1134"/>
        <w:contextualSpacing/>
        <w:jc w:val="both"/>
        <w:rPr>
          <w:rFonts w:ascii="Times New Roman" w:eastAsiaTheme="minorEastAsia" w:hAnsi="Times New Roman" w:cs="Times New Roman"/>
          <w:sz w:val="24"/>
          <w:szCs w:val="24"/>
        </w:rPr>
      </w:pPr>
      <w:r w:rsidRPr="00084CD2">
        <w:rPr>
          <w:rFonts w:ascii="Times New Roman" w:eastAsiaTheme="minorEastAsia" w:hAnsi="Times New Roman" w:cs="Times New Roman"/>
          <w:sz w:val="24"/>
          <w:szCs w:val="24"/>
        </w:rPr>
        <w:t>Por su parte,</w:t>
      </w:r>
      <w:r w:rsidR="00603AAC" w:rsidRPr="00084CD2">
        <w:rPr>
          <w:rFonts w:ascii="Times New Roman" w:eastAsiaTheme="minorEastAsia" w:hAnsi="Times New Roman" w:cs="Times New Roman"/>
          <w:sz w:val="24"/>
          <w:szCs w:val="24"/>
        </w:rPr>
        <w:t xml:space="preserve"> en el modelo SARIMA se dividen en </w:t>
      </w:r>
      <w:r w:rsidR="0020198E" w:rsidRPr="00084CD2">
        <w:rPr>
          <w:rFonts w:ascii="Times New Roman" w:eastAsiaTheme="minorEastAsia" w:hAnsi="Times New Roman" w:cs="Times New Roman"/>
          <w:sz w:val="24"/>
          <w:szCs w:val="24"/>
        </w:rPr>
        <w:t>elemento</w:t>
      </w:r>
      <w:r w:rsidR="00603AAC" w:rsidRPr="00084CD2">
        <w:rPr>
          <w:rFonts w:ascii="Times New Roman" w:eastAsiaTheme="minorEastAsia" w:hAnsi="Times New Roman" w:cs="Times New Roman"/>
          <w:sz w:val="24"/>
          <w:szCs w:val="24"/>
        </w:rPr>
        <w:t xml:space="preserve">s no estacionales y estacionales: </w:t>
      </w:r>
      <m:oMath>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B</m:t>
            </m:r>
          </m:e>
        </m:d>
      </m:oMath>
      <w:r w:rsidR="00603AAC" w:rsidRPr="00084CD2">
        <w:rPr>
          <w:rFonts w:ascii="Times New Roman" w:eastAsiaTheme="minorEastAsia" w:hAnsi="Times New Roman" w:cs="Times New Roman"/>
          <w:sz w:val="24"/>
          <w:szCs w:val="24"/>
        </w:rPr>
        <w:t xml:space="preserve"> y </w:t>
      </w:r>
      <m:oMath>
        <m:r>
          <m:rPr>
            <m:sty m:val="p"/>
          </m:rPr>
          <w:rPr>
            <w:rFonts w:ascii="Cambria Math" w:eastAsiaTheme="minorEastAsia" w:hAnsi="Cambria Math" w:cs="Times New Roman"/>
            <w:sz w:val="24"/>
            <w:szCs w:val="24"/>
          </w:rPr>
          <m:t>Φ</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s</m:t>
                </m:r>
              </m:sup>
            </m:sSup>
          </m:e>
        </m:d>
      </m:oMath>
      <w:r w:rsidR="000051B6" w:rsidRPr="00084CD2">
        <w:rPr>
          <w:rFonts w:ascii="Times New Roman" w:eastAsiaTheme="minorEastAsia" w:hAnsi="Times New Roman" w:cs="Times New Roman"/>
          <w:sz w:val="24"/>
          <w:szCs w:val="24"/>
        </w:rPr>
        <w:t xml:space="preserve"> </w:t>
      </w:r>
      <w:r w:rsidR="00603AAC" w:rsidRPr="00084CD2">
        <w:rPr>
          <w:rFonts w:ascii="Times New Roman" w:eastAsiaTheme="minorEastAsia" w:hAnsi="Times New Roman" w:cs="Times New Roman"/>
          <w:sz w:val="24"/>
          <w:szCs w:val="24"/>
        </w:rPr>
        <w:t xml:space="preserve">representan los operadores autorregresivos de órdenes p y P, mientras que </w:t>
      </w:r>
      <m:oMath>
        <m:r>
          <w:rPr>
            <w:rFonts w:ascii="Cambria Math" w:eastAsiaTheme="minorEastAsia" w:hAnsi="Cambria Math" w:cs="Times New Roman"/>
            <w:sz w:val="24"/>
            <w:szCs w:val="24"/>
          </w:rPr>
          <m:t>θ</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oMath>
      <w:r w:rsidR="00603AAC" w:rsidRPr="00084CD2">
        <w:rPr>
          <w:rFonts w:ascii="Times New Roman" w:eastAsiaTheme="minorEastAsia" w:hAnsi="Times New Roman" w:cs="Times New Roman"/>
          <w:sz w:val="24"/>
          <w:szCs w:val="24"/>
        </w:rPr>
        <w:t xml:space="preserve"> y </w:t>
      </w:r>
      <m:oMath>
        <m:r>
          <m:rPr>
            <m:sty m:val="p"/>
          </m:rPr>
          <w:rPr>
            <w:rFonts w:ascii="Cambria Math" w:hAnsi="Cambria Math" w:cs="Times New Roman"/>
            <w:sz w:val="24"/>
            <w:szCs w:val="24"/>
          </w:rPr>
          <m:t>Θ</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s</m:t>
                </m:r>
              </m:sup>
            </m:sSup>
          </m:e>
        </m:d>
      </m:oMath>
      <w:r w:rsidR="00603AAC" w:rsidRPr="00084CD2">
        <w:rPr>
          <w:rFonts w:ascii="Times New Roman" w:eastAsiaTheme="minorEastAsia" w:hAnsi="Times New Roman" w:cs="Times New Roman"/>
          <w:sz w:val="24"/>
          <w:szCs w:val="24"/>
        </w:rPr>
        <w:t xml:space="preserve"> corresponden a los operadores de media móvil de órdenes q y Q. Las diferencias no estacionales y estacionales de órdenes d y D respectivamente, se aplican mediante operadores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1-B</m:t>
                </m:r>
              </m:e>
            </m:d>
          </m:e>
          <m:sup>
            <m:r>
              <w:rPr>
                <w:rFonts w:ascii="Cambria Math" w:eastAsiaTheme="minorEastAsia" w:hAnsi="Cambria Math" w:cs="Times New Roman"/>
                <w:sz w:val="24"/>
                <w:szCs w:val="24"/>
              </w:rPr>
              <m:t>d</m:t>
            </m:r>
          </m:sup>
        </m:sSup>
      </m:oMath>
      <w:r w:rsidR="00603AAC" w:rsidRPr="00084CD2">
        <w:rPr>
          <w:rFonts w:ascii="Times New Roman" w:eastAsiaTheme="minorEastAsia" w:hAnsi="Times New Roman" w:cs="Times New Roman"/>
          <w:sz w:val="24"/>
          <w:szCs w:val="24"/>
        </w:rPr>
        <w:t xml:space="preserve"> y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s</m:t>
                    </m:r>
                  </m:sup>
                </m:sSup>
              </m:e>
            </m:d>
          </m:e>
          <m:sup>
            <m:r>
              <w:rPr>
                <w:rFonts w:ascii="Cambria Math" w:eastAsiaTheme="minorEastAsia" w:hAnsi="Cambria Math" w:cs="Times New Roman"/>
                <w:sz w:val="24"/>
                <w:szCs w:val="24"/>
              </w:rPr>
              <m:t>D</m:t>
            </m:r>
          </m:sup>
        </m:sSup>
      </m:oMath>
      <w:r w:rsidR="000051B6" w:rsidRPr="00084CD2">
        <w:rPr>
          <w:rFonts w:ascii="Times New Roman" w:eastAsiaTheme="minorEastAsia" w:hAnsi="Times New Roman" w:cs="Times New Roman"/>
          <w:sz w:val="24"/>
          <w:szCs w:val="24"/>
        </w:rPr>
        <w:t xml:space="preserve">, siendo </w:t>
      </w:r>
      <m:oMath>
        <m:r>
          <w:rPr>
            <w:rFonts w:ascii="Cambria Math" w:eastAsiaTheme="minorEastAsia" w:hAnsi="Cambria Math" w:cs="Times New Roman"/>
            <w:sz w:val="24"/>
            <w:szCs w:val="24"/>
          </w:rPr>
          <m:t>s</m:t>
        </m:r>
      </m:oMath>
      <w:r w:rsidR="000051B6" w:rsidRPr="00084CD2">
        <w:rPr>
          <w:rFonts w:ascii="Times New Roman" w:eastAsiaTheme="minorEastAsia" w:hAnsi="Times New Roman" w:cs="Times New Roman"/>
          <w:sz w:val="24"/>
          <w:szCs w:val="24"/>
        </w:rPr>
        <w:t xml:space="preserve"> la periodicidad estacional. Mientras, </w:t>
      </w:r>
      <w:r w:rsidR="00136BE7" w:rsidRPr="00084CD2">
        <w:rPr>
          <w:rFonts w:ascii="Times New Roman" w:eastAsiaTheme="minorEastAsia" w:hAnsi="Times New Roman" w:cs="Times New Roman"/>
          <w:sz w:val="24"/>
          <w:szCs w:val="24"/>
        </w:rPr>
        <w:t>la perturbación</w:t>
      </w:r>
      <w:r w:rsidR="000051B6" w:rsidRPr="00084CD2">
        <w:rPr>
          <w:rFonts w:ascii="Times New Roman" w:eastAsiaTheme="minorEastAsia" w:hAnsi="Times New Roman" w:cs="Times New Roman"/>
          <w:sz w:val="24"/>
          <w:szCs w:val="24"/>
        </w:rPr>
        <w:t xml:space="preserve"> aleatori</w:t>
      </w:r>
      <w:r w:rsidR="00136BE7" w:rsidRPr="00084CD2">
        <w:rPr>
          <w:rFonts w:ascii="Times New Roman" w:eastAsiaTheme="minorEastAsia" w:hAnsi="Times New Roman" w:cs="Times New Roman"/>
          <w:sz w:val="24"/>
          <w:szCs w:val="24"/>
        </w:rPr>
        <w:t>a</w:t>
      </w:r>
      <w:r w:rsidR="00813C03" w:rsidRPr="00084CD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000051B6" w:rsidRPr="00084CD2">
        <w:rPr>
          <w:rFonts w:ascii="Times New Roman" w:eastAsiaTheme="minorEastAsia" w:hAnsi="Times New Roman" w:cs="Times New Roman"/>
          <w:sz w:val="24"/>
          <w:szCs w:val="24"/>
        </w:rPr>
        <w:t>,</w:t>
      </w:r>
      <w:r w:rsidR="00813C03" w:rsidRPr="00084CD2">
        <w:rPr>
          <w:rFonts w:ascii="Times New Roman" w:eastAsiaTheme="minorEastAsia" w:hAnsi="Times New Roman" w:cs="Times New Roman"/>
          <w:sz w:val="24"/>
          <w:szCs w:val="24"/>
        </w:rPr>
        <w:t xml:space="preserve"> </w:t>
      </w:r>
      <w:r w:rsidR="00136BE7" w:rsidRPr="00084CD2">
        <w:rPr>
          <w:rFonts w:ascii="Times New Roman" w:eastAsiaTheme="minorEastAsia" w:hAnsi="Times New Roman" w:cs="Times New Roman"/>
          <w:sz w:val="24"/>
          <w:szCs w:val="24"/>
        </w:rPr>
        <w:t>usualmente</w:t>
      </w:r>
      <w:r w:rsidR="00813C03" w:rsidRPr="00084CD2">
        <w:rPr>
          <w:rFonts w:ascii="Times New Roman" w:eastAsiaTheme="minorEastAsia" w:hAnsi="Times New Roman" w:cs="Times New Roman"/>
          <w:sz w:val="24"/>
          <w:szCs w:val="24"/>
        </w:rPr>
        <w:t xml:space="preserve"> </w:t>
      </w:r>
      <w:r w:rsidR="00D83DF4" w:rsidRPr="00084CD2">
        <w:rPr>
          <w:rFonts w:ascii="Times New Roman" w:eastAsiaTheme="minorEastAsia" w:hAnsi="Times New Roman" w:cs="Times New Roman"/>
          <w:sz w:val="24"/>
          <w:szCs w:val="24"/>
        </w:rPr>
        <w:t>denominado</w:t>
      </w:r>
      <w:r w:rsidR="00813C03" w:rsidRPr="00084CD2">
        <w:rPr>
          <w:rFonts w:ascii="Times New Roman" w:eastAsiaTheme="minorEastAsia" w:hAnsi="Times New Roman" w:cs="Times New Roman"/>
          <w:sz w:val="24"/>
          <w:szCs w:val="24"/>
        </w:rPr>
        <w:t xml:space="preserve"> ruido blanco. </w:t>
      </w:r>
      <w:r w:rsidR="000051B6" w:rsidRPr="00084CD2">
        <w:rPr>
          <w:rFonts w:ascii="Times New Roman" w:eastAsiaTheme="minorEastAsia" w:hAnsi="Times New Roman" w:cs="Times New Roman"/>
          <w:sz w:val="24"/>
          <w:szCs w:val="24"/>
        </w:rPr>
        <w:t>La selección del modelo se basa en análisis gráfico de los residuales (</w:t>
      </w:r>
      <w:proofErr w:type="spellStart"/>
      <w:r w:rsidR="000051B6" w:rsidRPr="00084CD2">
        <w:rPr>
          <w:rFonts w:ascii="Times New Roman" w:eastAsiaTheme="minorEastAsia" w:hAnsi="Times New Roman" w:cs="Times New Roman"/>
          <w:sz w:val="24"/>
          <w:szCs w:val="24"/>
        </w:rPr>
        <w:t>correlogramas</w:t>
      </w:r>
      <w:proofErr w:type="spellEnd"/>
      <w:r w:rsidR="000051B6" w:rsidRPr="00084CD2">
        <w:rPr>
          <w:rFonts w:ascii="Times New Roman" w:eastAsiaTheme="minorEastAsia" w:hAnsi="Times New Roman" w:cs="Times New Roman"/>
          <w:sz w:val="24"/>
          <w:szCs w:val="24"/>
        </w:rPr>
        <w:t>) buscando aleatoriedad y ausencia de patrones. Se adoptó un enfoque parsimonioso, evaluando la bondad de ajuste mediante los criterios de información de Akaike (AIC) y Schwarz (SBC), cuya minimización guía la elección óptima del modelo a través de distintas combinaciones de órdenes autorregresivos y de media móvil.</w:t>
      </w:r>
      <w:r w:rsidR="000F35DD" w:rsidRPr="00084CD2">
        <w:rPr>
          <w:rFonts w:ascii="Times New Roman" w:eastAsiaTheme="minorEastAsia" w:hAnsi="Times New Roman" w:cs="Times New Roman"/>
          <w:sz w:val="24"/>
          <w:szCs w:val="24"/>
        </w:rPr>
        <w:t xml:space="preserve"> </w:t>
      </w:r>
      <w:r w:rsidR="000051B6" w:rsidRPr="00084CD2">
        <w:rPr>
          <w:rFonts w:ascii="Times New Roman" w:eastAsiaTheme="minorEastAsia" w:hAnsi="Times New Roman" w:cs="Times New Roman"/>
          <w:sz w:val="24"/>
          <w:szCs w:val="24"/>
        </w:rPr>
        <w:t xml:space="preserve">En modelos ARIMA, la estacionariedad de la serie es esencial y se verifica mediante </w:t>
      </w:r>
      <w:r w:rsidR="00D838DC" w:rsidRPr="00084CD2">
        <w:rPr>
          <w:rFonts w:ascii="Times New Roman" w:eastAsiaTheme="minorEastAsia" w:hAnsi="Times New Roman" w:cs="Times New Roman"/>
          <w:sz w:val="24"/>
          <w:szCs w:val="24"/>
        </w:rPr>
        <w:t xml:space="preserve">la prueba </w:t>
      </w:r>
      <w:proofErr w:type="spellStart"/>
      <w:r w:rsidR="000051B6" w:rsidRPr="00084CD2">
        <w:rPr>
          <w:rFonts w:ascii="Times New Roman" w:eastAsiaTheme="minorEastAsia" w:hAnsi="Times New Roman" w:cs="Times New Roman"/>
          <w:sz w:val="24"/>
          <w:szCs w:val="24"/>
        </w:rPr>
        <w:t>Dickey</w:t>
      </w:r>
      <w:proofErr w:type="spellEnd"/>
      <w:r w:rsidR="000051B6" w:rsidRPr="00084CD2">
        <w:rPr>
          <w:rFonts w:ascii="Times New Roman" w:eastAsiaTheme="minorEastAsia" w:hAnsi="Times New Roman" w:cs="Times New Roman"/>
          <w:sz w:val="24"/>
          <w:szCs w:val="24"/>
        </w:rPr>
        <w:t xml:space="preserve">-Fuller Aumentada (ADF), la cual contrasta </w:t>
      </w:r>
      <w:r w:rsidR="005D469F" w:rsidRPr="00084CD2">
        <w:rPr>
          <w:rFonts w:ascii="Times New Roman" w:eastAsiaTheme="minorEastAsia" w:hAnsi="Times New Roman" w:cs="Times New Roman"/>
          <w:sz w:val="24"/>
          <w:szCs w:val="24"/>
        </w:rPr>
        <w:t xml:space="preserve">la </w:t>
      </w:r>
      <w:r w:rsidR="000051B6" w:rsidRPr="00084CD2">
        <w:rPr>
          <w:rFonts w:ascii="Times New Roman" w:eastAsiaTheme="minorEastAsia" w:hAnsi="Times New Roman" w:cs="Times New Roman"/>
          <w:sz w:val="24"/>
          <w:szCs w:val="24"/>
        </w:rPr>
        <w:t xml:space="preserve">hipótesis nula de presencia de raíz unitaria </w:t>
      </w:r>
      <m:oMath>
        <m:r>
          <w:rPr>
            <w:rFonts w:ascii="Cambria Math" w:eastAsiaTheme="minorEastAsia" w:hAnsi="Cambria Math" w:cs="Times New Roman"/>
            <w:sz w:val="24"/>
            <w:szCs w:val="24"/>
          </w:rPr>
          <m:t>H0: φ=0</m:t>
        </m:r>
      </m:oMath>
      <w:r w:rsidR="000051B6" w:rsidRPr="00084CD2">
        <w:rPr>
          <w:rFonts w:ascii="Times New Roman" w:eastAsiaTheme="minorEastAsia" w:hAnsi="Times New Roman" w:cs="Times New Roman"/>
          <w:sz w:val="24"/>
          <w:szCs w:val="24"/>
        </w:rPr>
        <w:t xml:space="preserve"> frente a la alternativa de estacionariedad débil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=φ&lt;0</m:t>
        </m:r>
      </m:oMath>
      <w:r w:rsidR="000051B6" w:rsidRPr="00084CD2">
        <w:rPr>
          <w:rFonts w:ascii="Times New Roman" w:eastAsiaTheme="minorEastAsia" w:hAnsi="Times New Roman" w:cs="Times New Roman"/>
          <w:sz w:val="24"/>
          <w:szCs w:val="24"/>
        </w:rPr>
        <w:t xml:space="preserve">. </w:t>
      </w:r>
      <w:r w:rsidR="00DA10E0" w:rsidRPr="00084CD2">
        <w:rPr>
          <w:rFonts w:ascii="Times New Roman" w:eastAsiaTheme="minorEastAsia" w:hAnsi="Times New Roman" w:cs="Times New Roman"/>
          <w:sz w:val="24"/>
          <w:szCs w:val="24"/>
        </w:rPr>
        <w:t xml:space="preserve">La </w:t>
      </w:r>
      <w:r w:rsidR="000051B6" w:rsidRPr="00084CD2">
        <w:rPr>
          <w:rFonts w:ascii="Times New Roman" w:eastAsiaTheme="minorEastAsia" w:hAnsi="Times New Roman" w:cs="Times New Roman"/>
          <w:sz w:val="24"/>
          <w:szCs w:val="24"/>
        </w:rPr>
        <w:t xml:space="preserve">prueba se fortalece al incluir diferencias adicionales </w:t>
      </w:r>
      <w:r w:rsidR="000051B6" w:rsidRPr="00084CD2">
        <w:rPr>
          <w:rFonts w:ascii="Times New Roman" w:eastAsiaTheme="minorEastAsia" w:hAnsi="Times New Roman" w:cs="Times New Roman"/>
          <w:sz w:val="24"/>
          <w:szCs w:val="24"/>
        </w:rPr>
        <w:lastRenderedPageBreak/>
        <w:t xml:space="preserve">hasta un orden razonable. La formulación deriva de la reescritura de un modelo autorregresivo, donde </w:t>
      </w:r>
      <m:oMath>
        <m:r>
          <w:rPr>
            <w:rFonts w:ascii="Cambria Math" w:eastAsiaTheme="minorEastAsia" w:hAnsi="Cambria Math" w:cs="Times New Roman"/>
            <w:sz w:val="24"/>
            <w:szCs w:val="24"/>
          </w:rPr>
          <m:t>φ</m:t>
        </m:r>
      </m:oMath>
      <w:r w:rsidR="000051B6" w:rsidRPr="00084CD2">
        <w:rPr>
          <w:rFonts w:ascii="Times New Roman" w:eastAsiaTheme="minorEastAsia" w:hAnsi="Times New Roman" w:cs="Times New Roman"/>
          <w:sz w:val="24"/>
          <w:szCs w:val="24"/>
        </w:rPr>
        <w:t xml:space="preserve"> se define como </w:t>
      </w:r>
      <m:oMath>
        <m:r>
          <w:rPr>
            <w:rFonts w:ascii="Cambria Math" w:eastAsiaTheme="minorEastAsia" w:hAnsi="Cambria Math" w:cs="Times New Roman"/>
            <w:sz w:val="24"/>
            <w:szCs w:val="24"/>
          </w:rPr>
          <m:t>φ=α-1</m:t>
        </m:r>
      </m:oMath>
      <w:r w:rsidR="000051B6" w:rsidRPr="00084CD2">
        <w:rPr>
          <w:rFonts w:ascii="Times New Roman" w:eastAsiaTheme="minorEastAsia" w:hAnsi="Times New Roman" w:cs="Times New Roman"/>
          <w:sz w:val="24"/>
          <w:szCs w:val="24"/>
        </w:rPr>
        <w:t xml:space="preserve"> (</w:t>
      </w:r>
      <w:proofErr w:type="spellStart"/>
      <w:r w:rsidR="000051B6" w:rsidRPr="00084CD2">
        <w:rPr>
          <w:rFonts w:ascii="Times New Roman" w:eastAsiaTheme="minorEastAsia" w:hAnsi="Times New Roman" w:cs="Times New Roman"/>
          <w:sz w:val="24"/>
          <w:szCs w:val="24"/>
        </w:rPr>
        <w:t>Dickey</w:t>
      </w:r>
      <w:proofErr w:type="spellEnd"/>
      <w:r w:rsidR="00CC72E8" w:rsidRPr="00084CD2">
        <w:rPr>
          <w:rFonts w:ascii="Times New Roman" w:eastAsiaTheme="minorEastAsia" w:hAnsi="Times New Roman" w:cs="Times New Roman"/>
          <w:sz w:val="24"/>
          <w:szCs w:val="24"/>
        </w:rPr>
        <w:t xml:space="preserve"> &amp; </w:t>
      </w:r>
      <w:r w:rsidR="000051B6" w:rsidRPr="00084CD2">
        <w:rPr>
          <w:rFonts w:ascii="Times New Roman" w:eastAsiaTheme="minorEastAsia" w:hAnsi="Times New Roman" w:cs="Times New Roman"/>
          <w:sz w:val="24"/>
          <w:szCs w:val="24"/>
        </w:rPr>
        <w:t>Fuller, 1981).</w:t>
      </w:r>
    </w:p>
    <w:p w14:paraId="097002D0" w14:textId="77777777" w:rsidR="00172A5A" w:rsidRPr="00084CD2" w:rsidRDefault="00172A5A" w:rsidP="009F0ECD">
      <w:pPr>
        <w:spacing w:after="0" w:line="360" w:lineRule="auto"/>
        <w:ind w:firstLine="1134"/>
        <w:contextualSpacing/>
        <w:jc w:val="both"/>
        <w:rPr>
          <w:rFonts w:ascii="Times New Roman" w:eastAsiaTheme="minorEastAsia" w:hAnsi="Times New Roman" w:cs="Times New Roman"/>
          <w:sz w:val="24"/>
          <w:szCs w:val="24"/>
        </w:rPr>
      </w:pPr>
    </w:p>
    <w:p w14:paraId="0B43335D" w14:textId="08A102D6" w:rsidR="00BA5BEE" w:rsidRPr="00084CD2" w:rsidRDefault="00EF2556" w:rsidP="000F35DD">
      <w:pPr>
        <w:spacing w:after="0" w:line="360" w:lineRule="auto"/>
        <w:contextualSpacing/>
        <w:jc w:val="center"/>
        <w:rPr>
          <w:rFonts w:ascii="Times New Roman" w:hAnsi="Times New Roman" w:cs="Times New Roman"/>
          <w:b/>
          <w:sz w:val="32"/>
          <w:szCs w:val="32"/>
        </w:rPr>
      </w:pPr>
      <w:r w:rsidRPr="00084CD2">
        <w:rPr>
          <w:rFonts w:ascii="Times New Roman" w:hAnsi="Times New Roman" w:cs="Times New Roman"/>
          <w:b/>
          <w:sz w:val="32"/>
          <w:szCs w:val="32"/>
        </w:rPr>
        <w:t>R</w:t>
      </w:r>
      <w:r w:rsidR="00C05BE0" w:rsidRPr="00084CD2">
        <w:rPr>
          <w:rFonts w:ascii="Times New Roman" w:hAnsi="Times New Roman" w:cs="Times New Roman"/>
          <w:b/>
          <w:sz w:val="32"/>
          <w:szCs w:val="32"/>
        </w:rPr>
        <w:t>esultados</w:t>
      </w:r>
    </w:p>
    <w:p w14:paraId="1CD47974" w14:textId="77777777" w:rsidR="000F35DD" w:rsidRPr="00084CD2" w:rsidRDefault="00BA5BEE" w:rsidP="00084CD2">
      <w:pPr>
        <w:spacing w:after="0" w:line="360" w:lineRule="auto"/>
        <w:contextualSpacing/>
        <w:jc w:val="center"/>
        <w:rPr>
          <w:rFonts w:ascii="Times New Roman" w:hAnsi="Times New Roman" w:cs="Times New Roman"/>
          <w:b/>
          <w:sz w:val="28"/>
          <w:szCs w:val="28"/>
        </w:rPr>
      </w:pPr>
      <w:r w:rsidRPr="00084CD2">
        <w:rPr>
          <w:rFonts w:ascii="Times New Roman" w:hAnsi="Times New Roman" w:cs="Times New Roman"/>
          <w:b/>
          <w:sz w:val="28"/>
          <w:szCs w:val="28"/>
        </w:rPr>
        <w:t>Modelo UCM</w:t>
      </w:r>
    </w:p>
    <w:p w14:paraId="5BF7B552" w14:textId="39AD9B65" w:rsidR="005E3A90" w:rsidRPr="00084CD2" w:rsidRDefault="005E3A90" w:rsidP="009F0ECD">
      <w:pPr>
        <w:spacing w:after="0" w:line="360" w:lineRule="auto"/>
        <w:ind w:firstLine="1134"/>
        <w:contextualSpacing/>
        <w:jc w:val="both"/>
        <w:rPr>
          <w:rFonts w:ascii="Times New Roman" w:hAnsi="Times New Roman" w:cs="Times New Roman"/>
          <w:b/>
          <w:sz w:val="24"/>
          <w:szCs w:val="24"/>
        </w:rPr>
      </w:pPr>
      <w:r w:rsidRPr="00084CD2">
        <w:rPr>
          <w:rFonts w:ascii="Times New Roman" w:hAnsi="Times New Roman" w:cs="Times New Roman"/>
          <w:sz w:val="24"/>
          <w:szCs w:val="24"/>
        </w:rPr>
        <w:t xml:space="preserve">Se evaluaron seis configuraciones del modelo UCM, </w:t>
      </w:r>
      <w:r w:rsidR="009F0ECD" w:rsidRPr="00084CD2">
        <w:rPr>
          <w:rFonts w:ascii="Times New Roman" w:hAnsi="Times New Roman" w:cs="Times New Roman"/>
          <w:sz w:val="24"/>
          <w:szCs w:val="24"/>
        </w:rPr>
        <w:t xml:space="preserve">con </w:t>
      </w:r>
      <w:r w:rsidRPr="00084CD2">
        <w:rPr>
          <w:rFonts w:ascii="Times New Roman" w:hAnsi="Times New Roman" w:cs="Times New Roman"/>
          <w:sz w:val="24"/>
          <w:szCs w:val="24"/>
        </w:rPr>
        <w:t>diferentes supuestos fijos o aleatorios sobre nivel, pendiente, estacionalidad y ciclos. La selección</w:t>
      </w:r>
      <w:r w:rsidR="009F0ECD" w:rsidRPr="00084CD2">
        <w:rPr>
          <w:rFonts w:ascii="Times New Roman" w:hAnsi="Times New Roman" w:cs="Times New Roman"/>
          <w:sz w:val="24"/>
          <w:szCs w:val="24"/>
        </w:rPr>
        <w:t xml:space="preserve"> </w:t>
      </w:r>
      <w:r w:rsidRPr="00084CD2">
        <w:rPr>
          <w:rFonts w:ascii="Times New Roman" w:hAnsi="Times New Roman" w:cs="Times New Roman"/>
          <w:sz w:val="24"/>
          <w:szCs w:val="24"/>
        </w:rPr>
        <w:t>óptim</w:t>
      </w:r>
      <w:r w:rsidR="009F0ECD" w:rsidRPr="00084CD2">
        <w:rPr>
          <w:rFonts w:ascii="Times New Roman" w:hAnsi="Times New Roman" w:cs="Times New Roman"/>
          <w:sz w:val="24"/>
          <w:szCs w:val="24"/>
        </w:rPr>
        <w:t>a</w:t>
      </w:r>
      <w:r w:rsidRPr="00084CD2">
        <w:rPr>
          <w:rFonts w:ascii="Times New Roman" w:hAnsi="Times New Roman" w:cs="Times New Roman"/>
          <w:sz w:val="24"/>
          <w:szCs w:val="24"/>
        </w:rPr>
        <w:t xml:space="preserve"> se basó en criterios de </w:t>
      </w:r>
      <w:r w:rsidR="005D469F" w:rsidRPr="00084CD2">
        <w:rPr>
          <w:rFonts w:ascii="Times New Roman" w:hAnsi="Times New Roman" w:cs="Times New Roman"/>
          <w:sz w:val="24"/>
          <w:szCs w:val="24"/>
        </w:rPr>
        <w:t>información</w:t>
      </w:r>
      <w:r w:rsidRPr="00084CD2">
        <w:rPr>
          <w:rFonts w:ascii="Times New Roman" w:hAnsi="Times New Roman" w:cs="Times New Roman"/>
          <w:sz w:val="24"/>
          <w:szCs w:val="24"/>
        </w:rPr>
        <w:t xml:space="preserve"> de Akaike (AIC) y Schwarz (SBC) (Tabla 1).</w:t>
      </w:r>
    </w:p>
    <w:p w14:paraId="7D1D2265" w14:textId="77777777" w:rsidR="000D004D" w:rsidRDefault="000D004D" w:rsidP="000F35DD">
      <w:pPr>
        <w:spacing w:after="0" w:line="360" w:lineRule="auto"/>
        <w:contextualSpacing/>
        <w:jc w:val="both"/>
        <w:rPr>
          <w:rFonts w:ascii="Times New Roman" w:hAnsi="Times New Roman" w:cs="Times New Roman"/>
          <w:sz w:val="24"/>
          <w:szCs w:val="24"/>
        </w:rPr>
      </w:pPr>
    </w:p>
    <w:p w14:paraId="16475D83" w14:textId="77777777" w:rsidR="00172A5A" w:rsidRDefault="00172A5A" w:rsidP="000F35DD">
      <w:pPr>
        <w:spacing w:after="0" w:line="360" w:lineRule="auto"/>
        <w:contextualSpacing/>
        <w:jc w:val="both"/>
        <w:rPr>
          <w:rFonts w:ascii="Times New Roman" w:hAnsi="Times New Roman" w:cs="Times New Roman"/>
          <w:sz w:val="24"/>
          <w:szCs w:val="24"/>
        </w:rPr>
      </w:pPr>
    </w:p>
    <w:p w14:paraId="570B5695" w14:textId="77777777" w:rsidR="00172A5A" w:rsidRDefault="00172A5A" w:rsidP="000F35DD">
      <w:pPr>
        <w:spacing w:after="0" w:line="360" w:lineRule="auto"/>
        <w:contextualSpacing/>
        <w:jc w:val="both"/>
        <w:rPr>
          <w:rFonts w:ascii="Times New Roman" w:hAnsi="Times New Roman" w:cs="Times New Roman"/>
          <w:sz w:val="24"/>
          <w:szCs w:val="24"/>
        </w:rPr>
      </w:pPr>
    </w:p>
    <w:p w14:paraId="124AC0E7" w14:textId="77777777" w:rsidR="00172A5A" w:rsidRDefault="00172A5A" w:rsidP="000F35DD">
      <w:pPr>
        <w:spacing w:after="0" w:line="360" w:lineRule="auto"/>
        <w:contextualSpacing/>
        <w:jc w:val="both"/>
        <w:rPr>
          <w:rFonts w:ascii="Times New Roman" w:hAnsi="Times New Roman" w:cs="Times New Roman"/>
          <w:sz w:val="24"/>
          <w:szCs w:val="24"/>
        </w:rPr>
      </w:pPr>
    </w:p>
    <w:p w14:paraId="50A8BFFF" w14:textId="77777777" w:rsidR="00172A5A" w:rsidRDefault="00172A5A" w:rsidP="000F35DD">
      <w:pPr>
        <w:spacing w:after="0" w:line="360" w:lineRule="auto"/>
        <w:contextualSpacing/>
        <w:jc w:val="both"/>
        <w:rPr>
          <w:rFonts w:ascii="Times New Roman" w:hAnsi="Times New Roman" w:cs="Times New Roman"/>
          <w:sz w:val="24"/>
          <w:szCs w:val="24"/>
        </w:rPr>
      </w:pPr>
    </w:p>
    <w:p w14:paraId="7D1F4EE2" w14:textId="77777777" w:rsidR="00172A5A" w:rsidRDefault="00172A5A" w:rsidP="000F35DD">
      <w:pPr>
        <w:spacing w:after="0" w:line="360" w:lineRule="auto"/>
        <w:contextualSpacing/>
        <w:jc w:val="both"/>
        <w:rPr>
          <w:rFonts w:ascii="Times New Roman" w:hAnsi="Times New Roman" w:cs="Times New Roman"/>
          <w:sz w:val="24"/>
          <w:szCs w:val="24"/>
        </w:rPr>
      </w:pPr>
    </w:p>
    <w:p w14:paraId="7BF8692F" w14:textId="77777777" w:rsidR="00172A5A" w:rsidRDefault="00172A5A" w:rsidP="000F35DD">
      <w:pPr>
        <w:spacing w:after="0" w:line="360" w:lineRule="auto"/>
        <w:contextualSpacing/>
        <w:jc w:val="both"/>
        <w:rPr>
          <w:rFonts w:ascii="Times New Roman" w:hAnsi="Times New Roman" w:cs="Times New Roman"/>
          <w:sz w:val="24"/>
          <w:szCs w:val="24"/>
        </w:rPr>
      </w:pPr>
    </w:p>
    <w:p w14:paraId="7C1E164B" w14:textId="77777777" w:rsidR="00172A5A" w:rsidRDefault="00172A5A" w:rsidP="000F35DD">
      <w:pPr>
        <w:spacing w:after="0" w:line="360" w:lineRule="auto"/>
        <w:contextualSpacing/>
        <w:jc w:val="both"/>
        <w:rPr>
          <w:rFonts w:ascii="Times New Roman" w:hAnsi="Times New Roman" w:cs="Times New Roman"/>
          <w:sz w:val="24"/>
          <w:szCs w:val="24"/>
        </w:rPr>
      </w:pPr>
    </w:p>
    <w:p w14:paraId="210B0EC3" w14:textId="77777777" w:rsidR="00172A5A" w:rsidRDefault="00172A5A" w:rsidP="000F35DD">
      <w:pPr>
        <w:spacing w:after="0" w:line="360" w:lineRule="auto"/>
        <w:contextualSpacing/>
        <w:jc w:val="both"/>
        <w:rPr>
          <w:rFonts w:ascii="Times New Roman" w:hAnsi="Times New Roman" w:cs="Times New Roman"/>
          <w:sz w:val="24"/>
          <w:szCs w:val="24"/>
        </w:rPr>
      </w:pPr>
    </w:p>
    <w:p w14:paraId="444D9653" w14:textId="77777777" w:rsidR="00172A5A" w:rsidRDefault="00172A5A" w:rsidP="000F35DD">
      <w:pPr>
        <w:spacing w:after="0" w:line="360" w:lineRule="auto"/>
        <w:contextualSpacing/>
        <w:jc w:val="both"/>
        <w:rPr>
          <w:rFonts w:ascii="Times New Roman" w:hAnsi="Times New Roman" w:cs="Times New Roman"/>
          <w:sz w:val="24"/>
          <w:szCs w:val="24"/>
        </w:rPr>
      </w:pPr>
    </w:p>
    <w:p w14:paraId="05E71833" w14:textId="77777777" w:rsidR="00172A5A" w:rsidRDefault="00172A5A" w:rsidP="000F35DD">
      <w:pPr>
        <w:spacing w:after="0" w:line="360" w:lineRule="auto"/>
        <w:contextualSpacing/>
        <w:jc w:val="both"/>
        <w:rPr>
          <w:rFonts w:ascii="Times New Roman" w:hAnsi="Times New Roman" w:cs="Times New Roman"/>
          <w:sz w:val="24"/>
          <w:szCs w:val="24"/>
        </w:rPr>
      </w:pPr>
    </w:p>
    <w:p w14:paraId="1F9931CB" w14:textId="77777777" w:rsidR="00172A5A" w:rsidRDefault="00172A5A" w:rsidP="000F35DD">
      <w:pPr>
        <w:spacing w:after="0" w:line="360" w:lineRule="auto"/>
        <w:contextualSpacing/>
        <w:jc w:val="both"/>
        <w:rPr>
          <w:rFonts w:ascii="Times New Roman" w:hAnsi="Times New Roman" w:cs="Times New Roman"/>
          <w:sz w:val="24"/>
          <w:szCs w:val="24"/>
        </w:rPr>
      </w:pPr>
    </w:p>
    <w:p w14:paraId="5ABF367F" w14:textId="77777777" w:rsidR="00172A5A" w:rsidRDefault="00172A5A" w:rsidP="000F35DD">
      <w:pPr>
        <w:spacing w:after="0" w:line="360" w:lineRule="auto"/>
        <w:contextualSpacing/>
        <w:jc w:val="both"/>
        <w:rPr>
          <w:rFonts w:ascii="Times New Roman" w:hAnsi="Times New Roman" w:cs="Times New Roman"/>
          <w:sz w:val="24"/>
          <w:szCs w:val="24"/>
        </w:rPr>
      </w:pPr>
    </w:p>
    <w:p w14:paraId="654675D6" w14:textId="77777777" w:rsidR="00172A5A" w:rsidRDefault="00172A5A" w:rsidP="000F35DD">
      <w:pPr>
        <w:spacing w:after="0" w:line="360" w:lineRule="auto"/>
        <w:contextualSpacing/>
        <w:jc w:val="both"/>
        <w:rPr>
          <w:rFonts w:ascii="Times New Roman" w:hAnsi="Times New Roman" w:cs="Times New Roman"/>
          <w:sz w:val="24"/>
          <w:szCs w:val="24"/>
        </w:rPr>
      </w:pPr>
    </w:p>
    <w:p w14:paraId="7C67BB00" w14:textId="77777777" w:rsidR="00172A5A" w:rsidRDefault="00172A5A" w:rsidP="000F35DD">
      <w:pPr>
        <w:spacing w:after="0" w:line="360" w:lineRule="auto"/>
        <w:contextualSpacing/>
        <w:jc w:val="both"/>
        <w:rPr>
          <w:rFonts w:ascii="Times New Roman" w:hAnsi="Times New Roman" w:cs="Times New Roman"/>
          <w:sz w:val="24"/>
          <w:szCs w:val="24"/>
        </w:rPr>
      </w:pPr>
    </w:p>
    <w:p w14:paraId="22EFBF6B" w14:textId="77777777" w:rsidR="00172A5A" w:rsidRDefault="00172A5A" w:rsidP="000F35DD">
      <w:pPr>
        <w:spacing w:after="0" w:line="360" w:lineRule="auto"/>
        <w:contextualSpacing/>
        <w:jc w:val="both"/>
        <w:rPr>
          <w:rFonts w:ascii="Times New Roman" w:hAnsi="Times New Roman" w:cs="Times New Roman"/>
          <w:sz w:val="24"/>
          <w:szCs w:val="24"/>
        </w:rPr>
      </w:pPr>
    </w:p>
    <w:p w14:paraId="2947B8C5" w14:textId="77777777" w:rsidR="00172A5A" w:rsidRDefault="00172A5A" w:rsidP="000F35DD">
      <w:pPr>
        <w:spacing w:after="0" w:line="360" w:lineRule="auto"/>
        <w:contextualSpacing/>
        <w:jc w:val="both"/>
        <w:rPr>
          <w:rFonts w:ascii="Times New Roman" w:hAnsi="Times New Roman" w:cs="Times New Roman"/>
          <w:sz w:val="24"/>
          <w:szCs w:val="24"/>
        </w:rPr>
      </w:pPr>
    </w:p>
    <w:p w14:paraId="66D98CED" w14:textId="77777777" w:rsidR="00172A5A" w:rsidRDefault="00172A5A" w:rsidP="000F35DD">
      <w:pPr>
        <w:spacing w:after="0" w:line="360" w:lineRule="auto"/>
        <w:contextualSpacing/>
        <w:jc w:val="both"/>
        <w:rPr>
          <w:rFonts w:ascii="Times New Roman" w:hAnsi="Times New Roman" w:cs="Times New Roman"/>
          <w:sz w:val="24"/>
          <w:szCs w:val="24"/>
        </w:rPr>
      </w:pPr>
    </w:p>
    <w:p w14:paraId="7EB23034" w14:textId="77777777" w:rsidR="00172A5A" w:rsidRDefault="00172A5A" w:rsidP="000F35DD">
      <w:pPr>
        <w:spacing w:after="0" w:line="360" w:lineRule="auto"/>
        <w:contextualSpacing/>
        <w:jc w:val="both"/>
        <w:rPr>
          <w:rFonts w:ascii="Times New Roman" w:hAnsi="Times New Roman" w:cs="Times New Roman"/>
          <w:sz w:val="24"/>
          <w:szCs w:val="24"/>
        </w:rPr>
      </w:pPr>
    </w:p>
    <w:p w14:paraId="5F7C7503" w14:textId="77777777" w:rsidR="00172A5A" w:rsidRDefault="00172A5A" w:rsidP="000F35DD">
      <w:pPr>
        <w:spacing w:after="0" w:line="360" w:lineRule="auto"/>
        <w:contextualSpacing/>
        <w:jc w:val="both"/>
        <w:rPr>
          <w:rFonts w:ascii="Times New Roman" w:hAnsi="Times New Roman" w:cs="Times New Roman"/>
          <w:sz w:val="24"/>
          <w:szCs w:val="24"/>
        </w:rPr>
      </w:pPr>
    </w:p>
    <w:p w14:paraId="11CCEDF3" w14:textId="7DD1479C" w:rsidR="00172A5A" w:rsidRDefault="00172A5A" w:rsidP="000F35D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br/>
      </w:r>
    </w:p>
    <w:p w14:paraId="1F6718E3" w14:textId="77777777" w:rsidR="00172A5A" w:rsidRDefault="00172A5A" w:rsidP="000F35DD">
      <w:pPr>
        <w:spacing w:after="0" w:line="360" w:lineRule="auto"/>
        <w:contextualSpacing/>
        <w:jc w:val="both"/>
        <w:rPr>
          <w:rFonts w:ascii="Times New Roman" w:hAnsi="Times New Roman" w:cs="Times New Roman"/>
          <w:sz w:val="24"/>
          <w:szCs w:val="24"/>
        </w:rPr>
      </w:pPr>
    </w:p>
    <w:p w14:paraId="176D5D2F" w14:textId="77777777" w:rsidR="00172A5A" w:rsidRPr="00084CD2" w:rsidRDefault="00172A5A" w:rsidP="000F35DD">
      <w:pPr>
        <w:spacing w:after="0" w:line="360" w:lineRule="auto"/>
        <w:contextualSpacing/>
        <w:jc w:val="both"/>
        <w:rPr>
          <w:rFonts w:ascii="Times New Roman" w:hAnsi="Times New Roman" w:cs="Times New Roman"/>
          <w:sz w:val="24"/>
          <w:szCs w:val="24"/>
        </w:rPr>
      </w:pPr>
    </w:p>
    <w:p w14:paraId="3C9882EE" w14:textId="572C7CDC" w:rsidR="00400FEA" w:rsidRPr="00084CD2" w:rsidRDefault="005E3A90" w:rsidP="00084CD2">
      <w:pPr>
        <w:spacing w:after="0" w:line="360" w:lineRule="auto"/>
        <w:contextualSpacing/>
        <w:jc w:val="center"/>
        <w:rPr>
          <w:rFonts w:ascii="Times New Roman" w:hAnsi="Times New Roman" w:cs="Times New Roman"/>
          <w:bCs/>
          <w:sz w:val="24"/>
          <w:szCs w:val="24"/>
        </w:rPr>
      </w:pPr>
      <w:r w:rsidRPr="00084CD2">
        <w:rPr>
          <w:rFonts w:ascii="Times New Roman" w:hAnsi="Times New Roman" w:cs="Times New Roman"/>
          <w:b/>
          <w:sz w:val="24"/>
          <w:szCs w:val="24"/>
        </w:rPr>
        <w:lastRenderedPageBreak/>
        <w:t>Tabla</w:t>
      </w:r>
      <w:r w:rsidR="00400FEA" w:rsidRPr="00084CD2">
        <w:rPr>
          <w:rFonts w:ascii="Times New Roman" w:hAnsi="Times New Roman" w:cs="Times New Roman"/>
          <w:b/>
          <w:sz w:val="24"/>
          <w:szCs w:val="24"/>
        </w:rPr>
        <w:t xml:space="preserve"> 1. </w:t>
      </w:r>
      <w:r w:rsidR="005241FA" w:rsidRPr="00084CD2">
        <w:rPr>
          <w:rFonts w:ascii="Times New Roman" w:hAnsi="Times New Roman" w:cs="Times New Roman"/>
          <w:bCs/>
          <w:sz w:val="24"/>
          <w:szCs w:val="24"/>
        </w:rPr>
        <w:t>Implementación de m</w:t>
      </w:r>
      <w:r w:rsidR="00400FEA" w:rsidRPr="00084CD2">
        <w:rPr>
          <w:rFonts w:ascii="Times New Roman" w:hAnsi="Times New Roman" w:cs="Times New Roman"/>
          <w:bCs/>
          <w:sz w:val="24"/>
          <w:szCs w:val="24"/>
        </w:rPr>
        <w:t xml:space="preserve">odelos UCM para </w:t>
      </w:r>
      <w:r w:rsidR="00FC7D50" w:rsidRPr="00084CD2">
        <w:rPr>
          <w:rFonts w:ascii="Times New Roman" w:hAnsi="Times New Roman" w:cs="Times New Roman"/>
          <w:bCs/>
          <w:sz w:val="24"/>
          <w:szCs w:val="24"/>
        </w:rPr>
        <w:t xml:space="preserve">ajustar </w:t>
      </w:r>
      <w:r w:rsidR="00400FEA" w:rsidRPr="00084CD2">
        <w:rPr>
          <w:rFonts w:ascii="Times New Roman" w:hAnsi="Times New Roman" w:cs="Times New Roman"/>
          <w:bCs/>
          <w:sz w:val="24"/>
          <w:szCs w:val="24"/>
        </w:rPr>
        <w:t xml:space="preserve">los </w:t>
      </w:r>
      <w:r w:rsidR="0020198E" w:rsidRPr="00084CD2">
        <w:rPr>
          <w:rFonts w:ascii="Times New Roman" w:hAnsi="Times New Roman" w:cs="Times New Roman"/>
          <w:bCs/>
          <w:sz w:val="24"/>
          <w:szCs w:val="24"/>
        </w:rPr>
        <w:t>elementos</w:t>
      </w:r>
      <w:r w:rsidR="00400FEA" w:rsidRPr="00084CD2">
        <w:rPr>
          <w:rFonts w:ascii="Times New Roman" w:hAnsi="Times New Roman" w:cs="Times New Roman"/>
          <w:bCs/>
          <w:sz w:val="24"/>
          <w:szCs w:val="24"/>
        </w:rPr>
        <w:t xml:space="preserve"> del INPC.</w:t>
      </w:r>
    </w:p>
    <w:tbl>
      <w:tblPr>
        <w:tblStyle w:val="Tablaconcuadrcula"/>
        <w:tblW w:w="4907" w:type="pct"/>
        <w:tblLook w:val="04A0" w:firstRow="1" w:lastRow="0" w:firstColumn="1" w:lastColumn="0" w:noHBand="0" w:noVBand="1"/>
      </w:tblPr>
      <w:tblGrid>
        <w:gridCol w:w="1226"/>
        <w:gridCol w:w="2652"/>
        <w:gridCol w:w="2033"/>
        <w:gridCol w:w="1656"/>
        <w:gridCol w:w="1319"/>
      </w:tblGrid>
      <w:tr w:rsidR="007A0D5C" w:rsidRPr="00084CD2" w14:paraId="6342C61D" w14:textId="77777777" w:rsidTr="00084CD2">
        <w:tc>
          <w:tcPr>
            <w:tcW w:w="690" w:type="pct"/>
          </w:tcPr>
          <w:p w14:paraId="41E3A978"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Modelo</w:t>
            </w:r>
          </w:p>
        </w:tc>
        <w:tc>
          <w:tcPr>
            <w:tcW w:w="1492" w:type="pct"/>
          </w:tcPr>
          <w:p w14:paraId="55E94599"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Descripción</w:t>
            </w:r>
          </w:p>
        </w:tc>
        <w:tc>
          <w:tcPr>
            <w:tcW w:w="1144" w:type="pct"/>
          </w:tcPr>
          <w:p w14:paraId="711FD2B9" w14:textId="3A0EFF64" w:rsidR="007A0D5C" w:rsidRPr="00084CD2" w:rsidRDefault="0020198E"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Elementos</w:t>
            </w:r>
            <w:r w:rsidR="007A0D5C" w:rsidRPr="00084CD2">
              <w:rPr>
                <w:rFonts w:ascii="Times New Roman" w:hAnsi="Times New Roman" w:cs="Times New Roman"/>
                <w:sz w:val="24"/>
                <w:szCs w:val="24"/>
              </w:rPr>
              <w:t xml:space="preserve"> de varianza</w:t>
            </w:r>
          </w:p>
        </w:tc>
        <w:tc>
          <w:tcPr>
            <w:tcW w:w="932" w:type="pct"/>
          </w:tcPr>
          <w:p w14:paraId="6CE402BC"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AIC</w:t>
            </w:r>
            <w:r w:rsidR="005D387D" w:rsidRPr="00084CD2">
              <w:rPr>
                <w:rFonts w:ascii="Times New Roman" w:hAnsi="Times New Roman" w:cs="Times New Roman"/>
                <w:sz w:val="24"/>
                <w:szCs w:val="24"/>
                <w:vertAlign w:val="superscript"/>
              </w:rPr>
              <w:t>Þ</w:t>
            </w:r>
          </w:p>
        </w:tc>
        <w:tc>
          <w:tcPr>
            <w:tcW w:w="742" w:type="pct"/>
          </w:tcPr>
          <w:p w14:paraId="0249C622" w14:textId="77777777" w:rsidR="007A0D5C" w:rsidRPr="00084CD2" w:rsidRDefault="005D387D"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SB</w:t>
            </w:r>
            <w:r w:rsidR="007A0D5C" w:rsidRPr="00084CD2">
              <w:rPr>
                <w:rFonts w:ascii="Times New Roman" w:hAnsi="Times New Roman" w:cs="Times New Roman"/>
                <w:sz w:val="24"/>
                <w:szCs w:val="24"/>
              </w:rPr>
              <w:t>C</w:t>
            </w:r>
            <w:r w:rsidRPr="00084CD2">
              <w:rPr>
                <w:rFonts w:ascii="Times New Roman" w:hAnsi="Times New Roman" w:cs="Times New Roman"/>
                <w:sz w:val="24"/>
                <w:szCs w:val="24"/>
                <w:vertAlign w:val="superscript"/>
              </w:rPr>
              <w:t>¶</w:t>
            </w:r>
          </w:p>
        </w:tc>
      </w:tr>
      <w:tr w:rsidR="007A0D5C" w:rsidRPr="00084CD2" w14:paraId="2A870063" w14:textId="77777777" w:rsidTr="00084CD2">
        <w:tc>
          <w:tcPr>
            <w:tcW w:w="690" w:type="pct"/>
            <w:vMerge w:val="restart"/>
          </w:tcPr>
          <w:p w14:paraId="13B7367C" w14:textId="77777777" w:rsidR="007A0D5C" w:rsidRPr="00084CD2" w:rsidRDefault="00FB22C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 xml:space="preserve">UCM </w:t>
            </w:r>
            <w:r w:rsidR="007A0D5C" w:rsidRPr="00084CD2">
              <w:rPr>
                <w:rFonts w:ascii="Times New Roman" w:hAnsi="Times New Roman" w:cs="Times New Roman"/>
                <w:sz w:val="24"/>
                <w:szCs w:val="24"/>
              </w:rPr>
              <w:t>1</w:t>
            </w:r>
          </w:p>
          <w:p w14:paraId="76B1E565"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p w14:paraId="21BA564B"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048D45CE"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 xml:space="preserve">Nivel aleatorio </w:t>
            </w:r>
          </w:p>
        </w:tc>
        <w:tc>
          <w:tcPr>
            <w:tcW w:w="1144" w:type="pct"/>
          </w:tcPr>
          <w:p w14:paraId="3ABB990C"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n</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val="restart"/>
          </w:tcPr>
          <w:p w14:paraId="49EB3774"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-1888</w:t>
            </w:r>
          </w:p>
        </w:tc>
        <w:tc>
          <w:tcPr>
            <w:tcW w:w="742" w:type="pct"/>
            <w:vMerge w:val="restart"/>
          </w:tcPr>
          <w:p w14:paraId="5FBB2BAA"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-1874</w:t>
            </w:r>
          </w:p>
        </w:tc>
      </w:tr>
      <w:tr w:rsidR="007A0D5C" w:rsidRPr="00084CD2" w14:paraId="6484259B" w14:textId="77777777" w:rsidTr="00084CD2">
        <w:tc>
          <w:tcPr>
            <w:tcW w:w="690" w:type="pct"/>
            <w:vMerge/>
          </w:tcPr>
          <w:p w14:paraId="18269176"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1AA717E3"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Pendiente aleatoria</w:t>
            </w:r>
          </w:p>
        </w:tc>
        <w:tc>
          <w:tcPr>
            <w:tcW w:w="1144" w:type="pct"/>
          </w:tcPr>
          <w:p w14:paraId="174C25E6" w14:textId="77777777" w:rsidR="007A0D5C" w:rsidRPr="00084CD2" w:rsidRDefault="00172A5A" w:rsidP="000F35DD">
            <w:pPr>
              <w:tabs>
                <w:tab w:val="left" w:pos="7988"/>
              </w:tabs>
              <w:spacing w:line="360" w:lineRule="auto"/>
              <w:contextualSpacing/>
              <w:rPr>
                <w:rFonts w:ascii="Times New Roman" w:eastAsia="Calibri" w:hAnsi="Times New Roman" w:cs="Times New Roman"/>
                <w:sz w:val="24"/>
                <w:szCs w:val="24"/>
                <w:shd w:val="clear" w:color="auto" w:fill="FFFFFF"/>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ξ</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5F56B880"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1CF0FF70"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57D6C0A1" w14:textId="77777777" w:rsidTr="00084CD2">
        <w:tc>
          <w:tcPr>
            <w:tcW w:w="690" w:type="pct"/>
            <w:vMerge/>
          </w:tcPr>
          <w:p w14:paraId="3CA394CF"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6A909972"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Estacionalidad aleatoria</w:t>
            </w:r>
          </w:p>
        </w:tc>
        <w:tc>
          <w:tcPr>
            <w:tcW w:w="1144" w:type="pct"/>
          </w:tcPr>
          <w:p w14:paraId="485B98DC"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ω</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7D03FFB8"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1D7620D8"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0276D931" w14:textId="77777777" w:rsidTr="00084CD2">
        <w:tc>
          <w:tcPr>
            <w:tcW w:w="690" w:type="pct"/>
            <w:vMerge w:val="restart"/>
          </w:tcPr>
          <w:p w14:paraId="64A8C93C" w14:textId="77777777" w:rsidR="00FB22C3" w:rsidRPr="00084CD2" w:rsidRDefault="00FB22C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UCM 2</w:t>
            </w:r>
          </w:p>
          <w:p w14:paraId="3A3D0074"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51472D11"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Nivel aleatorio</w:t>
            </w:r>
          </w:p>
        </w:tc>
        <w:tc>
          <w:tcPr>
            <w:tcW w:w="1144" w:type="pct"/>
          </w:tcPr>
          <w:p w14:paraId="3298D798"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n</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val="restart"/>
          </w:tcPr>
          <w:p w14:paraId="2C93A3B5"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-1890</w:t>
            </w:r>
          </w:p>
        </w:tc>
        <w:tc>
          <w:tcPr>
            <w:tcW w:w="742" w:type="pct"/>
            <w:vMerge w:val="restart"/>
          </w:tcPr>
          <w:p w14:paraId="36FC2727"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-1880</w:t>
            </w:r>
          </w:p>
        </w:tc>
      </w:tr>
      <w:tr w:rsidR="007A0D5C" w:rsidRPr="00084CD2" w14:paraId="566C23F6" w14:textId="77777777" w:rsidTr="00084CD2">
        <w:tc>
          <w:tcPr>
            <w:tcW w:w="690" w:type="pct"/>
            <w:vMerge/>
          </w:tcPr>
          <w:p w14:paraId="2476CDFF"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7CC97505"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Pendiente fija</w:t>
            </w:r>
          </w:p>
        </w:tc>
        <w:tc>
          <w:tcPr>
            <w:tcW w:w="1144" w:type="pct"/>
          </w:tcPr>
          <w:p w14:paraId="579B394D"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ξ</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=0</w:t>
            </w:r>
          </w:p>
        </w:tc>
        <w:tc>
          <w:tcPr>
            <w:tcW w:w="932" w:type="pct"/>
            <w:vMerge/>
          </w:tcPr>
          <w:p w14:paraId="78F21BCE"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7B21B00F"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209F8A5E" w14:textId="77777777" w:rsidTr="00084CD2">
        <w:tc>
          <w:tcPr>
            <w:tcW w:w="690" w:type="pct"/>
            <w:vMerge/>
          </w:tcPr>
          <w:p w14:paraId="0DAC7F98"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2DA79AEC"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Estacionalidad aleatoria</w:t>
            </w:r>
          </w:p>
        </w:tc>
        <w:tc>
          <w:tcPr>
            <w:tcW w:w="1144" w:type="pct"/>
          </w:tcPr>
          <w:p w14:paraId="11EF2C20"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ω</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1F7C79AE"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0554C894"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031EDD2E" w14:textId="77777777" w:rsidTr="00084CD2">
        <w:tc>
          <w:tcPr>
            <w:tcW w:w="690" w:type="pct"/>
            <w:vMerge w:val="restart"/>
          </w:tcPr>
          <w:p w14:paraId="238BFF42" w14:textId="77777777" w:rsidR="00FB22C3" w:rsidRPr="00084CD2" w:rsidRDefault="00FB22C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UCM 3</w:t>
            </w:r>
          </w:p>
          <w:p w14:paraId="4CCC48EA"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p w14:paraId="54160CDA"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p w14:paraId="6CF7EAD9"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7DF976FF"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Nivel fijo</w:t>
            </w:r>
          </w:p>
        </w:tc>
        <w:tc>
          <w:tcPr>
            <w:tcW w:w="1144" w:type="pct"/>
          </w:tcPr>
          <w:p w14:paraId="665711B1"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n</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=0</w:t>
            </w:r>
          </w:p>
        </w:tc>
        <w:tc>
          <w:tcPr>
            <w:tcW w:w="932" w:type="pct"/>
            <w:vMerge w:val="restart"/>
          </w:tcPr>
          <w:p w14:paraId="354E9349"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-1836</w:t>
            </w:r>
          </w:p>
        </w:tc>
        <w:tc>
          <w:tcPr>
            <w:tcW w:w="742" w:type="pct"/>
            <w:vMerge w:val="restart"/>
          </w:tcPr>
          <w:p w14:paraId="22752526"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-1829</w:t>
            </w:r>
          </w:p>
        </w:tc>
      </w:tr>
      <w:tr w:rsidR="007A0D5C" w:rsidRPr="00084CD2" w14:paraId="59981BA0" w14:textId="77777777" w:rsidTr="00084CD2">
        <w:tc>
          <w:tcPr>
            <w:tcW w:w="690" w:type="pct"/>
            <w:vMerge/>
          </w:tcPr>
          <w:p w14:paraId="5217CDEE"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76440158"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Pendiente aleatoria</w:t>
            </w:r>
          </w:p>
        </w:tc>
        <w:tc>
          <w:tcPr>
            <w:tcW w:w="1144" w:type="pct"/>
          </w:tcPr>
          <w:p w14:paraId="29F494AA"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ξ</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26F815CD"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16691D5C"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36762880" w14:textId="77777777" w:rsidTr="00084CD2">
        <w:trPr>
          <w:trHeight w:val="317"/>
        </w:trPr>
        <w:tc>
          <w:tcPr>
            <w:tcW w:w="690" w:type="pct"/>
            <w:vMerge/>
          </w:tcPr>
          <w:p w14:paraId="3B68B4B9"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3AE9F0C1"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Estacionalidad fija</w:t>
            </w:r>
          </w:p>
        </w:tc>
        <w:tc>
          <w:tcPr>
            <w:tcW w:w="1144" w:type="pct"/>
          </w:tcPr>
          <w:p w14:paraId="3BC5E3E5"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ω</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=0</w:t>
            </w:r>
          </w:p>
        </w:tc>
        <w:tc>
          <w:tcPr>
            <w:tcW w:w="932" w:type="pct"/>
            <w:vMerge/>
          </w:tcPr>
          <w:p w14:paraId="31C4A27B"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5F9A1DCD"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5D75D4CD" w14:textId="77777777" w:rsidTr="00084CD2">
        <w:tc>
          <w:tcPr>
            <w:tcW w:w="690" w:type="pct"/>
            <w:vMerge w:val="restart"/>
          </w:tcPr>
          <w:p w14:paraId="6DFC86F8" w14:textId="77777777" w:rsidR="00FB22C3" w:rsidRPr="00084CD2" w:rsidRDefault="00FB22C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UCM 4</w:t>
            </w:r>
          </w:p>
          <w:p w14:paraId="0BD2DB72"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p>
        </w:tc>
        <w:tc>
          <w:tcPr>
            <w:tcW w:w="1492" w:type="pct"/>
          </w:tcPr>
          <w:p w14:paraId="333967ED"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Nivel fijo</w:t>
            </w:r>
          </w:p>
        </w:tc>
        <w:tc>
          <w:tcPr>
            <w:tcW w:w="1144" w:type="pct"/>
          </w:tcPr>
          <w:p w14:paraId="3C54BBD3"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n</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=0</w:t>
            </w:r>
          </w:p>
        </w:tc>
        <w:tc>
          <w:tcPr>
            <w:tcW w:w="932" w:type="pct"/>
            <w:vMerge w:val="restart"/>
          </w:tcPr>
          <w:p w14:paraId="19B6677E"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-1901</w:t>
            </w:r>
          </w:p>
        </w:tc>
        <w:tc>
          <w:tcPr>
            <w:tcW w:w="742" w:type="pct"/>
            <w:vMerge w:val="restart"/>
          </w:tcPr>
          <w:p w14:paraId="05AD1E73"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-1885</w:t>
            </w:r>
          </w:p>
        </w:tc>
      </w:tr>
      <w:tr w:rsidR="007A0D5C" w:rsidRPr="00084CD2" w14:paraId="3F9FB69F" w14:textId="77777777" w:rsidTr="00084CD2">
        <w:tc>
          <w:tcPr>
            <w:tcW w:w="690" w:type="pct"/>
            <w:vMerge/>
          </w:tcPr>
          <w:p w14:paraId="0C71B111" w14:textId="77777777" w:rsidR="007A0D5C" w:rsidRPr="00084CD2" w:rsidRDefault="007A0D5C" w:rsidP="000F35DD">
            <w:pPr>
              <w:tabs>
                <w:tab w:val="left" w:pos="7988"/>
              </w:tabs>
              <w:spacing w:line="360" w:lineRule="auto"/>
              <w:contextualSpacing/>
            </w:pPr>
          </w:p>
        </w:tc>
        <w:tc>
          <w:tcPr>
            <w:tcW w:w="1492" w:type="pct"/>
          </w:tcPr>
          <w:p w14:paraId="00A27E92"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Pendiente aleatoria</w:t>
            </w:r>
          </w:p>
        </w:tc>
        <w:tc>
          <w:tcPr>
            <w:tcW w:w="1144" w:type="pct"/>
          </w:tcPr>
          <w:p w14:paraId="74DE4CA6"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ξ</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0F2F838E" w14:textId="77777777" w:rsidR="007A0D5C" w:rsidRPr="00084CD2" w:rsidRDefault="007A0D5C" w:rsidP="000F35DD">
            <w:pPr>
              <w:tabs>
                <w:tab w:val="left" w:pos="7988"/>
              </w:tabs>
              <w:spacing w:line="360" w:lineRule="auto"/>
              <w:contextualSpacing/>
              <w:jc w:val="center"/>
            </w:pPr>
          </w:p>
        </w:tc>
        <w:tc>
          <w:tcPr>
            <w:tcW w:w="742" w:type="pct"/>
            <w:vMerge/>
          </w:tcPr>
          <w:p w14:paraId="2CD6985B" w14:textId="77777777" w:rsidR="007A0D5C" w:rsidRPr="00084CD2" w:rsidRDefault="007A0D5C" w:rsidP="000F35DD">
            <w:pPr>
              <w:tabs>
                <w:tab w:val="left" w:pos="7988"/>
              </w:tabs>
              <w:spacing w:line="360" w:lineRule="auto"/>
              <w:contextualSpacing/>
              <w:jc w:val="center"/>
            </w:pPr>
          </w:p>
        </w:tc>
      </w:tr>
      <w:tr w:rsidR="007A0D5C" w:rsidRPr="00084CD2" w14:paraId="77C1D642" w14:textId="77777777" w:rsidTr="00084CD2">
        <w:tc>
          <w:tcPr>
            <w:tcW w:w="690" w:type="pct"/>
            <w:vMerge/>
          </w:tcPr>
          <w:p w14:paraId="6D2DCA40" w14:textId="77777777" w:rsidR="007A0D5C" w:rsidRPr="00084CD2" w:rsidRDefault="007A0D5C" w:rsidP="000F35DD">
            <w:pPr>
              <w:tabs>
                <w:tab w:val="left" w:pos="7988"/>
              </w:tabs>
              <w:spacing w:line="360" w:lineRule="auto"/>
              <w:contextualSpacing/>
            </w:pPr>
          </w:p>
        </w:tc>
        <w:tc>
          <w:tcPr>
            <w:tcW w:w="1492" w:type="pct"/>
          </w:tcPr>
          <w:p w14:paraId="10B4E6F3"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Estacionalidad fija</w:t>
            </w:r>
          </w:p>
        </w:tc>
        <w:tc>
          <w:tcPr>
            <w:tcW w:w="1144" w:type="pct"/>
          </w:tcPr>
          <w:p w14:paraId="070CA8C2"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ω</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=0</w:t>
            </w:r>
          </w:p>
        </w:tc>
        <w:tc>
          <w:tcPr>
            <w:tcW w:w="932" w:type="pct"/>
            <w:vMerge/>
          </w:tcPr>
          <w:p w14:paraId="0BB2E1F6" w14:textId="77777777" w:rsidR="007A0D5C" w:rsidRPr="00084CD2" w:rsidRDefault="007A0D5C" w:rsidP="000F35DD">
            <w:pPr>
              <w:tabs>
                <w:tab w:val="left" w:pos="7988"/>
              </w:tabs>
              <w:spacing w:line="360" w:lineRule="auto"/>
              <w:contextualSpacing/>
              <w:jc w:val="center"/>
            </w:pPr>
          </w:p>
        </w:tc>
        <w:tc>
          <w:tcPr>
            <w:tcW w:w="742" w:type="pct"/>
            <w:vMerge/>
          </w:tcPr>
          <w:p w14:paraId="689358C8" w14:textId="77777777" w:rsidR="007A0D5C" w:rsidRPr="00084CD2" w:rsidRDefault="007A0D5C" w:rsidP="000F35DD">
            <w:pPr>
              <w:tabs>
                <w:tab w:val="left" w:pos="7988"/>
              </w:tabs>
              <w:spacing w:line="360" w:lineRule="auto"/>
              <w:contextualSpacing/>
              <w:jc w:val="center"/>
            </w:pPr>
          </w:p>
        </w:tc>
      </w:tr>
      <w:tr w:rsidR="007A0D5C" w:rsidRPr="00084CD2" w14:paraId="3C9F8E23" w14:textId="77777777" w:rsidTr="00084CD2">
        <w:tc>
          <w:tcPr>
            <w:tcW w:w="690" w:type="pct"/>
            <w:vMerge/>
          </w:tcPr>
          <w:p w14:paraId="62458781" w14:textId="77777777" w:rsidR="007A0D5C" w:rsidRPr="00084CD2" w:rsidRDefault="007A0D5C" w:rsidP="000F35DD">
            <w:pPr>
              <w:tabs>
                <w:tab w:val="left" w:pos="7988"/>
              </w:tabs>
              <w:spacing w:line="360" w:lineRule="auto"/>
              <w:contextualSpacing/>
            </w:pPr>
          </w:p>
        </w:tc>
        <w:tc>
          <w:tcPr>
            <w:tcW w:w="1492" w:type="pct"/>
          </w:tcPr>
          <w:p w14:paraId="206C3E80"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Un ciclo aleatorio</w:t>
            </w:r>
          </w:p>
        </w:tc>
        <w:tc>
          <w:tcPr>
            <w:tcW w:w="1144" w:type="pct"/>
          </w:tcPr>
          <w:p w14:paraId="73A677C8" w14:textId="77777777" w:rsidR="007A0D5C" w:rsidRPr="00084CD2" w:rsidRDefault="00172A5A" w:rsidP="000F35DD">
            <w:pPr>
              <w:tabs>
                <w:tab w:val="left" w:pos="7988"/>
              </w:tabs>
              <w:spacing w:line="360" w:lineRule="auto"/>
              <w:contextualSpacing/>
              <w:rPr>
                <w:rFonts w:ascii="Times New Roman" w:eastAsia="Calibri" w:hAnsi="Times New Roman" w:cs="Times New Roman"/>
                <w:sz w:val="24"/>
                <w:szCs w:val="24"/>
                <w:shd w:val="clear" w:color="auto" w:fill="FFFFFF"/>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 xml:space="preserve">v </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544E3834" w14:textId="77777777" w:rsidR="007A0D5C" w:rsidRPr="00084CD2" w:rsidRDefault="007A0D5C" w:rsidP="000F35DD">
            <w:pPr>
              <w:tabs>
                <w:tab w:val="left" w:pos="7988"/>
              </w:tabs>
              <w:spacing w:line="360" w:lineRule="auto"/>
              <w:contextualSpacing/>
              <w:jc w:val="center"/>
            </w:pPr>
          </w:p>
        </w:tc>
        <w:tc>
          <w:tcPr>
            <w:tcW w:w="742" w:type="pct"/>
            <w:vMerge/>
          </w:tcPr>
          <w:p w14:paraId="57CF092B" w14:textId="77777777" w:rsidR="007A0D5C" w:rsidRPr="00084CD2" w:rsidRDefault="007A0D5C" w:rsidP="000F35DD">
            <w:pPr>
              <w:tabs>
                <w:tab w:val="left" w:pos="7988"/>
              </w:tabs>
              <w:spacing w:line="360" w:lineRule="auto"/>
              <w:contextualSpacing/>
              <w:jc w:val="center"/>
            </w:pPr>
          </w:p>
        </w:tc>
      </w:tr>
      <w:tr w:rsidR="007A0D5C" w:rsidRPr="00084CD2" w14:paraId="1E01D0AD" w14:textId="77777777" w:rsidTr="00084CD2">
        <w:tc>
          <w:tcPr>
            <w:tcW w:w="690" w:type="pct"/>
            <w:vMerge w:val="restart"/>
          </w:tcPr>
          <w:p w14:paraId="501CB48C" w14:textId="77777777" w:rsidR="00FB22C3" w:rsidRPr="00084CD2" w:rsidRDefault="00FB22C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UCM 5</w:t>
            </w:r>
          </w:p>
          <w:p w14:paraId="784744E9" w14:textId="77777777" w:rsidR="007A0D5C" w:rsidRPr="00084CD2" w:rsidRDefault="007A0D5C" w:rsidP="000F35DD">
            <w:pPr>
              <w:tabs>
                <w:tab w:val="left" w:pos="7988"/>
              </w:tabs>
              <w:spacing w:line="360" w:lineRule="auto"/>
              <w:contextualSpacing/>
            </w:pPr>
          </w:p>
        </w:tc>
        <w:tc>
          <w:tcPr>
            <w:tcW w:w="1492" w:type="pct"/>
          </w:tcPr>
          <w:p w14:paraId="612B879E" w14:textId="77777777" w:rsidR="007A0D5C" w:rsidRPr="00084CD2" w:rsidRDefault="00AD54E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Nivel fijo</w:t>
            </w:r>
          </w:p>
        </w:tc>
        <w:tc>
          <w:tcPr>
            <w:tcW w:w="1144" w:type="pct"/>
          </w:tcPr>
          <w:p w14:paraId="5DFEA4AB"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n</m:t>
                  </m:r>
                </m:sub>
                <m:sup>
                  <m:r>
                    <w:rPr>
                      <w:rFonts w:ascii="Cambria Math" w:hAnsi="Cambria Math" w:cs="Times New Roman"/>
                      <w:sz w:val="24"/>
                      <w:szCs w:val="24"/>
                      <w:shd w:val="clear" w:color="auto" w:fill="FFFFFF"/>
                    </w:rPr>
                    <m:t>2</m:t>
                  </m:r>
                </m:sup>
              </m:sSubSup>
            </m:oMath>
            <w:r w:rsidR="00AD54E3" w:rsidRPr="00084CD2">
              <w:rPr>
                <w:rFonts w:ascii="Times New Roman" w:eastAsiaTheme="minorEastAsia" w:hAnsi="Times New Roman" w:cs="Times New Roman"/>
                <w:sz w:val="24"/>
                <w:szCs w:val="24"/>
                <w:shd w:val="clear" w:color="auto" w:fill="FFFFFF"/>
              </w:rPr>
              <w:t>=</w:t>
            </w:r>
            <w:r w:rsidR="007A0D5C" w:rsidRPr="00084CD2">
              <w:rPr>
                <w:rFonts w:ascii="Times New Roman" w:eastAsiaTheme="minorEastAsia" w:hAnsi="Times New Roman" w:cs="Times New Roman"/>
                <w:sz w:val="24"/>
                <w:szCs w:val="24"/>
                <w:shd w:val="clear" w:color="auto" w:fill="FFFFFF"/>
              </w:rPr>
              <w:t>0</w:t>
            </w:r>
          </w:p>
        </w:tc>
        <w:tc>
          <w:tcPr>
            <w:tcW w:w="932" w:type="pct"/>
            <w:vMerge w:val="restart"/>
          </w:tcPr>
          <w:p w14:paraId="0D002005"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-1895</w:t>
            </w:r>
          </w:p>
        </w:tc>
        <w:tc>
          <w:tcPr>
            <w:tcW w:w="742" w:type="pct"/>
            <w:vMerge w:val="restart"/>
          </w:tcPr>
          <w:p w14:paraId="58D928DF"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-1869</w:t>
            </w:r>
          </w:p>
        </w:tc>
      </w:tr>
      <w:tr w:rsidR="007A0D5C" w:rsidRPr="00084CD2" w14:paraId="3AD5716A" w14:textId="77777777" w:rsidTr="00084CD2">
        <w:tc>
          <w:tcPr>
            <w:tcW w:w="690" w:type="pct"/>
            <w:vMerge/>
          </w:tcPr>
          <w:p w14:paraId="46AF3245" w14:textId="77777777" w:rsidR="007A0D5C" w:rsidRPr="00084CD2" w:rsidRDefault="007A0D5C" w:rsidP="000F35DD">
            <w:pPr>
              <w:tabs>
                <w:tab w:val="left" w:pos="7988"/>
              </w:tabs>
              <w:spacing w:line="360" w:lineRule="auto"/>
              <w:contextualSpacing/>
            </w:pPr>
          </w:p>
        </w:tc>
        <w:tc>
          <w:tcPr>
            <w:tcW w:w="1492" w:type="pct"/>
          </w:tcPr>
          <w:p w14:paraId="4A286E76" w14:textId="77777777" w:rsidR="007A0D5C" w:rsidRPr="00084CD2" w:rsidRDefault="00EA31D8"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Pendiente</w:t>
            </w:r>
            <w:r w:rsidR="007A0D5C" w:rsidRPr="00084CD2">
              <w:rPr>
                <w:rFonts w:ascii="Times New Roman" w:hAnsi="Times New Roman" w:cs="Times New Roman"/>
                <w:sz w:val="24"/>
                <w:szCs w:val="24"/>
              </w:rPr>
              <w:t xml:space="preserve"> </w:t>
            </w:r>
            <w:r w:rsidR="00AD54E3" w:rsidRPr="00084CD2">
              <w:rPr>
                <w:rFonts w:ascii="Times New Roman" w:hAnsi="Times New Roman" w:cs="Times New Roman"/>
                <w:sz w:val="24"/>
                <w:szCs w:val="24"/>
              </w:rPr>
              <w:t>aleatoria</w:t>
            </w:r>
          </w:p>
        </w:tc>
        <w:tc>
          <w:tcPr>
            <w:tcW w:w="1144" w:type="pct"/>
          </w:tcPr>
          <w:p w14:paraId="0C228634"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ξ</m:t>
                  </m:r>
                </m:sub>
                <m:sup>
                  <m:r>
                    <w:rPr>
                      <w:rFonts w:ascii="Cambria Math" w:hAnsi="Cambria Math" w:cs="Times New Roman"/>
                      <w:sz w:val="24"/>
                      <w:szCs w:val="24"/>
                      <w:shd w:val="clear" w:color="auto" w:fill="FFFFFF"/>
                    </w:rPr>
                    <m:t>2</m:t>
                  </m:r>
                </m:sup>
              </m:sSubSup>
            </m:oMath>
            <w:r w:rsidR="00AD54E3" w:rsidRPr="00084CD2">
              <w:rPr>
                <w:rFonts w:ascii="Times New Roman" w:eastAsiaTheme="minorEastAsia" w:hAnsi="Times New Roman" w:cs="Times New Roman"/>
                <w:sz w:val="24"/>
                <w:szCs w:val="24"/>
                <w:shd w:val="clear" w:color="auto" w:fill="FFFFFF"/>
              </w:rPr>
              <w:t>&gt;</w:t>
            </w:r>
            <w:r w:rsidR="00EA31D8" w:rsidRPr="00084CD2">
              <w:rPr>
                <w:rFonts w:ascii="Times New Roman" w:eastAsiaTheme="minorEastAsia" w:hAnsi="Times New Roman" w:cs="Times New Roman"/>
                <w:sz w:val="24"/>
                <w:szCs w:val="24"/>
                <w:shd w:val="clear" w:color="auto" w:fill="FFFFFF"/>
              </w:rPr>
              <w:t>0</w:t>
            </w:r>
          </w:p>
        </w:tc>
        <w:tc>
          <w:tcPr>
            <w:tcW w:w="932" w:type="pct"/>
            <w:vMerge/>
          </w:tcPr>
          <w:p w14:paraId="23832A7F"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7A02070D"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5E948A98" w14:textId="77777777" w:rsidTr="00084CD2">
        <w:tc>
          <w:tcPr>
            <w:tcW w:w="690" w:type="pct"/>
            <w:vMerge/>
          </w:tcPr>
          <w:p w14:paraId="296CB45E" w14:textId="77777777" w:rsidR="007A0D5C" w:rsidRPr="00084CD2" w:rsidRDefault="007A0D5C" w:rsidP="000F35DD">
            <w:pPr>
              <w:tabs>
                <w:tab w:val="left" w:pos="7988"/>
              </w:tabs>
              <w:spacing w:line="360" w:lineRule="auto"/>
              <w:contextualSpacing/>
            </w:pPr>
          </w:p>
        </w:tc>
        <w:tc>
          <w:tcPr>
            <w:tcW w:w="1492" w:type="pct"/>
          </w:tcPr>
          <w:p w14:paraId="4A505137" w14:textId="77777777" w:rsidR="007A0D5C" w:rsidRPr="00084CD2" w:rsidRDefault="00AD54E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Estacionalidad fija</w:t>
            </w:r>
          </w:p>
        </w:tc>
        <w:tc>
          <w:tcPr>
            <w:tcW w:w="1144" w:type="pct"/>
          </w:tcPr>
          <w:p w14:paraId="0648875F"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ω</m:t>
                  </m:r>
                </m:sub>
                <m:sup>
                  <m:r>
                    <w:rPr>
                      <w:rFonts w:ascii="Cambria Math" w:hAnsi="Cambria Math" w:cs="Times New Roman"/>
                      <w:sz w:val="24"/>
                      <w:szCs w:val="24"/>
                      <w:shd w:val="clear" w:color="auto" w:fill="FFFFFF"/>
                    </w:rPr>
                    <m:t>2</m:t>
                  </m:r>
                </m:sup>
              </m:sSubSup>
            </m:oMath>
            <w:r w:rsidR="00AD54E3" w:rsidRPr="00084CD2">
              <w:rPr>
                <w:rFonts w:ascii="Times New Roman" w:eastAsiaTheme="minorEastAsia" w:hAnsi="Times New Roman" w:cs="Times New Roman"/>
                <w:sz w:val="24"/>
                <w:szCs w:val="24"/>
                <w:shd w:val="clear" w:color="auto" w:fill="FFFFFF"/>
              </w:rPr>
              <w:t>=</w:t>
            </w:r>
            <w:r w:rsidR="007A0D5C" w:rsidRPr="00084CD2">
              <w:rPr>
                <w:rFonts w:ascii="Times New Roman" w:eastAsiaTheme="minorEastAsia" w:hAnsi="Times New Roman" w:cs="Times New Roman"/>
                <w:sz w:val="24"/>
                <w:szCs w:val="24"/>
                <w:shd w:val="clear" w:color="auto" w:fill="FFFFFF"/>
              </w:rPr>
              <w:t>0</w:t>
            </w:r>
          </w:p>
        </w:tc>
        <w:tc>
          <w:tcPr>
            <w:tcW w:w="932" w:type="pct"/>
            <w:vMerge/>
          </w:tcPr>
          <w:p w14:paraId="277DF991"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26DBF00B"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261B0761" w14:textId="77777777" w:rsidTr="00084CD2">
        <w:tc>
          <w:tcPr>
            <w:tcW w:w="690" w:type="pct"/>
            <w:vMerge/>
          </w:tcPr>
          <w:p w14:paraId="0395D6B1" w14:textId="77777777" w:rsidR="007A0D5C" w:rsidRPr="00084CD2" w:rsidRDefault="007A0D5C" w:rsidP="000F35DD">
            <w:pPr>
              <w:tabs>
                <w:tab w:val="left" w:pos="7988"/>
              </w:tabs>
              <w:spacing w:line="360" w:lineRule="auto"/>
              <w:contextualSpacing/>
            </w:pPr>
          </w:p>
        </w:tc>
        <w:tc>
          <w:tcPr>
            <w:tcW w:w="1492" w:type="pct"/>
          </w:tcPr>
          <w:p w14:paraId="265A063D"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Dos ciclos aleatorios</w:t>
            </w:r>
          </w:p>
        </w:tc>
        <w:tc>
          <w:tcPr>
            <w:tcW w:w="1144" w:type="pct"/>
          </w:tcPr>
          <w:p w14:paraId="66AE2601" w14:textId="77777777" w:rsidR="007A0D5C" w:rsidRPr="00084CD2" w:rsidRDefault="00172A5A" w:rsidP="000F35DD">
            <w:pPr>
              <w:tabs>
                <w:tab w:val="left" w:pos="7988"/>
              </w:tabs>
              <w:spacing w:line="360" w:lineRule="auto"/>
              <w:contextualSpacing/>
              <w:rPr>
                <w:rFonts w:ascii="Times New Roman" w:eastAsia="Calibri" w:hAnsi="Times New Roman" w:cs="Times New Roman"/>
                <w:sz w:val="24"/>
                <w:szCs w:val="24"/>
                <w:shd w:val="clear" w:color="auto" w:fill="FFFFFF"/>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 xml:space="preserve">v </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 xml:space="preserve">&gt;0, </w:t>
            </w: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 xml:space="preserve">v </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&gt;0</w:t>
            </w:r>
          </w:p>
        </w:tc>
        <w:tc>
          <w:tcPr>
            <w:tcW w:w="932" w:type="pct"/>
            <w:vMerge/>
          </w:tcPr>
          <w:p w14:paraId="41F4D805"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6910019E"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3B0D3516" w14:textId="77777777" w:rsidTr="00084CD2">
        <w:tc>
          <w:tcPr>
            <w:tcW w:w="690" w:type="pct"/>
            <w:vMerge w:val="restart"/>
          </w:tcPr>
          <w:p w14:paraId="75F6ED2D" w14:textId="77777777" w:rsidR="00FB22C3" w:rsidRPr="00084CD2" w:rsidRDefault="00FB22C3"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UCM 6</w:t>
            </w:r>
          </w:p>
          <w:p w14:paraId="1CF5C87E" w14:textId="77777777" w:rsidR="007A0D5C" w:rsidRPr="00084CD2" w:rsidRDefault="007A0D5C" w:rsidP="000F35DD">
            <w:pPr>
              <w:tabs>
                <w:tab w:val="left" w:pos="7988"/>
              </w:tabs>
              <w:spacing w:line="360" w:lineRule="auto"/>
              <w:contextualSpacing/>
            </w:pPr>
          </w:p>
        </w:tc>
        <w:tc>
          <w:tcPr>
            <w:tcW w:w="1492" w:type="pct"/>
          </w:tcPr>
          <w:p w14:paraId="1C19480B" w14:textId="77777777" w:rsidR="007A0D5C" w:rsidRPr="00084CD2" w:rsidRDefault="00AA0DE2"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Nivel fijo</w:t>
            </w:r>
          </w:p>
        </w:tc>
        <w:tc>
          <w:tcPr>
            <w:tcW w:w="1144" w:type="pct"/>
          </w:tcPr>
          <w:p w14:paraId="10ED7F4D"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n</m:t>
                  </m:r>
                </m:sub>
                <m:sup>
                  <m:r>
                    <w:rPr>
                      <w:rFonts w:ascii="Cambria Math" w:hAnsi="Cambria Math" w:cs="Times New Roman"/>
                      <w:sz w:val="24"/>
                      <w:szCs w:val="24"/>
                      <w:shd w:val="clear" w:color="auto" w:fill="FFFFFF"/>
                    </w:rPr>
                    <m:t>2</m:t>
                  </m:r>
                </m:sup>
              </m:sSubSup>
            </m:oMath>
            <w:r w:rsidR="00AA0DE2" w:rsidRPr="00084CD2">
              <w:rPr>
                <w:rFonts w:ascii="Times New Roman" w:eastAsiaTheme="minorEastAsia" w:hAnsi="Times New Roman" w:cs="Times New Roman"/>
                <w:sz w:val="24"/>
                <w:szCs w:val="24"/>
                <w:shd w:val="clear" w:color="auto" w:fill="FFFFFF"/>
              </w:rPr>
              <w:t>=</w:t>
            </w:r>
            <w:r w:rsidR="007A0D5C" w:rsidRPr="00084CD2">
              <w:rPr>
                <w:rFonts w:ascii="Times New Roman" w:eastAsiaTheme="minorEastAsia" w:hAnsi="Times New Roman" w:cs="Times New Roman"/>
                <w:sz w:val="24"/>
                <w:szCs w:val="24"/>
                <w:shd w:val="clear" w:color="auto" w:fill="FFFFFF"/>
              </w:rPr>
              <w:t>0</w:t>
            </w:r>
          </w:p>
        </w:tc>
        <w:tc>
          <w:tcPr>
            <w:tcW w:w="932" w:type="pct"/>
            <w:vMerge w:val="restart"/>
          </w:tcPr>
          <w:p w14:paraId="02397462"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-1832</w:t>
            </w:r>
          </w:p>
        </w:tc>
        <w:tc>
          <w:tcPr>
            <w:tcW w:w="742" w:type="pct"/>
            <w:vMerge w:val="restart"/>
          </w:tcPr>
          <w:p w14:paraId="71328B0C"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-1818</w:t>
            </w:r>
          </w:p>
        </w:tc>
      </w:tr>
      <w:tr w:rsidR="007A0D5C" w:rsidRPr="00084CD2" w14:paraId="43EBE124" w14:textId="77777777" w:rsidTr="00084CD2">
        <w:tc>
          <w:tcPr>
            <w:tcW w:w="690" w:type="pct"/>
            <w:vMerge/>
          </w:tcPr>
          <w:p w14:paraId="04BA62CA" w14:textId="77777777" w:rsidR="007A0D5C" w:rsidRPr="00084CD2" w:rsidRDefault="007A0D5C" w:rsidP="000F35DD">
            <w:pPr>
              <w:tabs>
                <w:tab w:val="left" w:pos="7988"/>
              </w:tabs>
              <w:spacing w:line="360" w:lineRule="auto"/>
              <w:contextualSpacing/>
            </w:pPr>
          </w:p>
        </w:tc>
        <w:tc>
          <w:tcPr>
            <w:tcW w:w="1492" w:type="pct"/>
          </w:tcPr>
          <w:p w14:paraId="7D6C9208" w14:textId="77777777" w:rsidR="007A0D5C" w:rsidRPr="00084CD2" w:rsidRDefault="00AA0DE2"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Pendiente aleatoria</w:t>
            </w:r>
          </w:p>
        </w:tc>
        <w:tc>
          <w:tcPr>
            <w:tcW w:w="1144" w:type="pct"/>
          </w:tcPr>
          <w:p w14:paraId="492B3504"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ξ</m:t>
                  </m:r>
                </m:sub>
                <m:sup>
                  <m:r>
                    <w:rPr>
                      <w:rFonts w:ascii="Cambria Math" w:hAnsi="Cambria Math" w:cs="Times New Roman"/>
                      <w:sz w:val="24"/>
                      <w:szCs w:val="24"/>
                      <w:shd w:val="clear" w:color="auto" w:fill="FFFFFF"/>
                    </w:rPr>
                    <m:t>2</m:t>
                  </m:r>
                </m:sup>
              </m:sSubSup>
            </m:oMath>
            <w:r w:rsidR="00AA0DE2" w:rsidRPr="00084CD2">
              <w:rPr>
                <w:rFonts w:ascii="Times New Roman" w:eastAsiaTheme="minorEastAsia" w:hAnsi="Times New Roman" w:cs="Times New Roman"/>
                <w:sz w:val="24"/>
                <w:szCs w:val="24"/>
                <w:shd w:val="clear" w:color="auto" w:fill="FFFFFF"/>
              </w:rPr>
              <w:t>&gt;</w:t>
            </w:r>
            <w:r w:rsidR="007A0D5C" w:rsidRPr="00084CD2">
              <w:rPr>
                <w:rFonts w:ascii="Times New Roman" w:eastAsiaTheme="minorEastAsia" w:hAnsi="Times New Roman" w:cs="Times New Roman"/>
                <w:sz w:val="24"/>
                <w:szCs w:val="24"/>
                <w:shd w:val="clear" w:color="auto" w:fill="FFFFFF"/>
              </w:rPr>
              <w:t>0</w:t>
            </w:r>
          </w:p>
        </w:tc>
        <w:tc>
          <w:tcPr>
            <w:tcW w:w="932" w:type="pct"/>
            <w:vMerge/>
          </w:tcPr>
          <w:p w14:paraId="199DBAE3"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53176789"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19E74196" w14:textId="77777777" w:rsidTr="00084CD2">
        <w:tc>
          <w:tcPr>
            <w:tcW w:w="690" w:type="pct"/>
            <w:vMerge/>
          </w:tcPr>
          <w:p w14:paraId="4B28EAE8" w14:textId="77777777" w:rsidR="007A0D5C" w:rsidRPr="00084CD2" w:rsidRDefault="007A0D5C" w:rsidP="000F35DD">
            <w:pPr>
              <w:tabs>
                <w:tab w:val="left" w:pos="7988"/>
              </w:tabs>
              <w:spacing w:line="360" w:lineRule="auto"/>
              <w:contextualSpacing/>
            </w:pPr>
          </w:p>
        </w:tc>
        <w:tc>
          <w:tcPr>
            <w:tcW w:w="1492" w:type="pct"/>
          </w:tcPr>
          <w:p w14:paraId="7BC8B566" w14:textId="77777777" w:rsidR="007A0D5C" w:rsidRPr="00084CD2" w:rsidRDefault="00AA0DE2"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Estacionalidad fija</w:t>
            </w:r>
          </w:p>
        </w:tc>
        <w:tc>
          <w:tcPr>
            <w:tcW w:w="1144" w:type="pct"/>
          </w:tcPr>
          <w:p w14:paraId="5DE3F234" w14:textId="77777777" w:rsidR="007A0D5C" w:rsidRPr="00084CD2" w:rsidRDefault="00172A5A" w:rsidP="000F35DD">
            <w:pPr>
              <w:tabs>
                <w:tab w:val="left" w:pos="7988"/>
              </w:tabs>
              <w:spacing w:line="360" w:lineRule="auto"/>
              <w:contextualSpacing/>
              <w:rPr>
                <w:rFonts w:ascii="Times New Roman" w:hAnsi="Times New Roman" w:cs="Times New Roman"/>
                <w:sz w:val="24"/>
                <w:szCs w:val="24"/>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ω</m:t>
                  </m:r>
                </m:sub>
                <m:sup>
                  <m:r>
                    <w:rPr>
                      <w:rFonts w:ascii="Cambria Math" w:hAnsi="Cambria Math" w:cs="Times New Roman"/>
                      <w:sz w:val="24"/>
                      <w:szCs w:val="24"/>
                      <w:shd w:val="clear" w:color="auto" w:fill="FFFFFF"/>
                    </w:rPr>
                    <m:t>2</m:t>
                  </m:r>
                </m:sup>
              </m:sSubSup>
            </m:oMath>
            <w:r w:rsidR="00AA0DE2" w:rsidRPr="00084CD2">
              <w:rPr>
                <w:rFonts w:ascii="Times New Roman" w:eastAsiaTheme="minorEastAsia" w:hAnsi="Times New Roman" w:cs="Times New Roman"/>
                <w:sz w:val="24"/>
                <w:szCs w:val="24"/>
                <w:shd w:val="clear" w:color="auto" w:fill="FFFFFF"/>
              </w:rPr>
              <w:t>=</w:t>
            </w:r>
            <w:r w:rsidR="007A0D5C" w:rsidRPr="00084CD2">
              <w:rPr>
                <w:rFonts w:ascii="Times New Roman" w:eastAsiaTheme="minorEastAsia" w:hAnsi="Times New Roman" w:cs="Times New Roman"/>
                <w:sz w:val="24"/>
                <w:szCs w:val="24"/>
                <w:shd w:val="clear" w:color="auto" w:fill="FFFFFF"/>
              </w:rPr>
              <w:t>0</w:t>
            </w:r>
          </w:p>
        </w:tc>
        <w:tc>
          <w:tcPr>
            <w:tcW w:w="932" w:type="pct"/>
            <w:vMerge/>
          </w:tcPr>
          <w:p w14:paraId="0CCFA151"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146C4D89"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r w:rsidR="007A0D5C" w:rsidRPr="00084CD2" w14:paraId="7B02EDE3" w14:textId="77777777" w:rsidTr="00084CD2">
        <w:tc>
          <w:tcPr>
            <w:tcW w:w="690" w:type="pct"/>
            <w:vMerge/>
          </w:tcPr>
          <w:p w14:paraId="57CBCF8A" w14:textId="77777777" w:rsidR="007A0D5C" w:rsidRPr="00084CD2" w:rsidRDefault="007A0D5C" w:rsidP="000F35DD">
            <w:pPr>
              <w:tabs>
                <w:tab w:val="left" w:pos="7988"/>
              </w:tabs>
              <w:spacing w:line="360" w:lineRule="auto"/>
              <w:contextualSpacing/>
            </w:pPr>
          </w:p>
        </w:tc>
        <w:tc>
          <w:tcPr>
            <w:tcW w:w="1492" w:type="pct"/>
          </w:tcPr>
          <w:p w14:paraId="40E5B5E1" w14:textId="77777777" w:rsidR="007A0D5C" w:rsidRPr="00084CD2" w:rsidRDefault="007A0D5C" w:rsidP="000F35DD">
            <w:pPr>
              <w:tabs>
                <w:tab w:val="left" w:pos="7988"/>
              </w:tabs>
              <w:spacing w:line="360" w:lineRule="auto"/>
              <w:contextualSpacing/>
              <w:rPr>
                <w:rFonts w:ascii="Times New Roman" w:hAnsi="Times New Roman" w:cs="Times New Roman"/>
                <w:sz w:val="24"/>
                <w:szCs w:val="24"/>
              </w:rPr>
            </w:pPr>
            <w:r w:rsidRPr="00084CD2">
              <w:rPr>
                <w:rFonts w:ascii="Times New Roman" w:hAnsi="Times New Roman" w:cs="Times New Roman"/>
                <w:sz w:val="24"/>
                <w:szCs w:val="24"/>
              </w:rPr>
              <w:t>Ciclo fijo</w:t>
            </w:r>
          </w:p>
        </w:tc>
        <w:tc>
          <w:tcPr>
            <w:tcW w:w="1144" w:type="pct"/>
          </w:tcPr>
          <w:p w14:paraId="477F3CEC" w14:textId="77777777" w:rsidR="007A0D5C" w:rsidRPr="00084CD2" w:rsidRDefault="00172A5A" w:rsidP="000F35DD">
            <w:pPr>
              <w:tabs>
                <w:tab w:val="left" w:pos="7988"/>
              </w:tabs>
              <w:spacing w:line="360" w:lineRule="auto"/>
              <w:contextualSpacing/>
              <w:rPr>
                <w:rFonts w:ascii="Times New Roman" w:eastAsia="Calibri" w:hAnsi="Times New Roman" w:cs="Times New Roman"/>
                <w:sz w:val="24"/>
                <w:szCs w:val="24"/>
                <w:shd w:val="clear" w:color="auto" w:fill="FFFFFF"/>
              </w:rPr>
            </w:pPr>
            <m:oMath>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 xml:space="preserve">v </m:t>
                  </m:r>
                </m:sub>
                <m:sup>
                  <m:r>
                    <w:rPr>
                      <w:rFonts w:ascii="Cambria Math" w:hAnsi="Cambria Math" w:cs="Times New Roman"/>
                      <w:sz w:val="24"/>
                      <w:szCs w:val="24"/>
                      <w:shd w:val="clear" w:color="auto" w:fill="FFFFFF"/>
                    </w:rPr>
                    <m:t>2</m:t>
                  </m:r>
                </m:sup>
              </m:sSubSup>
            </m:oMath>
            <w:r w:rsidR="007A0D5C" w:rsidRPr="00084CD2">
              <w:rPr>
                <w:rFonts w:ascii="Times New Roman" w:eastAsiaTheme="minorEastAsia" w:hAnsi="Times New Roman" w:cs="Times New Roman"/>
                <w:sz w:val="24"/>
                <w:szCs w:val="24"/>
                <w:shd w:val="clear" w:color="auto" w:fill="FFFFFF"/>
              </w:rPr>
              <w:t>=0</w:t>
            </w:r>
          </w:p>
        </w:tc>
        <w:tc>
          <w:tcPr>
            <w:tcW w:w="932" w:type="pct"/>
            <w:vMerge/>
          </w:tcPr>
          <w:p w14:paraId="77510ECF"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c>
          <w:tcPr>
            <w:tcW w:w="742" w:type="pct"/>
            <w:vMerge/>
          </w:tcPr>
          <w:p w14:paraId="7BB21CAC" w14:textId="77777777" w:rsidR="007A0D5C" w:rsidRPr="00084CD2" w:rsidRDefault="007A0D5C" w:rsidP="000F35DD">
            <w:pPr>
              <w:tabs>
                <w:tab w:val="left" w:pos="7988"/>
              </w:tabs>
              <w:spacing w:line="360" w:lineRule="auto"/>
              <w:contextualSpacing/>
              <w:jc w:val="center"/>
              <w:rPr>
                <w:rFonts w:ascii="Times New Roman" w:hAnsi="Times New Roman" w:cs="Times New Roman"/>
                <w:sz w:val="24"/>
                <w:szCs w:val="24"/>
              </w:rPr>
            </w:pPr>
          </w:p>
        </w:tc>
      </w:tr>
    </w:tbl>
    <w:p w14:paraId="3A6D23F6" w14:textId="77777777" w:rsidR="000650A9" w:rsidRPr="00084CD2" w:rsidRDefault="005D387D" w:rsidP="000F35DD">
      <w:pPr>
        <w:spacing w:after="0"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vertAlign w:val="superscript"/>
        </w:rPr>
        <w:t>¶</w:t>
      </w:r>
      <w:r w:rsidRPr="00084CD2">
        <w:rPr>
          <w:rFonts w:ascii="Times New Roman" w:hAnsi="Times New Roman" w:cs="Times New Roman"/>
          <w:sz w:val="24"/>
          <w:szCs w:val="24"/>
        </w:rPr>
        <w:t xml:space="preserve">SBC= criterio de información de Schwartz, </w:t>
      </w:r>
      <w:r w:rsidRPr="00084CD2">
        <w:rPr>
          <w:rFonts w:ascii="Times New Roman" w:hAnsi="Times New Roman" w:cs="Times New Roman"/>
          <w:sz w:val="24"/>
          <w:szCs w:val="24"/>
          <w:vertAlign w:val="superscript"/>
        </w:rPr>
        <w:t>Þ</w:t>
      </w:r>
      <w:r w:rsidRPr="00084CD2">
        <w:rPr>
          <w:rFonts w:ascii="Times New Roman" w:hAnsi="Times New Roman" w:cs="Times New Roman"/>
          <w:sz w:val="24"/>
          <w:szCs w:val="24"/>
        </w:rPr>
        <w:t xml:space="preserve">AIC: criterio de información de Akaike. </w:t>
      </w:r>
    </w:p>
    <w:p w14:paraId="50045F5E" w14:textId="47CF411B" w:rsidR="005241FA" w:rsidRPr="00084CD2" w:rsidRDefault="005241FA"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El modelo cuatro resultó ser el adecuado</w:t>
      </w:r>
      <w:r w:rsidR="003B6AD1" w:rsidRPr="00084CD2">
        <w:rPr>
          <w:rFonts w:ascii="Times New Roman" w:hAnsi="Times New Roman" w:cs="Times New Roman"/>
          <w:sz w:val="24"/>
          <w:szCs w:val="24"/>
        </w:rPr>
        <w:t xml:space="preserve"> en relación </w:t>
      </w:r>
      <w:r w:rsidR="006616CE" w:rsidRPr="00084CD2">
        <w:rPr>
          <w:rFonts w:ascii="Times New Roman" w:hAnsi="Times New Roman" w:cs="Times New Roman"/>
          <w:sz w:val="24"/>
          <w:szCs w:val="24"/>
        </w:rPr>
        <w:t>con</w:t>
      </w:r>
      <w:r w:rsidR="003B6AD1" w:rsidRPr="00084CD2">
        <w:rPr>
          <w:rFonts w:ascii="Times New Roman" w:hAnsi="Times New Roman" w:cs="Times New Roman"/>
          <w:sz w:val="24"/>
          <w:szCs w:val="24"/>
        </w:rPr>
        <w:t xml:space="preserve"> la </w:t>
      </w:r>
      <w:r w:rsidRPr="00084CD2">
        <w:rPr>
          <w:rFonts w:ascii="Times New Roman" w:hAnsi="Times New Roman" w:cs="Times New Roman"/>
          <w:sz w:val="24"/>
          <w:szCs w:val="24"/>
        </w:rPr>
        <w:t>evalua</w:t>
      </w:r>
      <w:r w:rsidR="003B6AD1" w:rsidRPr="00084CD2">
        <w:rPr>
          <w:rFonts w:ascii="Times New Roman" w:hAnsi="Times New Roman" w:cs="Times New Roman"/>
          <w:sz w:val="24"/>
          <w:szCs w:val="24"/>
        </w:rPr>
        <w:t>ción</w:t>
      </w:r>
      <w:r w:rsidRPr="00084CD2">
        <w:rPr>
          <w:rFonts w:ascii="Times New Roman" w:hAnsi="Times New Roman" w:cs="Times New Roman"/>
          <w:sz w:val="24"/>
          <w:szCs w:val="24"/>
        </w:rPr>
        <w:t xml:space="preserve"> </w:t>
      </w:r>
      <w:r w:rsidR="003B6AD1" w:rsidRPr="00084CD2">
        <w:rPr>
          <w:rFonts w:ascii="Times New Roman" w:hAnsi="Times New Roman" w:cs="Times New Roman"/>
          <w:sz w:val="24"/>
          <w:szCs w:val="24"/>
        </w:rPr>
        <w:t xml:space="preserve">de </w:t>
      </w:r>
      <w:r w:rsidRPr="00084CD2">
        <w:rPr>
          <w:rFonts w:ascii="Times New Roman" w:hAnsi="Times New Roman" w:cs="Times New Roman"/>
          <w:sz w:val="24"/>
          <w:szCs w:val="24"/>
        </w:rPr>
        <w:t xml:space="preserve">la hipótesis correspondiente, </w:t>
      </w:r>
      <w:r w:rsidR="003B6AD1" w:rsidRPr="00084CD2">
        <w:rPr>
          <w:rFonts w:ascii="Times New Roman" w:hAnsi="Times New Roman" w:cs="Times New Roman"/>
          <w:sz w:val="24"/>
          <w:szCs w:val="24"/>
        </w:rPr>
        <w:t>además de analizar</w:t>
      </w:r>
      <w:r w:rsidRPr="00084CD2">
        <w:rPr>
          <w:rFonts w:ascii="Times New Roman" w:hAnsi="Times New Roman" w:cs="Times New Roman"/>
          <w:sz w:val="24"/>
          <w:szCs w:val="24"/>
        </w:rPr>
        <w:t xml:space="preserve"> las estimaciones de los parámetros, valores t y niveles de significancia, con base en la hipótesis nula (H₀): el </w:t>
      </w:r>
      <w:r w:rsidR="0020198E" w:rsidRPr="00084CD2">
        <w:rPr>
          <w:rFonts w:ascii="Times New Roman" w:hAnsi="Times New Roman" w:cs="Times New Roman"/>
          <w:sz w:val="24"/>
          <w:szCs w:val="24"/>
        </w:rPr>
        <w:t>elemento</w:t>
      </w:r>
      <w:r w:rsidRPr="00084CD2">
        <w:rPr>
          <w:rFonts w:ascii="Times New Roman" w:hAnsi="Times New Roman" w:cs="Times New Roman"/>
          <w:sz w:val="24"/>
          <w:szCs w:val="24"/>
        </w:rPr>
        <w:t xml:space="preserve"> no es aleatorio, frente a la alternativa (Hₐ): el </w:t>
      </w:r>
      <w:r w:rsidR="0020198E" w:rsidRPr="00084CD2">
        <w:rPr>
          <w:rFonts w:ascii="Times New Roman" w:hAnsi="Times New Roman" w:cs="Times New Roman"/>
          <w:sz w:val="24"/>
          <w:szCs w:val="24"/>
        </w:rPr>
        <w:t>elemento</w:t>
      </w:r>
      <w:r w:rsidRPr="00084CD2">
        <w:rPr>
          <w:rFonts w:ascii="Times New Roman" w:hAnsi="Times New Roman" w:cs="Times New Roman"/>
          <w:sz w:val="24"/>
          <w:szCs w:val="24"/>
        </w:rPr>
        <w:t xml:space="preserve"> es aleatorio. A partir de estos resultados (Tabla 2), es posible determinar si el modelo presenta un comportamiento determinista o estocástico.</w:t>
      </w:r>
    </w:p>
    <w:p w14:paraId="7D4C4F93" w14:textId="7F4DDE97" w:rsidR="008778AD" w:rsidRPr="00084CD2" w:rsidRDefault="005241FA" w:rsidP="00084CD2">
      <w:pPr>
        <w:spacing w:after="0" w:line="360" w:lineRule="auto"/>
        <w:contextualSpacing/>
        <w:jc w:val="center"/>
        <w:rPr>
          <w:rFonts w:ascii="Times New Roman" w:hAnsi="Times New Roman" w:cs="Times New Roman"/>
          <w:bCs/>
          <w:sz w:val="24"/>
          <w:szCs w:val="24"/>
          <w:lang w:val="es-ES"/>
        </w:rPr>
      </w:pPr>
      <w:r w:rsidRPr="00084CD2">
        <w:rPr>
          <w:rFonts w:ascii="Times New Roman" w:hAnsi="Times New Roman" w:cs="Times New Roman"/>
          <w:b/>
          <w:sz w:val="24"/>
          <w:szCs w:val="24"/>
          <w:lang w:val="es-ES"/>
        </w:rPr>
        <w:lastRenderedPageBreak/>
        <w:t>Tabla</w:t>
      </w:r>
      <w:r w:rsidR="008778AD" w:rsidRPr="00084CD2">
        <w:rPr>
          <w:rFonts w:ascii="Times New Roman" w:hAnsi="Times New Roman" w:cs="Times New Roman"/>
          <w:b/>
          <w:sz w:val="24"/>
          <w:szCs w:val="24"/>
          <w:lang w:val="es-ES"/>
        </w:rPr>
        <w:t xml:space="preserve"> 2. </w:t>
      </w:r>
      <w:r w:rsidRPr="00084CD2">
        <w:rPr>
          <w:rFonts w:ascii="Times New Roman" w:hAnsi="Times New Roman" w:cs="Times New Roman"/>
          <w:bCs/>
          <w:sz w:val="24"/>
          <w:szCs w:val="24"/>
          <w:lang w:val="es-ES"/>
        </w:rPr>
        <w:t>Valores</w:t>
      </w:r>
      <w:r w:rsidR="008778AD" w:rsidRPr="00084CD2">
        <w:rPr>
          <w:rFonts w:ascii="Times New Roman" w:hAnsi="Times New Roman" w:cs="Times New Roman"/>
          <w:bCs/>
          <w:sz w:val="24"/>
          <w:szCs w:val="24"/>
          <w:lang w:val="es-ES"/>
        </w:rPr>
        <w:t xml:space="preserve"> </w:t>
      </w:r>
      <w:r w:rsidRPr="00084CD2">
        <w:rPr>
          <w:rFonts w:ascii="Times New Roman" w:hAnsi="Times New Roman" w:cs="Times New Roman"/>
          <w:bCs/>
          <w:sz w:val="24"/>
          <w:szCs w:val="24"/>
          <w:lang w:val="es-ES"/>
        </w:rPr>
        <w:t xml:space="preserve">estimados </w:t>
      </w:r>
      <w:r w:rsidR="008778AD" w:rsidRPr="00084CD2">
        <w:rPr>
          <w:rFonts w:ascii="Times New Roman" w:hAnsi="Times New Roman" w:cs="Times New Roman"/>
          <w:bCs/>
          <w:sz w:val="24"/>
          <w:szCs w:val="24"/>
          <w:lang w:val="es-ES"/>
        </w:rPr>
        <w:t>de los</w:t>
      </w:r>
      <w:r w:rsidR="00136BE7" w:rsidRPr="00084CD2">
        <w:rPr>
          <w:rFonts w:ascii="Times New Roman" w:hAnsi="Times New Roman" w:cs="Times New Roman"/>
          <w:bCs/>
          <w:sz w:val="24"/>
          <w:szCs w:val="24"/>
          <w:lang w:val="es-ES"/>
        </w:rPr>
        <w:t xml:space="preserve"> criterios</w:t>
      </w:r>
      <w:r w:rsidR="00E943D1" w:rsidRPr="00084CD2">
        <w:rPr>
          <w:rFonts w:ascii="Times New Roman" w:hAnsi="Times New Roman" w:cs="Times New Roman"/>
          <w:bCs/>
          <w:sz w:val="24"/>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9"/>
        <w:gridCol w:w="2486"/>
        <w:gridCol w:w="1280"/>
        <w:gridCol w:w="1272"/>
        <w:gridCol w:w="1276"/>
        <w:gridCol w:w="1275"/>
      </w:tblGrid>
      <w:tr w:rsidR="0058173A" w:rsidRPr="00084CD2" w14:paraId="3F1193E9" w14:textId="77777777" w:rsidTr="00084CD2">
        <w:trPr>
          <w:trHeight w:val="1114"/>
        </w:trPr>
        <w:tc>
          <w:tcPr>
            <w:tcW w:w="784" w:type="pct"/>
            <w:noWrap/>
            <w:vAlign w:val="bottom"/>
            <w:hideMark/>
          </w:tcPr>
          <w:p w14:paraId="7395ABB1" w14:textId="74591DC7" w:rsidR="0058173A" w:rsidRPr="00084CD2" w:rsidRDefault="0020198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Elemento</w:t>
            </w:r>
          </w:p>
          <w:p w14:paraId="4FE897B7" w14:textId="77777777" w:rsidR="00DB7E2B" w:rsidRPr="00084CD2" w:rsidRDefault="00DB7E2B" w:rsidP="000F35DD">
            <w:pPr>
              <w:spacing w:after="0" w:line="360" w:lineRule="auto"/>
              <w:contextualSpacing/>
              <w:rPr>
                <w:rFonts w:ascii="Times New Roman" w:eastAsia="Times New Roman" w:hAnsi="Times New Roman" w:cs="Times New Roman"/>
                <w:color w:val="000000"/>
                <w:sz w:val="24"/>
                <w:szCs w:val="24"/>
                <w:lang w:eastAsia="es-MX"/>
              </w:rPr>
            </w:pPr>
          </w:p>
          <w:p w14:paraId="29112F68" w14:textId="77777777" w:rsidR="0058173A" w:rsidRPr="00084CD2" w:rsidRDefault="0058173A" w:rsidP="000F35DD">
            <w:pPr>
              <w:spacing w:after="0" w:line="360" w:lineRule="auto"/>
              <w:contextualSpacing/>
              <w:rPr>
                <w:rFonts w:ascii="Times New Roman" w:eastAsia="Times New Roman" w:hAnsi="Times New Roman" w:cs="Times New Roman"/>
                <w:color w:val="000000"/>
                <w:sz w:val="24"/>
                <w:szCs w:val="24"/>
                <w:lang w:eastAsia="es-MX"/>
              </w:rPr>
            </w:pPr>
          </w:p>
          <w:p w14:paraId="13548027" w14:textId="77777777" w:rsidR="00D92C72" w:rsidRPr="00084CD2" w:rsidRDefault="00D92C72" w:rsidP="000F35DD">
            <w:pPr>
              <w:spacing w:after="0" w:line="360" w:lineRule="auto"/>
              <w:contextualSpacing/>
              <w:rPr>
                <w:rFonts w:ascii="Times New Roman" w:eastAsia="Times New Roman" w:hAnsi="Times New Roman" w:cs="Times New Roman"/>
                <w:color w:val="000000"/>
                <w:sz w:val="24"/>
                <w:szCs w:val="24"/>
                <w:lang w:eastAsia="es-MX"/>
              </w:rPr>
            </w:pPr>
          </w:p>
        </w:tc>
        <w:tc>
          <w:tcPr>
            <w:tcW w:w="1333" w:type="pct"/>
            <w:noWrap/>
            <w:vAlign w:val="bottom"/>
            <w:hideMark/>
          </w:tcPr>
          <w:p w14:paraId="2BC503B4"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Parámetro</w:t>
            </w:r>
          </w:p>
          <w:p w14:paraId="402BD852"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6D16AA03"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19852855" w14:textId="77777777" w:rsidR="00D92C72" w:rsidRPr="00084CD2" w:rsidRDefault="00D92C72"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721" w:type="pct"/>
            <w:noWrap/>
            <w:vAlign w:val="bottom"/>
            <w:hideMark/>
          </w:tcPr>
          <w:p w14:paraId="24690671"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Estimador</w:t>
            </w:r>
          </w:p>
          <w:p w14:paraId="6C28F46A"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7A357EC4"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714D1392" w14:textId="77777777" w:rsidR="00D92C72" w:rsidRPr="00084CD2" w:rsidRDefault="00D92C72"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721" w:type="pct"/>
            <w:noWrap/>
            <w:vAlign w:val="bottom"/>
            <w:hideMark/>
          </w:tcPr>
          <w:p w14:paraId="34F4B74F"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Error</w:t>
            </w:r>
          </w:p>
          <w:p w14:paraId="2B292180" w14:textId="77777777" w:rsidR="0058173A" w:rsidRPr="00084CD2" w:rsidRDefault="00D92C72"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w:t>
            </w:r>
            <w:r w:rsidR="0058173A" w:rsidRPr="00084CD2">
              <w:rPr>
                <w:rFonts w:ascii="Times New Roman" w:eastAsia="Times New Roman" w:hAnsi="Times New Roman" w:cs="Times New Roman"/>
                <w:color w:val="000000"/>
                <w:sz w:val="24"/>
                <w:szCs w:val="24"/>
                <w:lang w:eastAsia="es-MX"/>
              </w:rPr>
              <w:t>stándar</w:t>
            </w:r>
          </w:p>
          <w:p w14:paraId="63F6F022"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136730E1" w14:textId="77777777" w:rsidR="00D92C72" w:rsidRPr="00084CD2" w:rsidRDefault="00D92C72"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721" w:type="pct"/>
            <w:noWrap/>
            <w:vAlign w:val="bottom"/>
            <w:hideMark/>
          </w:tcPr>
          <w:p w14:paraId="78CAEA1F"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Valor t</w:t>
            </w:r>
          </w:p>
          <w:p w14:paraId="1B84A4EB"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4AB79660"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0010B3E6" w14:textId="77777777" w:rsidR="00D92C72" w:rsidRPr="00084CD2" w:rsidRDefault="00D92C72"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720" w:type="pct"/>
            <w:noWrap/>
            <w:vAlign w:val="bottom"/>
            <w:hideMark/>
          </w:tcPr>
          <w:p w14:paraId="1BD23BEC"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proofErr w:type="spellStart"/>
            <w:r w:rsidRPr="00084CD2">
              <w:rPr>
                <w:rFonts w:ascii="Times New Roman" w:eastAsia="Times New Roman" w:hAnsi="Times New Roman" w:cs="Times New Roman"/>
                <w:color w:val="000000"/>
                <w:sz w:val="24"/>
                <w:szCs w:val="24"/>
                <w:lang w:eastAsia="es-MX"/>
              </w:rPr>
              <w:t>Aprox</w:t>
            </w:r>
            <w:proofErr w:type="spellEnd"/>
          </w:p>
          <w:p w14:paraId="6B519D82"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Pr &gt; |t|</w:t>
            </w:r>
          </w:p>
          <w:p w14:paraId="3514645C"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6A5AF90F" w14:textId="77777777" w:rsidR="00D92C72" w:rsidRPr="00084CD2" w:rsidRDefault="00D92C72" w:rsidP="000F35DD">
            <w:pPr>
              <w:spacing w:after="0" w:line="360" w:lineRule="auto"/>
              <w:contextualSpacing/>
              <w:jc w:val="center"/>
              <w:rPr>
                <w:rFonts w:ascii="Times New Roman" w:eastAsia="Times New Roman" w:hAnsi="Times New Roman" w:cs="Times New Roman"/>
                <w:color w:val="000000"/>
                <w:sz w:val="24"/>
                <w:szCs w:val="24"/>
                <w:lang w:eastAsia="es-MX"/>
              </w:rPr>
            </w:pPr>
          </w:p>
        </w:tc>
      </w:tr>
      <w:tr w:rsidR="00A3549E" w:rsidRPr="00084CD2" w14:paraId="4A710C5C" w14:textId="77777777" w:rsidTr="00084CD2">
        <w:trPr>
          <w:trHeight w:val="300"/>
        </w:trPr>
        <w:tc>
          <w:tcPr>
            <w:tcW w:w="784" w:type="pct"/>
            <w:noWrap/>
            <w:vAlign w:val="bottom"/>
            <w:hideMark/>
          </w:tcPr>
          <w:p w14:paraId="206414DC"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Irregular</w:t>
            </w:r>
          </w:p>
        </w:tc>
        <w:tc>
          <w:tcPr>
            <w:tcW w:w="1333" w:type="pct"/>
            <w:noWrap/>
            <w:vAlign w:val="bottom"/>
            <w:hideMark/>
          </w:tcPr>
          <w:p w14:paraId="3A80ECC7"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Varianza del error</w:t>
            </w:r>
          </w:p>
        </w:tc>
        <w:tc>
          <w:tcPr>
            <w:tcW w:w="721" w:type="pct"/>
            <w:noWrap/>
            <w:vAlign w:val="bottom"/>
            <w:hideMark/>
          </w:tcPr>
          <w:p w14:paraId="7F085240" w14:textId="5666843E"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2.11E-12</w:t>
            </w:r>
          </w:p>
        </w:tc>
        <w:tc>
          <w:tcPr>
            <w:tcW w:w="721" w:type="pct"/>
            <w:noWrap/>
            <w:vAlign w:val="bottom"/>
            <w:hideMark/>
          </w:tcPr>
          <w:p w14:paraId="7D4857C8" w14:textId="3D279CB1"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1.87E-13</w:t>
            </w:r>
          </w:p>
        </w:tc>
        <w:tc>
          <w:tcPr>
            <w:tcW w:w="721" w:type="pct"/>
            <w:noWrap/>
            <w:vAlign w:val="bottom"/>
            <w:hideMark/>
          </w:tcPr>
          <w:p w14:paraId="5B5CA1A5" w14:textId="75058858"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11.26</w:t>
            </w:r>
          </w:p>
        </w:tc>
        <w:tc>
          <w:tcPr>
            <w:tcW w:w="720" w:type="pct"/>
            <w:noWrap/>
            <w:vAlign w:val="bottom"/>
            <w:hideMark/>
          </w:tcPr>
          <w:p w14:paraId="0BB218E0" w14:textId="450C4697"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&lt;.0001</w:t>
            </w:r>
          </w:p>
        </w:tc>
      </w:tr>
      <w:tr w:rsidR="00A3549E" w:rsidRPr="00084CD2" w14:paraId="5BE9045F" w14:textId="77777777" w:rsidTr="00084CD2">
        <w:trPr>
          <w:trHeight w:val="300"/>
        </w:trPr>
        <w:tc>
          <w:tcPr>
            <w:tcW w:w="784" w:type="pct"/>
            <w:noWrap/>
            <w:vAlign w:val="bottom"/>
            <w:hideMark/>
          </w:tcPr>
          <w:p w14:paraId="6DF40E18"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Pendiente</w:t>
            </w:r>
          </w:p>
        </w:tc>
        <w:tc>
          <w:tcPr>
            <w:tcW w:w="1333" w:type="pct"/>
            <w:noWrap/>
            <w:vAlign w:val="bottom"/>
            <w:hideMark/>
          </w:tcPr>
          <w:p w14:paraId="46CDA568"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Varianza del error</w:t>
            </w:r>
          </w:p>
        </w:tc>
        <w:tc>
          <w:tcPr>
            <w:tcW w:w="721" w:type="pct"/>
            <w:noWrap/>
            <w:vAlign w:val="bottom"/>
            <w:hideMark/>
          </w:tcPr>
          <w:p w14:paraId="5A4F55D4" w14:textId="3D5AB09C"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0.0000054</w:t>
            </w:r>
          </w:p>
        </w:tc>
        <w:tc>
          <w:tcPr>
            <w:tcW w:w="721" w:type="pct"/>
            <w:noWrap/>
            <w:vAlign w:val="bottom"/>
            <w:hideMark/>
          </w:tcPr>
          <w:p w14:paraId="309C980F" w14:textId="47B39025"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2.21E-06</w:t>
            </w:r>
          </w:p>
        </w:tc>
        <w:tc>
          <w:tcPr>
            <w:tcW w:w="721" w:type="pct"/>
            <w:noWrap/>
            <w:vAlign w:val="bottom"/>
            <w:hideMark/>
          </w:tcPr>
          <w:p w14:paraId="02823C76" w14:textId="78EAFE82"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2.45</w:t>
            </w:r>
          </w:p>
        </w:tc>
        <w:tc>
          <w:tcPr>
            <w:tcW w:w="720" w:type="pct"/>
            <w:noWrap/>
            <w:vAlign w:val="bottom"/>
            <w:hideMark/>
          </w:tcPr>
          <w:p w14:paraId="59563982" w14:textId="34A9F35F"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0.0145</w:t>
            </w:r>
          </w:p>
        </w:tc>
      </w:tr>
      <w:tr w:rsidR="00A3549E" w:rsidRPr="00084CD2" w14:paraId="60E45910" w14:textId="77777777" w:rsidTr="00084CD2">
        <w:trPr>
          <w:trHeight w:val="300"/>
        </w:trPr>
        <w:tc>
          <w:tcPr>
            <w:tcW w:w="784" w:type="pct"/>
            <w:noWrap/>
            <w:vAlign w:val="bottom"/>
            <w:hideMark/>
          </w:tcPr>
          <w:p w14:paraId="1559A0AF"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Ciclo</w:t>
            </w:r>
          </w:p>
        </w:tc>
        <w:tc>
          <w:tcPr>
            <w:tcW w:w="1333" w:type="pct"/>
            <w:noWrap/>
            <w:vAlign w:val="bottom"/>
            <w:hideMark/>
          </w:tcPr>
          <w:p w14:paraId="2A7609D4"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Factor de amortiguación</w:t>
            </w:r>
          </w:p>
        </w:tc>
        <w:tc>
          <w:tcPr>
            <w:tcW w:w="721" w:type="pct"/>
            <w:noWrap/>
            <w:vAlign w:val="bottom"/>
            <w:hideMark/>
          </w:tcPr>
          <w:p w14:paraId="0D63E2F5" w14:textId="170C42E1"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0.82097</w:t>
            </w:r>
          </w:p>
        </w:tc>
        <w:tc>
          <w:tcPr>
            <w:tcW w:w="721" w:type="pct"/>
            <w:noWrap/>
            <w:vAlign w:val="bottom"/>
            <w:hideMark/>
          </w:tcPr>
          <w:p w14:paraId="4C069BC8" w14:textId="45585C2F"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0.03007</w:t>
            </w:r>
          </w:p>
        </w:tc>
        <w:tc>
          <w:tcPr>
            <w:tcW w:w="721" w:type="pct"/>
            <w:noWrap/>
            <w:vAlign w:val="bottom"/>
            <w:hideMark/>
          </w:tcPr>
          <w:p w14:paraId="34932C23" w14:textId="35CD86DB"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27.3</w:t>
            </w:r>
          </w:p>
        </w:tc>
        <w:tc>
          <w:tcPr>
            <w:tcW w:w="720" w:type="pct"/>
            <w:noWrap/>
            <w:vAlign w:val="bottom"/>
            <w:hideMark/>
          </w:tcPr>
          <w:p w14:paraId="0D110473" w14:textId="34EBC08A"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&lt;.0001</w:t>
            </w:r>
          </w:p>
        </w:tc>
      </w:tr>
      <w:tr w:rsidR="00A3549E" w:rsidRPr="00084CD2" w14:paraId="70798331" w14:textId="77777777" w:rsidTr="00084CD2">
        <w:trPr>
          <w:trHeight w:val="300"/>
        </w:trPr>
        <w:tc>
          <w:tcPr>
            <w:tcW w:w="784" w:type="pct"/>
            <w:noWrap/>
            <w:vAlign w:val="bottom"/>
            <w:hideMark/>
          </w:tcPr>
          <w:p w14:paraId="333997E0"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Ciclo</w:t>
            </w:r>
          </w:p>
        </w:tc>
        <w:tc>
          <w:tcPr>
            <w:tcW w:w="1333" w:type="pct"/>
            <w:noWrap/>
            <w:vAlign w:val="bottom"/>
            <w:hideMark/>
          </w:tcPr>
          <w:p w14:paraId="438436C7" w14:textId="77777777" w:rsidR="00A3549E" w:rsidRPr="00084CD2" w:rsidRDefault="00A3549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Periodo</w:t>
            </w:r>
          </w:p>
        </w:tc>
        <w:tc>
          <w:tcPr>
            <w:tcW w:w="721" w:type="pct"/>
            <w:noWrap/>
            <w:vAlign w:val="bottom"/>
            <w:hideMark/>
          </w:tcPr>
          <w:p w14:paraId="4236584B" w14:textId="49FEF03B"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10.45319</w:t>
            </w:r>
          </w:p>
        </w:tc>
        <w:tc>
          <w:tcPr>
            <w:tcW w:w="721" w:type="pct"/>
            <w:noWrap/>
            <w:vAlign w:val="bottom"/>
            <w:hideMark/>
          </w:tcPr>
          <w:p w14:paraId="39E61395" w14:textId="0DDAA69A"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1.02806</w:t>
            </w:r>
          </w:p>
        </w:tc>
        <w:tc>
          <w:tcPr>
            <w:tcW w:w="721" w:type="pct"/>
            <w:noWrap/>
            <w:vAlign w:val="bottom"/>
            <w:hideMark/>
          </w:tcPr>
          <w:p w14:paraId="4A8A08E7" w14:textId="6CEF2CC4"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10.17</w:t>
            </w:r>
          </w:p>
        </w:tc>
        <w:tc>
          <w:tcPr>
            <w:tcW w:w="720" w:type="pct"/>
            <w:noWrap/>
            <w:vAlign w:val="bottom"/>
            <w:hideMark/>
          </w:tcPr>
          <w:p w14:paraId="2C847497" w14:textId="32F1B5C1" w:rsidR="00A3549E" w:rsidRPr="00084CD2" w:rsidRDefault="00A3549E"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hAnsi="Times New Roman" w:cs="Times New Roman"/>
                <w:color w:val="000000"/>
                <w:sz w:val="24"/>
                <w:szCs w:val="24"/>
              </w:rPr>
              <w:t>&lt;.0001</w:t>
            </w:r>
          </w:p>
        </w:tc>
      </w:tr>
      <w:tr w:rsidR="00906853" w:rsidRPr="00084CD2" w14:paraId="78F93EF0" w14:textId="77777777" w:rsidTr="00084CD2">
        <w:trPr>
          <w:trHeight w:val="300"/>
        </w:trPr>
        <w:tc>
          <w:tcPr>
            <w:tcW w:w="784" w:type="pct"/>
            <w:noWrap/>
            <w:vAlign w:val="bottom"/>
            <w:hideMark/>
          </w:tcPr>
          <w:p w14:paraId="00AAF3CD" w14:textId="77777777" w:rsidR="00906853" w:rsidRPr="00084CD2" w:rsidRDefault="00906853"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Ciclo</w:t>
            </w:r>
          </w:p>
        </w:tc>
        <w:tc>
          <w:tcPr>
            <w:tcW w:w="1333" w:type="pct"/>
            <w:noWrap/>
            <w:vAlign w:val="bottom"/>
            <w:hideMark/>
          </w:tcPr>
          <w:p w14:paraId="3957C2D5" w14:textId="77777777" w:rsidR="00906853" w:rsidRPr="00084CD2" w:rsidRDefault="00906853"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Varianza del error</w:t>
            </w:r>
          </w:p>
        </w:tc>
        <w:tc>
          <w:tcPr>
            <w:tcW w:w="721" w:type="pct"/>
            <w:noWrap/>
            <w:vAlign w:val="bottom"/>
            <w:hideMark/>
          </w:tcPr>
          <w:p w14:paraId="76DA4A88" w14:textId="77777777" w:rsidR="00906853" w:rsidRPr="00084CD2" w:rsidRDefault="00906853"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0.00000204</w:t>
            </w:r>
          </w:p>
        </w:tc>
        <w:tc>
          <w:tcPr>
            <w:tcW w:w="721" w:type="pct"/>
            <w:noWrap/>
            <w:vAlign w:val="bottom"/>
            <w:hideMark/>
          </w:tcPr>
          <w:p w14:paraId="2F6A30F4" w14:textId="77777777" w:rsidR="00906853" w:rsidRPr="00084CD2" w:rsidRDefault="00906853"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3.85E-07</w:t>
            </w:r>
          </w:p>
        </w:tc>
        <w:tc>
          <w:tcPr>
            <w:tcW w:w="721" w:type="pct"/>
            <w:noWrap/>
            <w:vAlign w:val="bottom"/>
            <w:hideMark/>
          </w:tcPr>
          <w:p w14:paraId="17E4C9B3" w14:textId="77777777" w:rsidR="00906853" w:rsidRPr="00084CD2" w:rsidRDefault="00906853"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5.3</w:t>
            </w:r>
          </w:p>
        </w:tc>
        <w:tc>
          <w:tcPr>
            <w:tcW w:w="720" w:type="pct"/>
            <w:noWrap/>
            <w:vAlign w:val="bottom"/>
            <w:hideMark/>
          </w:tcPr>
          <w:p w14:paraId="3F1A8F53" w14:textId="77777777" w:rsidR="00906853" w:rsidRPr="00084CD2" w:rsidRDefault="00906853"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r>
    </w:tbl>
    <w:p w14:paraId="0CF06A96" w14:textId="2D39841C" w:rsidR="00EB0CFD" w:rsidRPr="00084CD2" w:rsidRDefault="000D004D"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 xml:space="preserve">Fuente: construcción propia con datos procesados en el software </w:t>
      </w:r>
      <w:r w:rsidR="00A97D94" w:rsidRPr="00084CD2">
        <w:rPr>
          <w:rFonts w:ascii="Times New Roman" w:hAnsi="Times New Roman" w:cs="Times New Roman"/>
          <w:sz w:val="24"/>
          <w:szCs w:val="24"/>
        </w:rPr>
        <w:t>SAS®</w:t>
      </w:r>
      <w:r w:rsidRPr="00084CD2">
        <w:rPr>
          <w:rFonts w:ascii="Times New Roman" w:hAnsi="Times New Roman" w:cs="Times New Roman"/>
          <w:sz w:val="24"/>
          <w:szCs w:val="24"/>
        </w:rPr>
        <w:t>.</w:t>
      </w:r>
    </w:p>
    <w:p w14:paraId="6DCC01D5" w14:textId="2921863A" w:rsidR="00BF5A2E" w:rsidRPr="00084CD2" w:rsidRDefault="00AC0B42"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Las estimaciones de los parámetros (Tabla 2) basadas en pruebas de significancia individual, permiten determinar la pertinencia de cada </w:t>
      </w:r>
      <w:r w:rsidR="0020198E" w:rsidRPr="00084CD2">
        <w:rPr>
          <w:rFonts w:ascii="Times New Roman" w:hAnsi="Times New Roman" w:cs="Times New Roman"/>
          <w:sz w:val="24"/>
          <w:szCs w:val="24"/>
        </w:rPr>
        <w:t>elemento</w:t>
      </w:r>
      <w:r w:rsidRPr="00084CD2">
        <w:rPr>
          <w:rFonts w:ascii="Times New Roman" w:hAnsi="Times New Roman" w:cs="Times New Roman"/>
          <w:sz w:val="24"/>
          <w:szCs w:val="24"/>
        </w:rPr>
        <w:t xml:space="preserve"> en el modelo. El análisis mostró que todos los </w:t>
      </w:r>
      <w:r w:rsidR="0020198E" w:rsidRPr="00084CD2">
        <w:rPr>
          <w:rFonts w:ascii="Times New Roman" w:hAnsi="Times New Roman" w:cs="Times New Roman"/>
          <w:sz w:val="24"/>
          <w:szCs w:val="24"/>
        </w:rPr>
        <w:t>elementos</w:t>
      </w:r>
      <w:r w:rsidRPr="00084CD2">
        <w:rPr>
          <w:rFonts w:ascii="Times New Roman" w:hAnsi="Times New Roman" w:cs="Times New Roman"/>
          <w:sz w:val="24"/>
          <w:szCs w:val="24"/>
        </w:rPr>
        <w:t xml:space="preserve"> son relevantes, excepto el irregular, que inicialmente no resultó significativo (Tabla 3). </w:t>
      </w:r>
      <w:r w:rsidR="0067234E" w:rsidRPr="00084CD2">
        <w:rPr>
          <w:rFonts w:ascii="Times New Roman" w:hAnsi="Times New Roman" w:cs="Times New Roman"/>
          <w:sz w:val="24"/>
          <w:szCs w:val="24"/>
        </w:rPr>
        <w:t>No obstante, este último se mantuvo en la especificación al constituir parte inherente del proceso aleatorio propio del modelo y absorber fluctuaciones no sistemáticas.</w:t>
      </w:r>
    </w:p>
    <w:p w14:paraId="1790B9E0" w14:textId="77777777" w:rsidR="000F35DD" w:rsidRPr="00084CD2" w:rsidRDefault="000F35DD" w:rsidP="000F35DD">
      <w:pPr>
        <w:spacing w:after="0" w:line="360" w:lineRule="auto"/>
        <w:contextualSpacing/>
        <w:jc w:val="both"/>
        <w:rPr>
          <w:rFonts w:ascii="Times New Roman" w:hAnsi="Times New Roman" w:cs="Times New Roman"/>
          <w:sz w:val="24"/>
          <w:szCs w:val="24"/>
        </w:rPr>
      </w:pPr>
    </w:p>
    <w:p w14:paraId="466F2BCF" w14:textId="1CBB3F4F" w:rsidR="00E943D1" w:rsidRPr="00084CD2" w:rsidRDefault="00E944E2" w:rsidP="00084CD2">
      <w:pPr>
        <w:spacing w:after="0" w:line="360" w:lineRule="auto"/>
        <w:contextualSpacing/>
        <w:jc w:val="center"/>
        <w:rPr>
          <w:rFonts w:ascii="Times New Roman" w:hAnsi="Times New Roman" w:cs="Times New Roman"/>
          <w:b/>
          <w:sz w:val="24"/>
          <w:szCs w:val="24"/>
          <w:lang w:val="es-ES"/>
        </w:rPr>
      </w:pPr>
      <w:r w:rsidRPr="00084CD2">
        <w:rPr>
          <w:rFonts w:ascii="Times New Roman" w:hAnsi="Times New Roman" w:cs="Times New Roman"/>
          <w:b/>
          <w:sz w:val="24"/>
          <w:szCs w:val="24"/>
          <w:lang w:val="es-ES"/>
        </w:rPr>
        <w:t>Tabla</w:t>
      </w:r>
      <w:r w:rsidR="00906853" w:rsidRPr="00084CD2">
        <w:rPr>
          <w:rFonts w:ascii="Times New Roman" w:hAnsi="Times New Roman" w:cs="Times New Roman"/>
          <w:b/>
          <w:sz w:val="24"/>
          <w:szCs w:val="24"/>
          <w:lang w:val="es-ES"/>
        </w:rPr>
        <w:t xml:space="preserve"> 3</w:t>
      </w:r>
      <w:r w:rsidR="00E943D1" w:rsidRPr="00084CD2">
        <w:rPr>
          <w:rFonts w:ascii="Times New Roman" w:hAnsi="Times New Roman" w:cs="Times New Roman"/>
          <w:b/>
          <w:sz w:val="24"/>
          <w:szCs w:val="24"/>
          <w:lang w:val="es-ES"/>
        </w:rPr>
        <w:t xml:space="preserve">. </w:t>
      </w:r>
      <w:r w:rsidR="00AC0B42" w:rsidRPr="00084CD2">
        <w:rPr>
          <w:rFonts w:ascii="Times New Roman" w:hAnsi="Times New Roman" w:cs="Times New Roman"/>
          <w:bCs/>
          <w:sz w:val="24"/>
          <w:szCs w:val="24"/>
          <w:lang w:val="es-ES"/>
        </w:rPr>
        <w:t>S</w:t>
      </w:r>
      <w:r w:rsidR="00E943D1" w:rsidRPr="00084CD2">
        <w:rPr>
          <w:rFonts w:ascii="Times New Roman" w:hAnsi="Times New Roman" w:cs="Times New Roman"/>
          <w:bCs/>
          <w:sz w:val="24"/>
          <w:szCs w:val="24"/>
          <w:lang w:val="es-ES"/>
        </w:rPr>
        <w:t>ignificancia individual de c</w:t>
      </w:r>
      <w:r w:rsidR="00136BE7" w:rsidRPr="00084CD2">
        <w:rPr>
          <w:rFonts w:ascii="Times New Roman" w:hAnsi="Times New Roman" w:cs="Times New Roman"/>
          <w:bCs/>
          <w:sz w:val="24"/>
          <w:szCs w:val="24"/>
          <w:lang w:val="es-ES"/>
        </w:rPr>
        <w:t>ada elemento</w:t>
      </w:r>
      <w:r w:rsidR="00E943D1" w:rsidRPr="00084CD2">
        <w:rPr>
          <w:rFonts w:ascii="Times New Roman" w:hAnsi="Times New Roman" w:cs="Times New Roman"/>
          <w:bCs/>
          <w:sz w:val="24"/>
          <w:szCs w:val="24"/>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Procedure UCM: Importancia del componente"/>
      </w:tblPr>
      <w:tblGrid>
        <w:gridCol w:w="2956"/>
        <w:gridCol w:w="2009"/>
        <w:gridCol w:w="2007"/>
        <w:gridCol w:w="2006"/>
      </w:tblGrid>
      <w:tr w:rsidR="0058173A" w:rsidRPr="00084CD2" w14:paraId="6334EE30" w14:textId="77777777" w:rsidTr="00084CD2">
        <w:trPr>
          <w:trHeight w:val="300"/>
          <w:jc w:val="center"/>
        </w:trPr>
        <w:tc>
          <w:tcPr>
            <w:tcW w:w="1646" w:type="pct"/>
            <w:noWrap/>
            <w:vAlign w:val="bottom"/>
            <w:hideMark/>
          </w:tcPr>
          <w:p w14:paraId="31F07F8A" w14:textId="458CDEAD" w:rsidR="0058173A" w:rsidRPr="00084CD2" w:rsidRDefault="0020198E"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Elemento</w:t>
            </w:r>
          </w:p>
        </w:tc>
        <w:tc>
          <w:tcPr>
            <w:tcW w:w="1119" w:type="pct"/>
            <w:noWrap/>
            <w:vAlign w:val="bottom"/>
            <w:hideMark/>
          </w:tcPr>
          <w:p w14:paraId="725994B7"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DF</w:t>
            </w:r>
          </w:p>
        </w:tc>
        <w:tc>
          <w:tcPr>
            <w:tcW w:w="1118" w:type="pct"/>
            <w:noWrap/>
            <w:vAlign w:val="bottom"/>
            <w:hideMark/>
          </w:tcPr>
          <w:p w14:paraId="71AB2A89"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Chi-cuadrado</w:t>
            </w:r>
          </w:p>
        </w:tc>
        <w:tc>
          <w:tcPr>
            <w:tcW w:w="1118" w:type="pct"/>
            <w:noWrap/>
            <w:vAlign w:val="bottom"/>
            <w:hideMark/>
          </w:tcPr>
          <w:p w14:paraId="4E8BC5ED"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Pr &gt; </w:t>
            </w:r>
            <w:proofErr w:type="spellStart"/>
            <w:r w:rsidRPr="00084CD2">
              <w:rPr>
                <w:rFonts w:ascii="Times New Roman" w:eastAsia="Times New Roman" w:hAnsi="Times New Roman" w:cs="Times New Roman"/>
                <w:color w:val="000000"/>
                <w:sz w:val="24"/>
                <w:szCs w:val="24"/>
                <w:lang w:eastAsia="es-MX"/>
              </w:rPr>
              <w:t>ChiSq</w:t>
            </w:r>
            <w:proofErr w:type="spellEnd"/>
          </w:p>
        </w:tc>
      </w:tr>
      <w:tr w:rsidR="0058173A" w:rsidRPr="00084CD2" w14:paraId="19B17837" w14:textId="77777777" w:rsidTr="00084CD2">
        <w:trPr>
          <w:trHeight w:val="300"/>
          <w:jc w:val="center"/>
        </w:trPr>
        <w:tc>
          <w:tcPr>
            <w:tcW w:w="1646" w:type="pct"/>
            <w:noWrap/>
            <w:vAlign w:val="bottom"/>
            <w:hideMark/>
          </w:tcPr>
          <w:p w14:paraId="00A28028" w14:textId="77777777" w:rsidR="0058173A" w:rsidRPr="00084CD2" w:rsidRDefault="0058173A"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Irregular</w:t>
            </w:r>
          </w:p>
        </w:tc>
        <w:tc>
          <w:tcPr>
            <w:tcW w:w="1119" w:type="pct"/>
            <w:noWrap/>
            <w:vAlign w:val="bottom"/>
            <w:hideMark/>
          </w:tcPr>
          <w:p w14:paraId="751B3467"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p>
        </w:tc>
        <w:tc>
          <w:tcPr>
            <w:tcW w:w="1118" w:type="pct"/>
            <w:noWrap/>
            <w:vAlign w:val="bottom"/>
            <w:hideMark/>
          </w:tcPr>
          <w:p w14:paraId="2FB64443"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0.01</w:t>
            </w:r>
          </w:p>
        </w:tc>
        <w:tc>
          <w:tcPr>
            <w:tcW w:w="1118" w:type="pct"/>
            <w:noWrap/>
            <w:vAlign w:val="bottom"/>
            <w:hideMark/>
          </w:tcPr>
          <w:p w14:paraId="7E65927B"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0.9996</w:t>
            </w:r>
          </w:p>
        </w:tc>
      </w:tr>
      <w:tr w:rsidR="0058173A" w:rsidRPr="00084CD2" w14:paraId="4A62E7BD" w14:textId="77777777" w:rsidTr="00084CD2">
        <w:trPr>
          <w:trHeight w:val="300"/>
          <w:jc w:val="center"/>
        </w:trPr>
        <w:tc>
          <w:tcPr>
            <w:tcW w:w="1646" w:type="pct"/>
            <w:noWrap/>
            <w:vAlign w:val="bottom"/>
            <w:hideMark/>
          </w:tcPr>
          <w:p w14:paraId="485D8F73" w14:textId="77777777" w:rsidR="0058173A" w:rsidRPr="00084CD2" w:rsidRDefault="0058173A"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Nivel</w:t>
            </w:r>
          </w:p>
        </w:tc>
        <w:tc>
          <w:tcPr>
            <w:tcW w:w="1119" w:type="pct"/>
            <w:noWrap/>
            <w:vAlign w:val="bottom"/>
            <w:hideMark/>
          </w:tcPr>
          <w:p w14:paraId="485514D4"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p>
        </w:tc>
        <w:tc>
          <w:tcPr>
            <w:tcW w:w="1118" w:type="pct"/>
            <w:noWrap/>
            <w:vAlign w:val="bottom"/>
            <w:hideMark/>
          </w:tcPr>
          <w:p w14:paraId="030CF1FF" w14:textId="24DACCB5" w:rsidR="0058173A" w:rsidRPr="00084CD2" w:rsidRDefault="00356B85"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202535</w:t>
            </w:r>
          </w:p>
        </w:tc>
        <w:tc>
          <w:tcPr>
            <w:tcW w:w="1118" w:type="pct"/>
            <w:noWrap/>
            <w:vAlign w:val="bottom"/>
            <w:hideMark/>
          </w:tcPr>
          <w:p w14:paraId="22AC631C"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r>
      <w:tr w:rsidR="0058173A" w:rsidRPr="00084CD2" w14:paraId="41C1171F" w14:textId="77777777" w:rsidTr="00084CD2">
        <w:trPr>
          <w:trHeight w:val="300"/>
          <w:jc w:val="center"/>
        </w:trPr>
        <w:tc>
          <w:tcPr>
            <w:tcW w:w="1646" w:type="pct"/>
            <w:noWrap/>
            <w:vAlign w:val="bottom"/>
            <w:hideMark/>
          </w:tcPr>
          <w:p w14:paraId="4F6121D7" w14:textId="77777777" w:rsidR="0058173A" w:rsidRPr="00084CD2" w:rsidRDefault="0058173A"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Coeficiente angular</w:t>
            </w:r>
          </w:p>
        </w:tc>
        <w:tc>
          <w:tcPr>
            <w:tcW w:w="1119" w:type="pct"/>
            <w:noWrap/>
            <w:vAlign w:val="bottom"/>
            <w:hideMark/>
          </w:tcPr>
          <w:p w14:paraId="5C5C0953"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p>
        </w:tc>
        <w:tc>
          <w:tcPr>
            <w:tcW w:w="1118" w:type="pct"/>
            <w:noWrap/>
            <w:vAlign w:val="bottom"/>
            <w:hideMark/>
          </w:tcPr>
          <w:p w14:paraId="51DE9549"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14.87</w:t>
            </w:r>
          </w:p>
        </w:tc>
        <w:tc>
          <w:tcPr>
            <w:tcW w:w="1118" w:type="pct"/>
            <w:noWrap/>
            <w:vAlign w:val="bottom"/>
            <w:hideMark/>
          </w:tcPr>
          <w:p w14:paraId="6311ED15"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0.0001</w:t>
            </w:r>
          </w:p>
        </w:tc>
      </w:tr>
      <w:tr w:rsidR="0058173A" w:rsidRPr="00084CD2" w14:paraId="0D7707C9" w14:textId="77777777" w:rsidTr="00084CD2">
        <w:trPr>
          <w:trHeight w:val="300"/>
          <w:jc w:val="center"/>
        </w:trPr>
        <w:tc>
          <w:tcPr>
            <w:tcW w:w="1646" w:type="pct"/>
            <w:noWrap/>
            <w:vAlign w:val="bottom"/>
            <w:hideMark/>
          </w:tcPr>
          <w:p w14:paraId="27A0C798" w14:textId="77777777" w:rsidR="0058173A" w:rsidRPr="00084CD2" w:rsidRDefault="0058173A"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Ciclo</w:t>
            </w:r>
          </w:p>
        </w:tc>
        <w:tc>
          <w:tcPr>
            <w:tcW w:w="1119" w:type="pct"/>
            <w:noWrap/>
            <w:vAlign w:val="bottom"/>
            <w:hideMark/>
          </w:tcPr>
          <w:p w14:paraId="5E15E90F"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2</w:t>
            </w:r>
          </w:p>
        </w:tc>
        <w:tc>
          <w:tcPr>
            <w:tcW w:w="1118" w:type="pct"/>
            <w:noWrap/>
            <w:vAlign w:val="bottom"/>
            <w:hideMark/>
          </w:tcPr>
          <w:p w14:paraId="099AD24C"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6.44</w:t>
            </w:r>
          </w:p>
        </w:tc>
        <w:tc>
          <w:tcPr>
            <w:tcW w:w="1118" w:type="pct"/>
            <w:noWrap/>
            <w:vAlign w:val="bottom"/>
            <w:hideMark/>
          </w:tcPr>
          <w:p w14:paraId="13826C07"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0.04</w:t>
            </w:r>
          </w:p>
        </w:tc>
      </w:tr>
      <w:tr w:rsidR="0058173A" w:rsidRPr="00084CD2" w14:paraId="2CB410F1" w14:textId="77777777" w:rsidTr="00084CD2">
        <w:trPr>
          <w:trHeight w:val="300"/>
          <w:jc w:val="center"/>
        </w:trPr>
        <w:tc>
          <w:tcPr>
            <w:tcW w:w="1646" w:type="pct"/>
            <w:noWrap/>
            <w:vAlign w:val="bottom"/>
            <w:hideMark/>
          </w:tcPr>
          <w:p w14:paraId="2A726930" w14:textId="77777777" w:rsidR="0058173A" w:rsidRPr="00084CD2" w:rsidRDefault="0058173A"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Estacionalidad</w:t>
            </w:r>
          </w:p>
        </w:tc>
        <w:tc>
          <w:tcPr>
            <w:tcW w:w="1119" w:type="pct"/>
            <w:noWrap/>
            <w:vAlign w:val="bottom"/>
            <w:hideMark/>
          </w:tcPr>
          <w:p w14:paraId="023A0EA3"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11</w:t>
            </w:r>
          </w:p>
        </w:tc>
        <w:tc>
          <w:tcPr>
            <w:tcW w:w="1118" w:type="pct"/>
            <w:noWrap/>
            <w:vAlign w:val="bottom"/>
            <w:hideMark/>
          </w:tcPr>
          <w:p w14:paraId="08503F89"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365.36</w:t>
            </w:r>
          </w:p>
        </w:tc>
        <w:tc>
          <w:tcPr>
            <w:tcW w:w="1118" w:type="pct"/>
            <w:noWrap/>
            <w:vAlign w:val="bottom"/>
            <w:hideMark/>
          </w:tcPr>
          <w:p w14:paraId="09A226B8" w14:textId="77777777" w:rsidR="0058173A" w:rsidRPr="00084CD2" w:rsidRDefault="0058173A"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r>
    </w:tbl>
    <w:p w14:paraId="12FAA94D" w14:textId="653CBDD5" w:rsidR="0058173A" w:rsidRPr="00084CD2" w:rsidRDefault="0058173A"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 xml:space="preserve">Fuente: </w:t>
      </w:r>
      <w:r w:rsidR="000D732C" w:rsidRPr="00084CD2">
        <w:rPr>
          <w:rFonts w:ascii="Times New Roman" w:hAnsi="Times New Roman" w:cs="Times New Roman"/>
          <w:sz w:val="24"/>
          <w:szCs w:val="24"/>
        </w:rPr>
        <w:t>construcción</w:t>
      </w:r>
      <w:r w:rsidRPr="00084CD2">
        <w:rPr>
          <w:rFonts w:ascii="Times New Roman" w:hAnsi="Times New Roman" w:cs="Times New Roman"/>
          <w:sz w:val="24"/>
          <w:szCs w:val="24"/>
        </w:rPr>
        <w:t xml:space="preserve"> propia con datos </w:t>
      </w:r>
      <w:r w:rsidR="00D877E0" w:rsidRPr="00084CD2">
        <w:rPr>
          <w:rFonts w:ascii="Times New Roman" w:hAnsi="Times New Roman" w:cs="Times New Roman"/>
          <w:sz w:val="24"/>
          <w:szCs w:val="24"/>
        </w:rPr>
        <w:t xml:space="preserve">procesados en el </w:t>
      </w:r>
      <w:r w:rsidR="000D732C" w:rsidRPr="00084CD2">
        <w:rPr>
          <w:rFonts w:ascii="Times New Roman" w:hAnsi="Times New Roman" w:cs="Times New Roman"/>
          <w:sz w:val="24"/>
          <w:szCs w:val="24"/>
        </w:rPr>
        <w:t>software</w:t>
      </w:r>
      <w:r w:rsidR="006D3A6D" w:rsidRPr="00084CD2">
        <w:rPr>
          <w:rFonts w:ascii="Times New Roman" w:hAnsi="Times New Roman" w:cs="Times New Roman"/>
          <w:sz w:val="24"/>
          <w:szCs w:val="24"/>
        </w:rPr>
        <w:t xml:space="preserve"> </w:t>
      </w:r>
      <w:r w:rsidR="00A97D94" w:rsidRPr="00084CD2">
        <w:rPr>
          <w:rFonts w:ascii="Times New Roman" w:hAnsi="Times New Roman" w:cs="Times New Roman"/>
          <w:sz w:val="24"/>
          <w:szCs w:val="24"/>
        </w:rPr>
        <w:t>SAS®</w:t>
      </w:r>
      <w:r w:rsidRPr="00084CD2">
        <w:rPr>
          <w:rFonts w:ascii="Times New Roman" w:hAnsi="Times New Roman" w:cs="Times New Roman"/>
          <w:sz w:val="24"/>
          <w:szCs w:val="24"/>
        </w:rPr>
        <w:t>.</w:t>
      </w:r>
    </w:p>
    <w:p w14:paraId="18546A0A" w14:textId="262E64B7" w:rsidR="006431C2" w:rsidRPr="00084CD2" w:rsidRDefault="00905843" w:rsidP="009F0ECD">
      <w:pPr>
        <w:spacing w:after="0" w:line="360" w:lineRule="auto"/>
        <w:ind w:firstLine="1134"/>
        <w:contextualSpacing/>
        <w:jc w:val="both"/>
        <w:rPr>
          <w:rFonts w:ascii="Times New Roman" w:hAnsi="Times New Roman" w:cs="Times New Roman"/>
          <w:sz w:val="24"/>
          <w:szCs w:val="24"/>
          <w:lang w:val="es-ES"/>
        </w:rPr>
      </w:pPr>
      <w:r w:rsidRPr="00084CD2">
        <w:rPr>
          <w:rFonts w:ascii="Times New Roman" w:hAnsi="Times New Roman" w:cs="Times New Roman"/>
          <w:sz w:val="24"/>
          <w:szCs w:val="24"/>
        </w:rPr>
        <w:t xml:space="preserve">La evaluación de los residuales confirma que éstos respetan los supuestos </w:t>
      </w:r>
      <w:r w:rsidR="00E944E2" w:rsidRPr="00084CD2">
        <w:rPr>
          <w:rFonts w:ascii="Times New Roman" w:hAnsi="Times New Roman" w:cs="Times New Roman"/>
          <w:sz w:val="24"/>
          <w:szCs w:val="24"/>
        </w:rPr>
        <w:t xml:space="preserve">de ruido blanco, al no mostrar correlación ni patrones sistemáticos y presentar una distribución aproximadamente normal, validada mediante análisis gráfico (histograma, </w:t>
      </w:r>
      <w:r w:rsidR="007348EB" w:rsidRPr="00084CD2">
        <w:rPr>
          <w:rFonts w:ascii="Times New Roman" w:hAnsi="Times New Roman" w:cs="Times New Roman"/>
          <w:sz w:val="24"/>
          <w:szCs w:val="24"/>
        </w:rPr>
        <w:t xml:space="preserve">gráfico </w:t>
      </w:r>
      <w:r w:rsidR="00E944E2" w:rsidRPr="00084CD2">
        <w:rPr>
          <w:rFonts w:ascii="Times New Roman" w:hAnsi="Times New Roman" w:cs="Times New Roman"/>
          <w:sz w:val="24"/>
          <w:szCs w:val="24"/>
        </w:rPr>
        <w:t>Q-Q) y funciones ACF y PACF.</w:t>
      </w:r>
      <w:r w:rsidR="009A70DE" w:rsidRPr="00084CD2">
        <w:rPr>
          <w:rFonts w:ascii="Times New Roman" w:hAnsi="Times New Roman" w:cs="Times New Roman"/>
          <w:sz w:val="24"/>
          <w:szCs w:val="24"/>
        </w:rPr>
        <w:t xml:space="preserve"> De igual manera</w:t>
      </w:r>
      <w:r w:rsidR="00E944E2" w:rsidRPr="00084CD2">
        <w:rPr>
          <w:rFonts w:ascii="Times New Roman" w:hAnsi="Times New Roman" w:cs="Times New Roman"/>
          <w:sz w:val="24"/>
          <w:szCs w:val="24"/>
        </w:rPr>
        <w:t xml:space="preserve">, el modelo no presentó autocorrelación en las gráficas de ACF y PACF, con distintos rezagos </w:t>
      </w:r>
      <w:r w:rsidR="006431C2" w:rsidRPr="00084CD2">
        <w:rPr>
          <w:rFonts w:ascii="Times New Roman" w:hAnsi="Times New Roman" w:cs="Times New Roman"/>
          <w:sz w:val="24"/>
          <w:szCs w:val="24"/>
          <w:lang w:val="es-ES"/>
        </w:rPr>
        <w:t>(Figura 1).</w:t>
      </w:r>
    </w:p>
    <w:p w14:paraId="65E98773" w14:textId="77777777" w:rsidR="001E6E5B" w:rsidRDefault="001E6E5B" w:rsidP="000F35DD">
      <w:pPr>
        <w:spacing w:after="0" w:line="360" w:lineRule="auto"/>
        <w:contextualSpacing/>
        <w:jc w:val="both"/>
        <w:rPr>
          <w:rFonts w:ascii="Times New Roman" w:hAnsi="Times New Roman" w:cs="Times New Roman"/>
          <w:sz w:val="24"/>
          <w:szCs w:val="24"/>
          <w:lang w:val="es-ES"/>
        </w:rPr>
      </w:pPr>
    </w:p>
    <w:p w14:paraId="63E0EB37"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61A4C478" w14:textId="77777777" w:rsidR="00172A5A" w:rsidRPr="00084CD2" w:rsidRDefault="00172A5A" w:rsidP="000F35DD">
      <w:pPr>
        <w:spacing w:after="0" w:line="360" w:lineRule="auto"/>
        <w:contextualSpacing/>
        <w:jc w:val="both"/>
        <w:rPr>
          <w:rFonts w:ascii="Times New Roman" w:hAnsi="Times New Roman" w:cs="Times New Roman"/>
          <w:sz w:val="24"/>
          <w:szCs w:val="24"/>
          <w:lang w:val="es-ES"/>
        </w:rPr>
      </w:pPr>
    </w:p>
    <w:p w14:paraId="746BB101" w14:textId="30B9E79B" w:rsidR="00E944E2" w:rsidRPr="00084CD2" w:rsidRDefault="001E6E5B"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b/>
          <w:sz w:val="24"/>
          <w:szCs w:val="24"/>
        </w:rPr>
        <w:lastRenderedPageBreak/>
        <w:t xml:space="preserve">Figura 1. </w:t>
      </w:r>
      <w:r w:rsidRPr="00084CD2">
        <w:rPr>
          <w:rFonts w:ascii="Times New Roman" w:hAnsi="Times New Roman" w:cs="Times New Roman"/>
          <w:bCs/>
          <w:sz w:val="24"/>
          <w:szCs w:val="24"/>
        </w:rPr>
        <w:t xml:space="preserve">Valoración del ajuste </w:t>
      </w:r>
      <w:r w:rsidR="000B70CF" w:rsidRPr="00084CD2">
        <w:rPr>
          <w:rFonts w:ascii="Times New Roman" w:hAnsi="Times New Roman" w:cs="Times New Roman"/>
          <w:bCs/>
          <w:sz w:val="24"/>
          <w:szCs w:val="24"/>
        </w:rPr>
        <w:t>con relación al</w:t>
      </w:r>
      <w:r w:rsidRPr="00084CD2">
        <w:rPr>
          <w:rFonts w:ascii="Times New Roman" w:hAnsi="Times New Roman" w:cs="Times New Roman"/>
          <w:bCs/>
          <w:sz w:val="24"/>
          <w:szCs w:val="24"/>
        </w:rPr>
        <w:t xml:space="preserve"> modelo</w:t>
      </w:r>
      <w:r w:rsidR="00CB4814" w:rsidRPr="00084CD2">
        <w:rPr>
          <w:rFonts w:ascii="Times New Roman" w:hAnsi="Times New Roman" w:cs="Times New Roman"/>
          <w:bCs/>
          <w:sz w:val="24"/>
          <w:szCs w:val="24"/>
        </w:rPr>
        <w:t>.</w:t>
      </w:r>
    </w:p>
    <w:p w14:paraId="0E1DFBCB" w14:textId="00A36677" w:rsidR="00CA35BF" w:rsidRPr="00084CD2" w:rsidRDefault="00DE7244" w:rsidP="00084CD2">
      <w:pPr>
        <w:spacing w:after="0" w:line="360" w:lineRule="auto"/>
        <w:contextualSpacing/>
        <w:jc w:val="center"/>
        <w:rPr>
          <w:rFonts w:ascii="Times New Roman" w:hAnsi="Times New Roman" w:cs="Times New Roman"/>
          <w:sz w:val="24"/>
          <w:szCs w:val="24"/>
          <w:lang w:val="es-ES"/>
        </w:rPr>
      </w:pPr>
      <w:r w:rsidRPr="00084CD2">
        <w:rPr>
          <w:rFonts w:ascii="Times New Roman" w:hAnsi="Times New Roman" w:cs="Times New Roman"/>
          <w:noProof/>
          <w:sz w:val="24"/>
          <w:szCs w:val="24"/>
          <w:lang w:eastAsia="es-MX"/>
        </w:rPr>
        <w:drawing>
          <wp:inline distT="0" distB="0" distL="0" distR="0" wp14:anchorId="70E95B1C" wp14:editId="36284A65">
            <wp:extent cx="5596314" cy="2668270"/>
            <wp:effectExtent l="0" t="0" r="4445" b="0"/>
            <wp:docPr id="4" name="Imagen 4" descr="C:\Users\elektra\Documents\COLEGIO DE POSTGRADUADOS_2\5to cuatri\TAREA 8 ARTICULO FINAL - copia\Articulo phd agrociencias\Figuras phd a 300dpi_de acuerdo al correo recibido el 12-01-21\figur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ktra\Documents\COLEGIO DE POSTGRADUADOS_2\5to cuatri\TAREA 8 ARTICULO FINAL - copia\Articulo phd agrociencias\Figuras phd a 300dpi_de acuerdo al correo recibido el 12-01-21\figura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7715" cy="2668938"/>
                    </a:xfrm>
                    <a:prstGeom prst="rect">
                      <a:avLst/>
                    </a:prstGeom>
                    <a:noFill/>
                    <a:ln>
                      <a:noFill/>
                    </a:ln>
                  </pic:spPr>
                </pic:pic>
              </a:graphicData>
            </a:graphic>
          </wp:inline>
        </w:drawing>
      </w:r>
      <w:r w:rsidR="00CB4814" w:rsidRPr="00084CD2">
        <w:rPr>
          <w:rFonts w:ascii="Times New Roman" w:hAnsi="Times New Roman" w:cs="Times New Roman"/>
          <w:bCs/>
          <w:sz w:val="24"/>
          <w:szCs w:val="24"/>
        </w:rPr>
        <w:t>Nota:</w:t>
      </w:r>
      <w:r w:rsidR="00CB4814" w:rsidRPr="00084CD2">
        <w:rPr>
          <w:rFonts w:ascii="Times New Roman" w:hAnsi="Times New Roman" w:cs="Times New Roman"/>
          <w:b/>
          <w:sz w:val="24"/>
          <w:szCs w:val="24"/>
        </w:rPr>
        <w:t xml:space="preserve"> </w:t>
      </w:r>
      <w:r w:rsidR="00CB4814" w:rsidRPr="00084CD2">
        <w:rPr>
          <w:rFonts w:ascii="Times New Roman" w:hAnsi="Times New Roman" w:cs="Times New Roman"/>
          <w:bCs/>
          <w:sz w:val="24"/>
          <w:szCs w:val="24"/>
        </w:rPr>
        <w:t xml:space="preserve">UCM: A) histograma de residuales, B) esquema de cuantiles (Q-Q) de residuos, C) ACF de residuales y D) PACF de residuales. </w:t>
      </w:r>
      <w:r w:rsidR="001E6E5B" w:rsidRPr="00084CD2">
        <w:rPr>
          <w:rFonts w:ascii="Times New Roman" w:hAnsi="Times New Roman" w:cs="Times New Roman"/>
          <w:sz w:val="24"/>
          <w:szCs w:val="24"/>
          <w:lang w:val="es-ES"/>
        </w:rPr>
        <w:t>Fuente: construcción propia.</w:t>
      </w:r>
    </w:p>
    <w:p w14:paraId="31BC90D8" w14:textId="682414C2" w:rsidR="00982EA0" w:rsidRPr="00084CD2" w:rsidRDefault="00982EA0"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El modelo estimado incorpor</w:t>
      </w:r>
      <w:r w:rsidR="0067234E" w:rsidRPr="00084CD2">
        <w:rPr>
          <w:rFonts w:ascii="Times New Roman" w:hAnsi="Times New Roman" w:cs="Times New Roman"/>
          <w:sz w:val="24"/>
          <w:szCs w:val="24"/>
        </w:rPr>
        <w:t>ó</w:t>
      </w:r>
      <w:r w:rsidRPr="00084CD2">
        <w:rPr>
          <w:rFonts w:ascii="Times New Roman" w:hAnsi="Times New Roman" w:cs="Times New Roman"/>
          <w:sz w:val="24"/>
          <w:szCs w:val="24"/>
        </w:rPr>
        <w:t xml:space="preserve"> una tendencia </w:t>
      </w:r>
      <w:r w:rsidR="00166890" w:rsidRPr="00084CD2">
        <w:rPr>
          <w:rFonts w:ascii="Times New Roman" w:hAnsi="Times New Roman" w:cs="Times New Roman"/>
          <w:sz w:val="24"/>
          <w:szCs w:val="24"/>
        </w:rPr>
        <w:t xml:space="preserve">integrada </w:t>
      </w:r>
      <w:r w:rsidRPr="00084CD2">
        <w:rPr>
          <w:rFonts w:ascii="Times New Roman" w:hAnsi="Times New Roman" w:cs="Times New Roman"/>
          <w:sz w:val="24"/>
          <w:szCs w:val="24"/>
        </w:rPr>
        <w:t xml:space="preserve">por un nivel determinístico y una pendiente estocástica, una estacionalidad determinística, un ciclo estocástico y un </w:t>
      </w:r>
      <w:r w:rsidR="00166890" w:rsidRPr="00084CD2">
        <w:rPr>
          <w:rFonts w:ascii="Times New Roman" w:hAnsi="Times New Roman" w:cs="Times New Roman"/>
          <w:sz w:val="24"/>
          <w:szCs w:val="24"/>
        </w:rPr>
        <w:t xml:space="preserve">elemento </w:t>
      </w:r>
      <w:r w:rsidRPr="00084CD2">
        <w:rPr>
          <w:rFonts w:ascii="Times New Roman" w:hAnsi="Times New Roman" w:cs="Times New Roman"/>
          <w:sz w:val="24"/>
          <w:szCs w:val="24"/>
        </w:rPr>
        <w:t xml:space="preserve">irregular también estocástico. La ecuación general </w:t>
      </w:r>
      <w:r w:rsidR="0067234E" w:rsidRPr="00084CD2">
        <w:rPr>
          <w:rFonts w:ascii="Times New Roman" w:hAnsi="Times New Roman" w:cs="Times New Roman"/>
          <w:sz w:val="24"/>
          <w:szCs w:val="24"/>
        </w:rPr>
        <w:t>fue</w:t>
      </w:r>
      <w:r w:rsidRPr="00084CD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084CD2">
        <w:rPr>
          <w:rFonts w:ascii="Times New Roman" w:hAnsi="Times New Roman" w:cs="Times New Roman"/>
          <w:sz w:val="24"/>
          <w:szCs w:val="24"/>
        </w:rPr>
        <w:t>, donde la tendencia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w:r w:rsidRPr="00084CD2">
        <w:rPr>
          <w:rFonts w:ascii="Times New Roman" w:hAnsi="Times New Roman" w:cs="Times New Roman"/>
          <w:sz w:val="24"/>
          <w:szCs w:val="24"/>
        </w:rPr>
        <w:t>) est</w:t>
      </w:r>
      <w:r w:rsidR="0067234E" w:rsidRPr="00084CD2">
        <w:rPr>
          <w:rFonts w:ascii="Times New Roman" w:hAnsi="Times New Roman" w:cs="Times New Roman"/>
          <w:sz w:val="24"/>
          <w:szCs w:val="24"/>
        </w:rPr>
        <w:t>uvo</w:t>
      </w:r>
      <w:r w:rsidRPr="00084CD2">
        <w:rPr>
          <w:rFonts w:ascii="Times New Roman" w:hAnsi="Times New Roman" w:cs="Times New Roman"/>
          <w:sz w:val="24"/>
          <w:szCs w:val="24"/>
        </w:rPr>
        <w:t xml:space="preserve"> formada por un nivel constante y una pendiente aleatoria. Dado que la pendiente estocástica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η</m:t>
            </m:r>
          </m:sub>
          <m:sup>
            <m:r>
              <w:rPr>
                <w:rFonts w:ascii="Cambria Math" w:hAnsi="Cambria Math" w:cs="Times New Roman"/>
                <w:sz w:val="24"/>
                <w:szCs w:val="24"/>
              </w:rPr>
              <m:t>2</m:t>
            </m:r>
          </m:sup>
        </m:sSubSup>
        <m:r>
          <w:rPr>
            <w:rFonts w:ascii="Cambria Math" w:hAnsi="Cambria Math" w:cs="Times New Roman"/>
            <w:sz w:val="24"/>
            <w:szCs w:val="24"/>
          </w:rPr>
          <m:t>&gt;0</m:t>
        </m:r>
      </m:oMath>
      <w:r w:rsidRPr="00084CD2">
        <w:rPr>
          <w:rFonts w:ascii="Times New Roman" w:hAnsi="Times New Roman" w:cs="Times New Roman"/>
          <w:sz w:val="24"/>
          <w:szCs w:val="24"/>
        </w:rPr>
        <w:t xml:space="preserve"> y nivel no estocástico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ξ</m:t>
            </m:r>
          </m:sub>
          <m:sup>
            <m:r>
              <w:rPr>
                <w:rFonts w:ascii="Cambria Math" w:hAnsi="Cambria Math" w:cs="Times New Roman"/>
                <w:sz w:val="24"/>
                <w:szCs w:val="24"/>
              </w:rPr>
              <m:t>2</m:t>
            </m:r>
          </m:sup>
        </m:sSubSup>
        <m:r>
          <w:rPr>
            <w:rFonts w:ascii="Cambria Math" w:hAnsi="Cambria Math" w:cs="Times New Roman"/>
            <w:sz w:val="24"/>
            <w:szCs w:val="24"/>
          </w:rPr>
          <m:t>=0</m:t>
        </m:r>
      </m:oMath>
      <w:r w:rsidRPr="00084CD2">
        <w:rPr>
          <w:rFonts w:ascii="Times New Roman" w:hAnsi="Times New Roman" w:cs="Times New Roman"/>
          <w:sz w:val="24"/>
          <w:szCs w:val="24"/>
        </w:rPr>
        <w:t>, el modelo se clasific</w:t>
      </w:r>
      <w:r w:rsidR="0067234E" w:rsidRPr="00084CD2">
        <w:rPr>
          <w:rFonts w:ascii="Times New Roman" w:hAnsi="Times New Roman" w:cs="Times New Roman"/>
          <w:sz w:val="24"/>
          <w:szCs w:val="24"/>
        </w:rPr>
        <w:t>ó</w:t>
      </w:r>
      <w:r w:rsidRPr="00084CD2">
        <w:rPr>
          <w:rFonts w:ascii="Times New Roman" w:hAnsi="Times New Roman" w:cs="Times New Roman"/>
          <w:sz w:val="24"/>
          <w:szCs w:val="24"/>
        </w:rPr>
        <w:t xml:space="preserve"> como de tendencia alisada, es decir, la variabilidad provi</w:t>
      </w:r>
      <w:r w:rsidR="0067234E" w:rsidRPr="00084CD2">
        <w:rPr>
          <w:rFonts w:ascii="Times New Roman" w:hAnsi="Times New Roman" w:cs="Times New Roman"/>
          <w:sz w:val="24"/>
          <w:szCs w:val="24"/>
        </w:rPr>
        <w:t>no</w:t>
      </w:r>
      <w:r w:rsidRPr="00084CD2">
        <w:rPr>
          <w:rFonts w:ascii="Times New Roman" w:hAnsi="Times New Roman" w:cs="Times New Roman"/>
          <w:sz w:val="24"/>
          <w:szCs w:val="24"/>
        </w:rPr>
        <w:t xml:space="preserve"> de cambios en la </w:t>
      </w:r>
      <w:r w:rsidR="00166890" w:rsidRPr="00084CD2">
        <w:rPr>
          <w:rFonts w:ascii="Times New Roman" w:hAnsi="Times New Roman" w:cs="Times New Roman"/>
          <w:sz w:val="24"/>
          <w:szCs w:val="24"/>
        </w:rPr>
        <w:t xml:space="preserve">dinámica de la </w:t>
      </w:r>
      <w:r w:rsidRPr="00084CD2">
        <w:rPr>
          <w:rFonts w:ascii="Times New Roman" w:hAnsi="Times New Roman" w:cs="Times New Roman"/>
          <w:sz w:val="24"/>
          <w:szCs w:val="24"/>
        </w:rPr>
        <w:t xml:space="preserve">tasa de </w:t>
      </w:r>
      <w:r w:rsidR="00E6495B" w:rsidRPr="00084CD2">
        <w:rPr>
          <w:rFonts w:ascii="Times New Roman" w:hAnsi="Times New Roman" w:cs="Times New Roman"/>
          <w:sz w:val="24"/>
          <w:szCs w:val="24"/>
        </w:rPr>
        <w:t>creci</w:t>
      </w:r>
      <w:r w:rsidR="00166890" w:rsidRPr="00084CD2">
        <w:rPr>
          <w:rFonts w:ascii="Times New Roman" w:hAnsi="Times New Roman" w:cs="Times New Roman"/>
          <w:sz w:val="24"/>
          <w:szCs w:val="24"/>
        </w:rPr>
        <w:t>miento</w:t>
      </w:r>
      <w:r w:rsidRPr="00084CD2">
        <w:rPr>
          <w:rFonts w:ascii="Times New Roman" w:hAnsi="Times New Roman" w:cs="Times New Roman"/>
          <w:sz w:val="24"/>
          <w:szCs w:val="24"/>
        </w:rPr>
        <w:t xml:space="preserve"> de largo plazo, no del nivel. Esta configuración reflej</w:t>
      </w:r>
      <w:r w:rsidR="0067234E" w:rsidRPr="00084CD2">
        <w:rPr>
          <w:rFonts w:ascii="Times New Roman" w:hAnsi="Times New Roman" w:cs="Times New Roman"/>
          <w:sz w:val="24"/>
          <w:szCs w:val="24"/>
        </w:rPr>
        <w:t>ó</w:t>
      </w:r>
      <w:r w:rsidRPr="00084CD2">
        <w:rPr>
          <w:rFonts w:ascii="Times New Roman" w:hAnsi="Times New Roman" w:cs="Times New Roman"/>
          <w:sz w:val="24"/>
          <w:szCs w:val="24"/>
        </w:rPr>
        <w:t xml:space="preserve"> que el INPC m</w:t>
      </w:r>
      <w:r w:rsidR="0067234E" w:rsidRPr="00084CD2">
        <w:rPr>
          <w:rFonts w:ascii="Times New Roman" w:hAnsi="Times New Roman" w:cs="Times New Roman"/>
          <w:sz w:val="24"/>
          <w:szCs w:val="24"/>
        </w:rPr>
        <w:t>ostró</w:t>
      </w:r>
      <w:r w:rsidRPr="00084CD2">
        <w:rPr>
          <w:rFonts w:ascii="Times New Roman" w:hAnsi="Times New Roman" w:cs="Times New Roman"/>
          <w:sz w:val="24"/>
          <w:szCs w:val="24"/>
        </w:rPr>
        <w:t xml:space="preserve"> un crecimiento tendencial que evoluciona de manera continua en el tiempo. El </w:t>
      </w:r>
      <w:r w:rsidR="0020198E" w:rsidRPr="00084CD2">
        <w:rPr>
          <w:rFonts w:ascii="Times New Roman" w:hAnsi="Times New Roman" w:cs="Times New Roman"/>
          <w:sz w:val="24"/>
          <w:szCs w:val="24"/>
        </w:rPr>
        <w:t>elemento</w:t>
      </w:r>
      <w:r w:rsidRPr="00084CD2">
        <w:rPr>
          <w:rFonts w:ascii="Times New Roman" w:hAnsi="Times New Roman" w:cs="Times New Roman"/>
          <w:sz w:val="24"/>
          <w:szCs w:val="24"/>
        </w:rPr>
        <w:t xml:space="preserve"> cíclico present</w:t>
      </w:r>
      <w:r w:rsidR="0067234E" w:rsidRPr="00084CD2">
        <w:rPr>
          <w:rFonts w:ascii="Times New Roman" w:hAnsi="Times New Roman" w:cs="Times New Roman"/>
          <w:sz w:val="24"/>
          <w:szCs w:val="24"/>
        </w:rPr>
        <w:t>ó</w:t>
      </w:r>
      <w:r w:rsidRPr="00084CD2">
        <w:rPr>
          <w:rFonts w:ascii="Times New Roman" w:hAnsi="Times New Roman" w:cs="Times New Roman"/>
          <w:sz w:val="24"/>
          <w:szCs w:val="24"/>
        </w:rPr>
        <w:t xml:space="preserve"> un comportamiento aleatorio e irregular, lo que implic</w:t>
      </w:r>
      <w:r w:rsidR="0067234E" w:rsidRPr="00084CD2">
        <w:rPr>
          <w:rFonts w:ascii="Times New Roman" w:hAnsi="Times New Roman" w:cs="Times New Roman"/>
          <w:sz w:val="24"/>
          <w:szCs w:val="24"/>
        </w:rPr>
        <w:t>ó</w:t>
      </w:r>
      <w:r w:rsidRPr="00084CD2">
        <w:rPr>
          <w:rFonts w:ascii="Times New Roman" w:hAnsi="Times New Roman" w:cs="Times New Roman"/>
          <w:sz w:val="24"/>
          <w:szCs w:val="24"/>
        </w:rPr>
        <w:t xml:space="preserve"> que los ciclos económicos del INPC no siguen una periodicidad fija</w:t>
      </w:r>
      <w:r w:rsidR="0067234E" w:rsidRPr="00084CD2">
        <w:rPr>
          <w:rFonts w:ascii="Times New Roman" w:hAnsi="Times New Roman" w:cs="Times New Roman"/>
          <w:sz w:val="24"/>
          <w:szCs w:val="24"/>
        </w:rPr>
        <w:t xml:space="preserve"> y se manifiestan como oscilaciones recurrentes no sistemáticas.</w:t>
      </w:r>
      <w:r w:rsidRPr="00084CD2">
        <w:rPr>
          <w:rFonts w:ascii="Times New Roman" w:hAnsi="Times New Roman" w:cs="Times New Roman"/>
          <w:sz w:val="24"/>
          <w:szCs w:val="24"/>
        </w:rPr>
        <w:t xml:space="preserve"> </w:t>
      </w:r>
    </w:p>
    <w:p w14:paraId="5FE49357" w14:textId="77777777" w:rsidR="00BC32A1" w:rsidRPr="00084CD2" w:rsidRDefault="00BC32A1" w:rsidP="000F35DD">
      <w:pPr>
        <w:spacing w:after="0" w:line="360" w:lineRule="auto"/>
        <w:contextualSpacing/>
        <w:rPr>
          <w:rFonts w:ascii="Times New Roman" w:hAnsi="Times New Roman" w:cs="Times New Roman"/>
          <w:sz w:val="24"/>
          <w:szCs w:val="24"/>
        </w:rPr>
      </w:pPr>
    </w:p>
    <w:p w14:paraId="04667B62" w14:textId="0A45AECF" w:rsidR="00F20495" w:rsidRPr="00084CD2" w:rsidRDefault="00BC32A1" w:rsidP="00084CD2">
      <w:pPr>
        <w:spacing w:after="0" w:line="360" w:lineRule="auto"/>
        <w:contextualSpacing/>
        <w:jc w:val="center"/>
        <w:rPr>
          <w:rFonts w:ascii="Times New Roman" w:hAnsi="Times New Roman" w:cs="Times New Roman"/>
          <w:b/>
          <w:sz w:val="24"/>
          <w:szCs w:val="24"/>
        </w:rPr>
      </w:pPr>
      <w:r w:rsidRPr="00084CD2">
        <w:rPr>
          <w:rFonts w:ascii="Times New Roman" w:hAnsi="Times New Roman" w:cs="Times New Roman"/>
          <w:b/>
          <w:sz w:val="24"/>
          <w:szCs w:val="24"/>
        </w:rPr>
        <w:t>Modelo SARIMA</w:t>
      </w:r>
    </w:p>
    <w:p w14:paraId="6A9802CA" w14:textId="182FE624" w:rsidR="003D502A" w:rsidRPr="00084CD2" w:rsidRDefault="007711C3" w:rsidP="00B84F59">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En esta investigación</w:t>
      </w:r>
      <w:r w:rsidR="00E830F2" w:rsidRPr="00084CD2">
        <w:rPr>
          <w:rFonts w:ascii="Times New Roman" w:hAnsi="Times New Roman" w:cs="Times New Roman"/>
          <w:sz w:val="24"/>
          <w:szCs w:val="24"/>
        </w:rPr>
        <w:t>,</w:t>
      </w:r>
      <w:r w:rsidRPr="00084CD2">
        <w:rPr>
          <w:rFonts w:ascii="Times New Roman" w:hAnsi="Times New Roman" w:cs="Times New Roman"/>
          <w:sz w:val="24"/>
          <w:szCs w:val="24"/>
        </w:rPr>
        <w:t xml:space="preserve"> </w:t>
      </w:r>
      <w:r w:rsidR="00E830F2" w:rsidRPr="00084CD2">
        <w:rPr>
          <w:rFonts w:ascii="Times New Roman" w:hAnsi="Times New Roman" w:cs="Times New Roman"/>
          <w:sz w:val="24"/>
          <w:szCs w:val="24"/>
        </w:rPr>
        <w:t xml:space="preserve">se implementaron métodos de modelación correspondientes a procesos temporales, </w:t>
      </w:r>
      <w:r w:rsidRPr="00084CD2">
        <w:rPr>
          <w:rFonts w:ascii="Times New Roman" w:hAnsi="Times New Roman" w:cs="Times New Roman"/>
          <w:sz w:val="24"/>
          <w:szCs w:val="24"/>
        </w:rPr>
        <w:t xml:space="preserve">considerando distintos órdenes. Para validar su aplicabilidad, se evaluó la estacionariedad </w:t>
      </w:r>
      <w:r w:rsidR="00E830F2" w:rsidRPr="00084CD2">
        <w:rPr>
          <w:rFonts w:ascii="Times New Roman" w:hAnsi="Times New Roman" w:cs="Times New Roman"/>
          <w:sz w:val="24"/>
          <w:szCs w:val="24"/>
        </w:rPr>
        <w:t xml:space="preserve">(media y varianza constantes) </w:t>
      </w:r>
      <w:r w:rsidRPr="00084CD2">
        <w:rPr>
          <w:rFonts w:ascii="Times New Roman" w:hAnsi="Times New Roman" w:cs="Times New Roman"/>
          <w:sz w:val="24"/>
          <w:szCs w:val="24"/>
        </w:rPr>
        <w:t xml:space="preserve">de la serie mediante la prueba </w:t>
      </w:r>
      <w:proofErr w:type="spellStart"/>
      <w:r w:rsidRPr="00084CD2">
        <w:rPr>
          <w:rFonts w:ascii="Times New Roman" w:hAnsi="Times New Roman" w:cs="Times New Roman"/>
          <w:sz w:val="24"/>
          <w:szCs w:val="24"/>
        </w:rPr>
        <w:t>Dickey</w:t>
      </w:r>
      <w:proofErr w:type="spellEnd"/>
      <w:r w:rsidRPr="00084CD2">
        <w:rPr>
          <w:rFonts w:ascii="Times New Roman" w:hAnsi="Times New Roman" w:cs="Times New Roman"/>
          <w:sz w:val="24"/>
          <w:szCs w:val="24"/>
        </w:rPr>
        <w:t>-Fuller Aumentada (A</w:t>
      </w:r>
      <w:r w:rsidR="00E6495B" w:rsidRPr="00084CD2">
        <w:rPr>
          <w:rFonts w:ascii="Times New Roman" w:hAnsi="Times New Roman" w:cs="Times New Roman"/>
          <w:sz w:val="24"/>
          <w:szCs w:val="24"/>
        </w:rPr>
        <w:t>DF</w:t>
      </w:r>
      <w:r w:rsidRPr="00084CD2">
        <w:rPr>
          <w:rFonts w:ascii="Times New Roman" w:hAnsi="Times New Roman" w:cs="Times New Roman"/>
          <w:sz w:val="24"/>
          <w:szCs w:val="24"/>
        </w:rPr>
        <w:t>), contrastando la hipótesis nula de presencia de raíz unitaria frente a la alternativa de estacionariedad</w:t>
      </w:r>
      <w:r w:rsidR="00B84F59" w:rsidRPr="00084CD2">
        <w:rPr>
          <w:rFonts w:ascii="Times New Roman" w:hAnsi="Times New Roman" w:cs="Times New Roman"/>
          <w:sz w:val="24"/>
          <w:szCs w:val="24"/>
        </w:rPr>
        <w:t xml:space="preserve">, </w:t>
      </w:r>
      <w:r w:rsidR="00E6495B" w:rsidRPr="00084CD2">
        <w:rPr>
          <w:rFonts w:ascii="Times New Roman" w:hAnsi="Times New Roman" w:cs="Times New Roman"/>
          <w:sz w:val="24"/>
          <w:szCs w:val="24"/>
        </w:rPr>
        <w:t>rechazando</w:t>
      </w:r>
      <w:r w:rsidR="00B84F59" w:rsidRPr="00084CD2">
        <w:rPr>
          <w:rFonts w:ascii="Times New Roman" w:hAnsi="Times New Roman" w:cs="Times New Roman"/>
          <w:sz w:val="24"/>
          <w:szCs w:val="24"/>
        </w:rPr>
        <w:t xml:space="preserve"> la primera cuando el estadístico tau </w:t>
      </w:r>
      <w:r w:rsidR="00D96CC5" w:rsidRPr="00084CD2">
        <w:rPr>
          <w:rFonts w:ascii="Times New Roman" w:hAnsi="Times New Roman" w:cs="Times New Roman"/>
          <w:sz w:val="24"/>
          <w:szCs w:val="24"/>
        </w:rPr>
        <w:t>fue</w:t>
      </w:r>
      <w:r w:rsidR="00B84F59" w:rsidRPr="00084CD2">
        <w:rPr>
          <w:rFonts w:ascii="Times New Roman" w:hAnsi="Times New Roman" w:cs="Times New Roman"/>
          <w:sz w:val="24"/>
          <w:szCs w:val="24"/>
        </w:rPr>
        <w:t xml:space="preserve"> menor o igual al valor crítico (tau calculado </w:t>
      </w:r>
      <m:oMath>
        <m:r>
          <w:rPr>
            <w:rFonts w:ascii="Cambria Math" w:hAnsi="Cambria Math" w:cs="Times New Roman"/>
            <w:sz w:val="24"/>
            <w:szCs w:val="24"/>
          </w:rPr>
          <m:t>≤</m:t>
        </m:r>
      </m:oMath>
      <w:r w:rsidR="00B84F59" w:rsidRPr="00084CD2">
        <w:rPr>
          <w:rFonts w:ascii="Times New Roman" w:hAnsi="Times New Roman" w:cs="Times New Roman"/>
          <w:sz w:val="24"/>
          <w:szCs w:val="24"/>
        </w:rPr>
        <w:t xml:space="preserve"> tau de tablas). </w:t>
      </w:r>
      <w:r w:rsidRPr="00084CD2">
        <w:rPr>
          <w:rFonts w:ascii="Times New Roman" w:hAnsi="Times New Roman" w:cs="Times New Roman"/>
          <w:sz w:val="24"/>
          <w:szCs w:val="24"/>
        </w:rPr>
        <w:t xml:space="preserve">Al detectar no estacionariedad, se aplicaron diferenciaciones: una de tipo ordinaria (d=1) y </w:t>
      </w:r>
      <w:r w:rsidRPr="00084CD2">
        <w:rPr>
          <w:rFonts w:ascii="Times New Roman" w:hAnsi="Times New Roman" w:cs="Times New Roman"/>
          <w:sz w:val="24"/>
          <w:szCs w:val="24"/>
        </w:rPr>
        <w:lastRenderedPageBreak/>
        <w:t xml:space="preserve">otra estacional (D=1), debido a la existencia de patrones recurrentes cada 6, 12 y 24 observaciones. Tras estas transformaciones, el valor de tau permitió rechazar la hipótesis nula, concluyéndose que la serie del INPC se volvió estacionaria, es decir, </w:t>
      </w:r>
      <w:r w:rsidR="00740CB1" w:rsidRPr="00084CD2">
        <w:rPr>
          <w:rFonts w:ascii="Times New Roman" w:hAnsi="Times New Roman" w:cs="Times New Roman"/>
          <w:sz w:val="24"/>
          <w:szCs w:val="24"/>
        </w:rPr>
        <w:t xml:space="preserve">con comportamiento estable a lo largo del tiempo </w:t>
      </w:r>
      <w:r w:rsidR="00CD688F" w:rsidRPr="00084CD2">
        <w:rPr>
          <w:rFonts w:ascii="Times New Roman" w:hAnsi="Times New Roman" w:cs="Times New Roman"/>
          <w:sz w:val="24"/>
          <w:szCs w:val="24"/>
        </w:rPr>
        <w:t>(</w:t>
      </w:r>
      <w:r w:rsidR="001F2EE1" w:rsidRPr="00084CD2">
        <w:rPr>
          <w:rFonts w:ascii="Times New Roman" w:hAnsi="Times New Roman" w:cs="Times New Roman"/>
          <w:sz w:val="24"/>
          <w:szCs w:val="24"/>
        </w:rPr>
        <w:t xml:space="preserve">Tabla </w:t>
      </w:r>
      <w:r w:rsidR="00CD688F" w:rsidRPr="00084CD2">
        <w:rPr>
          <w:rFonts w:ascii="Times New Roman" w:hAnsi="Times New Roman" w:cs="Times New Roman"/>
          <w:sz w:val="24"/>
          <w:szCs w:val="24"/>
        </w:rPr>
        <w:t>4).</w:t>
      </w:r>
    </w:p>
    <w:p w14:paraId="64AFF551" w14:textId="77777777" w:rsidR="003D502A" w:rsidRPr="00084CD2" w:rsidRDefault="003D502A" w:rsidP="000F35DD">
      <w:pPr>
        <w:spacing w:after="0" w:line="360" w:lineRule="auto"/>
        <w:contextualSpacing/>
        <w:jc w:val="both"/>
        <w:rPr>
          <w:rFonts w:ascii="Times New Roman" w:hAnsi="Times New Roman" w:cs="Times New Roman"/>
          <w:sz w:val="24"/>
          <w:szCs w:val="24"/>
        </w:rPr>
      </w:pPr>
    </w:p>
    <w:p w14:paraId="4D6320E2" w14:textId="7D02B135" w:rsidR="00DA2C0B" w:rsidRPr="00084CD2" w:rsidRDefault="007711C3"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b/>
          <w:bCs/>
          <w:sz w:val="24"/>
          <w:szCs w:val="24"/>
        </w:rPr>
        <w:t>Tabla</w:t>
      </w:r>
      <w:r w:rsidR="00DA2C0B" w:rsidRPr="00084CD2">
        <w:rPr>
          <w:rFonts w:ascii="Times New Roman" w:hAnsi="Times New Roman" w:cs="Times New Roman"/>
          <w:b/>
          <w:bCs/>
          <w:sz w:val="24"/>
          <w:szCs w:val="24"/>
        </w:rPr>
        <w:t xml:space="preserve"> 4.</w:t>
      </w:r>
      <w:r w:rsidR="00DA2C0B" w:rsidRPr="00084CD2">
        <w:rPr>
          <w:rFonts w:ascii="Times New Roman" w:hAnsi="Times New Roman" w:cs="Times New Roman"/>
          <w:sz w:val="24"/>
          <w:szCs w:val="24"/>
        </w:rPr>
        <w:t xml:space="preserve"> </w:t>
      </w:r>
      <w:r w:rsidR="005F2BFC" w:rsidRPr="00084CD2">
        <w:rPr>
          <w:rFonts w:ascii="Times New Roman" w:hAnsi="Times New Roman" w:cs="Times New Roman"/>
          <w:sz w:val="24"/>
          <w:szCs w:val="24"/>
        </w:rPr>
        <w:t>Test</w:t>
      </w:r>
      <w:r w:rsidR="00DA2C0B" w:rsidRPr="00084CD2">
        <w:rPr>
          <w:rFonts w:ascii="Times New Roman" w:hAnsi="Times New Roman" w:cs="Times New Roman"/>
          <w:sz w:val="24"/>
          <w:szCs w:val="24"/>
        </w:rPr>
        <w:t xml:space="preserve"> </w:t>
      </w:r>
      <w:proofErr w:type="spellStart"/>
      <w:r w:rsidR="00DA2C0B" w:rsidRPr="00084CD2">
        <w:rPr>
          <w:rFonts w:ascii="Times New Roman" w:hAnsi="Times New Roman" w:cs="Times New Roman"/>
          <w:sz w:val="24"/>
          <w:szCs w:val="24"/>
        </w:rPr>
        <w:t>Dickey</w:t>
      </w:r>
      <w:proofErr w:type="spellEnd"/>
      <w:r w:rsidR="00DA2C0B" w:rsidRPr="00084CD2">
        <w:rPr>
          <w:rFonts w:ascii="Times New Roman" w:hAnsi="Times New Roman" w:cs="Times New Roman"/>
          <w:sz w:val="24"/>
          <w:szCs w:val="24"/>
        </w:rPr>
        <w:t xml:space="preserve"> Fuller Aumentada (ADF)</w:t>
      </w:r>
      <w:r w:rsidR="00663BCD" w:rsidRPr="00084CD2">
        <w:rPr>
          <w:rFonts w:ascii="Times New Roman" w:hAnsi="Times New Roman" w:cs="Times New Roman"/>
          <w:sz w:val="24"/>
          <w:szCs w:val="24"/>
        </w:rPr>
        <w:t xml:space="preserve">, </w:t>
      </w:r>
      <w:r w:rsidR="00DA2C0B" w:rsidRPr="00084CD2">
        <w:rPr>
          <w:rFonts w:ascii="Times New Roman" w:hAnsi="Times New Roman" w:cs="Times New Roman"/>
          <w:sz w:val="24"/>
          <w:szCs w:val="24"/>
        </w:rPr>
        <w:t>serie INPC.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0"/>
        <w:gridCol w:w="1543"/>
        <w:gridCol w:w="1543"/>
        <w:gridCol w:w="1543"/>
        <w:gridCol w:w="1542"/>
        <w:gridCol w:w="957"/>
      </w:tblGrid>
      <w:tr w:rsidR="000814AA" w:rsidRPr="00084CD2" w14:paraId="4270EED4" w14:textId="77777777" w:rsidTr="00084CD2">
        <w:trPr>
          <w:trHeight w:val="300"/>
        </w:trPr>
        <w:tc>
          <w:tcPr>
            <w:tcW w:w="1030" w:type="pct"/>
            <w:hideMark/>
          </w:tcPr>
          <w:p w14:paraId="6EF14CA0"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Tipo</w:t>
            </w:r>
          </w:p>
        </w:tc>
        <w:tc>
          <w:tcPr>
            <w:tcW w:w="859" w:type="pct"/>
            <w:hideMark/>
          </w:tcPr>
          <w:p w14:paraId="3A157DC0"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Retardos</w:t>
            </w:r>
          </w:p>
        </w:tc>
        <w:tc>
          <w:tcPr>
            <w:tcW w:w="859" w:type="pct"/>
            <w:hideMark/>
          </w:tcPr>
          <w:p w14:paraId="658610AE"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Tau</w:t>
            </w:r>
          </w:p>
        </w:tc>
        <w:tc>
          <w:tcPr>
            <w:tcW w:w="859" w:type="pct"/>
            <w:hideMark/>
          </w:tcPr>
          <w:p w14:paraId="633ACC8F"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Pr &lt; Tau</w:t>
            </w:r>
          </w:p>
        </w:tc>
        <w:tc>
          <w:tcPr>
            <w:tcW w:w="859" w:type="pct"/>
            <w:hideMark/>
          </w:tcPr>
          <w:p w14:paraId="61C6729F"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F</w:t>
            </w:r>
          </w:p>
        </w:tc>
        <w:tc>
          <w:tcPr>
            <w:tcW w:w="533" w:type="pct"/>
            <w:hideMark/>
          </w:tcPr>
          <w:p w14:paraId="15283473"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Pr &gt; F</w:t>
            </w:r>
          </w:p>
        </w:tc>
      </w:tr>
      <w:tr w:rsidR="000814AA" w:rsidRPr="00084CD2" w14:paraId="48AEAB80" w14:textId="77777777" w:rsidTr="00084CD2">
        <w:trPr>
          <w:trHeight w:val="300"/>
        </w:trPr>
        <w:tc>
          <w:tcPr>
            <w:tcW w:w="1030" w:type="pct"/>
            <w:noWrap/>
            <w:hideMark/>
          </w:tcPr>
          <w:p w14:paraId="018706B3"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Media simple</w:t>
            </w:r>
          </w:p>
        </w:tc>
        <w:tc>
          <w:tcPr>
            <w:tcW w:w="859" w:type="pct"/>
            <w:hideMark/>
          </w:tcPr>
          <w:p w14:paraId="34189FAD"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w:t>
            </w:r>
          </w:p>
        </w:tc>
        <w:tc>
          <w:tcPr>
            <w:tcW w:w="859" w:type="pct"/>
            <w:noWrap/>
            <w:hideMark/>
          </w:tcPr>
          <w:p w14:paraId="2FB26E7D" w14:textId="20033CEE"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r w:rsidR="00FE17FA" w:rsidRPr="00084CD2">
              <w:rPr>
                <w:rFonts w:ascii="Times New Roman" w:eastAsia="Times New Roman" w:hAnsi="Times New Roman" w:cs="Times New Roman"/>
                <w:color w:val="000000"/>
                <w:sz w:val="24"/>
                <w:szCs w:val="24"/>
                <w:lang w:eastAsia="es-MX"/>
              </w:rPr>
              <w:t>1</w:t>
            </w:r>
            <w:r w:rsidRPr="00084CD2">
              <w:rPr>
                <w:rFonts w:ascii="Times New Roman" w:eastAsia="Times New Roman" w:hAnsi="Times New Roman" w:cs="Times New Roman"/>
                <w:color w:val="000000"/>
                <w:sz w:val="24"/>
                <w:szCs w:val="24"/>
                <w:lang w:eastAsia="es-MX"/>
              </w:rPr>
              <w:t>.</w:t>
            </w:r>
            <w:r w:rsidR="00FE17FA" w:rsidRPr="00084CD2">
              <w:rPr>
                <w:rFonts w:ascii="Times New Roman" w:eastAsia="Times New Roman" w:hAnsi="Times New Roman" w:cs="Times New Roman"/>
                <w:color w:val="000000"/>
                <w:sz w:val="24"/>
                <w:szCs w:val="24"/>
                <w:lang w:eastAsia="es-MX"/>
              </w:rPr>
              <w:t>77</w:t>
            </w:r>
          </w:p>
        </w:tc>
        <w:tc>
          <w:tcPr>
            <w:tcW w:w="859" w:type="pct"/>
            <w:hideMark/>
          </w:tcPr>
          <w:p w14:paraId="6B45910E"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59" w:type="pct"/>
          </w:tcPr>
          <w:p w14:paraId="66DAADE6" w14:textId="11066708" w:rsidR="000814AA" w:rsidRPr="00084CD2" w:rsidRDefault="00FE17F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69.27</w:t>
            </w:r>
          </w:p>
        </w:tc>
        <w:tc>
          <w:tcPr>
            <w:tcW w:w="533" w:type="pct"/>
            <w:hideMark/>
          </w:tcPr>
          <w:p w14:paraId="6E4E30AF"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0.001</w:t>
            </w:r>
          </w:p>
        </w:tc>
      </w:tr>
      <w:tr w:rsidR="000814AA" w:rsidRPr="00084CD2" w14:paraId="3AFC3C02" w14:textId="77777777" w:rsidTr="00084CD2">
        <w:trPr>
          <w:trHeight w:val="300"/>
        </w:trPr>
        <w:tc>
          <w:tcPr>
            <w:tcW w:w="1030" w:type="pct"/>
            <w:hideMark/>
          </w:tcPr>
          <w:p w14:paraId="6FF62623"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 </w:t>
            </w:r>
          </w:p>
        </w:tc>
        <w:tc>
          <w:tcPr>
            <w:tcW w:w="859" w:type="pct"/>
            <w:hideMark/>
          </w:tcPr>
          <w:p w14:paraId="51220859"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p>
        </w:tc>
        <w:tc>
          <w:tcPr>
            <w:tcW w:w="859" w:type="pct"/>
            <w:noWrap/>
            <w:hideMark/>
          </w:tcPr>
          <w:p w14:paraId="21A70D15" w14:textId="48FB3B8A"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w:t>
            </w:r>
            <w:r w:rsidR="00FE17FA" w:rsidRPr="00084CD2">
              <w:rPr>
                <w:rFonts w:ascii="Times New Roman" w:eastAsia="Times New Roman" w:hAnsi="Times New Roman" w:cs="Times New Roman"/>
                <w:color w:val="000000"/>
                <w:sz w:val="24"/>
                <w:szCs w:val="24"/>
                <w:lang w:eastAsia="es-MX"/>
              </w:rPr>
              <w:t>10.97</w:t>
            </w:r>
          </w:p>
        </w:tc>
        <w:tc>
          <w:tcPr>
            <w:tcW w:w="859" w:type="pct"/>
            <w:hideMark/>
          </w:tcPr>
          <w:p w14:paraId="20ADB4CC"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59" w:type="pct"/>
          </w:tcPr>
          <w:p w14:paraId="42FDCB9A" w14:textId="7AD6C4D0" w:rsidR="000814AA" w:rsidRPr="00084CD2" w:rsidRDefault="00FE17F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60.19</w:t>
            </w:r>
          </w:p>
        </w:tc>
        <w:tc>
          <w:tcPr>
            <w:tcW w:w="533" w:type="pct"/>
            <w:hideMark/>
          </w:tcPr>
          <w:p w14:paraId="1D78B674"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0.001</w:t>
            </w:r>
          </w:p>
        </w:tc>
      </w:tr>
      <w:tr w:rsidR="000814AA" w:rsidRPr="00084CD2" w14:paraId="7F0AAA45" w14:textId="77777777" w:rsidTr="00084CD2">
        <w:trPr>
          <w:trHeight w:val="300"/>
        </w:trPr>
        <w:tc>
          <w:tcPr>
            <w:tcW w:w="1030" w:type="pct"/>
            <w:hideMark/>
          </w:tcPr>
          <w:p w14:paraId="7996F795"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 </w:t>
            </w:r>
          </w:p>
        </w:tc>
        <w:tc>
          <w:tcPr>
            <w:tcW w:w="859" w:type="pct"/>
            <w:hideMark/>
          </w:tcPr>
          <w:p w14:paraId="2FA50DAF"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2</w:t>
            </w:r>
          </w:p>
        </w:tc>
        <w:tc>
          <w:tcPr>
            <w:tcW w:w="859" w:type="pct"/>
            <w:noWrap/>
            <w:hideMark/>
          </w:tcPr>
          <w:p w14:paraId="6A0AC478" w14:textId="3941F30E"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w:t>
            </w:r>
            <w:r w:rsidR="00FE17FA" w:rsidRPr="00084CD2">
              <w:rPr>
                <w:rFonts w:ascii="Times New Roman" w:eastAsia="Times New Roman" w:hAnsi="Times New Roman" w:cs="Times New Roman"/>
                <w:color w:val="000000"/>
                <w:sz w:val="24"/>
                <w:szCs w:val="24"/>
                <w:lang w:eastAsia="es-MX"/>
              </w:rPr>
              <w:t>9.39</w:t>
            </w:r>
          </w:p>
        </w:tc>
        <w:tc>
          <w:tcPr>
            <w:tcW w:w="859" w:type="pct"/>
            <w:hideMark/>
          </w:tcPr>
          <w:p w14:paraId="3A201DE4"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59" w:type="pct"/>
          </w:tcPr>
          <w:p w14:paraId="7D2775B0" w14:textId="7B1EDE83" w:rsidR="000814AA" w:rsidRPr="00084CD2" w:rsidRDefault="00FE17F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44.12</w:t>
            </w:r>
          </w:p>
        </w:tc>
        <w:tc>
          <w:tcPr>
            <w:tcW w:w="533" w:type="pct"/>
            <w:hideMark/>
          </w:tcPr>
          <w:p w14:paraId="6DDAD42D"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0.001</w:t>
            </w:r>
          </w:p>
        </w:tc>
      </w:tr>
      <w:tr w:rsidR="000814AA" w:rsidRPr="00084CD2" w14:paraId="254637D7" w14:textId="77777777" w:rsidTr="00084CD2">
        <w:trPr>
          <w:trHeight w:val="300"/>
        </w:trPr>
        <w:tc>
          <w:tcPr>
            <w:tcW w:w="1030" w:type="pct"/>
            <w:hideMark/>
          </w:tcPr>
          <w:p w14:paraId="573316DF"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Tendencia</w:t>
            </w:r>
          </w:p>
        </w:tc>
        <w:tc>
          <w:tcPr>
            <w:tcW w:w="859" w:type="pct"/>
            <w:hideMark/>
          </w:tcPr>
          <w:p w14:paraId="5E0141F3"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w:t>
            </w:r>
          </w:p>
        </w:tc>
        <w:tc>
          <w:tcPr>
            <w:tcW w:w="859" w:type="pct"/>
            <w:noWrap/>
            <w:hideMark/>
          </w:tcPr>
          <w:p w14:paraId="714BF86B" w14:textId="4D4879DD"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r w:rsidR="00FE17FA" w:rsidRPr="00084CD2">
              <w:rPr>
                <w:rFonts w:ascii="Times New Roman" w:eastAsia="Times New Roman" w:hAnsi="Times New Roman" w:cs="Times New Roman"/>
                <w:color w:val="000000"/>
                <w:sz w:val="24"/>
                <w:szCs w:val="24"/>
                <w:lang w:eastAsia="es-MX"/>
              </w:rPr>
              <w:t>1.95</w:t>
            </w:r>
          </w:p>
        </w:tc>
        <w:tc>
          <w:tcPr>
            <w:tcW w:w="859" w:type="pct"/>
            <w:hideMark/>
          </w:tcPr>
          <w:p w14:paraId="0A86055B"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59" w:type="pct"/>
          </w:tcPr>
          <w:p w14:paraId="52881780" w14:textId="4335374B" w:rsidR="000814AA" w:rsidRPr="00084CD2" w:rsidRDefault="00FE17F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69.02</w:t>
            </w:r>
          </w:p>
        </w:tc>
        <w:tc>
          <w:tcPr>
            <w:tcW w:w="533" w:type="pct"/>
            <w:hideMark/>
          </w:tcPr>
          <w:p w14:paraId="49FA601E"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0.001</w:t>
            </w:r>
          </w:p>
        </w:tc>
      </w:tr>
      <w:tr w:rsidR="000814AA" w:rsidRPr="00084CD2" w14:paraId="32F90CD5" w14:textId="77777777" w:rsidTr="00084CD2">
        <w:trPr>
          <w:trHeight w:val="300"/>
        </w:trPr>
        <w:tc>
          <w:tcPr>
            <w:tcW w:w="1030" w:type="pct"/>
            <w:hideMark/>
          </w:tcPr>
          <w:p w14:paraId="11D8FDE3"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 </w:t>
            </w:r>
          </w:p>
        </w:tc>
        <w:tc>
          <w:tcPr>
            <w:tcW w:w="859" w:type="pct"/>
            <w:hideMark/>
          </w:tcPr>
          <w:p w14:paraId="4C90AB94"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p>
        </w:tc>
        <w:tc>
          <w:tcPr>
            <w:tcW w:w="859" w:type="pct"/>
            <w:noWrap/>
            <w:hideMark/>
          </w:tcPr>
          <w:p w14:paraId="65133CDB" w14:textId="59E30582"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w:t>
            </w:r>
            <w:r w:rsidR="00FE17FA" w:rsidRPr="00084CD2">
              <w:rPr>
                <w:rFonts w:ascii="Times New Roman" w:eastAsia="Times New Roman" w:hAnsi="Times New Roman" w:cs="Times New Roman"/>
                <w:color w:val="000000"/>
                <w:sz w:val="24"/>
                <w:szCs w:val="24"/>
                <w:lang w:eastAsia="es-MX"/>
              </w:rPr>
              <w:t>10.95</w:t>
            </w:r>
          </w:p>
        </w:tc>
        <w:tc>
          <w:tcPr>
            <w:tcW w:w="859" w:type="pct"/>
            <w:hideMark/>
          </w:tcPr>
          <w:p w14:paraId="2E129392"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59" w:type="pct"/>
          </w:tcPr>
          <w:p w14:paraId="19B4251A" w14:textId="29F29B66" w:rsidR="000814AA" w:rsidRPr="00084CD2" w:rsidRDefault="00FE17F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59.98</w:t>
            </w:r>
          </w:p>
        </w:tc>
        <w:tc>
          <w:tcPr>
            <w:tcW w:w="533" w:type="pct"/>
            <w:hideMark/>
          </w:tcPr>
          <w:p w14:paraId="2F0020DA"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0.001</w:t>
            </w:r>
          </w:p>
        </w:tc>
      </w:tr>
      <w:tr w:rsidR="000814AA" w:rsidRPr="00084CD2" w14:paraId="2ED32030" w14:textId="77777777" w:rsidTr="00084CD2">
        <w:trPr>
          <w:trHeight w:val="300"/>
        </w:trPr>
        <w:tc>
          <w:tcPr>
            <w:tcW w:w="1030" w:type="pct"/>
            <w:hideMark/>
          </w:tcPr>
          <w:p w14:paraId="176E25B7" w14:textId="77777777" w:rsidR="000814AA" w:rsidRPr="00084CD2" w:rsidRDefault="000814AA" w:rsidP="000F35DD">
            <w:pPr>
              <w:spacing w:after="0" w:line="360" w:lineRule="auto"/>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 </w:t>
            </w:r>
          </w:p>
        </w:tc>
        <w:tc>
          <w:tcPr>
            <w:tcW w:w="859" w:type="pct"/>
            <w:hideMark/>
          </w:tcPr>
          <w:p w14:paraId="77A9AB41"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2</w:t>
            </w:r>
          </w:p>
        </w:tc>
        <w:tc>
          <w:tcPr>
            <w:tcW w:w="859" w:type="pct"/>
            <w:noWrap/>
            <w:hideMark/>
          </w:tcPr>
          <w:p w14:paraId="431BCB48" w14:textId="778D91CA"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w:t>
            </w:r>
            <w:r w:rsidR="00FE17FA" w:rsidRPr="00084CD2">
              <w:rPr>
                <w:rFonts w:ascii="Times New Roman" w:eastAsia="Times New Roman" w:hAnsi="Times New Roman" w:cs="Times New Roman"/>
                <w:color w:val="000000"/>
                <w:sz w:val="24"/>
                <w:szCs w:val="24"/>
                <w:lang w:eastAsia="es-MX"/>
              </w:rPr>
              <w:t>9.38</w:t>
            </w:r>
          </w:p>
        </w:tc>
        <w:tc>
          <w:tcPr>
            <w:tcW w:w="859" w:type="pct"/>
            <w:hideMark/>
          </w:tcPr>
          <w:p w14:paraId="1C526DF0"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59" w:type="pct"/>
          </w:tcPr>
          <w:p w14:paraId="21504F6E" w14:textId="7569A9BC" w:rsidR="000814AA" w:rsidRPr="00084CD2" w:rsidRDefault="00FE17F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43.96</w:t>
            </w:r>
          </w:p>
        </w:tc>
        <w:tc>
          <w:tcPr>
            <w:tcW w:w="533" w:type="pct"/>
            <w:hideMark/>
          </w:tcPr>
          <w:p w14:paraId="2103EE21" w14:textId="77777777" w:rsidR="000814AA" w:rsidRPr="00084CD2" w:rsidRDefault="000814AA" w:rsidP="000F35DD">
            <w:pPr>
              <w:spacing w:after="0" w:line="360" w:lineRule="auto"/>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0.001</w:t>
            </w:r>
          </w:p>
        </w:tc>
      </w:tr>
    </w:tbl>
    <w:p w14:paraId="1BC8E6FA" w14:textId="7B38B9C6" w:rsidR="007711C3" w:rsidRPr="00084CD2" w:rsidRDefault="007711C3"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 xml:space="preserve">Fuente: </w:t>
      </w:r>
      <w:r w:rsidR="000D732C" w:rsidRPr="00084CD2">
        <w:rPr>
          <w:rFonts w:ascii="Times New Roman" w:hAnsi="Times New Roman" w:cs="Times New Roman"/>
          <w:sz w:val="24"/>
          <w:szCs w:val="24"/>
        </w:rPr>
        <w:t>construcción</w:t>
      </w:r>
      <w:r w:rsidRPr="00084CD2">
        <w:rPr>
          <w:rFonts w:ascii="Times New Roman" w:hAnsi="Times New Roman" w:cs="Times New Roman"/>
          <w:sz w:val="24"/>
          <w:szCs w:val="24"/>
        </w:rPr>
        <w:t xml:space="preserve"> propia</w:t>
      </w:r>
    </w:p>
    <w:p w14:paraId="68F9076B" w14:textId="3ED23A56" w:rsidR="003F2832" w:rsidRPr="00084CD2" w:rsidRDefault="008F2535"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Los indicadores que permit</w:t>
      </w:r>
      <w:r w:rsidR="00D96CC5" w:rsidRPr="00084CD2">
        <w:rPr>
          <w:rFonts w:ascii="Times New Roman" w:hAnsi="Times New Roman" w:cs="Times New Roman"/>
          <w:sz w:val="24"/>
          <w:szCs w:val="24"/>
        </w:rPr>
        <w:t>iero</w:t>
      </w:r>
      <w:r w:rsidRPr="00084CD2">
        <w:rPr>
          <w:rFonts w:ascii="Times New Roman" w:hAnsi="Times New Roman" w:cs="Times New Roman"/>
          <w:sz w:val="24"/>
          <w:szCs w:val="24"/>
        </w:rPr>
        <w:t xml:space="preserve">n identificar la estructura temporal, mediante autocorrelaciones simples y parciales </w:t>
      </w:r>
      <w:r w:rsidR="007711C3" w:rsidRPr="00084CD2">
        <w:rPr>
          <w:rFonts w:ascii="Times New Roman" w:hAnsi="Times New Roman" w:cs="Times New Roman"/>
          <w:sz w:val="24"/>
          <w:szCs w:val="24"/>
        </w:rPr>
        <w:t>(ACF y PACF) de la serie diferenciada (d=12, D=12)</w:t>
      </w:r>
      <w:r w:rsidRPr="00084CD2">
        <w:rPr>
          <w:rFonts w:ascii="Times New Roman" w:hAnsi="Times New Roman" w:cs="Times New Roman"/>
          <w:sz w:val="24"/>
          <w:szCs w:val="24"/>
        </w:rPr>
        <w:t>,</w:t>
      </w:r>
      <w:r w:rsidR="007711C3" w:rsidRPr="00084CD2">
        <w:rPr>
          <w:rFonts w:ascii="Times New Roman" w:hAnsi="Times New Roman" w:cs="Times New Roman"/>
          <w:sz w:val="24"/>
          <w:szCs w:val="24"/>
        </w:rPr>
        <w:t xml:space="preserve"> evidencia</w:t>
      </w:r>
      <w:r w:rsidR="00D96CC5" w:rsidRPr="00084CD2">
        <w:rPr>
          <w:rFonts w:ascii="Times New Roman" w:hAnsi="Times New Roman" w:cs="Times New Roman"/>
          <w:sz w:val="24"/>
          <w:szCs w:val="24"/>
        </w:rPr>
        <w:t>ro</w:t>
      </w:r>
      <w:r w:rsidR="007711C3" w:rsidRPr="00084CD2">
        <w:rPr>
          <w:rFonts w:ascii="Times New Roman" w:hAnsi="Times New Roman" w:cs="Times New Roman"/>
          <w:sz w:val="24"/>
          <w:szCs w:val="24"/>
        </w:rPr>
        <w:t>n un patrón estacional recurrente cada 12 periodos (s=12). El análisis ADF en los rezagos 1, 3 y 12 confirm</w:t>
      </w:r>
      <w:r w:rsidR="007D6E89" w:rsidRPr="00084CD2">
        <w:rPr>
          <w:rFonts w:ascii="Times New Roman" w:hAnsi="Times New Roman" w:cs="Times New Roman"/>
          <w:sz w:val="24"/>
          <w:szCs w:val="24"/>
        </w:rPr>
        <w:t>ó</w:t>
      </w:r>
      <w:r w:rsidR="007711C3" w:rsidRPr="00084CD2">
        <w:rPr>
          <w:rFonts w:ascii="Times New Roman" w:hAnsi="Times New Roman" w:cs="Times New Roman"/>
          <w:sz w:val="24"/>
          <w:szCs w:val="24"/>
        </w:rPr>
        <w:t xml:space="preserve"> </w:t>
      </w:r>
      <w:r w:rsidR="00D96CC5" w:rsidRPr="00084CD2">
        <w:rPr>
          <w:rFonts w:ascii="Times New Roman" w:hAnsi="Times New Roman" w:cs="Times New Roman"/>
          <w:sz w:val="24"/>
          <w:szCs w:val="24"/>
        </w:rPr>
        <w:t xml:space="preserve">dicho </w:t>
      </w:r>
      <w:r w:rsidR="007711C3" w:rsidRPr="00084CD2">
        <w:rPr>
          <w:rFonts w:ascii="Times New Roman" w:hAnsi="Times New Roman" w:cs="Times New Roman"/>
          <w:sz w:val="24"/>
          <w:szCs w:val="24"/>
        </w:rPr>
        <w:t>comportamiento, identificándose una estructura autorregresiva (AR) y de media móvil (MA) en los re</w:t>
      </w:r>
      <w:r w:rsidR="007D6E89" w:rsidRPr="00084CD2">
        <w:rPr>
          <w:rFonts w:ascii="Times New Roman" w:hAnsi="Times New Roman" w:cs="Times New Roman"/>
          <w:sz w:val="24"/>
          <w:szCs w:val="24"/>
        </w:rPr>
        <w:t>zagos</w:t>
      </w:r>
      <w:r w:rsidR="007711C3" w:rsidRPr="00084CD2">
        <w:rPr>
          <w:rFonts w:ascii="Times New Roman" w:hAnsi="Times New Roman" w:cs="Times New Roman"/>
          <w:sz w:val="24"/>
          <w:szCs w:val="24"/>
        </w:rPr>
        <w:t xml:space="preserve"> 12 y 24. Este </w:t>
      </w:r>
      <w:r w:rsidR="00D96CC5" w:rsidRPr="00084CD2">
        <w:rPr>
          <w:rFonts w:ascii="Times New Roman" w:hAnsi="Times New Roman" w:cs="Times New Roman"/>
          <w:sz w:val="24"/>
          <w:szCs w:val="24"/>
        </w:rPr>
        <w:t xml:space="preserve">proceder </w:t>
      </w:r>
      <w:r w:rsidR="007711C3" w:rsidRPr="00084CD2">
        <w:rPr>
          <w:rFonts w:ascii="Times New Roman" w:hAnsi="Times New Roman" w:cs="Times New Roman"/>
          <w:sz w:val="24"/>
          <w:szCs w:val="24"/>
        </w:rPr>
        <w:t xml:space="preserve">sustentó la elección de un modelo SARIMA para describir la dinámica del </w:t>
      </w:r>
      <w:r w:rsidR="0003125C" w:rsidRPr="00084CD2">
        <w:rPr>
          <w:rFonts w:ascii="Times New Roman" w:hAnsi="Times New Roman" w:cs="Times New Roman"/>
          <w:sz w:val="24"/>
          <w:szCs w:val="24"/>
        </w:rPr>
        <w:t xml:space="preserve">indicador económico </w:t>
      </w:r>
      <w:r w:rsidR="007711C3" w:rsidRPr="00084CD2">
        <w:rPr>
          <w:rFonts w:ascii="Times New Roman" w:hAnsi="Times New Roman" w:cs="Times New Roman"/>
          <w:sz w:val="24"/>
          <w:szCs w:val="24"/>
        </w:rPr>
        <w:t xml:space="preserve">INPC </w:t>
      </w:r>
      <w:r w:rsidR="00564EBA" w:rsidRPr="00084CD2">
        <w:rPr>
          <w:rFonts w:ascii="Times New Roman" w:hAnsi="Times New Roman" w:cs="Times New Roman"/>
          <w:sz w:val="24"/>
          <w:szCs w:val="24"/>
        </w:rPr>
        <w:t>(Figura 2</w:t>
      </w:r>
      <w:r w:rsidR="006269BF" w:rsidRPr="00084CD2">
        <w:rPr>
          <w:rFonts w:ascii="Times New Roman" w:hAnsi="Times New Roman" w:cs="Times New Roman"/>
          <w:sz w:val="24"/>
          <w:szCs w:val="24"/>
        </w:rPr>
        <w:t>).</w:t>
      </w:r>
    </w:p>
    <w:p w14:paraId="3345D03E" w14:textId="77777777" w:rsidR="001E6E5B" w:rsidRPr="00084CD2" w:rsidRDefault="001E6E5B" w:rsidP="000F35DD">
      <w:pPr>
        <w:spacing w:after="0" w:line="360" w:lineRule="auto"/>
        <w:contextualSpacing/>
        <w:jc w:val="both"/>
        <w:rPr>
          <w:rFonts w:ascii="Times New Roman" w:hAnsi="Times New Roman" w:cs="Times New Roman"/>
          <w:sz w:val="24"/>
          <w:szCs w:val="24"/>
        </w:rPr>
      </w:pPr>
    </w:p>
    <w:p w14:paraId="3A7AF7AD" w14:textId="37CBF56D" w:rsidR="001E6E5B" w:rsidRPr="00084CD2" w:rsidRDefault="001E6E5B"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b/>
          <w:sz w:val="24"/>
          <w:szCs w:val="24"/>
        </w:rPr>
        <w:t xml:space="preserve">Figura 2. </w:t>
      </w:r>
      <w:proofErr w:type="spellStart"/>
      <w:r w:rsidR="00CB4814" w:rsidRPr="00084CD2">
        <w:rPr>
          <w:rFonts w:ascii="Times New Roman" w:hAnsi="Times New Roman" w:cs="Times New Roman"/>
          <w:bCs/>
          <w:sz w:val="24"/>
          <w:szCs w:val="24"/>
        </w:rPr>
        <w:t>Autocorrelograma</w:t>
      </w:r>
      <w:proofErr w:type="spellEnd"/>
      <w:r w:rsidR="00CB4814" w:rsidRPr="00084CD2">
        <w:rPr>
          <w:rFonts w:ascii="Times New Roman" w:hAnsi="Times New Roman" w:cs="Times New Roman"/>
          <w:bCs/>
          <w:sz w:val="24"/>
          <w:szCs w:val="24"/>
        </w:rPr>
        <w:t xml:space="preserve"> simple y parcial</w:t>
      </w:r>
      <w:r w:rsidRPr="00084CD2">
        <w:rPr>
          <w:rFonts w:ascii="Times New Roman" w:hAnsi="Times New Roman" w:cs="Times New Roman"/>
          <w:bCs/>
          <w:sz w:val="24"/>
          <w:szCs w:val="24"/>
        </w:rPr>
        <w:t xml:space="preserve"> para INPC </w:t>
      </w:r>
      <m:oMath>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p>
          <m:sSupPr>
            <m:ctrlPr>
              <w:rPr>
                <w:rFonts w:ascii="Cambria Math" w:hAnsi="Cambria Math"/>
                <w:bCs/>
                <w:i/>
                <w:sz w:val="24"/>
                <w:szCs w:val="24"/>
              </w:rPr>
            </m:ctrlPr>
          </m:sSupPr>
          <m:e>
            <m:d>
              <m:dPr>
                <m:ctrlPr>
                  <w:rPr>
                    <w:rFonts w:ascii="Cambria Math" w:hAnsi="Cambria Math"/>
                    <w:bCs/>
                    <w:i/>
                    <w:sz w:val="24"/>
                    <w:szCs w:val="24"/>
                  </w:rPr>
                </m:ctrlPr>
              </m:dPr>
              <m:e>
                <m:r>
                  <w:rPr>
                    <w:rFonts w:ascii="Cambria Math" w:hAnsi="Cambria Math"/>
                    <w:sz w:val="24"/>
                    <w:szCs w:val="24"/>
                  </w:rPr>
                  <m:t>1-B</m:t>
                </m:r>
              </m:e>
            </m:d>
          </m:e>
          <m:sup>
            <m:r>
              <w:rPr>
                <w:rFonts w:ascii="Cambria Math" w:hAnsi="Cambria Math"/>
                <w:sz w:val="24"/>
                <w:szCs w:val="24"/>
              </w:rPr>
              <m:t>d</m:t>
            </m:r>
          </m:sup>
        </m:sSup>
        <m:sSup>
          <m:sSupPr>
            <m:ctrlPr>
              <w:rPr>
                <w:rFonts w:ascii="Cambria Math" w:hAnsi="Cambria Math"/>
                <w:bCs/>
                <w:i/>
                <w:sz w:val="24"/>
                <w:szCs w:val="24"/>
              </w:rPr>
            </m:ctrlPr>
          </m:sSupPr>
          <m:e>
            <m:d>
              <m:dPr>
                <m:ctrlPr>
                  <w:rPr>
                    <w:rFonts w:ascii="Cambria Math" w:hAnsi="Cambria Math"/>
                    <w:bCs/>
                    <w:i/>
                    <w:sz w:val="24"/>
                    <w:szCs w:val="24"/>
                  </w:rPr>
                </m:ctrlPr>
              </m:dPr>
              <m:e>
                <m:r>
                  <w:rPr>
                    <w:rFonts w:ascii="Cambria Math" w:hAnsi="Cambria Math"/>
                    <w:sz w:val="24"/>
                    <w:szCs w:val="24"/>
                  </w:rPr>
                  <m:t>1-</m:t>
                </m:r>
                <m:sSup>
                  <m:sSupPr>
                    <m:ctrlPr>
                      <w:rPr>
                        <w:rFonts w:ascii="Cambria Math" w:hAnsi="Cambria Math"/>
                        <w:bCs/>
                        <w:i/>
                        <w:sz w:val="24"/>
                        <w:szCs w:val="24"/>
                      </w:rPr>
                    </m:ctrlPr>
                  </m:sSupPr>
                  <m:e>
                    <m:r>
                      <w:rPr>
                        <w:rFonts w:ascii="Cambria Math" w:hAnsi="Cambria Math"/>
                        <w:sz w:val="24"/>
                        <w:szCs w:val="24"/>
                      </w:rPr>
                      <m:t>B</m:t>
                    </m:r>
                  </m:e>
                  <m:sup>
                    <m:r>
                      <w:rPr>
                        <w:rFonts w:ascii="Cambria Math" w:hAnsi="Cambria Math"/>
                        <w:sz w:val="24"/>
                        <w:szCs w:val="24"/>
                      </w:rPr>
                      <m:t>s</m:t>
                    </m:r>
                  </m:sup>
                </m:sSup>
              </m:e>
            </m:d>
          </m:e>
          <m:sup>
            <m:r>
              <w:rPr>
                <w:rFonts w:ascii="Cambria Math" w:hAnsi="Cambria Math"/>
                <w:sz w:val="24"/>
                <w:szCs w:val="24"/>
              </w:rPr>
              <m:t>D</m:t>
            </m:r>
          </m:sup>
        </m:sSup>
      </m:oMath>
    </w:p>
    <w:p w14:paraId="3EAF9C19" w14:textId="4A3BDA8A" w:rsidR="00B243ED" w:rsidRPr="00084CD2" w:rsidRDefault="00DE7244"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noProof/>
          <w:sz w:val="24"/>
          <w:szCs w:val="24"/>
          <w:lang w:eastAsia="es-MX"/>
        </w:rPr>
        <w:drawing>
          <wp:inline distT="0" distB="0" distL="0" distR="0" wp14:anchorId="4E765C5A" wp14:editId="6813BBAD">
            <wp:extent cx="5596314" cy="1371600"/>
            <wp:effectExtent l="0" t="0" r="4445" b="0"/>
            <wp:docPr id="6" name="Imagen 6" descr="C:\Users\elektra\Documents\COLEGIO DE POSTGRADUADOS_2\5to cuatri\TAREA 8 ARTICULO FINAL - copia\Articulo phd agrociencias\Figuras phd a 300dpi_de acuerdo al correo recibido el 12-01-21\figura_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ktra\Documents\COLEGIO DE POSTGRADUADOS_2\5to cuatri\TAREA 8 ARTICULO FINAL - copia\Articulo phd agrociencias\Figuras phd a 300dpi_de acuerdo al correo recibido el 12-01-21\figura_2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488" cy="1376054"/>
                    </a:xfrm>
                    <a:prstGeom prst="rect">
                      <a:avLst/>
                    </a:prstGeom>
                    <a:noFill/>
                    <a:ln>
                      <a:noFill/>
                    </a:ln>
                  </pic:spPr>
                </pic:pic>
              </a:graphicData>
            </a:graphic>
          </wp:inline>
        </w:drawing>
      </w:r>
      <w:r w:rsidR="00CB4814" w:rsidRPr="00084CD2">
        <w:rPr>
          <w:rFonts w:ascii="Times New Roman" w:hAnsi="Times New Roman" w:cs="Times New Roman"/>
          <w:bCs/>
          <w:sz w:val="24"/>
          <w:szCs w:val="24"/>
        </w:rPr>
        <w:t xml:space="preserve">Nota: A) ACF, B) PACF. </w:t>
      </w:r>
      <w:r w:rsidR="001E6E5B" w:rsidRPr="00084CD2">
        <w:rPr>
          <w:rFonts w:ascii="Times New Roman" w:hAnsi="Times New Roman" w:cs="Times New Roman"/>
          <w:bCs/>
          <w:sz w:val="24"/>
          <w:szCs w:val="24"/>
        </w:rPr>
        <w:t>Fuente: construcción propia.</w:t>
      </w:r>
    </w:p>
    <w:p w14:paraId="72043D47" w14:textId="017D61CE" w:rsidR="000443C1" w:rsidRPr="00084CD2" w:rsidRDefault="0003125C"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En el procedimiento de especificación del modelo</w:t>
      </w:r>
      <w:r w:rsidR="00AE65F0" w:rsidRPr="00084CD2">
        <w:rPr>
          <w:rFonts w:ascii="Times New Roman" w:hAnsi="Times New Roman" w:cs="Times New Roman"/>
          <w:sz w:val="24"/>
          <w:szCs w:val="24"/>
        </w:rPr>
        <w:t>, se analizaron las funciones ACF y PACF para obtener un diagnóstico</w:t>
      </w:r>
      <w:r w:rsidRPr="00084CD2">
        <w:rPr>
          <w:rFonts w:ascii="Times New Roman" w:hAnsi="Times New Roman" w:cs="Times New Roman"/>
          <w:sz w:val="24"/>
          <w:szCs w:val="24"/>
        </w:rPr>
        <w:t xml:space="preserve"> gráfico</w:t>
      </w:r>
      <w:r w:rsidR="00AE65F0" w:rsidRPr="00084CD2">
        <w:rPr>
          <w:rFonts w:ascii="Times New Roman" w:hAnsi="Times New Roman" w:cs="Times New Roman"/>
          <w:sz w:val="24"/>
          <w:szCs w:val="24"/>
        </w:rPr>
        <w:t xml:space="preserve"> de</w:t>
      </w:r>
      <w:r w:rsidRPr="00084CD2">
        <w:rPr>
          <w:rFonts w:ascii="Times New Roman" w:hAnsi="Times New Roman" w:cs="Times New Roman"/>
          <w:sz w:val="24"/>
          <w:szCs w:val="24"/>
        </w:rPr>
        <w:t>l comportamiento de</w:t>
      </w:r>
      <w:r w:rsidR="00AE65F0" w:rsidRPr="00084CD2">
        <w:rPr>
          <w:rFonts w:ascii="Times New Roman" w:hAnsi="Times New Roman" w:cs="Times New Roman"/>
          <w:sz w:val="24"/>
          <w:szCs w:val="24"/>
        </w:rPr>
        <w:t xml:space="preserve"> la serie, identificando únicamente tres rezagos estadísticamente significativos según las pruebas de ruido blanco. Se estimaron diversas combinaciones de términos AR y MA (p, q), así como </w:t>
      </w:r>
      <w:r w:rsidR="00AE65F0" w:rsidRPr="00084CD2">
        <w:rPr>
          <w:rFonts w:ascii="Times New Roman" w:hAnsi="Times New Roman" w:cs="Times New Roman"/>
          <w:sz w:val="24"/>
          <w:szCs w:val="24"/>
        </w:rPr>
        <w:lastRenderedPageBreak/>
        <w:t xml:space="preserve">sus </w:t>
      </w:r>
      <w:r w:rsidR="0020198E" w:rsidRPr="00084CD2">
        <w:rPr>
          <w:rFonts w:ascii="Times New Roman" w:hAnsi="Times New Roman" w:cs="Times New Roman"/>
          <w:sz w:val="24"/>
          <w:szCs w:val="24"/>
        </w:rPr>
        <w:t>elementos</w:t>
      </w:r>
      <w:r w:rsidR="00AE65F0" w:rsidRPr="00084CD2">
        <w:rPr>
          <w:rFonts w:ascii="Times New Roman" w:hAnsi="Times New Roman" w:cs="Times New Roman"/>
          <w:sz w:val="24"/>
          <w:szCs w:val="24"/>
        </w:rPr>
        <w:t xml:space="preserve"> estacionales SAR y SMA (P, Q), evaluando el ajuste mediante </w:t>
      </w:r>
      <w:r w:rsidR="00903F2F" w:rsidRPr="00084CD2">
        <w:rPr>
          <w:rFonts w:ascii="Times New Roman" w:hAnsi="Times New Roman" w:cs="Times New Roman"/>
          <w:sz w:val="24"/>
          <w:szCs w:val="24"/>
        </w:rPr>
        <w:t xml:space="preserve">selección y </w:t>
      </w:r>
      <w:r w:rsidR="00AE65F0" w:rsidRPr="00084CD2">
        <w:rPr>
          <w:rFonts w:ascii="Times New Roman" w:hAnsi="Times New Roman" w:cs="Times New Roman"/>
          <w:sz w:val="24"/>
          <w:szCs w:val="24"/>
        </w:rPr>
        <w:t xml:space="preserve">criterios de información AIC y SBC. El modelo con mejor desempeño fue </w:t>
      </w:r>
      <w:proofErr w:type="gramStart"/>
      <w:r w:rsidR="00AE65F0" w:rsidRPr="00084CD2">
        <w:rPr>
          <w:rFonts w:ascii="Times New Roman" w:hAnsi="Times New Roman" w:cs="Times New Roman"/>
          <w:sz w:val="24"/>
          <w:szCs w:val="24"/>
        </w:rPr>
        <w:t>SARIMA(</w:t>
      </w:r>
      <w:proofErr w:type="gramEnd"/>
      <w:r w:rsidR="00AE65F0" w:rsidRPr="00084CD2">
        <w:rPr>
          <w:rFonts w:ascii="Times New Roman" w:hAnsi="Times New Roman" w:cs="Times New Roman"/>
          <w:sz w:val="24"/>
          <w:szCs w:val="24"/>
        </w:rPr>
        <w:t>2,1,0)(0,1,1)</w:t>
      </w:r>
      <w:r w:rsidR="00AE65F0" w:rsidRPr="00084CD2">
        <w:rPr>
          <w:rFonts w:ascii="Times New Roman" w:hAnsi="Times New Roman" w:cs="Times New Roman"/>
          <w:sz w:val="24"/>
          <w:szCs w:val="24"/>
          <w:vertAlign w:val="subscript"/>
        </w:rPr>
        <w:t>s=12</w:t>
      </w:r>
      <w:r w:rsidR="00AE65F0" w:rsidRPr="00084CD2">
        <w:rPr>
          <w:rFonts w:ascii="Times New Roman" w:hAnsi="Times New Roman" w:cs="Times New Roman"/>
          <w:sz w:val="24"/>
          <w:szCs w:val="24"/>
        </w:rPr>
        <w:t xml:space="preserve">, según se </w:t>
      </w:r>
      <w:r w:rsidR="00A056E1" w:rsidRPr="00084CD2">
        <w:rPr>
          <w:rFonts w:ascii="Times New Roman" w:hAnsi="Times New Roman" w:cs="Times New Roman"/>
          <w:sz w:val="24"/>
          <w:szCs w:val="24"/>
        </w:rPr>
        <w:t>revela</w:t>
      </w:r>
      <w:r w:rsidR="00AE65F0" w:rsidRPr="00084CD2">
        <w:rPr>
          <w:rFonts w:ascii="Times New Roman" w:hAnsi="Times New Roman" w:cs="Times New Roman"/>
          <w:sz w:val="24"/>
          <w:szCs w:val="24"/>
        </w:rPr>
        <w:t xml:space="preserve"> en Tabla 5.</w:t>
      </w:r>
    </w:p>
    <w:p w14:paraId="1A16B553" w14:textId="77777777" w:rsidR="00DE0769" w:rsidRPr="00084CD2" w:rsidRDefault="00DE0769" w:rsidP="000F35DD">
      <w:pPr>
        <w:spacing w:after="0" w:line="360" w:lineRule="auto"/>
        <w:contextualSpacing/>
        <w:jc w:val="both"/>
        <w:rPr>
          <w:rFonts w:ascii="Times New Roman" w:hAnsi="Times New Roman" w:cs="Times New Roman"/>
          <w:sz w:val="24"/>
          <w:szCs w:val="24"/>
        </w:rPr>
      </w:pPr>
    </w:p>
    <w:p w14:paraId="7436FF86" w14:textId="6B324003" w:rsidR="007B5F2E" w:rsidRPr="00084CD2" w:rsidRDefault="00AE65F0"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b/>
          <w:bCs/>
          <w:sz w:val="24"/>
          <w:szCs w:val="24"/>
        </w:rPr>
        <w:t>Tabla</w:t>
      </w:r>
      <w:r w:rsidR="007B5F2E" w:rsidRPr="00084CD2">
        <w:rPr>
          <w:rFonts w:ascii="Times New Roman" w:hAnsi="Times New Roman" w:cs="Times New Roman"/>
          <w:b/>
          <w:bCs/>
          <w:sz w:val="24"/>
          <w:szCs w:val="24"/>
        </w:rPr>
        <w:t xml:space="preserve"> 5.</w:t>
      </w:r>
      <w:r w:rsidR="007B5F2E" w:rsidRPr="00084CD2">
        <w:rPr>
          <w:rFonts w:ascii="Times New Roman" w:hAnsi="Times New Roman" w:cs="Times New Roman"/>
          <w:sz w:val="24"/>
          <w:szCs w:val="24"/>
        </w:rPr>
        <w:t xml:space="preserve"> </w:t>
      </w:r>
      <w:r w:rsidR="00A056E1" w:rsidRPr="00084CD2">
        <w:rPr>
          <w:rFonts w:ascii="Times New Roman" w:hAnsi="Times New Roman" w:cs="Times New Roman"/>
          <w:sz w:val="24"/>
          <w:szCs w:val="24"/>
        </w:rPr>
        <w:t>Cálculo</w:t>
      </w:r>
      <w:r w:rsidR="00ED569A" w:rsidRPr="00084CD2">
        <w:rPr>
          <w:rFonts w:ascii="Times New Roman" w:hAnsi="Times New Roman" w:cs="Times New Roman"/>
          <w:sz w:val="24"/>
          <w:szCs w:val="24"/>
        </w:rPr>
        <w:t xml:space="preserve"> </w:t>
      </w:r>
      <w:r w:rsidR="007B5F2E" w:rsidRPr="00084CD2">
        <w:rPr>
          <w:rFonts w:ascii="Times New Roman" w:hAnsi="Times New Roman" w:cs="Times New Roman"/>
          <w:sz w:val="24"/>
          <w:szCs w:val="24"/>
        </w:rPr>
        <w:t>de los mejores modelos SARIMA identificados.</w:t>
      </w:r>
    </w:p>
    <w:tbl>
      <w:tblPr>
        <w:tblStyle w:val="Tablaconcuadrcula"/>
        <w:tblW w:w="5000" w:type="pct"/>
        <w:tblLook w:val="04A0" w:firstRow="1" w:lastRow="0" w:firstColumn="1" w:lastColumn="0" w:noHBand="0" w:noVBand="1"/>
      </w:tblPr>
      <w:tblGrid>
        <w:gridCol w:w="2022"/>
        <w:gridCol w:w="1102"/>
        <w:gridCol w:w="1142"/>
        <w:gridCol w:w="257"/>
        <w:gridCol w:w="1003"/>
        <w:gridCol w:w="1097"/>
        <w:gridCol w:w="235"/>
        <w:gridCol w:w="1070"/>
        <w:gridCol w:w="1126"/>
      </w:tblGrid>
      <w:tr w:rsidR="00103EA0" w:rsidRPr="00084CD2" w14:paraId="537B6203" w14:textId="77777777" w:rsidTr="00084CD2">
        <w:tc>
          <w:tcPr>
            <w:tcW w:w="1116" w:type="pct"/>
            <w:vMerge w:val="restart"/>
          </w:tcPr>
          <w:p w14:paraId="7CF5B7BB" w14:textId="77777777" w:rsidR="00103EA0" w:rsidRPr="00084CD2" w:rsidRDefault="00103EA0" w:rsidP="000F35DD">
            <w:pPr>
              <w:spacing w:line="360" w:lineRule="auto"/>
              <w:contextualSpacing/>
              <w:jc w:val="center"/>
              <w:rPr>
                <w:rFonts w:ascii="Times New Roman" w:hAnsi="Times New Roman" w:cs="Times New Roman"/>
                <w:sz w:val="24"/>
                <w:szCs w:val="24"/>
              </w:rPr>
            </w:pPr>
          </w:p>
          <w:p w14:paraId="79966B1B"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SARIMA</w:t>
            </w:r>
            <w:r w:rsidR="00FD07F0" w:rsidRPr="00084CD2">
              <w:rPr>
                <w:rFonts w:ascii="Times New Roman" w:hAnsi="Times New Roman" w:cs="Times New Roman"/>
                <w:sz w:val="24"/>
                <w:szCs w:val="24"/>
                <w:vertAlign w:val="superscript"/>
              </w:rPr>
              <w:t>†</w:t>
            </w:r>
          </w:p>
        </w:tc>
        <w:tc>
          <w:tcPr>
            <w:tcW w:w="1238" w:type="pct"/>
            <w:gridSpan w:val="2"/>
          </w:tcPr>
          <w:p w14:paraId="1A97D37C"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Parte ordinal</w:t>
            </w:r>
          </w:p>
        </w:tc>
        <w:tc>
          <w:tcPr>
            <w:tcW w:w="142" w:type="pct"/>
          </w:tcPr>
          <w:p w14:paraId="4D990C72" w14:textId="77777777" w:rsidR="00103EA0" w:rsidRPr="00084CD2" w:rsidRDefault="00103EA0" w:rsidP="000F35DD">
            <w:pPr>
              <w:spacing w:line="360" w:lineRule="auto"/>
              <w:contextualSpacing/>
              <w:jc w:val="center"/>
              <w:rPr>
                <w:rFonts w:ascii="Times New Roman" w:hAnsi="Times New Roman" w:cs="Times New Roman"/>
                <w:sz w:val="24"/>
                <w:szCs w:val="24"/>
              </w:rPr>
            </w:pPr>
          </w:p>
        </w:tc>
        <w:tc>
          <w:tcPr>
            <w:tcW w:w="1160" w:type="pct"/>
            <w:gridSpan w:val="2"/>
          </w:tcPr>
          <w:p w14:paraId="037F4770"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Parte estacional</w:t>
            </w:r>
          </w:p>
        </w:tc>
        <w:tc>
          <w:tcPr>
            <w:tcW w:w="130" w:type="pct"/>
          </w:tcPr>
          <w:p w14:paraId="44E434E1" w14:textId="77777777" w:rsidR="00103EA0" w:rsidRPr="00084CD2" w:rsidRDefault="00103EA0" w:rsidP="000F35DD">
            <w:pPr>
              <w:spacing w:line="360" w:lineRule="auto"/>
              <w:contextualSpacing/>
              <w:jc w:val="center"/>
              <w:rPr>
                <w:rFonts w:ascii="Times New Roman" w:hAnsi="Times New Roman" w:cs="Times New Roman"/>
                <w:sz w:val="24"/>
                <w:szCs w:val="24"/>
              </w:rPr>
            </w:pPr>
          </w:p>
        </w:tc>
        <w:tc>
          <w:tcPr>
            <w:tcW w:w="591" w:type="pct"/>
            <w:vMerge w:val="restart"/>
          </w:tcPr>
          <w:p w14:paraId="01CD877D" w14:textId="77777777" w:rsidR="00103EA0" w:rsidRPr="00084CD2" w:rsidRDefault="00103EA0" w:rsidP="000F35DD">
            <w:pPr>
              <w:spacing w:line="360" w:lineRule="auto"/>
              <w:contextualSpacing/>
              <w:jc w:val="center"/>
              <w:rPr>
                <w:rFonts w:ascii="Times New Roman" w:hAnsi="Times New Roman" w:cs="Times New Roman"/>
                <w:sz w:val="24"/>
                <w:szCs w:val="24"/>
              </w:rPr>
            </w:pPr>
          </w:p>
          <w:p w14:paraId="44D38187"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SBC</w:t>
            </w:r>
            <w:r w:rsidR="00B2135C" w:rsidRPr="00084CD2">
              <w:rPr>
                <w:rFonts w:ascii="Times New Roman" w:hAnsi="Times New Roman" w:cs="Times New Roman"/>
                <w:sz w:val="24"/>
                <w:szCs w:val="24"/>
                <w:vertAlign w:val="superscript"/>
              </w:rPr>
              <w:t>¶</w:t>
            </w:r>
          </w:p>
        </w:tc>
        <w:tc>
          <w:tcPr>
            <w:tcW w:w="622" w:type="pct"/>
            <w:vMerge w:val="restart"/>
          </w:tcPr>
          <w:p w14:paraId="011CFDF4" w14:textId="77777777" w:rsidR="00103EA0" w:rsidRPr="00084CD2" w:rsidRDefault="00103EA0" w:rsidP="000F35DD">
            <w:pPr>
              <w:spacing w:line="360" w:lineRule="auto"/>
              <w:contextualSpacing/>
              <w:jc w:val="center"/>
              <w:rPr>
                <w:rFonts w:ascii="Times New Roman" w:hAnsi="Times New Roman" w:cs="Times New Roman"/>
                <w:sz w:val="24"/>
                <w:szCs w:val="24"/>
              </w:rPr>
            </w:pPr>
          </w:p>
          <w:p w14:paraId="50471EF4"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AIC</w:t>
            </w:r>
            <w:r w:rsidR="005D387D" w:rsidRPr="00084CD2">
              <w:rPr>
                <w:rFonts w:ascii="Times New Roman" w:hAnsi="Times New Roman" w:cs="Times New Roman"/>
                <w:sz w:val="24"/>
                <w:szCs w:val="24"/>
                <w:vertAlign w:val="superscript"/>
              </w:rPr>
              <w:t>Þ</w:t>
            </w:r>
          </w:p>
        </w:tc>
      </w:tr>
      <w:tr w:rsidR="00103EA0" w:rsidRPr="00084CD2" w14:paraId="20F09E8A" w14:textId="77777777" w:rsidTr="00084CD2">
        <w:tc>
          <w:tcPr>
            <w:tcW w:w="1116" w:type="pct"/>
            <w:vMerge/>
          </w:tcPr>
          <w:p w14:paraId="3F6BFD8F" w14:textId="77777777" w:rsidR="00103EA0" w:rsidRPr="00084CD2" w:rsidRDefault="00103EA0" w:rsidP="000F35DD">
            <w:pPr>
              <w:spacing w:line="360" w:lineRule="auto"/>
              <w:contextualSpacing/>
              <w:jc w:val="center"/>
              <w:rPr>
                <w:rFonts w:ascii="Times New Roman" w:hAnsi="Times New Roman" w:cs="Times New Roman"/>
                <w:sz w:val="24"/>
                <w:szCs w:val="24"/>
              </w:rPr>
            </w:pPr>
          </w:p>
        </w:tc>
        <w:tc>
          <w:tcPr>
            <w:tcW w:w="608" w:type="pct"/>
          </w:tcPr>
          <w:p w14:paraId="2CEB2314"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AR</w:t>
            </w:r>
            <w:r w:rsidR="00FD07F0" w:rsidRPr="00084CD2">
              <w:rPr>
                <w:rFonts w:ascii="Times New Roman" w:hAnsi="Times New Roman" w:cs="Times New Roman"/>
                <w:sz w:val="24"/>
                <w:szCs w:val="24"/>
                <w:vertAlign w:val="superscript"/>
              </w:rPr>
              <w:t>§</w:t>
            </w:r>
            <w:r w:rsidRPr="00084CD2">
              <w:rPr>
                <w:rFonts w:ascii="Times New Roman" w:hAnsi="Times New Roman" w:cs="Times New Roman"/>
                <w:sz w:val="24"/>
                <w:szCs w:val="24"/>
              </w:rPr>
              <w:t>(p)</w:t>
            </w:r>
          </w:p>
        </w:tc>
        <w:tc>
          <w:tcPr>
            <w:tcW w:w="630" w:type="pct"/>
          </w:tcPr>
          <w:p w14:paraId="53AD7EB8"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MA</w:t>
            </w:r>
            <w:r w:rsidR="000D1CF2" w:rsidRPr="00084CD2">
              <w:rPr>
                <w:rFonts w:ascii="Times New Roman" w:hAnsi="Times New Roman" w:cs="Times New Roman"/>
                <w:sz w:val="24"/>
                <w:szCs w:val="24"/>
                <w:vertAlign w:val="superscript"/>
              </w:rPr>
              <w:t>¤</w:t>
            </w:r>
            <w:r w:rsidRPr="00084CD2">
              <w:rPr>
                <w:rFonts w:ascii="Times New Roman" w:hAnsi="Times New Roman" w:cs="Times New Roman"/>
                <w:sz w:val="24"/>
                <w:szCs w:val="24"/>
              </w:rPr>
              <w:t>(q)</w:t>
            </w:r>
          </w:p>
        </w:tc>
        <w:tc>
          <w:tcPr>
            <w:tcW w:w="142" w:type="pct"/>
          </w:tcPr>
          <w:p w14:paraId="41E34B7C" w14:textId="77777777" w:rsidR="00103EA0" w:rsidRPr="00084CD2" w:rsidRDefault="00103EA0" w:rsidP="000F35DD">
            <w:pPr>
              <w:spacing w:line="360" w:lineRule="auto"/>
              <w:contextualSpacing/>
              <w:jc w:val="center"/>
              <w:rPr>
                <w:rFonts w:ascii="Times New Roman" w:hAnsi="Times New Roman" w:cs="Times New Roman"/>
                <w:sz w:val="24"/>
                <w:szCs w:val="24"/>
              </w:rPr>
            </w:pPr>
          </w:p>
        </w:tc>
        <w:tc>
          <w:tcPr>
            <w:tcW w:w="554" w:type="pct"/>
          </w:tcPr>
          <w:p w14:paraId="47D3AA70"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AR</w:t>
            </w:r>
            <w:r w:rsidR="00FD07F0" w:rsidRPr="00084CD2">
              <w:rPr>
                <w:rFonts w:ascii="Times New Roman" w:hAnsi="Times New Roman" w:cs="Times New Roman"/>
                <w:sz w:val="24"/>
                <w:szCs w:val="24"/>
                <w:vertAlign w:val="superscript"/>
              </w:rPr>
              <w:t>§§</w:t>
            </w:r>
            <w:r w:rsidRPr="00084CD2">
              <w:rPr>
                <w:rFonts w:ascii="Times New Roman" w:hAnsi="Times New Roman" w:cs="Times New Roman"/>
                <w:sz w:val="24"/>
                <w:szCs w:val="24"/>
              </w:rPr>
              <w:t>(P)</w:t>
            </w:r>
          </w:p>
        </w:tc>
        <w:tc>
          <w:tcPr>
            <w:tcW w:w="606" w:type="pct"/>
          </w:tcPr>
          <w:p w14:paraId="1E3E7517" w14:textId="77777777" w:rsidR="00103EA0"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MA</w:t>
            </w:r>
            <w:r w:rsidR="000D1CF2" w:rsidRPr="00084CD2">
              <w:rPr>
                <w:rFonts w:ascii="Times New Roman" w:hAnsi="Times New Roman" w:cs="Times New Roman"/>
                <w:sz w:val="24"/>
                <w:szCs w:val="24"/>
                <w:vertAlign w:val="superscript"/>
              </w:rPr>
              <w:t>¤¤</w:t>
            </w:r>
            <w:r w:rsidR="000D1CF2" w:rsidRPr="00084CD2">
              <w:rPr>
                <w:rFonts w:ascii="Times New Roman" w:hAnsi="Times New Roman" w:cs="Times New Roman"/>
                <w:sz w:val="24"/>
                <w:szCs w:val="24"/>
              </w:rPr>
              <w:t xml:space="preserve"> </w:t>
            </w:r>
            <w:r w:rsidRPr="00084CD2">
              <w:rPr>
                <w:rFonts w:ascii="Times New Roman" w:hAnsi="Times New Roman" w:cs="Times New Roman"/>
                <w:sz w:val="24"/>
                <w:szCs w:val="24"/>
              </w:rPr>
              <w:t>(Q)</w:t>
            </w:r>
          </w:p>
        </w:tc>
        <w:tc>
          <w:tcPr>
            <w:tcW w:w="130" w:type="pct"/>
          </w:tcPr>
          <w:p w14:paraId="5D1EA422" w14:textId="77777777" w:rsidR="00103EA0" w:rsidRPr="00084CD2" w:rsidRDefault="00103EA0" w:rsidP="000F35DD">
            <w:pPr>
              <w:spacing w:line="360" w:lineRule="auto"/>
              <w:contextualSpacing/>
              <w:jc w:val="center"/>
              <w:rPr>
                <w:rFonts w:ascii="Times New Roman" w:hAnsi="Times New Roman" w:cs="Times New Roman"/>
                <w:sz w:val="24"/>
                <w:szCs w:val="24"/>
              </w:rPr>
            </w:pPr>
          </w:p>
        </w:tc>
        <w:tc>
          <w:tcPr>
            <w:tcW w:w="591" w:type="pct"/>
            <w:vMerge/>
          </w:tcPr>
          <w:p w14:paraId="7B8B8FB4" w14:textId="77777777" w:rsidR="00103EA0" w:rsidRPr="00084CD2" w:rsidRDefault="00103EA0" w:rsidP="000F35DD">
            <w:pPr>
              <w:spacing w:line="360" w:lineRule="auto"/>
              <w:contextualSpacing/>
              <w:jc w:val="center"/>
              <w:rPr>
                <w:rFonts w:ascii="Times New Roman" w:hAnsi="Times New Roman" w:cs="Times New Roman"/>
                <w:sz w:val="24"/>
                <w:szCs w:val="24"/>
              </w:rPr>
            </w:pPr>
          </w:p>
        </w:tc>
        <w:tc>
          <w:tcPr>
            <w:tcW w:w="622" w:type="pct"/>
            <w:vMerge/>
          </w:tcPr>
          <w:p w14:paraId="3414E70D" w14:textId="77777777" w:rsidR="00103EA0" w:rsidRPr="00084CD2" w:rsidRDefault="00103EA0" w:rsidP="000F35DD">
            <w:pPr>
              <w:spacing w:line="360" w:lineRule="auto"/>
              <w:contextualSpacing/>
              <w:jc w:val="center"/>
              <w:rPr>
                <w:rFonts w:ascii="Times New Roman" w:hAnsi="Times New Roman" w:cs="Times New Roman"/>
                <w:sz w:val="24"/>
                <w:szCs w:val="24"/>
              </w:rPr>
            </w:pPr>
          </w:p>
        </w:tc>
      </w:tr>
      <w:tr w:rsidR="00A720E2" w:rsidRPr="00084CD2" w14:paraId="41E59AB4" w14:textId="77777777" w:rsidTr="00084CD2">
        <w:tc>
          <w:tcPr>
            <w:tcW w:w="1116" w:type="pct"/>
          </w:tcPr>
          <w:p w14:paraId="49FECC2E" w14:textId="77777777" w:rsidR="007B5F2E" w:rsidRPr="00084CD2" w:rsidRDefault="007B5F2E" w:rsidP="000F35DD">
            <w:pPr>
              <w:spacing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 (2,1,</w:t>
            </w:r>
            <w:proofErr w:type="gramStart"/>
            <w:r w:rsidRPr="00084CD2">
              <w:rPr>
                <w:rFonts w:ascii="Times New Roman" w:hAnsi="Times New Roman" w:cs="Times New Roman"/>
                <w:sz w:val="24"/>
                <w:szCs w:val="24"/>
              </w:rPr>
              <w:t>0)X</w:t>
            </w:r>
            <w:proofErr w:type="gramEnd"/>
            <w:r w:rsidRPr="00084CD2">
              <w:rPr>
                <w:rFonts w:ascii="Times New Roman" w:hAnsi="Times New Roman" w:cs="Times New Roman"/>
                <w:sz w:val="24"/>
                <w:szCs w:val="24"/>
              </w:rPr>
              <w:t>(0,1,1)</w:t>
            </w:r>
            <w:r w:rsidRPr="00084CD2">
              <w:rPr>
                <w:rFonts w:ascii="Times New Roman" w:hAnsi="Times New Roman" w:cs="Times New Roman"/>
                <w:sz w:val="24"/>
                <w:szCs w:val="24"/>
                <w:vertAlign w:val="subscript"/>
              </w:rPr>
              <w:t>s=12</w:t>
            </w:r>
          </w:p>
        </w:tc>
        <w:tc>
          <w:tcPr>
            <w:tcW w:w="608" w:type="pct"/>
          </w:tcPr>
          <w:p w14:paraId="4EEBD574" w14:textId="3B40DA68" w:rsidR="007B5F2E"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0.</w:t>
            </w:r>
            <w:r w:rsidR="007C1F99" w:rsidRPr="00084CD2">
              <w:rPr>
                <w:rFonts w:ascii="Times New Roman" w:hAnsi="Times New Roman" w:cs="Times New Roman"/>
                <w:sz w:val="24"/>
                <w:szCs w:val="24"/>
              </w:rPr>
              <w:t>40245</w:t>
            </w:r>
          </w:p>
        </w:tc>
        <w:tc>
          <w:tcPr>
            <w:tcW w:w="630" w:type="pct"/>
          </w:tcPr>
          <w:p w14:paraId="4868ADB0" w14:textId="77777777" w:rsidR="007B5F2E" w:rsidRPr="00084CD2" w:rsidRDefault="00AE0B63"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p>
        </w:tc>
        <w:tc>
          <w:tcPr>
            <w:tcW w:w="142" w:type="pct"/>
          </w:tcPr>
          <w:p w14:paraId="72DC1E03" w14:textId="77777777" w:rsidR="007B5F2E" w:rsidRPr="00084CD2" w:rsidRDefault="007B5F2E" w:rsidP="000F35DD">
            <w:pPr>
              <w:spacing w:line="360" w:lineRule="auto"/>
              <w:contextualSpacing/>
              <w:jc w:val="center"/>
              <w:rPr>
                <w:rFonts w:ascii="Times New Roman" w:hAnsi="Times New Roman" w:cs="Times New Roman"/>
                <w:sz w:val="24"/>
                <w:szCs w:val="24"/>
              </w:rPr>
            </w:pPr>
          </w:p>
        </w:tc>
        <w:tc>
          <w:tcPr>
            <w:tcW w:w="554" w:type="pct"/>
          </w:tcPr>
          <w:p w14:paraId="01785A92" w14:textId="77777777" w:rsidR="007B5F2E" w:rsidRPr="00084CD2" w:rsidRDefault="00AE0B63"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p>
        </w:tc>
        <w:tc>
          <w:tcPr>
            <w:tcW w:w="606" w:type="pct"/>
          </w:tcPr>
          <w:p w14:paraId="013741B9" w14:textId="07B1EF8A" w:rsidR="007B5F2E" w:rsidRPr="00084CD2" w:rsidRDefault="00103EA0"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0.8</w:t>
            </w:r>
            <w:r w:rsidR="007C1F99" w:rsidRPr="00084CD2">
              <w:rPr>
                <w:rFonts w:ascii="Times New Roman" w:hAnsi="Times New Roman" w:cs="Times New Roman"/>
                <w:sz w:val="24"/>
                <w:szCs w:val="24"/>
              </w:rPr>
              <w:t>5100</w:t>
            </w:r>
          </w:p>
        </w:tc>
        <w:tc>
          <w:tcPr>
            <w:tcW w:w="130" w:type="pct"/>
          </w:tcPr>
          <w:p w14:paraId="3FE10FE7" w14:textId="77777777" w:rsidR="007B5F2E" w:rsidRPr="00084CD2" w:rsidRDefault="007B5F2E" w:rsidP="000F35DD">
            <w:pPr>
              <w:spacing w:line="360" w:lineRule="auto"/>
              <w:contextualSpacing/>
              <w:jc w:val="center"/>
              <w:rPr>
                <w:rFonts w:ascii="Times New Roman" w:hAnsi="Times New Roman" w:cs="Times New Roman"/>
                <w:sz w:val="24"/>
                <w:szCs w:val="24"/>
              </w:rPr>
            </w:pPr>
          </w:p>
        </w:tc>
        <w:tc>
          <w:tcPr>
            <w:tcW w:w="591" w:type="pct"/>
          </w:tcPr>
          <w:p w14:paraId="382BF103" w14:textId="29F6E74A" w:rsidR="007B5F2E" w:rsidRPr="00084CD2" w:rsidRDefault="007D0BC5"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r w:rsidR="007C1F99" w:rsidRPr="00084CD2">
              <w:rPr>
                <w:rFonts w:ascii="Times New Roman" w:hAnsi="Times New Roman" w:cs="Times New Roman"/>
                <w:sz w:val="24"/>
                <w:szCs w:val="24"/>
              </w:rPr>
              <w:t>2510.8</w:t>
            </w:r>
          </w:p>
        </w:tc>
        <w:tc>
          <w:tcPr>
            <w:tcW w:w="622" w:type="pct"/>
          </w:tcPr>
          <w:p w14:paraId="08C9D463" w14:textId="0F414DC0"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r w:rsidR="007C1F99" w:rsidRPr="00084CD2">
              <w:rPr>
                <w:rFonts w:ascii="Times New Roman" w:hAnsi="Times New Roman" w:cs="Times New Roman"/>
                <w:sz w:val="24"/>
                <w:szCs w:val="24"/>
              </w:rPr>
              <w:t>2521.7</w:t>
            </w:r>
          </w:p>
        </w:tc>
      </w:tr>
      <w:tr w:rsidR="00A720E2" w:rsidRPr="00084CD2" w14:paraId="25A51B46" w14:textId="77777777" w:rsidTr="00084CD2">
        <w:tc>
          <w:tcPr>
            <w:tcW w:w="1116" w:type="pct"/>
          </w:tcPr>
          <w:p w14:paraId="206CC2D6" w14:textId="77777777" w:rsidR="007B5F2E" w:rsidRPr="00084CD2" w:rsidRDefault="00A720E2" w:rsidP="000F35DD">
            <w:pPr>
              <w:spacing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rPr>
              <w:t>(1,1</w:t>
            </w:r>
            <w:r w:rsidR="00103EA0" w:rsidRPr="00084CD2">
              <w:rPr>
                <w:rFonts w:ascii="Times New Roman" w:hAnsi="Times New Roman" w:cs="Times New Roman"/>
                <w:sz w:val="24"/>
                <w:szCs w:val="24"/>
              </w:rPr>
              <w:t>,</w:t>
            </w:r>
            <w:proofErr w:type="gramStart"/>
            <w:r w:rsidR="00103EA0" w:rsidRPr="00084CD2">
              <w:rPr>
                <w:rFonts w:ascii="Times New Roman" w:hAnsi="Times New Roman" w:cs="Times New Roman"/>
                <w:sz w:val="24"/>
                <w:szCs w:val="24"/>
              </w:rPr>
              <w:t>0)X</w:t>
            </w:r>
            <w:proofErr w:type="gramEnd"/>
            <w:r w:rsidR="00103EA0" w:rsidRPr="00084CD2">
              <w:rPr>
                <w:rFonts w:ascii="Times New Roman" w:hAnsi="Times New Roman" w:cs="Times New Roman"/>
                <w:sz w:val="24"/>
                <w:szCs w:val="24"/>
              </w:rPr>
              <w:t>(2,0,0)</w:t>
            </w:r>
            <w:r w:rsidR="00103EA0" w:rsidRPr="00084CD2">
              <w:rPr>
                <w:rFonts w:ascii="Times New Roman" w:hAnsi="Times New Roman" w:cs="Times New Roman"/>
                <w:sz w:val="24"/>
                <w:szCs w:val="24"/>
                <w:vertAlign w:val="subscript"/>
              </w:rPr>
              <w:t>s=12</w:t>
            </w:r>
          </w:p>
        </w:tc>
        <w:tc>
          <w:tcPr>
            <w:tcW w:w="608" w:type="pct"/>
          </w:tcPr>
          <w:p w14:paraId="077B3E3F" w14:textId="70808C51"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0.4</w:t>
            </w:r>
            <w:r w:rsidR="002270DD" w:rsidRPr="00084CD2">
              <w:rPr>
                <w:rFonts w:ascii="Times New Roman" w:hAnsi="Times New Roman" w:cs="Times New Roman"/>
                <w:sz w:val="24"/>
                <w:szCs w:val="24"/>
              </w:rPr>
              <w:t>4757</w:t>
            </w:r>
          </w:p>
        </w:tc>
        <w:tc>
          <w:tcPr>
            <w:tcW w:w="630" w:type="pct"/>
          </w:tcPr>
          <w:p w14:paraId="1E0FBAB3" w14:textId="77777777" w:rsidR="007B5F2E" w:rsidRPr="00084CD2" w:rsidRDefault="00AE0B63"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p>
        </w:tc>
        <w:tc>
          <w:tcPr>
            <w:tcW w:w="142" w:type="pct"/>
          </w:tcPr>
          <w:p w14:paraId="5C7A2743" w14:textId="77777777" w:rsidR="007B5F2E" w:rsidRPr="00084CD2" w:rsidRDefault="007B5F2E" w:rsidP="000F35DD">
            <w:pPr>
              <w:spacing w:line="360" w:lineRule="auto"/>
              <w:contextualSpacing/>
              <w:jc w:val="center"/>
              <w:rPr>
                <w:rFonts w:ascii="Times New Roman" w:hAnsi="Times New Roman" w:cs="Times New Roman"/>
                <w:sz w:val="24"/>
                <w:szCs w:val="24"/>
              </w:rPr>
            </w:pPr>
          </w:p>
        </w:tc>
        <w:tc>
          <w:tcPr>
            <w:tcW w:w="554" w:type="pct"/>
          </w:tcPr>
          <w:p w14:paraId="5541250F" w14:textId="15E4D15A"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0.</w:t>
            </w:r>
            <w:r w:rsidR="002270DD" w:rsidRPr="00084CD2">
              <w:rPr>
                <w:rFonts w:ascii="Times New Roman" w:hAnsi="Times New Roman" w:cs="Times New Roman"/>
                <w:sz w:val="24"/>
                <w:szCs w:val="24"/>
              </w:rPr>
              <w:t>36204</w:t>
            </w:r>
          </w:p>
        </w:tc>
        <w:tc>
          <w:tcPr>
            <w:tcW w:w="606" w:type="pct"/>
          </w:tcPr>
          <w:p w14:paraId="3F37839F" w14:textId="77777777" w:rsidR="007B5F2E" w:rsidRPr="00084CD2" w:rsidRDefault="00AE0B63"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p>
        </w:tc>
        <w:tc>
          <w:tcPr>
            <w:tcW w:w="130" w:type="pct"/>
          </w:tcPr>
          <w:p w14:paraId="4FC13610" w14:textId="77777777" w:rsidR="007B5F2E" w:rsidRPr="00084CD2" w:rsidRDefault="007B5F2E" w:rsidP="000F35DD">
            <w:pPr>
              <w:spacing w:line="360" w:lineRule="auto"/>
              <w:contextualSpacing/>
              <w:jc w:val="center"/>
              <w:rPr>
                <w:rFonts w:ascii="Times New Roman" w:hAnsi="Times New Roman" w:cs="Times New Roman"/>
                <w:sz w:val="24"/>
                <w:szCs w:val="24"/>
              </w:rPr>
            </w:pPr>
          </w:p>
        </w:tc>
        <w:tc>
          <w:tcPr>
            <w:tcW w:w="591" w:type="pct"/>
          </w:tcPr>
          <w:p w14:paraId="4243F2B5" w14:textId="0013CB8B"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r w:rsidR="002270DD" w:rsidRPr="00084CD2">
              <w:rPr>
                <w:rFonts w:ascii="Times New Roman" w:hAnsi="Times New Roman" w:cs="Times New Roman"/>
                <w:sz w:val="24"/>
                <w:szCs w:val="24"/>
              </w:rPr>
              <w:t>2556</w:t>
            </w:r>
            <w:r w:rsidRPr="00084CD2">
              <w:rPr>
                <w:rFonts w:ascii="Times New Roman" w:hAnsi="Times New Roman" w:cs="Times New Roman"/>
                <w:sz w:val="24"/>
                <w:szCs w:val="24"/>
              </w:rPr>
              <w:t>.</w:t>
            </w:r>
            <w:r w:rsidR="002270DD" w:rsidRPr="00084CD2">
              <w:rPr>
                <w:rFonts w:ascii="Times New Roman" w:hAnsi="Times New Roman" w:cs="Times New Roman"/>
                <w:sz w:val="24"/>
                <w:szCs w:val="24"/>
              </w:rPr>
              <w:t>1</w:t>
            </w:r>
          </w:p>
        </w:tc>
        <w:tc>
          <w:tcPr>
            <w:tcW w:w="622" w:type="pct"/>
          </w:tcPr>
          <w:p w14:paraId="43C2DD00" w14:textId="57507012"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r w:rsidR="002270DD" w:rsidRPr="00084CD2">
              <w:rPr>
                <w:rFonts w:ascii="Times New Roman" w:hAnsi="Times New Roman" w:cs="Times New Roman"/>
                <w:sz w:val="24"/>
                <w:szCs w:val="24"/>
              </w:rPr>
              <w:t>2567.1</w:t>
            </w:r>
          </w:p>
        </w:tc>
      </w:tr>
      <w:tr w:rsidR="00A720E2" w:rsidRPr="00084CD2" w14:paraId="71EB4C8E" w14:textId="77777777" w:rsidTr="00084CD2">
        <w:tc>
          <w:tcPr>
            <w:tcW w:w="1116" w:type="pct"/>
          </w:tcPr>
          <w:p w14:paraId="4A1410D7" w14:textId="77777777" w:rsidR="007B5F2E" w:rsidRPr="00084CD2" w:rsidRDefault="00103EA0" w:rsidP="000F35DD">
            <w:pPr>
              <w:spacing w:line="360" w:lineRule="auto"/>
              <w:contextualSpacing/>
              <w:jc w:val="both"/>
              <w:rPr>
                <w:rFonts w:ascii="Times New Roman" w:hAnsi="Times New Roman" w:cs="Times New Roman"/>
                <w:sz w:val="24"/>
                <w:szCs w:val="24"/>
              </w:rPr>
            </w:pPr>
            <w:r w:rsidRPr="00084CD2">
              <w:rPr>
                <w:rFonts w:ascii="Times New Roman" w:hAnsi="Times New Roman" w:cs="Times New Roman"/>
                <w:sz w:val="24"/>
                <w:szCs w:val="24"/>
              </w:rPr>
              <w:t>(1,1,</w:t>
            </w:r>
            <w:proofErr w:type="gramStart"/>
            <w:r w:rsidRPr="00084CD2">
              <w:rPr>
                <w:rFonts w:ascii="Times New Roman" w:hAnsi="Times New Roman" w:cs="Times New Roman"/>
                <w:sz w:val="24"/>
                <w:szCs w:val="24"/>
              </w:rPr>
              <w:t>0)X</w:t>
            </w:r>
            <w:proofErr w:type="gramEnd"/>
            <w:r w:rsidRPr="00084CD2">
              <w:rPr>
                <w:rFonts w:ascii="Times New Roman" w:hAnsi="Times New Roman" w:cs="Times New Roman"/>
                <w:sz w:val="24"/>
                <w:szCs w:val="24"/>
              </w:rPr>
              <w:t>(0,1,1)</w:t>
            </w:r>
            <w:r w:rsidRPr="00084CD2">
              <w:rPr>
                <w:rFonts w:ascii="Times New Roman" w:hAnsi="Times New Roman" w:cs="Times New Roman"/>
                <w:sz w:val="24"/>
                <w:szCs w:val="24"/>
                <w:vertAlign w:val="subscript"/>
              </w:rPr>
              <w:t>s=12</w:t>
            </w:r>
          </w:p>
        </w:tc>
        <w:tc>
          <w:tcPr>
            <w:tcW w:w="608" w:type="pct"/>
          </w:tcPr>
          <w:p w14:paraId="7ED6DBB9" w14:textId="5544BB56"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0.3</w:t>
            </w:r>
            <w:r w:rsidR="002270DD" w:rsidRPr="00084CD2">
              <w:rPr>
                <w:rFonts w:ascii="Times New Roman" w:hAnsi="Times New Roman" w:cs="Times New Roman"/>
                <w:sz w:val="24"/>
                <w:szCs w:val="24"/>
              </w:rPr>
              <w:t>6676</w:t>
            </w:r>
          </w:p>
        </w:tc>
        <w:tc>
          <w:tcPr>
            <w:tcW w:w="630" w:type="pct"/>
          </w:tcPr>
          <w:p w14:paraId="13B83D53" w14:textId="77777777" w:rsidR="007B5F2E" w:rsidRPr="00084CD2" w:rsidRDefault="00AE0B63"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p>
        </w:tc>
        <w:tc>
          <w:tcPr>
            <w:tcW w:w="142" w:type="pct"/>
          </w:tcPr>
          <w:p w14:paraId="1E154909" w14:textId="77777777" w:rsidR="007B5F2E" w:rsidRPr="00084CD2" w:rsidRDefault="007B5F2E" w:rsidP="000F35DD">
            <w:pPr>
              <w:spacing w:line="360" w:lineRule="auto"/>
              <w:contextualSpacing/>
              <w:jc w:val="center"/>
              <w:rPr>
                <w:rFonts w:ascii="Times New Roman" w:hAnsi="Times New Roman" w:cs="Times New Roman"/>
                <w:sz w:val="24"/>
                <w:szCs w:val="24"/>
              </w:rPr>
            </w:pPr>
          </w:p>
        </w:tc>
        <w:tc>
          <w:tcPr>
            <w:tcW w:w="554" w:type="pct"/>
          </w:tcPr>
          <w:p w14:paraId="319F945E" w14:textId="77777777" w:rsidR="007B5F2E" w:rsidRPr="00084CD2" w:rsidRDefault="00AE0B63"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p>
        </w:tc>
        <w:tc>
          <w:tcPr>
            <w:tcW w:w="606" w:type="pct"/>
          </w:tcPr>
          <w:p w14:paraId="520BB988" w14:textId="60D77C46" w:rsidR="007B5F2E" w:rsidRPr="00084CD2" w:rsidRDefault="00A720E2"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0.8</w:t>
            </w:r>
            <w:r w:rsidR="002270DD" w:rsidRPr="00084CD2">
              <w:rPr>
                <w:rFonts w:ascii="Times New Roman" w:hAnsi="Times New Roman" w:cs="Times New Roman"/>
                <w:sz w:val="24"/>
                <w:szCs w:val="24"/>
              </w:rPr>
              <w:t>5187</w:t>
            </w:r>
          </w:p>
        </w:tc>
        <w:tc>
          <w:tcPr>
            <w:tcW w:w="130" w:type="pct"/>
          </w:tcPr>
          <w:p w14:paraId="26D97904" w14:textId="77777777" w:rsidR="007B5F2E" w:rsidRPr="00084CD2" w:rsidRDefault="007B5F2E" w:rsidP="000F35DD">
            <w:pPr>
              <w:spacing w:line="360" w:lineRule="auto"/>
              <w:contextualSpacing/>
              <w:jc w:val="center"/>
              <w:rPr>
                <w:rFonts w:ascii="Times New Roman" w:hAnsi="Times New Roman" w:cs="Times New Roman"/>
                <w:sz w:val="24"/>
                <w:szCs w:val="24"/>
              </w:rPr>
            </w:pPr>
          </w:p>
        </w:tc>
        <w:tc>
          <w:tcPr>
            <w:tcW w:w="591" w:type="pct"/>
          </w:tcPr>
          <w:p w14:paraId="0004436F" w14:textId="127435D1" w:rsidR="007B5F2E" w:rsidRPr="00084CD2" w:rsidRDefault="007D0BC5"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r w:rsidR="00035688" w:rsidRPr="00084CD2">
              <w:rPr>
                <w:rFonts w:ascii="Times New Roman" w:hAnsi="Times New Roman" w:cs="Times New Roman"/>
                <w:sz w:val="24"/>
                <w:szCs w:val="24"/>
              </w:rPr>
              <w:t>2513.9</w:t>
            </w:r>
          </w:p>
        </w:tc>
        <w:tc>
          <w:tcPr>
            <w:tcW w:w="622" w:type="pct"/>
          </w:tcPr>
          <w:p w14:paraId="3E9B968C" w14:textId="43E84876" w:rsidR="007B5F2E" w:rsidRPr="00084CD2" w:rsidRDefault="007D0BC5" w:rsidP="000F35DD">
            <w:pPr>
              <w:spacing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w:t>
            </w:r>
            <w:r w:rsidR="00035688" w:rsidRPr="00084CD2">
              <w:rPr>
                <w:rFonts w:ascii="Times New Roman" w:hAnsi="Times New Roman" w:cs="Times New Roman"/>
                <w:sz w:val="24"/>
                <w:szCs w:val="24"/>
              </w:rPr>
              <w:t>2521.1</w:t>
            </w:r>
          </w:p>
        </w:tc>
      </w:tr>
    </w:tbl>
    <w:p w14:paraId="65B97F88" w14:textId="753BB27A" w:rsidR="00565C2B" w:rsidRPr="00084CD2" w:rsidRDefault="00FD07F0"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vertAlign w:val="superscript"/>
        </w:rPr>
        <w:t>†</w:t>
      </w:r>
      <w:r w:rsidR="000D1CF2" w:rsidRPr="00084CD2">
        <w:rPr>
          <w:rFonts w:ascii="Times New Roman" w:hAnsi="Times New Roman" w:cs="Times New Roman"/>
          <w:sz w:val="24"/>
          <w:szCs w:val="24"/>
        </w:rPr>
        <w:t>SARIMA: e</w:t>
      </w:r>
      <w:r w:rsidRPr="00084CD2">
        <w:rPr>
          <w:rFonts w:ascii="Times New Roman" w:hAnsi="Times New Roman" w:cs="Times New Roman"/>
          <w:sz w:val="24"/>
          <w:szCs w:val="24"/>
        </w:rPr>
        <w:t xml:space="preserve">stacional autorregresivo integrado de media móvil, </w:t>
      </w:r>
      <w:r w:rsidRPr="00084CD2">
        <w:rPr>
          <w:rFonts w:ascii="Times New Roman" w:hAnsi="Times New Roman" w:cs="Times New Roman"/>
          <w:sz w:val="24"/>
          <w:szCs w:val="24"/>
          <w:vertAlign w:val="superscript"/>
        </w:rPr>
        <w:t>§</w:t>
      </w:r>
      <w:r w:rsidR="000D1CF2" w:rsidRPr="00084CD2">
        <w:rPr>
          <w:rFonts w:ascii="Times New Roman" w:hAnsi="Times New Roman" w:cs="Times New Roman"/>
          <w:sz w:val="24"/>
          <w:szCs w:val="24"/>
        </w:rPr>
        <w:t xml:space="preserve">AR: </w:t>
      </w:r>
      <w:r w:rsidRPr="00084CD2">
        <w:rPr>
          <w:rFonts w:ascii="Times New Roman" w:hAnsi="Times New Roman" w:cs="Times New Roman"/>
          <w:sz w:val="24"/>
          <w:szCs w:val="24"/>
        </w:rPr>
        <w:t>autorregresivo</w:t>
      </w:r>
      <w:r w:rsidR="001C21DC" w:rsidRPr="00084CD2">
        <w:rPr>
          <w:rFonts w:ascii="Times New Roman" w:hAnsi="Times New Roman" w:cs="Times New Roman"/>
          <w:sz w:val="24"/>
          <w:szCs w:val="24"/>
        </w:rPr>
        <w:t xml:space="preserve"> </w:t>
      </w:r>
      <w:r w:rsidR="00663BCD" w:rsidRPr="00084CD2">
        <w:rPr>
          <w:rFonts w:ascii="Times New Roman" w:hAnsi="Times New Roman" w:cs="Times New Roman"/>
          <w:sz w:val="24"/>
          <w:szCs w:val="24"/>
        </w:rPr>
        <w:t xml:space="preserve">de </w:t>
      </w:r>
      <w:r w:rsidRPr="00084CD2">
        <w:rPr>
          <w:rFonts w:ascii="Times New Roman" w:hAnsi="Times New Roman" w:cs="Times New Roman"/>
          <w:sz w:val="24"/>
          <w:szCs w:val="24"/>
        </w:rPr>
        <w:t>orden (p),</w:t>
      </w:r>
      <w:r w:rsidR="000D1CF2" w:rsidRPr="00084CD2">
        <w:rPr>
          <w:rFonts w:ascii="Times New Roman" w:hAnsi="Times New Roman" w:cs="Times New Roman"/>
          <w:sz w:val="24"/>
          <w:szCs w:val="24"/>
        </w:rPr>
        <w:t xml:space="preserve"> </w:t>
      </w:r>
      <w:r w:rsidR="000D1CF2" w:rsidRPr="00084CD2">
        <w:rPr>
          <w:rFonts w:ascii="Times New Roman" w:hAnsi="Times New Roman" w:cs="Times New Roman"/>
          <w:sz w:val="24"/>
          <w:szCs w:val="24"/>
          <w:vertAlign w:val="superscript"/>
        </w:rPr>
        <w:t>¤</w:t>
      </w:r>
      <w:r w:rsidR="000D1CF2" w:rsidRPr="00084CD2">
        <w:rPr>
          <w:rFonts w:ascii="Times New Roman" w:hAnsi="Times New Roman" w:cs="Times New Roman"/>
          <w:sz w:val="24"/>
          <w:szCs w:val="24"/>
        </w:rPr>
        <w:t xml:space="preserve">MA: media móvil </w:t>
      </w:r>
      <w:r w:rsidR="00663BCD" w:rsidRPr="00084CD2">
        <w:rPr>
          <w:rFonts w:ascii="Times New Roman" w:hAnsi="Times New Roman" w:cs="Times New Roman"/>
          <w:sz w:val="24"/>
          <w:szCs w:val="24"/>
        </w:rPr>
        <w:t xml:space="preserve">de </w:t>
      </w:r>
      <w:r w:rsidR="000D1CF2" w:rsidRPr="00084CD2">
        <w:rPr>
          <w:rFonts w:ascii="Times New Roman" w:hAnsi="Times New Roman" w:cs="Times New Roman"/>
          <w:sz w:val="24"/>
          <w:szCs w:val="24"/>
        </w:rPr>
        <w:t>orden (q),</w:t>
      </w:r>
      <w:r w:rsidRPr="00084CD2">
        <w:rPr>
          <w:rFonts w:ascii="Times New Roman" w:hAnsi="Times New Roman" w:cs="Times New Roman"/>
          <w:sz w:val="24"/>
          <w:szCs w:val="24"/>
        </w:rPr>
        <w:t xml:space="preserve"> </w:t>
      </w:r>
      <w:r w:rsidRPr="00084CD2">
        <w:rPr>
          <w:rFonts w:ascii="Times New Roman" w:hAnsi="Times New Roman" w:cs="Times New Roman"/>
          <w:sz w:val="24"/>
          <w:szCs w:val="24"/>
          <w:vertAlign w:val="superscript"/>
        </w:rPr>
        <w:t>§§</w:t>
      </w:r>
      <w:r w:rsidR="000D1CF2" w:rsidRPr="00084CD2">
        <w:rPr>
          <w:rFonts w:ascii="Times New Roman" w:hAnsi="Times New Roman" w:cs="Times New Roman"/>
          <w:sz w:val="24"/>
          <w:szCs w:val="24"/>
        </w:rPr>
        <w:t xml:space="preserve">AR: autorregresivo </w:t>
      </w:r>
      <w:r w:rsidR="001C21DC" w:rsidRPr="00084CD2">
        <w:rPr>
          <w:rFonts w:ascii="Times New Roman" w:hAnsi="Times New Roman" w:cs="Times New Roman"/>
          <w:sz w:val="24"/>
          <w:szCs w:val="24"/>
        </w:rPr>
        <w:t xml:space="preserve">estacional </w:t>
      </w:r>
      <w:r w:rsidR="000D1CF2" w:rsidRPr="00084CD2">
        <w:rPr>
          <w:rFonts w:ascii="Times New Roman" w:hAnsi="Times New Roman" w:cs="Times New Roman"/>
          <w:sz w:val="24"/>
          <w:szCs w:val="24"/>
        </w:rPr>
        <w:t xml:space="preserve">de orden (P), </w:t>
      </w:r>
      <w:r w:rsidR="000D1CF2" w:rsidRPr="00084CD2">
        <w:rPr>
          <w:rFonts w:ascii="Times New Roman" w:hAnsi="Times New Roman" w:cs="Times New Roman"/>
          <w:sz w:val="24"/>
          <w:szCs w:val="24"/>
          <w:vertAlign w:val="superscript"/>
        </w:rPr>
        <w:t>¤¤</w:t>
      </w:r>
      <w:r w:rsidR="000D1CF2" w:rsidRPr="00084CD2">
        <w:rPr>
          <w:rFonts w:ascii="Times New Roman" w:hAnsi="Times New Roman" w:cs="Times New Roman"/>
          <w:sz w:val="24"/>
          <w:szCs w:val="24"/>
        </w:rPr>
        <w:t>MA: media móvil</w:t>
      </w:r>
      <w:r w:rsidR="001C21DC" w:rsidRPr="00084CD2">
        <w:rPr>
          <w:rFonts w:ascii="Times New Roman" w:hAnsi="Times New Roman" w:cs="Times New Roman"/>
          <w:sz w:val="24"/>
          <w:szCs w:val="24"/>
        </w:rPr>
        <w:t xml:space="preserve"> </w:t>
      </w:r>
      <w:r w:rsidR="00663BCD" w:rsidRPr="00084CD2">
        <w:rPr>
          <w:rFonts w:ascii="Times New Roman" w:hAnsi="Times New Roman" w:cs="Times New Roman"/>
          <w:sz w:val="24"/>
          <w:szCs w:val="24"/>
        </w:rPr>
        <w:t xml:space="preserve">estacional de </w:t>
      </w:r>
      <w:r w:rsidR="000D1CF2" w:rsidRPr="00084CD2">
        <w:rPr>
          <w:rFonts w:ascii="Times New Roman" w:hAnsi="Times New Roman" w:cs="Times New Roman"/>
          <w:sz w:val="24"/>
          <w:szCs w:val="24"/>
        </w:rPr>
        <w:t>orden (Q)</w:t>
      </w:r>
      <w:r w:rsidR="005D387D" w:rsidRPr="00084CD2">
        <w:rPr>
          <w:rFonts w:ascii="Times New Roman" w:hAnsi="Times New Roman" w:cs="Times New Roman"/>
          <w:sz w:val="24"/>
          <w:szCs w:val="24"/>
        </w:rPr>
        <w:t xml:space="preserve">, </w:t>
      </w:r>
      <w:r w:rsidR="005D387D" w:rsidRPr="00084CD2">
        <w:rPr>
          <w:rFonts w:ascii="Times New Roman" w:hAnsi="Times New Roman" w:cs="Times New Roman"/>
          <w:sz w:val="24"/>
          <w:szCs w:val="24"/>
          <w:vertAlign w:val="superscript"/>
        </w:rPr>
        <w:t>¶</w:t>
      </w:r>
      <w:r w:rsidR="005D387D" w:rsidRPr="00084CD2">
        <w:rPr>
          <w:rFonts w:ascii="Times New Roman" w:hAnsi="Times New Roman" w:cs="Times New Roman"/>
          <w:sz w:val="24"/>
          <w:szCs w:val="24"/>
        </w:rPr>
        <w:t xml:space="preserve">SBC= criterio de información de Schwartz, </w:t>
      </w:r>
      <w:r w:rsidR="005D387D" w:rsidRPr="00084CD2">
        <w:rPr>
          <w:rFonts w:ascii="Times New Roman" w:hAnsi="Times New Roman" w:cs="Times New Roman"/>
          <w:sz w:val="24"/>
          <w:szCs w:val="24"/>
          <w:vertAlign w:val="superscript"/>
        </w:rPr>
        <w:t>Þ</w:t>
      </w:r>
      <w:r w:rsidR="005D387D" w:rsidRPr="00084CD2">
        <w:rPr>
          <w:rFonts w:ascii="Times New Roman" w:hAnsi="Times New Roman" w:cs="Times New Roman"/>
          <w:sz w:val="24"/>
          <w:szCs w:val="24"/>
        </w:rPr>
        <w:t>AIC: criterio de información de Akaike</w:t>
      </w:r>
      <w:r w:rsidR="000D1CF2" w:rsidRPr="00084CD2">
        <w:rPr>
          <w:rFonts w:ascii="Times New Roman" w:hAnsi="Times New Roman" w:cs="Times New Roman"/>
          <w:sz w:val="24"/>
          <w:szCs w:val="24"/>
        </w:rPr>
        <w:t xml:space="preserve">. </w:t>
      </w:r>
      <w:r w:rsidR="007D0BC5" w:rsidRPr="00084CD2">
        <w:rPr>
          <w:rFonts w:ascii="Times New Roman" w:hAnsi="Times New Roman" w:cs="Times New Roman"/>
          <w:sz w:val="24"/>
          <w:szCs w:val="24"/>
        </w:rPr>
        <w:t xml:space="preserve">Fuente: </w:t>
      </w:r>
      <w:r w:rsidR="0020198E" w:rsidRPr="00084CD2">
        <w:rPr>
          <w:rFonts w:ascii="Times New Roman" w:hAnsi="Times New Roman" w:cs="Times New Roman"/>
          <w:sz w:val="24"/>
          <w:szCs w:val="24"/>
        </w:rPr>
        <w:t xml:space="preserve">construcción propia con datos procesados en el software </w:t>
      </w:r>
      <w:r w:rsidR="00A97D94" w:rsidRPr="00084CD2">
        <w:rPr>
          <w:rFonts w:ascii="Times New Roman" w:hAnsi="Times New Roman" w:cs="Times New Roman"/>
          <w:sz w:val="24"/>
          <w:szCs w:val="24"/>
        </w:rPr>
        <w:t>SAS®</w:t>
      </w:r>
      <w:r w:rsidR="0020198E" w:rsidRPr="00084CD2">
        <w:rPr>
          <w:rFonts w:ascii="Times New Roman" w:hAnsi="Times New Roman" w:cs="Times New Roman"/>
          <w:sz w:val="24"/>
          <w:szCs w:val="24"/>
        </w:rPr>
        <w:t>.</w:t>
      </w:r>
    </w:p>
    <w:p w14:paraId="49E7B7FB" w14:textId="2AE09E12" w:rsidR="000D791F" w:rsidRPr="00084CD2" w:rsidRDefault="001C21DC"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Con </w:t>
      </w:r>
      <w:r w:rsidR="00BE2BDF" w:rsidRPr="00084CD2">
        <w:rPr>
          <w:rFonts w:ascii="Times New Roman" w:hAnsi="Times New Roman" w:cs="Times New Roman"/>
          <w:sz w:val="24"/>
          <w:szCs w:val="24"/>
        </w:rPr>
        <w:t xml:space="preserve">los </w:t>
      </w:r>
      <w:r w:rsidR="00663BCD" w:rsidRPr="00084CD2">
        <w:rPr>
          <w:rFonts w:ascii="Times New Roman" w:hAnsi="Times New Roman" w:cs="Times New Roman"/>
          <w:sz w:val="24"/>
          <w:szCs w:val="24"/>
        </w:rPr>
        <w:t xml:space="preserve">valores de los </w:t>
      </w:r>
      <w:r w:rsidR="00BE2BDF" w:rsidRPr="00084CD2">
        <w:rPr>
          <w:rFonts w:ascii="Times New Roman" w:hAnsi="Times New Roman" w:cs="Times New Roman"/>
          <w:sz w:val="24"/>
          <w:szCs w:val="24"/>
        </w:rPr>
        <w:t>parámetros</w:t>
      </w:r>
      <w:r w:rsidRPr="00084CD2">
        <w:rPr>
          <w:rFonts w:ascii="Times New Roman" w:hAnsi="Times New Roman" w:cs="Times New Roman"/>
          <w:sz w:val="24"/>
          <w:szCs w:val="24"/>
        </w:rPr>
        <w:t xml:space="preserve"> ya estimados</w:t>
      </w:r>
      <w:r w:rsidR="00BE2BDF" w:rsidRPr="00084CD2">
        <w:rPr>
          <w:rFonts w:ascii="Times New Roman" w:hAnsi="Times New Roman" w:cs="Times New Roman"/>
          <w:sz w:val="24"/>
          <w:szCs w:val="24"/>
        </w:rPr>
        <w:t xml:space="preserve">, se </w:t>
      </w:r>
      <w:r w:rsidR="00663BCD" w:rsidRPr="00084CD2">
        <w:rPr>
          <w:rFonts w:ascii="Times New Roman" w:hAnsi="Times New Roman" w:cs="Times New Roman"/>
          <w:sz w:val="24"/>
          <w:szCs w:val="24"/>
        </w:rPr>
        <w:t>aceptó</w:t>
      </w:r>
      <w:r w:rsidR="00BE2BDF" w:rsidRPr="00084CD2">
        <w:rPr>
          <w:rFonts w:ascii="Times New Roman" w:hAnsi="Times New Roman" w:cs="Times New Roman"/>
          <w:sz w:val="24"/>
          <w:szCs w:val="24"/>
        </w:rPr>
        <w:t xml:space="preserve"> el modelo </w:t>
      </w:r>
      <w:r w:rsidR="00BE2BDF" w:rsidRPr="00084CD2">
        <w:rPr>
          <w:rFonts w:ascii="Times New Roman" w:hAnsi="Times New Roman" w:cs="Times New Roman"/>
          <w:sz w:val="24"/>
          <w:szCs w:val="24"/>
          <w:lang w:val="es-ES"/>
        </w:rPr>
        <w:t>SARIMA</w:t>
      </w:r>
      <w:r w:rsidR="00BE2BDF" w:rsidRPr="00084CD2">
        <w:rPr>
          <w:rFonts w:ascii="Times New Roman" w:hAnsi="Times New Roman" w:cs="Times New Roman"/>
          <w:sz w:val="24"/>
          <w:szCs w:val="24"/>
        </w:rPr>
        <w:t>(2,1,</w:t>
      </w:r>
      <w:proofErr w:type="gramStart"/>
      <w:r w:rsidR="00BE2BDF" w:rsidRPr="00084CD2">
        <w:rPr>
          <w:rFonts w:ascii="Times New Roman" w:hAnsi="Times New Roman" w:cs="Times New Roman"/>
          <w:sz w:val="24"/>
          <w:szCs w:val="24"/>
        </w:rPr>
        <w:t>0)X</w:t>
      </w:r>
      <w:proofErr w:type="gramEnd"/>
      <w:r w:rsidR="00BE2BDF" w:rsidRPr="00084CD2">
        <w:rPr>
          <w:rFonts w:ascii="Times New Roman" w:hAnsi="Times New Roman" w:cs="Times New Roman"/>
          <w:sz w:val="24"/>
          <w:szCs w:val="24"/>
        </w:rPr>
        <w:t>(0,1,1)</w:t>
      </w:r>
      <w:r w:rsidR="00BE2BDF" w:rsidRPr="00084CD2">
        <w:rPr>
          <w:rFonts w:ascii="Times New Roman" w:hAnsi="Times New Roman" w:cs="Times New Roman"/>
          <w:sz w:val="24"/>
          <w:szCs w:val="24"/>
          <w:vertAlign w:val="subscript"/>
        </w:rPr>
        <w:t>s=12</w:t>
      </w:r>
      <w:r w:rsidR="00BE2BDF" w:rsidRPr="00084CD2">
        <w:rPr>
          <w:rFonts w:ascii="Times New Roman" w:hAnsi="Times New Roman" w:cs="Times New Roman"/>
          <w:sz w:val="24"/>
          <w:szCs w:val="24"/>
        </w:rPr>
        <w:t xml:space="preserve"> mediante el análisis de residuos. Los resultados confirmaron que estos son ruido blanco, es</w:t>
      </w:r>
      <w:r w:rsidR="007D6E89" w:rsidRPr="00084CD2">
        <w:rPr>
          <w:rFonts w:ascii="Times New Roman" w:hAnsi="Times New Roman" w:cs="Times New Roman"/>
          <w:sz w:val="24"/>
          <w:szCs w:val="24"/>
        </w:rPr>
        <w:t xml:space="preserve"> decir, </w:t>
      </w:r>
      <w:r w:rsidR="00BE2BDF" w:rsidRPr="00084CD2">
        <w:rPr>
          <w:rFonts w:ascii="Times New Roman" w:hAnsi="Times New Roman" w:cs="Times New Roman"/>
          <w:sz w:val="24"/>
          <w:szCs w:val="24"/>
        </w:rPr>
        <w:t xml:space="preserve">carecen de correlación, siguen una distribución aproximadamente normal y no presentan patrones detectables (son completamente aleatorios y no conservan dependencia temporal entre observaciones). La normalidad se evidenció en los gráficos de histograma y Q-Q, mientras que la ausencia de autocorrelación se verificó con las funciones ACF y PACF dentro de la banda de confianza </w:t>
      </w:r>
      <w:r w:rsidR="00282A4F" w:rsidRPr="00084CD2">
        <w:rPr>
          <w:rFonts w:ascii="Times New Roman" w:hAnsi="Times New Roman" w:cs="Times New Roman"/>
          <w:sz w:val="24"/>
          <w:szCs w:val="24"/>
          <w:lang w:val="es-ES"/>
        </w:rPr>
        <w:t>(Figura 3).</w:t>
      </w:r>
    </w:p>
    <w:p w14:paraId="1EE261A7" w14:textId="77777777" w:rsidR="000D791F" w:rsidRDefault="000D791F" w:rsidP="000F35DD">
      <w:pPr>
        <w:spacing w:after="0" w:line="360" w:lineRule="auto"/>
        <w:contextualSpacing/>
        <w:jc w:val="both"/>
        <w:rPr>
          <w:rFonts w:ascii="Times New Roman" w:hAnsi="Times New Roman" w:cs="Times New Roman"/>
          <w:sz w:val="24"/>
          <w:szCs w:val="24"/>
          <w:lang w:val="es-ES"/>
        </w:rPr>
      </w:pPr>
    </w:p>
    <w:p w14:paraId="1482132E"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29CD3BE5"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5467F78E"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59959A0D"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512EC945"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215308AC"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21489D5B" w14:textId="77777777" w:rsidR="00172A5A" w:rsidRDefault="00172A5A" w:rsidP="000F35DD">
      <w:pPr>
        <w:spacing w:after="0" w:line="360" w:lineRule="auto"/>
        <w:contextualSpacing/>
        <w:jc w:val="both"/>
        <w:rPr>
          <w:rFonts w:ascii="Times New Roman" w:hAnsi="Times New Roman" w:cs="Times New Roman"/>
          <w:sz w:val="24"/>
          <w:szCs w:val="24"/>
          <w:lang w:val="es-ES"/>
        </w:rPr>
      </w:pPr>
    </w:p>
    <w:p w14:paraId="3E966E9B" w14:textId="77777777" w:rsidR="00172A5A" w:rsidRPr="00084CD2" w:rsidRDefault="00172A5A" w:rsidP="000F35DD">
      <w:pPr>
        <w:spacing w:after="0" w:line="360" w:lineRule="auto"/>
        <w:contextualSpacing/>
        <w:jc w:val="both"/>
        <w:rPr>
          <w:rFonts w:ascii="Times New Roman" w:hAnsi="Times New Roman" w:cs="Times New Roman"/>
          <w:sz w:val="24"/>
          <w:szCs w:val="24"/>
          <w:lang w:val="es-ES"/>
        </w:rPr>
      </w:pPr>
    </w:p>
    <w:p w14:paraId="0084CA8E" w14:textId="2C9EF45B" w:rsidR="000D791F" w:rsidRPr="00084CD2" w:rsidRDefault="000D791F" w:rsidP="00084CD2">
      <w:pPr>
        <w:spacing w:after="0" w:line="360" w:lineRule="auto"/>
        <w:contextualSpacing/>
        <w:jc w:val="center"/>
        <w:rPr>
          <w:rFonts w:ascii="Times New Roman" w:hAnsi="Times New Roman" w:cs="Times New Roman"/>
          <w:b/>
          <w:sz w:val="24"/>
          <w:szCs w:val="24"/>
          <w:lang w:val="es-ES"/>
        </w:rPr>
      </w:pPr>
      <w:r w:rsidRPr="00084CD2">
        <w:rPr>
          <w:rFonts w:ascii="Times New Roman" w:hAnsi="Times New Roman" w:cs="Times New Roman"/>
          <w:b/>
          <w:sz w:val="24"/>
          <w:szCs w:val="24"/>
          <w:lang w:val="es-ES"/>
        </w:rPr>
        <w:lastRenderedPageBreak/>
        <w:t xml:space="preserve">Figura 3. </w:t>
      </w:r>
      <w:r w:rsidRPr="00084CD2">
        <w:rPr>
          <w:rFonts w:ascii="Times New Roman" w:hAnsi="Times New Roman" w:cs="Times New Roman"/>
          <w:bCs/>
          <w:sz w:val="24"/>
          <w:szCs w:val="24"/>
        </w:rPr>
        <w:t>Análisis de residuales</w:t>
      </w:r>
      <w:r w:rsidR="00CB4814" w:rsidRPr="00084CD2">
        <w:rPr>
          <w:rFonts w:ascii="Times New Roman" w:hAnsi="Times New Roman" w:cs="Times New Roman"/>
          <w:bCs/>
          <w:sz w:val="24"/>
          <w:szCs w:val="24"/>
        </w:rPr>
        <w:t xml:space="preserve">, </w:t>
      </w:r>
      <w:r w:rsidRPr="00084CD2">
        <w:rPr>
          <w:rFonts w:ascii="Times New Roman" w:hAnsi="Times New Roman" w:cs="Times New Roman"/>
          <w:bCs/>
          <w:sz w:val="24"/>
          <w:szCs w:val="24"/>
        </w:rPr>
        <w:t xml:space="preserve">calibración del modelo </w:t>
      </w:r>
      <w:r w:rsidRPr="00084CD2">
        <w:rPr>
          <w:rFonts w:ascii="Times New Roman" w:hAnsi="Times New Roman" w:cs="Times New Roman"/>
          <w:bCs/>
          <w:sz w:val="24"/>
          <w:szCs w:val="24"/>
          <w:lang w:val="es-ES"/>
        </w:rPr>
        <w:t>SARIMA</w:t>
      </w:r>
      <w:r w:rsidRPr="00084CD2">
        <w:rPr>
          <w:rFonts w:ascii="Times New Roman" w:hAnsi="Times New Roman" w:cs="Times New Roman"/>
          <w:bCs/>
          <w:sz w:val="24"/>
          <w:szCs w:val="24"/>
        </w:rPr>
        <w:t>(2,1,</w:t>
      </w:r>
      <w:proofErr w:type="gramStart"/>
      <w:r w:rsidRPr="00084CD2">
        <w:rPr>
          <w:rFonts w:ascii="Times New Roman" w:hAnsi="Times New Roman" w:cs="Times New Roman"/>
          <w:bCs/>
          <w:sz w:val="24"/>
          <w:szCs w:val="24"/>
        </w:rPr>
        <w:t>0)X</w:t>
      </w:r>
      <w:proofErr w:type="gramEnd"/>
      <w:r w:rsidRPr="00084CD2">
        <w:rPr>
          <w:rFonts w:ascii="Times New Roman" w:hAnsi="Times New Roman" w:cs="Times New Roman"/>
          <w:bCs/>
          <w:sz w:val="24"/>
          <w:szCs w:val="24"/>
        </w:rPr>
        <w:t>(0,1,1)</w:t>
      </w:r>
      <w:r w:rsidRPr="00084CD2">
        <w:rPr>
          <w:rFonts w:ascii="Times New Roman" w:hAnsi="Times New Roman" w:cs="Times New Roman"/>
          <w:bCs/>
          <w:sz w:val="24"/>
          <w:szCs w:val="24"/>
          <w:vertAlign w:val="subscript"/>
        </w:rPr>
        <w:t>s=12</w:t>
      </w:r>
      <w:r w:rsidR="00CB4814" w:rsidRPr="00084CD2">
        <w:rPr>
          <w:rFonts w:ascii="Times New Roman" w:hAnsi="Times New Roman" w:cs="Times New Roman"/>
          <w:bCs/>
          <w:sz w:val="24"/>
          <w:szCs w:val="24"/>
        </w:rPr>
        <w:t>.</w:t>
      </w:r>
    </w:p>
    <w:p w14:paraId="58A9E7BF" w14:textId="77777777" w:rsidR="00282A4F" w:rsidRPr="00084CD2" w:rsidRDefault="00DE7244" w:rsidP="000F35DD">
      <w:pPr>
        <w:spacing w:after="0" w:line="360" w:lineRule="auto"/>
        <w:contextualSpacing/>
        <w:jc w:val="both"/>
        <w:rPr>
          <w:rFonts w:ascii="Times New Roman" w:hAnsi="Times New Roman" w:cs="Times New Roman"/>
          <w:sz w:val="24"/>
          <w:szCs w:val="24"/>
        </w:rPr>
      </w:pPr>
      <w:r w:rsidRPr="00084CD2">
        <w:rPr>
          <w:rFonts w:ascii="Times New Roman" w:hAnsi="Times New Roman" w:cs="Times New Roman"/>
          <w:noProof/>
          <w:sz w:val="24"/>
          <w:szCs w:val="24"/>
          <w:lang w:eastAsia="es-MX"/>
        </w:rPr>
        <w:drawing>
          <wp:inline distT="0" distB="0" distL="0" distR="0" wp14:anchorId="0072CF5D" wp14:editId="32464BBE">
            <wp:extent cx="5596314" cy="3214780"/>
            <wp:effectExtent l="0" t="0" r="4445" b="5080"/>
            <wp:docPr id="7" name="Imagen 7" descr="C:\Users\elektra\Documents\COLEGIO DE POSTGRADUADOS_2\5to cuatri\TAREA 8 ARTICULO FINAL - copia\Articulo phd agrociencias\Figuras phd a 300dpi_de acuerdo al correo recibido el 12-01-21\figura_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ktra\Documents\COLEGIO DE POSTGRADUADOS_2\5to cuatri\TAREA 8 ARTICULO FINAL - copia\Articulo phd agrociencias\Figuras phd a 300dpi_de acuerdo al correo recibido el 12-01-21\figura_3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318" cy="3227995"/>
                    </a:xfrm>
                    <a:prstGeom prst="rect">
                      <a:avLst/>
                    </a:prstGeom>
                    <a:noFill/>
                    <a:ln>
                      <a:noFill/>
                    </a:ln>
                  </pic:spPr>
                </pic:pic>
              </a:graphicData>
            </a:graphic>
          </wp:inline>
        </w:drawing>
      </w:r>
    </w:p>
    <w:p w14:paraId="0B46A61F" w14:textId="16B9B2C2" w:rsidR="002E1929" w:rsidRPr="00084CD2" w:rsidRDefault="00CB4814" w:rsidP="00084CD2">
      <w:pPr>
        <w:spacing w:after="0" w:line="360" w:lineRule="auto"/>
        <w:contextualSpacing/>
        <w:jc w:val="center"/>
        <w:rPr>
          <w:rFonts w:ascii="Times New Roman" w:hAnsi="Times New Roman" w:cs="Times New Roman"/>
          <w:b/>
          <w:sz w:val="24"/>
          <w:szCs w:val="24"/>
          <w:lang w:val="es-ES"/>
        </w:rPr>
      </w:pPr>
      <w:r w:rsidRPr="00084CD2">
        <w:rPr>
          <w:rFonts w:ascii="Times New Roman" w:hAnsi="Times New Roman" w:cs="Times New Roman"/>
          <w:sz w:val="24"/>
          <w:szCs w:val="24"/>
          <w:lang w:val="es-ES"/>
        </w:rPr>
        <w:t xml:space="preserve">Nota: </w:t>
      </w:r>
      <w:r w:rsidRPr="00084CD2">
        <w:rPr>
          <w:rFonts w:ascii="Times New Roman" w:hAnsi="Times New Roman" w:cs="Times New Roman"/>
          <w:bCs/>
          <w:sz w:val="24"/>
          <w:szCs w:val="24"/>
        </w:rPr>
        <w:t xml:space="preserve">A) histograma B) esquema de cuantiles (Q-Q), C) ACF, D) PACF, E) </w:t>
      </w:r>
      <w:proofErr w:type="spellStart"/>
      <w:r w:rsidRPr="00084CD2">
        <w:rPr>
          <w:rFonts w:ascii="Times New Roman" w:hAnsi="Times New Roman" w:cs="Times New Roman"/>
          <w:bCs/>
          <w:sz w:val="24"/>
          <w:szCs w:val="24"/>
        </w:rPr>
        <w:t>autocorrelograma</w:t>
      </w:r>
      <w:proofErr w:type="spellEnd"/>
      <w:r w:rsidRPr="00084CD2">
        <w:rPr>
          <w:rFonts w:ascii="Times New Roman" w:hAnsi="Times New Roman" w:cs="Times New Roman"/>
          <w:bCs/>
          <w:sz w:val="24"/>
          <w:szCs w:val="24"/>
        </w:rPr>
        <w:t xml:space="preserve"> inverso de errores, F) ruido blanco en residuos.</w:t>
      </w:r>
      <w:r w:rsidRPr="00084CD2">
        <w:rPr>
          <w:rFonts w:ascii="Times New Roman" w:hAnsi="Times New Roman" w:cs="Times New Roman"/>
          <w:b/>
          <w:sz w:val="24"/>
          <w:szCs w:val="24"/>
        </w:rPr>
        <w:t xml:space="preserve"> </w:t>
      </w:r>
      <w:r w:rsidR="000D791F" w:rsidRPr="00084CD2">
        <w:rPr>
          <w:rFonts w:ascii="Times New Roman" w:hAnsi="Times New Roman" w:cs="Times New Roman"/>
          <w:sz w:val="24"/>
          <w:szCs w:val="24"/>
          <w:lang w:val="es-ES"/>
        </w:rPr>
        <w:t>Fuente: elaboración propia.</w:t>
      </w:r>
    </w:p>
    <w:p w14:paraId="305F974E" w14:textId="62478D08" w:rsidR="00937FDB" w:rsidRPr="00084CD2" w:rsidRDefault="00C07810" w:rsidP="00CB36E7">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Conforme a la metodología de Box-Jenkins y los criterios de significancia estadística, </w:t>
      </w:r>
      <w:r w:rsidR="00CB36E7" w:rsidRPr="00084CD2">
        <w:rPr>
          <w:rFonts w:ascii="Times New Roman" w:hAnsi="Times New Roman" w:cs="Times New Roman"/>
          <w:sz w:val="24"/>
          <w:szCs w:val="24"/>
        </w:rPr>
        <w:t>se considera</w:t>
      </w:r>
      <w:r w:rsidR="000B70CF" w:rsidRPr="00084CD2">
        <w:rPr>
          <w:rFonts w:ascii="Times New Roman" w:hAnsi="Times New Roman" w:cs="Times New Roman"/>
          <w:sz w:val="24"/>
          <w:szCs w:val="24"/>
        </w:rPr>
        <w:t>ro</w:t>
      </w:r>
      <w:r w:rsidR="00CB36E7" w:rsidRPr="00084CD2">
        <w:rPr>
          <w:rFonts w:ascii="Times New Roman" w:hAnsi="Times New Roman" w:cs="Times New Roman"/>
          <w:sz w:val="24"/>
          <w:szCs w:val="24"/>
        </w:rPr>
        <w:t>n relevantes los coeficientes cuyo estadístico t, en valor absoluto, exced</w:t>
      </w:r>
      <w:r w:rsidR="007D6E89" w:rsidRPr="00084CD2">
        <w:rPr>
          <w:rFonts w:ascii="Times New Roman" w:hAnsi="Times New Roman" w:cs="Times New Roman"/>
          <w:sz w:val="24"/>
          <w:szCs w:val="24"/>
        </w:rPr>
        <w:t>ió</w:t>
      </w:r>
      <w:r w:rsidR="00CB36E7" w:rsidRPr="00084CD2">
        <w:rPr>
          <w:rFonts w:ascii="Times New Roman" w:hAnsi="Times New Roman" w:cs="Times New Roman"/>
          <w:sz w:val="24"/>
          <w:szCs w:val="24"/>
        </w:rPr>
        <w:t xml:space="preserve"> el umbral de dos y cuyos </w:t>
      </w:r>
      <w:r w:rsidR="00CB36E7" w:rsidRPr="00084CD2">
        <w:rPr>
          <w:rFonts w:ascii="Times New Roman" w:hAnsi="Times New Roman" w:cs="Times New Roman"/>
          <w:i/>
          <w:iCs/>
          <w:sz w:val="24"/>
          <w:szCs w:val="24"/>
        </w:rPr>
        <w:t>p-valores</w:t>
      </w:r>
      <w:r w:rsidR="00CB36E7" w:rsidRPr="00084CD2">
        <w:rPr>
          <w:rFonts w:ascii="Times New Roman" w:hAnsi="Times New Roman" w:cs="Times New Roman"/>
          <w:sz w:val="24"/>
          <w:szCs w:val="24"/>
        </w:rPr>
        <w:t xml:space="preserve"> </w:t>
      </w:r>
      <w:r w:rsidR="00D96CC5" w:rsidRPr="00084CD2">
        <w:rPr>
          <w:rFonts w:ascii="Times New Roman" w:hAnsi="Times New Roman" w:cs="Times New Roman"/>
          <w:sz w:val="24"/>
          <w:szCs w:val="24"/>
        </w:rPr>
        <w:t>fueron</w:t>
      </w:r>
      <w:r w:rsidR="00CB36E7" w:rsidRPr="00084CD2">
        <w:rPr>
          <w:rFonts w:ascii="Times New Roman" w:hAnsi="Times New Roman" w:cs="Times New Roman"/>
          <w:sz w:val="24"/>
          <w:szCs w:val="24"/>
        </w:rPr>
        <w:t xml:space="preserve"> menores a 0.05. </w:t>
      </w:r>
      <w:r w:rsidR="00AE0DA4" w:rsidRPr="00084CD2">
        <w:rPr>
          <w:rFonts w:ascii="Times New Roman" w:hAnsi="Times New Roman" w:cs="Times New Roman"/>
          <w:sz w:val="24"/>
          <w:szCs w:val="24"/>
        </w:rPr>
        <w:t>Siendo así</w:t>
      </w:r>
      <w:r w:rsidRPr="00084CD2">
        <w:rPr>
          <w:rFonts w:ascii="Times New Roman" w:hAnsi="Times New Roman" w:cs="Times New Roman"/>
          <w:sz w:val="24"/>
          <w:szCs w:val="24"/>
        </w:rPr>
        <w:t xml:space="preserve">, el </w:t>
      </w:r>
      <w:r w:rsidR="00577688" w:rsidRPr="00084CD2">
        <w:rPr>
          <w:rFonts w:ascii="Times New Roman" w:hAnsi="Times New Roman" w:cs="Times New Roman"/>
          <w:sz w:val="24"/>
          <w:szCs w:val="24"/>
        </w:rPr>
        <w:t xml:space="preserve">enfoque </w:t>
      </w:r>
      <w:proofErr w:type="gramStart"/>
      <w:r w:rsidRPr="00084CD2">
        <w:rPr>
          <w:rFonts w:ascii="Times New Roman" w:hAnsi="Times New Roman" w:cs="Times New Roman"/>
          <w:sz w:val="24"/>
          <w:szCs w:val="24"/>
        </w:rPr>
        <w:t>SARIMA(</w:t>
      </w:r>
      <w:proofErr w:type="gramEnd"/>
      <w:r w:rsidRPr="00084CD2">
        <w:rPr>
          <w:rFonts w:ascii="Times New Roman" w:hAnsi="Times New Roman" w:cs="Times New Roman"/>
          <w:sz w:val="24"/>
          <w:szCs w:val="24"/>
        </w:rPr>
        <w:t>2,1,0)(0,1,1)</w:t>
      </w:r>
      <w:r w:rsidRPr="00084CD2">
        <w:rPr>
          <w:rFonts w:ascii="Times New Roman" w:hAnsi="Times New Roman" w:cs="Times New Roman"/>
          <w:sz w:val="24"/>
          <w:szCs w:val="24"/>
          <w:vertAlign w:val="subscript"/>
        </w:rPr>
        <w:t xml:space="preserve">s=12 </w:t>
      </w:r>
      <w:r w:rsidRPr="00084CD2">
        <w:rPr>
          <w:rFonts w:ascii="Times New Roman" w:hAnsi="Times New Roman" w:cs="Times New Roman"/>
          <w:sz w:val="24"/>
          <w:szCs w:val="24"/>
        </w:rPr>
        <w:t xml:space="preserve">se identificó como el más adecuado en comparación con las demás alternativas evaluadas </w:t>
      </w:r>
      <w:r w:rsidR="00937FDB" w:rsidRPr="00084CD2">
        <w:rPr>
          <w:rFonts w:ascii="Times New Roman" w:hAnsi="Times New Roman" w:cs="Times New Roman"/>
          <w:sz w:val="24"/>
          <w:szCs w:val="24"/>
        </w:rPr>
        <w:t>(</w:t>
      </w:r>
      <w:r w:rsidRPr="00084CD2">
        <w:rPr>
          <w:rFonts w:ascii="Times New Roman" w:hAnsi="Times New Roman" w:cs="Times New Roman"/>
          <w:sz w:val="24"/>
          <w:szCs w:val="24"/>
        </w:rPr>
        <w:t xml:space="preserve">Tabla </w:t>
      </w:r>
      <w:r w:rsidR="00937FDB" w:rsidRPr="00084CD2">
        <w:rPr>
          <w:rFonts w:ascii="Times New Roman" w:hAnsi="Times New Roman" w:cs="Times New Roman"/>
          <w:sz w:val="24"/>
          <w:szCs w:val="24"/>
        </w:rPr>
        <w:t>6).</w:t>
      </w:r>
      <w:r w:rsidR="00B86DAB" w:rsidRPr="00084CD2">
        <w:rPr>
          <w:rFonts w:ascii="Times New Roman" w:hAnsi="Times New Roman" w:cs="Times New Roman"/>
          <w:sz w:val="24"/>
          <w:szCs w:val="24"/>
        </w:rPr>
        <w:t xml:space="preserve"> </w:t>
      </w:r>
      <w:r w:rsidR="0003324E" w:rsidRPr="00084CD2">
        <w:rPr>
          <w:rFonts w:ascii="Times New Roman" w:hAnsi="Times New Roman" w:cs="Times New Roman"/>
          <w:sz w:val="24"/>
          <w:szCs w:val="24"/>
        </w:rPr>
        <w:t xml:space="preserve"> </w:t>
      </w:r>
    </w:p>
    <w:p w14:paraId="5E3C4CF9" w14:textId="77777777" w:rsidR="002B5ADF" w:rsidRPr="00084CD2" w:rsidRDefault="002B5ADF" w:rsidP="000F35DD">
      <w:pPr>
        <w:spacing w:after="0" w:line="360" w:lineRule="auto"/>
        <w:contextualSpacing/>
        <w:jc w:val="both"/>
        <w:rPr>
          <w:rFonts w:ascii="Times New Roman" w:hAnsi="Times New Roman" w:cs="Times New Roman"/>
          <w:sz w:val="24"/>
          <w:szCs w:val="24"/>
        </w:rPr>
      </w:pPr>
    </w:p>
    <w:p w14:paraId="4A61CACB" w14:textId="0E3AE411" w:rsidR="00035F1A" w:rsidRPr="00084CD2" w:rsidRDefault="00AE0DA4" w:rsidP="00084CD2">
      <w:pPr>
        <w:spacing w:after="0" w:line="360" w:lineRule="auto"/>
        <w:contextualSpacing/>
        <w:jc w:val="center"/>
        <w:rPr>
          <w:rFonts w:ascii="Times New Roman" w:hAnsi="Times New Roman" w:cs="Times New Roman"/>
          <w:b/>
          <w:sz w:val="24"/>
          <w:szCs w:val="24"/>
        </w:rPr>
      </w:pPr>
      <w:r w:rsidRPr="00084CD2">
        <w:rPr>
          <w:rFonts w:ascii="Times New Roman" w:hAnsi="Times New Roman" w:cs="Times New Roman"/>
          <w:b/>
          <w:sz w:val="24"/>
          <w:szCs w:val="24"/>
        </w:rPr>
        <w:t>Tabla</w:t>
      </w:r>
      <w:r w:rsidR="00035F1A" w:rsidRPr="00084CD2">
        <w:rPr>
          <w:rFonts w:ascii="Times New Roman" w:hAnsi="Times New Roman" w:cs="Times New Roman"/>
          <w:b/>
          <w:sz w:val="24"/>
          <w:szCs w:val="24"/>
        </w:rPr>
        <w:t xml:space="preserve"> 6. </w:t>
      </w:r>
      <w:r w:rsidR="00035F1A" w:rsidRPr="00084CD2">
        <w:rPr>
          <w:rFonts w:ascii="Times New Roman" w:hAnsi="Times New Roman" w:cs="Times New Roman"/>
          <w:bCs/>
          <w:sz w:val="24"/>
          <w:szCs w:val="24"/>
        </w:rPr>
        <w:t>Estimación del modelo</w:t>
      </w:r>
      <w:r w:rsidR="00EA022D" w:rsidRPr="00084CD2">
        <w:rPr>
          <w:rFonts w:ascii="Times New Roman" w:hAnsi="Times New Roman" w:cs="Times New Roman"/>
          <w:bCs/>
          <w:sz w:val="24"/>
          <w:szCs w:val="24"/>
        </w:rPr>
        <w:t xml:space="preserve"> mediante máxima verosimilitud, para la </w:t>
      </w:r>
      <w:r w:rsidR="00035F1A" w:rsidRPr="00084CD2">
        <w:rPr>
          <w:rFonts w:ascii="Times New Roman" w:hAnsi="Times New Roman" w:cs="Times New Roman"/>
          <w:bCs/>
          <w:sz w:val="24"/>
          <w:szCs w:val="24"/>
        </w:rPr>
        <w:t>serie del INPC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1496"/>
        <w:gridCol w:w="1506"/>
        <w:gridCol w:w="1496"/>
        <w:gridCol w:w="1494"/>
        <w:gridCol w:w="1490"/>
      </w:tblGrid>
      <w:tr w:rsidR="001F2D2C" w:rsidRPr="00084CD2" w14:paraId="3564A1AD" w14:textId="77777777" w:rsidTr="00084CD2">
        <w:trPr>
          <w:trHeight w:val="1114"/>
        </w:trPr>
        <w:tc>
          <w:tcPr>
            <w:tcW w:w="834" w:type="pct"/>
            <w:noWrap/>
            <w:vAlign w:val="bottom"/>
            <w:hideMark/>
          </w:tcPr>
          <w:p w14:paraId="24AD9B86"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Parámetro</w:t>
            </w:r>
          </w:p>
          <w:p w14:paraId="33342BFD" w14:textId="77777777" w:rsidR="00E06AD1" w:rsidRPr="00084CD2" w:rsidRDefault="00E06AD1"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7388473F"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4E2240E2"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834" w:type="pct"/>
            <w:noWrap/>
            <w:vAlign w:val="bottom"/>
            <w:hideMark/>
          </w:tcPr>
          <w:p w14:paraId="132007D4"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Estimador</w:t>
            </w:r>
          </w:p>
          <w:p w14:paraId="4ED90ECE" w14:textId="77777777" w:rsidR="00E06AD1" w:rsidRPr="00084CD2" w:rsidRDefault="00E06AD1"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7819D6EA"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1256C64C"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834" w:type="pct"/>
            <w:noWrap/>
            <w:vAlign w:val="bottom"/>
            <w:hideMark/>
          </w:tcPr>
          <w:p w14:paraId="26020BAE"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Error estándar</w:t>
            </w:r>
          </w:p>
          <w:p w14:paraId="3786E349" w14:textId="77777777" w:rsidR="00E06AD1" w:rsidRPr="00084CD2" w:rsidRDefault="00E06AD1"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4CCA2F86"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038E16E1"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834" w:type="pct"/>
            <w:noWrap/>
            <w:vAlign w:val="bottom"/>
            <w:hideMark/>
          </w:tcPr>
          <w:p w14:paraId="7D105821"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Valor t</w:t>
            </w:r>
          </w:p>
          <w:p w14:paraId="7711D223" w14:textId="77777777" w:rsidR="00E06AD1" w:rsidRPr="00084CD2" w:rsidRDefault="00E06AD1"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01B77524"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76159342"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tc>
        <w:tc>
          <w:tcPr>
            <w:tcW w:w="833" w:type="pct"/>
            <w:noWrap/>
            <w:vAlign w:val="bottom"/>
            <w:hideMark/>
          </w:tcPr>
          <w:p w14:paraId="34BF3920"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proofErr w:type="spellStart"/>
            <w:r w:rsidRPr="00084CD2">
              <w:rPr>
                <w:rFonts w:ascii="Times New Roman" w:eastAsia="Times New Roman" w:hAnsi="Times New Roman" w:cs="Times New Roman"/>
                <w:color w:val="000000"/>
                <w:sz w:val="24"/>
                <w:szCs w:val="24"/>
                <w:lang w:eastAsia="es-MX"/>
              </w:rPr>
              <w:t>Aprox</w:t>
            </w:r>
            <w:proofErr w:type="spellEnd"/>
          </w:p>
          <w:p w14:paraId="26FF4BA1"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Pr &gt; |t|</w:t>
            </w:r>
          </w:p>
          <w:p w14:paraId="2B053283"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016F88F6" w14:textId="77777777" w:rsidR="00E06AD1" w:rsidRPr="00084CD2" w:rsidRDefault="00E06AD1" w:rsidP="000F35DD">
            <w:pPr>
              <w:spacing w:after="0" w:line="360" w:lineRule="auto"/>
              <w:contextualSpacing/>
              <w:rPr>
                <w:rFonts w:ascii="Times New Roman" w:eastAsia="Times New Roman" w:hAnsi="Times New Roman" w:cs="Times New Roman"/>
                <w:color w:val="000000"/>
                <w:sz w:val="24"/>
                <w:szCs w:val="24"/>
                <w:lang w:eastAsia="es-MX"/>
              </w:rPr>
            </w:pPr>
          </w:p>
        </w:tc>
        <w:tc>
          <w:tcPr>
            <w:tcW w:w="831" w:type="pct"/>
            <w:noWrap/>
            <w:vAlign w:val="bottom"/>
            <w:hideMark/>
          </w:tcPr>
          <w:p w14:paraId="2EE5EFC7"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Retardo</w:t>
            </w:r>
          </w:p>
          <w:p w14:paraId="462C77CA" w14:textId="77777777" w:rsidR="00E06AD1" w:rsidRPr="00084CD2" w:rsidRDefault="00E06AD1"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32FC6533"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p>
          <w:p w14:paraId="17C32B66" w14:textId="77777777" w:rsidR="00DB7E2B" w:rsidRPr="00084CD2" w:rsidRDefault="00DB7E2B" w:rsidP="000F35DD">
            <w:pPr>
              <w:spacing w:after="0" w:line="360" w:lineRule="auto"/>
              <w:contextualSpacing/>
              <w:jc w:val="center"/>
              <w:rPr>
                <w:rFonts w:ascii="Times New Roman" w:eastAsia="Times New Roman" w:hAnsi="Times New Roman" w:cs="Times New Roman"/>
                <w:color w:val="000000"/>
                <w:sz w:val="24"/>
                <w:szCs w:val="24"/>
                <w:lang w:eastAsia="es-MX"/>
              </w:rPr>
            </w:pPr>
          </w:p>
        </w:tc>
      </w:tr>
      <w:tr w:rsidR="001F2D2C" w:rsidRPr="00084CD2" w14:paraId="64D622A0" w14:textId="77777777" w:rsidTr="00084CD2">
        <w:trPr>
          <w:trHeight w:val="300"/>
        </w:trPr>
        <w:tc>
          <w:tcPr>
            <w:tcW w:w="834" w:type="pct"/>
            <w:noWrap/>
            <w:vAlign w:val="bottom"/>
            <w:hideMark/>
          </w:tcPr>
          <w:p w14:paraId="709B3779" w14:textId="77777777" w:rsidR="001F2D2C" w:rsidRPr="00084CD2" w:rsidRDefault="001F2D2C"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MA1,1</w:t>
            </w:r>
          </w:p>
        </w:tc>
        <w:tc>
          <w:tcPr>
            <w:tcW w:w="834" w:type="pct"/>
            <w:noWrap/>
            <w:vAlign w:val="bottom"/>
            <w:hideMark/>
          </w:tcPr>
          <w:p w14:paraId="0DABFDB1" w14:textId="486A339E"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0.8</w:t>
            </w:r>
            <w:r w:rsidR="00052F9C" w:rsidRPr="00084CD2">
              <w:rPr>
                <w:rFonts w:ascii="Times New Roman" w:eastAsia="Times New Roman" w:hAnsi="Times New Roman" w:cs="Times New Roman"/>
                <w:color w:val="000000"/>
                <w:sz w:val="24"/>
                <w:szCs w:val="24"/>
                <w:lang w:eastAsia="es-MX"/>
              </w:rPr>
              <w:t>5100</w:t>
            </w:r>
          </w:p>
        </w:tc>
        <w:tc>
          <w:tcPr>
            <w:tcW w:w="834" w:type="pct"/>
            <w:noWrap/>
            <w:vAlign w:val="bottom"/>
            <w:hideMark/>
          </w:tcPr>
          <w:p w14:paraId="1A3035F6" w14:textId="2D1720CA"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w:t>
            </w:r>
            <w:r w:rsidR="00052F9C" w:rsidRPr="00084CD2">
              <w:rPr>
                <w:rFonts w:ascii="Times New Roman" w:eastAsia="Times New Roman" w:hAnsi="Times New Roman" w:cs="Times New Roman"/>
                <w:color w:val="000000"/>
                <w:sz w:val="24"/>
                <w:szCs w:val="24"/>
                <w:lang w:eastAsia="es-MX"/>
              </w:rPr>
              <w:t>4261</w:t>
            </w:r>
          </w:p>
        </w:tc>
        <w:tc>
          <w:tcPr>
            <w:tcW w:w="834" w:type="pct"/>
            <w:noWrap/>
            <w:vAlign w:val="bottom"/>
            <w:hideMark/>
          </w:tcPr>
          <w:p w14:paraId="4692DCDB" w14:textId="6572E925"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r w:rsidR="00052F9C" w:rsidRPr="00084CD2">
              <w:rPr>
                <w:rFonts w:ascii="Times New Roman" w:eastAsia="Times New Roman" w:hAnsi="Times New Roman" w:cs="Times New Roman"/>
                <w:color w:val="000000"/>
                <w:sz w:val="24"/>
                <w:szCs w:val="24"/>
                <w:lang w:eastAsia="es-MX"/>
              </w:rPr>
              <w:t>9.97</w:t>
            </w:r>
          </w:p>
        </w:tc>
        <w:tc>
          <w:tcPr>
            <w:tcW w:w="833" w:type="pct"/>
            <w:noWrap/>
            <w:vAlign w:val="bottom"/>
            <w:hideMark/>
          </w:tcPr>
          <w:p w14:paraId="0B2FAA22"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31" w:type="pct"/>
            <w:noWrap/>
            <w:vAlign w:val="bottom"/>
            <w:hideMark/>
          </w:tcPr>
          <w:p w14:paraId="3E9E9565"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12</w:t>
            </w:r>
          </w:p>
        </w:tc>
      </w:tr>
      <w:tr w:rsidR="001F2D2C" w:rsidRPr="00084CD2" w14:paraId="2EC78056" w14:textId="77777777" w:rsidTr="00084CD2">
        <w:trPr>
          <w:trHeight w:val="300"/>
        </w:trPr>
        <w:tc>
          <w:tcPr>
            <w:tcW w:w="834" w:type="pct"/>
            <w:noWrap/>
            <w:vAlign w:val="bottom"/>
            <w:hideMark/>
          </w:tcPr>
          <w:p w14:paraId="05FB334A" w14:textId="77777777" w:rsidR="001F2D2C" w:rsidRPr="00084CD2" w:rsidRDefault="001F2D2C"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AR1,1</w:t>
            </w:r>
          </w:p>
        </w:tc>
        <w:tc>
          <w:tcPr>
            <w:tcW w:w="834" w:type="pct"/>
            <w:noWrap/>
            <w:vAlign w:val="bottom"/>
            <w:hideMark/>
          </w:tcPr>
          <w:p w14:paraId="10EB4539" w14:textId="3A9BE6FE"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w:t>
            </w:r>
            <w:r w:rsidR="00052F9C" w:rsidRPr="00084CD2">
              <w:rPr>
                <w:rFonts w:ascii="Times New Roman" w:eastAsia="Times New Roman" w:hAnsi="Times New Roman" w:cs="Times New Roman"/>
                <w:color w:val="000000"/>
                <w:sz w:val="24"/>
                <w:szCs w:val="24"/>
                <w:lang w:eastAsia="es-MX"/>
              </w:rPr>
              <w:t>40245</w:t>
            </w:r>
          </w:p>
        </w:tc>
        <w:tc>
          <w:tcPr>
            <w:tcW w:w="834" w:type="pct"/>
            <w:noWrap/>
            <w:vAlign w:val="bottom"/>
            <w:hideMark/>
          </w:tcPr>
          <w:p w14:paraId="2CCB5D0C" w14:textId="2939C03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w:t>
            </w:r>
            <w:r w:rsidR="00052F9C" w:rsidRPr="00084CD2">
              <w:rPr>
                <w:rFonts w:ascii="Times New Roman" w:eastAsia="Times New Roman" w:hAnsi="Times New Roman" w:cs="Times New Roman"/>
                <w:color w:val="000000"/>
                <w:sz w:val="24"/>
                <w:szCs w:val="24"/>
                <w:lang w:eastAsia="es-MX"/>
              </w:rPr>
              <w:t>5890</w:t>
            </w:r>
          </w:p>
        </w:tc>
        <w:tc>
          <w:tcPr>
            <w:tcW w:w="834" w:type="pct"/>
            <w:noWrap/>
            <w:vAlign w:val="bottom"/>
            <w:hideMark/>
          </w:tcPr>
          <w:p w14:paraId="10BD57D3" w14:textId="00702A7F" w:rsidR="001F2D2C" w:rsidRPr="00084CD2" w:rsidRDefault="00052F9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6.83</w:t>
            </w:r>
          </w:p>
        </w:tc>
        <w:tc>
          <w:tcPr>
            <w:tcW w:w="833" w:type="pct"/>
            <w:noWrap/>
            <w:vAlign w:val="bottom"/>
            <w:hideMark/>
          </w:tcPr>
          <w:p w14:paraId="4ADEF18C"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&lt;.0001</w:t>
            </w:r>
          </w:p>
        </w:tc>
        <w:tc>
          <w:tcPr>
            <w:tcW w:w="831" w:type="pct"/>
            <w:noWrap/>
            <w:vAlign w:val="bottom"/>
            <w:hideMark/>
          </w:tcPr>
          <w:p w14:paraId="65E57507"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1</w:t>
            </w:r>
          </w:p>
        </w:tc>
      </w:tr>
      <w:tr w:rsidR="001F2D2C" w:rsidRPr="00084CD2" w14:paraId="3F99B5C9" w14:textId="77777777" w:rsidTr="00084CD2">
        <w:trPr>
          <w:trHeight w:val="300"/>
        </w:trPr>
        <w:tc>
          <w:tcPr>
            <w:tcW w:w="834" w:type="pct"/>
            <w:noWrap/>
            <w:vAlign w:val="bottom"/>
            <w:hideMark/>
          </w:tcPr>
          <w:p w14:paraId="36932135" w14:textId="77777777" w:rsidR="001F2D2C" w:rsidRPr="00084CD2" w:rsidRDefault="001F2D2C" w:rsidP="000F35DD">
            <w:pPr>
              <w:spacing w:after="0" w:line="360" w:lineRule="auto"/>
              <w:contextualSpacing/>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AR1,2</w:t>
            </w:r>
          </w:p>
        </w:tc>
        <w:tc>
          <w:tcPr>
            <w:tcW w:w="834" w:type="pct"/>
            <w:noWrap/>
            <w:vAlign w:val="bottom"/>
            <w:hideMark/>
          </w:tcPr>
          <w:p w14:paraId="456DD069" w14:textId="3ED35CD0"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w:t>
            </w:r>
            <w:r w:rsidR="00052F9C" w:rsidRPr="00084CD2">
              <w:rPr>
                <w:rFonts w:ascii="Times New Roman" w:eastAsia="Times New Roman" w:hAnsi="Times New Roman" w:cs="Times New Roman"/>
                <w:color w:val="000000"/>
                <w:sz w:val="24"/>
                <w:szCs w:val="24"/>
                <w:lang w:eastAsia="es-MX"/>
              </w:rPr>
              <w:t>09636</w:t>
            </w:r>
          </w:p>
        </w:tc>
        <w:tc>
          <w:tcPr>
            <w:tcW w:w="834" w:type="pct"/>
            <w:noWrap/>
            <w:vAlign w:val="bottom"/>
            <w:hideMark/>
          </w:tcPr>
          <w:p w14:paraId="20E1240A" w14:textId="57FDA0DC"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w:t>
            </w:r>
            <w:r w:rsidR="00052F9C" w:rsidRPr="00084CD2">
              <w:rPr>
                <w:rFonts w:ascii="Times New Roman" w:eastAsia="Times New Roman" w:hAnsi="Times New Roman" w:cs="Times New Roman"/>
                <w:color w:val="000000"/>
                <w:sz w:val="24"/>
                <w:szCs w:val="24"/>
                <w:lang w:eastAsia="es-MX"/>
              </w:rPr>
              <w:t>5876</w:t>
            </w:r>
          </w:p>
        </w:tc>
        <w:tc>
          <w:tcPr>
            <w:tcW w:w="834" w:type="pct"/>
            <w:noWrap/>
            <w:vAlign w:val="bottom"/>
            <w:hideMark/>
          </w:tcPr>
          <w:p w14:paraId="78304994" w14:textId="67AD2AB0"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w:t>
            </w:r>
            <w:r w:rsidR="00052F9C" w:rsidRPr="00084CD2">
              <w:rPr>
                <w:rFonts w:ascii="Times New Roman" w:eastAsia="Times New Roman" w:hAnsi="Times New Roman" w:cs="Times New Roman"/>
                <w:color w:val="000000"/>
                <w:sz w:val="24"/>
                <w:szCs w:val="24"/>
                <w:lang w:eastAsia="es-MX"/>
              </w:rPr>
              <w:t>1.64</w:t>
            </w:r>
          </w:p>
        </w:tc>
        <w:tc>
          <w:tcPr>
            <w:tcW w:w="833" w:type="pct"/>
            <w:noWrap/>
            <w:vAlign w:val="bottom"/>
            <w:hideMark/>
          </w:tcPr>
          <w:p w14:paraId="6F83AA93"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0.0215</w:t>
            </w:r>
          </w:p>
        </w:tc>
        <w:tc>
          <w:tcPr>
            <w:tcW w:w="831" w:type="pct"/>
            <w:noWrap/>
            <w:vAlign w:val="bottom"/>
            <w:hideMark/>
          </w:tcPr>
          <w:p w14:paraId="2933B454" w14:textId="77777777" w:rsidR="001F2D2C" w:rsidRPr="00084CD2" w:rsidRDefault="001F2D2C" w:rsidP="000F35DD">
            <w:pPr>
              <w:spacing w:after="0" w:line="360" w:lineRule="auto"/>
              <w:contextualSpacing/>
              <w:jc w:val="center"/>
              <w:rPr>
                <w:rFonts w:ascii="Times New Roman" w:eastAsia="Times New Roman" w:hAnsi="Times New Roman" w:cs="Times New Roman"/>
                <w:color w:val="000000"/>
                <w:sz w:val="24"/>
                <w:szCs w:val="24"/>
                <w:lang w:eastAsia="es-MX"/>
              </w:rPr>
            </w:pPr>
            <w:r w:rsidRPr="00084CD2">
              <w:rPr>
                <w:rFonts w:ascii="Times New Roman" w:eastAsia="Times New Roman" w:hAnsi="Times New Roman" w:cs="Times New Roman"/>
                <w:color w:val="000000"/>
                <w:sz w:val="24"/>
                <w:szCs w:val="24"/>
                <w:lang w:eastAsia="es-MX"/>
              </w:rPr>
              <w:t>2</w:t>
            </w:r>
          </w:p>
        </w:tc>
      </w:tr>
    </w:tbl>
    <w:p w14:paraId="3E4CAC52" w14:textId="043C230F" w:rsidR="0020198E" w:rsidRPr="00084CD2" w:rsidRDefault="001F2D2C"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sz w:val="24"/>
          <w:szCs w:val="24"/>
        </w:rPr>
        <w:t xml:space="preserve">Fuente: </w:t>
      </w:r>
      <w:r w:rsidR="0020198E" w:rsidRPr="00084CD2">
        <w:rPr>
          <w:rFonts w:ascii="Times New Roman" w:hAnsi="Times New Roman" w:cs="Times New Roman"/>
          <w:sz w:val="24"/>
          <w:szCs w:val="24"/>
        </w:rPr>
        <w:t xml:space="preserve">construcción propia con datos procesados en el software </w:t>
      </w:r>
      <w:r w:rsidR="00A97D94" w:rsidRPr="00084CD2">
        <w:rPr>
          <w:rFonts w:ascii="Times New Roman" w:hAnsi="Times New Roman" w:cs="Times New Roman"/>
          <w:sz w:val="24"/>
          <w:szCs w:val="24"/>
        </w:rPr>
        <w:t>SAS®</w:t>
      </w:r>
      <w:r w:rsidR="0020198E" w:rsidRPr="00084CD2">
        <w:rPr>
          <w:rFonts w:ascii="Times New Roman" w:hAnsi="Times New Roman" w:cs="Times New Roman"/>
          <w:sz w:val="24"/>
          <w:szCs w:val="24"/>
        </w:rPr>
        <w:t>.</w:t>
      </w:r>
    </w:p>
    <w:p w14:paraId="21E40B71" w14:textId="614C3F67" w:rsidR="00562277" w:rsidRPr="00084CD2" w:rsidRDefault="00AA0895" w:rsidP="009F0ECD">
      <w:pPr>
        <w:spacing w:after="0" w:line="360" w:lineRule="auto"/>
        <w:ind w:firstLine="1134"/>
        <w:contextualSpacing/>
        <w:jc w:val="both"/>
        <w:rPr>
          <w:rFonts w:ascii="Times New Roman" w:eastAsiaTheme="minorEastAsia" w:hAnsi="Times New Roman" w:cs="Times New Roman"/>
          <w:sz w:val="24"/>
          <w:szCs w:val="24"/>
        </w:rPr>
      </w:pPr>
      <w:r w:rsidRPr="00084CD2">
        <w:rPr>
          <w:rFonts w:ascii="Times New Roman" w:eastAsiaTheme="minorEastAsia" w:hAnsi="Times New Roman" w:cs="Times New Roman"/>
          <w:sz w:val="24"/>
          <w:szCs w:val="24"/>
        </w:rPr>
        <w:t xml:space="preserve">Para evaluar la etapa de implementación del modelo, se recurrió al estimador del Error Cuadrático Medio (ECM), </w:t>
      </w:r>
      <w:r w:rsidR="00C40123" w:rsidRPr="00084CD2">
        <w:rPr>
          <w:rFonts w:ascii="Times New Roman" w:eastAsiaTheme="minorEastAsia" w:hAnsi="Times New Roman" w:cs="Times New Roman"/>
          <w:sz w:val="24"/>
          <w:szCs w:val="24"/>
        </w:rPr>
        <w:t xml:space="preserve">considerado un criterio clave de optimalidad. </w:t>
      </w:r>
      <w:r w:rsidR="000C78AE" w:rsidRPr="00084CD2">
        <w:rPr>
          <w:rFonts w:ascii="Times New Roman" w:eastAsiaTheme="minorEastAsia" w:hAnsi="Times New Roman" w:cs="Times New Roman"/>
          <w:sz w:val="24"/>
          <w:szCs w:val="24"/>
        </w:rPr>
        <w:t xml:space="preserve">Sin </w:t>
      </w:r>
      <w:r w:rsidR="000C78AE" w:rsidRPr="00084CD2">
        <w:rPr>
          <w:rFonts w:ascii="Times New Roman" w:eastAsiaTheme="minorEastAsia" w:hAnsi="Times New Roman" w:cs="Times New Roman"/>
          <w:sz w:val="24"/>
          <w:szCs w:val="24"/>
        </w:rPr>
        <w:lastRenderedPageBreak/>
        <w:t>embargo, la calidad predictiva depend</w:t>
      </w:r>
      <w:r w:rsidR="00D96CC5" w:rsidRPr="00084CD2">
        <w:rPr>
          <w:rFonts w:ascii="Times New Roman" w:eastAsiaTheme="minorEastAsia" w:hAnsi="Times New Roman" w:cs="Times New Roman"/>
          <w:sz w:val="24"/>
          <w:szCs w:val="24"/>
        </w:rPr>
        <w:t>ió</w:t>
      </w:r>
      <w:r w:rsidR="000C78AE" w:rsidRPr="00084CD2">
        <w:rPr>
          <w:rFonts w:ascii="Times New Roman" w:eastAsiaTheme="minorEastAsia" w:hAnsi="Times New Roman" w:cs="Times New Roman"/>
          <w:sz w:val="24"/>
          <w:szCs w:val="24"/>
        </w:rPr>
        <w:t xml:space="preserve"> en gran medida de la persistencia de los comportamientos observados en el pasado, de modo que la presencia de cambios súbitos</w:t>
      </w:r>
      <w:r w:rsidR="00D96CC5" w:rsidRPr="00084CD2">
        <w:rPr>
          <w:rFonts w:ascii="Times New Roman" w:eastAsiaTheme="minorEastAsia" w:hAnsi="Times New Roman" w:cs="Times New Roman"/>
          <w:sz w:val="24"/>
          <w:szCs w:val="24"/>
        </w:rPr>
        <w:t xml:space="preserve"> </w:t>
      </w:r>
      <w:r w:rsidR="000C78AE" w:rsidRPr="00084CD2">
        <w:rPr>
          <w:rFonts w:ascii="Times New Roman" w:eastAsiaTheme="minorEastAsia" w:hAnsi="Times New Roman" w:cs="Times New Roman"/>
          <w:sz w:val="24"/>
          <w:szCs w:val="24"/>
        </w:rPr>
        <w:t>afect</w:t>
      </w:r>
      <w:r w:rsidR="00D96CC5" w:rsidRPr="00084CD2">
        <w:rPr>
          <w:rFonts w:ascii="Times New Roman" w:eastAsiaTheme="minorEastAsia" w:hAnsi="Times New Roman" w:cs="Times New Roman"/>
          <w:sz w:val="24"/>
          <w:szCs w:val="24"/>
        </w:rPr>
        <w:t>ó</w:t>
      </w:r>
      <w:r w:rsidR="000C78AE" w:rsidRPr="00084CD2">
        <w:rPr>
          <w:rFonts w:ascii="Times New Roman" w:eastAsiaTheme="minorEastAsia" w:hAnsi="Times New Roman" w:cs="Times New Roman"/>
          <w:sz w:val="24"/>
          <w:szCs w:val="24"/>
        </w:rPr>
        <w:t xml:space="preserve"> negativamente </w:t>
      </w:r>
      <w:r w:rsidR="00D96CC5" w:rsidRPr="00084CD2">
        <w:rPr>
          <w:rFonts w:ascii="Times New Roman" w:eastAsiaTheme="minorEastAsia" w:hAnsi="Times New Roman" w:cs="Times New Roman"/>
          <w:sz w:val="24"/>
          <w:szCs w:val="24"/>
        </w:rPr>
        <w:t xml:space="preserve">la significancia de </w:t>
      </w:r>
      <w:r w:rsidR="000C78AE" w:rsidRPr="00084CD2">
        <w:rPr>
          <w:rFonts w:ascii="Times New Roman" w:eastAsiaTheme="minorEastAsia" w:hAnsi="Times New Roman" w:cs="Times New Roman"/>
          <w:sz w:val="24"/>
          <w:szCs w:val="24"/>
        </w:rPr>
        <w:t>los resultados.</w:t>
      </w:r>
    </w:p>
    <w:p w14:paraId="0C347C72" w14:textId="77777777" w:rsidR="00C40123" w:rsidRPr="00084CD2" w:rsidRDefault="00C40123" w:rsidP="000F35DD">
      <w:pPr>
        <w:spacing w:after="0" w:line="360" w:lineRule="auto"/>
        <w:contextualSpacing/>
        <w:jc w:val="both"/>
        <w:rPr>
          <w:rFonts w:ascii="Times New Roman" w:hAnsi="Times New Roman" w:cs="Times New Roman"/>
          <w:sz w:val="24"/>
          <w:szCs w:val="24"/>
        </w:rPr>
      </w:pPr>
    </w:p>
    <w:p w14:paraId="0C97761E" w14:textId="015B6023" w:rsidR="00562277" w:rsidRPr="00084CD2" w:rsidRDefault="00221FDE" w:rsidP="00084CD2">
      <w:pPr>
        <w:spacing w:after="0" w:line="360" w:lineRule="auto"/>
        <w:contextualSpacing/>
        <w:jc w:val="center"/>
        <w:rPr>
          <w:rFonts w:ascii="Times New Roman" w:hAnsi="Times New Roman" w:cs="Times New Roman"/>
          <w:b/>
          <w:sz w:val="24"/>
          <w:szCs w:val="24"/>
        </w:rPr>
      </w:pPr>
      <w:r w:rsidRPr="00084CD2">
        <w:rPr>
          <w:rFonts w:ascii="Times New Roman" w:hAnsi="Times New Roman" w:cs="Times New Roman"/>
          <w:b/>
          <w:sz w:val="24"/>
          <w:szCs w:val="24"/>
        </w:rPr>
        <w:t xml:space="preserve">Evaluación </w:t>
      </w:r>
      <w:r w:rsidR="00A319D8" w:rsidRPr="00084CD2">
        <w:rPr>
          <w:rFonts w:ascii="Times New Roman" w:hAnsi="Times New Roman" w:cs="Times New Roman"/>
          <w:b/>
          <w:sz w:val="24"/>
          <w:szCs w:val="24"/>
        </w:rPr>
        <w:t>predictiva del modelo</w:t>
      </w:r>
      <w:r w:rsidR="000D16F6" w:rsidRPr="00084CD2">
        <w:rPr>
          <w:rFonts w:ascii="Times New Roman" w:hAnsi="Times New Roman" w:cs="Times New Roman"/>
          <w:b/>
          <w:sz w:val="24"/>
          <w:szCs w:val="24"/>
        </w:rPr>
        <w:t xml:space="preserve"> fuera de muestra</w:t>
      </w:r>
    </w:p>
    <w:p w14:paraId="62CF9D5F" w14:textId="044C0977" w:rsidR="003B6AD1" w:rsidRPr="00084CD2" w:rsidRDefault="00D96CC5"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Se comparó el desempeño predictivo del UCM y del SARIMA mediante 36 observaciones fuera de muestra (enero 2023–diciembre 2025). El SARIMA presentó el menor error cuadrático medio (RECM=0.2951), superando al UCM (RECM=0.3207). A pesar de ello, ambos modelos tendieron a sobreestimar el INPC hacia el final del horizonte proyectado, especialmente a partir del tercer trimestre de 2024 y durante 2025, en respuesta a variaciones no capturadas por la especificación </w:t>
      </w:r>
      <w:proofErr w:type="spellStart"/>
      <w:r w:rsidRPr="00084CD2">
        <w:rPr>
          <w:rFonts w:ascii="Times New Roman" w:hAnsi="Times New Roman" w:cs="Times New Roman"/>
          <w:sz w:val="24"/>
          <w:szCs w:val="24"/>
        </w:rPr>
        <w:t>univariada</w:t>
      </w:r>
      <w:proofErr w:type="spellEnd"/>
      <w:r w:rsidRPr="00084CD2">
        <w:rPr>
          <w:rFonts w:ascii="Times New Roman" w:hAnsi="Times New Roman" w:cs="Times New Roman"/>
          <w:sz w:val="24"/>
          <w:szCs w:val="24"/>
        </w:rPr>
        <w:t xml:space="preserve"> (Figura 4). </w:t>
      </w:r>
    </w:p>
    <w:p w14:paraId="19735812" w14:textId="145F0673" w:rsidR="00D96CC5" w:rsidRPr="00084CD2" w:rsidRDefault="003B6AD1" w:rsidP="00D96CC5">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A</w:t>
      </w:r>
      <w:r w:rsidR="00D96CC5" w:rsidRPr="00084CD2">
        <w:rPr>
          <w:rFonts w:ascii="Times New Roman" w:hAnsi="Times New Roman" w:cs="Times New Roman"/>
          <w:sz w:val="24"/>
          <w:szCs w:val="24"/>
        </w:rPr>
        <w:t xml:space="preserve">mbos modelos reprodujeron adecuadamente la trayectoria del INPC y </w:t>
      </w:r>
      <w:r w:rsidRPr="00084CD2">
        <w:rPr>
          <w:rFonts w:ascii="Times New Roman" w:hAnsi="Times New Roman" w:cs="Times New Roman"/>
          <w:sz w:val="24"/>
          <w:szCs w:val="24"/>
        </w:rPr>
        <w:t>permitieron</w:t>
      </w:r>
      <w:r w:rsidR="00D96CC5" w:rsidRPr="00084CD2">
        <w:rPr>
          <w:rFonts w:ascii="Times New Roman" w:hAnsi="Times New Roman" w:cs="Times New Roman"/>
          <w:sz w:val="24"/>
          <w:szCs w:val="24"/>
        </w:rPr>
        <w:t xml:space="preserve"> caracterizar su comportamiento en el periodo analizado. No obstante, las diferencias observadas en el desempeño dentro y fuera de muestra evidenciaron que la capacidad predictiva y la interpretación estructural no necesariamente convergen en un mismo enfoque, ya que el SARIMA optimizó la precisión proyectiva mientras que el UCM aportó elementos para descomponer la dinámica del índice. En suma, los resultados confirman que los modelos comparados cumplen funciones distintas: uno optimiza la predicción y el otro la comprensión de la estructura. Esta dualidad resulta clave para interpretar sus alcances y limitaciones.</w:t>
      </w:r>
    </w:p>
    <w:p w14:paraId="740D0BEA" w14:textId="77777777" w:rsidR="000D791F" w:rsidRDefault="000D791F" w:rsidP="000F35DD">
      <w:pPr>
        <w:spacing w:after="0" w:line="360" w:lineRule="auto"/>
        <w:contextualSpacing/>
        <w:jc w:val="both"/>
        <w:rPr>
          <w:rFonts w:ascii="Times New Roman" w:hAnsi="Times New Roman" w:cs="Times New Roman"/>
          <w:sz w:val="24"/>
          <w:szCs w:val="24"/>
        </w:rPr>
      </w:pPr>
    </w:p>
    <w:p w14:paraId="149286D8" w14:textId="77777777" w:rsidR="00172A5A" w:rsidRDefault="00172A5A" w:rsidP="000F35DD">
      <w:pPr>
        <w:spacing w:after="0" w:line="360" w:lineRule="auto"/>
        <w:contextualSpacing/>
        <w:jc w:val="both"/>
        <w:rPr>
          <w:rFonts w:ascii="Times New Roman" w:hAnsi="Times New Roman" w:cs="Times New Roman"/>
          <w:sz w:val="24"/>
          <w:szCs w:val="24"/>
        </w:rPr>
      </w:pPr>
    </w:p>
    <w:p w14:paraId="7D1A4A06" w14:textId="77777777" w:rsidR="00172A5A" w:rsidRDefault="00172A5A" w:rsidP="000F35DD">
      <w:pPr>
        <w:spacing w:after="0" w:line="360" w:lineRule="auto"/>
        <w:contextualSpacing/>
        <w:jc w:val="both"/>
        <w:rPr>
          <w:rFonts w:ascii="Times New Roman" w:hAnsi="Times New Roman" w:cs="Times New Roman"/>
          <w:sz w:val="24"/>
          <w:szCs w:val="24"/>
        </w:rPr>
      </w:pPr>
    </w:p>
    <w:p w14:paraId="5963D465" w14:textId="77777777" w:rsidR="00172A5A" w:rsidRDefault="00172A5A" w:rsidP="000F35DD">
      <w:pPr>
        <w:spacing w:after="0" w:line="360" w:lineRule="auto"/>
        <w:contextualSpacing/>
        <w:jc w:val="both"/>
        <w:rPr>
          <w:rFonts w:ascii="Times New Roman" w:hAnsi="Times New Roman" w:cs="Times New Roman"/>
          <w:sz w:val="24"/>
          <w:szCs w:val="24"/>
        </w:rPr>
      </w:pPr>
    </w:p>
    <w:p w14:paraId="2F05C020" w14:textId="77777777" w:rsidR="00172A5A" w:rsidRDefault="00172A5A" w:rsidP="000F35DD">
      <w:pPr>
        <w:spacing w:after="0" w:line="360" w:lineRule="auto"/>
        <w:contextualSpacing/>
        <w:jc w:val="both"/>
        <w:rPr>
          <w:rFonts w:ascii="Times New Roman" w:hAnsi="Times New Roman" w:cs="Times New Roman"/>
          <w:sz w:val="24"/>
          <w:szCs w:val="24"/>
        </w:rPr>
      </w:pPr>
    </w:p>
    <w:p w14:paraId="775AEE25" w14:textId="77777777" w:rsidR="00172A5A" w:rsidRDefault="00172A5A" w:rsidP="000F35DD">
      <w:pPr>
        <w:spacing w:after="0" w:line="360" w:lineRule="auto"/>
        <w:contextualSpacing/>
        <w:jc w:val="both"/>
        <w:rPr>
          <w:rFonts w:ascii="Times New Roman" w:hAnsi="Times New Roman" w:cs="Times New Roman"/>
          <w:sz w:val="24"/>
          <w:szCs w:val="24"/>
        </w:rPr>
      </w:pPr>
    </w:p>
    <w:p w14:paraId="188B4C20" w14:textId="77777777" w:rsidR="00172A5A" w:rsidRDefault="00172A5A" w:rsidP="000F35DD">
      <w:pPr>
        <w:spacing w:after="0" w:line="360" w:lineRule="auto"/>
        <w:contextualSpacing/>
        <w:jc w:val="both"/>
        <w:rPr>
          <w:rFonts w:ascii="Times New Roman" w:hAnsi="Times New Roman" w:cs="Times New Roman"/>
          <w:sz w:val="24"/>
          <w:szCs w:val="24"/>
        </w:rPr>
      </w:pPr>
    </w:p>
    <w:p w14:paraId="5D3B9E06" w14:textId="77777777" w:rsidR="00172A5A" w:rsidRDefault="00172A5A" w:rsidP="000F35DD">
      <w:pPr>
        <w:spacing w:after="0" w:line="360" w:lineRule="auto"/>
        <w:contextualSpacing/>
        <w:jc w:val="both"/>
        <w:rPr>
          <w:rFonts w:ascii="Times New Roman" w:hAnsi="Times New Roman" w:cs="Times New Roman"/>
          <w:sz w:val="24"/>
          <w:szCs w:val="24"/>
        </w:rPr>
      </w:pPr>
    </w:p>
    <w:p w14:paraId="16F531F8" w14:textId="77777777" w:rsidR="00172A5A" w:rsidRDefault="00172A5A" w:rsidP="000F35DD">
      <w:pPr>
        <w:spacing w:after="0" w:line="360" w:lineRule="auto"/>
        <w:contextualSpacing/>
        <w:jc w:val="both"/>
        <w:rPr>
          <w:rFonts w:ascii="Times New Roman" w:hAnsi="Times New Roman" w:cs="Times New Roman"/>
          <w:sz w:val="24"/>
          <w:szCs w:val="24"/>
        </w:rPr>
      </w:pPr>
    </w:p>
    <w:p w14:paraId="7EC12911" w14:textId="77777777" w:rsidR="00172A5A" w:rsidRDefault="00172A5A" w:rsidP="000F35DD">
      <w:pPr>
        <w:spacing w:after="0" w:line="360" w:lineRule="auto"/>
        <w:contextualSpacing/>
        <w:jc w:val="both"/>
        <w:rPr>
          <w:rFonts w:ascii="Times New Roman" w:hAnsi="Times New Roman" w:cs="Times New Roman"/>
          <w:sz w:val="24"/>
          <w:szCs w:val="24"/>
        </w:rPr>
      </w:pPr>
    </w:p>
    <w:p w14:paraId="784ED2C6" w14:textId="77777777" w:rsidR="00172A5A" w:rsidRDefault="00172A5A" w:rsidP="000F35DD">
      <w:pPr>
        <w:spacing w:after="0" w:line="360" w:lineRule="auto"/>
        <w:contextualSpacing/>
        <w:jc w:val="both"/>
        <w:rPr>
          <w:rFonts w:ascii="Times New Roman" w:hAnsi="Times New Roman" w:cs="Times New Roman"/>
          <w:sz w:val="24"/>
          <w:szCs w:val="24"/>
        </w:rPr>
      </w:pPr>
    </w:p>
    <w:p w14:paraId="217505CB" w14:textId="77777777" w:rsidR="00172A5A" w:rsidRDefault="00172A5A" w:rsidP="000F35DD">
      <w:pPr>
        <w:spacing w:after="0" w:line="360" w:lineRule="auto"/>
        <w:contextualSpacing/>
        <w:jc w:val="both"/>
        <w:rPr>
          <w:rFonts w:ascii="Times New Roman" w:hAnsi="Times New Roman" w:cs="Times New Roman"/>
          <w:sz w:val="24"/>
          <w:szCs w:val="24"/>
        </w:rPr>
      </w:pPr>
    </w:p>
    <w:p w14:paraId="44A3C69D" w14:textId="77777777" w:rsidR="00172A5A" w:rsidRPr="00084CD2" w:rsidRDefault="00172A5A" w:rsidP="000F35DD">
      <w:pPr>
        <w:spacing w:after="0" w:line="360" w:lineRule="auto"/>
        <w:contextualSpacing/>
        <w:jc w:val="both"/>
        <w:rPr>
          <w:rFonts w:ascii="Times New Roman" w:hAnsi="Times New Roman" w:cs="Times New Roman"/>
          <w:sz w:val="24"/>
          <w:szCs w:val="24"/>
        </w:rPr>
      </w:pPr>
    </w:p>
    <w:p w14:paraId="0126C0FF" w14:textId="77777777" w:rsidR="000D791F" w:rsidRPr="00084CD2" w:rsidRDefault="000D791F" w:rsidP="00084CD2">
      <w:pPr>
        <w:spacing w:after="0" w:line="360" w:lineRule="auto"/>
        <w:contextualSpacing/>
        <w:jc w:val="center"/>
        <w:rPr>
          <w:rFonts w:ascii="Times New Roman" w:hAnsi="Times New Roman" w:cs="Times New Roman"/>
          <w:sz w:val="24"/>
          <w:szCs w:val="24"/>
        </w:rPr>
      </w:pPr>
      <w:r w:rsidRPr="00084CD2">
        <w:rPr>
          <w:rFonts w:ascii="Times New Roman" w:hAnsi="Times New Roman" w:cs="Times New Roman"/>
          <w:b/>
          <w:sz w:val="24"/>
          <w:szCs w:val="24"/>
        </w:rPr>
        <w:lastRenderedPageBreak/>
        <w:t xml:space="preserve">Figura 4. </w:t>
      </w:r>
      <w:r w:rsidRPr="00084CD2">
        <w:rPr>
          <w:rFonts w:ascii="Times New Roman" w:hAnsi="Times New Roman" w:cs="Times New Roman"/>
          <w:bCs/>
          <w:sz w:val="24"/>
          <w:szCs w:val="24"/>
        </w:rPr>
        <w:t>Desempeño predictivo del INPC fuera de muestra: enero 2023-diciembre 2025.</w:t>
      </w:r>
    </w:p>
    <w:p w14:paraId="42B5C006" w14:textId="5AD67C65" w:rsidR="007758A1" w:rsidRPr="00084CD2" w:rsidRDefault="007758A1" w:rsidP="000F35DD">
      <w:pPr>
        <w:spacing w:after="0" w:line="360" w:lineRule="auto"/>
        <w:contextualSpacing/>
        <w:jc w:val="both"/>
        <w:rPr>
          <w:rFonts w:ascii="Times New Roman" w:hAnsi="Times New Roman" w:cs="Times New Roman"/>
          <w:noProof/>
          <w:sz w:val="24"/>
          <w:szCs w:val="24"/>
          <w:lang w:eastAsia="es-MX"/>
        </w:rPr>
      </w:pPr>
      <w:r w:rsidRPr="00084CD2">
        <w:rPr>
          <w:noProof/>
        </w:rPr>
        <w:drawing>
          <wp:inline distT="0" distB="0" distL="0" distR="0" wp14:anchorId="1CB8DB66" wp14:editId="647623FA">
            <wp:extent cx="5596314" cy="3063240"/>
            <wp:effectExtent l="0" t="0" r="4445" b="3810"/>
            <wp:docPr id="583430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435" cy="3068233"/>
                    </a:xfrm>
                    <a:prstGeom prst="rect">
                      <a:avLst/>
                    </a:prstGeom>
                    <a:noFill/>
                    <a:ln>
                      <a:noFill/>
                    </a:ln>
                  </pic:spPr>
                </pic:pic>
              </a:graphicData>
            </a:graphic>
          </wp:inline>
        </w:drawing>
      </w:r>
    </w:p>
    <w:p w14:paraId="25279ACD" w14:textId="7413D0ED" w:rsidR="00012365" w:rsidRPr="00084CD2" w:rsidRDefault="000D791F" w:rsidP="00084CD2">
      <w:pPr>
        <w:spacing w:after="0" w:line="360" w:lineRule="auto"/>
        <w:contextualSpacing/>
        <w:jc w:val="center"/>
        <w:rPr>
          <w:rFonts w:ascii="Times New Roman" w:hAnsi="Times New Roman" w:cs="Times New Roman"/>
          <w:bCs/>
          <w:sz w:val="24"/>
          <w:szCs w:val="24"/>
        </w:rPr>
      </w:pPr>
      <w:r w:rsidRPr="00084CD2">
        <w:rPr>
          <w:rFonts w:ascii="Times New Roman" w:hAnsi="Times New Roman" w:cs="Times New Roman"/>
          <w:bCs/>
          <w:sz w:val="24"/>
          <w:szCs w:val="24"/>
        </w:rPr>
        <w:t>Fuente: construcción propia.</w:t>
      </w:r>
    </w:p>
    <w:p w14:paraId="5FD412BD" w14:textId="6BC6092D" w:rsidR="00201779" w:rsidRPr="00084CD2" w:rsidRDefault="003B6AD1" w:rsidP="003B6AD1">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Los resultados evidenciaron que l</w:t>
      </w:r>
      <w:r w:rsidR="00201779" w:rsidRPr="00084CD2">
        <w:rPr>
          <w:rFonts w:ascii="Times New Roman" w:hAnsi="Times New Roman" w:cs="Times New Roman"/>
          <w:sz w:val="24"/>
          <w:szCs w:val="24"/>
        </w:rPr>
        <w:t xml:space="preserve">a estructura del INPC presentó una estacionalidad bien definida y estable a lo largo del periodo analizado, lo que favoreció la parsimonia del modelo SARIMA y </w:t>
      </w:r>
      <w:r w:rsidR="003831B3" w:rsidRPr="00084CD2">
        <w:rPr>
          <w:rFonts w:ascii="Times New Roman" w:hAnsi="Times New Roman" w:cs="Times New Roman"/>
          <w:sz w:val="24"/>
          <w:szCs w:val="24"/>
        </w:rPr>
        <w:t>mostró mayor precisión predictiva</w:t>
      </w:r>
      <w:r w:rsidR="00201779" w:rsidRPr="00084CD2">
        <w:rPr>
          <w:rFonts w:ascii="Times New Roman" w:hAnsi="Times New Roman" w:cs="Times New Roman"/>
          <w:sz w:val="24"/>
          <w:szCs w:val="24"/>
        </w:rPr>
        <w:t>. Aunque ambos enfoques capturaron adecuadamente la variabilidad de la serie, el SARIMA mostró menores discrepancias entre los valores observados y los pronosticados, lo que sugi</w:t>
      </w:r>
      <w:r w:rsidR="00D96CC5" w:rsidRPr="00084CD2">
        <w:rPr>
          <w:rFonts w:ascii="Times New Roman" w:hAnsi="Times New Roman" w:cs="Times New Roman"/>
          <w:sz w:val="24"/>
          <w:szCs w:val="24"/>
        </w:rPr>
        <w:t>rió</w:t>
      </w:r>
      <w:r w:rsidR="00201779" w:rsidRPr="00084CD2">
        <w:rPr>
          <w:rFonts w:ascii="Times New Roman" w:hAnsi="Times New Roman" w:cs="Times New Roman"/>
          <w:sz w:val="24"/>
          <w:szCs w:val="24"/>
        </w:rPr>
        <w:t xml:space="preserve"> que, bajo condiciones de estacionalidad determinista, los procesos Box-Jenkins constituyen una alternativa eficiente para el pronóstico de corto plazo. Por su parte, el UCM resultó útil para descomponer el comportamiento inflacionario e identificar la naturaleza transitoria de ciertos movimientos cíclicos, aportando una interpretación estructural que complementa el análisis, pero con menor capacidad para anticipar la evolución futura del índice.</w:t>
      </w:r>
    </w:p>
    <w:p w14:paraId="113D6151" w14:textId="77777777" w:rsidR="003B6AD1" w:rsidRPr="00084CD2" w:rsidRDefault="003B6AD1" w:rsidP="003B6AD1">
      <w:pPr>
        <w:spacing w:after="0" w:line="360" w:lineRule="auto"/>
        <w:ind w:firstLine="1134"/>
        <w:contextualSpacing/>
        <w:jc w:val="both"/>
        <w:rPr>
          <w:rFonts w:ascii="Times New Roman" w:hAnsi="Times New Roman" w:cs="Times New Roman"/>
          <w:sz w:val="24"/>
          <w:szCs w:val="24"/>
        </w:rPr>
      </w:pPr>
    </w:p>
    <w:p w14:paraId="39841096" w14:textId="6170E236" w:rsidR="001F34AD" w:rsidRPr="00084CD2" w:rsidRDefault="001F34AD" w:rsidP="001F34AD">
      <w:pPr>
        <w:spacing w:after="0" w:line="360" w:lineRule="auto"/>
        <w:contextualSpacing/>
        <w:jc w:val="center"/>
        <w:rPr>
          <w:rFonts w:ascii="Times New Roman" w:hAnsi="Times New Roman" w:cs="Times New Roman"/>
          <w:b/>
          <w:sz w:val="32"/>
          <w:szCs w:val="32"/>
        </w:rPr>
      </w:pPr>
      <w:r w:rsidRPr="00084CD2">
        <w:rPr>
          <w:rFonts w:ascii="Times New Roman" w:hAnsi="Times New Roman" w:cs="Times New Roman"/>
          <w:b/>
          <w:sz w:val="32"/>
          <w:szCs w:val="32"/>
        </w:rPr>
        <w:t>Discusión</w:t>
      </w:r>
    </w:p>
    <w:p w14:paraId="53A286E9" w14:textId="374304DE" w:rsidR="00A40EE2" w:rsidRPr="00084CD2" w:rsidRDefault="00A40EE2"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El modelo </w:t>
      </w:r>
      <w:proofErr w:type="gramStart"/>
      <w:r w:rsidRPr="00084CD2">
        <w:rPr>
          <w:rFonts w:ascii="Times New Roman" w:hAnsi="Times New Roman" w:cs="Times New Roman"/>
          <w:sz w:val="24"/>
          <w:szCs w:val="24"/>
        </w:rPr>
        <w:t>SARIMA(</w:t>
      </w:r>
      <w:proofErr w:type="gramEnd"/>
      <w:r w:rsidRPr="00084CD2">
        <w:rPr>
          <w:rFonts w:ascii="Times New Roman" w:hAnsi="Times New Roman" w:cs="Times New Roman"/>
          <w:sz w:val="24"/>
          <w:szCs w:val="24"/>
        </w:rPr>
        <w:t>2,1,0)×(0,1,1)</w:t>
      </w:r>
      <w:r w:rsidRPr="00084CD2">
        <w:rPr>
          <w:rFonts w:ascii="Times New Roman" w:hAnsi="Times New Roman" w:cs="Times New Roman"/>
          <w:sz w:val="24"/>
          <w:szCs w:val="24"/>
          <w:vertAlign w:val="subscript"/>
        </w:rPr>
        <w:t>s=12</w:t>
      </w:r>
      <w:r w:rsidRPr="00084CD2">
        <w:rPr>
          <w:rFonts w:ascii="Times New Roman" w:hAnsi="Times New Roman" w:cs="Times New Roman"/>
          <w:sz w:val="24"/>
          <w:szCs w:val="24"/>
        </w:rPr>
        <w:t xml:space="preserve"> mostró mejor desempeño predictivo que el UCM, lo cual coincide con estudios recientes que destacan la eficacia de enfoques estacionales para pronosticar inflación en economías emergentes. En México, diversos trabajos han documentado que los modelos SARIMA capturan adecuadamente la dinámica inflacionaria de corto plazo, compitiendo frente a metodologías estructurales o multivariadas (</w:t>
      </w:r>
      <w:proofErr w:type="spellStart"/>
      <w:r w:rsidRPr="00084CD2">
        <w:rPr>
          <w:rFonts w:ascii="Times New Roman" w:hAnsi="Times New Roman" w:cs="Times New Roman"/>
          <w:sz w:val="24"/>
          <w:szCs w:val="24"/>
        </w:rPr>
        <w:t>Ayllon</w:t>
      </w:r>
      <w:proofErr w:type="spellEnd"/>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et al</w:t>
      </w:r>
      <w:r w:rsidRPr="00084CD2">
        <w:rPr>
          <w:rFonts w:ascii="Times New Roman" w:hAnsi="Times New Roman" w:cs="Times New Roman"/>
          <w:sz w:val="24"/>
          <w:szCs w:val="24"/>
        </w:rPr>
        <w:t xml:space="preserve">., 2024). Estos resultados son consistentes con la evidencia previa que señala que los procesos Box-Jenkins tienden a mejorar su precisión cuando la </w:t>
      </w:r>
      <w:r w:rsidRPr="00084CD2">
        <w:rPr>
          <w:rFonts w:ascii="Times New Roman" w:hAnsi="Times New Roman" w:cs="Times New Roman"/>
          <w:sz w:val="24"/>
          <w:szCs w:val="24"/>
        </w:rPr>
        <w:lastRenderedPageBreak/>
        <w:t>estacionalidad es determinista y estable</w:t>
      </w:r>
      <w:r w:rsidR="003831B3" w:rsidRPr="00084CD2">
        <w:rPr>
          <w:rFonts w:ascii="Times New Roman" w:hAnsi="Times New Roman" w:cs="Times New Roman"/>
          <w:sz w:val="24"/>
          <w:szCs w:val="24"/>
        </w:rPr>
        <w:t>.</w:t>
      </w:r>
      <w:r w:rsidR="008823F6" w:rsidRPr="00084CD2">
        <w:rPr>
          <w:rFonts w:ascii="Times New Roman" w:hAnsi="Times New Roman" w:cs="Times New Roman"/>
          <w:sz w:val="24"/>
          <w:szCs w:val="24"/>
        </w:rPr>
        <w:t xml:space="preserve"> </w:t>
      </w:r>
      <w:r w:rsidR="003831B3" w:rsidRPr="00084CD2">
        <w:rPr>
          <w:rFonts w:ascii="Times New Roman" w:hAnsi="Times New Roman" w:cs="Times New Roman"/>
          <w:sz w:val="24"/>
          <w:szCs w:val="24"/>
        </w:rPr>
        <w:t>A</w:t>
      </w:r>
      <w:r w:rsidR="008823F6" w:rsidRPr="00084CD2">
        <w:rPr>
          <w:rFonts w:ascii="Times New Roman" w:hAnsi="Times New Roman" w:cs="Times New Roman"/>
          <w:sz w:val="24"/>
          <w:szCs w:val="24"/>
        </w:rPr>
        <w:t xml:space="preserve">simismo, </w:t>
      </w:r>
      <w:r w:rsidRPr="00084CD2">
        <w:rPr>
          <w:rFonts w:ascii="Times New Roman" w:hAnsi="Times New Roman" w:cs="Times New Roman"/>
          <w:sz w:val="24"/>
          <w:szCs w:val="24"/>
        </w:rPr>
        <w:t>cuando la serie cumple criterios de estacionariedad evaluados mediante pruebas ADF (</w:t>
      </w:r>
      <w:proofErr w:type="spellStart"/>
      <w:r w:rsidRPr="00084CD2">
        <w:rPr>
          <w:rFonts w:ascii="Times New Roman" w:hAnsi="Times New Roman" w:cs="Times New Roman"/>
          <w:sz w:val="24"/>
          <w:szCs w:val="24"/>
        </w:rPr>
        <w:t>Pankratz</w:t>
      </w:r>
      <w:proofErr w:type="spellEnd"/>
      <w:r w:rsidRPr="00084CD2">
        <w:rPr>
          <w:rFonts w:ascii="Times New Roman" w:hAnsi="Times New Roman" w:cs="Times New Roman"/>
          <w:sz w:val="24"/>
          <w:szCs w:val="24"/>
        </w:rPr>
        <w:t xml:space="preserve">, 1983; </w:t>
      </w:r>
      <w:proofErr w:type="spellStart"/>
      <w:r w:rsidRPr="00084CD2">
        <w:rPr>
          <w:rFonts w:ascii="Times New Roman" w:hAnsi="Times New Roman" w:cs="Times New Roman"/>
          <w:sz w:val="24"/>
          <w:szCs w:val="24"/>
        </w:rPr>
        <w:t>Enders</w:t>
      </w:r>
      <w:proofErr w:type="spellEnd"/>
      <w:r w:rsidRPr="00084CD2">
        <w:rPr>
          <w:rFonts w:ascii="Times New Roman" w:hAnsi="Times New Roman" w:cs="Times New Roman"/>
          <w:sz w:val="24"/>
          <w:szCs w:val="24"/>
        </w:rPr>
        <w:t>, 2014).</w:t>
      </w:r>
    </w:p>
    <w:p w14:paraId="717E9BA6" w14:textId="211E7A5D" w:rsidR="00A40EE2" w:rsidRPr="00084CD2" w:rsidRDefault="00A40EE2"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Por su parte, el UCM permitió descomponer el INPC en elementos permanentes y transitorios, lo cual es congruente con la literatura que utiliza este enfoque para analizar choques cíclicos y efectos estacionales (</w:t>
      </w:r>
      <w:proofErr w:type="spellStart"/>
      <w:r w:rsidRPr="00084CD2">
        <w:rPr>
          <w:rFonts w:ascii="Times New Roman" w:hAnsi="Times New Roman" w:cs="Times New Roman"/>
          <w:sz w:val="24"/>
          <w:szCs w:val="24"/>
        </w:rPr>
        <w:t>Ercolani</w:t>
      </w:r>
      <w:proofErr w:type="spellEnd"/>
      <w:r w:rsidRPr="00084CD2">
        <w:rPr>
          <w:rFonts w:ascii="Times New Roman" w:hAnsi="Times New Roman" w:cs="Times New Roman"/>
          <w:sz w:val="24"/>
          <w:szCs w:val="24"/>
        </w:rPr>
        <w:t xml:space="preserve">, 2023; </w:t>
      </w:r>
      <w:proofErr w:type="spellStart"/>
      <w:r w:rsidRPr="00084CD2">
        <w:rPr>
          <w:rFonts w:ascii="Times New Roman" w:hAnsi="Times New Roman" w:cs="Times New Roman"/>
          <w:sz w:val="24"/>
          <w:szCs w:val="24"/>
        </w:rPr>
        <w:t>Sujata</w:t>
      </w:r>
      <w:proofErr w:type="spellEnd"/>
      <w:r w:rsidRPr="00084CD2">
        <w:rPr>
          <w:rFonts w:ascii="Times New Roman" w:hAnsi="Times New Roman" w:cs="Times New Roman"/>
          <w:sz w:val="24"/>
          <w:szCs w:val="24"/>
        </w:rPr>
        <w:t>, 2010). La inclusión del componente irregular resulta metodológicamente adecuada, dado que absorbe fluctuaciones aleatorias sin dirección sistemática, por lo que su exclusión podría sesgar la estructura del modelo (</w:t>
      </w:r>
      <w:proofErr w:type="spellStart"/>
      <w:r w:rsidRPr="00084CD2">
        <w:rPr>
          <w:rFonts w:ascii="Times New Roman" w:hAnsi="Times New Roman" w:cs="Times New Roman"/>
          <w:sz w:val="24"/>
          <w:szCs w:val="24"/>
        </w:rPr>
        <w:t>Brintha</w:t>
      </w:r>
      <w:proofErr w:type="spellEnd"/>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et al</w:t>
      </w:r>
      <w:r w:rsidRPr="00084CD2">
        <w:rPr>
          <w:rFonts w:ascii="Times New Roman" w:hAnsi="Times New Roman" w:cs="Times New Roman"/>
          <w:sz w:val="24"/>
          <w:szCs w:val="24"/>
        </w:rPr>
        <w:t>., 2014). La presencia de ciclos irregulares en el INPC es coherente con el entendimiento económico de los ciclos como oscilaciones recurrentes, aunque no necesariamente periódicas, resultado ampliamente discutido en la teoría macroeconómica (Mankiw, 2012).</w:t>
      </w:r>
    </w:p>
    <w:p w14:paraId="50108A86" w14:textId="294900BA" w:rsidR="00A40EE2" w:rsidRPr="00084CD2" w:rsidRDefault="00A40EE2"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Si bien el UCM aportó una mejor caracterización estructural de la serie al identificar elementos transitorios y permanentes, su menor precisión predictiva sugiere que la descomposición estructural no necesariamente optimiza el pronóstico cuando la finalidad es predictiva. Este hallazgo es consistente con trabajos que han señalado que la estabilidad del patrón histórico es un determinante clave del desempeño en modelos de series de tiempo (Luis </w:t>
      </w:r>
      <w:r w:rsidRPr="00084CD2">
        <w:rPr>
          <w:rFonts w:ascii="Times New Roman" w:hAnsi="Times New Roman" w:cs="Times New Roman"/>
          <w:i/>
          <w:iCs/>
          <w:sz w:val="24"/>
          <w:szCs w:val="24"/>
        </w:rPr>
        <w:t>et al</w:t>
      </w:r>
      <w:r w:rsidRPr="00084CD2">
        <w:rPr>
          <w:rFonts w:ascii="Times New Roman" w:hAnsi="Times New Roman" w:cs="Times New Roman"/>
          <w:sz w:val="24"/>
          <w:szCs w:val="24"/>
        </w:rPr>
        <w:t>., 2019). En particular, la literatura mexicana también ha documentado que los esquemas estacionales deterministas tienden a mejorar los errores cuadráticos medios en horizontes fuera de muestra, reforzando los resultados del presente estudio (Flores, 2017).</w:t>
      </w:r>
    </w:p>
    <w:p w14:paraId="46ACEA0A" w14:textId="670B4D14" w:rsidR="008823F6" w:rsidRPr="00084CD2" w:rsidRDefault="00A40EE2" w:rsidP="00084CD2">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Ambos modelos presentaron sobreestimación hacia el final del horizonte analizado, fenómeno asociado a </w:t>
      </w:r>
      <w:r w:rsidR="003831B3" w:rsidRPr="00084CD2">
        <w:rPr>
          <w:rFonts w:ascii="Times New Roman" w:hAnsi="Times New Roman" w:cs="Times New Roman"/>
          <w:sz w:val="24"/>
          <w:szCs w:val="24"/>
        </w:rPr>
        <w:t xml:space="preserve">choques </w:t>
      </w:r>
      <w:r w:rsidRPr="00084CD2">
        <w:rPr>
          <w:rFonts w:ascii="Times New Roman" w:hAnsi="Times New Roman" w:cs="Times New Roman"/>
          <w:sz w:val="24"/>
          <w:szCs w:val="24"/>
        </w:rPr>
        <w:t xml:space="preserve">externos, ajustes de política monetaria y volatilidad </w:t>
      </w:r>
      <w:proofErr w:type="spellStart"/>
      <w:r w:rsidRPr="00084CD2">
        <w:rPr>
          <w:rFonts w:ascii="Times New Roman" w:hAnsi="Times New Roman" w:cs="Times New Roman"/>
          <w:sz w:val="24"/>
          <w:szCs w:val="24"/>
        </w:rPr>
        <w:t>pospandemia</w:t>
      </w:r>
      <w:proofErr w:type="spellEnd"/>
      <w:r w:rsidRPr="00084CD2">
        <w:rPr>
          <w:rFonts w:ascii="Times New Roman" w:hAnsi="Times New Roman" w:cs="Times New Roman"/>
          <w:sz w:val="24"/>
          <w:szCs w:val="24"/>
        </w:rPr>
        <w:t xml:space="preserve"> en países emergentes (BANXICO, 2022; O</w:t>
      </w:r>
      <w:r w:rsidR="0051147B" w:rsidRPr="00084CD2">
        <w:rPr>
          <w:rFonts w:ascii="Times New Roman" w:hAnsi="Times New Roman" w:cs="Times New Roman"/>
          <w:sz w:val="24"/>
          <w:szCs w:val="24"/>
        </w:rPr>
        <w:t>CDE</w:t>
      </w:r>
      <w:r w:rsidRPr="00084CD2">
        <w:rPr>
          <w:rFonts w:ascii="Times New Roman" w:hAnsi="Times New Roman" w:cs="Times New Roman"/>
          <w:sz w:val="24"/>
          <w:szCs w:val="24"/>
        </w:rPr>
        <w:t xml:space="preserve">, 2023). Entre las limitaciones del estudio destaca el uso de un enfoque </w:t>
      </w:r>
      <w:proofErr w:type="spellStart"/>
      <w:r w:rsidRPr="00084CD2">
        <w:rPr>
          <w:rFonts w:ascii="Times New Roman" w:hAnsi="Times New Roman" w:cs="Times New Roman"/>
          <w:sz w:val="24"/>
          <w:szCs w:val="24"/>
        </w:rPr>
        <w:t>univariado</w:t>
      </w:r>
      <w:proofErr w:type="spellEnd"/>
      <w:r w:rsidRPr="00084CD2">
        <w:rPr>
          <w:rFonts w:ascii="Times New Roman" w:hAnsi="Times New Roman" w:cs="Times New Roman"/>
          <w:sz w:val="24"/>
          <w:szCs w:val="24"/>
        </w:rPr>
        <w:t xml:space="preserve"> sin incorporar variables determinantes como tipo de cambio, precios energéticos o actividad económica, variables reconocidas como relevantes para explicar la inflación mexicana y latinoamericana (De Gregorio, 2019; </w:t>
      </w:r>
      <w:proofErr w:type="spellStart"/>
      <w:r w:rsidRPr="00084CD2">
        <w:rPr>
          <w:rFonts w:ascii="Times New Roman" w:hAnsi="Times New Roman" w:cs="Times New Roman"/>
          <w:sz w:val="24"/>
          <w:szCs w:val="24"/>
        </w:rPr>
        <w:t>Bonizzi</w:t>
      </w:r>
      <w:proofErr w:type="spellEnd"/>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et al</w:t>
      </w:r>
      <w:r w:rsidRPr="00084CD2">
        <w:rPr>
          <w:rFonts w:ascii="Times New Roman" w:hAnsi="Times New Roman" w:cs="Times New Roman"/>
          <w:sz w:val="24"/>
          <w:szCs w:val="24"/>
        </w:rPr>
        <w:t xml:space="preserve">., 2022). </w:t>
      </w:r>
      <w:r w:rsidR="00A37A93" w:rsidRPr="00084CD2">
        <w:rPr>
          <w:rFonts w:ascii="Times New Roman" w:hAnsi="Times New Roman" w:cs="Times New Roman"/>
          <w:sz w:val="24"/>
          <w:szCs w:val="24"/>
        </w:rPr>
        <w:t>No obstante</w:t>
      </w:r>
      <w:r w:rsidRPr="00084CD2">
        <w:rPr>
          <w:rFonts w:ascii="Times New Roman" w:hAnsi="Times New Roman" w:cs="Times New Roman"/>
          <w:sz w:val="24"/>
          <w:szCs w:val="24"/>
        </w:rPr>
        <w:t xml:space="preserve">, los resultados contribuyen metodológicamente para el análisis aplicado en </w:t>
      </w:r>
      <w:r w:rsidR="00A37A93" w:rsidRPr="00084CD2">
        <w:rPr>
          <w:rFonts w:ascii="Times New Roman" w:hAnsi="Times New Roman" w:cs="Times New Roman"/>
          <w:sz w:val="24"/>
          <w:szCs w:val="24"/>
        </w:rPr>
        <w:t>el ámbito nacional e internacional</w:t>
      </w:r>
      <w:r w:rsidR="00084CD2">
        <w:rPr>
          <w:rFonts w:ascii="Times New Roman" w:hAnsi="Times New Roman" w:cs="Times New Roman"/>
          <w:sz w:val="24"/>
          <w:szCs w:val="24"/>
        </w:rPr>
        <w:t>.</w:t>
      </w:r>
    </w:p>
    <w:p w14:paraId="729B6C41" w14:textId="66337A1F" w:rsidR="008823F6" w:rsidRPr="00084CD2" w:rsidRDefault="008823F6" w:rsidP="008823F6">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Estudios recientes han comenzado a explorar enfoques híbridos que combinan modelos SARIMA con técnicas de aprendizaje automático, logrando mejoras significativas en la precisión predictiva en contextos inflacionarios complejos (Peirano et al., 2021). Estos avances sugieren que la integración de metodologías tradicionales y modernas representa una línea prometedora para el análisis económico aplicado.</w:t>
      </w:r>
    </w:p>
    <w:p w14:paraId="04A2F849" w14:textId="749EC194" w:rsidR="00EF2556" w:rsidRPr="00084CD2" w:rsidRDefault="00EF2556" w:rsidP="000F35DD">
      <w:pPr>
        <w:spacing w:after="0" w:line="360" w:lineRule="auto"/>
        <w:contextualSpacing/>
        <w:jc w:val="center"/>
        <w:rPr>
          <w:rFonts w:ascii="Times New Roman" w:hAnsi="Times New Roman" w:cs="Times New Roman"/>
          <w:b/>
          <w:sz w:val="32"/>
          <w:szCs w:val="32"/>
        </w:rPr>
      </w:pPr>
      <w:r w:rsidRPr="00084CD2">
        <w:rPr>
          <w:rFonts w:ascii="Times New Roman" w:hAnsi="Times New Roman" w:cs="Times New Roman"/>
          <w:b/>
          <w:sz w:val="32"/>
          <w:szCs w:val="32"/>
        </w:rPr>
        <w:lastRenderedPageBreak/>
        <w:t>C</w:t>
      </w:r>
      <w:r w:rsidR="00C05BE0" w:rsidRPr="00084CD2">
        <w:rPr>
          <w:rFonts w:ascii="Times New Roman" w:hAnsi="Times New Roman" w:cs="Times New Roman"/>
          <w:b/>
          <w:sz w:val="32"/>
          <w:szCs w:val="32"/>
        </w:rPr>
        <w:t>onclusiones</w:t>
      </w:r>
    </w:p>
    <w:p w14:paraId="501BAE8F" w14:textId="7269675B" w:rsidR="00620A08" w:rsidRPr="00084CD2" w:rsidRDefault="004B61A0" w:rsidP="009F0ECD">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Dentro del enfoque de </w:t>
      </w:r>
      <w:r w:rsidR="00122A68" w:rsidRPr="00084CD2">
        <w:rPr>
          <w:rFonts w:ascii="Times New Roman" w:hAnsi="Times New Roman" w:cs="Times New Roman"/>
          <w:sz w:val="24"/>
          <w:szCs w:val="24"/>
        </w:rPr>
        <w:t>elementos</w:t>
      </w:r>
      <w:r w:rsidRPr="00084CD2">
        <w:rPr>
          <w:rFonts w:ascii="Times New Roman" w:hAnsi="Times New Roman" w:cs="Times New Roman"/>
          <w:sz w:val="24"/>
          <w:szCs w:val="24"/>
        </w:rPr>
        <w:t xml:space="preserve"> no observables</w:t>
      </w:r>
      <w:r w:rsidR="00A75E68" w:rsidRPr="00084CD2">
        <w:rPr>
          <w:rFonts w:ascii="Times New Roman" w:hAnsi="Times New Roman" w:cs="Times New Roman"/>
          <w:sz w:val="24"/>
          <w:szCs w:val="24"/>
        </w:rPr>
        <w:t xml:space="preserve">, las variaciones asociadas </w:t>
      </w:r>
      <w:r w:rsidRPr="00084CD2">
        <w:rPr>
          <w:rFonts w:ascii="Times New Roman" w:hAnsi="Times New Roman" w:cs="Times New Roman"/>
          <w:sz w:val="24"/>
          <w:szCs w:val="24"/>
        </w:rPr>
        <w:t>al patrón</w:t>
      </w:r>
      <w:r w:rsidR="00A75E68" w:rsidRPr="00084CD2">
        <w:rPr>
          <w:rFonts w:ascii="Times New Roman" w:hAnsi="Times New Roman" w:cs="Times New Roman"/>
          <w:sz w:val="24"/>
          <w:szCs w:val="24"/>
        </w:rPr>
        <w:t xml:space="preserve"> </w:t>
      </w:r>
      <w:r w:rsidRPr="00084CD2">
        <w:rPr>
          <w:rFonts w:ascii="Times New Roman" w:hAnsi="Times New Roman" w:cs="Times New Roman"/>
          <w:sz w:val="24"/>
          <w:szCs w:val="24"/>
        </w:rPr>
        <w:t xml:space="preserve">tendencial </w:t>
      </w:r>
      <w:r w:rsidR="00A75E68" w:rsidRPr="00084CD2">
        <w:rPr>
          <w:rFonts w:ascii="Times New Roman" w:hAnsi="Times New Roman" w:cs="Times New Roman"/>
          <w:sz w:val="24"/>
          <w:szCs w:val="24"/>
        </w:rPr>
        <w:t xml:space="preserve">se explican principalmente por modificaciones en la pendiente y no por cambios en el nivel, reflejando un crecimiento sostenido y constante a lo largo del periodo analizado. Por su parte, el </w:t>
      </w:r>
      <w:r w:rsidRPr="00084CD2">
        <w:rPr>
          <w:rFonts w:ascii="Times New Roman" w:hAnsi="Times New Roman" w:cs="Times New Roman"/>
          <w:sz w:val="24"/>
          <w:szCs w:val="24"/>
        </w:rPr>
        <w:t>modelo</w:t>
      </w:r>
      <w:r w:rsidR="00A75E68" w:rsidRPr="00084CD2">
        <w:rPr>
          <w:rFonts w:ascii="Times New Roman" w:hAnsi="Times New Roman" w:cs="Times New Roman"/>
          <w:sz w:val="24"/>
          <w:szCs w:val="24"/>
        </w:rPr>
        <w:t xml:space="preserve"> estacional autorregresivo integrado de media móvil</w:t>
      </w:r>
      <w:r w:rsidR="006F0CEA" w:rsidRPr="00084CD2">
        <w:rPr>
          <w:rFonts w:ascii="Times New Roman" w:hAnsi="Times New Roman" w:cs="Times New Roman"/>
          <w:sz w:val="24"/>
          <w:szCs w:val="24"/>
        </w:rPr>
        <w:t xml:space="preserve"> </w:t>
      </w:r>
      <w:r w:rsidR="00A75E68" w:rsidRPr="00084CD2">
        <w:rPr>
          <w:rFonts w:ascii="Times New Roman" w:hAnsi="Times New Roman" w:cs="Times New Roman"/>
          <w:sz w:val="24"/>
          <w:szCs w:val="24"/>
        </w:rPr>
        <w:t xml:space="preserve">permitió ajustar adecuadamente la dinámica de una serie temporal, ya </w:t>
      </w:r>
      <w:r w:rsidR="006F0CEA" w:rsidRPr="00084CD2">
        <w:rPr>
          <w:rFonts w:ascii="Times New Roman" w:hAnsi="Times New Roman" w:cs="Times New Roman"/>
          <w:sz w:val="24"/>
          <w:szCs w:val="24"/>
        </w:rPr>
        <w:t>sea</w:t>
      </w:r>
      <w:r w:rsidR="00A75E68" w:rsidRPr="00084CD2">
        <w:rPr>
          <w:rFonts w:ascii="Times New Roman" w:hAnsi="Times New Roman" w:cs="Times New Roman"/>
          <w:sz w:val="24"/>
          <w:szCs w:val="24"/>
        </w:rPr>
        <w:t xml:space="preserve"> estable o con fluctuaciones, empleando diferenciación simple y </w:t>
      </w:r>
      <w:r w:rsidR="006F0CEA" w:rsidRPr="00084CD2">
        <w:rPr>
          <w:rFonts w:ascii="Times New Roman" w:hAnsi="Times New Roman" w:cs="Times New Roman"/>
          <w:sz w:val="24"/>
          <w:szCs w:val="24"/>
        </w:rPr>
        <w:t xml:space="preserve">términos autorregresivos </w:t>
      </w:r>
      <w:r w:rsidR="00A75E68" w:rsidRPr="00084CD2">
        <w:rPr>
          <w:rFonts w:ascii="Times New Roman" w:hAnsi="Times New Roman" w:cs="Times New Roman"/>
          <w:sz w:val="24"/>
          <w:szCs w:val="24"/>
        </w:rPr>
        <w:t xml:space="preserve">para capturar tendencias determinísticas o estocásticas. El proceso </w:t>
      </w:r>
      <w:proofErr w:type="gramStart"/>
      <w:r w:rsidR="00A75E68" w:rsidRPr="00084CD2">
        <w:rPr>
          <w:rFonts w:ascii="Times New Roman" w:hAnsi="Times New Roman" w:cs="Times New Roman"/>
          <w:sz w:val="24"/>
          <w:szCs w:val="24"/>
        </w:rPr>
        <w:t>SARIMA(</w:t>
      </w:r>
      <w:proofErr w:type="gramEnd"/>
      <w:r w:rsidR="00A75E68" w:rsidRPr="00084CD2">
        <w:rPr>
          <w:rFonts w:ascii="Times New Roman" w:hAnsi="Times New Roman" w:cs="Times New Roman"/>
          <w:sz w:val="24"/>
          <w:szCs w:val="24"/>
        </w:rPr>
        <w:t>2,1,0)×(0,1,1)</w:t>
      </w:r>
      <w:r w:rsidR="00A75E68" w:rsidRPr="00084CD2">
        <w:rPr>
          <w:rFonts w:ascii="Times New Roman" w:hAnsi="Times New Roman" w:cs="Times New Roman"/>
          <w:sz w:val="24"/>
          <w:szCs w:val="24"/>
          <w:vertAlign w:val="subscript"/>
        </w:rPr>
        <w:t>s=12</w:t>
      </w:r>
      <w:r w:rsidR="00A75E68" w:rsidRPr="00084CD2">
        <w:rPr>
          <w:rFonts w:ascii="Times New Roman" w:hAnsi="Times New Roman" w:cs="Times New Roman"/>
          <w:sz w:val="24"/>
          <w:szCs w:val="24"/>
        </w:rPr>
        <w:t xml:space="preserve"> ofreció la representación más adecuada </w:t>
      </w:r>
      <w:r w:rsidR="006F0CEA" w:rsidRPr="00084CD2">
        <w:rPr>
          <w:rFonts w:ascii="Times New Roman" w:hAnsi="Times New Roman" w:cs="Times New Roman"/>
          <w:sz w:val="24"/>
          <w:szCs w:val="24"/>
        </w:rPr>
        <w:t>dentro del conjunto evaluado</w:t>
      </w:r>
      <w:r w:rsidR="00A75E68" w:rsidRPr="00084CD2">
        <w:rPr>
          <w:rFonts w:ascii="Times New Roman" w:hAnsi="Times New Roman" w:cs="Times New Roman"/>
          <w:sz w:val="24"/>
          <w:szCs w:val="24"/>
        </w:rPr>
        <w:t xml:space="preserve">. Su desempeño predictivo resultó satisfactorio, con un margen de error fuera de muestra inferior al 30%. En conjunto, la estimación de parámetros y los pronósticos obtenidos siguiendo el principio de </w:t>
      </w:r>
      <w:r w:rsidRPr="00084CD2">
        <w:rPr>
          <w:rFonts w:ascii="Times New Roman" w:hAnsi="Times New Roman" w:cs="Times New Roman"/>
          <w:sz w:val="24"/>
          <w:szCs w:val="24"/>
        </w:rPr>
        <w:t xml:space="preserve">simplicidad o </w:t>
      </w:r>
      <w:r w:rsidR="00A75E68" w:rsidRPr="00084CD2">
        <w:rPr>
          <w:rFonts w:ascii="Times New Roman" w:hAnsi="Times New Roman" w:cs="Times New Roman"/>
          <w:sz w:val="24"/>
          <w:szCs w:val="24"/>
        </w:rPr>
        <w:t xml:space="preserve">parsimonia y considerando la evolución histórica de la serie proporcionan información útil para </w:t>
      </w:r>
      <w:r w:rsidR="00A55AB6" w:rsidRPr="00084CD2">
        <w:rPr>
          <w:rFonts w:ascii="Times New Roman" w:hAnsi="Times New Roman" w:cs="Times New Roman"/>
          <w:sz w:val="24"/>
          <w:szCs w:val="24"/>
        </w:rPr>
        <w:t>tomadores de</w:t>
      </w:r>
      <w:r w:rsidR="00A75E68" w:rsidRPr="00084CD2">
        <w:rPr>
          <w:rFonts w:ascii="Times New Roman" w:hAnsi="Times New Roman" w:cs="Times New Roman"/>
          <w:sz w:val="24"/>
          <w:szCs w:val="24"/>
        </w:rPr>
        <w:t xml:space="preserve"> decisiones económicas</w:t>
      </w:r>
      <w:r w:rsidR="00162828" w:rsidRPr="00084CD2">
        <w:rPr>
          <w:rFonts w:ascii="Times New Roman" w:hAnsi="Times New Roman" w:cs="Times New Roman"/>
          <w:sz w:val="24"/>
          <w:szCs w:val="24"/>
        </w:rPr>
        <w:t xml:space="preserve"> </w:t>
      </w:r>
      <w:r w:rsidR="00DD5AB1" w:rsidRPr="00084CD2">
        <w:rPr>
          <w:rFonts w:ascii="Times New Roman" w:hAnsi="Times New Roman" w:cs="Times New Roman"/>
          <w:sz w:val="24"/>
          <w:szCs w:val="24"/>
        </w:rPr>
        <w:t>estratégicas</w:t>
      </w:r>
      <w:r w:rsidRPr="00084CD2">
        <w:rPr>
          <w:rFonts w:ascii="Times New Roman" w:hAnsi="Times New Roman" w:cs="Times New Roman"/>
          <w:sz w:val="24"/>
          <w:szCs w:val="24"/>
        </w:rPr>
        <w:t xml:space="preserve">, sustentada en información que explica </w:t>
      </w:r>
      <w:r w:rsidR="00A55AB6" w:rsidRPr="00084CD2">
        <w:rPr>
          <w:rFonts w:ascii="Times New Roman" w:hAnsi="Times New Roman" w:cs="Times New Roman"/>
          <w:sz w:val="24"/>
          <w:szCs w:val="24"/>
        </w:rPr>
        <w:t xml:space="preserve">de forma eficiente y </w:t>
      </w:r>
      <w:r w:rsidR="00DD5AB1" w:rsidRPr="00084CD2">
        <w:rPr>
          <w:rFonts w:ascii="Times New Roman" w:hAnsi="Times New Roman" w:cs="Times New Roman"/>
          <w:sz w:val="24"/>
          <w:szCs w:val="24"/>
        </w:rPr>
        <w:t xml:space="preserve">estadística </w:t>
      </w:r>
      <w:r w:rsidR="00317B5C" w:rsidRPr="00084CD2">
        <w:rPr>
          <w:rFonts w:ascii="Times New Roman" w:hAnsi="Times New Roman" w:cs="Times New Roman"/>
          <w:sz w:val="24"/>
          <w:szCs w:val="24"/>
        </w:rPr>
        <w:t xml:space="preserve">la complejidad de un fenómeno que monitorea los cambios </w:t>
      </w:r>
      <w:r w:rsidR="00577688" w:rsidRPr="00084CD2">
        <w:rPr>
          <w:rFonts w:ascii="Times New Roman" w:hAnsi="Times New Roman" w:cs="Times New Roman"/>
          <w:sz w:val="24"/>
          <w:szCs w:val="24"/>
        </w:rPr>
        <w:t>en el nivel de gasto necesario para que los hogares mantengan su bienestar en un país</w:t>
      </w:r>
      <w:r w:rsidR="00317B5C" w:rsidRPr="00084CD2">
        <w:rPr>
          <w:rFonts w:ascii="Times New Roman" w:hAnsi="Times New Roman" w:cs="Times New Roman"/>
          <w:sz w:val="24"/>
          <w:szCs w:val="24"/>
        </w:rPr>
        <w:t>.</w:t>
      </w:r>
      <w:r w:rsidR="00ED0E14" w:rsidRPr="00084CD2">
        <w:rPr>
          <w:rFonts w:ascii="Times New Roman" w:hAnsi="Times New Roman" w:cs="Times New Roman"/>
          <w:sz w:val="24"/>
          <w:szCs w:val="24"/>
        </w:rPr>
        <w:t xml:space="preserve"> Este estudio contribuye a la literatura empírica al comparar dos enfoques metodológicos ampliamente utilizados en el análisis de series de tiempo, proporcionando evidencia aplicada para el caso mexicano con información reciente. La diferenciación entre capacidad predictiva y descomposición estructural constituye un aporte relevante para la toma de decisiones en política económica.</w:t>
      </w:r>
    </w:p>
    <w:p w14:paraId="3701A3BE" w14:textId="77777777" w:rsidR="00ED0E14" w:rsidRPr="00084CD2" w:rsidRDefault="00ED0E14" w:rsidP="009F0ECD">
      <w:pPr>
        <w:spacing w:after="0" w:line="360" w:lineRule="auto"/>
        <w:ind w:firstLine="1134"/>
        <w:contextualSpacing/>
        <w:jc w:val="both"/>
        <w:rPr>
          <w:rFonts w:ascii="Times New Roman" w:hAnsi="Times New Roman" w:cs="Times New Roman"/>
          <w:sz w:val="24"/>
          <w:szCs w:val="24"/>
        </w:rPr>
      </w:pPr>
    </w:p>
    <w:p w14:paraId="145A3EBF" w14:textId="6525ED2B" w:rsidR="006C2BE8" w:rsidRPr="00084CD2" w:rsidRDefault="00077F80" w:rsidP="006C2BE8">
      <w:pPr>
        <w:spacing w:after="0" w:line="360" w:lineRule="auto"/>
        <w:contextualSpacing/>
        <w:jc w:val="center"/>
        <w:rPr>
          <w:rFonts w:ascii="Times New Roman" w:hAnsi="Times New Roman" w:cs="Times New Roman"/>
          <w:b/>
          <w:bCs/>
          <w:sz w:val="28"/>
          <w:szCs w:val="28"/>
        </w:rPr>
      </w:pPr>
      <w:r w:rsidRPr="00084CD2">
        <w:rPr>
          <w:rFonts w:ascii="Times New Roman" w:hAnsi="Times New Roman" w:cs="Times New Roman"/>
          <w:b/>
          <w:bCs/>
          <w:sz w:val="28"/>
          <w:szCs w:val="28"/>
        </w:rPr>
        <w:t>Futuras líneas de investigación</w:t>
      </w:r>
    </w:p>
    <w:p w14:paraId="15BBB6A7" w14:textId="17461163" w:rsidR="006C2BE8" w:rsidRPr="00084CD2" w:rsidRDefault="006C2BE8" w:rsidP="006C2BE8">
      <w:pPr>
        <w:spacing w:after="0" w:line="360" w:lineRule="auto"/>
        <w:ind w:firstLine="1134"/>
        <w:contextualSpacing/>
        <w:jc w:val="both"/>
        <w:rPr>
          <w:rFonts w:ascii="Times New Roman" w:hAnsi="Times New Roman" w:cs="Times New Roman"/>
          <w:sz w:val="24"/>
          <w:szCs w:val="24"/>
        </w:rPr>
      </w:pPr>
      <w:r w:rsidRPr="00084CD2">
        <w:rPr>
          <w:rFonts w:ascii="Times New Roman" w:hAnsi="Times New Roman" w:cs="Times New Roman"/>
          <w:sz w:val="24"/>
          <w:szCs w:val="24"/>
        </w:rPr>
        <w:t xml:space="preserve">Con base en los hallazgos y limitaciones del presente estudio, se proponen diversas líneas para investigaciones futuras orientadas a fortalecer el análisis y la capacidad predictiva de los modelos de inflación. En primer lugar, resulta pertinente la incorporación de variables exógenas mediante el desarrollo de modelos multivariados que integren determinantes clave de la inflación mexicana, como el tipo de cambio, las tasas de interés, los precios de energéticos y la actividad económica, con el fin de mejorar la precisión en horizontes de mediano y largo plazo. Asimismo, se sugiere explorar modelos híbridos y no lineales que combinen enfoques SARIMA con técnicas de aprendizaje automático, como redes neuronales o modelos de cambio de régimen, capaces de capturar patrones complejos y cambios estructurales en la dinámica inflacionaria. De igual forma, es recomendable </w:t>
      </w:r>
      <w:r w:rsidRPr="00084CD2">
        <w:rPr>
          <w:rFonts w:ascii="Times New Roman" w:hAnsi="Times New Roman" w:cs="Times New Roman"/>
          <w:sz w:val="24"/>
          <w:szCs w:val="24"/>
        </w:rPr>
        <w:lastRenderedPageBreak/>
        <w:t>realizar análisis desagregados del INPC, diferenciando entre componentes subyacentes y no subyacentes, para identificar fuentes específicas de presión inflacionaria y perfeccionar los pronósticos. También se plantea la necesidad de validar los modelos en horizontes temporales más amplios que incluyan ciclos económicos completos y episodios de alta volatilidad, como crisis financieras o pandemias, con el propósito de evaluar su robustez en contextos de incertidumbre. Finalmente, se propone incorporar escenarios de política monetaria mediante simulaciones que permitan analizar la sensibilidad de los pronósticos ante distintos regímenes y estrategias del banco central.</w:t>
      </w:r>
    </w:p>
    <w:p w14:paraId="59FCC56C" w14:textId="77777777" w:rsidR="00ED0E14" w:rsidRPr="00084CD2" w:rsidRDefault="00ED0E14" w:rsidP="00ED0E14">
      <w:pPr>
        <w:spacing w:after="0" w:line="360" w:lineRule="auto"/>
        <w:ind w:firstLine="1134"/>
        <w:contextualSpacing/>
        <w:jc w:val="both"/>
        <w:rPr>
          <w:rFonts w:ascii="Times New Roman" w:hAnsi="Times New Roman" w:cs="Times New Roman"/>
          <w:sz w:val="24"/>
          <w:szCs w:val="24"/>
        </w:rPr>
      </w:pPr>
    </w:p>
    <w:p w14:paraId="51048F78" w14:textId="18FF9701" w:rsidR="003F2832" w:rsidRPr="00084CD2" w:rsidRDefault="003C27E0" w:rsidP="00084CD2">
      <w:pPr>
        <w:spacing w:after="0" w:line="360" w:lineRule="auto"/>
        <w:contextualSpacing/>
        <w:rPr>
          <w:rFonts w:cstheme="minorHAnsi"/>
          <w:b/>
          <w:sz w:val="28"/>
          <w:szCs w:val="28"/>
        </w:rPr>
      </w:pPr>
      <w:r w:rsidRPr="00084CD2">
        <w:rPr>
          <w:rFonts w:cstheme="minorHAnsi"/>
          <w:b/>
          <w:sz w:val="28"/>
          <w:szCs w:val="28"/>
        </w:rPr>
        <w:t>R</w:t>
      </w:r>
      <w:r w:rsidR="00C05BE0" w:rsidRPr="00084CD2">
        <w:rPr>
          <w:rFonts w:cstheme="minorHAnsi"/>
          <w:b/>
          <w:sz w:val="28"/>
          <w:szCs w:val="28"/>
        </w:rPr>
        <w:t>eferencias</w:t>
      </w:r>
    </w:p>
    <w:p w14:paraId="5DB4E9A0" w14:textId="70E7FA2E"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Alonso, J. C. y Rivera, A. F.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2017</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Pronosticando la inflación mensual en Colombia un paso hacia delante: una aproximación “de abajo hacia arriba”. </w:t>
      </w:r>
      <w:r w:rsidRPr="00084CD2">
        <w:rPr>
          <w:rFonts w:ascii="Times New Roman" w:hAnsi="Times New Roman" w:cs="Times New Roman"/>
          <w:i/>
          <w:iCs/>
          <w:sz w:val="24"/>
          <w:szCs w:val="24"/>
        </w:rPr>
        <w:t>Revista de Métodos Cuantitativos para la Economía y la Empresa</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23</w:t>
      </w:r>
      <w:r w:rsidR="00A653BA" w:rsidRPr="00084CD2">
        <w:rPr>
          <w:rFonts w:ascii="Times New Roman" w:hAnsi="Times New Roman" w:cs="Times New Roman"/>
          <w:sz w:val="24"/>
          <w:szCs w:val="24"/>
        </w:rPr>
        <w:t>,</w:t>
      </w:r>
      <w:r w:rsidRPr="00084CD2">
        <w:rPr>
          <w:rFonts w:ascii="Times New Roman" w:hAnsi="Times New Roman" w:cs="Times New Roman"/>
          <w:sz w:val="24"/>
          <w:szCs w:val="24"/>
        </w:rPr>
        <w:t xml:space="preserve"> 98-118.</w:t>
      </w:r>
    </w:p>
    <w:p w14:paraId="649F17FA" w14:textId="089532CD" w:rsidR="00EE41A2" w:rsidRPr="00084CD2" w:rsidRDefault="00EE41A2" w:rsidP="00EE41A2">
      <w:pPr>
        <w:spacing w:after="0" w:line="360" w:lineRule="auto"/>
        <w:ind w:left="720" w:hanging="720"/>
        <w:jc w:val="both"/>
        <w:rPr>
          <w:rFonts w:ascii="Times New Roman" w:hAnsi="Times New Roman" w:cs="Times New Roman"/>
          <w:sz w:val="24"/>
          <w:szCs w:val="24"/>
        </w:rPr>
      </w:pPr>
      <w:proofErr w:type="spellStart"/>
      <w:r w:rsidRPr="00084CD2">
        <w:rPr>
          <w:rFonts w:ascii="Times New Roman" w:hAnsi="Times New Roman" w:cs="Times New Roman"/>
          <w:sz w:val="24"/>
          <w:szCs w:val="24"/>
        </w:rPr>
        <w:t>Ayllon</w:t>
      </w:r>
      <w:proofErr w:type="spellEnd"/>
      <w:r w:rsidRPr="00084CD2">
        <w:rPr>
          <w:rFonts w:ascii="Times New Roman" w:hAnsi="Times New Roman" w:cs="Times New Roman"/>
          <w:sz w:val="24"/>
          <w:szCs w:val="24"/>
        </w:rPr>
        <w:t xml:space="preserve">, B. J. C., Omaña, S. J. M., Matus, G. J. A., Martínez, D. M. Á., </w:t>
      </w:r>
      <w:proofErr w:type="spellStart"/>
      <w:r w:rsidRPr="00084CD2">
        <w:rPr>
          <w:rFonts w:ascii="Times New Roman" w:hAnsi="Times New Roman" w:cs="Times New Roman"/>
          <w:sz w:val="24"/>
          <w:szCs w:val="24"/>
        </w:rPr>
        <w:t>Sangerman</w:t>
      </w:r>
      <w:proofErr w:type="spellEnd"/>
      <w:r w:rsidRPr="00084CD2">
        <w:rPr>
          <w:rFonts w:ascii="Times New Roman" w:hAnsi="Times New Roman" w:cs="Times New Roman"/>
          <w:sz w:val="24"/>
          <w:szCs w:val="24"/>
        </w:rPr>
        <w:t>, J. D. M. y González, R. F. (2024). Análisis de intervención en la variación porcentual del INPC en México, enero 2002- junio 2020. </w:t>
      </w:r>
      <w:r w:rsidRPr="00084CD2">
        <w:rPr>
          <w:rFonts w:ascii="Times New Roman" w:hAnsi="Times New Roman" w:cs="Times New Roman"/>
          <w:i/>
          <w:iCs/>
          <w:sz w:val="24"/>
          <w:szCs w:val="24"/>
        </w:rPr>
        <w:t>Economía Sociedad y Territorio</w:t>
      </w:r>
      <w:r w:rsidRPr="00084CD2">
        <w:rPr>
          <w:rFonts w:ascii="Times New Roman" w:hAnsi="Times New Roman" w:cs="Times New Roman"/>
          <w:sz w:val="24"/>
          <w:szCs w:val="24"/>
        </w:rPr>
        <w:t>, </w:t>
      </w:r>
      <w:r w:rsidRPr="00084CD2">
        <w:rPr>
          <w:rFonts w:ascii="Times New Roman" w:hAnsi="Times New Roman" w:cs="Times New Roman"/>
          <w:i/>
          <w:iCs/>
          <w:sz w:val="24"/>
          <w:szCs w:val="24"/>
        </w:rPr>
        <w:t>24</w:t>
      </w:r>
      <w:r w:rsidRPr="00084CD2">
        <w:rPr>
          <w:rFonts w:ascii="Times New Roman" w:hAnsi="Times New Roman" w:cs="Times New Roman"/>
          <w:sz w:val="24"/>
          <w:szCs w:val="24"/>
        </w:rPr>
        <w:t>(74), 1-18.</w:t>
      </w:r>
    </w:p>
    <w:p w14:paraId="0073881B" w14:textId="1B31E807"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Banco de México (BANXICO).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w:t>
      </w:r>
      <w:r w:rsidR="003E4379" w:rsidRPr="00084CD2">
        <w:rPr>
          <w:rFonts w:ascii="Times New Roman" w:hAnsi="Times New Roman" w:cs="Times New Roman"/>
          <w:sz w:val="24"/>
          <w:szCs w:val="24"/>
        </w:rPr>
        <w:t>25</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Principales elementos del cambio de base del INPC. Extracto del Informe Trimestral abril - junio 2018. pp. 55-56.</w:t>
      </w:r>
    </w:p>
    <w:p w14:paraId="3BF12662" w14:textId="533430E8" w:rsidR="00EE41A2" w:rsidRPr="00084CD2" w:rsidRDefault="00EE41A2"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rPr>
        <w:t xml:space="preserve">Banco de México (BANXICO). (2022). Informe </w:t>
      </w:r>
      <w:r w:rsidR="00A025E0" w:rsidRPr="00084CD2">
        <w:rPr>
          <w:rFonts w:ascii="Times New Roman" w:hAnsi="Times New Roman" w:cs="Times New Roman"/>
          <w:sz w:val="24"/>
          <w:szCs w:val="24"/>
        </w:rPr>
        <w:t>t</w:t>
      </w:r>
      <w:r w:rsidRPr="00084CD2">
        <w:rPr>
          <w:rFonts w:ascii="Times New Roman" w:hAnsi="Times New Roman" w:cs="Times New Roman"/>
          <w:sz w:val="24"/>
          <w:szCs w:val="24"/>
        </w:rPr>
        <w:t xml:space="preserve">rimestral </w:t>
      </w:r>
      <w:r w:rsidR="00A025E0" w:rsidRPr="00084CD2">
        <w:rPr>
          <w:rFonts w:ascii="Times New Roman" w:hAnsi="Times New Roman" w:cs="Times New Roman"/>
          <w:sz w:val="24"/>
          <w:szCs w:val="24"/>
        </w:rPr>
        <w:t>e</w:t>
      </w:r>
      <w:r w:rsidRPr="00084CD2">
        <w:rPr>
          <w:rFonts w:ascii="Times New Roman" w:hAnsi="Times New Roman" w:cs="Times New Roman"/>
          <w:sz w:val="24"/>
          <w:szCs w:val="24"/>
        </w:rPr>
        <w:t>nero-</w:t>
      </w:r>
      <w:r w:rsidR="00A025E0" w:rsidRPr="00084CD2">
        <w:rPr>
          <w:rFonts w:ascii="Times New Roman" w:hAnsi="Times New Roman" w:cs="Times New Roman"/>
          <w:sz w:val="24"/>
          <w:szCs w:val="24"/>
        </w:rPr>
        <w:t>m</w:t>
      </w:r>
      <w:r w:rsidRPr="00084CD2">
        <w:rPr>
          <w:rFonts w:ascii="Times New Roman" w:hAnsi="Times New Roman" w:cs="Times New Roman"/>
          <w:sz w:val="24"/>
          <w:szCs w:val="24"/>
        </w:rPr>
        <w:t xml:space="preserve">arzo 2022. Banco de México. </w:t>
      </w:r>
      <w:hyperlink r:id="rId12" w:tgtFrame="_new" w:history="1">
        <w:r w:rsidRPr="00084CD2">
          <w:rPr>
            <w:rStyle w:val="Hipervnculo"/>
            <w:rFonts w:ascii="Times New Roman" w:hAnsi="Times New Roman" w:cs="Times New Roman"/>
            <w:color w:val="auto"/>
            <w:sz w:val="24"/>
            <w:szCs w:val="24"/>
            <w:u w:val="none"/>
            <w:lang w:val="en-US"/>
          </w:rPr>
          <w:t>https://www.banxico.org.mx</w:t>
        </w:r>
      </w:hyperlink>
      <w:r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ab/>
      </w:r>
    </w:p>
    <w:p w14:paraId="15F5B1D6" w14:textId="6D0B27EC" w:rsidR="00EE41A2" w:rsidRPr="00084CD2" w:rsidRDefault="00EE41A2" w:rsidP="00EE41A2">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Bonizzi</w:t>
      </w:r>
      <w:proofErr w:type="spellEnd"/>
      <w:r w:rsidRPr="00084CD2">
        <w:rPr>
          <w:rFonts w:ascii="Times New Roman" w:hAnsi="Times New Roman" w:cs="Times New Roman"/>
          <w:sz w:val="24"/>
          <w:szCs w:val="24"/>
          <w:lang w:val="en-US"/>
        </w:rPr>
        <w:t xml:space="preserve">, B., Kaltenbrunner, A. </w:t>
      </w:r>
      <w:r w:rsidR="00CC72E8" w:rsidRPr="00084CD2">
        <w:rPr>
          <w:rFonts w:ascii="Times New Roman" w:hAnsi="Times New Roman" w:cs="Times New Roman"/>
          <w:sz w:val="24"/>
          <w:szCs w:val="24"/>
          <w:lang w:val="en-US"/>
        </w:rPr>
        <w:t>&amp;</w:t>
      </w:r>
      <w:r w:rsidRPr="00084CD2">
        <w:rPr>
          <w:rFonts w:ascii="Times New Roman" w:hAnsi="Times New Roman" w:cs="Times New Roman"/>
          <w:sz w:val="24"/>
          <w:szCs w:val="24"/>
          <w:lang w:val="en-US"/>
        </w:rPr>
        <w:t xml:space="preserve"> Powell, J. (2022). </w:t>
      </w:r>
      <w:proofErr w:type="spellStart"/>
      <w:r w:rsidRPr="00084CD2">
        <w:rPr>
          <w:rFonts w:ascii="Times New Roman" w:hAnsi="Times New Roman" w:cs="Times New Roman"/>
          <w:sz w:val="24"/>
          <w:szCs w:val="24"/>
          <w:lang w:val="en-US"/>
        </w:rPr>
        <w:t>Financialised</w:t>
      </w:r>
      <w:proofErr w:type="spellEnd"/>
      <w:r w:rsidRPr="00084CD2">
        <w:rPr>
          <w:rFonts w:ascii="Times New Roman" w:hAnsi="Times New Roman" w:cs="Times New Roman"/>
          <w:sz w:val="24"/>
          <w:szCs w:val="24"/>
          <w:lang w:val="en-US"/>
        </w:rPr>
        <w:t xml:space="preserve"> capitalism and the subordination of emerging capitalist economies, </w:t>
      </w:r>
      <w:r w:rsidRPr="00084CD2">
        <w:rPr>
          <w:rFonts w:ascii="Times New Roman" w:hAnsi="Times New Roman" w:cs="Times New Roman"/>
          <w:i/>
          <w:iCs/>
          <w:sz w:val="24"/>
          <w:szCs w:val="24"/>
          <w:lang w:val="en-US"/>
        </w:rPr>
        <w:t>Cambridge Journal of Economics</w:t>
      </w:r>
      <w:r w:rsidRPr="00084CD2">
        <w:rPr>
          <w:rFonts w:ascii="Times New Roman" w:hAnsi="Times New Roman" w:cs="Times New Roman"/>
          <w:sz w:val="24"/>
          <w:szCs w:val="24"/>
          <w:lang w:val="en-US"/>
        </w:rPr>
        <w:t xml:space="preserve">, 46(4), 651-678. </w:t>
      </w:r>
    </w:p>
    <w:p w14:paraId="6B391347" w14:textId="252981A6"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Brintha</w:t>
      </w:r>
      <w:proofErr w:type="spellEnd"/>
      <w:r w:rsidRPr="00084CD2">
        <w:rPr>
          <w:rFonts w:ascii="Times New Roman" w:hAnsi="Times New Roman" w:cs="Times New Roman"/>
          <w:sz w:val="24"/>
          <w:szCs w:val="24"/>
          <w:lang w:val="en-US"/>
        </w:rPr>
        <w:t xml:space="preserve">, N. K. K., </w:t>
      </w:r>
      <w:proofErr w:type="spellStart"/>
      <w:r w:rsidRPr="00084CD2">
        <w:rPr>
          <w:rFonts w:ascii="Times New Roman" w:hAnsi="Times New Roman" w:cs="Times New Roman"/>
          <w:sz w:val="24"/>
          <w:szCs w:val="24"/>
          <w:lang w:val="en-US"/>
        </w:rPr>
        <w:t>Samita</w:t>
      </w:r>
      <w:proofErr w:type="spellEnd"/>
      <w:r w:rsidRPr="00084CD2">
        <w:rPr>
          <w:rFonts w:ascii="Times New Roman" w:hAnsi="Times New Roman" w:cs="Times New Roman"/>
          <w:sz w:val="24"/>
          <w:szCs w:val="24"/>
          <w:lang w:val="en-US"/>
        </w:rPr>
        <w:t xml:space="preserve">, S., </w:t>
      </w:r>
      <w:proofErr w:type="spellStart"/>
      <w:r w:rsidRPr="00084CD2">
        <w:rPr>
          <w:rFonts w:ascii="Times New Roman" w:hAnsi="Times New Roman" w:cs="Times New Roman"/>
          <w:sz w:val="24"/>
          <w:szCs w:val="24"/>
          <w:lang w:val="en-US"/>
        </w:rPr>
        <w:t>Abeynayake</w:t>
      </w:r>
      <w:proofErr w:type="spellEnd"/>
      <w:r w:rsidRPr="00084CD2">
        <w:rPr>
          <w:rFonts w:ascii="Times New Roman" w:hAnsi="Times New Roman" w:cs="Times New Roman"/>
          <w:sz w:val="24"/>
          <w:szCs w:val="24"/>
          <w:lang w:val="en-US"/>
        </w:rPr>
        <w:t xml:space="preserve">, N. R., </w:t>
      </w:r>
      <w:proofErr w:type="spellStart"/>
      <w:r w:rsidRPr="00084CD2">
        <w:rPr>
          <w:rFonts w:ascii="Times New Roman" w:hAnsi="Times New Roman" w:cs="Times New Roman"/>
          <w:sz w:val="24"/>
          <w:szCs w:val="24"/>
          <w:lang w:val="en-US"/>
        </w:rPr>
        <w:t>Idirisinghe</w:t>
      </w:r>
      <w:proofErr w:type="spellEnd"/>
      <w:r w:rsidRPr="00084CD2">
        <w:rPr>
          <w:rFonts w:ascii="Times New Roman" w:hAnsi="Times New Roman" w:cs="Times New Roman"/>
          <w:sz w:val="24"/>
          <w:szCs w:val="24"/>
          <w:lang w:val="en-US"/>
        </w:rPr>
        <w:t xml:space="preserve">, I. M. S. K., </w:t>
      </w:r>
      <w:r w:rsidR="00CC72E8" w:rsidRPr="00084CD2">
        <w:rPr>
          <w:rFonts w:ascii="Times New Roman" w:hAnsi="Times New Roman" w:cs="Times New Roman"/>
          <w:sz w:val="24"/>
          <w:szCs w:val="24"/>
          <w:lang w:val="en-US"/>
        </w:rPr>
        <w:t xml:space="preserve">&amp; </w:t>
      </w:r>
      <w:proofErr w:type="spellStart"/>
      <w:r w:rsidR="008C5698" w:rsidRPr="00084CD2">
        <w:rPr>
          <w:rFonts w:ascii="Times New Roman" w:hAnsi="Times New Roman" w:cs="Times New Roman"/>
          <w:sz w:val="24"/>
          <w:szCs w:val="24"/>
          <w:lang w:val="en-US"/>
        </w:rPr>
        <w:t>Kumarathunga</w:t>
      </w:r>
      <w:proofErr w:type="spellEnd"/>
      <w:r w:rsidR="008C5698" w:rsidRPr="00084CD2">
        <w:rPr>
          <w:rFonts w:ascii="Times New Roman" w:hAnsi="Times New Roman" w:cs="Times New Roman"/>
          <w:sz w:val="24"/>
          <w:szCs w:val="24"/>
          <w:lang w:val="en-US"/>
        </w:rPr>
        <w:t xml:space="preserve">, </w:t>
      </w:r>
      <w:r w:rsidRPr="00084CD2">
        <w:rPr>
          <w:rFonts w:ascii="Times New Roman" w:hAnsi="Times New Roman" w:cs="Times New Roman"/>
          <w:sz w:val="24"/>
          <w:szCs w:val="24"/>
          <w:lang w:val="en-US"/>
        </w:rPr>
        <w:t xml:space="preserve">A. M. D. P.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2014</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Use of Unobserved Components Model for forecasting non-stationary time series: A case of annual national coconut production in Sri Lanka. </w:t>
      </w:r>
      <w:r w:rsidRPr="00084CD2">
        <w:rPr>
          <w:rFonts w:ascii="Times New Roman" w:hAnsi="Times New Roman" w:cs="Times New Roman"/>
          <w:i/>
          <w:iCs/>
          <w:sz w:val="24"/>
          <w:szCs w:val="24"/>
          <w:lang w:val="en-US"/>
        </w:rPr>
        <w:t>Sri Lankan Journal of Applied Statistics</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25</w:t>
      </w:r>
      <w:r w:rsidR="00A653BA"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423-431.</w:t>
      </w:r>
    </w:p>
    <w:p w14:paraId="07A56FBA" w14:textId="38173059"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lang w:val="en-US"/>
        </w:rPr>
        <w:t xml:space="preserve">Box, G. E., Jenkins, G. M. and </w:t>
      </w:r>
      <w:proofErr w:type="spellStart"/>
      <w:r w:rsidRPr="00084CD2">
        <w:rPr>
          <w:rFonts w:ascii="Times New Roman" w:hAnsi="Times New Roman" w:cs="Times New Roman"/>
          <w:sz w:val="24"/>
          <w:szCs w:val="24"/>
          <w:lang w:val="en-US"/>
        </w:rPr>
        <w:t>Reinsel</w:t>
      </w:r>
      <w:proofErr w:type="spellEnd"/>
      <w:r w:rsidRPr="00084CD2">
        <w:rPr>
          <w:rFonts w:ascii="Times New Roman" w:hAnsi="Times New Roman" w:cs="Times New Roman"/>
          <w:sz w:val="24"/>
          <w:szCs w:val="24"/>
          <w:lang w:val="en-US"/>
        </w:rPr>
        <w:t xml:space="preserve">, G. C.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2008</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w:t>
      </w:r>
      <w:r w:rsidRPr="00084CD2">
        <w:rPr>
          <w:rFonts w:ascii="Times New Roman" w:hAnsi="Times New Roman" w:cs="Times New Roman"/>
          <w:i/>
          <w:iCs/>
          <w:sz w:val="24"/>
          <w:szCs w:val="24"/>
          <w:lang w:val="en-US"/>
        </w:rPr>
        <w:t>Time series analysis: Forecasting and control</w:t>
      </w:r>
      <w:r w:rsidRPr="00084CD2">
        <w:rPr>
          <w:rFonts w:ascii="Times New Roman" w:hAnsi="Times New Roman" w:cs="Times New Roman"/>
          <w:sz w:val="24"/>
          <w:szCs w:val="24"/>
          <w:lang w:val="en-US"/>
        </w:rPr>
        <w:t xml:space="preserve">. (4th ed.). John Wiley &amp; Sons. </w:t>
      </w:r>
    </w:p>
    <w:p w14:paraId="34F76D7A" w14:textId="77777777" w:rsidR="004968BA" w:rsidRPr="00084CD2" w:rsidRDefault="004968BA" w:rsidP="004968BA">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lang w:val="en-US"/>
        </w:rPr>
        <w:t xml:space="preserve">De Gregorio, J. (2019). Inflation Targets in Latin America. </w:t>
      </w:r>
      <w:r w:rsidRPr="00084CD2">
        <w:rPr>
          <w:rFonts w:ascii="Times New Roman" w:hAnsi="Times New Roman" w:cs="Times New Roman"/>
          <w:i/>
          <w:iCs/>
          <w:sz w:val="24"/>
          <w:szCs w:val="24"/>
          <w:lang w:val="en-US"/>
        </w:rPr>
        <w:t>Peterson Institute for International Economics</w:t>
      </w:r>
      <w:r w:rsidRPr="00084CD2">
        <w:rPr>
          <w:rFonts w:ascii="Times New Roman" w:hAnsi="Times New Roman" w:cs="Times New Roman"/>
          <w:sz w:val="24"/>
          <w:szCs w:val="24"/>
          <w:lang w:val="en-US"/>
        </w:rPr>
        <w:t xml:space="preserve">, 19, 1-16. </w:t>
      </w:r>
    </w:p>
    <w:p w14:paraId="734CEDD7" w14:textId="16A0A6AE"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lang w:val="en-US"/>
        </w:rPr>
        <w:lastRenderedPageBreak/>
        <w:t xml:space="preserve">Dickey, D. A. </w:t>
      </w:r>
      <w:r w:rsidR="00CC72E8" w:rsidRPr="00084CD2">
        <w:rPr>
          <w:rFonts w:ascii="Times New Roman" w:hAnsi="Times New Roman" w:cs="Times New Roman"/>
          <w:sz w:val="24"/>
          <w:szCs w:val="24"/>
          <w:lang w:val="en-US"/>
        </w:rPr>
        <w:t>&amp;</w:t>
      </w:r>
      <w:r w:rsidRPr="00084CD2">
        <w:rPr>
          <w:rFonts w:ascii="Times New Roman" w:hAnsi="Times New Roman" w:cs="Times New Roman"/>
          <w:sz w:val="24"/>
          <w:szCs w:val="24"/>
          <w:lang w:val="en-US"/>
        </w:rPr>
        <w:t xml:space="preserve"> Fuller, W. A.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1981</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Likelihood ratio statistics for autoregressive time series with a unit root. </w:t>
      </w:r>
      <w:proofErr w:type="spellStart"/>
      <w:r w:rsidRPr="00084CD2">
        <w:rPr>
          <w:rFonts w:ascii="Times New Roman" w:hAnsi="Times New Roman" w:cs="Times New Roman"/>
          <w:i/>
          <w:iCs/>
          <w:sz w:val="24"/>
          <w:szCs w:val="24"/>
        </w:rPr>
        <w:t>Econometrica</w:t>
      </w:r>
      <w:proofErr w:type="spellEnd"/>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49(4)</w:t>
      </w:r>
      <w:r w:rsidR="00A653BA" w:rsidRPr="00084CD2">
        <w:rPr>
          <w:rFonts w:ascii="Times New Roman" w:hAnsi="Times New Roman" w:cs="Times New Roman"/>
          <w:sz w:val="24"/>
          <w:szCs w:val="24"/>
        </w:rPr>
        <w:t>,</w:t>
      </w:r>
      <w:r w:rsidRPr="00084CD2">
        <w:rPr>
          <w:rFonts w:ascii="Times New Roman" w:hAnsi="Times New Roman" w:cs="Times New Roman"/>
          <w:sz w:val="24"/>
          <w:szCs w:val="24"/>
        </w:rPr>
        <w:t xml:space="preserve"> 1057-1072.</w:t>
      </w:r>
    </w:p>
    <w:p w14:paraId="0EA3BB63" w14:textId="77777777" w:rsidR="004968BA" w:rsidRPr="00084CD2" w:rsidRDefault="004968BA" w:rsidP="004968BA">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Duran, R., Garrido, E., Godoy, C. y de Dios, T. J. (2012). </w:t>
      </w:r>
      <w:r w:rsidRPr="00084CD2">
        <w:rPr>
          <w:rFonts w:ascii="Times New Roman" w:hAnsi="Times New Roman" w:cs="Times New Roman"/>
          <w:sz w:val="24"/>
          <w:szCs w:val="24"/>
          <w:lang w:val="en-US"/>
        </w:rPr>
        <w:t>Inflation prediction in Mexico with models disaggregated by components. </w:t>
      </w:r>
      <w:r w:rsidRPr="00084CD2">
        <w:rPr>
          <w:rFonts w:ascii="Times New Roman" w:hAnsi="Times New Roman" w:cs="Times New Roman"/>
          <w:i/>
          <w:iCs/>
          <w:sz w:val="24"/>
          <w:szCs w:val="24"/>
        </w:rPr>
        <w:t>Estudios Económicos De El Colegio De México</w:t>
      </w:r>
      <w:r w:rsidRPr="00084CD2">
        <w:rPr>
          <w:rFonts w:ascii="Times New Roman" w:hAnsi="Times New Roman" w:cs="Times New Roman"/>
          <w:sz w:val="24"/>
          <w:szCs w:val="24"/>
        </w:rPr>
        <w:t>, </w:t>
      </w:r>
      <w:r w:rsidRPr="00084CD2">
        <w:rPr>
          <w:rFonts w:ascii="Times New Roman" w:hAnsi="Times New Roman" w:cs="Times New Roman"/>
          <w:i/>
          <w:iCs/>
          <w:sz w:val="24"/>
          <w:szCs w:val="24"/>
        </w:rPr>
        <w:t>27</w:t>
      </w:r>
      <w:r w:rsidRPr="00084CD2">
        <w:rPr>
          <w:rFonts w:ascii="Times New Roman" w:hAnsi="Times New Roman" w:cs="Times New Roman"/>
          <w:sz w:val="24"/>
          <w:szCs w:val="24"/>
        </w:rPr>
        <w:t>(1), 133-167.</w:t>
      </w:r>
    </w:p>
    <w:p w14:paraId="03A43391" w14:textId="0919E7F7" w:rsidR="00285739" w:rsidRPr="00084CD2" w:rsidRDefault="00285739" w:rsidP="00285739">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rPr>
        <w:t xml:space="preserve">Durbin, J., and </w:t>
      </w:r>
      <w:proofErr w:type="spellStart"/>
      <w:r w:rsidRPr="00084CD2">
        <w:rPr>
          <w:rFonts w:ascii="Times New Roman" w:hAnsi="Times New Roman" w:cs="Times New Roman"/>
          <w:sz w:val="24"/>
          <w:szCs w:val="24"/>
        </w:rPr>
        <w:t>Koopman</w:t>
      </w:r>
      <w:proofErr w:type="spellEnd"/>
      <w:r w:rsidRPr="00084CD2">
        <w:rPr>
          <w:rFonts w:ascii="Times New Roman" w:hAnsi="Times New Roman" w:cs="Times New Roman"/>
          <w:sz w:val="24"/>
          <w:szCs w:val="24"/>
        </w:rPr>
        <w:t xml:space="preserve">, S. J. (2012). </w:t>
      </w:r>
      <w:r w:rsidRPr="00084CD2">
        <w:rPr>
          <w:rFonts w:ascii="Times New Roman" w:hAnsi="Times New Roman" w:cs="Times New Roman"/>
          <w:i/>
          <w:iCs/>
          <w:sz w:val="24"/>
          <w:szCs w:val="24"/>
          <w:lang w:val="en-US"/>
        </w:rPr>
        <w:t>Time series analysis by state space methods</w:t>
      </w:r>
      <w:r w:rsidRPr="00084CD2">
        <w:rPr>
          <w:rFonts w:ascii="Times New Roman" w:hAnsi="Times New Roman" w:cs="Times New Roman"/>
          <w:sz w:val="24"/>
          <w:szCs w:val="24"/>
          <w:lang w:val="en-US"/>
        </w:rPr>
        <w:t xml:space="preserve"> (2nd ed.). Oxford University Press. 343 p.</w:t>
      </w:r>
    </w:p>
    <w:p w14:paraId="694D3DD3" w14:textId="7925F30F"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lang w:val="en-US"/>
        </w:rPr>
        <w:t xml:space="preserve">Enders, W.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2014</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w:t>
      </w:r>
      <w:r w:rsidRPr="00084CD2">
        <w:rPr>
          <w:rFonts w:ascii="Times New Roman" w:hAnsi="Times New Roman" w:cs="Times New Roman"/>
          <w:i/>
          <w:iCs/>
          <w:sz w:val="24"/>
          <w:szCs w:val="24"/>
          <w:lang w:val="en-US"/>
        </w:rPr>
        <w:t>Applied econometrics</w:t>
      </w:r>
      <w:r w:rsidRPr="00084CD2">
        <w:rPr>
          <w:rFonts w:ascii="Times New Roman" w:hAnsi="Times New Roman" w:cs="Times New Roman"/>
          <w:sz w:val="24"/>
          <w:szCs w:val="24"/>
          <w:lang w:val="en-US"/>
        </w:rPr>
        <w:t>. (4th ed.). John Wiley &amp; Sons.</w:t>
      </w:r>
    </w:p>
    <w:p w14:paraId="66ADD7E1" w14:textId="66C9C249" w:rsidR="004968BA" w:rsidRPr="00084CD2" w:rsidRDefault="004968BA" w:rsidP="004968BA">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Ercolani</w:t>
      </w:r>
      <w:proofErr w:type="spellEnd"/>
      <w:r w:rsidRPr="00084CD2">
        <w:rPr>
          <w:rFonts w:ascii="Times New Roman" w:hAnsi="Times New Roman" w:cs="Times New Roman"/>
          <w:sz w:val="24"/>
          <w:szCs w:val="24"/>
          <w:lang w:val="en-US"/>
        </w:rPr>
        <w:t>, J. (2023). Unobserved Components Models. In Hamilton, J. H., Dixit, A., Edwards, S. and Judd, K. (Eds.), </w:t>
      </w:r>
      <w:r w:rsidRPr="00084CD2">
        <w:rPr>
          <w:rFonts w:ascii="Times New Roman" w:hAnsi="Times New Roman" w:cs="Times New Roman"/>
          <w:i/>
          <w:iCs/>
          <w:sz w:val="24"/>
          <w:szCs w:val="24"/>
          <w:lang w:val="en-US"/>
        </w:rPr>
        <w:t>Oxford Research Encyclopedias: Economics and Finance </w:t>
      </w:r>
      <w:r w:rsidRPr="00084CD2">
        <w:rPr>
          <w:rFonts w:ascii="Times New Roman" w:hAnsi="Times New Roman" w:cs="Times New Roman"/>
          <w:sz w:val="24"/>
          <w:szCs w:val="24"/>
          <w:lang w:val="en-US"/>
        </w:rPr>
        <w:t>Oxford University Press.</w:t>
      </w:r>
      <w:r w:rsidR="00CC72E8" w:rsidRPr="00084CD2">
        <w:rPr>
          <w:rFonts w:ascii="Times New Roman" w:hAnsi="Times New Roman" w:cs="Times New Roman"/>
          <w:sz w:val="24"/>
          <w:szCs w:val="24"/>
          <w:lang w:val="en-US"/>
        </w:rPr>
        <w:t xml:space="preserve"> </w:t>
      </w:r>
      <w:r w:rsidRPr="00084CD2">
        <w:rPr>
          <w:rFonts w:ascii="Times New Roman" w:hAnsi="Times New Roman" w:cs="Times New Roman"/>
          <w:sz w:val="24"/>
          <w:szCs w:val="24"/>
          <w:lang w:val="en-US"/>
        </w:rPr>
        <w:t>https://doi.org/10.1093/acrefore/9780190625979.013.896.</w:t>
      </w:r>
    </w:p>
    <w:p w14:paraId="5349B712" w14:textId="7F3C0246"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Farrera, G. A.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2013</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Manual de pronósticos para la toma de decisiones</w:t>
      </w:r>
      <w:r w:rsidRPr="00084CD2">
        <w:rPr>
          <w:rFonts w:ascii="Times New Roman" w:hAnsi="Times New Roman" w:cs="Times New Roman"/>
          <w:sz w:val="24"/>
          <w:szCs w:val="24"/>
        </w:rPr>
        <w:t>. (1</w:t>
      </w:r>
      <w:r w:rsidR="00A91F0E" w:rsidRPr="00084CD2">
        <w:rPr>
          <w:rFonts w:ascii="Times New Roman" w:hAnsi="Times New Roman" w:cs="Times New Roman"/>
          <w:sz w:val="24"/>
          <w:szCs w:val="24"/>
        </w:rPr>
        <w:t>a.</w:t>
      </w:r>
      <w:r w:rsidRPr="00084CD2">
        <w:rPr>
          <w:rFonts w:ascii="Times New Roman" w:hAnsi="Times New Roman" w:cs="Times New Roman"/>
          <w:sz w:val="24"/>
          <w:szCs w:val="24"/>
        </w:rPr>
        <w:t xml:space="preserve"> ed.). Editorial Digital Tecnológico de Monterrey. </w:t>
      </w:r>
    </w:p>
    <w:p w14:paraId="4E010B33" w14:textId="32B92A15"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Flores, C. L.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2017</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Pronóstico del Índice Nacional de Precios al Consumidor. </w:t>
      </w:r>
      <w:r w:rsidRPr="00084CD2">
        <w:rPr>
          <w:rFonts w:ascii="Times New Roman" w:hAnsi="Times New Roman" w:cs="Times New Roman"/>
          <w:i/>
          <w:iCs/>
          <w:sz w:val="24"/>
          <w:szCs w:val="24"/>
        </w:rPr>
        <w:t>Rev</w:t>
      </w:r>
      <w:r w:rsidR="0051147B" w:rsidRPr="00084CD2">
        <w:rPr>
          <w:rFonts w:ascii="Times New Roman" w:hAnsi="Times New Roman" w:cs="Times New Roman"/>
          <w:i/>
          <w:iCs/>
          <w:sz w:val="24"/>
          <w:szCs w:val="24"/>
        </w:rPr>
        <w:t xml:space="preserve">ista </w:t>
      </w:r>
      <w:r w:rsidRPr="00084CD2">
        <w:rPr>
          <w:rFonts w:ascii="Times New Roman" w:hAnsi="Times New Roman" w:cs="Times New Roman"/>
          <w:i/>
          <w:iCs/>
          <w:sz w:val="24"/>
          <w:szCs w:val="24"/>
        </w:rPr>
        <w:t>Iberoam</w:t>
      </w:r>
      <w:r w:rsidR="00CC72E8" w:rsidRPr="00084CD2">
        <w:rPr>
          <w:rFonts w:ascii="Times New Roman" w:hAnsi="Times New Roman" w:cs="Times New Roman"/>
          <w:i/>
          <w:iCs/>
          <w:sz w:val="24"/>
          <w:szCs w:val="24"/>
        </w:rPr>
        <w:t>ericana</w:t>
      </w:r>
      <w:r w:rsidRPr="00084CD2">
        <w:rPr>
          <w:rFonts w:ascii="Times New Roman" w:hAnsi="Times New Roman" w:cs="Times New Roman"/>
          <w:i/>
          <w:iCs/>
          <w:sz w:val="24"/>
          <w:szCs w:val="24"/>
        </w:rPr>
        <w:t xml:space="preserve"> de Cont</w:t>
      </w:r>
      <w:r w:rsidR="00CC72E8" w:rsidRPr="00084CD2">
        <w:rPr>
          <w:rFonts w:ascii="Times New Roman" w:hAnsi="Times New Roman" w:cs="Times New Roman"/>
          <w:i/>
          <w:iCs/>
          <w:sz w:val="24"/>
          <w:szCs w:val="24"/>
        </w:rPr>
        <w:t>aduría,</w:t>
      </w:r>
      <w:r w:rsidRPr="00084CD2">
        <w:rPr>
          <w:rFonts w:ascii="Times New Roman" w:hAnsi="Times New Roman" w:cs="Times New Roman"/>
          <w:i/>
          <w:iCs/>
          <w:sz w:val="24"/>
          <w:szCs w:val="24"/>
        </w:rPr>
        <w:t xml:space="preserve"> Econ</w:t>
      </w:r>
      <w:r w:rsidR="00CC72E8" w:rsidRPr="00084CD2">
        <w:rPr>
          <w:rFonts w:ascii="Times New Roman" w:hAnsi="Times New Roman" w:cs="Times New Roman"/>
          <w:i/>
          <w:iCs/>
          <w:sz w:val="24"/>
          <w:szCs w:val="24"/>
        </w:rPr>
        <w:t>omía</w:t>
      </w:r>
      <w:r w:rsidRPr="00084CD2">
        <w:rPr>
          <w:rFonts w:ascii="Times New Roman" w:hAnsi="Times New Roman" w:cs="Times New Roman"/>
          <w:i/>
          <w:iCs/>
          <w:sz w:val="24"/>
          <w:szCs w:val="24"/>
        </w:rPr>
        <w:t xml:space="preserve"> y Adm</w:t>
      </w:r>
      <w:r w:rsidR="006140BD" w:rsidRPr="00084CD2">
        <w:rPr>
          <w:rFonts w:ascii="Times New Roman" w:hAnsi="Times New Roman" w:cs="Times New Roman"/>
          <w:i/>
          <w:iCs/>
          <w:sz w:val="24"/>
          <w:szCs w:val="24"/>
        </w:rPr>
        <w:t>inistración</w:t>
      </w:r>
      <w:r w:rsidR="00FB3929" w:rsidRPr="00084CD2">
        <w:rPr>
          <w:rFonts w:ascii="Times New Roman" w:hAnsi="Times New Roman" w:cs="Times New Roman"/>
          <w:sz w:val="24"/>
          <w:szCs w:val="24"/>
        </w:rPr>
        <w:t>,</w:t>
      </w:r>
      <w:r w:rsidRPr="00084CD2">
        <w:rPr>
          <w:rFonts w:ascii="Times New Roman" w:hAnsi="Times New Roman" w:cs="Times New Roman"/>
          <w:sz w:val="24"/>
          <w:szCs w:val="24"/>
        </w:rPr>
        <w:t xml:space="preserve"> 6</w:t>
      </w:r>
      <w:r w:rsidR="0051147B" w:rsidRPr="00084CD2">
        <w:rPr>
          <w:rFonts w:ascii="Times New Roman" w:hAnsi="Times New Roman" w:cs="Times New Roman"/>
          <w:sz w:val="24"/>
          <w:szCs w:val="24"/>
        </w:rPr>
        <w:t>(12)</w:t>
      </w:r>
      <w:r w:rsidR="00A653BA" w:rsidRPr="00084CD2">
        <w:rPr>
          <w:rFonts w:ascii="Times New Roman" w:hAnsi="Times New Roman" w:cs="Times New Roman"/>
          <w:sz w:val="24"/>
          <w:szCs w:val="24"/>
        </w:rPr>
        <w:t>,</w:t>
      </w:r>
      <w:r w:rsidRPr="00084CD2">
        <w:rPr>
          <w:rFonts w:ascii="Times New Roman" w:hAnsi="Times New Roman" w:cs="Times New Roman"/>
          <w:sz w:val="24"/>
          <w:szCs w:val="24"/>
        </w:rPr>
        <w:t xml:space="preserve"> 60-88.</w:t>
      </w:r>
      <w:r w:rsidR="0051147B" w:rsidRPr="00084CD2">
        <w:rPr>
          <w:rFonts w:ascii="Times New Roman" w:hAnsi="Times New Roman" w:cs="Times New Roman"/>
          <w:sz w:val="24"/>
          <w:szCs w:val="24"/>
        </w:rPr>
        <w:t xml:space="preserve"> https://doi.org/10.23913/ricea.v6i12.95</w:t>
      </w:r>
    </w:p>
    <w:p w14:paraId="19177F51" w14:textId="2DA3A3B8"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Fomby</w:t>
      </w:r>
      <w:proofErr w:type="spellEnd"/>
      <w:r w:rsidRPr="00084CD2">
        <w:rPr>
          <w:rFonts w:ascii="Times New Roman" w:hAnsi="Times New Roman" w:cs="Times New Roman"/>
          <w:sz w:val="24"/>
          <w:szCs w:val="24"/>
          <w:lang w:val="en-US"/>
        </w:rPr>
        <w:t xml:space="preserve">, T.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2008</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The unobservable components model. SAS Help Documentation, Southern Methodist University.</w:t>
      </w:r>
    </w:p>
    <w:p w14:paraId="357C0D75" w14:textId="3E0B60B2"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rPr>
        <w:t xml:space="preserve">Gujarati, D. y Porter, D.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2010</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w:t>
      </w:r>
      <w:proofErr w:type="spellStart"/>
      <w:r w:rsidRPr="00084CD2">
        <w:rPr>
          <w:rFonts w:ascii="Times New Roman" w:hAnsi="Times New Roman" w:cs="Times New Roman"/>
          <w:i/>
          <w:iCs/>
          <w:sz w:val="24"/>
          <w:szCs w:val="24"/>
          <w:lang w:val="en-US"/>
        </w:rPr>
        <w:t>Econometría</w:t>
      </w:r>
      <w:proofErr w:type="spellEnd"/>
      <w:r w:rsidRPr="00084CD2">
        <w:rPr>
          <w:rFonts w:ascii="Times New Roman" w:hAnsi="Times New Roman" w:cs="Times New Roman"/>
          <w:sz w:val="24"/>
          <w:szCs w:val="24"/>
          <w:lang w:val="en-US"/>
        </w:rPr>
        <w:t>. (5</w:t>
      </w:r>
      <w:r w:rsidR="00056EE0" w:rsidRPr="00084CD2">
        <w:rPr>
          <w:rFonts w:ascii="Times New Roman" w:hAnsi="Times New Roman" w:cs="Times New Roman"/>
          <w:sz w:val="24"/>
          <w:szCs w:val="24"/>
          <w:lang w:val="en-US"/>
        </w:rPr>
        <w:t>a.</w:t>
      </w:r>
      <w:r w:rsidRPr="00084CD2">
        <w:rPr>
          <w:rFonts w:ascii="Times New Roman" w:hAnsi="Times New Roman" w:cs="Times New Roman"/>
          <w:sz w:val="24"/>
          <w:szCs w:val="24"/>
          <w:lang w:val="en-US"/>
        </w:rPr>
        <w:t xml:space="preserve"> ed.). McGraw-Hill. </w:t>
      </w:r>
    </w:p>
    <w:p w14:paraId="731D22D5" w14:textId="78E1A8C2"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Guerrero, G. V. M.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2009</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Análisis estadístico y pronóstico de series de tiempo económicas</w:t>
      </w:r>
      <w:r w:rsidRPr="00084CD2">
        <w:rPr>
          <w:rFonts w:ascii="Times New Roman" w:hAnsi="Times New Roman" w:cs="Times New Roman"/>
          <w:sz w:val="24"/>
          <w:szCs w:val="24"/>
        </w:rPr>
        <w:t>. (3r</w:t>
      </w:r>
      <w:r w:rsidR="00A653BA" w:rsidRPr="00084CD2">
        <w:rPr>
          <w:rFonts w:ascii="Times New Roman" w:hAnsi="Times New Roman" w:cs="Times New Roman"/>
          <w:sz w:val="24"/>
          <w:szCs w:val="24"/>
        </w:rPr>
        <w:t>a.</w:t>
      </w:r>
      <w:r w:rsidRPr="00084CD2">
        <w:rPr>
          <w:rFonts w:ascii="Times New Roman" w:hAnsi="Times New Roman" w:cs="Times New Roman"/>
          <w:sz w:val="24"/>
          <w:szCs w:val="24"/>
        </w:rPr>
        <w:t xml:space="preserve"> ed.). Jit </w:t>
      </w:r>
      <w:proofErr w:type="spellStart"/>
      <w:r w:rsidRPr="00084CD2">
        <w:rPr>
          <w:rFonts w:ascii="Times New Roman" w:hAnsi="Times New Roman" w:cs="Times New Roman"/>
          <w:sz w:val="24"/>
          <w:szCs w:val="24"/>
        </w:rPr>
        <w:t>Press</w:t>
      </w:r>
      <w:proofErr w:type="spellEnd"/>
      <w:r w:rsidRPr="00084CD2">
        <w:rPr>
          <w:rFonts w:ascii="Times New Roman" w:hAnsi="Times New Roman" w:cs="Times New Roman"/>
          <w:sz w:val="24"/>
          <w:szCs w:val="24"/>
        </w:rPr>
        <w:t xml:space="preserve">. </w:t>
      </w:r>
    </w:p>
    <w:p w14:paraId="3FCE43B5" w14:textId="11EF7956"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rPr>
        <w:t xml:space="preserve">Heath, J.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2012</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Lo que indican los indicadores: Cómo utilizar la información estadística para entender la realidad económica de México. </w:t>
      </w:r>
      <w:r w:rsidRPr="00084CD2">
        <w:rPr>
          <w:rFonts w:ascii="Times New Roman" w:hAnsi="Times New Roman" w:cs="Times New Roman"/>
          <w:sz w:val="24"/>
          <w:szCs w:val="24"/>
          <w:lang w:val="en-US"/>
        </w:rPr>
        <w:t xml:space="preserve">INEGI. </w:t>
      </w:r>
    </w:p>
    <w:p w14:paraId="004483AA" w14:textId="34A03B36" w:rsidR="00285739" w:rsidRPr="00084CD2" w:rsidRDefault="00285739" w:rsidP="00285739">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Hewamalage</w:t>
      </w:r>
      <w:proofErr w:type="spellEnd"/>
      <w:r w:rsidRPr="00084CD2">
        <w:rPr>
          <w:rFonts w:ascii="Times New Roman" w:hAnsi="Times New Roman" w:cs="Times New Roman"/>
          <w:sz w:val="24"/>
          <w:szCs w:val="24"/>
          <w:lang w:val="en-US"/>
        </w:rPr>
        <w:t xml:space="preserve">, H., </w:t>
      </w:r>
      <w:proofErr w:type="spellStart"/>
      <w:r w:rsidRPr="00084CD2">
        <w:rPr>
          <w:rFonts w:ascii="Times New Roman" w:hAnsi="Times New Roman" w:cs="Times New Roman"/>
          <w:sz w:val="24"/>
          <w:szCs w:val="24"/>
          <w:lang w:val="en-US"/>
        </w:rPr>
        <w:t>Bergmeir</w:t>
      </w:r>
      <w:proofErr w:type="spellEnd"/>
      <w:r w:rsidRPr="00084CD2">
        <w:rPr>
          <w:rFonts w:ascii="Times New Roman" w:hAnsi="Times New Roman" w:cs="Times New Roman"/>
          <w:sz w:val="24"/>
          <w:szCs w:val="24"/>
          <w:lang w:val="en-US"/>
        </w:rPr>
        <w:t xml:space="preserve">, C., </w:t>
      </w:r>
      <w:r w:rsidR="0051147B" w:rsidRPr="00084CD2">
        <w:rPr>
          <w:rFonts w:ascii="Times New Roman" w:hAnsi="Times New Roman" w:cs="Times New Roman"/>
          <w:sz w:val="24"/>
          <w:szCs w:val="24"/>
          <w:lang w:val="en-US"/>
        </w:rPr>
        <w:t>&amp;</w:t>
      </w:r>
      <w:r w:rsidRPr="00084CD2">
        <w:rPr>
          <w:rFonts w:ascii="Times New Roman" w:hAnsi="Times New Roman" w:cs="Times New Roman"/>
          <w:sz w:val="24"/>
          <w:szCs w:val="24"/>
          <w:lang w:val="en-US"/>
        </w:rPr>
        <w:t xml:space="preserve"> Bandara, K. (2021). Recurrent neural networks for time series forecasting: Current status and future directions. </w:t>
      </w:r>
      <w:r w:rsidRPr="00084CD2">
        <w:rPr>
          <w:rFonts w:ascii="Times New Roman" w:hAnsi="Times New Roman" w:cs="Times New Roman"/>
          <w:i/>
          <w:iCs/>
          <w:sz w:val="24"/>
          <w:szCs w:val="24"/>
          <w:lang w:val="en-US"/>
        </w:rPr>
        <w:t>International Journal of Forecasting</w:t>
      </w:r>
      <w:r w:rsidRPr="00084CD2">
        <w:rPr>
          <w:rFonts w:ascii="Times New Roman" w:hAnsi="Times New Roman" w:cs="Times New Roman"/>
          <w:sz w:val="24"/>
          <w:szCs w:val="24"/>
          <w:lang w:val="en-US"/>
        </w:rPr>
        <w:t>, 37(1): 388-427. </w:t>
      </w:r>
      <w:hyperlink r:id="rId13" w:tgtFrame="_blank" w:history="1">
        <w:r w:rsidRPr="00084CD2">
          <w:rPr>
            <w:rStyle w:val="Hipervnculo"/>
            <w:rFonts w:ascii="Times New Roman" w:hAnsi="Times New Roman" w:cs="Times New Roman"/>
            <w:color w:val="auto"/>
            <w:sz w:val="24"/>
            <w:szCs w:val="24"/>
            <w:u w:val="none"/>
            <w:lang w:val="en-US"/>
          </w:rPr>
          <w:t>https://doi.org/10.1016/j.ijforecast.2020.06.008</w:t>
        </w:r>
      </w:hyperlink>
    </w:p>
    <w:p w14:paraId="67085A2F" w14:textId="73871BBF"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lang w:val="en-US"/>
        </w:rPr>
        <w:t xml:space="preserve">Harvey, A. C.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1989</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Forecasting, structural time series models and the Kalman filter. Cambridge University Press. </w:t>
      </w:r>
    </w:p>
    <w:p w14:paraId="68366DD1" w14:textId="2EF9B0FB" w:rsidR="00285739" w:rsidRPr="00084CD2" w:rsidRDefault="00285739" w:rsidP="00285739">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lang w:val="en-US"/>
        </w:rPr>
        <w:t xml:space="preserve">Hyndman, R. J., </w:t>
      </w:r>
      <w:r w:rsidR="00A52574" w:rsidRPr="00084CD2">
        <w:rPr>
          <w:rFonts w:ascii="Times New Roman" w:hAnsi="Times New Roman" w:cs="Times New Roman"/>
          <w:sz w:val="24"/>
          <w:szCs w:val="24"/>
          <w:lang w:val="en-US"/>
        </w:rPr>
        <w:t>&amp;</w:t>
      </w:r>
      <w:r w:rsidRPr="00084CD2">
        <w:rPr>
          <w:rFonts w:ascii="Times New Roman" w:hAnsi="Times New Roman" w:cs="Times New Roman"/>
          <w:sz w:val="24"/>
          <w:szCs w:val="24"/>
          <w:lang w:val="en-US"/>
        </w:rPr>
        <w:t xml:space="preserve"> </w:t>
      </w:r>
      <w:proofErr w:type="spellStart"/>
      <w:r w:rsidRPr="00084CD2">
        <w:rPr>
          <w:rFonts w:ascii="Times New Roman" w:hAnsi="Times New Roman" w:cs="Times New Roman"/>
          <w:sz w:val="24"/>
          <w:szCs w:val="24"/>
          <w:lang w:val="en-US"/>
        </w:rPr>
        <w:t>Athanasopoulos</w:t>
      </w:r>
      <w:proofErr w:type="spellEnd"/>
      <w:r w:rsidRPr="00084CD2">
        <w:rPr>
          <w:rFonts w:ascii="Times New Roman" w:hAnsi="Times New Roman" w:cs="Times New Roman"/>
          <w:sz w:val="24"/>
          <w:szCs w:val="24"/>
          <w:lang w:val="en-US"/>
        </w:rPr>
        <w:t xml:space="preserve">, G. (2021). </w:t>
      </w:r>
      <w:r w:rsidRPr="00084CD2">
        <w:rPr>
          <w:rFonts w:ascii="Times New Roman" w:hAnsi="Times New Roman" w:cs="Times New Roman"/>
          <w:i/>
          <w:iCs/>
          <w:sz w:val="24"/>
          <w:szCs w:val="24"/>
          <w:lang w:val="en-US"/>
        </w:rPr>
        <w:t>Forecasting: Principles and practice</w:t>
      </w:r>
      <w:r w:rsidRPr="00084CD2">
        <w:rPr>
          <w:rFonts w:ascii="Times New Roman" w:hAnsi="Times New Roman" w:cs="Times New Roman"/>
          <w:sz w:val="24"/>
          <w:szCs w:val="24"/>
          <w:lang w:val="en-US"/>
        </w:rPr>
        <w:t xml:space="preserve"> (3rd ed.). </w:t>
      </w:r>
      <w:proofErr w:type="spellStart"/>
      <w:r w:rsidRPr="00084CD2">
        <w:rPr>
          <w:rFonts w:ascii="Times New Roman" w:hAnsi="Times New Roman" w:cs="Times New Roman"/>
          <w:sz w:val="24"/>
          <w:szCs w:val="24"/>
        </w:rPr>
        <w:t>OTexts</w:t>
      </w:r>
      <w:proofErr w:type="spellEnd"/>
      <w:r w:rsidRPr="00084CD2">
        <w:rPr>
          <w:rFonts w:ascii="Times New Roman" w:hAnsi="Times New Roman" w:cs="Times New Roman"/>
          <w:sz w:val="24"/>
          <w:szCs w:val="24"/>
        </w:rPr>
        <w:t xml:space="preserve">. 291 p. </w:t>
      </w:r>
      <w:hyperlink r:id="rId14" w:tgtFrame="_new" w:history="1">
        <w:r w:rsidRPr="00084CD2">
          <w:rPr>
            <w:rStyle w:val="Hipervnculo"/>
            <w:rFonts w:ascii="Times New Roman" w:hAnsi="Times New Roman" w:cs="Times New Roman"/>
            <w:color w:val="auto"/>
            <w:sz w:val="24"/>
            <w:szCs w:val="24"/>
            <w:u w:val="none"/>
          </w:rPr>
          <w:t>https://otexts.com/fpp3/</w:t>
        </w:r>
      </w:hyperlink>
    </w:p>
    <w:p w14:paraId="46789856" w14:textId="50AF0ABD"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INEGI.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202</w:t>
      </w:r>
      <w:r w:rsidR="003E4379" w:rsidRPr="00084CD2">
        <w:rPr>
          <w:rFonts w:ascii="Times New Roman" w:hAnsi="Times New Roman" w:cs="Times New Roman"/>
          <w:sz w:val="24"/>
          <w:szCs w:val="24"/>
        </w:rPr>
        <w:t>5</w:t>
      </w:r>
      <w:r w:rsidR="00A55AB6" w:rsidRPr="00084CD2">
        <w:rPr>
          <w:rFonts w:ascii="Times New Roman" w:hAnsi="Times New Roman" w:cs="Times New Roman"/>
          <w:sz w:val="24"/>
          <w:szCs w:val="24"/>
        </w:rPr>
        <w:t>a</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Índice Nacional de Precios al Consumidor (INPC). </w:t>
      </w:r>
      <w:r w:rsidRPr="00084CD2">
        <w:rPr>
          <w:rFonts w:ascii="Times New Roman" w:eastAsia="Times New Roman" w:hAnsi="Times New Roman" w:cs="Times New Roman"/>
          <w:sz w:val="24"/>
          <w:szCs w:val="24"/>
          <w:shd w:val="clear" w:color="auto" w:fill="FFFFFF"/>
          <w:lang w:eastAsia="es-MX"/>
        </w:rPr>
        <w:t>Base de datos de consulta pública</w:t>
      </w:r>
      <w:r w:rsidRPr="00084CD2">
        <w:rPr>
          <w:rFonts w:ascii="Times New Roman" w:hAnsi="Times New Roman" w:cs="Times New Roman"/>
          <w:sz w:val="24"/>
          <w:szCs w:val="24"/>
        </w:rPr>
        <w:t>. En: https://www.inegi.org.mx/temas/inpc/</w:t>
      </w:r>
    </w:p>
    <w:p w14:paraId="1B78FE3A" w14:textId="663BD817"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lastRenderedPageBreak/>
        <w:t xml:space="preserve">INEGI.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w:t>
      </w:r>
      <w:r w:rsidR="003E4379" w:rsidRPr="00084CD2">
        <w:rPr>
          <w:rFonts w:ascii="Times New Roman" w:hAnsi="Times New Roman" w:cs="Times New Roman"/>
          <w:sz w:val="24"/>
          <w:szCs w:val="24"/>
        </w:rPr>
        <w:t>25</w:t>
      </w:r>
      <w:r w:rsidR="00A55AB6" w:rsidRPr="00084CD2">
        <w:rPr>
          <w:rFonts w:ascii="Times New Roman" w:hAnsi="Times New Roman" w:cs="Times New Roman"/>
          <w:sz w:val="24"/>
          <w:szCs w:val="24"/>
        </w:rPr>
        <w:t>b</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Índice Nacional de Precios al Consumidor (INPC). Documento metodológico. Base segunda quincena de julio 2018. 137 p.</w:t>
      </w:r>
    </w:p>
    <w:p w14:paraId="7BA85564" w14:textId="2A139A9B" w:rsidR="00285739" w:rsidRPr="00084CD2" w:rsidRDefault="00285739" w:rsidP="00285739">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rPr>
        <w:t>F</w:t>
      </w:r>
      <w:r w:rsidR="0051147B" w:rsidRPr="00084CD2">
        <w:rPr>
          <w:rFonts w:ascii="Times New Roman" w:hAnsi="Times New Roman" w:cs="Times New Roman"/>
          <w:sz w:val="24"/>
          <w:szCs w:val="24"/>
        </w:rPr>
        <w:t>MI</w:t>
      </w:r>
      <w:r w:rsidRPr="00084CD2">
        <w:rPr>
          <w:rFonts w:ascii="Times New Roman" w:hAnsi="Times New Roman" w:cs="Times New Roman"/>
          <w:sz w:val="24"/>
          <w:szCs w:val="24"/>
        </w:rPr>
        <w:t xml:space="preserve">. (2023). International </w:t>
      </w:r>
      <w:proofErr w:type="spellStart"/>
      <w:r w:rsidRPr="00084CD2">
        <w:rPr>
          <w:rFonts w:ascii="Times New Roman" w:hAnsi="Times New Roman" w:cs="Times New Roman"/>
          <w:sz w:val="24"/>
          <w:szCs w:val="24"/>
        </w:rPr>
        <w:t>Monetary</w:t>
      </w:r>
      <w:proofErr w:type="spellEnd"/>
      <w:r w:rsidRPr="00084CD2">
        <w:rPr>
          <w:rFonts w:ascii="Times New Roman" w:hAnsi="Times New Roman" w:cs="Times New Roman"/>
          <w:sz w:val="24"/>
          <w:szCs w:val="24"/>
        </w:rPr>
        <w:t xml:space="preserve"> </w:t>
      </w:r>
      <w:proofErr w:type="spellStart"/>
      <w:r w:rsidRPr="00084CD2">
        <w:rPr>
          <w:rFonts w:ascii="Times New Roman" w:hAnsi="Times New Roman" w:cs="Times New Roman"/>
          <w:sz w:val="24"/>
          <w:szCs w:val="24"/>
        </w:rPr>
        <w:t>Fund</w:t>
      </w:r>
      <w:proofErr w:type="spellEnd"/>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lang w:val="en-US"/>
        </w:rPr>
        <w:t>World Economic Outlook: Inflation and disinflation</w:t>
      </w:r>
      <w:r w:rsidRPr="00084CD2">
        <w:rPr>
          <w:rFonts w:ascii="Times New Roman" w:hAnsi="Times New Roman" w:cs="Times New Roman"/>
          <w:sz w:val="24"/>
          <w:szCs w:val="24"/>
          <w:lang w:val="en-US"/>
        </w:rPr>
        <w:t xml:space="preserve">. IMF Publications. 161 p. </w:t>
      </w:r>
      <w:hyperlink r:id="rId15" w:history="1">
        <w:r w:rsidRPr="00084CD2">
          <w:rPr>
            <w:rStyle w:val="Hipervnculo"/>
            <w:rFonts w:ascii="Times New Roman" w:hAnsi="Times New Roman" w:cs="Times New Roman"/>
            <w:color w:val="auto"/>
            <w:sz w:val="24"/>
            <w:szCs w:val="24"/>
            <w:u w:val="none"/>
            <w:lang w:val="en-US"/>
          </w:rPr>
          <w:t>https://www.imf.org/-/media/files/publications/weo/2023/october/english/text.pdf</w:t>
        </w:r>
      </w:hyperlink>
    </w:p>
    <w:p w14:paraId="0BBDA887" w14:textId="69FA34C0"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Luis, R. S., García, R. C., García, R., Arana, O. A. y González, A.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2019</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Metodología Box-Jenkins para pronosticar los precios de huevo blanco pagados al productor en México. </w:t>
      </w:r>
      <w:proofErr w:type="spellStart"/>
      <w:r w:rsidRPr="00084CD2">
        <w:rPr>
          <w:rFonts w:ascii="Times New Roman" w:hAnsi="Times New Roman" w:cs="Times New Roman"/>
          <w:i/>
          <w:iCs/>
          <w:sz w:val="24"/>
          <w:szCs w:val="24"/>
        </w:rPr>
        <w:t>Agrociencias</w:t>
      </w:r>
      <w:proofErr w:type="spellEnd"/>
      <w:r w:rsidR="00FB3929" w:rsidRPr="00084CD2">
        <w:rPr>
          <w:rFonts w:ascii="Times New Roman" w:hAnsi="Times New Roman" w:cs="Times New Roman"/>
          <w:sz w:val="24"/>
          <w:szCs w:val="24"/>
        </w:rPr>
        <w:t>,</w:t>
      </w:r>
      <w:r w:rsidRPr="00084CD2">
        <w:rPr>
          <w:rFonts w:ascii="Times New Roman" w:hAnsi="Times New Roman" w:cs="Times New Roman"/>
          <w:sz w:val="24"/>
          <w:szCs w:val="24"/>
        </w:rPr>
        <w:t xml:space="preserve"> 53</w:t>
      </w:r>
      <w:r w:rsidR="00A653BA" w:rsidRPr="00084CD2">
        <w:rPr>
          <w:rFonts w:ascii="Times New Roman" w:hAnsi="Times New Roman" w:cs="Times New Roman"/>
          <w:sz w:val="24"/>
          <w:szCs w:val="24"/>
        </w:rPr>
        <w:t>,</w:t>
      </w:r>
      <w:r w:rsidRPr="00084CD2">
        <w:rPr>
          <w:rFonts w:ascii="Times New Roman" w:hAnsi="Times New Roman" w:cs="Times New Roman"/>
          <w:sz w:val="24"/>
          <w:szCs w:val="24"/>
        </w:rPr>
        <w:t xml:space="preserve"> 911-925.</w:t>
      </w:r>
    </w:p>
    <w:p w14:paraId="05F6F207" w14:textId="3534C7B8" w:rsidR="0049620D" w:rsidRPr="00084CD2"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Mankiw, N. G.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2012</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Principios de Economía</w:t>
      </w:r>
      <w:r w:rsidRPr="00084CD2">
        <w:rPr>
          <w:rFonts w:ascii="Times New Roman" w:hAnsi="Times New Roman" w:cs="Times New Roman"/>
          <w:sz w:val="24"/>
          <w:szCs w:val="24"/>
        </w:rPr>
        <w:t>. (6</w:t>
      </w:r>
      <w:r w:rsidR="00056EE0" w:rsidRPr="00084CD2">
        <w:rPr>
          <w:rFonts w:ascii="Times New Roman" w:hAnsi="Times New Roman" w:cs="Times New Roman"/>
          <w:sz w:val="24"/>
          <w:szCs w:val="24"/>
        </w:rPr>
        <w:t>a.</w:t>
      </w:r>
      <w:r w:rsidRPr="00084CD2">
        <w:rPr>
          <w:rFonts w:ascii="Times New Roman" w:hAnsi="Times New Roman" w:cs="Times New Roman"/>
          <w:sz w:val="24"/>
          <w:szCs w:val="24"/>
        </w:rPr>
        <w:t xml:space="preserve"> ed.). Cengage </w:t>
      </w:r>
      <w:proofErr w:type="spellStart"/>
      <w:r w:rsidRPr="00084CD2">
        <w:rPr>
          <w:rFonts w:ascii="Times New Roman" w:hAnsi="Times New Roman" w:cs="Times New Roman"/>
          <w:sz w:val="24"/>
          <w:szCs w:val="24"/>
        </w:rPr>
        <w:t>Learning</w:t>
      </w:r>
      <w:proofErr w:type="spellEnd"/>
      <w:r w:rsidRPr="00084CD2">
        <w:rPr>
          <w:rFonts w:ascii="Times New Roman" w:hAnsi="Times New Roman" w:cs="Times New Roman"/>
          <w:sz w:val="24"/>
          <w:szCs w:val="24"/>
        </w:rPr>
        <w:t xml:space="preserve">. </w:t>
      </w:r>
    </w:p>
    <w:p w14:paraId="1196588C" w14:textId="25A93016" w:rsidR="00285739" w:rsidRPr="00084CD2" w:rsidRDefault="00285739" w:rsidP="00285739">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Makridakis</w:t>
      </w:r>
      <w:proofErr w:type="spellEnd"/>
      <w:r w:rsidRPr="00084CD2">
        <w:rPr>
          <w:rFonts w:ascii="Times New Roman" w:hAnsi="Times New Roman" w:cs="Times New Roman"/>
          <w:sz w:val="24"/>
          <w:szCs w:val="24"/>
          <w:lang w:val="en-US"/>
        </w:rPr>
        <w:t xml:space="preserve">, S., </w:t>
      </w:r>
      <w:proofErr w:type="spellStart"/>
      <w:r w:rsidRPr="00084CD2">
        <w:rPr>
          <w:rFonts w:ascii="Times New Roman" w:hAnsi="Times New Roman" w:cs="Times New Roman"/>
          <w:sz w:val="24"/>
          <w:szCs w:val="24"/>
          <w:lang w:val="en-US"/>
        </w:rPr>
        <w:t>Spiliotis</w:t>
      </w:r>
      <w:proofErr w:type="spellEnd"/>
      <w:r w:rsidRPr="00084CD2">
        <w:rPr>
          <w:rFonts w:ascii="Times New Roman" w:hAnsi="Times New Roman" w:cs="Times New Roman"/>
          <w:sz w:val="24"/>
          <w:szCs w:val="24"/>
          <w:lang w:val="en-US"/>
        </w:rPr>
        <w:t xml:space="preserve">, E., </w:t>
      </w:r>
      <w:r w:rsidR="0051147B" w:rsidRPr="00084CD2">
        <w:rPr>
          <w:rFonts w:ascii="Times New Roman" w:hAnsi="Times New Roman" w:cs="Times New Roman"/>
          <w:sz w:val="24"/>
          <w:szCs w:val="24"/>
          <w:lang w:val="en-US"/>
        </w:rPr>
        <w:t>&amp;</w:t>
      </w:r>
      <w:r w:rsidRPr="00084CD2">
        <w:rPr>
          <w:rFonts w:ascii="Times New Roman" w:hAnsi="Times New Roman" w:cs="Times New Roman"/>
          <w:sz w:val="24"/>
          <w:szCs w:val="24"/>
          <w:lang w:val="en-US"/>
        </w:rPr>
        <w:t xml:space="preserve"> </w:t>
      </w:r>
      <w:proofErr w:type="spellStart"/>
      <w:r w:rsidRPr="00084CD2">
        <w:rPr>
          <w:rFonts w:ascii="Times New Roman" w:hAnsi="Times New Roman" w:cs="Times New Roman"/>
          <w:sz w:val="24"/>
          <w:szCs w:val="24"/>
          <w:lang w:val="en-US"/>
        </w:rPr>
        <w:t>Assimakopoulos</w:t>
      </w:r>
      <w:proofErr w:type="spellEnd"/>
      <w:r w:rsidRPr="00084CD2">
        <w:rPr>
          <w:rFonts w:ascii="Times New Roman" w:hAnsi="Times New Roman" w:cs="Times New Roman"/>
          <w:sz w:val="24"/>
          <w:szCs w:val="24"/>
          <w:lang w:val="en-US"/>
        </w:rPr>
        <w:t>, V. (2022). The M5 competition: Background, organization, and implementation. </w:t>
      </w:r>
      <w:r w:rsidRPr="00084CD2">
        <w:rPr>
          <w:rFonts w:ascii="Times New Roman" w:hAnsi="Times New Roman" w:cs="Times New Roman"/>
          <w:i/>
          <w:iCs/>
          <w:sz w:val="24"/>
          <w:szCs w:val="24"/>
          <w:lang w:val="en-US"/>
        </w:rPr>
        <w:t>International Journal of Forecasting</w:t>
      </w:r>
      <w:r w:rsidRPr="00084CD2">
        <w:rPr>
          <w:rFonts w:ascii="Times New Roman" w:hAnsi="Times New Roman" w:cs="Times New Roman"/>
          <w:sz w:val="24"/>
          <w:szCs w:val="24"/>
          <w:lang w:val="en-US"/>
        </w:rPr>
        <w:t>. 38(4): 1325-1336. </w:t>
      </w:r>
      <w:hyperlink r:id="rId16" w:tgtFrame="_blank" w:history="1">
        <w:r w:rsidRPr="00084CD2">
          <w:rPr>
            <w:rStyle w:val="Hipervnculo"/>
            <w:rFonts w:ascii="Times New Roman" w:hAnsi="Times New Roman" w:cs="Times New Roman"/>
            <w:color w:val="auto"/>
            <w:sz w:val="24"/>
            <w:szCs w:val="24"/>
            <w:u w:val="none"/>
            <w:lang w:val="en-US"/>
          </w:rPr>
          <w:t>https://doi.org/10.1016/j.ijforecast.2021.07.007</w:t>
        </w:r>
      </w:hyperlink>
    </w:p>
    <w:p w14:paraId="59630824" w14:textId="56F3DEBE" w:rsidR="004968BA" w:rsidRPr="00084CD2" w:rsidRDefault="004968BA" w:rsidP="004968BA">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lang w:val="en-US"/>
        </w:rPr>
        <w:t>O</w:t>
      </w:r>
      <w:r w:rsidR="0051147B" w:rsidRPr="00084CD2">
        <w:rPr>
          <w:rFonts w:ascii="Times New Roman" w:hAnsi="Times New Roman" w:cs="Times New Roman"/>
          <w:sz w:val="24"/>
          <w:szCs w:val="24"/>
          <w:lang w:val="en-US"/>
        </w:rPr>
        <w:t>CDE</w:t>
      </w:r>
      <w:r w:rsidRPr="00084CD2">
        <w:rPr>
          <w:rFonts w:ascii="Times New Roman" w:hAnsi="Times New Roman" w:cs="Times New Roman"/>
          <w:sz w:val="24"/>
          <w:szCs w:val="24"/>
          <w:lang w:val="en-US"/>
        </w:rPr>
        <w:t xml:space="preserve"> (Organization for Economic Co-operation and Development). (2023). O</w:t>
      </w:r>
      <w:r w:rsidR="0051147B" w:rsidRPr="00084CD2">
        <w:rPr>
          <w:rFonts w:ascii="Times New Roman" w:hAnsi="Times New Roman" w:cs="Times New Roman"/>
          <w:sz w:val="24"/>
          <w:szCs w:val="24"/>
          <w:lang w:val="en-US"/>
        </w:rPr>
        <w:t>CDE</w:t>
      </w:r>
      <w:r w:rsidRPr="00084CD2">
        <w:rPr>
          <w:rFonts w:ascii="Times New Roman" w:hAnsi="Times New Roman" w:cs="Times New Roman"/>
          <w:sz w:val="24"/>
          <w:szCs w:val="24"/>
          <w:lang w:val="en-US"/>
        </w:rPr>
        <w:t xml:space="preserve"> Economic Outlook, Volume 2023 Issue 1: A long unwinding road, O</w:t>
      </w:r>
      <w:r w:rsidR="0051147B" w:rsidRPr="00084CD2">
        <w:rPr>
          <w:rFonts w:ascii="Times New Roman" w:hAnsi="Times New Roman" w:cs="Times New Roman"/>
          <w:sz w:val="24"/>
          <w:szCs w:val="24"/>
          <w:lang w:val="en-US"/>
        </w:rPr>
        <w:t>CDE</w:t>
      </w:r>
      <w:r w:rsidRPr="00084CD2">
        <w:rPr>
          <w:rFonts w:ascii="Times New Roman" w:hAnsi="Times New Roman" w:cs="Times New Roman"/>
          <w:sz w:val="24"/>
          <w:szCs w:val="24"/>
          <w:lang w:val="en-US"/>
        </w:rPr>
        <w:t xml:space="preserve"> Publishing, Paris, 247 p. </w:t>
      </w:r>
      <w:hyperlink r:id="rId17" w:history="1">
        <w:r w:rsidRPr="00084CD2">
          <w:rPr>
            <w:rStyle w:val="Hipervnculo"/>
            <w:rFonts w:ascii="Times New Roman" w:hAnsi="Times New Roman" w:cs="Times New Roman"/>
            <w:color w:val="auto"/>
            <w:sz w:val="24"/>
            <w:szCs w:val="24"/>
            <w:u w:val="none"/>
            <w:lang w:val="en-US"/>
          </w:rPr>
          <w:t>https://doi.org/10.1787/ce188438-en</w:t>
        </w:r>
      </w:hyperlink>
      <w:r w:rsidRPr="00084CD2">
        <w:rPr>
          <w:rFonts w:ascii="Times New Roman" w:hAnsi="Times New Roman" w:cs="Times New Roman"/>
          <w:sz w:val="24"/>
          <w:szCs w:val="24"/>
          <w:lang w:val="en-US"/>
        </w:rPr>
        <w:t>.</w:t>
      </w:r>
    </w:p>
    <w:p w14:paraId="6DAFA5BF" w14:textId="7272F106"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Pankratz</w:t>
      </w:r>
      <w:proofErr w:type="spellEnd"/>
      <w:r w:rsidRPr="00084CD2">
        <w:rPr>
          <w:rFonts w:ascii="Times New Roman" w:hAnsi="Times New Roman" w:cs="Times New Roman"/>
          <w:sz w:val="24"/>
          <w:szCs w:val="24"/>
          <w:lang w:val="en-US"/>
        </w:rPr>
        <w:t xml:space="preserve">, A.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1983</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w:t>
      </w:r>
      <w:r w:rsidRPr="00084CD2">
        <w:rPr>
          <w:rFonts w:ascii="Times New Roman" w:hAnsi="Times New Roman" w:cs="Times New Roman"/>
          <w:i/>
          <w:iCs/>
          <w:sz w:val="24"/>
          <w:szCs w:val="24"/>
          <w:lang w:val="en-US"/>
        </w:rPr>
        <w:t>Forecasting with univariate Box-Jenkins models: Concepts and cases</w:t>
      </w:r>
      <w:r w:rsidRPr="00084CD2">
        <w:rPr>
          <w:rFonts w:ascii="Times New Roman" w:hAnsi="Times New Roman" w:cs="Times New Roman"/>
          <w:sz w:val="24"/>
          <w:szCs w:val="24"/>
          <w:lang w:val="en-US"/>
        </w:rPr>
        <w:t xml:space="preserve">. John Wiley &amp; Sons. </w:t>
      </w:r>
    </w:p>
    <w:p w14:paraId="5C74AE55" w14:textId="77777777" w:rsidR="004968BA" w:rsidRPr="00084CD2" w:rsidRDefault="004968BA" w:rsidP="004968BA">
      <w:pPr>
        <w:spacing w:after="0" w:line="360" w:lineRule="auto"/>
        <w:ind w:left="720" w:hanging="720"/>
        <w:jc w:val="both"/>
        <w:rPr>
          <w:rFonts w:ascii="Times New Roman" w:hAnsi="Times New Roman" w:cs="Times New Roman"/>
          <w:sz w:val="24"/>
          <w:szCs w:val="24"/>
          <w:lang w:val="en-US"/>
        </w:rPr>
      </w:pPr>
      <w:proofErr w:type="spellStart"/>
      <w:r w:rsidRPr="00084CD2">
        <w:rPr>
          <w:rFonts w:ascii="Times New Roman" w:hAnsi="Times New Roman" w:cs="Times New Roman"/>
          <w:sz w:val="24"/>
          <w:szCs w:val="24"/>
          <w:lang w:val="en-US"/>
        </w:rPr>
        <w:t>Peirano</w:t>
      </w:r>
      <w:proofErr w:type="spellEnd"/>
      <w:r w:rsidRPr="00084CD2">
        <w:rPr>
          <w:rFonts w:ascii="Times New Roman" w:hAnsi="Times New Roman" w:cs="Times New Roman"/>
          <w:sz w:val="24"/>
          <w:szCs w:val="24"/>
          <w:lang w:val="en-US"/>
        </w:rPr>
        <w:t>, R., Werner, K. and Minutolo, M. (2021). Forecasting Inflation in Latin American Countries Using a SARIMA-LSTM Combination, PREPRINT (Version 1) available at Research Square. https://doi.org/10.21203/rs.3.rs-607554/v1.</w:t>
      </w:r>
    </w:p>
    <w:p w14:paraId="06767ADD" w14:textId="154B4511" w:rsidR="0049620D" w:rsidRPr="00084CD2" w:rsidRDefault="0049620D" w:rsidP="000F35DD">
      <w:pPr>
        <w:spacing w:after="0" w:line="360" w:lineRule="auto"/>
        <w:ind w:left="720" w:hanging="720"/>
        <w:jc w:val="both"/>
        <w:rPr>
          <w:rFonts w:ascii="Times New Roman" w:hAnsi="Times New Roman" w:cs="Times New Roman"/>
          <w:sz w:val="24"/>
          <w:szCs w:val="24"/>
        </w:rPr>
      </w:pPr>
      <w:proofErr w:type="spellStart"/>
      <w:r w:rsidRPr="00084CD2">
        <w:rPr>
          <w:rFonts w:ascii="Times New Roman" w:hAnsi="Times New Roman" w:cs="Times New Roman"/>
          <w:sz w:val="24"/>
          <w:szCs w:val="24"/>
          <w:lang w:val="en-US"/>
        </w:rPr>
        <w:t>Pelagatti</w:t>
      </w:r>
      <w:proofErr w:type="spellEnd"/>
      <w:r w:rsidRPr="00084CD2">
        <w:rPr>
          <w:rFonts w:ascii="Times New Roman" w:hAnsi="Times New Roman" w:cs="Times New Roman"/>
          <w:sz w:val="24"/>
          <w:szCs w:val="24"/>
          <w:lang w:val="en-US"/>
        </w:rPr>
        <w:t xml:space="preserve">, M. M.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2016</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w:t>
      </w:r>
      <w:r w:rsidRPr="00084CD2">
        <w:rPr>
          <w:rFonts w:ascii="Times New Roman" w:hAnsi="Times New Roman" w:cs="Times New Roman"/>
          <w:i/>
          <w:iCs/>
          <w:sz w:val="24"/>
          <w:szCs w:val="24"/>
          <w:lang w:val="en-US"/>
        </w:rPr>
        <w:t>Time series modelling with unobserved components</w:t>
      </w:r>
      <w:r w:rsidRPr="00084CD2">
        <w:rPr>
          <w:rFonts w:ascii="Times New Roman" w:hAnsi="Times New Roman" w:cs="Times New Roman"/>
          <w:sz w:val="24"/>
          <w:szCs w:val="24"/>
          <w:lang w:val="en-US"/>
        </w:rPr>
        <w:t xml:space="preserve">. </w:t>
      </w:r>
      <w:r w:rsidRPr="00084CD2">
        <w:rPr>
          <w:rFonts w:ascii="Times New Roman" w:hAnsi="Times New Roman" w:cs="Times New Roman"/>
          <w:sz w:val="24"/>
          <w:szCs w:val="24"/>
        </w:rPr>
        <w:t xml:space="preserve">(1st ed.). Chapman &amp; Hall/CRC </w:t>
      </w:r>
      <w:proofErr w:type="spellStart"/>
      <w:r w:rsidRPr="00084CD2">
        <w:rPr>
          <w:rFonts w:ascii="Times New Roman" w:hAnsi="Times New Roman" w:cs="Times New Roman"/>
          <w:sz w:val="24"/>
          <w:szCs w:val="24"/>
        </w:rPr>
        <w:t>Press</w:t>
      </w:r>
      <w:proofErr w:type="spellEnd"/>
      <w:r w:rsidRPr="00084CD2">
        <w:rPr>
          <w:rFonts w:ascii="Times New Roman" w:hAnsi="Times New Roman" w:cs="Times New Roman"/>
          <w:sz w:val="24"/>
          <w:szCs w:val="24"/>
        </w:rPr>
        <w:t xml:space="preserve">. </w:t>
      </w:r>
    </w:p>
    <w:p w14:paraId="0A54281C" w14:textId="3078C2EE" w:rsidR="0049620D" w:rsidRPr="00084CD2" w:rsidRDefault="0049620D" w:rsidP="000F35DD">
      <w:pPr>
        <w:spacing w:after="0" w:line="360" w:lineRule="auto"/>
        <w:ind w:left="720" w:hanging="720"/>
        <w:jc w:val="both"/>
        <w:rPr>
          <w:rFonts w:ascii="Times New Roman" w:hAnsi="Times New Roman" w:cs="Times New Roman"/>
          <w:sz w:val="24"/>
          <w:szCs w:val="24"/>
        </w:rPr>
      </w:pPr>
      <w:proofErr w:type="spellStart"/>
      <w:r w:rsidRPr="00084CD2">
        <w:rPr>
          <w:rFonts w:ascii="Times New Roman" w:hAnsi="Times New Roman" w:cs="Times New Roman"/>
          <w:sz w:val="24"/>
          <w:szCs w:val="24"/>
        </w:rPr>
        <w:t>Sabau</w:t>
      </w:r>
      <w:proofErr w:type="spellEnd"/>
      <w:r w:rsidRPr="00084CD2">
        <w:rPr>
          <w:rFonts w:ascii="Times New Roman" w:hAnsi="Times New Roman" w:cs="Times New Roman"/>
          <w:sz w:val="24"/>
          <w:szCs w:val="24"/>
        </w:rPr>
        <w:t xml:space="preserve">, G. H.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2011</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w:t>
      </w:r>
      <w:r w:rsidRPr="00084CD2">
        <w:rPr>
          <w:rFonts w:ascii="Times New Roman" w:hAnsi="Times New Roman" w:cs="Times New Roman"/>
          <w:i/>
          <w:iCs/>
          <w:sz w:val="24"/>
          <w:szCs w:val="24"/>
        </w:rPr>
        <w:t>Análisis econométrico dinámico: Una exploración para series de tiempo con el método econométrico</w:t>
      </w:r>
      <w:r w:rsidRPr="00084CD2">
        <w:rPr>
          <w:rFonts w:ascii="Times New Roman" w:hAnsi="Times New Roman" w:cs="Times New Roman"/>
          <w:sz w:val="24"/>
          <w:szCs w:val="24"/>
        </w:rPr>
        <w:t>. (1</w:t>
      </w:r>
      <w:r w:rsidR="00A653BA" w:rsidRPr="00084CD2">
        <w:rPr>
          <w:rFonts w:ascii="Times New Roman" w:hAnsi="Times New Roman" w:cs="Times New Roman"/>
          <w:sz w:val="24"/>
          <w:szCs w:val="24"/>
        </w:rPr>
        <w:t>a.</w:t>
      </w:r>
      <w:r w:rsidRPr="00084CD2">
        <w:rPr>
          <w:rFonts w:ascii="Times New Roman" w:hAnsi="Times New Roman" w:cs="Times New Roman"/>
          <w:sz w:val="24"/>
          <w:szCs w:val="24"/>
        </w:rPr>
        <w:t xml:space="preserve"> ed.). Universidad Iberoamericana. </w:t>
      </w:r>
    </w:p>
    <w:p w14:paraId="0AB7A35D" w14:textId="234C4891" w:rsidR="00F06312" w:rsidRPr="00084CD2" w:rsidRDefault="00F06312"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rPr>
        <w:t xml:space="preserve">Salas, J.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2021</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Inflación: El cálculo estadístico de una enfermedad social. In: Heath, J. (coord.). Lo que indican los indicadores: Cómo utilizar la información estadística para entender la realidad económica de México. </w:t>
      </w:r>
      <w:r w:rsidRPr="00084CD2">
        <w:rPr>
          <w:rFonts w:ascii="Times New Roman" w:hAnsi="Times New Roman" w:cs="Times New Roman"/>
          <w:sz w:val="24"/>
          <w:szCs w:val="24"/>
          <w:lang w:val="en-US"/>
        </w:rPr>
        <w:t>INEGI. pp. 85-100.</w:t>
      </w:r>
    </w:p>
    <w:p w14:paraId="59937A02" w14:textId="694CFD8A" w:rsidR="0049620D" w:rsidRPr="00084CD2" w:rsidRDefault="0049620D" w:rsidP="000F35DD">
      <w:pPr>
        <w:spacing w:after="0" w:line="360" w:lineRule="auto"/>
        <w:ind w:left="720" w:hanging="720"/>
        <w:jc w:val="both"/>
        <w:rPr>
          <w:rFonts w:ascii="Times New Roman" w:hAnsi="Times New Roman" w:cs="Times New Roman"/>
          <w:sz w:val="24"/>
          <w:szCs w:val="24"/>
          <w:lang w:val="en-US"/>
        </w:rPr>
      </w:pPr>
      <w:r w:rsidRPr="00084CD2">
        <w:rPr>
          <w:rFonts w:ascii="Times New Roman" w:hAnsi="Times New Roman" w:cs="Times New Roman"/>
          <w:sz w:val="24"/>
          <w:szCs w:val="24"/>
          <w:lang w:val="en-US"/>
        </w:rPr>
        <w:t xml:space="preserve">Sujata, K. </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2010</w:t>
      </w:r>
      <w:r w:rsidR="008C5698"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UCM: A measure of core inflation. International Journal of Monetary </w:t>
      </w:r>
      <w:r w:rsidRPr="00084CD2">
        <w:rPr>
          <w:rFonts w:ascii="Times New Roman" w:hAnsi="Times New Roman" w:cs="Times New Roman"/>
          <w:i/>
          <w:iCs/>
          <w:sz w:val="24"/>
          <w:szCs w:val="24"/>
          <w:lang w:val="en-US"/>
        </w:rPr>
        <w:t>Economics and Finance</w:t>
      </w:r>
      <w:r w:rsidR="00FB3929"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3</w:t>
      </w:r>
      <w:r w:rsidR="00144A4C" w:rsidRPr="00084CD2">
        <w:rPr>
          <w:rFonts w:ascii="Times New Roman" w:hAnsi="Times New Roman" w:cs="Times New Roman"/>
          <w:sz w:val="24"/>
          <w:szCs w:val="24"/>
          <w:lang w:val="en-US"/>
        </w:rPr>
        <w:t>(3)</w:t>
      </w:r>
      <w:r w:rsidR="00790EF7" w:rsidRPr="00084CD2">
        <w:rPr>
          <w:rFonts w:ascii="Times New Roman" w:hAnsi="Times New Roman" w:cs="Times New Roman"/>
          <w:sz w:val="24"/>
          <w:szCs w:val="24"/>
          <w:lang w:val="en-US"/>
        </w:rPr>
        <w:t>,</w:t>
      </w:r>
      <w:r w:rsidRPr="00084CD2">
        <w:rPr>
          <w:rFonts w:ascii="Times New Roman" w:hAnsi="Times New Roman" w:cs="Times New Roman"/>
          <w:sz w:val="24"/>
          <w:szCs w:val="24"/>
          <w:lang w:val="en-US"/>
        </w:rPr>
        <w:t xml:space="preserve"> 248-269.</w:t>
      </w:r>
      <w:r w:rsidR="00144A4C" w:rsidRPr="00084CD2">
        <w:rPr>
          <w:rFonts w:ascii="Times New Roman" w:hAnsi="Times New Roman" w:cs="Times New Roman"/>
          <w:sz w:val="24"/>
          <w:szCs w:val="24"/>
          <w:lang w:val="en-US"/>
        </w:rPr>
        <w:t xml:space="preserve"> https://doi.org/10.1504/IJMEF.2010.033456.</w:t>
      </w:r>
    </w:p>
    <w:p w14:paraId="09BC95A4" w14:textId="07043CFB" w:rsidR="0049620D" w:rsidRPr="0049620D" w:rsidRDefault="0049620D" w:rsidP="000F35DD">
      <w:pPr>
        <w:spacing w:after="0" w:line="360" w:lineRule="auto"/>
        <w:ind w:left="720" w:hanging="720"/>
        <w:jc w:val="both"/>
        <w:rPr>
          <w:rFonts w:ascii="Times New Roman" w:hAnsi="Times New Roman" w:cs="Times New Roman"/>
          <w:sz w:val="24"/>
          <w:szCs w:val="24"/>
        </w:rPr>
      </w:pPr>
      <w:r w:rsidRPr="00084CD2">
        <w:rPr>
          <w:rFonts w:ascii="Times New Roman" w:hAnsi="Times New Roman" w:cs="Times New Roman"/>
          <w:sz w:val="24"/>
          <w:szCs w:val="24"/>
        </w:rPr>
        <w:t xml:space="preserve">Vidal, A. P. y </w:t>
      </w:r>
      <w:proofErr w:type="spellStart"/>
      <w:r w:rsidRPr="00084CD2">
        <w:rPr>
          <w:rFonts w:ascii="Times New Roman" w:hAnsi="Times New Roman" w:cs="Times New Roman"/>
          <w:sz w:val="24"/>
          <w:szCs w:val="24"/>
        </w:rPr>
        <w:t>Fundora</w:t>
      </w:r>
      <w:proofErr w:type="spellEnd"/>
      <w:r w:rsidRPr="00084CD2">
        <w:rPr>
          <w:rFonts w:ascii="Times New Roman" w:hAnsi="Times New Roman" w:cs="Times New Roman"/>
          <w:sz w:val="24"/>
          <w:szCs w:val="24"/>
        </w:rPr>
        <w:t xml:space="preserve">, F. A. </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2004</w:t>
      </w:r>
      <w:r w:rsidR="008C5698" w:rsidRPr="00084CD2">
        <w:rPr>
          <w:rFonts w:ascii="Times New Roman" w:hAnsi="Times New Roman" w:cs="Times New Roman"/>
          <w:sz w:val="24"/>
          <w:szCs w:val="24"/>
        </w:rPr>
        <w:t>)</w:t>
      </w:r>
      <w:r w:rsidRPr="00084CD2">
        <w:rPr>
          <w:rFonts w:ascii="Times New Roman" w:hAnsi="Times New Roman" w:cs="Times New Roman"/>
          <w:sz w:val="24"/>
          <w:szCs w:val="24"/>
        </w:rPr>
        <w:t xml:space="preserve">. Tendencias y ciclos en el Producto Interno Bruto de Cuba. Estimación de un modelo estructural univariante de series temporales. </w:t>
      </w:r>
      <w:r w:rsidR="00AC7A92" w:rsidRPr="00084CD2">
        <w:rPr>
          <w:rFonts w:ascii="Times New Roman" w:hAnsi="Times New Roman" w:cs="Times New Roman"/>
          <w:sz w:val="24"/>
          <w:szCs w:val="24"/>
        </w:rPr>
        <w:t xml:space="preserve">42 </w:t>
      </w:r>
      <w:proofErr w:type="gramStart"/>
      <w:r w:rsidR="00AC7A92" w:rsidRPr="00084CD2">
        <w:rPr>
          <w:rFonts w:ascii="Times New Roman" w:hAnsi="Times New Roman" w:cs="Times New Roman"/>
          <w:sz w:val="24"/>
          <w:szCs w:val="24"/>
        </w:rPr>
        <w:t>Aniversario</w:t>
      </w:r>
      <w:proofErr w:type="gramEnd"/>
      <w:r w:rsidR="00AC7A92" w:rsidRPr="00084CD2">
        <w:rPr>
          <w:rFonts w:ascii="Times New Roman" w:hAnsi="Times New Roman" w:cs="Times New Roman"/>
          <w:sz w:val="24"/>
          <w:szCs w:val="24"/>
        </w:rPr>
        <w:t xml:space="preserve"> de los Estudios de Economía en la Universidad de La Habana.</w:t>
      </w:r>
    </w:p>
    <w:sectPr w:rsidR="0049620D" w:rsidRPr="0049620D" w:rsidSect="00084CD2">
      <w:headerReference w:type="default" r:id="rId18"/>
      <w:footerReference w:type="default" r:id="rId1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E978" w14:textId="77777777" w:rsidR="00081D5C" w:rsidRDefault="00081D5C" w:rsidP="00D0617A">
      <w:pPr>
        <w:spacing w:after="0" w:line="240" w:lineRule="auto"/>
      </w:pPr>
      <w:r>
        <w:separator/>
      </w:r>
    </w:p>
  </w:endnote>
  <w:endnote w:type="continuationSeparator" w:id="0">
    <w:p w14:paraId="026ACF33" w14:textId="77777777" w:rsidR="00081D5C" w:rsidRDefault="00081D5C" w:rsidP="00D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FDC0" w14:textId="7E59B8B6" w:rsidR="00282FC2" w:rsidRDefault="00084CD2" w:rsidP="00084CD2">
    <w:pPr>
      <w:pStyle w:val="Piedepgina"/>
      <w:jc w:val="center"/>
    </w:pPr>
    <w:r>
      <w:rPr>
        <w:noProof/>
      </w:rPr>
      <w:drawing>
        <wp:inline distT="0" distB="0" distL="0" distR="0" wp14:anchorId="25127CFA" wp14:editId="51514C4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b/>
      </w:rPr>
      <w:t>Vol. 1</w:t>
    </w:r>
    <w:r>
      <w:rPr>
        <w:b/>
      </w:rPr>
      <w:t>6</w:t>
    </w:r>
    <w:r w:rsidRPr="00590B82">
      <w:rPr>
        <w:b/>
      </w:rPr>
      <w:t xml:space="preserve"> </w:t>
    </w:r>
    <w:proofErr w:type="spellStart"/>
    <w:r w:rsidRPr="00590B82">
      <w:rPr>
        <w:b/>
      </w:rPr>
      <w:t>Num</w:t>
    </w:r>
    <w:proofErr w:type="spellEnd"/>
    <w:r w:rsidRPr="00590B82">
      <w:rPr>
        <w:b/>
      </w:rPr>
      <w:t>. 3</w:t>
    </w:r>
    <w:r>
      <w:rPr>
        <w:b/>
      </w:rPr>
      <w:t>2</w:t>
    </w:r>
    <w:r w:rsidRPr="00590B82">
      <w:rPr>
        <w:b/>
      </w:rPr>
      <w:t xml:space="preserve"> </w:t>
    </w:r>
    <w:proofErr w:type="gramStart"/>
    <w:r w:rsidRPr="00590B82">
      <w:rPr>
        <w:b/>
      </w:rPr>
      <w:t>Enero</w:t>
    </w:r>
    <w:proofErr w:type="gramEnd"/>
    <w:r w:rsidRPr="00590B82">
      <w:rPr>
        <w:b/>
      </w:rPr>
      <w:t xml:space="preserve"> – Junio 202</w:t>
    </w:r>
    <w:r>
      <w:rPr>
        <w:b/>
      </w:rPr>
      <w:t>6</w:t>
    </w:r>
    <w:r w:rsidRPr="00590B82">
      <w:rPr>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6F54" w14:textId="77777777" w:rsidR="00081D5C" w:rsidRDefault="00081D5C" w:rsidP="00D0617A">
      <w:pPr>
        <w:spacing w:after="0" w:line="240" w:lineRule="auto"/>
      </w:pPr>
      <w:r>
        <w:separator/>
      </w:r>
    </w:p>
  </w:footnote>
  <w:footnote w:type="continuationSeparator" w:id="0">
    <w:p w14:paraId="081AC706" w14:textId="77777777" w:rsidR="00081D5C" w:rsidRDefault="00081D5C" w:rsidP="00D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029B" w14:textId="7E36AF48" w:rsidR="00084CD2" w:rsidRDefault="00084CD2" w:rsidP="00084CD2">
    <w:pPr>
      <w:pStyle w:val="Encabezado"/>
      <w:jc w:val="center"/>
    </w:pPr>
    <w:r>
      <w:rPr>
        <w:noProof/>
      </w:rPr>
      <w:drawing>
        <wp:inline distT="0" distB="0" distL="0" distR="0" wp14:anchorId="12EF5AD0" wp14:editId="037BA892">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6674F"/>
    <w:multiLevelType w:val="hybridMultilevel"/>
    <w:tmpl w:val="1284C89C"/>
    <w:lvl w:ilvl="0" w:tplc="E58E1E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7810766"/>
    <w:multiLevelType w:val="multilevel"/>
    <w:tmpl w:val="D06C5D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16680E"/>
    <w:multiLevelType w:val="hybridMultilevel"/>
    <w:tmpl w:val="4A004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59503492">
    <w:abstractNumId w:val="0"/>
  </w:num>
  <w:num w:numId="2" w16cid:durableId="262805697">
    <w:abstractNumId w:val="2"/>
  </w:num>
  <w:num w:numId="3" w16cid:durableId="349265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D02"/>
    <w:rsid w:val="000013B6"/>
    <w:rsid w:val="000051B6"/>
    <w:rsid w:val="00012365"/>
    <w:rsid w:val="00023946"/>
    <w:rsid w:val="00025DE2"/>
    <w:rsid w:val="0003125C"/>
    <w:rsid w:val="0003324E"/>
    <w:rsid w:val="00033477"/>
    <w:rsid w:val="000345A3"/>
    <w:rsid w:val="00035688"/>
    <w:rsid w:val="00035F1A"/>
    <w:rsid w:val="00036CD4"/>
    <w:rsid w:val="000443C1"/>
    <w:rsid w:val="0004485B"/>
    <w:rsid w:val="00052F9C"/>
    <w:rsid w:val="00055F55"/>
    <w:rsid w:val="00056EE0"/>
    <w:rsid w:val="00057FE9"/>
    <w:rsid w:val="00061516"/>
    <w:rsid w:val="000650A9"/>
    <w:rsid w:val="000724C9"/>
    <w:rsid w:val="00077F80"/>
    <w:rsid w:val="000814AA"/>
    <w:rsid w:val="00081D5C"/>
    <w:rsid w:val="0008300A"/>
    <w:rsid w:val="00083111"/>
    <w:rsid w:val="000837BC"/>
    <w:rsid w:val="000849A1"/>
    <w:rsid w:val="00084CD2"/>
    <w:rsid w:val="0008613D"/>
    <w:rsid w:val="00087076"/>
    <w:rsid w:val="0009482F"/>
    <w:rsid w:val="000A4F27"/>
    <w:rsid w:val="000B14E8"/>
    <w:rsid w:val="000B169D"/>
    <w:rsid w:val="000B280B"/>
    <w:rsid w:val="000B70CF"/>
    <w:rsid w:val="000C78AE"/>
    <w:rsid w:val="000D004D"/>
    <w:rsid w:val="000D16F6"/>
    <w:rsid w:val="000D1CF2"/>
    <w:rsid w:val="000D2133"/>
    <w:rsid w:val="000D4486"/>
    <w:rsid w:val="000D68A1"/>
    <w:rsid w:val="000D732C"/>
    <w:rsid w:val="000D791F"/>
    <w:rsid w:val="000E1461"/>
    <w:rsid w:val="000E1A29"/>
    <w:rsid w:val="000E5C10"/>
    <w:rsid w:val="000F35DD"/>
    <w:rsid w:val="000F3B09"/>
    <w:rsid w:val="000F5D74"/>
    <w:rsid w:val="000F5F3F"/>
    <w:rsid w:val="000F6160"/>
    <w:rsid w:val="000F682F"/>
    <w:rsid w:val="000F6F4F"/>
    <w:rsid w:val="00103556"/>
    <w:rsid w:val="00103EA0"/>
    <w:rsid w:val="00105583"/>
    <w:rsid w:val="001158CD"/>
    <w:rsid w:val="00115C61"/>
    <w:rsid w:val="001164AA"/>
    <w:rsid w:val="00116A4C"/>
    <w:rsid w:val="00122A68"/>
    <w:rsid w:val="0012309E"/>
    <w:rsid w:val="001255D5"/>
    <w:rsid w:val="0013345E"/>
    <w:rsid w:val="001356F5"/>
    <w:rsid w:val="00136BE7"/>
    <w:rsid w:val="001411D3"/>
    <w:rsid w:val="00144744"/>
    <w:rsid w:val="00144A4C"/>
    <w:rsid w:val="00145052"/>
    <w:rsid w:val="001456F6"/>
    <w:rsid w:val="00146A8B"/>
    <w:rsid w:val="00150487"/>
    <w:rsid w:val="00150C3D"/>
    <w:rsid w:val="00151EBB"/>
    <w:rsid w:val="00152B2F"/>
    <w:rsid w:val="0015364D"/>
    <w:rsid w:val="00154620"/>
    <w:rsid w:val="00154F8B"/>
    <w:rsid w:val="00160949"/>
    <w:rsid w:val="00162828"/>
    <w:rsid w:val="001637D1"/>
    <w:rsid w:val="0016484C"/>
    <w:rsid w:val="0016491E"/>
    <w:rsid w:val="00166890"/>
    <w:rsid w:val="0017053F"/>
    <w:rsid w:val="00172A5A"/>
    <w:rsid w:val="00173237"/>
    <w:rsid w:val="00174FFB"/>
    <w:rsid w:val="0017671D"/>
    <w:rsid w:val="00181B3E"/>
    <w:rsid w:val="0018435E"/>
    <w:rsid w:val="00190A34"/>
    <w:rsid w:val="0019461D"/>
    <w:rsid w:val="00194FE6"/>
    <w:rsid w:val="0019770A"/>
    <w:rsid w:val="001A0CFD"/>
    <w:rsid w:val="001A1434"/>
    <w:rsid w:val="001A4FA4"/>
    <w:rsid w:val="001A608D"/>
    <w:rsid w:val="001B1DB4"/>
    <w:rsid w:val="001C21DC"/>
    <w:rsid w:val="001C7D7A"/>
    <w:rsid w:val="001D0E73"/>
    <w:rsid w:val="001D10F7"/>
    <w:rsid w:val="001D22BF"/>
    <w:rsid w:val="001D7936"/>
    <w:rsid w:val="001E0333"/>
    <w:rsid w:val="001E61FC"/>
    <w:rsid w:val="001E6B9F"/>
    <w:rsid w:val="001E6E5B"/>
    <w:rsid w:val="001F2D2C"/>
    <w:rsid w:val="001F2EE1"/>
    <w:rsid w:val="001F34AD"/>
    <w:rsid w:val="001F46BC"/>
    <w:rsid w:val="001F53BA"/>
    <w:rsid w:val="001F6A16"/>
    <w:rsid w:val="001F6EA4"/>
    <w:rsid w:val="00201779"/>
    <w:rsid w:val="0020193B"/>
    <w:rsid w:val="0020198E"/>
    <w:rsid w:val="00201EC6"/>
    <w:rsid w:val="00202A8D"/>
    <w:rsid w:val="00205879"/>
    <w:rsid w:val="002064CD"/>
    <w:rsid w:val="00221FDE"/>
    <w:rsid w:val="002270DD"/>
    <w:rsid w:val="00232B47"/>
    <w:rsid w:val="002362B3"/>
    <w:rsid w:val="00245667"/>
    <w:rsid w:val="002469BD"/>
    <w:rsid w:val="00246D99"/>
    <w:rsid w:val="00253D6E"/>
    <w:rsid w:val="002627E3"/>
    <w:rsid w:val="00267FB8"/>
    <w:rsid w:val="00271481"/>
    <w:rsid w:val="0027359A"/>
    <w:rsid w:val="002763A1"/>
    <w:rsid w:val="00281347"/>
    <w:rsid w:val="00282A4F"/>
    <w:rsid w:val="00282FC2"/>
    <w:rsid w:val="00284C7F"/>
    <w:rsid w:val="00285739"/>
    <w:rsid w:val="0028722C"/>
    <w:rsid w:val="00290E7A"/>
    <w:rsid w:val="002A05AB"/>
    <w:rsid w:val="002A1793"/>
    <w:rsid w:val="002A266A"/>
    <w:rsid w:val="002A5642"/>
    <w:rsid w:val="002A5E9A"/>
    <w:rsid w:val="002B1E52"/>
    <w:rsid w:val="002B5ADF"/>
    <w:rsid w:val="002B6C07"/>
    <w:rsid w:val="002C0215"/>
    <w:rsid w:val="002C0DEE"/>
    <w:rsid w:val="002C3AE2"/>
    <w:rsid w:val="002C5E31"/>
    <w:rsid w:val="002C72CF"/>
    <w:rsid w:val="002D5C1B"/>
    <w:rsid w:val="002D69D7"/>
    <w:rsid w:val="002E1929"/>
    <w:rsid w:val="002E2D91"/>
    <w:rsid w:val="002E4E31"/>
    <w:rsid w:val="002E6AE1"/>
    <w:rsid w:val="002F4187"/>
    <w:rsid w:val="002F68F0"/>
    <w:rsid w:val="0030400D"/>
    <w:rsid w:val="00304114"/>
    <w:rsid w:val="00307DCF"/>
    <w:rsid w:val="003101B8"/>
    <w:rsid w:val="003102F0"/>
    <w:rsid w:val="00310300"/>
    <w:rsid w:val="003111B1"/>
    <w:rsid w:val="00313A75"/>
    <w:rsid w:val="00313CB0"/>
    <w:rsid w:val="00315EC3"/>
    <w:rsid w:val="00317B5C"/>
    <w:rsid w:val="00323515"/>
    <w:rsid w:val="00327E32"/>
    <w:rsid w:val="00337F9A"/>
    <w:rsid w:val="00341314"/>
    <w:rsid w:val="00341FD4"/>
    <w:rsid w:val="0034245D"/>
    <w:rsid w:val="003442E5"/>
    <w:rsid w:val="003534C1"/>
    <w:rsid w:val="003546E3"/>
    <w:rsid w:val="00354B04"/>
    <w:rsid w:val="00355C78"/>
    <w:rsid w:val="00356B85"/>
    <w:rsid w:val="00362C06"/>
    <w:rsid w:val="00366056"/>
    <w:rsid w:val="0036664F"/>
    <w:rsid w:val="00367A69"/>
    <w:rsid w:val="00367E87"/>
    <w:rsid w:val="00374F14"/>
    <w:rsid w:val="003766BE"/>
    <w:rsid w:val="003831B3"/>
    <w:rsid w:val="00391042"/>
    <w:rsid w:val="0039527A"/>
    <w:rsid w:val="00397028"/>
    <w:rsid w:val="003A0393"/>
    <w:rsid w:val="003A0BBA"/>
    <w:rsid w:val="003A1D02"/>
    <w:rsid w:val="003B6AD1"/>
    <w:rsid w:val="003C27E0"/>
    <w:rsid w:val="003C2D7E"/>
    <w:rsid w:val="003C5CA5"/>
    <w:rsid w:val="003D07D0"/>
    <w:rsid w:val="003D4F2B"/>
    <w:rsid w:val="003D502A"/>
    <w:rsid w:val="003D61DE"/>
    <w:rsid w:val="003D6386"/>
    <w:rsid w:val="003D6DFE"/>
    <w:rsid w:val="003E2EC6"/>
    <w:rsid w:val="003E4379"/>
    <w:rsid w:val="003E5DB6"/>
    <w:rsid w:val="003E6A59"/>
    <w:rsid w:val="003F1A88"/>
    <w:rsid w:val="003F2832"/>
    <w:rsid w:val="00400FEA"/>
    <w:rsid w:val="004061B7"/>
    <w:rsid w:val="00406EDF"/>
    <w:rsid w:val="00412495"/>
    <w:rsid w:val="00413586"/>
    <w:rsid w:val="004160DC"/>
    <w:rsid w:val="004208CC"/>
    <w:rsid w:val="00422730"/>
    <w:rsid w:val="00430F4D"/>
    <w:rsid w:val="00436059"/>
    <w:rsid w:val="00437AE7"/>
    <w:rsid w:val="00440603"/>
    <w:rsid w:val="00440BC9"/>
    <w:rsid w:val="00442671"/>
    <w:rsid w:val="00444B41"/>
    <w:rsid w:val="00447760"/>
    <w:rsid w:val="004510BA"/>
    <w:rsid w:val="00451216"/>
    <w:rsid w:val="00451495"/>
    <w:rsid w:val="00457A58"/>
    <w:rsid w:val="00461F2F"/>
    <w:rsid w:val="00462625"/>
    <w:rsid w:val="00462896"/>
    <w:rsid w:val="00466F1C"/>
    <w:rsid w:val="00477558"/>
    <w:rsid w:val="00480DC9"/>
    <w:rsid w:val="0048401E"/>
    <w:rsid w:val="00484B70"/>
    <w:rsid w:val="0049620D"/>
    <w:rsid w:val="004968BA"/>
    <w:rsid w:val="004A2826"/>
    <w:rsid w:val="004A51C8"/>
    <w:rsid w:val="004A5B38"/>
    <w:rsid w:val="004A637D"/>
    <w:rsid w:val="004B61A0"/>
    <w:rsid w:val="004C3CF9"/>
    <w:rsid w:val="004C53ED"/>
    <w:rsid w:val="004C5BE8"/>
    <w:rsid w:val="004C69A8"/>
    <w:rsid w:val="004D357F"/>
    <w:rsid w:val="004D5842"/>
    <w:rsid w:val="004E1FE9"/>
    <w:rsid w:val="004E24C6"/>
    <w:rsid w:val="004E5106"/>
    <w:rsid w:val="004E637E"/>
    <w:rsid w:val="00501287"/>
    <w:rsid w:val="00502B67"/>
    <w:rsid w:val="00503406"/>
    <w:rsid w:val="00506410"/>
    <w:rsid w:val="0051147B"/>
    <w:rsid w:val="00515CD3"/>
    <w:rsid w:val="005241FA"/>
    <w:rsid w:val="00533A04"/>
    <w:rsid w:val="005364B7"/>
    <w:rsid w:val="00547EB8"/>
    <w:rsid w:val="0055133A"/>
    <w:rsid w:val="00562277"/>
    <w:rsid w:val="005625BA"/>
    <w:rsid w:val="0056409F"/>
    <w:rsid w:val="00564EBA"/>
    <w:rsid w:val="00565C2B"/>
    <w:rsid w:val="00566B0E"/>
    <w:rsid w:val="0056756F"/>
    <w:rsid w:val="00570795"/>
    <w:rsid w:val="00570D54"/>
    <w:rsid w:val="00572FDC"/>
    <w:rsid w:val="00577688"/>
    <w:rsid w:val="0058173A"/>
    <w:rsid w:val="00581A62"/>
    <w:rsid w:val="00581E8F"/>
    <w:rsid w:val="00582E2F"/>
    <w:rsid w:val="00584F70"/>
    <w:rsid w:val="005903C1"/>
    <w:rsid w:val="00590925"/>
    <w:rsid w:val="005951AB"/>
    <w:rsid w:val="005A3B2C"/>
    <w:rsid w:val="005B15D5"/>
    <w:rsid w:val="005B2189"/>
    <w:rsid w:val="005B33E4"/>
    <w:rsid w:val="005B3C6A"/>
    <w:rsid w:val="005B3C9D"/>
    <w:rsid w:val="005B786D"/>
    <w:rsid w:val="005C0EE3"/>
    <w:rsid w:val="005C124C"/>
    <w:rsid w:val="005C2D3C"/>
    <w:rsid w:val="005C3545"/>
    <w:rsid w:val="005C4460"/>
    <w:rsid w:val="005C5FF2"/>
    <w:rsid w:val="005C710B"/>
    <w:rsid w:val="005C7A8F"/>
    <w:rsid w:val="005C7F28"/>
    <w:rsid w:val="005D0D19"/>
    <w:rsid w:val="005D387D"/>
    <w:rsid w:val="005D469F"/>
    <w:rsid w:val="005D6695"/>
    <w:rsid w:val="005D6886"/>
    <w:rsid w:val="005E3A90"/>
    <w:rsid w:val="005E54E5"/>
    <w:rsid w:val="005E6D39"/>
    <w:rsid w:val="005F0D28"/>
    <w:rsid w:val="005F29F0"/>
    <w:rsid w:val="005F2BFC"/>
    <w:rsid w:val="005F3804"/>
    <w:rsid w:val="005F47E8"/>
    <w:rsid w:val="005F4EA1"/>
    <w:rsid w:val="005F617F"/>
    <w:rsid w:val="005F6A15"/>
    <w:rsid w:val="00600656"/>
    <w:rsid w:val="0060169C"/>
    <w:rsid w:val="006021A0"/>
    <w:rsid w:val="0060372E"/>
    <w:rsid w:val="00603AAC"/>
    <w:rsid w:val="00603EB6"/>
    <w:rsid w:val="00604CAC"/>
    <w:rsid w:val="00613081"/>
    <w:rsid w:val="006140BD"/>
    <w:rsid w:val="00615871"/>
    <w:rsid w:val="00617B2B"/>
    <w:rsid w:val="00617D59"/>
    <w:rsid w:val="00620A08"/>
    <w:rsid w:val="00620EAB"/>
    <w:rsid w:val="00621595"/>
    <w:rsid w:val="006269BF"/>
    <w:rsid w:val="00626C50"/>
    <w:rsid w:val="0063498B"/>
    <w:rsid w:val="00636E4D"/>
    <w:rsid w:val="006431C2"/>
    <w:rsid w:val="006443B2"/>
    <w:rsid w:val="00645DB6"/>
    <w:rsid w:val="006616CE"/>
    <w:rsid w:val="00663BCD"/>
    <w:rsid w:val="0067234E"/>
    <w:rsid w:val="00677353"/>
    <w:rsid w:val="00677996"/>
    <w:rsid w:val="0069003B"/>
    <w:rsid w:val="006929C8"/>
    <w:rsid w:val="0069483C"/>
    <w:rsid w:val="006952AB"/>
    <w:rsid w:val="006A4DEF"/>
    <w:rsid w:val="006A55CE"/>
    <w:rsid w:val="006B1794"/>
    <w:rsid w:val="006B3CB9"/>
    <w:rsid w:val="006C2BE8"/>
    <w:rsid w:val="006C41B0"/>
    <w:rsid w:val="006C55CB"/>
    <w:rsid w:val="006D14A8"/>
    <w:rsid w:val="006D19A1"/>
    <w:rsid w:val="006D259A"/>
    <w:rsid w:val="006D3A6D"/>
    <w:rsid w:val="006D3D6E"/>
    <w:rsid w:val="006D63B1"/>
    <w:rsid w:val="006E359E"/>
    <w:rsid w:val="006E76AD"/>
    <w:rsid w:val="006F0CEA"/>
    <w:rsid w:val="006F365D"/>
    <w:rsid w:val="00700CD7"/>
    <w:rsid w:val="00700E68"/>
    <w:rsid w:val="00707013"/>
    <w:rsid w:val="007101C8"/>
    <w:rsid w:val="007102D1"/>
    <w:rsid w:val="0071140C"/>
    <w:rsid w:val="0072112C"/>
    <w:rsid w:val="00721AB0"/>
    <w:rsid w:val="007221D7"/>
    <w:rsid w:val="007240BD"/>
    <w:rsid w:val="00726379"/>
    <w:rsid w:val="0072643B"/>
    <w:rsid w:val="007269F6"/>
    <w:rsid w:val="00731DDC"/>
    <w:rsid w:val="007348EB"/>
    <w:rsid w:val="00734B0B"/>
    <w:rsid w:val="0074007C"/>
    <w:rsid w:val="00740CB1"/>
    <w:rsid w:val="007418A6"/>
    <w:rsid w:val="00741F0B"/>
    <w:rsid w:val="00742068"/>
    <w:rsid w:val="0074265F"/>
    <w:rsid w:val="007469BD"/>
    <w:rsid w:val="00754137"/>
    <w:rsid w:val="00757044"/>
    <w:rsid w:val="00760D86"/>
    <w:rsid w:val="00761018"/>
    <w:rsid w:val="007711C3"/>
    <w:rsid w:val="0077317B"/>
    <w:rsid w:val="007734A4"/>
    <w:rsid w:val="00775005"/>
    <w:rsid w:val="00775686"/>
    <w:rsid w:val="007758A1"/>
    <w:rsid w:val="00776973"/>
    <w:rsid w:val="00777214"/>
    <w:rsid w:val="00780654"/>
    <w:rsid w:val="007806C6"/>
    <w:rsid w:val="0078251C"/>
    <w:rsid w:val="0078578F"/>
    <w:rsid w:val="007868D5"/>
    <w:rsid w:val="00787A60"/>
    <w:rsid w:val="007907BC"/>
    <w:rsid w:val="00790815"/>
    <w:rsid w:val="00790850"/>
    <w:rsid w:val="00790EF7"/>
    <w:rsid w:val="0079447E"/>
    <w:rsid w:val="007945A0"/>
    <w:rsid w:val="007957A8"/>
    <w:rsid w:val="007959E3"/>
    <w:rsid w:val="007A0D5C"/>
    <w:rsid w:val="007A3357"/>
    <w:rsid w:val="007B13F5"/>
    <w:rsid w:val="007B2FA2"/>
    <w:rsid w:val="007B5F2E"/>
    <w:rsid w:val="007B60D5"/>
    <w:rsid w:val="007C1F99"/>
    <w:rsid w:val="007C238A"/>
    <w:rsid w:val="007C673D"/>
    <w:rsid w:val="007D0244"/>
    <w:rsid w:val="007D0BC5"/>
    <w:rsid w:val="007D32B7"/>
    <w:rsid w:val="007D4891"/>
    <w:rsid w:val="007D6E89"/>
    <w:rsid w:val="007E1F8C"/>
    <w:rsid w:val="007E6B6B"/>
    <w:rsid w:val="007E7934"/>
    <w:rsid w:val="007F0B33"/>
    <w:rsid w:val="007F28CC"/>
    <w:rsid w:val="007F4F7F"/>
    <w:rsid w:val="007F5D19"/>
    <w:rsid w:val="008038DD"/>
    <w:rsid w:val="008064B6"/>
    <w:rsid w:val="00810922"/>
    <w:rsid w:val="00813C03"/>
    <w:rsid w:val="00813EAD"/>
    <w:rsid w:val="00814BFD"/>
    <w:rsid w:val="00817012"/>
    <w:rsid w:val="0082010C"/>
    <w:rsid w:val="0082018C"/>
    <w:rsid w:val="00820B69"/>
    <w:rsid w:val="00821056"/>
    <w:rsid w:val="008210F3"/>
    <w:rsid w:val="0082386A"/>
    <w:rsid w:val="008248C1"/>
    <w:rsid w:val="00824CED"/>
    <w:rsid w:val="00825630"/>
    <w:rsid w:val="00826E8C"/>
    <w:rsid w:val="00830979"/>
    <w:rsid w:val="008334EB"/>
    <w:rsid w:val="00835E20"/>
    <w:rsid w:val="008400B0"/>
    <w:rsid w:val="00842D55"/>
    <w:rsid w:val="008432C2"/>
    <w:rsid w:val="0084766F"/>
    <w:rsid w:val="00847CF3"/>
    <w:rsid w:val="00852CDB"/>
    <w:rsid w:val="00872258"/>
    <w:rsid w:val="00872629"/>
    <w:rsid w:val="008769F4"/>
    <w:rsid w:val="00876BDB"/>
    <w:rsid w:val="008778AD"/>
    <w:rsid w:val="008823F6"/>
    <w:rsid w:val="0088328B"/>
    <w:rsid w:val="00892290"/>
    <w:rsid w:val="0089403B"/>
    <w:rsid w:val="00895D5F"/>
    <w:rsid w:val="008A2DFC"/>
    <w:rsid w:val="008A3506"/>
    <w:rsid w:val="008A3CA0"/>
    <w:rsid w:val="008A4577"/>
    <w:rsid w:val="008B2A9C"/>
    <w:rsid w:val="008B46F2"/>
    <w:rsid w:val="008B6470"/>
    <w:rsid w:val="008B6487"/>
    <w:rsid w:val="008C1E0E"/>
    <w:rsid w:val="008C5698"/>
    <w:rsid w:val="008C6520"/>
    <w:rsid w:val="008D00D4"/>
    <w:rsid w:val="008D07DF"/>
    <w:rsid w:val="008D0929"/>
    <w:rsid w:val="008D2861"/>
    <w:rsid w:val="008D7A1F"/>
    <w:rsid w:val="008D7E28"/>
    <w:rsid w:val="008E1391"/>
    <w:rsid w:val="008E1484"/>
    <w:rsid w:val="008E67AA"/>
    <w:rsid w:val="008F2535"/>
    <w:rsid w:val="00903F2F"/>
    <w:rsid w:val="00904F4B"/>
    <w:rsid w:val="00905843"/>
    <w:rsid w:val="00906853"/>
    <w:rsid w:val="00912E58"/>
    <w:rsid w:val="009131E9"/>
    <w:rsid w:val="00920272"/>
    <w:rsid w:val="00933662"/>
    <w:rsid w:val="009336B7"/>
    <w:rsid w:val="00933777"/>
    <w:rsid w:val="00937FDB"/>
    <w:rsid w:val="0094164B"/>
    <w:rsid w:val="00941B27"/>
    <w:rsid w:val="0095247B"/>
    <w:rsid w:val="00960508"/>
    <w:rsid w:val="0096177E"/>
    <w:rsid w:val="00961FE3"/>
    <w:rsid w:val="00963848"/>
    <w:rsid w:val="009646DE"/>
    <w:rsid w:val="00965EBD"/>
    <w:rsid w:val="00967F64"/>
    <w:rsid w:val="00975A1F"/>
    <w:rsid w:val="00982EA0"/>
    <w:rsid w:val="0098526F"/>
    <w:rsid w:val="009854A9"/>
    <w:rsid w:val="00985590"/>
    <w:rsid w:val="00986FDB"/>
    <w:rsid w:val="00987A25"/>
    <w:rsid w:val="00987C08"/>
    <w:rsid w:val="009902DF"/>
    <w:rsid w:val="00990EBF"/>
    <w:rsid w:val="009A0F44"/>
    <w:rsid w:val="009A2D6B"/>
    <w:rsid w:val="009A32B1"/>
    <w:rsid w:val="009A70DE"/>
    <w:rsid w:val="009B0C3C"/>
    <w:rsid w:val="009B109D"/>
    <w:rsid w:val="009B23CC"/>
    <w:rsid w:val="009B302E"/>
    <w:rsid w:val="009B3A22"/>
    <w:rsid w:val="009B4279"/>
    <w:rsid w:val="009C14B1"/>
    <w:rsid w:val="009C34E7"/>
    <w:rsid w:val="009D031A"/>
    <w:rsid w:val="009D2BA4"/>
    <w:rsid w:val="009D303B"/>
    <w:rsid w:val="009D67C9"/>
    <w:rsid w:val="009E4FF1"/>
    <w:rsid w:val="009F0ECD"/>
    <w:rsid w:val="009F34B1"/>
    <w:rsid w:val="009F5595"/>
    <w:rsid w:val="00A006AE"/>
    <w:rsid w:val="00A025E0"/>
    <w:rsid w:val="00A02E2D"/>
    <w:rsid w:val="00A02F07"/>
    <w:rsid w:val="00A056E1"/>
    <w:rsid w:val="00A057F9"/>
    <w:rsid w:val="00A06C3E"/>
    <w:rsid w:val="00A16CEC"/>
    <w:rsid w:val="00A232FF"/>
    <w:rsid w:val="00A2399D"/>
    <w:rsid w:val="00A2450B"/>
    <w:rsid w:val="00A25278"/>
    <w:rsid w:val="00A3003E"/>
    <w:rsid w:val="00A319D8"/>
    <w:rsid w:val="00A3549E"/>
    <w:rsid w:val="00A366CF"/>
    <w:rsid w:val="00A36C45"/>
    <w:rsid w:val="00A37A93"/>
    <w:rsid w:val="00A402EA"/>
    <w:rsid w:val="00A40EE2"/>
    <w:rsid w:val="00A41046"/>
    <w:rsid w:val="00A462A8"/>
    <w:rsid w:val="00A52574"/>
    <w:rsid w:val="00A55AB6"/>
    <w:rsid w:val="00A57789"/>
    <w:rsid w:val="00A6014F"/>
    <w:rsid w:val="00A630BF"/>
    <w:rsid w:val="00A653BA"/>
    <w:rsid w:val="00A65F74"/>
    <w:rsid w:val="00A70FCA"/>
    <w:rsid w:val="00A720E2"/>
    <w:rsid w:val="00A75E68"/>
    <w:rsid w:val="00A81478"/>
    <w:rsid w:val="00A843D3"/>
    <w:rsid w:val="00A91F0E"/>
    <w:rsid w:val="00A94C91"/>
    <w:rsid w:val="00A97D94"/>
    <w:rsid w:val="00AA0895"/>
    <w:rsid w:val="00AA0DE2"/>
    <w:rsid w:val="00AB0B5A"/>
    <w:rsid w:val="00AB1170"/>
    <w:rsid w:val="00AB3F3F"/>
    <w:rsid w:val="00AB49D8"/>
    <w:rsid w:val="00AB4F36"/>
    <w:rsid w:val="00AC0A8C"/>
    <w:rsid w:val="00AC0B42"/>
    <w:rsid w:val="00AC3312"/>
    <w:rsid w:val="00AC518E"/>
    <w:rsid w:val="00AC7A92"/>
    <w:rsid w:val="00AD1CF8"/>
    <w:rsid w:val="00AD22D2"/>
    <w:rsid w:val="00AD3604"/>
    <w:rsid w:val="00AD54E3"/>
    <w:rsid w:val="00AD5D98"/>
    <w:rsid w:val="00AE0B63"/>
    <w:rsid w:val="00AE0DA4"/>
    <w:rsid w:val="00AE40D9"/>
    <w:rsid w:val="00AE65F0"/>
    <w:rsid w:val="00AF0340"/>
    <w:rsid w:val="00AF5590"/>
    <w:rsid w:val="00AF77AD"/>
    <w:rsid w:val="00B02B7F"/>
    <w:rsid w:val="00B10F14"/>
    <w:rsid w:val="00B1226F"/>
    <w:rsid w:val="00B1314A"/>
    <w:rsid w:val="00B20F07"/>
    <w:rsid w:val="00B2135C"/>
    <w:rsid w:val="00B22F47"/>
    <w:rsid w:val="00B243ED"/>
    <w:rsid w:val="00B51C65"/>
    <w:rsid w:val="00B561A2"/>
    <w:rsid w:val="00B65A8F"/>
    <w:rsid w:val="00B71314"/>
    <w:rsid w:val="00B84F59"/>
    <w:rsid w:val="00B86210"/>
    <w:rsid w:val="00B862EF"/>
    <w:rsid w:val="00B8695B"/>
    <w:rsid w:val="00B86DAB"/>
    <w:rsid w:val="00B90782"/>
    <w:rsid w:val="00B917F2"/>
    <w:rsid w:val="00B94C38"/>
    <w:rsid w:val="00B95829"/>
    <w:rsid w:val="00B968BA"/>
    <w:rsid w:val="00B96941"/>
    <w:rsid w:val="00BA32AE"/>
    <w:rsid w:val="00BA5189"/>
    <w:rsid w:val="00BA5BEE"/>
    <w:rsid w:val="00BB0F77"/>
    <w:rsid w:val="00BB1969"/>
    <w:rsid w:val="00BB56B2"/>
    <w:rsid w:val="00BC2BF9"/>
    <w:rsid w:val="00BC32A1"/>
    <w:rsid w:val="00BC4C73"/>
    <w:rsid w:val="00BC74DA"/>
    <w:rsid w:val="00BD5D29"/>
    <w:rsid w:val="00BE2BDF"/>
    <w:rsid w:val="00BE5C30"/>
    <w:rsid w:val="00BF55DB"/>
    <w:rsid w:val="00BF5A2E"/>
    <w:rsid w:val="00BF7793"/>
    <w:rsid w:val="00C00997"/>
    <w:rsid w:val="00C0299A"/>
    <w:rsid w:val="00C02E31"/>
    <w:rsid w:val="00C0336A"/>
    <w:rsid w:val="00C04E76"/>
    <w:rsid w:val="00C05BE0"/>
    <w:rsid w:val="00C06B7D"/>
    <w:rsid w:val="00C07810"/>
    <w:rsid w:val="00C10343"/>
    <w:rsid w:val="00C15660"/>
    <w:rsid w:val="00C15BAB"/>
    <w:rsid w:val="00C22369"/>
    <w:rsid w:val="00C25F9D"/>
    <w:rsid w:val="00C346E7"/>
    <w:rsid w:val="00C40123"/>
    <w:rsid w:val="00C4184B"/>
    <w:rsid w:val="00C46B65"/>
    <w:rsid w:val="00C53C27"/>
    <w:rsid w:val="00C551F2"/>
    <w:rsid w:val="00C607CE"/>
    <w:rsid w:val="00C6092A"/>
    <w:rsid w:val="00C640D3"/>
    <w:rsid w:val="00C647CD"/>
    <w:rsid w:val="00C650F0"/>
    <w:rsid w:val="00C67D38"/>
    <w:rsid w:val="00C718E5"/>
    <w:rsid w:val="00C73248"/>
    <w:rsid w:val="00C751F3"/>
    <w:rsid w:val="00C7611E"/>
    <w:rsid w:val="00C81855"/>
    <w:rsid w:val="00C82500"/>
    <w:rsid w:val="00C86F1D"/>
    <w:rsid w:val="00C87E85"/>
    <w:rsid w:val="00C926B0"/>
    <w:rsid w:val="00C95C73"/>
    <w:rsid w:val="00C962D5"/>
    <w:rsid w:val="00CA287C"/>
    <w:rsid w:val="00CA35BF"/>
    <w:rsid w:val="00CB0EF5"/>
    <w:rsid w:val="00CB2A9C"/>
    <w:rsid w:val="00CB36E7"/>
    <w:rsid w:val="00CB3F30"/>
    <w:rsid w:val="00CB4814"/>
    <w:rsid w:val="00CB49D8"/>
    <w:rsid w:val="00CB5DDD"/>
    <w:rsid w:val="00CB7A10"/>
    <w:rsid w:val="00CC1512"/>
    <w:rsid w:val="00CC703B"/>
    <w:rsid w:val="00CC72E8"/>
    <w:rsid w:val="00CD5E6F"/>
    <w:rsid w:val="00CD688F"/>
    <w:rsid w:val="00CE08DF"/>
    <w:rsid w:val="00CE3953"/>
    <w:rsid w:val="00CF4D54"/>
    <w:rsid w:val="00CF77A8"/>
    <w:rsid w:val="00D0293B"/>
    <w:rsid w:val="00D0557A"/>
    <w:rsid w:val="00D0617A"/>
    <w:rsid w:val="00D14A53"/>
    <w:rsid w:val="00D21CC5"/>
    <w:rsid w:val="00D24B59"/>
    <w:rsid w:val="00D24E22"/>
    <w:rsid w:val="00D2778F"/>
    <w:rsid w:val="00D34B1F"/>
    <w:rsid w:val="00D354DD"/>
    <w:rsid w:val="00D447F2"/>
    <w:rsid w:val="00D4551C"/>
    <w:rsid w:val="00D4783A"/>
    <w:rsid w:val="00D51D4B"/>
    <w:rsid w:val="00D53DDF"/>
    <w:rsid w:val="00D57822"/>
    <w:rsid w:val="00D57D26"/>
    <w:rsid w:val="00D62177"/>
    <w:rsid w:val="00D6331F"/>
    <w:rsid w:val="00D6740F"/>
    <w:rsid w:val="00D67626"/>
    <w:rsid w:val="00D71786"/>
    <w:rsid w:val="00D72368"/>
    <w:rsid w:val="00D838DC"/>
    <w:rsid w:val="00D83DF4"/>
    <w:rsid w:val="00D85E45"/>
    <w:rsid w:val="00D865AA"/>
    <w:rsid w:val="00D8761A"/>
    <w:rsid w:val="00D877E0"/>
    <w:rsid w:val="00D92C72"/>
    <w:rsid w:val="00D96CC5"/>
    <w:rsid w:val="00D9725B"/>
    <w:rsid w:val="00D973E1"/>
    <w:rsid w:val="00DA10E0"/>
    <w:rsid w:val="00DA2C0B"/>
    <w:rsid w:val="00DA40BA"/>
    <w:rsid w:val="00DA5D8A"/>
    <w:rsid w:val="00DA652F"/>
    <w:rsid w:val="00DA728C"/>
    <w:rsid w:val="00DB7E2B"/>
    <w:rsid w:val="00DC0C5B"/>
    <w:rsid w:val="00DC149C"/>
    <w:rsid w:val="00DC2EC7"/>
    <w:rsid w:val="00DC2FD8"/>
    <w:rsid w:val="00DD1B89"/>
    <w:rsid w:val="00DD1C75"/>
    <w:rsid w:val="00DD5AB1"/>
    <w:rsid w:val="00DE0769"/>
    <w:rsid w:val="00DE2F80"/>
    <w:rsid w:val="00DE5B04"/>
    <w:rsid w:val="00DE7244"/>
    <w:rsid w:val="00DE7FC3"/>
    <w:rsid w:val="00DF0014"/>
    <w:rsid w:val="00DF1639"/>
    <w:rsid w:val="00DF22AD"/>
    <w:rsid w:val="00E02E75"/>
    <w:rsid w:val="00E0624D"/>
    <w:rsid w:val="00E06AD1"/>
    <w:rsid w:val="00E1311C"/>
    <w:rsid w:val="00E15137"/>
    <w:rsid w:val="00E17667"/>
    <w:rsid w:val="00E21A5C"/>
    <w:rsid w:val="00E30AEA"/>
    <w:rsid w:val="00E3165C"/>
    <w:rsid w:val="00E474F1"/>
    <w:rsid w:val="00E506DF"/>
    <w:rsid w:val="00E51E4B"/>
    <w:rsid w:val="00E5282F"/>
    <w:rsid w:val="00E532F7"/>
    <w:rsid w:val="00E63554"/>
    <w:rsid w:val="00E63FD6"/>
    <w:rsid w:val="00E64739"/>
    <w:rsid w:val="00E6495B"/>
    <w:rsid w:val="00E6599D"/>
    <w:rsid w:val="00E66340"/>
    <w:rsid w:val="00E67470"/>
    <w:rsid w:val="00E70DEF"/>
    <w:rsid w:val="00E71AC8"/>
    <w:rsid w:val="00E74960"/>
    <w:rsid w:val="00E76202"/>
    <w:rsid w:val="00E805CC"/>
    <w:rsid w:val="00E82938"/>
    <w:rsid w:val="00E830F2"/>
    <w:rsid w:val="00E92754"/>
    <w:rsid w:val="00E943D1"/>
    <w:rsid w:val="00E944E2"/>
    <w:rsid w:val="00E95F6E"/>
    <w:rsid w:val="00EA022D"/>
    <w:rsid w:val="00EA1ACA"/>
    <w:rsid w:val="00EA2914"/>
    <w:rsid w:val="00EA31D8"/>
    <w:rsid w:val="00EA3263"/>
    <w:rsid w:val="00EA4ED2"/>
    <w:rsid w:val="00EA6A9A"/>
    <w:rsid w:val="00EB0CFD"/>
    <w:rsid w:val="00EC387E"/>
    <w:rsid w:val="00EC6F02"/>
    <w:rsid w:val="00ED0E14"/>
    <w:rsid w:val="00ED4D41"/>
    <w:rsid w:val="00ED569A"/>
    <w:rsid w:val="00EE41A2"/>
    <w:rsid w:val="00EF1555"/>
    <w:rsid w:val="00EF2438"/>
    <w:rsid w:val="00EF2556"/>
    <w:rsid w:val="00EF4442"/>
    <w:rsid w:val="00F00E54"/>
    <w:rsid w:val="00F0183D"/>
    <w:rsid w:val="00F01C7B"/>
    <w:rsid w:val="00F01E85"/>
    <w:rsid w:val="00F06312"/>
    <w:rsid w:val="00F078AC"/>
    <w:rsid w:val="00F11D92"/>
    <w:rsid w:val="00F20495"/>
    <w:rsid w:val="00F217A7"/>
    <w:rsid w:val="00F2336B"/>
    <w:rsid w:val="00F300D0"/>
    <w:rsid w:val="00F319A5"/>
    <w:rsid w:val="00F35D8B"/>
    <w:rsid w:val="00F370FB"/>
    <w:rsid w:val="00F455A6"/>
    <w:rsid w:val="00F53FCB"/>
    <w:rsid w:val="00F543FF"/>
    <w:rsid w:val="00F65810"/>
    <w:rsid w:val="00F66B5C"/>
    <w:rsid w:val="00F66FB8"/>
    <w:rsid w:val="00F76BEA"/>
    <w:rsid w:val="00F829C4"/>
    <w:rsid w:val="00F8452A"/>
    <w:rsid w:val="00F85E36"/>
    <w:rsid w:val="00F879E2"/>
    <w:rsid w:val="00F90A2C"/>
    <w:rsid w:val="00F92BFE"/>
    <w:rsid w:val="00F95E9D"/>
    <w:rsid w:val="00FA17AB"/>
    <w:rsid w:val="00FA5045"/>
    <w:rsid w:val="00FA50C3"/>
    <w:rsid w:val="00FB22C3"/>
    <w:rsid w:val="00FB2C7F"/>
    <w:rsid w:val="00FB31E2"/>
    <w:rsid w:val="00FB3929"/>
    <w:rsid w:val="00FC4CB2"/>
    <w:rsid w:val="00FC6E4A"/>
    <w:rsid w:val="00FC7D50"/>
    <w:rsid w:val="00FD07F0"/>
    <w:rsid w:val="00FD18D1"/>
    <w:rsid w:val="00FD34F4"/>
    <w:rsid w:val="00FD4A74"/>
    <w:rsid w:val="00FD558D"/>
    <w:rsid w:val="00FD6B61"/>
    <w:rsid w:val="00FE17FA"/>
    <w:rsid w:val="00FE79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51C10E"/>
  <w15:docId w15:val="{42FFAAC9-DD6F-4D97-8C1B-70821CD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0E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E7A"/>
    <w:rPr>
      <w:rFonts w:ascii="Tahoma" w:hAnsi="Tahoma" w:cs="Tahoma"/>
      <w:sz w:val="16"/>
      <w:szCs w:val="16"/>
    </w:rPr>
  </w:style>
  <w:style w:type="character" w:styleId="Textodelmarcadordeposicin">
    <w:name w:val="Placeholder Text"/>
    <w:basedOn w:val="Fuentedeprrafopredeter"/>
    <w:uiPriority w:val="99"/>
    <w:semiHidden/>
    <w:rsid w:val="005F0D28"/>
    <w:rPr>
      <w:color w:val="808080"/>
    </w:rPr>
  </w:style>
  <w:style w:type="paragraph" w:styleId="Textonotapie">
    <w:name w:val="footnote text"/>
    <w:basedOn w:val="Normal"/>
    <w:link w:val="TextonotapieCar"/>
    <w:uiPriority w:val="99"/>
    <w:semiHidden/>
    <w:unhideWhenUsed/>
    <w:rsid w:val="00D061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617A"/>
    <w:rPr>
      <w:sz w:val="20"/>
      <w:szCs w:val="20"/>
    </w:rPr>
  </w:style>
  <w:style w:type="character" w:styleId="Refdenotaalpie">
    <w:name w:val="footnote reference"/>
    <w:basedOn w:val="Fuentedeprrafopredeter"/>
    <w:uiPriority w:val="99"/>
    <w:semiHidden/>
    <w:unhideWhenUsed/>
    <w:rsid w:val="00D0617A"/>
    <w:rPr>
      <w:vertAlign w:val="superscript"/>
    </w:rPr>
  </w:style>
  <w:style w:type="character" w:styleId="Hipervnculo">
    <w:name w:val="Hyperlink"/>
    <w:basedOn w:val="Fuentedeprrafopredeter"/>
    <w:uiPriority w:val="99"/>
    <w:unhideWhenUsed/>
    <w:rsid w:val="00F66B5C"/>
    <w:rPr>
      <w:color w:val="0000FF" w:themeColor="hyperlink"/>
      <w:u w:val="single"/>
    </w:rPr>
  </w:style>
  <w:style w:type="table" w:styleId="Tablaconcuadrcula">
    <w:name w:val="Table Grid"/>
    <w:basedOn w:val="Tablanormal"/>
    <w:uiPriority w:val="39"/>
    <w:rsid w:val="002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A35BF"/>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A35BF"/>
    <w:rPr>
      <w:rFonts w:ascii="Consolas" w:hAnsi="Consolas"/>
      <w:sz w:val="20"/>
      <w:szCs w:val="20"/>
    </w:rPr>
  </w:style>
  <w:style w:type="paragraph" w:styleId="NormalWeb">
    <w:name w:val="Normal (Web)"/>
    <w:basedOn w:val="Normal"/>
    <w:uiPriority w:val="99"/>
    <w:semiHidden/>
    <w:unhideWhenUsed/>
    <w:rsid w:val="00A06C3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6C41B0"/>
    <w:pPr>
      <w:ind w:left="720"/>
      <w:contextualSpacing/>
    </w:pPr>
  </w:style>
  <w:style w:type="character" w:styleId="Nmerodelnea">
    <w:name w:val="line number"/>
    <w:basedOn w:val="Fuentedeprrafopredeter"/>
    <w:uiPriority w:val="99"/>
    <w:semiHidden/>
    <w:unhideWhenUsed/>
    <w:rsid w:val="004D5842"/>
  </w:style>
  <w:style w:type="paragraph" w:styleId="Encabezado">
    <w:name w:val="header"/>
    <w:basedOn w:val="Normal"/>
    <w:link w:val="EncabezadoCar"/>
    <w:uiPriority w:val="99"/>
    <w:unhideWhenUsed/>
    <w:rsid w:val="004D58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5842"/>
  </w:style>
  <w:style w:type="paragraph" w:styleId="Piedepgina">
    <w:name w:val="footer"/>
    <w:basedOn w:val="Normal"/>
    <w:link w:val="PiedepginaCar"/>
    <w:uiPriority w:val="99"/>
    <w:unhideWhenUsed/>
    <w:rsid w:val="004D58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5842"/>
  </w:style>
  <w:style w:type="paragraph" w:styleId="Textonotaalfinal">
    <w:name w:val="endnote text"/>
    <w:basedOn w:val="Normal"/>
    <w:link w:val="TextonotaalfinalCar"/>
    <w:uiPriority w:val="99"/>
    <w:semiHidden/>
    <w:unhideWhenUsed/>
    <w:rsid w:val="00A94C9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94C91"/>
    <w:rPr>
      <w:sz w:val="20"/>
      <w:szCs w:val="20"/>
    </w:rPr>
  </w:style>
  <w:style w:type="character" w:styleId="Refdenotaalfinal">
    <w:name w:val="endnote reference"/>
    <w:basedOn w:val="Fuentedeprrafopredeter"/>
    <w:uiPriority w:val="99"/>
    <w:semiHidden/>
    <w:unhideWhenUsed/>
    <w:rsid w:val="00A94C91"/>
    <w:rPr>
      <w:vertAlign w:val="superscript"/>
    </w:rPr>
  </w:style>
  <w:style w:type="character" w:styleId="Mencinsinresolver">
    <w:name w:val="Unresolved Mention"/>
    <w:basedOn w:val="Fuentedeprrafopredeter"/>
    <w:uiPriority w:val="99"/>
    <w:semiHidden/>
    <w:unhideWhenUsed/>
    <w:rsid w:val="009F5595"/>
    <w:rPr>
      <w:color w:val="605E5C"/>
      <w:shd w:val="clear" w:color="auto" w:fill="E1DFDD"/>
    </w:rPr>
  </w:style>
  <w:style w:type="paragraph" w:styleId="Revisin">
    <w:name w:val="Revision"/>
    <w:hidden/>
    <w:uiPriority w:val="99"/>
    <w:semiHidden/>
    <w:rsid w:val="00DD5AB1"/>
    <w:pPr>
      <w:spacing w:after="0" w:line="240" w:lineRule="auto"/>
    </w:pPr>
  </w:style>
  <w:style w:type="paragraph" w:styleId="Textoindependiente">
    <w:name w:val="Body Text"/>
    <w:basedOn w:val="Normal"/>
    <w:link w:val="TextoindependienteCar"/>
    <w:uiPriority w:val="99"/>
    <w:semiHidden/>
    <w:unhideWhenUsed/>
    <w:rsid w:val="001255D5"/>
    <w:pPr>
      <w:spacing w:after="120"/>
    </w:pPr>
  </w:style>
  <w:style w:type="character" w:customStyle="1" w:styleId="TextoindependienteCar">
    <w:name w:val="Texto independiente Car"/>
    <w:basedOn w:val="Fuentedeprrafopredeter"/>
    <w:link w:val="Textoindependiente"/>
    <w:uiPriority w:val="99"/>
    <w:semiHidden/>
    <w:rsid w:val="00125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449">
      <w:bodyDiv w:val="1"/>
      <w:marLeft w:val="0"/>
      <w:marRight w:val="0"/>
      <w:marTop w:val="0"/>
      <w:marBottom w:val="0"/>
      <w:divBdr>
        <w:top w:val="none" w:sz="0" w:space="0" w:color="auto"/>
        <w:left w:val="none" w:sz="0" w:space="0" w:color="auto"/>
        <w:bottom w:val="none" w:sz="0" w:space="0" w:color="auto"/>
        <w:right w:val="none" w:sz="0" w:space="0" w:color="auto"/>
      </w:divBdr>
    </w:div>
    <w:div w:id="42874080">
      <w:bodyDiv w:val="1"/>
      <w:marLeft w:val="0"/>
      <w:marRight w:val="0"/>
      <w:marTop w:val="0"/>
      <w:marBottom w:val="0"/>
      <w:divBdr>
        <w:top w:val="none" w:sz="0" w:space="0" w:color="auto"/>
        <w:left w:val="none" w:sz="0" w:space="0" w:color="auto"/>
        <w:bottom w:val="none" w:sz="0" w:space="0" w:color="auto"/>
        <w:right w:val="none" w:sz="0" w:space="0" w:color="auto"/>
      </w:divBdr>
    </w:div>
    <w:div w:id="49616490">
      <w:bodyDiv w:val="1"/>
      <w:marLeft w:val="120"/>
      <w:marRight w:val="120"/>
      <w:marTop w:val="0"/>
      <w:marBottom w:val="0"/>
      <w:divBdr>
        <w:top w:val="none" w:sz="0" w:space="0" w:color="auto"/>
        <w:left w:val="none" w:sz="0" w:space="0" w:color="auto"/>
        <w:bottom w:val="none" w:sz="0" w:space="0" w:color="auto"/>
        <w:right w:val="none" w:sz="0" w:space="0" w:color="auto"/>
      </w:divBdr>
      <w:divsChild>
        <w:div w:id="111634005">
          <w:marLeft w:val="0"/>
          <w:marRight w:val="0"/>
          <w:marTop w:val="0"/>
          <w:marBottom w:val="0"/>
          <w:divBdr>
            <w:top w:val="none" w:sz="0" w:space="0" w:color="auto"/>
            <w:left w:val="none" w:sz="0" w:space="0" w:color="auto"/>
            <w:bottom w:val="none" w:sz="0" w:space="0" w:color="auto"/>
            <w:right w:val="none" w:sz="0" w:space="0" w:color="auto"/>
          </w:divBdr>
          <w:divsChild>
            <w:div w:id="7633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876">
      <w:bodyDiv w:val="1"/>
      <w:marLeft w:val="120"/>
      <w:marRight w:val="120"/>
      <w:marTop w:val="0"/>
      <w:marBottom w:val="0"/>
      <w:divBdr>
        <w:top w:val="none" w:sz="0" w:space="0" w:color="auto"/>
        <w:left w:val="none" w:sz="0" w:space="0" w:color="auto"/>
        <w:bottom w:val="none" w:sz="0" w:space="0" w:color="auto"/>
        <w:right w:val="none" w:sz="0" w:space="0" w:color="auto"/>
      </w:divBdr>
      <w:divsChild>
        <w:div w:id="115218093">
          <w:marLeft w:val="0"/>
          <w:marRight w:val="0"/>
          <w:marTop w:val="0"/>
          <w:marBottom w:val="0"/>
          <w:divBdr>
            <w:top w:val="none" w:sz="0" w:space="0" w:color="auto"/>
            <w:left w:val="none" w:sz="0" w:space="0" w:color="auto"/>
            <w:bottom w:val="none" w:sz="0" w:space="0" w:color="auto"/>
            <w:right w:val="none" w:sz="0" w:space="0" w:color="auto"/>
          </w:divBdr>
          <w:divsChild>
            <w:div w:id="59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3171">
      <w:bodyDiv w:val="1"/>
      <w:marLeft w:val="0"/>
      <w:marRight w:val="0"/>
      <w:marTop w:val="0"/>
      <w:marBottom w:val="0"/>
      <w:divBdr>
        <w:top w:val="none" w:sz="0" w:space="0" w:color="auto"/>
        <w:left w:val="none" w:sz="0" w:space="0" w:color="auto"/>
        <w:bottom w:val="none" w:sz="0" w:space="0" w:color="auto"/>
        <w:right w:val="none" w:sz="0" w:space="0" w:color="auto"/>
      </w:divBdr>
    </w:div>
    <w:div w:id="331834716">
      <w:bodyDiv w:val="1"/>
      <w:marLeft w:val="0"/>
      <w:marRight w:val="0"/>
      <w:marTop w:val="0"/>
      <w:marBottom w:val="0"/>
      <w:divBdr>
        <w:top w:val="none" w:sz="0" w:space="0" w:color="auto"/>
        <w:left w:val="none" w:sz="0" w:space="0" w:color="auto"/>
        <w:bottom w:val="none" w:sz="0" w:space="0" w:color="auto"/>
        <w:right w:val="none" w:sz="0" w:space="0" w:color="auto"/>
      </w:divBdr>
    </w:div>
    <w:div w:id="340930830">
      <w:bodyDiv w:val="1"/>
      <w:marLeft w:val="120"/>
      <w:marRight w:val="120"/>
      <w:marTop w:val="0"/>
      <w:marBottom w:val="0"/>
      <w:divBdr>
        <w:top w:val="none" w:sz="0" w:space="0" w:color="auto"/>
        <w:left w:val="none" w:sz="0" w:space="0" w:color="auto"/>
        <w:bottom w:val="none" w:sz="0" w:space="0" w:color="auto"/>
        <w:right w:val="none" w:sz="0" w:space="0" w:color="auto"/>
      </w:divBdr>
      <w:divsChild>
        <w:div w:id="555966751">
          <w:marLeft w:val="0"/>
          <w:marRight w:val="0"/>
          <w:marTop w:val="0"/>
          <w:marBottom w:val="0"/>
          <w:divBdr>
            <w:top w:val="none" w:sz="0" w:space="0" w:color="auto"/>
            <w:left w:val="none" w:sz="0" w:space="0" w:color="auto"/>
            <w:bottom w:val="none" w:sz="0" w:space="0" w:color="auto"/>
            <w:right w:val="none" w:sz="0" w:space="0" w:color="auto"/>
          </w:divBdr>
          <w:divsChild>
            <w:div w:id="5155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1475">
      <w:bodyDiv w:val="1"/>
      <w:marLeft w:val="120"/>
      <w:marRight w:val="120"/>
      <w:marTop w:val="0"/>
      <w:marBottom w:val="0"/>
      <w:divBdr>
        <w:top w:val="none" w:sz="0" w:space="0" w:color="auto"/>
        <w:left w:val="none" w:sz="0" w:space="0" w:color="auto"/>
        <w:bottom w:val="none" w:sz="0" w:space="0" w:color="auto"/>
        <w:right w:val="none" w:sz="0" w:space="0" w:color="auto"/>
      </w:divBdr>
      <w:divsChild>
        <w:div w:id="1246381722">
          <w:marLeft w:val="0"/>
          <w:marRight w:val="0"/>
          <w:marTop w:val="0"/>
          <w:marBottom w:val="0"/>
          <w:divBdr>
            <w:top w:val="none" w:sz="0" w:space="0" w:color="auto"/>
            <w:left w:val="none" w:sz="0" w:space="0" w:color="auto"/>
            <w:bottom w:val="none" w:sz="0" w:space="0" w:color="auto"/>
            <w:right w:val="none" w:sz="0" w:space="0" w:color="auto"/>
          </w:divBdr>
          <w:divsChild>
            <w:div w:id="1248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2236">
      <w:bodyDiv w:val="1"/>
      <w:marLeft w:val="0"/>
      <w:marRight w:val="0"/>
      <w:marTop w:val="0"/>
      <w:marBottom w:val="0"/>
      <w:divBdr>
        <w:top w:val="none" w:sz="0" w:space="0" w:color="auto"/>
        <w:left w:val="none" w:sz="0" w:space="0" w:color="auto"/>
        <w:bottom w:val="none" w:sz="0" w:space="0" w:color="auto"/>
        <w:right w:val="none" w:sz="0" w:space="0" w:color="auto"/>
      </w:divBdr>
    </w:div>
    <w:div w:id="515583559">
      <w:bodyDiv w:val="1"/>
      <w:marLeft w:val="0"/>
      <w:marRight w:val="0"/>
      <w:marTop w:val="0"/>
      <w:marBottom w:val="0"/>
      <w:divBdr>
        <w:top w:val="none" w:sz="0" w:space="0" w:color="auto"/>
        <w:left w:val="none" w:sz="0" w:space="0" w:color="auto"/>
        <w:bottom w:val="none" w:sz="0" w:space="0" w:color="auto"/>
        <w:right w:val="none" w:sz="0" w:space="0" w:color="auto"/>
      </w:divBdr>
    </w:div>
    <w:div w:id="523175312">
      <w:bodyDiv w:val="1"/>
      <w:marLeft w:val="0"/>
      <w:marRight w:val="0"/>
      <w:marTop w:val="0"/>
      <w:marBottom w:val="0"/>
      <w:divBdr>
        <w:top w:val="none" w:sz="0" w:space="0" w:color="auto"/>
        <w:left w:val="none" w:sz="0" w:space="0" w:color="auto"/>
        <w:bottom w:val="none" w:sz="0" w:space="0" w:color="auto"/>
        <w:right w:val="none" w:sz="0" w:space="0" w:color="auto"/>
      </w:divBdr>
    </w:div>
    <w:div w:id="555822453">
      <w:bodyDiv w:val="1"/>
      <w:marLeft w:val="0"/>
      <w:marRight w:val="0"/>
      <w:marTop w:val="0"/>
      <w:marBottom w:val="0"/>
      <w:divBdr>
        <w:top w:val="none" w:sz="0" w:space="0" w:color="auto"/>
        <w:left w:val="none" w:sz="0" w:space="0" w:color="auto"/>
        <w:bottom w:val="none" w:sz="0" w:space="0" w:color="auto"/>
        <w:right w:val="none" w:sz="0" w:space="0" w:color="auto"/>
      </w:divBdr>
    </w:div>
    <w:div w:id="558516366">
      <w:bodyDiv w:val="1"/>
      <w:marLeft w:val="120"/>
      <w:marRight w:val="120"/>
      <w:marTop w:val="0"/>
      <w:marBottom w:val="0"/>
      <w:divBdr>
        <w:top w:val="none" w:sz="0" w:space="0" w:color="auto"/>
        <w:left w:val="none" w:sz="0" w:space="0" w:color="auto"/>
        <w:bottom w:val="none" w:sz="0" w:space="0" w:color="auto"/>
        <w:right w:val="none" w:sz="0" w:space="0" w:color="auto"/>
      </w:divBdr>
      <w:divsChild>
        <w:div w:id="1986203119">
          <w:marLeft w:val="0"/>
          <w:marRight w:val="0"/>
          <w:marTop w:val="0"/>
          <w:marBottom w:val="0"/>
          <w:divBdr>
            <w:top w:val="none" w:sz="0" w:space="0" w:color="auto"/>
            <w:left w:val="none" w:sz="0" w:space="0" w:color="auto"/>
            <w:bottom w:val="none" w:sz="0" w:space="0" w:color="auto"/>
            <w:right w:val="none" w:sz="0" w:space="0" w:color="auto"/>
          </w:divBdr>
          <w:divsChild>
            <w:div w:id="7652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3558">
      <w:bodyDiv w:val="1"/>
      <w:marLeft w:val="0"/>
      <w:marRight w:val="0"/>
      <w:marTop w:val="0"/>
      <w:marBottom w:val="0"/>
      <w:divBdr>
        <w:top w:val="none" w:sz="0" w:space="0" w:color="auto"/>
        <w:left w:val="none" w:sz="0" w:space="0" w:color="auto"/>
        <w:bottom w:val="none" w:sz="0" w:space="0" w:color="auto"/>
        <w:right w:val="none" w:sz="0" w:space="0" w:color="auto"/>
      </w:divBdr>
    </w:div>
    <w:div w:id="780303389">
      <w:bodyDiv w:val="1"/>
      <w:marLeft w:val="0"/>
      <w:marRight w:val="0"/>
      <w:marTop w:val="0"/>
      <w:marBottom w:val="0"/>
      <w:divBdr>
        <w:top w:val="none" w:sz="0" w:space="0" w:color="auto"/>
        <w:left w:val="none" w:sz="0" w:space="0" w:color="auto"/>
        <w:bottom w:val="none" w:sz="0" w:space="0" w:color="auto"/>
        <w:right w:val="none" w:sz="0" w:space="0" w:color="auto"/>
      </w:divBdr>
    </w:div>
    <w:div w:id="785348695">
      <w:bodyDiv w:val="1"/>
      <w:marLeft w:val="0"/>
      <w:marRight w:val="0"/>
      <w:marTop w:val="0"/>
      <w:marBottom w:val="0"/>
      <w:divBdr>
        <w:top w:val="none" w:sz="0" w:space="0" w:color="auto"/>
        <w:left w:val="none" w:sz="0" w:space="0" w:color="auto"/>
        <w:bottom w:val="none" w:sz="0" w:space="0" w:color="auto"/>
        <w:right w:val="none" w:sz="0" w:space="0" w:color="auto"/>
      </w:divBdr>
    </w:div>
    <w:div w:id="835802514">
      <w:bodyDiv w:val="1"/>
      <w:marLeft w:val="0"/>
      <w:marRight w:val="0"/>
      <w:marTop w:val="0"/>
      <w:marBottom w:val="0"/>
      <w:divBdr>
        <w:top w:val="none" w:sz="0" w:space="0" w:color="auto"/>
        <w:left w:val="none" w:sz="0" w:space="0" w:color="auto"/>
        <w:bottom w:val="none" w:sz="0" w:space="0" w:color="auto"/>
        <w:right w:val="none" w:sz="0" w:space="0" w:color="auto"/>
      </w:divBdr>
    </w:div>
    <w:div w:id="989747929">
      <w:bodyDiv w:val="1"/>
      <w:marLeft w:val="0"/>
      <w:marRight w:val="0"/>
      <w:marTop w:val="0"/>
      <w:marBottom w:val="0"/>
      <w:divBdr>
        <w:top w:val="none" w:sz="0" w:space="0" w:color="auto"/>
        <w:left w:val="none" w:sz="0" w:space="0" w:color="auto"/>
        <w:bottom w:val="none" w:sz="0" w:space="0" w:color="auto"/>
        <w:right w:val="none" w:sz="0" w:space="0" w:color="auto"/>
      </w:divBdr>
    </w:div>
    <w:div w:id="1028872377">
      <w:bodyDiv w:val="1"/>
      <w:marLeft w:val="120"/>
      <w:marRight w:val="120"/>
      <w:marTop w:val="0"/>
      <w:marBottom w:val="0"/>
      <w:divBdr>
        <w:top w:val="none" w:sz="0" w:space="0" w:color="auto"/>
        <w:left w:val="none" w:sz="0" w:space="0" w:color="auto"/>
        <w:bottom w:val="none" w:sz="0" w:space="0" w:color="auto"/>
        <w:right w:val="none" w:sz="0" w:space="0" w:color="auto"/>
      </w:divBdr>
      <w:divsChild>
        <w:div w:id="1529366051">
          <w:marLeft w:val="0"/>
          <w:marRight w:val="0"/>
          <w:marTop w:val="0"/>
          <w:marBottom w:val="0"/>
          <w:divBdr>
            <w:top w:val="none" w:sz="0" w:space="0" w:color="auto"/>
            <w:left w:val="none" w:sz="0" w:space="0" w:color="auto"/>
            <w:bottom w:val="none" w:sz="0" w:space="0" w:color="auto"/>
            <w:right w:val="none" w:sz="0" w:space="0" w:color="auto"/>
          </w:divBdr>
          <w:divsChild>
            <w:div w:id="20378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626">
      <w:bodyDiv w:val="1"/>
      <w:marLeft w:val="0"/>
      <w:marRight w:val="0"/>
      <w:marTop w:val="0"/>
      <w:marBottom w:val="0"/>
      <w:divBdr>
        <w:top w:val="none" w:sz="0" w:space="0" w:color="auto"/>
        <w:left w:val="none" w:sz="0" w:space="0" w:color="auto"/>
        <w:bottom w:val="none" w:sz="0" w:space="0" w:color="auto"/>
        <w:right w:val="none" w:sz="0" w:space="0" w:color="auto"/>
      </w:divBdr>
    </w:div>
    <w:div w:id="1384132973">
      <w:bodyDiv w:val="1"/>
      <w:marLeft w:val="0"/>
      <w:marRight w:val="0"/>
      <w:marTop w:val="0"/>
      <w:marBottom w:val="0"/>
      <w:divBdr>
        <w:top w:val="none" w:sz="0" w:space="0" w:color="auto"/>
        <w:left w:val="none" w:sz="0" w:space="0" w:color="auto"/>
        <w:bottom w:val="none" w:sz="0" w:space="0" w:color="auto"/>
        <w:right w:val="none" w:sz="0" w:space="0" w:color="auto"/>
      </w:divBdr>
    </w:div>
    <w:div w:id="1410426319">
      <w:bodyDiv w:val="1"/>
      <w:marLeft w:val="120"/>
      <w:marRight w:val="120"/>
      <w:marTop w:val="0"/>
      <w:marBottom w:val="0"/>
      <w:divBdr>
        <w:top w:val="none" w:sz="0" w:space="0" w:color="auto"/>
        <w:left w:val="none" w:sz="0" w:space="0" w:color="auto"/>
        <w:bottom w:val="none" w:sz="0" w:space="0" w:color="auto"/>
        <w:right w:val="none" w:sz="0" w:space="0" w:color="auto"/>
      </w:divBdr>
      <w:divsChild>
        <w:div w:id="1929339866">
          <w:marLeft w:val="0"/>
          <w:marRight w:val="0"/>
          <w:marTop w:val="0"/>
          <w:marBottom w:val="0"/>
          <w:divBdr>
            <w:top w:val="none" w:sz="0" w:space="0" w:color="auto"/>
            <w:left w:val="none" w:sz="0" w:space="0" w:color="auto"/>
            <w:bottom w:val="none" w:sz="0" w:space="0" w:color="auto"/>
            <w:right w:val="none" w:sz="0" w:space="0" w:color="auto"/>
          </w:divBdr>
          <w:divsChild>
            <w:div w:id="6720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358">
      <w:bodyDiv w:val="1"/>
      <w:marLeft w:val="0"/>
      <w:marRight w:val="0"/>
      <w:marTop w:val="0"/>
      <w:marBottom w:val="0"/>
      <w:divBdr>
        <w:top w:val="none" w:sz="0" w:space="0" w:color="auto"/>
        <w:left w:val="none" w:sz="0" w:space="0" w:color="auto"/>
        <w:bottom w:val="none" w:sz="0" w:space="0" w:color="auto"/>
        <w:right w:val="none" w:sz="0" w:space="0" w:color="auto"/>
      </w:divBdr>
    </w:div>
    <w:div w:id="1504927866">
      <w:bodyDiv w:val="1"/>
      <w:marLeft w:val="120"/>
      <w:marRight w:val="120"/>
      <w:marTop w:val="0"/>
      <w:marBottom w:val="0"/>
      <w:divBdr>
        <w:top w:val="none" w:sz="0" w:space="0" w:color="auto"/>
        <w:left w:val="none" w:sz="0" w:space="0" w:color="auto"/>
        <w:bottom w:val="none" w:sz="0" w:space="0" w:color="auto"/>
        <w:right w:val="none" w:sz="0" w:space="0" w:color="auto"/>
      </w:divBdr>
      <w:divsChild>
        <w:div w:id="1336573513">
          <w:marLeft w:val="0"/>
          <w:marRight w:val="0"/>
          <w:marTop w:val="0"/>
          <w:marBottom w:val="0"/>
          <w:divBdr>
            <w:top w:val="none" w:sz="0" w:space="0" w:color="auto"/>
            <w:left w:val="none" w:sz="0" w:space="0" w:color="auto"/>
            <w:bottom w:val="none" w:sz="0" w:space="0" w:color="auto"/>
            <w:right w:val="none" w:sz="0" w:space="0" w:color="auto"/>
          </w:divBdr>
          <w:divsChild>
            <w:div w:id="11843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6158">
      <w:bodyDiv w:val="1"/>
      <w:marLeft w:val="120"/>
      <w:marRight w:val="120"/>
      <w:marTop w:val="0"/>
      <w:marBottom w:val="0"/>
      <w:divBdr>
        <w:top w:val="none" w:sz="0" w:space="0" w:color="auto"/>
        <w:left w:val="none" w:sz="0" w:space="0" w:color="auto"/>
        <w:bottom w:val="none" w:sz="0" w:space="0" w:color="auto"/>
        <w:right w:val="none" w:sz="0" w:space="0" w:color="auto"/>
      </w:divBdr>
      <w:divsChild>
        <w:div w:id="1871071740">
          <w:marLeft w:val="0"/>
          <w:marRight w:val="0"/>
          <w:marTop w:val="0"/>
          <w:marBottom w:val="0"/>
          <w:divBdr>
            <w:top w:val="none" w:sz="0" w:space="0" w:color="auto"/>
            <w:left w:val="none" w:sz="0" w:space="0" w:color="auto"/>
            <w:bottom w:val="none" w:sz="0" w:space="0" w:color="auto"/>
            <w:right w:val="none" w:sz="0" w:space="0" w:color="auto"/>
          </w:divBdr>
          <w:divsChild>
            <w:div w:id="20189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3098">
      <w:bodyDiv w:val="1"/>
      <w:marLeft w:val="0"/>
      <w:marRight w:val="0"/>
      <w:marTop w:val="0"/>
      <w:marBottom w:val="0"/>
      <w:divBdr>
        <w:top w:val="none" w:sz="0" w:space="0" w:color="auto"/>
        <w:left w:val="none" w:sz="0" w:space="0" w:color="auto"/>
        <w:bottom w:val="none" w:sz="0" w:space="0" w:color="auto"/>
        <w:right w:val="none" w:sz="0" w:space="0" w:color="auto"/>
      </w:divBdr>
    </w:div>
    <w:div w:id="1798181830">
      <w:bodyDiv w:val="1"/>
      <w:marLeft w:val="0"/>
      <w:marRight w:val="0"/>
      <w:marTop w:val="0"/>
      <w:marBottom w:val="0"/>
      <w:divBdr>
        <w:top w:val="none" w:sz="0" w:space="0" w:color="auto"/>
        <w:left w:val="none" w:sz="0" w:space="0" w:color="auto"/>
        <w:bottom w:val="none" w:sz="0" w:space="0" w:color="auto"/>
        <w:right w:val="none" w:sz="0" w:space="0" w:color="auto"/>
      </w:divBdr>
    </w:div>
    <w:div w:id="1828981582">
      <w:bodyDiv w:val="1"/>
      <w:marLeft w:val="0"/>
      <w:marRight w:val="0"/>
      <w:marTop w:val="0"/>
      <w:marBottom w:val="0"/>
      <w:divBdr>
        <w:top w:val="none" w:sz="0" w:space="0" w:color="auto"/>
        <w:left w:val="none" w:sz="0" w:space="0" w:color="auto"/>
        <w:bottom w:val="none" w:sz="0" w:space="0" w:color="auto"/>
        <w:right w:val="none" w:sz="0" w:space="0" w:color="auto"/>
      </w:divBdr>
    </w:div>
    <w:div w:id="21269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ijforecast.2020.06.00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nxico.org.mx" TargetMode="External"/><Relationship Id="rId17" Type="http://schemas.openxmlformats.org/officeDocument/2006/relationships/hyperlink" Target="https://doi.org/10.1787/ce188438-en" TargetMode="External"/><Relationship Id="rId2" Type="http://schemas.openxmlformats.org/officeDocument/2006/relationships/numbering" Target="numbering.xml"/><Relationship Id="rId16" Type="http://schemas.openxmlformats.org/officeDocument/2006/relationships/hyperlink" Target="https://doi.org/10.1016/j.ijforecast.2021.07.0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imf.org/-/media/files/publications/weo/2023/october/english/text.pdf"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texts.com/fpp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AFE0-3170-4318-83BD-EDD7EB73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21</Pages>
  <Words>6364</Words>
  <Characters>35006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Norma Alicia Santilan Castillo</cp:lastModifiedBy>
  <cp:revision>332</cp:revision>
  <cp:lastPrinted>2020-09-03T06:18:00Z</cp:lastPrinted>
  <dcterms:created xsi:type="dcterms:W3CDTF">2020-08-27T21:37:00Z</dcterms:created>
  <dcterms:modified xsi:type="dcterms:W3CDTF">2026-05-07T16:58:00Z</dcterms:modified>
</cp:coreProperties>
</file>