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52048" w14:textId="5D6AC655" w:rsidR="00F93273" w:rsidRPr="008A7BA6" w:rsidRDefault="008A7BA6" w:rsidP="00F93273">
      <w:pPr>
        <w:spacing w:before="240" w:after="240" w:line="360" w:lineRule="auto"/>
        <w:jc w:val="right"/>
        <w:rPr>
          <w:b/>
          <w:bCs/>
          <w:i/>
          <w:iCs/>
        </w:rPr>
      </w:pPr>
      <w:bookmarkStart w:id="0" w:name="_Hlk225371933"/>
      <w:r w:rsidRPr="008A7BA6">
        <w:rPr>
          <w:b/>
          <w:bCs/>
          <w:i/>
          <w:iCs/>
        </w:rPr>
        <w:t>https://doi.org/10.23913/ride.v16i32.2892</w:t>
      </w:r>
      <w:bookmarkEnd w:id="0"/>
    </w:p>
    <w:p w14:paraId="3BD5BA78" w14:textId="4C165B3E" w:rsidR="00F93273" w:rsidRDefault="00F93273" w:rsidP="00F93273">
      <w:pPr>
        <w:spacing w:before="240" w:after="240" w:line="360" w:lineRule="auto"/>
        <w:jc w:val="right"/>
        <w:rPr>
          <w:b/>
          <w:bCs/>
          <w:sz w:val="32"/>
          <w:szCs w:val="32"/>
        </w:rPr>
      </w:pPr>
      <w:r w:rsidRPr="00881828">
        <w:rPr>
          <w:b/>
          <w:bCs/>
          <w:i/>
          <w:iCs/>
          <w:color w:val="000000" w:themeColor="text1"/>
        </w:rPr>
        <w:t>Artículos científicos</w:t>
      </w:r>
    </w:p>
    <w:p w14:paraId="3BB25780" w14:textId="05843444" w:rsidR="00903A89" w:rsidRPr="00F93273" w:rsidRDefault="00903A89" w:rsidP="00F93273">
      <w:pPr>
        <w:spacing w:line="276" w:lineRule="auto"/>
        <w:jc w:val="right"/>
        <w:rPr>
          <w:rFonts w:ascii="Calibri" w:hAnsi="Calibri" w:cs="Calibri"/>
          <w:b/>
          <w:bCs/>
          <w:sz w:val="32"/>
          <w:szCs w:val="32"/>
        </w:rPr>
      </w:pPr>
      <w:r w:rsidRPr="00F93273">
        <w:rPr>
          <w:rFonts w:ascii="Calibri" w:hAnsi="Calibri" w:cs="Calibri"/>
          <w:b/>
          <w:bCs/>
          <w:sz w:val="32"/>
          <w:szCs w:val="32"/>
        </w:rPr>
        <w:t>Evaluación de la Validez de Contenido de un Instrumento de Medición de los Factores de la Innovación de la Cadena de Suministro en la Industria Láctea</w:t>
      </w:r>
    </w:p>
    <w:p w14:paraId="43D3A8BC" w14:textId="5F7DEA49" w:rsidR="00903A89" w:rsidRPr="00F93273" w:rsidRDefault="00F93273" w:rsidP="00F93273">
      <w:pPr>
        <w:spacing w:line="276" w:lineRule="auto"/>
        <w:jc w:val="right"/>
        <w:rPr>
          <w:rFonts w:ascii="Calibri" w:hAnsi="Calibri" w:cs="Calibri"/>
          <w:b/>
          <w:bCs/>
          <w:i/>
          <w:iCs/>
          <w:sz w:val="28"/>
          <w:szCs w:val="28"/>
          <w:lang w:val="en-US"/>
        </w:rPr>
      </w:pPr>
      <w:r w:rsidRPr="008A7BA6">
        <w:rPr>
          <w:rFonts w:ascii="Calibri" w:hAnsi="Calibri" w:cs="Calibri"/>
          <w:b/>
          <w:bCs/>
          <w:i/>
          <w:iCs/>
          <w:sz w:val="28"/>
          <w:szCs w:val="28"/>
          <w:lang w:val="en-US"/>
        </w:rPr>
        <w:br/>
      </w:r>
      <w:r w:rsidR="00903A89" w:rsidRPr="00F93273">
        <w:rPr>
          <w:rFonts w:ascii="Calibri" w:hAnsi="Calibri" w:cs="Calibri"/>
          <w:b/>
          <w:bCs/>
          <w:i/>
          <w:iCs/>
          <w:sz w:val="28"/>
          <w:szCs w:val="28"/>
          <w:lang w:val="en-US"/>
        </w:rPr>
        <w:t xml:space="preserve">Evaluating the Content Validity of a Supply Chain Innovation </w:t>
      </w:r>
      <w:proofErr w:type="gramStart"/>
      <w:r w:rsidR="00903A89" w:rsidRPr="00F93273">
        <w:rPr>
          <w:rFonts w:ascii="Calibri" w:hAnsi="Calibri" w:cs="Calibri"/>
          <w:b/>
          <w:bCs/>
          <w:i/>
          <w:iCs/>
          <w:sz w:val="28"/>
          <w:szCs w:val="28"/>
          <w:lang w:val="en-US"/>
        </w:rPr>
        <w:t xml:space="preserve">Factors </w:t>
      </w:r>
      <w:r w:rsidR="00BE07CF" w:rsidRPr="00F93273">
        <w:rPr>
          <w:rFonts w:ascii="Calibri" w:hAnsi="Calibri" w:cs="Calibri"/>
          <w:b/>
          <w:bCs/>
          <w:i/>
          <w:iCs/>
          <w:sz w:val="28"/>
          <w:szCs w:val="28"/>
          <w:lang w:val="en-US"/>
        </w:rPr>
        <w:t xml:space="preserve"> </w:t>
      </w:r>
      <w:r w:rsidR="00903A89" w:rsidRPr="00F93273">
        <w:rPr>
          <w:rFonts w:ascii="Calibri" w:hAnsi="Calibri" w:cs="Calibri"/>
          <w:b/>
          <w:bCs/>
          <w:i/>
          <w:iCs/>
          <w:sz w:val="28"/>
          <w:szCs w:val="28"/>
          <w:lang w:val="en-US"/>
        </w:rPr>
        <w:t>Measurement</w:t>
      </w:r>
      <w:proofErr w:type="gramEnd"/>
      <w:r w:rsidR="00903A89" w:rsidRPr="00F93273">
        <w:rPr>
          <w:rFonts w:ascii="Calibri" w:hAnsi="Calibri" w:cs="Calibri"/>
          <w:b/>
          <w:bCs/>
          <w:i/>
          <w:iCs/>
          <w:sz w:val="28"/>
          <w:szCs w:val="28"/>
          <w:lang w:val="en-US"/>
        </w:rPr>
        <w:t xml:space="preserve"> Instrument in the Dairy Industry</w:t>
      </w:r>
    </w:p>
    <w:p w14:paraId="29FD08F8" w14:textId="7C91D8F1" w:rsidR="00903A89" w:rsidRPr="00F93273" w:rsidRDefault="00F93273" w:rsidP="00F93273">
      <w:pPr>
        <w:spacing w:line="276" w:lineRule="auto"/>
        <w:jc w:val="right"/>
        <w:rPr>
          <w:rFonts w:ascii="Calibri" w:hAnsi="Calibri" w:cs="Calibri"/>
          <w:b/>
          <w:bCs/>
          <w:i/>
          <w:iCs/>
          <w:sz w:val="28"/>
          <w:szCs w:val="28"/>
        </w:rPr>
      </w:pPr>
      <w:r w:rsidRPr="008A7BA6">
        <w:rPr>
          <w:rFonts w:ascii="Calibri" w:hAnsi="Calibri" w:cs="Calibri"/>
          <w:b/>
          <w:bCs/>
          <w:i/>
          <w:iCs/>
          <w:sz w:val="28"/>
          <w:szCs w:val="28"/>
        </w:rPr>
        <w:br/>
      </w:r>
      <w:proofErr w:type="spellStart"/>
      <w:r w:rsidR="00DE4E0A" w:rsidRPr="00F93273">
        <w:rPr>
          <w:rFonts w:ascii="Calibri" w:hAnsi="Calibri" w:cs="Calibri"/>
          <w:b/>
          <w:bCs/>
          <w:i/>
          <w:iCs/>
          <w:sz w:val="28"/>
          <w:szCs w:val="28"/>
        </w:rPr>
        <w:t>Avaliação</w:t>
      </w:r>
      <w:proofErr w:type="spellEnd"/>
      <w:r w:rsidR="00DE4E0A" w:rsidRPr="00F93273">
        <w:rPr>
          <w:rFonts w:ascii="Calibri" w:hAnsi="Calibri" w:cs="Calibri"/>
          <w:b/>
          <w:bCs/>
          <w:i/>
          <w:iCs/>
          <w:sz w:val="28"/>
          <w:szCs w:val="28"/>
        </w:rPr>
        <w:t xml:space="preserve"> da validade de conteúdo de um instrumento para medir os fatores de inovação na cadeia de abastecimento na indústria de lacticínios</w:t>
      </w:r>
      <w:r w:rsidR="00E6475D" w:rsidRPr="00F93273">
        <w:rPr>
          <w:rFonts w:ascii="Calibri" w:hAnsi="Calibri" w:cs="Calibri"/>
          <w:b/>
          <w:bCs/>
          <w:i/>
          <w:iCs/>
          <w:sz w:val="28"/>
          <w:szCs w:val="28"/>
        </w:rPr>
        <w:t xml:space="preserve">                                                                                                                                                                                                                                                                                                                                                                                                                                                                                                                                                                                                                                                                                                                                                                                                                                                                                                                                                                                                                                                                                                                                                                                                                                                                                                                                                                                                                                                                                                                                                                                                                                                                                                                                                                                                                                                                                                                                                                                                                                                                                                                                                                                                                                                                                                        </w:t>
      </w:r>
    </w:p>
    <w:p w14:paraId="1FAE3BE9" w14:textId="77777777" w:rsidR="00BD0342" w:rsidRPr="00DD5C1B" w:rsidRDefault="00BD0342" w:rsidP="00903A89">
      <w:pPr>
        <w:spacing w:line="360" w:lineRule="auto"/>
        <w:jc w:val="center"/>
        <w:rPr>
          <w:bCs/>
        </w:rPr>
      </w:pPr>
    </w:p>
    <w:p w14:paraId="6B4DCF4F" w14:textId="77777777" w:rsidR="00903A89" w:rsidRPr="00F93273" w:rsidRDefault="00903A89" w:rsidP="00F93273">
      <w:pPr>
        <w:widowControl w:val="0"/>
        <w:tabs>
          <w:tab w:val="left" w:pos="8647"/>
        </w:tabs>
        <w:spacing w:line="276" w:lineRule="auto"/>
        <w:jc w:val="right"/>
        <w:rPr>
          <w:rFonts w:ascii="Calibri" w:hAnsi="Calibri" w:cs="Calibri"/>
          <w:b/>
          <w:bCs/>
        </w:rPr>
      </w:pPr>
      <w:r w:rsidRPr="00F93273">
        <w:rPr>
          <w:rFonts w:ascii="Calibri" w:hAnsi="Calibri" w:cs="Calibri"/>
          <w:b/>
          <w:bCs/>
        </w:rPr>
        <w:t>Gabriela Margarita Reyna García</w:t>
      </w:r>
    </w:p>
    <w:p w14:paraId="42713C4B" w14:textId="519F35B9" w:rsidR="00903A89" w:rsidRPr="00F93273" w:rsidRDefault="00903A89" w:rsidP="00F93273">
      <w:pPr>
        <w:widowControl w:val="0"/>
        <w:tabs>
          <w:tab w:val="left" w:pos="8647"/>
        </w:tabs>
        <w:spacing w:line="276" w:lineRule="auto"/>
        <w:jc w:val="right"/>
      </w:pPr>
      <w:r w:rsidRPr="005B541A">
        <w:t>Instituto Tecnológico de Monterrey, Campus Monterrey</w:t>
      </w:r>
      <w:r w:rsidR="00F93273">
        <w:t xml:space="preserve">, </w:t>
      </w:r>
      <w:r w:rsidRPr="00F93273">
        <w:t>México</w:t>
      </w:r>
    </w:p>
    <w:p w14:paraId="0D22E1D1" w14:textId="77777777" w:rsidR="00903A89" w:rsidRPr="00191AD6" w:rsidRDefault="00AC3CA8" w:rsidP="00F93273">
      <w:pPr>
        <w:widowControl w:val="0"/>
        <w:tabs>
          <w:tab w:val="left" w:pos="8647"/>
        </w:tabs>
        <w:spacing w:line="276" w:lineRule="auto"/>
        <w:jc w:val="right"/>
        <w:rPr>
          <w:rFonts w:ascii="Calibri" w:hAnsi="Calibri" w:cs="Calibri"/>
          <w:b/>
          <w:bCs/>
          <w:color w:val="FF0000"/>
        </w:rPr>
      </w:pPr>
      <w:hyperlink r:id="rId9" w:history="1">
        <w:r w:rsidR="00903A89" w:rsidRPr="00191AD6">
          <w:rPr>
            <w:rFonts w:ascii="Calibri" w:hAnsi="Calibri" w:cs="Calibri"/>
            <w:color w:val="FF0000"/>
          </w:rPr>
          <w:t>greynag@tec.mx</w:t>
        </w:r>
      </w:hyperlink>
    </w:p>
    <w:p w14:paraId="0E3DB6DE" w14:textId="2A7A8517" w:rsidR="00903A89" w:rsidRPr="00191AD6" w:rsidRDefault="00903A89" w:rsidP="00F93273">
      <w:pPr>
        <w:spacing w:line="276" w:lineRule="auto"/>
        <w:jc w:val="right"/>
      </w:pPr>
      <w:r w:rsidRPr="00191AD6">
        <w:t>https://orcid.org/0000-0001-7175-5361</w:t>
      </w:r>
    </w:p>
    <w:p w14:paraId="709D0F01" w14:textId="77777777" w:rsidR="00903A89" w:rsidRPr="00191AD6" w:rsidRDefault="00903A89" w:rsidP="00F93273">
      <w:pPr>
        <w:spacing w:line="276" w:lineRule="auto"/>
        <w:jc w:val="right"/>
        <w:rPr>
          <w:b/>
          <w:bCs/>
        </w:rPr>
      </w:pPr>
    </w:p>
    <w:p w14:paraId="54558795" w14:textId="77777777" w:rsidR="00903A89" w:rsidRPr="00F93273" w:rsidRDefault="00903A89" w:rsidP="00F93273">
      <w:pPr>
        <w:widowControl w:val="0"/>
        <w:tabs>
          <w:tab w:val="left" w:pos="8647"/>
        </w:tabs>
        <w:spacing w:line="276" w:lineRule="auto"/>
        <w:jc w:val="right"/>
        <w:rPr>
          <w:rFonts w:ascii="Calibri" w:hAnsi="Calibri" w:cs="Calibri"/>
          <w:b/>
          <w:bCs/>
        </w:rPr>
      </w:pPr>
      <w:r w:rsidRPr="00F93273">
        <w:rPr>
          <w:rFonts w:ascii="Calibri" w:hAnsi="Calibri" w:cs="Calibri"/>
          <w:b/>
          <w:bCs/>
        </w:rPr>
        <w:t>Rafael García Martínez</w:t>
      </w:r>
    </w:p>
    <w:p w14:paraId="703F4075" w14:textId="77777777" w:rsidR="00903A89" w:rsidRPr="005B541A" w:rsidRDefault="00903A89" w:rsidP="00F93273">
      <w:pPr>
        <w:widowControl w:val="0"/>
        <w:tabs>
          <w:tab w:val="left" w:pos="8647"/>
        </w:tabs>
        <w:spacing w:line="276" w:lineRule="auto"/>
        <w:jc w:val="right"/>
      </w:pPr>
      <w:r w:rsidRPr="005B541A">
        <w:t>Tecnológico Nacional de México, IT Hermosillo, México</w:t>
      </w:r>
    </w:p>
    <w:p w14:paraId="4598C6D5" w14:textId="77777777" w:rsidR="00903A89" w:rsidRPr="00191AD6" w:rsidRDefault="00903A89" w:rsidP="00F93273">
      <w:pPr>
        <w:widowControl w:val="0"/>
        <w:tabs>
          <w:tab w:val="left" w:pos="8647"/>
        </w:tabs>
        <w:spacing w:line="276" w:lineRule="auto"/>
        <w:jc w:val="right"/>
        <w:rPr>
          <w:rFonts w:ascii="Calibri" w:hAnsi="Calibri" w:cs="Calibri"/>
          <w:color w:val="FF0000"/>
        </w:rPr>
      </w:pPr>
      <w:r w:rsidRPr="00191AD6">
        <w:rPr>
          <w:rFonts w:ascii="Calibri" w:hAnsi="Calibri" w:cs="Calibri"/>
          <w:color w:val="FF0000"/>
        </w:rPr>
        <w:t xml:space="preserve">gamrmx@yahoo.com  </w:t>
      </w:r>
    </w:p>
    <w:p w14:paraId="1110BCD0" w14:textId="6CB9C39F" w:rsidR="00903A89" w:rsidRPr="005B541A" w:rsidRDefault="00903A89" w:rsidP="00F93273">
      <w:pPr>
        <w:spacing w:line="276" w:lineRule="auto"/>
        <w:jc w:val="right"/>
      </w:pPr>
      <w:r w:rsidRPr="00F93273">
        <w:t>https://orcid.org/0000-0001-7175-5361</w:t>
      </w:r>
    </w:p>
    <w:p w14:paraId="4A282C76" w14:textId="77777777" w:rsidR="00903A89" w:rsidRPr="005B541A" w:rsidRDefault="00903A89" w:rsidP="00F93273">
      <w:pPr>
        <w:spacing w:line="276" w:lineRule="auto"/>
        <w:jc w:val="right"/>
        <w:rPr>
          <w:b/>
          <w:bCs/>
        </w:rPr>
      </w:pPr>
    </w:p>
    <w:p w14:paraId="023E8DDA" w14:textId="77777777" w:rsidR="00903A89" w:rsidRPr="00F93273" w:rsidRDefault="00903A89" w:rsidP="00F93273">
      <w:pPr>
        <w:widowControl w:val="0"/>
        <w:tabs>
          <w:tab w:val="left" w:pos="8647"/>
        </w:tabs>
        <w:spacing w:line="276" w:lineRule="auto"/>
        <w:jc w:val="right"/>
        <w:rPr>
          <w:rFonts w:ascii="Calibri" w:hAnsi="Calibri" w:cs="Calibri"/>
          <w:b/>
          <w:bCs/>
        </w:rPr>
      </w:pPr>
      <w:r w:rsidRPr="00F93273">
        <w:rPr>
          <w:rFonts w:ascii="Calibri" w:hAnsi="Calibri" w:cs="Calibri"/>
          <w:b/>
          <w:bCs/>
        </w:rPr>
        <w:t>Eduardo Rafael Poblano-Ojinaga*</w:t>
      </w:r>
    </w:p>
    <w:p w14:paraId="4349124B" w14:textId="6E3BFC02" w:rsidR="00DD5C1B" w:rsidRDefault="00DD5C1B" w:rsidP="00F93273">
      <w:pPr>
        <w:tabs>
          <w:tab w:val="left" w:pos="8647"/>
        </w:tabs>
        <w:spacing w:line="276" w:lineRule="auto"/>
        <w:jc w:val="right"/>
        <w:rPr>
          <w:bCs/>
        </w:rPr>
      </w:pPr>
      <w:r w:rsidRPr="005B541A">
        <w:rPr>
          <w:bCs/>
        </w:rPr>
        <w:t xml:space="preserve">Tecnológico Nacional de México, IT </w:t>
      </w:r>
      <w:r>
        <w:rPr>
          <w:bCs/>
        </w:rPr>
        <w:t>la Laguna</w:t>
      </w:r>
      <w:r w:rsidRPr="005B541A">
        <w:rPr>
          <w:bCs/>
        </w:rPr>
        <w:t>, México</w:t>
      </w:r>
    </w:p>
    <w:p w14:paraId="5A7DD6A6" w14:textId="77777777" w:rsidR="00903A89" w:rsidRPr="00191AD6" w:rsidRDefault="00903A89" w:rsidP="00F93273">
      <w:pPr>
        <w:widowControl w:val="0"/>
        <w:tabs>
          <w:tab w:val="left" w:pos="8647"/>
        </w:tabs>
        <w:spacing w:line="276" w:lineRule="auto"/>
        <w:jc w:val="right"/>
        <w:rPr>
          <w:rFonts w:ascii="Calibri" w:hAnsi="Calibri" w:cs="Calibri"/>
          <w:color w:val="FF0000"/>
        </w:rPr>
      </w:pPr>
      <w:r w:rsidRPr="00191AD6">
        <w:rPr>
          <w:rFonts w:ascii="Calibri" w:hAnsi="Calibri" w:cs="Calibri"/>
          <w:color w:val="FF0000"/>
        </w:rPr>
        <w:t xml:space="preserve">pooe_65@hotmail.com  </w:t>
      </w:r>
    </w:p>
    <w:p w14:paraId="28A08AE1" w14:textId="6B1DC0DC" w:rsidR="00903A89" w:rsidRPr="005B541A" w:rsidRDefault="00903A89" w:rsidP="00F93273">
      <w:pPr>
        <w:spacing w:line="276" w:lineRule="auto"/>
        <w:jc w:val="right"/>
        <w:rPr>
          <w:bCs/>
        </w:rPr>
      </w:pPr>
      <w:r w:rsidRPr="00F93273">
        <w:t>https://orcid.org/</w:t>
      </w:r>
      <w:r w:rsidRPr="00F93273">
        <w:rPr>
          <w:bCs/>
        </w:rPr>
        <w:t>0000-0003-3482-7252</w:t>
      </w:r>
    </w:p>
    <w:p w14:paraId="41E49B97" w14:textId="77777777" w:rsidR="00903A89" w:rsidRPr="005B541A" w:rsidRDefault="00903A89" w:rsidP="00F93273">
      <w:pPr>
        <w:spacing w:line="276" w:lineRule="auto"/>
        <w:jc w:val="right"/>
        <w:rPr>
          <w:b/>
          <w:bCs/>
        </w:rPr>
      </w:pPr>
    </w:p>
    <w:p w14:paraId="7A31CF03" w14:textId="77777777" w:rsidR="00903A89" w:rsidRPr="00F93273" w:rsidRDefault="00903A89" w:rsidP="00F93273">
      <w:pPr>
        <w:widowControl w:val="0"/>
        <w:tabs>
          <w:tab w:val="left" w:pos="8647"/>
        </w:tabs>
        <w:spacing w:line="276" w:lineRule="auto"/>
        <w:jc w:val="right"/>
        <w:rPr>
          <w:rFonts w:ascii="Calibri" w:hAnsi="Calibri" w:cs="Calibri"/>
          <w:b/>
          <w:bCs/>
        </w:rPr>
      </w:pPr>
      <w:r w:rsidRPr="00F93273">
        <w:rPr>
          <w:rFonts w:ascii="Calibri" w:hAnsi="Calibri" w:cs="Calibri"/>
          <w:b/>
          <w:bCs/>
        </w:rPr>
        <w:t>Vianey Torres-Arguelles</w:t>
      </w:r>
    </w:p>
    <w:p w14:paraId="63DF9A27" w14:textId="76B74E69" w:rsidR="00903A89" w:rsidRPr="005B541A" w:rsidRDefault="00903A89" w:rsidP="00F93273">
      <w:pPr>
        <w:widowControl w:val="0"/>
        <w:tabs>
          <w:tab w:val="left" w:pos="8647"/>
        </w:tabs>
        <w:spacing w:line="276" w:lineRule="auto"/>
        <w:jc w:val="right"/>
        <w:rPr>
          <w:bCs/>
        </w:rPr>
      </w:pPr>
      <w:r w:rsidRPr="005B541A">
        <w:t>Universidad Autónoma de Ciudad Juárez</w:t>
      </w:r>
      <w:r w:rsidR="00582E42">
        <w:t>, México</w:t>
      </w:r>
    </w:p>
    <w:p w14:paraId="1429B1F2" w14:textId="1C12B395" w:rsidR="00903A89" w:rsidRPr="005B541A" w:rsidRDefault="00903A89" w:rsidP="00F93273">
      <w:pPr>
        <w:widowControl w:val="0"/>
        <w:tabs>
          <w:tab w:val="left" w:pos="8647"/>
        </w:tabs>
        <w:spacing w:line="276" w:lineRule="auto"/>
        <w:jc w:val="right"/>
      </w:pPr>
      <w:r w:rsidRPr="00F93273">
        <w:rPr>
          <w:rFonts w:ascii="Calibri" w:hAnsi="Calibri" w:cs="Calibri"/>
          <w:color w:val="FF0000"/>
        </w:rPr>
        <w:t xml:space="preserve">vianey.torres@uacj.mx </w:t>
      </w:r>
      <w:r w:rsidRPr="00F93273">
        <w:rPr>
          <w:rFonts w:ascii="Calibri" w:hAnsi="Calibri" w:cs="Calibri"/>
          <w:color w:val="FF0000"/>
        </w:rPr>
        <w:br/>
      </w:r>
      <w:r w:rsidRPr="00F93273">
        <w:t>https://orcid.org/0000-0003-0978-3796</w:t>
      </w:r>
      <w:r w:rsidRPr="005B541A">
        <w:t xml:space="preserve"> </w:t>
      </w:r>
    </w:p>
    <w:p w14:paraId="11F088A3" w14:textId="77777777" w:rsidR="00F93273" w:rsidRDefault="00F93273" w:rsidP="00F93273">
      <w:pPr>
        <w:spacing w:line="276" w:lineRule="auto"/>
        <w:jc w:val="right"/>
        <w:rPr>
          <w:bCs/>
          <w:sz w:val="20"/>
          <w:szCs w:val="20"/>
          <w:u w:val="single"/>
        </w:rPr>
      </w:pPr>
    </w:p>
    <w:p w14:paraId="002B3595" w14:textId="14801D4B" w:rsidR="00903A89" w:rsidRPr="00F93273" w:rsidRDefault="00BD0342" w:rsidP="00F93273">
      <w:pPr>
        <w:spacing w:line="276" w:lineRule="auto"/>
        <w:jc w:val="right"/>
        <w:rPr>
          <w:bCs/>
        </w:rPr>
      </w:pPr>
      <w:r w:rsidRPr="00F93273">
        <w:rPr>
          <w:bCs/>
        </w:rPr>
        <w:t>*Autor corresponsal</w:t>
      </w:r>
    </w:p>
    <w:p w14:paraId="0E9A1EF9" w14:textId="5522F4C0" w:rsidR="00F93273" w:rsidRDefault="00F93273" w:rsidP="00F93273">
      <w:pPr>
        <w:spacing w:line="360" w:lineRule="auto"/>
        <w:jc w:val="both"/>
        <w:rPr>
          <w:rFonts w:ascii="Calibri" w:hAnsi="Calibri" w:cs="Calibri"/>
          <w:b/>
          <w:bCs/>
          <w:sz w:val="28"/>
          <w:szCs w:val="28"/>
        </w:rPr>
      </w:pPr>
    </w:p>
    <w:p w14:paraId="2BA38000" w14:textId="77777777" w:rsidR="008A7BA6" w:rsidRDefault="008A7BA6" w:rsidP="00F93273">
      <w:pPr>
        <w:spacing w:line="360" w:lineRule="auto"/>
        <w:jc w:val="both"/>
        <w:rPr>
          <w:rFonts w:ascii="Calibri" w:hAnsi="Calibri" w:cs="Calibri"/>
          <w:b/>
          <w:bCs/>
          <w:sz w:val="28"/>
          <w:szCs w:val="28"/>
        </w:rPr>
      </w:pPr>
    </w:p>
    <w:p w14:paraId="6ECE885D" w14:textId="5DB5480E" w:rsidR="002248F7" w:rsidRPr="00F93273" w:rsidRDefault="00850C25" w:rsidP="00F93273">
      <w:pPr>
        <w:spacing w:line="360" w:lineRule="auto"/>
        <w:jc w:val="both"/>
        <w:rPr>
          <w:rFonts w:ascii="Calibri" w:hAnsi="Calibri" w:cs="Calibri"/>
          <w:b/>
          <w:bCs/>
          <w:sz w:val="28"/>
          <w:szCs w:val="28"/>
        </w:rPr>
      </w:pPr>
      <w:r w:rsidRPr="00F93273">
        <w:rPr>
          <w:rFonts w:ascii="Calibri" w:hAnsi="Calibri" w:cs="Calibri"/>
          <w:b/>
          <w:bCs/>
          <w:sz w:val="28"/>
          <w:szCs w:val="28"/>
        </w:rPr>
        <w:lastRenderedPageBreak/>
        <w:t>Resumen</w:t>
      </w:r>
    </w:p>
    <w:p w14:paraId="35EE58C1" w14:textId="1E77715F" w:rsidR="002248F7" w:rsidRPr="004E2A40" w:rsidRDefault="002248F7" w:rsidP="00F93273">
      <w:pPr>
        <w:spacing w:line="360" w:lineRule="auto"/>
        <w:jc w:val="both"/>
        <w:rPr>
          <w:color w:val="000000" w:themeColor="text1"/>
          <w:lang w:bidi="en-US"/>
        </w:rPr>
      </w:pPr>
      <w:r w:rsidRPr="002248F7">
        <w:rPr>
          <w:color w:val="000000" w:themeColor="text1"/>
          <w:lang w:bidi="en-US"/>
        </w:rPr>
        <w:t xml:space="preserve">El desarrollo de capacidades tecnológicas es una condición necesaria para aumentar la competitividad. Para ello, se implementan proyectos de mejora e innovación en las cadenas de suministro, estratégicas en los mercados </w:t>
      </w:r>
      <w:r w:rsidR="004D0977">
        <w:rPr>
          <w:color w:val="000000" w:themeColor="text1"/>
          <w:lang w:bidi="en-US"/>
        </w:rPr>
        <w:t xml:space="preserve">actuales </w:t>
      </w:r>
      <w:r w:rsidRPr="002248F7">
        <w:rPr>
          <w:color w:val="000000" w:themeColor="text1"/>
          <w:lang w:bidi="en-US"/>
        </w:rPr>
        <w:t>altamente competitivos. Por lo tanto, es fundamental que estos proyectos tengan éxito. Sin embargo, la literatura y la práctica industrial ofrecen una amplia variedad de proyectos alternativos, lo que dificulta determinar el más adecuado. El objetivo de este trabajo es diseñar y evaluar la validez de contenido de un instrumento para medir la contribución de los factores del proyecto e identificar así los factores críticos. Los factores identificados mediante una revisión bibliográfica son el dinamismo del entorno, la orientación al conocimiento, la orientación a la calidad, la gestión de procesos y la colaboración. Estos factores se utilizan para construir el instrumento de medición, cuya validez de contenido se evalúa mediante el juicio de diez expertos. Estos juicios se analizan mediante el Índice de Validez de Contenido de Lynn</w:t>
      </w:r>
      <w:r w:rsidR="00C22D89">
        <w:rPr>
          <w:color w:val="000000" w:themeColor="text1"/>
          <w:lang w:bidi="en-US"/>
        </w:rPr>
        <w:t xml:space="preserve"> </w:t>
      </w:r>
      <w:bookmarkStart w:id="1" w:name="_Hlk224214443"/>
      <w:bookmarkStart w:id="2" w:name="_Hlk224555828"/>
      <w:r w:rsidR="00C22D89" w:rsidRPr="004E2A40">
        <w:rPr>
          <w:rFonts w:eastAsia="SimSun"/>
          <w:color w:val="000000"/>
          <w:lang w:eastAsia="zh-CN" w:bidi="ar"/>
        </w:rPr>
        <w:t>(I-ICV, S-CVI/ave</w:t>
      </w:r>
      <w:bookmarkEnd w:id="1"/>
      <w:r w:rsidR="00C22D89" w:rsidRPr="004E2A40">
        <w:rPr>
          <w:rFonts w:eastAsia="SimSun"/>
          <w:color w:val="000000"/>
          <w:lang w:eastAsia="zh-CN" w:bidi="ar"/>
        </w:rPr>
        <w:t>)</w:t>
      </w:r>
      <w:r w:rsidR="00C22D89" w:rsidRPr="004E2A40">
        <w:rPr>
          <w:color w:val="000000" w:themeColor="text1"/>
          <w:lang w:bidi="en-US"/>
        </w:rPr>
        <w:t>.</w:t>
      </w:r>
      <w:bookmarkEnd w:id="2"/>
      <w:r w:rsidRPr="002248F7">
        <w:rPr>
          <w:color w:val="000000" w:themeColor="text1"/>
          <w:lang w:bidi="en-US"/>
        </w:rPr>
        <w:t xml:space="preserve"> Los resultados muestran que el instrumento de medición tiene una validez de contenido con un nivel de significancia del 5%. El </w:t>
      </w:r>
      <w:r w:rsidR="00C51C36">
        <w:rPr>
          <w:color w:val="000000" w:themeColor="text1"/>
          <w:lang w:bidi="en-US"/>
        </w:rPr>
        <w:t>instrumento de medición</w:t>
      </w:r>
      <w:r w:rsidRPr="002248F7">
        <w:rPr>
          <w:color w:val="000000" w:themeColor="text1"/>
          <w:lang w:bidi="en-US"/>
        </w:rPr>
        <w:t xml:space="preserve"> es una herramienta útil para obtener la información necesaria para construir modelos que expliquen la relación entre los factores de éxito de los proyectos de innovación tecnológica en las cadenas de suministro.</w:t>
      </w:r>
    </w:p>
    <w:p w14:paraId="18F17773" w14:textId="481D2EF9" w:rsidR="0014284F" w:rsidRPr="004E2A40" w:rsidRDefault="001A2224" w:rsidP="00F93273">
      <w:pPr>
        <w:spacing w:line="360" w:lineRule="auto"/>
        <w:jc w:val="both"/>
        <w:rPr>
          <w:rFonts w:eastAsia="SimSun"/>
          <w:color w:val="000000"/>
          <w:lang w:eastAsia="zh-CN" w:bidi="ar"/>
        </w:rPr>
      </w:pPr>
      <w:r w:rsidRPr="00F93273">
        <w:rPr>
          <w:rFonts w:ascii="Calibri" w:hAnsi="Calibri" w:cs="Calibri"/>
          <w:b/>
          <w:bCs/>
          <w:sz w:val="28"/>
          <w:szCs w:val="28"/>
        </w:rPr>
        <w:t>Palabras claves:</w:t>
      </w:r>
      <w:r w:rsidRPr="004E2A40">
        <w:rPr>
          <w:rFonts w:eastAsia="SimSun"/>
          <w:color w:val="000000"/>
          <w:lang w:eastAsia="zh-CN" w:bidi="ar"/>
        </w:rPr>
        <w:t xml:space="preserve"> validez de contenido del instrumento de medición, juicio de expertos, factor crítico de éxito, innovación en la cadena de suministro.</w:t>
      </w:r>
    </w:p>
    <w:p w14:paraId="028032B9" w14:textId="35F18589" w:rsidR="0014284F" w:rsidRDefault="0014284F" w:rsidP="00F93273">
      <w:pPr>
        <w:spacing w:line="360" w:lineRule="auto"/>
        <w:jc w:val="both"/>
        <w:rPr>
          <w:rFonts w:eastAsia="SimSun"/>
          <w:color w:val="000000"/>
          <w:lang w:eastAsia="zh-CN" w:bidi="ar"/>
        </w:rPr>
      </w:pPr>
    </w:p>
    <w:p w14:paraId="5926EBB4" w14:textId="6744FE7C" w:rsidR="00DD6C9D" w:rsidRPr="00191AD6" w:rsidRDefault="00DD6C9D" w:rsidP="00F93273">
      <w:pPr>
        <w:spacing w:line="360" w:lineRule="auto"/>
        <w:jc w:val="both"/>
        <w:rPr>
          <w:rFonts w:ascii="Calibri" w:hAnsi="Calibri" w:cs="Calibri"/>
          <w:b/>
          <w:bCs/>
          <w:sz w:val="28"/>
          <w:szCs w:val="28"/>
          <w:lang w:val="en-US"/>
        </w:rPr>
      </w:pPr>
      <w:r w:rsidRPr="00191AD6">
        <w:rPr>
          <w:rFonts w:ascii="Calibri" w:hAnsi="Calibri" w:cs="Calibri"/>
          <w:b/>
          <w:bCs/>
          <w:sz w:val="28"/>
          <w:szCs w:val="28"/>
          <w:lang w:val="en-US"/>
        </w:rPr>
        <w:t>Abstract</w:t>
      </w:r>
    </w:p>
    <w:p w14:paraId="73963FF6" w14:textId="5CE3C4FE" w:rsidR="00DD6C9D" w:rsidRPr="00F93273" w:rsidRDefault="00DD6C9D" w:rsidP="00F93273">
      <w:pPr>
        <w:spacing w:line="360" w:lineRule="auto"/>
        <w:jc w:val="both"/>
        <w:rPr>
          <w:color w:val="000000" w:themeColor="text1"/>
          <w:lang w:val="en-US" w:bidi="en-US"/>
        </w:rPr>
      </w:pPr>
      <w:r w:rsidRPr="00F93273">
        <w:rPr>
          <w:color w:val="000000" w:themeColor="text1"/>
          <w:lang w:val="en-US" w:bidi="en-US"/>
        </w:rPr>
        <w:t xml:space="preserve">Developing technological capabilities is a necessary condition for increasing competitiveness. To this end, improvement and innovation projects are implemented in supply chains, which are strategic in today's highly competitive markets. Therefore, it is essential that these projects succeed. However, the literature and industrial practice offer a wide variety of alternative projects, making it difficult to determine the most suitable one. The objective of this work is to design and evaluate the content validity of an instrument to measure the contribution of project factors and thus identify the critical factors. The factors identified through a literature review are the dynamism of the environment, knowledge orientation, quality orientation, process management, and collaboration. These factors are used to construct the measurement instrument, whose content validity is evaluated by the judgment of ten experts. </w:t>
      </w:r>
      <w:r w:rsidRPr="004F7E39">
        <w:rPr>
          <w:color w:val="000000" w:themeColor="text1"/>
          <w:lang w:val="en-US" w:bidi="en-US"/>
        </w:rPr>
        <w:t xml:space="preserve">These judgments are analyzed using Lynn's Content Validity Index </w:t>
      </w:r>
      <w:r w:rsidR="004F7E39" w:rsidRPr="004F7E39">
        <w:rPr>
          <w:rFonts w:eastAsia="SimSun"/>
          <w:color w:val="000000"/>
          <w:lang w:val="en-US" w:eastAsia="zh-CN" w:bidi="ar"/>
        </w:rPr>
        <w:lastRenderedPageBreak/>
        <w:t>(I-ICV, S-CVI/ave)</w:t>
      </w:r>
      <w:r w:rsidRPr="004F7E39">
        <w:rPr>
          <w:color w:val="000000" w:themeColor="text1"/>
          <w:lang w:val="en-US" w:bidi="en-US"/>
        </w:rPr>
        <w:t xml:space="preserve">. </w:t>
      </w:r>
      <w:r w:rsidRPr="00F93273">
        <w:rPr>
          <w:color w:val="000000" w:themeColor="text1"/>
          <w:lang w:val="en-US" w:bidi="en-US"/>
        </w:rPr>
        <w:t>The results show that the measurement instrument has content validity with a significance level of 5%. The measurement instrument is a useful tool for obtaining the information needed to build models that explain the relationship between the success factors of technological innovation projects in supply chains.</w:t>
      </w:r>
    </w:p>
    <w:p w14:paraId="1819DD52" w14:textId="6620C404" w:rsidR="00DD6C9D" w:rsidRPr="00F93273" w:rsidRDefault="00DD6C9D" w:rsidP="00F93273">
      <w:pPr>
        <w:spacing w:line="360" w:lineRule="auto"/>
        <w:jc w:val="both"/>
        <w:rPr>
          <w:color w:val="000000" w:themeColor="text1"/>
          <w:lang w:val="en-US" w:bidi="en-US"/>
        </w:rPr>
      </w:pPr>
      <w:r w:rsidRPr="00F93273">
        <w:rPr>
          <w:rFonts w:ascii="Calibri" w:hAnsi="Calibri" w:cs="Calibri"/>
          <w:b/>
          <w:bCs/>
          <w:sz w:val="28"/>
          <w:szCs w:val="28"/>
          <w:lang w:val="en-US"/>
        </w:rPr>
        <w:t>Keywords:</w:t>
      </w:r>
      <w:r w:rsidRPr="00F93273">
        <w:rPr>
          <w:color w:val="000000" w:themeColor="text1"/>
          <w:lang w:val="en-US" w:bidi="en-US"/>
        </w:rPr>
        <w:t xml:space="preserve"> content validity of the measurement instrument, expert judgment, critical success factor, supply chain innovation.</w:t>
      </w:r>
    </w:p>
    <w:p w14:paraId="33BE0F6B" w14:textId="77777777" w:rsidR="003E3D7F" w:rsidRPr="00F93273" w:rsidRDefault="003E3D7F" w:rsidP="00F93273">
      <w:pPr>
        <w:spacing w:line="360" w:lineRule="auto"/>
        <w:jc w:val="both"/>
        <w:rPr>
          <w:b/>
          <w:lang w:val="en-US"/>
        </w:rPr>
      </w:pPr>
    </w:p>
    <w:p w14:paraId="1AA00229" w14:textId="29093E55" w:rsidR="00DD6C9D" w:rsidRPr="00F93273" w:rsidRDefault="00DD6C9D" w:rsidP="00F93273">
      <w:pPr>
        <w:spacing w:line="360" w:lineRule="auto"/>
        <w:jc w:val="both"/>
        <w:rPr>
          <w:rFonts w:ascii="Calibri" w:hAnsi="Calibri" w:cs="Calibri"/>
          <w:b/>
          <w:bCs/>
          <w:sz w:val="28"/>
          <w:szCs w:val="28"/>
        </w:rPr>
      </w:pPr>
      <w:r w:rsidRPr="00F93273">
        <w:rPr>
          <w:rFonts w:ascii="Calibri" w:hAnsi="Calibri" w:cs="Calibri"/>
          <w:b/>
          <w:bCs/>
          <w:sz w:val="28"/>
          <w:szCs w:val="28"/>
        </w:rPr>
        <w:t>Resumo</w:t>
      </w:r>
    </w:p>
    <w:p w14:paraId="45FF2296" w14:textId="62A91898" w:rsidR="00DD6C9D" w:rsidRPr="00DD6C9D" w:rsidRDefault="00DD6C9D" w:rsidP="00F93273">
      <w:pPr>
        <w:spacing w:line="360" w:lineRule="auto"/>
        <w:jc w:val="both"/>
      </w:pPr>
      <w:r w:rsidRPr="00DD6C9D">
        <w:t xml:space="preserve">O desenvolvimento de capacidades tecnológicas é uma condição necessária para o aumento da competitividade. Para tal, são implementados projetos de melhoria e inovação em cadeias de abastecimento, que são estratégicas nos mercados altamente competitivos da atualidade. Por isso, é essencial que estes projetos sejam bem-sucedidos. Contudo, a literatura e a prática industrial oferecem uma ampla variedade de projetos alternativos, dificultando a determinação do mais adequado. O objetivo deste trabalho é desenvolver e avaliar a validade de conteúdo de um instrumento para medir a contribuição dos fatores de projeto e, assim, identificar os fatores críticos. Os fatores identificados através de uma revisão da literatura são o dinamismo do ambiente, a orientação para o conhecimento, a orientação para a qualidade, a gestão de processos e a colaboração. Estes fatores são utilizados para construir o instrumento de medição, cuja validade de conteúdo é avaliada pela opinião de dez especialistas. Estas opiniões são analisadas através do Índice de Validade de Conteúdo </w:t>
      </w:r>
      <w:r w:rsidR="004F7E39" w:rsidRPr="004E2A40">
        <w:rPr>
          <w:rFonts w:eastAsia="SimSun"/>
          <w:color w:val="000000"/>
          <w:lang w:eastAsia="zh-CN" w:bidi="ar"/>
        </w:rPr>
        <w:t>(I-ICV, S-CVI/ave)</w:t>
      </w:r>
      <w:r w:rsidRPr="00DD6C9D">
        <w:t xml:space="preserve"> de Lynn. Os resultados mostram que o instrumento de medição tem uma validade de conteúdo com um nível de significância de 5%. O instrumento de medição é uma ferramenta útil para a obtenção da informação necessária para a construção de modelos que expliquem a relação entre os fatores de sucesso dos projetos de inovação tecnológica nas cadeias de abastecimento.</w:t>
      </w:r>
    </w:p>
    <w:p w14:paraId="1B3FF3A1" w14:textId="61C6FCEF" w:rsidR="00DD6C9D" w:rsidRDefault="00DD6C9D" w:rsidP="00F93273">
      <w:pPr>
        <w:spacing w:line="360" w:lineRule="auto"/>
        <w:jc w:val="both"/>
      </w:pPr>
      <w:r w:rsidRPr="00F93273">
        <w:rPr>
          <w:rFonts w:ascii="Calibri" w:hAnsi="Calibri" w:cs="Calibri"/>
          <w:b/>
          <w:bCs/>
          <w:sz w:val="28"/>
          <w:szCs w:val="28"/>
        </w:rPr>
        <w:t>Palavras-chave:</w:t>
      </w:r>
      <w:r w:rsidRPr="00DD6C9D">
        <w:t xml:space="preserve"> validade de conteúdo do instrumento de medição, opinião de especialistas, fator crítico de sucesso, inovação na cadeia de abastecimento.</w:t>
      </w:r>
    </w:p>
    <w:p w14:paraId="1871D023" w14:textId="77777777" w:rsidR="00F93273" w:rsidRPr="00F93273" w:rsidRDefault="00F93273" w:rsidP="00F93273">
      <w:pPr>
        <w:shd w:val="clear" w:color="auto" w:fill="FFFFFF"/>
        <w:tabs>
          <w:tab w:val="left" w:pos="8647"/>
        </w:tabs>
        <w:rPr>
          <w:rFonts w:eastAsiaTheme="minorEastAsia" w:cs="Consolas"/>
          <w:color w:val="000000"/>
          <w:szCs w:val="20"/>
          <w:lang w:val="es-ES" w:eastAsia="es-ES"/>
        </w:rPr>
      </w:pPr>
      <w:r w:rsidRPr="00F93273">
        <w:rPr>
          <w:rFonts w:eastAsiaTheme="minorEastAsia" w:cs="Consolas"/>
          <w:b/>
          <w:color w:val="000000"/>
          <w:szCs w:val="20"/>
          <w:lang w:val="es-ES" w:eastAsia="es-ES"/>
        </w:rPr>
        <w:t xml:space="preserve">Fecha Recepción: </w:t>
      </w:r>
      <w:r w:rsidRPr="00F93273">
        <w:rPr>
          <w:rFonts w:eastAsiaTheme="minorEastAsia" w:cs="Consolas"/>
          <w:color w:val="000000"/>
          <w:szCs w:val="20"/>
          <w:lang w:val="es-ES" w:eastAsia="es-ES"/>
        </w:rPr>
        <w:t xml:space="preserve">Agosto 2025                                         </w:t>
      </w:r>
      <w:r w:rsidRPr="00F93273">
        <w:rPr>
          <w:rFonts w:eastAsiaTheme="minorEastAsia" w:cs="Consolas"/>
          <w:b/>
          <w:color w:val="000000"/>
          <w:szCs w:val="20"/>
          <w:lang w:val="es-ES" w:eastAsia="es-ES"/>
        </w:rPr>
        <w:t xml:space="preserve">Fecha Aceptación: </w:t>
      </w:r>
      <w:r w:rsidRPr="00F93273">
        <w:rPr>
          <w:rFonts w:eastAsiaTheme="minorEastAsia" w:cs="Consolas"/>
          <w:color w:val="000000"/>
          <w:szCs w:val="20"/>
          <w:lang w:val="es-ES" w:eastAsia="es-ES"/>
        </w:rPr>
        <w:t>Febrero 2026</w:t>
      </w:r>
    </w:p>
    <w:p w14:paraId="614A8483" w14:textId="77777777" w:rsidR="00F93273" w:rsidRPr="00F93273" w:rsidRDefault="00AC3CA8" w:rsidP="00F93273">
      <w:pPr>
        <w:spacing w:line="360" w:lineRule="auto"/>
        <w:jc w:val="both"/>
      </w:pPr>
      <w:r>
        <w:rPr>
          <w:rFonts w:asciiTheme="minorHAnsi" w:hAnsiTheme="minorHAnsi"/>
          <w:noProof/>
          <w:kern w:val="2"/>
          <w:sz w:val="22"/>
          <w:szCs w:val="22"/>
          <w:lang w:eastAsia="en-US"/>
        </w:rPr>
        <w:pict w14:anchorId="2E193778">
          <v:rect id="_x0000_i1025" style="width:441.9pt;height:.05pt" o:hralign="center" o:hrstd="t" o:hr="t" fillcolor="#a0a0a0" stroked="f"/>
        </w:pict>
      </w:r>
    </w:p>
    <w:p w14:paraId="0B8799A5" w14:textId="77777777" w:rsidR="00B654E8" w:rsidRDefault="00B654E8" w:rsidP="001E2DB7">
      <w:pPr>
        <w:spacing w:line="360" w:lineRule="auto"/>
        <w:rPr>
          <w:b/>
          <w:bCs/>
          <w:sz w:val="32"/>
          <w:szCs w:val="32"/>
        </w:rPr>
      </w:pPr>
    </w:p>
    <w:p w14:paraId="0D62000E" w14:textId="77777777" w:rsidR="00F93273" w:rsidRDefault="00F93273" w:rsidP="001E2DB7">
      <w:pPr>
        <w:spacing w:line="360" w:lineRule="auto"/>
        <w:rPr>
          <w:b/>
          <w:bCs/>
          <w:sz w:val="32"/>
          <w:szCs w:val="32"/>
        </w:rPr>
      </w:pPr>
    </w:p>
    <w:p w14:paraId="7F07131C" w14:textId="77777777" w:rsidR="00F93273" w:rsidRPr="005B541A" w:rsidRDefault="00F93273" w:rsidP="001E2DB7">
      <w:pPr>
        <w:spacing w:line="360" w:lineRule="auto"/>
        <w:rPr>
          <w:b/>
          <w:bCs/>
          <w:sz w:val="32"/>
          <w:szCs w:val="32"/>
        </w:rPr>
      </w:pPr>
    </w:p>
    <w:p w14:paraId="0062DBF0" w14:textId="21CD4225" w:rsidR="00F92696" w:rsidRPr="005B541A" w:rsidRDefault="001A2224" w:rsidP="00516DA9">
      <w:pPr>
        <w:spacing w:line="360" w:lineRule="auto"/>
        <w:jc w:val="center"/>
        <w:rPr>
          <w:b/>
          <w:bCs/>
          <w:sz w:val="32"/>
          <w:szCs w:val="32"/>
        </w:rPr>
      </w:pPr>
      <w:r w:rsidRPr="005B541A">
        <w:rPr>
          <w:b/>
          <w:bCs/>
          <w:sz w:val="32"/>
          <w:szCs w:val="32"/>
        </w:rPr>
        <w:lastRenderedPageBreak/>
        <w:t>Introducción</w:t>
      </w:r>
    </w:p>
    <w:p w14:paraId="3F6E5E3F" w14:textId="6470F841" w:rsidR="00880E84" w:rsidRDefault="00F92696" w:rsidP="00F93273">
      <w:pPr>
        <w:spacing w:line="360" w:lineRule="auto"/>
        <w:ind w:firstLine="709"/>
        <w:jc w:val="both"/>
        <w:rPr>
          <w:iCs/>
          <w:color w:val="000000"/>
          <w:shd w:val="clear" w:color="auto" w:fill="FFFFFF"/>
        </w:rPr>
      </w:pPr>
      <w:r w:rsidRPr="005B541A">
        <w:t>La Cadena de Suministro (CS) está constituida por</w:t>
      </w:r>
      <w:r w:rsidR="004D4868" w:rsidRPr="005B541A">
        <w:t xml:space="preserve"> los</w:t>
      </w:r>
      <w:r w:rsidRPr="005B541A">
        <w:t xml:space="preserve"> proceso</w:t>
      </w:r>
      <w:r w:rsidR="004D4868" w:rsidRPr="005B541A">
        <w:t>s y</w:t>
      </w:r>
      <w:r w:rsidRPr="005B541A">
        <w:t xml:space="preserve"> los flujos de materiales e información que se generan desde el momento en que inicia la compra de insumos,</w:t>
      </w:r>
      <w:r w:rsidR="004D4868" w:rsidRPr="005B541A">
        <w:t xml:space="preserve"> incluyendo</w:t>
      </w:r>
      <w:r w:rsidRPr="005B541A">
        <w:t xml:space="preserve"> las operaciones de producción y hasta</w:t>
      </w:r>
      <w:r w:rsidR="004D4868" w:rsidRPr="005B541A">
        <w:t xml:space="preserve"> la distribución física y</w:t>
      </w:r>
      <w:r w:rsidRPr="005B541A">
        <w:t xml:space="preserve"> venta del producto. </w:t>
      </w:r>
      <w:r w:rsidR="0034291E" w:rsidRPr="005B541A">
        <w:t>Esta es una problemática, constituida por una diversidad de factores, tanto externos como internos. Entre los factores externos, destacan l</w:t>
      </w:r>
      <w:r w:rsidR="004D4868" w:rsidRPr="005B541A">
        <w:t>as condiciones de rivalidad por los competidores y el dinamismo del entorno</w:t>
      </w:r>
      <w:r w:rsidR="0034291E" w:rsidRPr="005B541A">
        <w:t>; mientras que en los internos,</w:t>
      </w:r>
      <w:r w:rsidR="004D4868" w:rsidRPr="005B541A">
        <w:t xml:space="preserve"> </w:t>
      </w:r>
      <w:r w:rsidR="0034291E" w:rsidRPr="005B541A">
        <w:t xml:space="preserve">la complejidad se atribuye a la administración de la cadena de suministro, que es muy amplia debido a la diversidad de factores, como también a </w:t>
      </w:r>
      <w:r w:rsidR="0034291E" w:rsidRPr="005B541A">
        <w:rPr>
          <w:iCs/>
          <w:color w:val="000000"/>
          <w:shd w:val="clear" w:color="auto" w:fill="FFFFFF"/>
        </w:rPr>
        <w:t xml:space="preserve">que los factores críticos de éxito </w:t>
      </w:r>
      <w:r w:rsidR="00880E84">
        <w:rPr>
          <w:iCs/>
          <w:color w:val="000000"/>
          <w:shd w:val="clear" w:color="auto" w:fill="FFFFFF"/>
        </w:rPr>
        <w:t>(</w:t>
      </w:r>
      <w:r w:rsidR="0034291E" w:rsidRPr="005B541A">
        <w:rPr>
          <w:iCs/>
          <w:color w:val="000000"/>
          <w:shd w:val="clear" w:color="auto" w:fill="FFFFFF"/>
        </w:rPr>
        <w:t>FCE</w:t>
      </w:r>
      <w:r w:rsidR="00880E84">
        <w:rPr>
          <w:iCs/>
          <w:color w:val="000000"/>
          <w:shd w:val="clear" w:color="auto" w:fill="FFFFFF"/>
        </w:rPr>
        <w:t>)</w:t>
      </w:r>
      <w:r w:rsidR="0034291E" w:rsidRPr="005B541A">
        <w:rPr>
          <w:iCs/>
          <w:color w:val="000000"/>
          <w:shd w:val="clear" w:color="auto" w:fill="FFFFFF"/>
        </w:rPr>
        <w:t xml:space="preserve"> de la innovación de la cadena de suministro no están totalmente identificados</w:t>
      </w:r>
      <w:r w:rsidR="00880E84">
        <w:rPr>
          <w:iCs/>
          <w:color w:val="000000"/>
          <w:shd w:val="clear" w:color="auto" w:fill="FFFFFF"/>
        </w:rPr>
        <w:t>.</w:t>
      </w:r>
    </w:p>
    <w:p w14:paraId="3C607F32" w14:textId="1FD1158F" w:rsidR="0014284F" w:rsidRPr="005B541A" w:rsidRDefault="00880E84" w:rsidP="00F93273">
      <w:pPr>
        <w:spacing w:line="360" w:lineRule="auto"/>
        <w:ind w:firstLine="709"/>
        <w:jc w:val="both"/>
      </w:pPr>
      <w:r>
        <w:rPr>
          <w:iCs/>
          <w:color w:val="000000"/>
          <w:shd w:val="clear" w:color="auto" w:fill="FFFFFF"/>
        </w:rPr>
        <w:t xml:space="preserve">A lo anterior </w:t>
      </w:r>
      <w:r w:rsidR="0034291E" w:rsidRPr="005B541A">
        <w:rPr>
          <w:iCs/>
          <w:color w:val="000000"/>
          <w:shd w:val="clear" w:color="auto" w:fill="FFFFFF"/>
        </w:rPr>
        <w:t xml:space="preserve">hay que agregar que la literatura revisada aún está en pleno desarrollo </w:t>
      </w:r>
      <w:r w:rsidR="0034291E" w:rsidRPr="005B541A">
        <w:t>y que no existe consenso en</w:t>
      </w:r>
      <w:r w:rsidR="0034291E" w:rsidRPr="005B541A">
        <w:rPr>
          <w:iCs/>
          <w:color w:val="000000"/>
          <w:shd w:val="clear" w:color="auto" w:fill="FFFFFF"/>
        </w:rPr>
        <w:t xml:space="preserve"> la determinación de dichos FCE,</w:t>
      </w:r>
      <w:r w:rsidR="0034291E" w:rsidRPr="005B541A">
        <w:t xml:space="preserve"> ni su impacto relativo sobre el é</w:t>
      </w:r>
      <w:r w:rsidR="0034291E" w:rsidRPr="005B541A">
        <w:rPr>
          <w:rFonts w:eastAsiaTheme="minorHAnsi"/>
          <w:lang w:eastAsia="en-US"/>
        </w:rPr>
        <w:t>xito en el Proceso de Innovación en las Cadenas de Suministro (</w:t>
      </w:r>
      <w:r>
        <w:rPr>
          <w:rFonts w:eastAsiaTheme="minorHAnsi"/>
          <w:lang w:eastAsia="en-US"/>
        </w:rPr>
        <w:t>PICS</w:t>
      </w:r>
      <w:r w:rsidR="0034291E" w:rsidRPr="005B541A">
        <w:rPr>
          <w:rFonts w:eastAsiaTheme="minorHAnsi"/>
          <w:lang w:eastAsia="en-US"/>
        </w:rPr>
        <w:t>)</w:t>
      </w:r>
      <w:r w:rsidR="00B842A8" w:rsidRPr="005B541A">
        <w:rPr>
          <w:rFonts w:eastAsiaTheme="minorHAnsi"/>
          <w:lang w:eastAsia="en-US"/>
        </w:rPr>
        <w:t>; como t</w:t>
      </w:r>
      <w:r w:rsidR="0034291E" w:rsidRPr="005B541A">
        <w:rPr>
          <w:rFonts w:eastAsiaTheme="minorHAnsi"/>
          <w:lang w:eastAsia="en-US"/>
        </w:rPr>
        <w:t xml:space="preserve">ambién </w:t>
      </w:r>
      <w:r w:rsidR="004D4868" w:rsidRPr="005B541A">
        <w:t>se deben considerar</w:t>
      </w:r>
      <w:r w:rsidR="00F92696" w:rsidRPr="005B541A">
        <w:t xml:space="preserve"> las actividades orientadas a</w:t>
      </w:r>
      <w:r w:rsidR="004D4868" w:rsidRPr="005B541A">
        <w:t>l mejoramiento e innovación de capacidades tecnológicas</w:t>
      </w:r>
      <w:r w:rsidR="00F92696" w:rsidRPr="005B541A">
        <w:t>,</w:t>
      </w:r>
      <w:r w:rsidR="004D4868" w:rsidRPr="005B541A">
        <w:t xml:space="preserve"> la</w:t>
      </w:r>
      <w:r w:rsidR="00F92696" w:rsidRPr="005B541A">
        <w:t xml:space="preserve"> reducción de costos y la administración de las finanzas </w:t>
      </w:r>
      <w:r w:rsidR="004D4868" w:rsidRPr="005B541A">
        <w:t>para</w:t>
      </w:r>
      <w:r w:rsidR="00F92696" w:rsidRPr="005B541A">
        <w:t xml:space="preserve"> desarrollar la ventaj</w:t>
      </w:r>
      <w:r w:rsidR="004D4868" w:rsidRPr="005B541A">
        <w:t>a</w:t>
      </w:r>
      <w:r w:rsidR="00F92696" w:rsidRPr="005B541A">
        <w:t xml:space="preserve"> competitiva requerida para satisfacer las exigencias de </w:t>
      </w:r>
      <w:r w:rsidR="004D4868" w:rsidRPr="005B541A">
        <w:t>lo</w:t>
      </w:r>
      <w:r w:rsidR="00F92696" w:rsidRPr="005B541A">
        <w:t>s clientes y competir exitosamente en los mercados (Mentzer et al., (20</w:t>
      </w:r>
      <w:r w:rsidR="00621B11">
        <w:t>0</w:t>
      </w:r>
      <w:r w:rsidR="00F92696" w:rsidRPr="005B541A">
        <w:t>1) ; Yao et al., (2020))</w:t>
      </w:r>
      <w:r w:rsidR="00B842A8" w:rsidRPr="005B541A">
        <w:t>, factores que en conjunto, conforman una problemática compleja.</w:t>
      </w:r>
    </w:p>
    <w:p w14:paraId="164DF08A" w14:textId="249B6B3D" w:rsidR="00D81FD9" w:rsidRPr="005B541A" w:rsidRDefault="00D81FD9" w:rsidP="00F93273">
      <w:pPr>
        <w:spacing w:line="360" w:lineRule="auto"/>
        <w:ind w:firstLine="709"/>
        <w:jc w:val="both"/>
        <w:rPr>
          <w:iCs/>
          <w:color w:val="000000"/>
          <w:shd w:val="clear" w:color="auto" w:fill="FFFFFF"/>
        </w:rPr>
      </w:pPr>
      <w:r w:rsidRPr="005B541A">
        <w:rPr>
          <w:iCs/>
          <w:color w:val="000000"/>
          <w:shd w:val="clear" w:color="auto" w:fill="FFFFFF"/>
        </w:rPr>
        <w:t xml:space="preserve">Para </w:t>
      </w:r>
      <w:r w:rsidRPr="005B541A">
        <w:rPr>
          <w:iCs/>
          <w:color w:val="000000"/>
          <w:shd w:val="clear" w:color="auto" w:fill="FFFFFF"/>
        </w:rPr>
        <w:fldChar w:fldCharType="begin"/>
      </w:r>
      <w:r w:rsidRPr="005B541A">
        <w:rPr>
          <w:iCs/>
          <w:color w:val="000000"/>
          <w:shd w:val="clear" w:color="auto" w:fill="FFFFFF"/>
        </w:rPr>
        <w:instrText xml:space="preserve"> ADDIN EN.CITE &lt;EndNote&gt;&lt;Cite&gt;&lt;Author&gt;Porter&lt;/Author&gt;&lt;Year&gt;1998&lt;/Year&gt;&lt;RecNum&gt;20&lt;/RecNum&gt;&lt;DisplayText&gt;(Porter, 1998)&lt;/DisplayText&gt;&lt;record&gt;&lt;rec-number&gt;20&lt;/rec-number&gt;&lt;foreign-keys&gt;&lt;key app="EN" db-id="evwftvtxbvrxvuetssq59z9cd0pvpwrz5pef" timestamp="1691475150"&gt;20&lt;/key&gt;&lt;/foreign-keys&gt;&lt;ref-type name="Conference Paper"&gt;47&lt;/ref-type&gt;&lt;contributors&gt;&lt;authors&gt;&lt;author&gt;Porter, M. &lt;/author&gt;&lt;/authors&gt;&lt;/contributors&gt;&lt;titles&gt;&lt;title&gt;International Competitiveness of Spanish Companies: Microeconomic Foundations and the Role of Cluster&lt;/title&gt;&lt;secondary-title&gt;Institute for International Research&lt;/secondary-title&gt;&lt;/titles&gt;&lt;dates&gt;&lt;year&gt;1998&lt;/year&gt;&lt;/dates&gt;&lt;pub-location&gt;Madrid&lt;/pub-location&gt;&lt;urls&gt;&lt;/urls&gt;&lt;/record&gt;&lt;/Cite&gt;&lt;/EndNote&gt;</w:instrText>
      </w:r>
      <w:r w:rsidRPr="005B541A">
        <w:rPr>
          <w:iCs/>
          <w:color w:val="000000"/>
          <w:shd w:val="clear" w:color="auto" w:fill="FFFFFF"/>
        </w:rPr>
        <w:fldChar w:fldCharType="separate"/>
      </w:r>
      <w:hyperlink w:anchor="_ENREF_72" w:tooltip="Porter, 1998 #20" w:history="1">
        <w:r w:rsidRPr="005B541A">
          <w:rPr>
            <w:iCs/>
            <w:color w:val="000000"/>
            <w:shd w:val="clear" w:color="auto" w:fill="FFFFFF"/>
          </w:rPr>
          <w:t>Porter (1998</w:t>
        </w:r>
      </w:hyperlink>
      <w:r w:rsidRPr="005B541A">
        <w:rPr>
          <w:iCs/>
          <w:color w:val="000000"/>
          <w:shd w:val="clear" w:color="auto" w:fill="FFFFFF"/>
        </w:rPr>
        <w:t>)</w:t>
      </w:r>
      <w:r w:rsidRPr="005B541A">
        <w:rPr>
          <w:iCs/>
          <w:color w:val="000000"/>
          <w:shd w:val="clear" w:color="auto" w:fill="FFFFFF"/>
        </w:rPr>
        <w:fldChar w:fldCharType="end"/>
      </w:r>
      <w:r w:rsidR="00880E84">
        <w:rPr>
          <w:iCs/>
          <w:color w:val="000000"/>
          <w:shd w:val="clear" w:color="auto" w:fill="FFFFFF"/>
        </w:rPr>
        <w:t>,</w:t>
      </w:r>
      <w:r w:rsidRPr="005B541A">
        <w:rPr>
          <w:iCs/>
          <w:color w:val="000000"/>
          <w:shd w:val="clear" w:color="auto" w:fill="FFFFFF"/>
        </w:rPr>
        <w:t xml:space="preserve"> la competitividad de una empresa es su capacidad para innovar y perfeccionarse, con lo que establece una relación estrecha entre la capacidad de innovación y la competitividad. La innovación es una condición necesaria para desarrollar la </w:t>
      </w:r>
      <w:r w:rsidRPr="00E43725">
        <w:rPr>
          <w:iCs/>
          <w:color w:val="000000"/>
          <w:shd w:val="clear" w:color="auto" w:fill="FFFFFF"/>
        </w:rPr>
        <w:t>competitividad</w:t>
      </w:r>
      <w:r w:rsidR="00E43725" w:rsidRPr="00E43725">
        <w:t xml:space="preserve"> (Navas &amp; Nieto, 2003), </w:t>
      </w:r>
      <w:r w:rsidR="00E43725" w:rsidRPr="00E43725">
        <w:rPr>
          <w:iCs/>
          <w:color w:val="000000"/>
          <w:shd w:val="clear" w:color="auto" w:fill="FFFFFF"/>
        </w:rPr>
        <w:t>p</w:t>
      </w:r>
      <w:r w:rsidRPr="00E43725">
        <w:rPr>
          <w:iCs/>
          <w:color w:val="000000"/>
          <w:shd w:val="clear" w:color="auto" w:fill="FFFFFF"/>
        </w:rPr>
        <w:t>or otro lado Hidalgo et al. (2002)</w:t>
      </w:r>
      <w:r w:rsidR="004B483A" w:rsidRPr="00E43725">
        <w:rPr>
          <w:iCs/>
          <w:color w:val="000000"/>
          <w:shd w:val="clear" w:color="auto" w:fill="FFFFFF"/>
        </w:rPr>
        <w:t>,</w:t>
      </w:r>
      <w:r w:rsidRPr="00E43725">
        <w:rPr>
          <w:iCs/>
          <w:color w:val="000000"/>
          <w:shd w:val="clear" w:color="auto" w:fill="FFFFFF"/>
        </w:rPr>
        <w:t xml:space="preserve"> afirman que las</w:t>
      </w:r>
      <w:r w:rsidRPr="005B541A">
        <w:rPr>
          <w:iCs/>
          <w:color w:val="000000"/>
          <w:shd w:val="clear" w:color="auto" w:fill="FFFFFF"/>
        </w:rPr>
        <w:t xml:space="preserve"> empresas </w:t>
      </w:r>
      <w:r w:rsidR="006244FE" w:rsidRPr="005B541A">
        <w:rPr>
          <w:iCs/>
          <w:color w:val="000000"/>
          <w:shd w:val="clear" w:color="auto" w:fill="FFFFFF"/>
        </w:rPr>
        <w:t>más</w:t>
      </w:r>
      <w:r w:rsidRPr="005B541A">
        <w:rPr>
          <w:iCs/>
          <w:color w:val="000000"/>
          <w:shd w:val="clear" w:color="auto" w:fill="FFFFFF"/>
        </w:rPr>
        <w:t xml:space="preserve"> competitivas deben ser </w:t>
      </w:r>
      <w:r w:rsidR="006244FE" w:rsidRPr="005B541A">
        <w:rPr>
          <w:iCs/>
          <w:color w:val="000000"/>
          <w:shd w:val="clear" w:color="auto" w:fill="FFFFFF"/>
        </w:rPr>
        <w:t>más</w:t>
      </w:r>
      <w:r w:rsidRPr="005B541A">
        <w:rPr>
          <w:iCs/>
          <w:color w:val="000000"/>
          <w:shd w:val="clear" w:color="auto" w:fill="FFFFFF"/>
        </w:rPr>
        <w:t xml:space="preserve"> innovadoras si quieren conservar dicha ventaja, </w:t>
      </w:r>
      <w:r w:rsidR="00E43725">
        <w:rPr>
          <w:iCs/>
          <w:color w:val="000000"/>
          <w:shd w:val="clear" w:color="auto" w:fill="FFFFFF"/>
        </w:rPr>
        <w:t xml:space="preserve"> </w:t>
      </w:r>
      <w:r w:rsidRPr="005B541A">
        <w:rPr>
          <w:iCs/>
          <w:color w:val="000000"/>
          <w:shd w:val="clear" w:color="auto" w:fill="FFFFFF"/>
        </w:rPr>
        <w:t>mientras que Lugones</w:t>
      </w:r>
      <w:r w:rsidR="00E55125">
        <w:rPr>
          <w:iCs/>
          <w:color w:val="000000"/>
          <w:shd w:val="clear" w:color="auto" w:fill="FFFFFF"/>
        </w:rPr>
        <w:t xml:space="preserve"> et. al.,</w:t>
      </w:r>
      <w:r w:rsidRPr="005B541A">
        <w:rPr>
          <w:iCs/>
          <w:color w:val="000000"/>
          <w:shd w:val="clear" w:color="auto" w:fill="FFFFFF"/>
        </w:rPr>
        <w:t xml:space="preserve"> </w:t>
      </w:r>
      <w:r w:rsidRPr="005B541A">
        <w:rPr>
          <w:iCs/>
          <w:color w:val="000000"/>
          <w:shd w:val="clear" w:color="auto" w:fill="FFFFFF"/>
        </w:rPr>
        <w:fldChar w:fldCharType="begin"/>
      </w:r>
      <w:r w:rsidRPr="005B541A">
        <w:rPr>
          <w:iCs/>
          <w:color w:val="000000"/>
          <w:shd w:val="clear" w:color="auto" w:fill="FFFFFF"/>
        </w:rPr>
        <w:instrText xml:space="preserve"> ADDIN EN.CITE &lt;EndNote&gt;&lt;Cite ExcludeAuth="1"&gt;&lt;Author&gt;Lugones&lt;/Author&gt;&lt;Year&gt;2007&lt;/Year&gt;&lt;RecNum&gt;25&lt;/RecNum&gt;&lt;DisplayText&gt;(2007)&lt;/DisplayText&gt;&lt;record&gt;&lt;rec-number&gt;25&lt;/rec-number&gt;&lt;foreign-keys&gt;&lt;key app="EN" db-id="evwftvtxbvrxvuetssq59z9cd0pvpwrz5pef" timestamp="1691475150"&gt;25&lt;/key&gt;&lt;/foreign-keys&gt;&lt;ref-type name="Journal Article"&gt;17&lt;/ref-type&gt;&lt;contributors&gt;&lt;authors&gt;&lt;author&gt;Lugones, E.&lt;/author&gt;&lt;author&gt;Gutti., P.&lt;/author&gt;&lt;author&gt;Le Clech, N.&lt;/author&gt;&lt;/authors&gt;&lt;/contributors&gt;&lt;titles&gt;&lt;title&gt;Indicadores de capacidades tecnológicas en América Latina&lt;/title&gt;&lt;secondary-title&gt;CEPAL&lt;/secondary-title&gt;&lt;/titles&gt;&lt;periodical&gt;&lt;full-title&gt;CEPAL&lt;/full-title&gt;&lt;/periodical&gt;&lt;volume&gt;89&lt;/volume&gt;&lt;num-vols&gt; Serie&amp;#xD;Estudios y perspectivas - México&lt;/num-vols&gt;&lt;dates&gt;&lt;year&gt;2007&lt;/year&gt;&lt;/dates&gt;&lt;urls&gt;&lt;/urls&gt;&lt;/record&gt;&lt;/Cite&gt;&lt;/EndNote&gt;</w:instrText>
      </w:r>
      <w:r w:rsidRPr="005B541A">
        <w:rPr>
          <w:iCs/>
          <w:color w:val="000000"/>
          <w:shd w:val="clear" w:color="auto" w:fill="FFFFFF"/>
        </w:rPr>
        <w:fldChar w:fldCharType="separate"/>
      </w:r>
      <w:r w:rsidRPr="005B541A">
        <w:rPr>
          <w:iCs/>
          <w:color w:val="000000"/>
          <w:shd w:val="clear" w:color="auto" w:fill="FFFFFF"/>
        </w:rPr>
        <w:t>(</w:t>
      </w:r>
      <w:hyperlink w:anchor="_ENREF_52" w:tooltip="Lugones, 2007 #25" w:history="1">
        <w:r w:rsidRPr="005B541A">
          <w:t>2007</w:t>
        </w:r>
      </w:hyperlink>
      <w:r w:rsidRPr="005B541A">
        <w:rPr>
          <w:iCs/>
          <w:color w:val="000000"/>
          <w:shd w:val="clear" w:color="auto" w:fill="FFFFFF"/>
        </w:rPr>
        <w:t>)</w:t>
      </w:r>
      <w:r w:rsidRPr="005B541A">
        <w:rPr>
          <w:iCs/>
          <w:color w:val="000000"/>
          <w:shd w:val="clear" w:color="auto" w:fill="FFFFFF"/>
        </w:rPr>
        <w:fldChar w:fldCharType="end"/>
      </w:r>
      <w:r w:rsidRPr="005B541A">
        <w:rPr>
          <w:iCs/>
          <w:color w:val="000000"/>
          <w:shd w:val="clear" w:color="auto" w:fill="FFFFFF"/>
        </w:rPr>
        <w:t xml:space="preserve"> agrega que las empresas innovadoras suponen no solo una mayor competitividad de la economía, sino la generación de mejoras tecnológicas hacia los agentes económicos. Por lo que resulta indispensable la innovación y el desarrollo tecnológico en la cadena de suministro como un elemento que coadyuve a incrementar la competitividad de las empresas. </w:t>
      </w:r>
    </w:p>
    <w:p w14:paraId="4F5A72A4" w14:textId="1D62424E" w:rsidR="00903BE0" w:rsidRPr="005B541A" w:rsidRDefault="00903BE0" w:rsidP="00F93273">
      <w:pPr>
        <w:spacing w:line="360" w:lineRule="auto"/>
        <w:ind w:firstLine="709"/>
        <w:jc w:val="both"/>
      </w:pPr>
      <w:r w:rsidRPr="005B541A">
        <w:t xml:space="preserve">La industria de lácteos de México es </w:t>
      </w:r>
      <w:r w:rsidR="008900BB" w:rsidRPr="005B541A">
        <w:t>económicamente</w:t>
      </w:r>
      <w:r w:rsidR="00880E84">
        <w:t xml:space="preserve"> importante</w:t>
      </w:r>
      <w:r w:rsidRPr="005B541A">
        <w:t xml:space="preserve">, puesto que contribuye con el 16% del PIB, generando 600 mil empleos directos y más de un millón de indirectos, adicionalmente, el 95% de la leche que se consume en el país es industrializada y el 50% de las exportaciones de lácteos son fórmulas infantiles. Sin embargo, la producción </w:t>
      </w:r>
      <w:r w:rsidRPr="005B541A">
        <w:lastRenderedPageBreak/>
        <w:t xml:space="preserve">es insuficiente, dado que el 30% de la leche es importada según Canilec </w:t>
      </w:r>
      <w:r w:rsidRPr="005B541A">
        <w:fldChar w:fldCharType="begin"/>
      </w:r>
      <w:r w:rsidRPr="005B541A">
        <w:instrText xml:space="preserve"> ADDIN EN.CITE &lt;EndNote&gt;&lt;Cite ExcludeAuth="1"&gt;&lt;Author&gt;Canilec&lt;/Author&gt;&lt;Year&gt;2021&lt;/Year&gt;&lt;RecNum&gt;82&lt;/RecNum&gt;&lt;DisplayText&gt;(2021)&lt;/DisplayText&gt;&lt;record&gt;&lt;rec-number&gt;82&lt;/rec-number&gt;&lt;foreign-keys&gt;&lt;key app="EN" db-id="evwftvtxbvrxvuetssq59z9cd0pvpwrz5pef" timestamp="1691475150"&gt;82&lt;/key&gt;&lt;/foreign-keys&gt;&lt;ref-type name="Report"&gt;27&lt;/ref-type&gt;&lt;contributors&gt;&lt;authors&gt;&lt;author&gt;Canilec&lt;/author&gt;&lt;/authors&gt;&lt;/contributors&gt;&lt;titles&gt;&lt;title&gt;Estadísticas de sector lácteo 2010 -2020&lt;/title&gt;&lt;/titles&gt;&lt;dates&gt;&lt;year&gt;2021&lt;/year&gt;&lt;/dates&gt;&lt;urls&gt;&lt;related-urls&gt;&lt;url&gt;https://www.canilec.org.mx/wp-content/uploads/2021/04/Compendio-del-Sector-Lacteo-2021.pdf&lt;/url&gt;&lt;/related-urls&gt;&lt;/urls&gt;&lt;/record&gt;&lt;/Cite&gt;&lt;/EndNote&gt;</w:instrText>
      </w:r>
      <w:r w:rsidRPr="005B541A">
        <w:fldChar w:fldCharType="separate"/>
      </w:r>
      <w:r w:rsidRPr="005B541A">
        <w:t>(</w:t>
      </w:r>
      <w:hyperlink w:anchor="_ENREF_13" w:tooltip="Canilec, 2021 #82" w:history="1">
        <w:r w:rsidR="00D737AC">
          <w:t>2022</w:t>
        </w:r>
      </w:hyperlink>
      <w:r w:rsidRPr="005B541A">
        <w:t>)</w:t>
      </w:r>
      <w:r w:rsidRPr="005B541A">
        <w:fldChar w:fldCharType="end"/>
      </w:r>
      <w:r w:rsidRPr="005B541A">
        <w:t xml:space="preserve">, </w:t>
      </w:r>
      <w:r w:rsidR="00065A84">
        <w:t>por lo que es necesario</w:t>
      </w:r>
      <w:r w:rsidRPr="005B541A">
        <w:t xml:space="preserve"> incrementar su competitividad.  </w:t>
      </w:r>
    </w:p>
    <w:p w14:paraId="702AB024" w14:textId="5464A4A1" w:rsidR="00403592" w:rsidRPr="005B541A" w:rsidRDefault="00403592" w:rsidP="00F93273">
      <w:pPr>
        <w:spacing w:line="360" w:lineRule="auto"/>
        <w:ind w:firstLine="709"/>
        <w:jc w:val="both"/>
      </w:pPr>
      <w:r w:rsidRPr="00403592">
        <w:t xml:space="preserve">Para aumentar la competitividad sostenible de las empresas del sector lácteo, es necesario implementar proyectos que creen y desarrollen capacidades tecnológicas relevantes en la cadena de suministro y en sus productos. Específicamente, se requieren innovaciones y desarrollo tecnológico en productos, procesos y marketing dentro de las empresas de este sector. Sin embargo, en la práctica, los resultados de los proyectos de innovación y desarrollo tecnológico a menudo no cumplen con las expectativas. Esta situación se debe en parte a la falta de un modelo que establezca la relación causal entre los factores de innovación y el éxito, es decir, los efectos que cada factor tiene en el </w:t>
      </w:r>
      <w:r>
        <w:t>Proceso de Innovación en las Cadenas de Suministro (PICS)</w:t>
      </w:r>
      <w:r w:rsidRPr="00403592">
        <w:t>. Esta falta</w:t>
      </w:r>
      <w:r>
        <w:t xml:space="preserve"> </w:t>
      </w:r>
      <w:r w:rsidRPr="00403592">
        <w:t>puede comprometer la gestión eficiente y eficaz de los proyectos de innovación y de la cadena de suministro, como señala Drucker (200</w:t>
      </w:r>
      <w:r w:rsidR="006D3FC4">
        <w:t>4</w:t>
      </w:r>
      <w:r w:rsidRPr="00403592">
        <w:t>).</w:t>
      </w:r>
    </w:p>
    <w:p w14:paraId="37DE1297" w14:textId="1477C6C5" w:rsidR="00BA0F75" w:rsidRPr="001E2DB7" w:rsidRDefault="001A2224" w:rsidP="00F93273">
      <w:pPr>
        <w:spacing w:line="360" w:lineRule="auto"/>
        <w:ind w:firstLine="709"/>
        <w:jc w:val="both"/>
        <w:rPr>
          <w:rFonts w:eastAsiaTheme="minorHAnsi"/>
          <w:lang w:eastAsia="en-US"/>
        </w:rPr>
      </w:pPr>
      <w:r w:rsidRPr="005B541A">
        <w:t xml:space="preserve">El objetivo de este trabajo de investigación consiste en diseñar y evaluar la validez de contenido de un instrumento de medición cuyos factores </w:t>
      </w:r>
      <w:r w:rsidR="00843A77" w:rsidRPr="005B541A">
        <w:t>están</w:t>
      </w:r>
      <w:r w:rsidRPr="005B541A">
        <w:t xml:space="preserve"> relacionad</w:t>
      </w:r>
      <w:r w:rsidR="00843A77" w:rsidRPr="005B541A">
        <w:t>o</w:t>
      </w:r>
      <w:r w:rsidRPr="005B541A">
        <w:t xml:space="preserve">s con el éxito en el proceso de innovación de la cadena de suministro. </w:t>
      </w:r>
      <w:r w:rsidR="00BA0F75" w:rsidRPr="005B541A">
        <w:t xml:space="preserve">En este trabajo se considera plantear la gestión de dichos proyectos como un Proceso de Innovación (PI) y se requiere identificar los  </w:t>
      </w:r>
      <w:r w:rsidR="00BA0F75" w:rsidRPr="001E2DB7">
        <w:rPr>
          <w:rFonts w:eastAsiaTheme="minorHAnsi"/>
          <w:lang w:eastAsia="en-US"/>
        </w:rPr>
        <w:t xml:space="preserve">FCE y cuantificar el efecto de cada uno de ellos para lograr una Innovación Sostenible (IS), </w:t>
      </w:r>
      <w:r w:rsidR="00880E84" w:rsidRPr="001E2DB7">
        <w:rPr>
          <w:rFonts w:eastAsiaTheme="minorHAnsi"/>
          <w:lang w:eastAsia="en-US"/>
        </w:rPr>
        <w:t>con la finalidad de</w:t>
      </w:r>
      <w:r w:rsidR="00BA0F75" w:rsidRPr="001E2DB7">
        <w:rPr>
          <w:rFonts w:eastAsiaTheme="minorHAnsi"/>
          <w:lang w:eastAsia="en-US"/>
        </w:rPr>
        <w:t xml:space="preserve"> desarrollar un modelo en el que se establezcan las relaciones causales entre los FCE y el éxito en el PI.</w:t>
      </w:r>
    </w:p>
    <w:p w14:paraId="276A6EBA" w14:textId="0928A77E" w:rsidR="0014284F" w:rsidRPr="001E2DB7" w:rsidRDefault="0014284F" w:rsidP="001E2DB7">
      <w:pPr>
        <w:spacing w:line="360" w:lineRule="auto"/>
        <w:jc w:val="both"/>
        <w:rPr>
          <w:rFonts w:eastAsiaTheme="minorHAnsi"/>
          <w:lang w:eastAsia="en-US"/>
        </w:rPr>
      </w:pPr>
    </w:p>
    <w:p w14:paraId="18782B1C" w14:textId="248B0290" w:rsidR="0014284F" w:rsidRPr="00F93273" w:rsidRDefault="003C06E2" w:rsidP="001E2DB7">
      <w:pPr>
        <w:spacing w:line="360" w:lineRule="auto"/>
        <w:jc w:val="center"/>
        <w:rPr>
          <w:rFonts w:eastAsiaTheme="minorHAnsi"/>
          <w:b/>
          <w:sz w:val="28"/>
          <w:szCs w:val="28"/>
          <w:lang w:eastAsia="en-US"/>
        </w:rPr>
      </w:pPr>
      <w:r w:rsidRPr="00F93273">
        <w:rPr>
          <w:rFonts w:eastAsiaTheme="minorHAnsi"/>
          <w:b/>
          <w:sz w:val="28"/>
          <w:szCs w:val="28"/>
          <w:lang w:eastAsia="en-US"/>
        </w:rPr>
        <w:t xml:space="preserve">Factores de la </w:t>
      </w:r>
      <w:r w:rsidR="00516DA9" w:rsidRPr="00F93273">
        <w:rPr>
          <w:rFonts w:eastAsiaTheme="minorHAnsi"/>
          <w:b/>
          <w:sz w:val="28"/>
          <w:szCs w:val="28"/>
          <w:lang w:eastAsia="en-US"/>
        </w:rPr>
        <w:t>i</w:t>
      </w:r>
      <w:r w:rsidRPr="00F93273">
        <w:rPr>
          <w:rFonts w:eastAsiaTheme="minorHAnsi"/>
          <w:b/>
          <w:sz w:val="28"/>
          <w:szCs w:val="28"/>
          <w:lang w:eastAsia="en-US"/>
        </w:rPr>
        <w:t xml:space="preserve">nnovación en las </w:t>
      </w:r>
      <w:r w:rsidR="00516DA9" w:rsidRPr="00F93273">
        <w:rPr>
          <w:rFonts w:eastAsiaTheme="minorHAnsi"/>
          <w:b/>
          <w:sz w:val="28"/>
          <w:szCs w:val="28"/>
          <w:lang w:eastAsia="en-US"/>
        </w:rPr>
        <w:t>c</w:t>
      </w:r>
      <w:r w:rsidRPr="00F93273">
        <w:rPr>
          <w:rFonts w:eastAsiaTheme="minorHAnsi"/>
          <w:b/>
          <w:sz w:val="28"/>
          <w:szCs w:val="28"/>
          <w:lang w:eastAsia="en-US"/>
        </w:rPr>
        <w:t xml:space="preserve">adenas de </w:t>
      </w:r>
      <w:r w:rsidR="00516DA9" w:rsidRPr="00F93273">
        <w:rPr>
          <w:rFonts w:eastAsiaTheme="minorHAnsi"/>
          <w:b/>
          <w:sz w:val="28"/>
          <w:szCs w:val="28"/>
          <w:lang w:eastAsia="en-US"/>
        </w:rPr>
        <w:t>s</w:t>
      </w:r>
      <w:r w:rsidRPr="00F93273">
        <w:rPr>
          <w:rFonts w:eastAsiaTheme="minorHAnsi"/>
          <w:b/>
          <w:sz w:val="28"/>
          <w:szCs w:val="28"/>
          <w:lang w:eastAsia="en-US"/>
        </w:rPr>
        <w:t>uministro</w:t>
      </w:r>
    </w:p>
    <w:p w14:paraId="551A8911" w14:textId="0B992471" w:rsidR="0014284F" w:rsidRPr="001E2DB7" w:rsidRDefault="001A2224" w:rsidP="00F93273">
      <w:pPr>
        <w:spacing w:line="360" w:lineRule="auto"/>
        <w:ind w:firstLine="709"/>
        <w:jc w:val="both"/>
        <w:rPr>
          <w:rFonts w:eastAsiaTheme="minorHAnsi"/>
          <w:lang w:eastAsia="en-US"/>
        </w:rPr>
      </w:pPr>
      <w:r w:rsidRPr="005B541A">
        <w:rPr>
          <w:rFonts w:eastAsiaTheme="minorHAnsi"/>
          <w:lang w:eastAsia="en-US"/>
        </w:rPr>
        <w:t xml:space="preserve">Los factores que determinan el </w:t>
      </w:r>
      <w:r w:rsidR="00880E84">
        <w:rPr>
          <w:rFonts w:eastAsiaTheme="minorHAnsi"/>
          <w:lang w:eastAsia="en-US"/>
        </w:rPr>
        <w:t>PICS</w:t>
      </w:r>
      <w:r w:rsidRPr="005B541A">
        <w:rPr>
          <w:rFonts w:eastAsiaTheme="minorHAnsi"/>
          <w:lang w:eastAsia="en-US"/>
        </w:rPr>
        <w:t xml:space="preserve"> se clasifican como factores internos y externos. Dentro de los primeros se encuentran la Orientación del Conocimiento (OC), Orientación </w:t>
      </w:r>
      <w:r w:rsidR="00403592">
        <w:rPr>
          <w:rFonts w:eastAsiaTheme="minorHAnsi"/>
          <w:lang w:eastAsia="en-US"/>
        </w:rPr>
        <w:t>hacia</w:t>
      </w:r>
      <w:r w:rsidRPr="005B541A">
        <w:rPr>
          <w:rFonts w:eastAsiaTheme="minorHAnsi"/>
          <w:lang w:eastAsia="en-US"/>
        </w:rPr>
        <w:t xml:space="preserve"> la Calidad (O</w:t>
      </w:r>
      <w:r w:rsidR="00403592">
        <w:rPr>
          <w:rFonts w:eastAsiaTheme="minorHAnsi"/>
          <w:lang w:eastAsia="en-US"/>
        </w:rPr>
        <w:t>H</w:t>
      </w:r>
      <w:r w:rsidRPr="005B541A">
        <w:rPr>
          <w:rFonts w:eastAsiaTheme="minorHAnsi"/>
          <w:lang w:eastAsia="en-US"/>
        </w:rPr>
        <w:t>C) y Gestión del Proceso; los factores externos incluyen el Dinamismo Ambiental (DA) y la Colaboración (C) (</w:t>
      </w:r>
      <w:r w:rsidRPr="005B541A">
        <w:rPr>
          <w:rFonts w:eastAsiaTheme="minorHAnsi"/>
          <w:lang w:eastAsia="en-US"/>
        </w:rPr>
        <w:fldChar w:fldCharType="begin"/>
      </w:r>
      <w:r w:rsidRPr="005B541A">
        <w:rPr>
          <w:rFonts w:eastAsiaTheme="minorHAnsi"/>
          <w:lang w:eastAsia="en-US"/>
        </w:rPr>
        <w:instrText xml:space="preserve"> ADDIN EN.CITE &lt;EndNote&gt;&lt;Cite&gt;&lt;Author&gt;Kafetzopoulos&lt;/Author&gt;&lt;Year&gt;2020&lt;/Year&gt;&lt;RecNum&gt;67&lt;/RecNum&gt;&lt;DisplayText&gt;(Dimitrios Kafetzopoulos et al., 2020)&lt;/DisplayText&gt;&lt;record&gt;&lt;rec-number&gt;67&lt;/rec-number&gt;&lt;foreign-keys&gt;&lt;key app="EN" db-id="evwftvtxbvrxvuetssq59z9cd0pvpwrz5pef" timestamp="1691475150"&gt;67&lt;/key&gt;&lt;/foreign-keys&gt;&lt;ref-type name="Journal Article"&gt;17&lt;/ref-type&gt;&lt;contributors&gt;&lt;authors&gt;&lt;author&gt;Kafetzopoulos, Dimitrios&lt;/author&gt;&lt;author&gt;Vouzas, Fotios&lt;/author&gt;&lt;author&gt;Skalkos, Dimitrios&lt;/author&gt;&lt;/authors&gt;&lt;/contributors&gt;&lt;titles&gt;&lt;title&gt;Developing and validating an innovation drivers&amp;apos; measurement instrument in the agri-food sector&lt;/title&gt;&lt;secondary-title&gt;British Food Journal&lt;/secondary-title&gt;&lt;/titles&gt;&lt;periodical&gt;&lt;full-title&gt;British Food Journal&lt;/full-title&gt;&lt;/periodical&gt;&lt;dates&gt;&lt;year&gt;2020&lt;/year&gt;&lt;/dates&gt;&lt;isbn&gt;0007-070X&lt;/isbn&gt;&lt;urls&gt;&lt;/urls&gt;&lt;/record&gt;&lt;/Cite&gt;&lt;/EndNote&gt;</w:instrText>
      </w:r>
      <w:r w:rsidRPr="005B541A">
        <w:rPr>
          <w:rFonts w:eastAsiaTheme="minorHAnsi"/>
          <w:lang w:eastAsia="en-US"/>
        </w:rPr>
        <w:fldChar w:fldCharType="separate"/>
      </w:r>
      <w:hyperlink w:anchor="_ENREF_46" w:tooltip="Kafetzopoulos, 2020 #67" w:history="1">
        <w:r w:rsidR="0014284F" w:rsidRPr="005B541A">
          <w:rPr>
            <w:rFonts w:eastAsiaTheme="minorHAnsi"/>
            <w:lang w:eastAsia="en-US"/>
          </w:rPr>
          <w:t>Kafetzopoulos et al., 2020</w:t>
        </w:r>
      </w:hyperlink>
      <w:r w:rsidRPr="005B541A">
        <w:rPr>
          <w:rFonts w:eastAsiaTheme="minorHAnsi"/>
          <w:lang w:eastAsia="en-US"/>
        </w:rPr>
        <w:t>)</w:t>
      </w:r>
      <w:r w:rsidRPr="005B541A">
        <w:rPr>
          <w:rFonts w:eastAsiaTheme="minorHAnsi"/>
          <w:lang w:eastAsia="en-US"/>
        </w:rPr>
        <w:fldChar w:fldCharType="end"/>
      </w:r>
      <w:r w:rsidRPr="005B541A">
        <w:rPr>
          <w:rFonts w:eastAsiaTheme="minorHAnsi"/>
          <w:lang w:eastAsia="en-US"/>
        </w:rPr>
        <w:t>.</w:t>
      </w:r>
    </w:p>
    <w:p w14:paraId="16BBFECF" w14:textId="0D17CA50" w:rsidR="0014284F" w:rsidRPr="005B541A" w:rsidRDefault="001A2224" w:rsidP="00F93273">
      <w:pPr>
        <w:spacing w:line="360" w:lineRule="auto"/>
        <w:ind w:firstLine="709"/>
        <w:jc w:val="both"/>
        <w:rPr>
          <w:rFonts w:eastAsiaTheme="minorHAnsi"/>
          <w:lang w:eastAsia="en-US"/>
        </w:rPr>
      </w:pPr>
      <w:r w:rsidRPr="005B541A">
        <w:rPr>
          <w:rFonts w:eastAsiaTheme="minorHAnsi"/>
          <w:lang w:eastAsia="en-US"/>
        </w:rPr>
        <w:t xml:space="preserve">La </w:t>
      </w:r>
      <w:r w:rsidR="00772F62" w:rsidRPr="005B541A">
        <w:rPr>
          <w:rFonts w:eastAsiaTheme="minorHAnsi"/>
          <w:lang w:eastAsia="en-US"/>
        </w:rPr>
        <w:t>OC</w:t>
      </w:r>
      <w:r w:rsidRPr="005B541A">
        <w:rPr>
          <w:rFonts w:eastAsiaTheme="minorHAnsi"/>
          <w:lang w:eastAsia="en-US"/>
        </w:rPr>
        <w:t xml:space="preserve">, </w:t>
      </w:r>
      <w:r w:rsidR="003F5E32" w:rsidRPr="005B541A">
        <w:rPr>
          <w:rFonts w:eastAsiaTheme="minorHAnsi"/>
          <w:lang w:eastAsia="en-US"/>
        </w:rPr>
        <w:t xml:space="preserve">está constituida por los </w:t>
      </w:r>
      <w:r w:rsidRPr="005B541A">
        <w:rPr>
          <w:rFonts w:eastAsiaTheme="minorHAnsi"/>
          <w:lang w:eastAsia="en-US"/>
        </w:rPr>
        <w:t>proceso</w:t>
      </w:r>
      <w:r w:rsidR="003F5E32" w:rsidRPr="005B541A">
        <w:rPr>
          <w:rFonts w:eastAsiaTheme="minorHAnsi"/>
          <w:lang w:eastAsia="en-US"/>
        </w:rPr>
        <w:t>s</w:t>
      </w:r>
      <w:r w:rsidRPr="005B541A">
        <w:rPr>
          <w:rFonts w:eastAsiaTheme="minorHAnsi"/>
          <w:lang w:eastAsia="en-US"/>
        </w:rPr>
        <w:t xml:space="preserve"> para captar, crear y desarrollar conocimiento, con los cuales se establecen normas empresariales tendientes a incrementar la eficiencia y la efectividad organizacional a través de</w:t>
      </w:r>
      <w:r w:rsidR="003F5E32" w:rsidRPr="005B541A">
        <w:rPr>
          <w:rFonts w:eastAsiaTheme="minorHAnsi"/>
          <w:lang w:eastAsia="en-US"/>
        </w:rPr>
        <w:t>l</w:t>
      </w:r>
      <w:r w:rsidRPr="005B541A">
        <w:rPr>
          <w:rFonts w:eastAsiaTheme="minorHAnsi"/>
          <w:lang w:eastAsia="en-US"/>
        </w:rPr>
        <w:t xml:space="preserve"> mejora</w:t>
      </w:r>
      <w:r w:rsidR="003F5E32" w:rsidRPr="005B541A">
        <w:rPr>
          <w:rFonts w:eastAsiaTheme="minorHAnsi"/>
          <w:lang w:eastAsia="en-US"/>
        </w:rPr>
        <w:t xml:space="preserve">miento </w:t>
      </w:r>
      <w:r w:rsidR="00843A77" w:rsidRPr="005B541A">
        <w:rPr>
          <w:rFonts w:eastAsiaTheme="minorHAnsi"/>
          <w:lang w:eastAsia="en-US"/>
        </w:rPr>
        <w:t>de las</w:t>
      </w:r>
      <w:r w:rsidRPr="005B541A">
        <w:rPr>
          <w:rFonts w:eastAsiaTheme="minorHAnsi"/>
          <w:lang w:eastAsia="en-US"/>
        </w:rPr>
        <w:t xml:space="preserve"> habilidades y </w:t>
      </w:r>
      <w:r w:rsidR="003F5E32" w:rsidRPr="005B541A">
        <w:rPr>
          <w:rFonts w:eastAsiaTheme="minorHAnsi"/>
          <w:lang w:eastAsia="en-US"/>
        </w:rPr>
        <w:t xml:space="preserve">las </w:t>
      </w:r>
      <w:r w:rsidRPr="005B541A">
        <w:rPr>
          <w:rFonts w:eastAsiaTheme="minorHAnsi"/>
          <w:lang w:eastAsia="en-US"/>
        </w:rPr>
        <w:t xml:space="preserve">capacidades humanas (Kafetzopoulos, 2020). Actualmente, la mayoría de las aplicaciones de este factor se enfocan en los principios de la industria 4.0, como son el internet de las cosas (IoT, por sus siglas en inglés, Internet of Things), </w:t>
      </w:r>
      <w:r w:rsidRPr="005B541A">
        <w:rPr>
          <w:rFonts w:eastAsiaTheme="minorHAnsi"/>
          <w:i/>
          <w:iCs/>
          <w:lang w:eastAsia="en-US"/>
        </w:rPr>
        <w:t>Big Data</w:t>
      </w:r>
      <w:r w:rsidRPr="005B541A">
        <w:rPr>
          <w:rFonts w:eastAsiaTheme="minorHAnsi"/>
          <w:lang w:eastAsia="en-US"/>
        </w:rPr>
        <w:t xml:space="preserve">, </w:t>
      </w:r>
      <w:r w:rsidRPr="005B541A">
        <w:rPr>
          <w:rFonts w:eastAsiaTheme="minorHAnsi"/>
          <w:i/>
          <w:iCs/>
          <w:lang w:eastAsia="en-US"/>
        </w:rPr>
        <w:t>Machine y Deep Learning</w:t>
      </w:r>
      <w:r w:rsidRPr="005B541A">
        <w:rPr>
          <w:rFonts w:eastAsiaTheme="minorHAnsi"/>
          <w:lang w:eastAsia="en-US"/>
        </w:rPr>
        <w:t xml:space="preserve">. Dichas tecnologías suponen una gran oportunidad dentro de la cadena de suministro, puesto que </w:t>
      </w:r>
      <w:r w:rsidRPr="005B541A">
        <w:rPr>
          <w:rFonts w:eastAsiaTheme="minorHAnsi"/>
          <w:lang w:eastAsia="en-US"/>
        </w:rPr>
        <w:lastRenderedPageBreak/>
        <w:t>permiten la automatización de proceso</w:t>
      </w:r>
      <w:r w:rsidR="00772F62" w:rsidRPr="005B541A">
        <w:rPr>
          <w:rFonts w:eastAsiaTheme="minorHAnsi"/>
          <w:lang w:eastAsia="en-US"/>
        </w:rPr>
        <w:t>s</w:t>
      </w:r>
      <w:r w:rsidRPr="005B541A">
        <w:rPr>
          <w:rFonts w:eastAsiaTheme="minorHAnsi"/>
          <w:lang w:eastAsia="en-US"/>
        </w:rPr>
        <w:t xml:space="preserve"> </w:t>
      </w:r>
      <w:r w:rsidR="00772F62" w:rsidRPr="005B541A">
        <w:rPr>
          <w:rFonts w:eastAsiaTheme="minorHAnsi"/>
          <w:lang w:eastAsia="en-US"/>
        </w:rPr>
        <w:t xml:space="preserve">y de operaciones. </w:t>
      </w:r>
      <w:r w:rsidRPr="005B541A">
        <w:rPr>
          <w:rFonts w:eastAsiaTheme="minorHAnsi"/>
          <w:lang w:eastAsia="en-US"/>
        </w:rPr>
        <w:t xml:space="preserve">Además, la industria 4.0 facilita la integración y conectividad a lo largo de la cadena de suministro, desde los proveedores de materias primas hasta el consumidor final; facilitando el control de </w:t>
      </w:r>
      <w:r w:rsidR="00772F62" w:rsidRPr="005B541A">
        <w:rPr>
          <w:rFonts w:eastAsiaTheme="minorHAnsi"/>
          <w:lang w:eastAsia="en-US"/>
        </w:rPr>
        <w:t>la CS</w:t>
      </w:r>
      <w:r w:rsidRPr="005B541A">
        <w:rPr>
          <w:rFonts w:eastAsiaTheme="minorHAnsi"/>
          <w:lang w:eastAsia="en-US"/>
        </w:rPr>
        <w:t xml:space="preserve"> y el análisis de los factores y oportunidades para la innovación </w:t>
      </w:r>
      <w:r w:rsidRPr="005B541A">
        <w:rPr>
          <w:rFonts w:eastAsiaTheme="minorHAnsi"/>
          <w:lang w:eastAsia="en-US"/>
        </w:rPr>
        <w:fldChar w:fldCharType="begin"/>
      </w:r>
      <w:r w:rsidRPr="005B541A">
        <w:rPr>
          <w:rFonts w:eastAsiaTheme="minorHAnsi"/>
          <w:lang w:eastAsia="en-US"/>
        </w:rPr>
        <w:instrText xml:space="preserve"> ADDIN EN.CITE &lt;EndNote&gt;&lt;Cite&gt;&lt;Author&gt;Fatorachian&lt;/Author&gt;&lt;Year&gt;2020&lt;/Year&gt;&lt;RecNum&gt;70&lt;/RecNum&gt;&lt;DisplayText&gt;(Fatorachian &amp;amp; Kazemi, 2020)&lt;/DisplayText&gt;&lt;record&gt;&lt;rec-number&gt;70&lt;/rec-number&gt;&lt;foreign-keys&gt;&lt;key app="EN" db-id="evwftvtxbvrxvuetssq59z9cd0pvpwrz5pef" timestamp="1691475150"&gt;70&lt;/key&gt;&lt;/foreign-keys&gt;&lt;ref-type name="Journal Article"&gt;17&lt;/ref-type&gt;&lt;contributors&gt;&lt;authors&gt;&lt;author&gt;Fatorachian, Hajar.&lt;/author&gt;&lt;author&gt;Kazemi, Hadi.&lt;/author&gt;&lt;/authors&gt;&lt;/contributors&gt;&lt;auth-address&gt;h.fatorachian@leedsbeckett.ac.uk&lt;/auth-address&gt;&lt;titles&gt;&lt;title&gt;Impact of Industry 4.0 on supply chain performance&lt;/title&gt;&lt;secondary-title&gt;Production Planning and Control.&lt;/secondary-title&gt;&lt;/titles&gt;&lt;periodical&gt;&lt;full-title&gt;Production Planning and Control.&lt;/full-title&gt;&lt;/periodical&gt;&lt;volume&gt;32&lt;/volume&gt;&lt;number&gt;1&lt;/number&gt;&lt;keywords&gt;&lt;keyword&gt;Industry 4.0, Internet of Things (IoT), Cyber-Physical Systems (CPSs), Big Data Analytics (BDA), supply chain processes, performance improvement.&lt;/keyword&gt;&lt;/keywords&gt;&lt;dates&gt;&lt;year&gt;2020&lt;/year&gt;&lt;/dates&gt;&lt;isbn&gt;0953-7287 &lt;/isbn&gt;&lt;urls&gt;&lt;related-urls&gt;&lt;url&gt;https://eprints.leedsbeckett.ac.uk/id/eprint/6550/1/ImpactOfIndustry4.0OnSupplyChainPerformanceAM-FATORACHIAN.pdf&lt;/url&gt;&lt;/related-urls&gt;&lt;/urls&gt;&lt;electronic-resource-num&gt; https://doi.org/10.1080/09537287.2020.1712487&lt;/electronic-resource-num&gt;&lt;/record&gt;&lt;/Cite&gt;&lt;/EndNote&gt;</w:instrText>
      </w:r>
      <w:r w:rsidRPr="005B541A">
        <w:rPr>
          <w:rFonts w:eastAsiaTheme="minorHAnsi"/>
          <w:lang w:eastAsia="en-US"/>
        </w:rPr>
        <w:fldChar w:fldCharType="separate"/>
      </w:r>
      <w:r w:rsidRPr="005B541A">
        <w:rPr>
          <w:rFonts w:eastAsiaTheme="minorHAnsi"/>
          <w:lang w:eastAsia="en-US"/>
        </w:rPr>
        <w:t>(</w:t>
      </w:r>
      <w:hyperlink w:anchor="_ENREF_29" w:tooltip="Fatorachian, 2020 #70" w:history="1">
        <w:r w:rsidR="0014284F" w:rsidRPr="005B541A">
          <w:t>Fatorachian &amp; Kazemi, 2020</w:t>
        </w:r>
      </w:hyperlink>
      <w:r w:rsidRPr="005B541A">
        <w:rPr>
          <w:rFonts w:eastAsiaTheme="minorHAnsi"/>
          <w:lang w:eastAsia="en-US"/>
        </w:rPr>
        <w:t>)</w:t>
      </w:r>
      <w:r w:rsidRPr="005B541A">
        <w:rPr>
          <w:rFonts w:eastAsiaTheme="minorHAnsi"/>
          <w:lang w:eastAsia="en-US"/>
        </w:rPr>
        <w:fldChar w:fldCharType="end"/>
      </w:r>
      <w:r w:rsidRPr="005B541A">
        <w:rPr>
          <w:rFonts w:eastAsiaTheme="minorHAnsi"/>
          <w:lang w:eastAsia="en-US"/>
        </w:rPr>
        <w:t xml:space="preserve">. </w:t>
      </w:r>
    </w:p>
    <w:p w14:paraId="1EB8162B" w14:textId="4B5A5D67" w:rsidR="0014284F" w:rsidRPr="005B541A" w:rsidRDefault="001A2224" w:rsidP="00F93273">
      <w:pPr>
        <w:spacing w:line="360" w:lineRule="auto"/>
        <w:ind w:firstLine="709"/>
        <w:jc w:val="both"/>
        <w:rPr>
          <w:rFonts w:eastAsiaTheme="minorHAnsi"/>
          <w:b/>
          <w:bCs/>
          <w:lang w:eastAsia="en-US"/>
        </w:rPr>
      </w:pPr>
      <w:r w:rsidRPr="005B541A">
        <w:rPr>
          <w:rFonts w:eastAsiaTheme="minorHAnsi"/>
          <w:lang w:eastAsia="en-US"/>
        </w:rPr>
        <w:t xml:space="preserve">En la aplicación de la industria 4.0 en el análisis de la cadena de suministro </w:t>
      </w:r>
      <w:r w:rsidRPr="005B541A">
        <w:rPr>
          <w:rFonts w:eastAsiaTheme="minorHAnsi"/>
          <w:lang w:eastAsia="en-US"/>
        </w:rPr>
        <w:fldChar w:fldCharType="begin"/>
      </w:r>
      <w:r w:rsidRPr="005B541A">
        <w:rPr>
          <w:rFonts w:eastAsiaTheme="minorHAnsi"/>
          <w:lang w:eastAsia="en-US"/>
        </w:rPr>
        <w:instrText xml:space="preserve"> ADDIN EN.CITE &lt;EndNote&gt;&lt;Cite&gt;&lt;Author&gt;Stylos&lt;/Author&gt;&lt;Year&gt;2020&lt;/Year&gt;&lt;RecNum&gt;72&lt;/RecNum&gt;&lt;DisplayText&gt;(Stylos et al., 2020)&lt;/DisplayText&gt;&lt;record&gt;&lt;rec-number&gt;72&lt;/rec-number&gt;&lt;foreign-keys&gt;&lt;key app="EN" db-id="evwftvtxbvrxvuetssq59z9cd0pvpwrz5pef" timestamp="1691475150"&gt;72&lt;/key&gt;&lt;/foreign-keys&gt;&lt;ref-type name="Conference Proceedings"&gt;10&lt;/ref-type&gt;&lt;contributors&gt;&lt;authors&gt;&lt;author&gt;Stylos, Nikolaos.&lt;/author&gt;&lt;author&gt;Beltagui, Ahmad.&lt;/author&gt;&lt;author&gt;Sesis, Achilleas.&lt;/author&gt;&lt;/authors&gt;&lt;/contributors&gt;&lt;titles&gt;&lt;title&gt;Makerspaces as a route to democratising Innovation: The case of 3D Printing.&lt;/title&gt;&lt;secondary-title&gt;AIRSI2020&lt;/secondary-title&gt;&lt;/titles&gt;&lt;pages&gt;31-33&lt;/pages&gt;&lt;keywords&gt;&lt;keyword&gt;Makerspace, Crowdsourcing, 3D printing, Value creation, Democratisation, Innovation&lt;/keyword&gt;&lt;/keywords&gt;&lt;dates&gt;&lt;year&gt;2020&lt;/year&gt;&lt;pub-dates&gt;&lt;date&gt;Septiembre 3-4 &lt;/date&gt;&lt;/pub-dates&gt;&lt;/dates&gt;&lt;pub-location&gt;Zaragoza University, España&lt;/pub-location&gt;&lt;urls&gt;&lt;related-urls&gt;&lt;url&gt;https://d1wqtxts1xzle7.cloudfront.net/68374160/AIRSI2020_Proceedings_book-with-cover-page-v2.pdf?Expires=1641494940&amp;amp;Signature=BKRG01guJP1Vng1wZZwdNd4jk~kFRtYTHoWvnIDVRuo1cVK1582~jpdE3MxlwZwX-IllCNVPpyG3yIl4EJPMn7HN5y2KLlMkSYh8Tlw-EKe~ONd~xqg1VR~1RS5uEGUIfbF9FhR2wDYqjehxvy2Uyx6wXa~SyJBm3LxULEdu2ukwN4l8KdHXThfDmtmky9qwJNEu7f9ui8zxDR8euCzcWaAL5CsBD6bkT0lkvszCJYMpUqAE2loX5nA21Q4dOwQQ3kCLO-CzSqHV2buLkak9VqxRbax3rNMnzh2XmV58-GyQS2xfY9QDxl~K17S-5pdaLncl2A0mC4wwaQK1vjXgNg__&amp;amp;Key-Pair-Id=APKAJLOHF5GGSLRBV4ZA#page=41&lt;/url&gt;&lt;/related-urls&gt;&lt;/urls&gt;&lt;/record&gt;&lt;/Cite&gt;&lt;/EndNote&gt;</w:instrText>
      </w:r>
      <w:r w:rsidRPr="005B541A">
        <w:rPr>
          <w:rFonts w:eastAsiaTheme="minorHAnsi"/>
          <w:lang w:eastAsia="en-US"/>
        </w:rPr>
        <w:fldChar w:fldCharType="separate"/>
      </w:r>
      <w:hyperlink w:anchor="_ENREF_87" w:tooltip="Stylos, 2020 #72" w:history="1">
        <w:r w:rsidR="0014284F" w:rsidRPr="005B541A">
          <w:t>Stylos et al. (2020</w:t>
        </w:r>
      </w:hyperlink>
      <w:r w:rsidRPr="005B541A">
        <w:rPr>
          <w:rFonts w:eastAsiaTheme="minorHAnsi"/>
          <w:lang w:eastAsia="en-US"/>
        </w:rPr>
        <w:t>)</w:t>
      </w:r>
      <w:r w:rsidRPr="005B541A">
        <w:rPr>
          <w:rFonts w:eastAsiaTheme="minorHAnsi"/>
          <w:lang w:eastAsia="en-US"/>
        </w:rPr>
        <w:fldChar w:fldCharType="end"/>
      </w:r>
      <w:r w:rsidRPr="005B541A">
        <w:rPr>
          <w:rFonts w:eastAsiaTheme="minorHAnsi"/>
          <w:lang w:eastAsia="en-US"/>
        </w:rPr>
        <w:t xml:space="preserve">; Priore et al. (2019) y </w:t>
      </w:r>
      <w:hyperlink w:anchor="_ENREF_83" w:tooltip="Shamout, 2019 #71" w:history="1">
        <w:r w:rsidR="0014284F" w:rsidRPr="005B541A">
          <w:t>Shamout (2019</w:t>
        </w:r>
      </w:hyperlink>
      <w:r w:rsidRPr="005B541A">
        <w:t>)</w:t>
      </w:r>
      <w:r w:rsidRPr="005B541A">
        <w:rPr>
          <w:rFonts w:eastAsiaTheme="minorHAnsi"/>
          <w:lang w:eastAsia="en-US"/>
        </w:rPr>
        <w:t xml:space="preserve">, respectivamente, determinaron que la impresión en 3d, el </w:t>
      </w:r>
      <w:r w:rsidRPr="005B541A">
        <w:rPr>
          <w:rFonts w:eastAsiaTheme="minorHAnsi"/>
          <w:i/>
          <w:iCs/>
          <w:lang w:eastAsia="en-US"/>
        </w:rPr>
        <w:t>machine learning</w:t>
      </w:r>
      <w:r w:rsidRPr="005B541A">
        <w:rPr>
          <w:rFonts w:eastAsiaTheme="minorHAnsi"/>
          <w:lang w:eastAsia="en-US"/>
        </w:rPr>
        <w:t xml:space="preserve"> y el </w:t>
      </w:r>
      <w:r w:rsidRPr="005B541A">
        <w:rPr>
          <w:rFonts w:eastAsiaTheme="minorHAnsi"/>
          <w:i/>
          <w:iCs/>
          <w:lang w:eastAsia="en-US"/>
        </w:rPr>
        <w:t>big data</w:t>
      </w:r>
      <w:r w:rsidRPr="005B541A">
        <w:rPr>
          <w:rFonts w:eastAsiaTheme="minorHAnsi"/>
          <w:lang w:eastAsia="en-US"/>
        </w:rPr>
        <w:t xml:space="preserve"> son </w:t>
      </w:r>
      <w:r w:rsidR="00772F62" w:rsidRPr="005B541A">
        <w:rPr>
          <w:rFonts w:eastAsiaTheme="minorHAnsi"/>
          <w:lang w:eastAsia="en-US"/>
        </w:rPr>
        <w:t>tecnologías adecuadas para</w:t>
      </w:r>
      <w:r w:rsidRPr="005B541A">
        <w:rPr>
          <w:rFonts w:eastAsiaTheme="minorHAnsi"/>
          <w:lang w:eastAsia="en-US"/>
        </w:rPr>
        <w:t xml:space="preserve"> mejorar el desempeño </w:t>
      </w:r>
      <w:r w:rsidR="00772F62" w:rsidRPr="005B541A">
        <w:rPr>
          <w:rFonts w:eastAsiaTheme="minorHAnsi"/>
          <w:lang w:eastAsia="en-US"/>
        </w:rPr>
        <w:t xml:space="preserve">e </w:t>
      </w:r>
      <w:r w:rsidRPr="005B541A">
        <w:rPr>
          <w:rFonts w:eastAsiaTheme="minorHAnsi"/>
          <w:lang w:eastAsia="en-US"/>
        </w:rPr>
        <w:t>incrementar la capacidad de innovación de la cadena de suministro.</w:t>
      </w:r>
    </w:p>
    <w:p w14:paraId="28C336E5" w14:textId="5C871943" w:rsidR="0014284F" w:rsidRPr="008C5240" w:rsidRDefault="001A2224" w:rsidP="00F93273">
      <w:pPr>
        <w:spacing w:line="360" w:lineRule="auto"/>
        <w:ind w:firstLine="709"/>
        <w:jc w:val="both"/>
        <w:rPr>
          <w:rFonts w:eastAsiaTheme="minorHAnsi"/>
          <w:lang w:eastAsia="en-US"/>
        </w:rPr>
      </w:pPr>
      <w:r w:rsidRPr="005B541A">
        <w:rPr>
          <w:rFonts w:eastAsiaTheme="minorHAnsi"/>
          <w:lang w:eastAsia="en-US"/>
        </w:rPr>
        <w:t xml:space="preserve">La </w:t>
      </w:r>
      <w:r w:rsidR="00772F62" w:rsidRPr="005B541A">
        <w:rPr>
          <w:rFonts w:eastAsiaTheme="minorHAnsi"/>
          <w:lang w:eastAsia="en-US"/>
        </w:rPr>
        <w:t>O</w:t>
      </w:r>
      <w:r w:rsidR="00403592">
        <w:rPr>
          <w:rFonts w:eastAsiaTheme="minorHAnsi"/>
          <w:lang w:eastAsia="en-US"/>
        </w:rPr>
        <w:t>H</w:t>
      </w:r>
      <w:r w:rsidR="00880E84">
        <w:rPr>
          <w:rFonts w:eastAsiaTheme="minorHAnsi"/>
          <w:lang w:eastAsia="en-US"/>
        </w:rPr>
        <w:t>C</w:t>
      </w:r>
      <w:r w:rsidRPr="005B541A">
        <w:rPr>
          <w:rFonts w:eastAsiaTheme="minorHAnsi"/>
          <w:lang w:eastAsia="en-US"/>
        </w:rPr>
        <w:t xml:space="preserve"> es la percepción del cliente sobre la calidad de un producto o servicio, </w:t>
      </w:r>
      <w:r w:rsidRPr="005B541A">
        <w:rPr>
          <w:rFonts w:eastAsiaTheme="minorHAnsi"/>
          <w:lang w:eastAsia="en-US"/>
        </w:rPr>
        <w:fldChar w:fldCharType="begin"/>
      </w:r>
      <w:r w:rsidRPr="005B541A">
        <w:rPr>
          <w:rFonts w:eastAsiaTheme="minorHAnsi"/>
          <w:lang w:eastAsia="en-US"/>
        </w:rPr>
        <w:instrText xml:space="preserve"> ADDIN EN.CITE &lt;EndNote&gt;&lt;Cite&gt;&lt;Author&gt;Hamsioglu&lt;/Author&gt;&lt;Year&gt;2011&lt;/Year&gt;&lt;RecNum&gt;73&lt;/RecNum&gt;&lt;DisplayText&gt;(Hamsioglu, 2011)&lt;/DisplayText&gt;&lt;record&gt;&lt;rec-number&gt;73&lt;/rec-number&gt;&lt;foreign-keys&gt;&lt;key app="EN" db-id="evwftvtxbvrxvuetssq59z9cd0pvpwrz5pef" timestamp="1691475150"&gt;73&lt;/key&gt;&lt;/foreign-keys&gt;&lt;ref-type name="Journal Article"&gt;17&lt;/ref-type&gt;&lt;contributors&gt;&lt;authors&gt;&lt;author&gt;Hamsioglu,A.&lt;/author&gt;&lt;/authors&gt;&lt;/contributors&gt;&lt;titles&gt;&lt;title&gt;Market orientation, quality orientation and business performance relationship: A study in pharmaceutical industry&lt;/title&gt;&lt;secondary-title&gt;Ege Academic Review, &lt;/secondary-title&gt;&lt;/titles&gt;&lt;pages&gt;91-101&lt;/pages&gt;&lt;volume&gt;11&lt;/volume&gt;&lt;number&gt;1&lt;/number&gt;&lt;keywords&gt;&lt;keyword&gt;marketing orientation, quality orientation, business performance, structural equality modelling.&lt;/keyword&gt;&lt;/keywords&gt;&lt;dates&gt;&lt;year&gt;2011&lt;/year&gt;&lt;/dates&gt;&lt;urls&gt;&lt;related-urls&gt;&lt;url&gt;https://eds-s-ebscohost-com.pbidi.unam.mx:2443/eds/pdfviewer/pdfviewer?vid=1&amp;amp;sid=34dd0948-46cc-4735-a1c3-e7703815689e%40redis&lt;/url&gt;&lt;/related-urls&gt;&lt;/urls&gt;&lt;electronic-resource-num&gt; 101, 01.02.2011&lt;/electronic-resource-num&gt;&lt;/record&gt;&lt;/Cite&gt;&lt;/EndNote&gt;</w:instrText>
      </w:r>
      <w:r w:rsidRPr="005B541A">
        <w:rPr>
          <w:rFonts w:eastAsiaTheme="minorHAnsi"/>
          <w:lang w:eastAsia="en-US"/>
        </w:rPr>
        <w:fldChar w:fldCharType="separate"/>
      </w:r>
      <w:r w:rsidRPr="005B541A">
        <w:rPr>
          <w:rFonts w:eastAsiaTheme="minorHAnsi"/>
          <w:lang w:eastAsia="en-US"/>
        </w:rPr>
        <w:t>(</w:t>
      </w:r>
      <w:hyperlink w:anchor="_ENREF_37" w:tooltip="Hamsioglu, 2011 #73" w:history="1">
        <w:r w:rsidR="0014284F" w:rsidRPr="005B541A">
          <w:t>Hamsioglu, 2011</w:t>
        </w:r>
      </w:hyperlink>
      <w:r w:rsidRPr="005B541A">
        <w:rPr>
          <w:rFonts w:eastAsiaTheme="minorHAnsi"/>
          <w:lang w:eastAsia="en-US"/>
        </w:rPr>
        <w:t>)</w:t>
      </w:r>
      <w:r w:rsidRPr="005B541A">
        <w:rPr>
          <w:rFonts w:eastAsiaTheme="minorHAnsi"/>
          <w:lang w:eastAsia="en-US"/>
        </w:rPr>
        <w:fldChar w:fldCharType="end"/>
      </w:r>
      <w:r w:rsidRPr="005B541A">
        <w:rPr>
          <w:rFonts w:eastAsiaTheme="minorHAnsi"/>
          <w:lang w:eastAsia="en-US"/>
        </w:rPr>
        <w:t xml:space="preserve">. </w:t>
      </w:r>
      <w:r w:rsidR="00772F62" w:rsidRPr="005B541A">
        <w:rPr>
          <w:rFonts w:eastAsiaTheme="minorHAnsi"/>
          <w:lang w:eastAsia="en-US"/>
        </w:rPr>
        <w:t>Como con e</w:t>
      </w:r>
      <w:r w:rsidRPr="005B541A">
        <w:rPr>
          <w:rFonts w:eastAsiaTheme="minorHAnsi"/>
          <w:lang w:eastAsia="en-US"/>
        </w:rPr>
        <w:t xml:space="preserve">ste factor </w:t>
      </w:r>
      <w:r w:rsidR="00772F62" w:rsidRPr="005B541A">
        <w:rPr>
          <w:rFonts w:eastAsiaTheme="minorHAnsi"/>
          <w:lang w:eastAsia="en-US"/>
        </w:rPr>
        <w:t xml:space="preserve">es posible incrementar la ventaja competitiva, </w:t>
      </w:r>
      <w:r w:rsidRPr="005B541A">
        <w:rPr>
          <w:rFonts w:eastAsiaTheme="minorHAnsi"/>
          <w:lang w:eastAsia="en-US"/>
        </w:rPr>
        <w:t xml:space="preserve">está completamente inmerso en la relación con el cliente, además de mantener una relación estrecha con el dinamismo ambiental, ya que la calidad en la CS y la percepción de esta por parte de los clientes se vincula al escenario en el que se encuentra la CS. Priore et al. </w:t>
      </w:r>
      <w:r w:rsidRPr="005B541A">
        <w:rPr>
          <w:rFonts w:eastAsiaTheme="minorHAnsi"/>
          <w:lang w:eastAsia="en-US"/>
        </w:rPr>
        <w:fldChar w:fldCharType="begin"/>
      </w:r>
      <w:r w:rsidRPr="005B541A">
        <w:rPr>
          <w:rFonts w:eastAsiaTheme="minorHAnsi"/>
          <w:lang w:eastAsia="en-US"/>
        </w:rPr>
        <w:instrText xml:space="preserve"> ADDIN EN.CITE &lt;EndNote&gt;&lt;Cite ExcludeAuth="1"&gt;&lt;Author&gt;Priore&lt;/Author&gt;&lt;Year&gt;2019&lt;/Year&gt;&lt;RecNum&gt;74&lt;/RecNum&gt;&lt;DisplayText&gt;(2019)&lt;/DisplayText&gt;&lt;record&gt;&lt;rec-number&gt;74&lt;/rec-number&gt;&lt;foreign-keys&gt;&lt;key app="EN" db-id="evwftvtxbvrxvuetssq59z9cd0pvpwrz5pef" timestamp="1691475150"&gt;74&lt;/key&gt;&lt;/foreign-keys&gt;&lt;ref-type name="Journal Article"&gt;17&lt;/ref-type&gt;&lt;contributors&gt;&lt;authors&gt;&lt;author&gt;Priore, P.&lt;/author&gt;&lt;author&gt;Ponte, B.&lt;/author&gt;&lt;author&gt;Rosillo, R.&lt;/author&gt;&lt;author&gt;de la Fuente, D.&lt;/author&gt;&lt;/authors&gt;&lt;/contributors&gt;&lt;titles&gt;&lt;title&gt;Applying machine learning to the dynamic selection of replenishment policies in fast-changing supply chain environments&lt;/title&gt;&lt;secondary-title&gt;International Journal of Production Research&lt;/secondary-title&gt;&lt;/titles&gt;&lt;periodical&gt;&lt;full-title&gt;International Journal of Production Research&lt;/full-title&gt;&lt;/periodical&gt;&lt;pages&gt;3663-3677&lt;/pages&gt;&lt;volume&gt;57&lt;/volume&gt;&lt;number&gt;11&lt;/number&gt;&lt;dates&gt;&lt;year&gt;2019&lt;/year&gt;&lt;/dates&gt;&lt;urls&gt;&lt;related-urls&gt;&lt;url&gt;https://eds-s-ebscohost-com.pbidi.unam.mx:2443/eds/pdfviewer/pdfviewer?vid=1&amp;amp;sid=ea0fbcde-226d-4eed-8609-22897c8d5dbc%40redis&lt;/url&gt;&lt;/related-urls&gt;&lt;/urls&gt;&lt;/record&gt;&lt;/Cite&gt;&lt;/EndNote&gt;</w:instrText>
      </w:r>
      <w:r w:rsidRPr="005B541A">
        <w:rPr>
          <w:rFonts w:eastAsiaTheme="minorHAnsi"/>
          <w:lang w:eastAsia="en-US"/>
        </w:rPr>
        <w:fldChar w:fldCharType="separate"/>
      </w:r>
      <w:r w:rsidRPr="005B541A">
        <w:rPr>
          <w:rFonts w:eastAsiaTheme="minorHAnsi"/>
          <w:lang w:eastAsia="en-US"/>
        </w:rPr>
        <w:t>(</w:t>
      </w:r>
      <w:hyperlink w:anchor="_ENREF_74" w:tooltip="Priore, 2019 #74" w:history="1">
        <w:r w:rsidR="0014284F" w:rsidRPr="005B541A">
          <w:t>2019</w:t>
        </w:r>
      </w:hyperlink>
      <w:r w:rsidRPr="005B541A">
        <w:rPr>
          <w:rFonts w:eastAsiaTheme="minorHAnsi"/>
          <w:lang w:eastAsia="en-US"/>
        </w:rPr>
        <w:t>)</w:t>
      </w:r>
      <w:r w:rsidRPr="005B541A">
        <w:rPr>
          <w:rFonts w:eastAsiaTheme="minorHAnsi"/>
          <w:lang w:eastAsia="en-US"/>
        </w:rPr>
        <w:fldChar w:fldCharType="end"/>
      </w:r>
      <w:r w:rsidRPr="005B541A">
        <w:rPr>
          <w:rFonts w:eastAsiaTheme="minorHAnsi"/>
          <w:lang w:eastAsia="en-US"/>
        </w:rPr>
        <w:t xml:space="preserve"> aplicaron el factor de dinamismo ambiental para innovar dentro de la CS mediante </w:t>
      </w:r>
      <w:r w:rsidRPr="005B541A">
        <w:rPr>
          <w:rFonts w:eastAsiaTheme="minorHAnsi"/>
          <w:i/>
          <w:iCs/>
          <w:lang w:eastAsia="en-US"/>
        </w:rPr>
        <w:t>machine learning</w:t>
      </w:r>
      <w:r w:rsidRPr="005B541A">
        <w:rPr>
          <w:rFonts w:eastAsiaTheme="minorHAnsi"/>
          <w:lang w:eastAsia="en-US"/>
        </w:rPr>
        <w:t>. Prop</w:t>
      </w:r>
      <w:r w:rsidR="00772F62" w:rsidRPr="005B541A">
        <w:rPr>
          <w:rFonts w:eastAsiaTheme="minorHAnsi"/>
          <w:lang w:eastAsia="en-US"/>
        </w:rPr>
        <w:t>onen</w:t>
      </w:r>
      <w:r w:rsidRPr="005B541A">
        <w:rPr>
          <w:rFonts w:eastAsiaTheme="minorHAnsi"/>
          <w:lang w:eastAsia="en-US"/>
        </w:rPr>
        <w:t xml:space="preserve"> un marco de referencia dinámico para seleccionar las políticas de reabastecimiento en un ambiente de CS de cambios rápidos; encontraron que el algoritmo desarrollado mostró una precisión promedio del 88% para seleccionar la política correcta. Por otro lado, </w:t>
      </w:r>
      <w:hyperlink w:anchor="_ENREF_9" w:tooltip="Belhadi, 2021 #75" w:history="1">
        <w:r w:rsidR="0014284F" w:rsidRPr="005B541A">
          <w:rPr>
            <w:rFonts w:eastAsiaTheme="minorHAnsi"/>
            <w:lang w:eastAsia="en-US"/>
          </w:rPr>
          <w:fldChar w:fldCharType="begin"/>
        </w:r>
        <w:r w:rsidR="0014284F" w:rsidRPr="005B541A">
          <w:rPr>
            <w:rFonts w:eastAsiaTheme="minorHAnsi"/>
            <w:lang w:eastAsia="en-US"/>
          </w:rPr>
          <w:instrText xml:space="preserve"> ADDIN EN.CITE &lt;EndNote&gt;&lt;Cite AuthorYear="1"&gt;&lt;Author&gt;Belhadi&lt;/Author&gt;&lt;Year&gt;2021&lt;/Year&gt;&lt;RecNum&gt;75&lt;/RecNum&gt;&lt;DisplayText&gt;Belhadi et al. (2021)&lt;/DisplayText&gt;&lt;record&gt;&lt;rec-number&gt;75&lt;/rec-number&gt;&lt;foreign-keys&gt;&lt;key app="EN" db-id="evwftvtxbvrxvuetssq59z9cd0pvpwrz5pef" timestamp="1691475150"&gt;75&lt;/key&gt;&lt;/foreign-keys&gt;&lt;ref-type name="Journal Article"&gt;17&lt;/ref-type&gt;&lt;contributors&gt;&lt;authors&gt;&lt;author&gt;Belhadi, Amine.&lt;/author&gt;&lt;author&gt;Kamble, Sachin.&lt;/author&gt;&lt;author&gt;Jabbour, Charbel.&lt;/author&gt;&lt;author&gt;Gunasekaran, Angappa.&lt;/author&gt;&lt;author&gt;Ndubisi, Nelson.&lt;/author&gt;&lt;author&gt;Venkatesh, Mani.&lt;/author&gt;&lt;/authors&gt;&lt;/contributors&gt;&lt;titles&gt;&lt;title&gt;Manufacturing and service supply chain resilience to the COVID-19 outbreak: lessons learned from the automobile and airline industries&lt;/title&gt;&lt;secondary-title&gt;Technological Forecasting and Social Change&lt;/secondary-title&gt;&lt;/titles&gt;&lt;periodical&gt;&lt;full-title&gt;Technological Forecasting and Social Change&lt;/full-title&gt;&lt;/periodical&gt;&lt;volume&gt;163&lt;/volume&gt;&lt;number&gt;1&lt;/number&gt;&lt;edition&gt;February&lt;/edition&gt;&lt;dates&gt;&lt;year&gt;2021&lt;/year&gt;&lt;/dates&gt;&lt;urls&gt;&lt;/urls&gt;&lt;electronic-resource-num&gt;10.1016/j.techfore.2020.120447&lt;/electronic-resource-num&gt;&lt;/record&gt;&lt;/Cite&gt;&lt;/EndNote&gt;</w:instrText>
        </w:r>
        <w:r w:rsidR="0014284F" w:rsidRPr="005B541A">
          <w:rPr>
            <w:rFonts w:eastAsiaTheme="minorHAnsi"/>
            <w:lang w:eastAsia="en-US"/>
          </w:rPr>
          <w:fldChar w:fldCharType="separate"/>
        </w:r>
        <w:r w:rsidR="0014284F" w:rsidRPr="005B541A">
          <w:rPr>
            <w:rFonts w:eastAsiaTheme="minorHAnsi"/>
            <w:lang w:eastAsia="en-US"/>
          </w:rPr>
          <w:t>Belhadi et al. (2021)</w:t>
        </w:r>
        <w:r w:rsidR="0014284F" w:rsidRPr="005B541A">
          <w:rPr>
            <w:rFonts w:eastAsiaTheme="minorHAnsi"/>
            <w:lang w:eastAsia="en-US"/>
          </w:rPr>
          <w:fldChar w:fldCharType="end"/>
        </w:r>
      </w:hyperlink>
      <w:r w:rsidRPr="005B541A">
        <w:rPr>
          <w:rFonts w:eastAsiaTheme="minorHAnsi"/>
          <w:lang w:eastAsia="en-US"/>
        </w:rPr>
        <w:t xml:space="preserve"> determinaron empíricamente que la relación entre inteligencia artificial (AI) y la resiliencia es útil para aumentar el rendimiento de la CS, además de que la utilización de la inteligencia artificial y su capacidad para el procesamiento de datos tiene un efecto significativo en el rendimiento de la CS.</w:t>
      </w:r>
      <w:r w:rsidR="00BC5AC0" w:rsidRPr="005B541A">
        <w:rPr>
          <w:rFonts w:eastAsiaTheme="minorHAnsi"/>
          <w:lang w:eastAsia="en-US"/>
        </w:rPr>
        <w:t xml:space="preserve"> </w:t>
      </w:r>
      <w:r w:rsidRPr="005B541A">
        <w:rPr>
          <w:rFonts w:eastAsiaTheme="minorHAnsi"/>
          <w:lang w:eastAsia="en-US"/>
        </w:rPr>
        <w:t xml:space="preserve">La </w:t>
      </w:r>
      <w:r w:rsidR="00772F62" w:rsidRPr="005B541A">
        <w:rPr>
          <w:rFonts w:eastAsiaTheme="minorHAnsi"/>
          <w:lang w:eastAsia="en-US"/>
        </w:rPr>
        <w:t>G</w:t>
      </w:r>
      <w:r w:rsidRPr="005B541A">
        <w:rPr>
          <w:rFonts w:eastAsiaTheme="minorHAnsi"/>
          <w:lang w:eastAsia="en-US"/>
        </w:rPr>
        <w:t>estión de</w:t>
      </w:r>
      <w:r w:rsidR="00772F62" w:rsidRPr="005B541A">
        <w:rPr>
          <w:rFonts w:eastAsiaTheme="minorHAnsi"/>
          <w:lang w:eastAsia="en-US"/>
        </w:rPr>
        <w:t>l</w:t>
      </w:r>
      <w:r w:rsidRPr="005B541A">
        <w:rPr>
          <w:rFonts w:eastAsiaTheme="minorHAnsi"/>
          <w:lang w:eastAsia="en-US"/>
        </w:rPr>
        <w:t xml:space="preserve"> </w:t>
      </w:r>
      <w:r w:rsidR="00772F62" w:rsidRPr="005B541A">
        <w:rPr>
          <w:rFonts w:eastAsiaTheme="minorHAnsi"/>
          <w:lang w:eastAsia="en-US"/>
        </w:rPr>
        <w:t>P</w:t>
      </w:r>
      <w:r w:rsidRPr="005B541A">
        <w:rPr>
          <w:rFonts w:eastAsiaTheme="minorHAnsi"/>
          <w:lang w:eastAsia="en-US"/>
        </w:rPr>
        <w:t xml:space="preserve">roceso está íntimamente relacionada con la naturaleza propia de cualquier negocio o empresa, ya que son </w:t>
      </w:r>
      <w:r w:rsidR="00772F62" w:rsidRPr="005B541A">
        <w:rPr>
          <w:rFonts w:eastAsiaTheme="minorHAnsi"/>
          <w:lang w:eastAsia="en-US"/>
        </w:rPr>
        <w:t xml:space="preserve">el </w:t>
      </w:r>
      <w:r w:rsidRPr="005B541A">
        <w:rPr>
          <w:rFonts w:eastAsiaTheme="minorHAnsi"/>
          <w:lang w:eastAsia="en-US"/>
        </w:rPr>
        <w:t xml:space="preserve">conjunto de actividades relacionadas que traen consigo un producto o servicio que genera valor. Una organización eficaz y eficiente identifica sus procesos centrales, que realiza para entregar sus productos/servicios e impacto, considerando las expectativas de los clientes y </w:t>
      </w:r>
      <w:r w:rsidRPr="008C5240">
        <w:rPr>
          <w:rFonts w:eastAsiaTheme="minorHAnsi"/>
          <w:lang w:eastAsia="en-US"/>
        </w:rPr>
        <w:t>otras partes interesadas, en línea con su misión y estrategia.</w:t>
      </w:r>
    </w:p>
    <w:p w14:paraId="65D2C848" w14:textId="12C4FD2B" w:rsidR="0014284F" w:rsidRPr="005B541A" w:rsidRDefault="001A2224" w:rsidP="00F93273">
      <w:pPr>
        <w:spacing w:line="360" w:lineRule="auto"/>
        <w:ind w:firstLine="709"/>
        <w:jc w:val="both"/>
        <w:rPr>
          <w:rFonts w:eastAsiaTheme="minorHAnsi"/>
          <w:lang w:eastAsia="en-US"/>
        </w:rPr>
      </w:pPr>
      <w:r w:rsidRPr="005B541A">
        <w:rPr>
          <w:rFonts w:eastAsiaTheme="minorHAnsi"/>
          <w:lang w:eastAsia="en-US"/>
        </w:rPr>
        <w:t xml:space="preserve">La </w:t>
      </w:r>
      <w:r w:rsidR="00772F62" w:rsidRPr="005B541A">
        <w:rPr>
          <w:rFonts w:eastAsiaTheme="minorHAnsi"/>
          <w:lang w:eastAsia="en-US"/>
        </w:rPr>
        <w:t>C</w:t>
      </w:r>
      <w:r w:rsidRPr="005B541A">
        <w:rPr>
          <w:rFonts w:eastAsiaTheme="minorHAnsi"/>
          <w:lang w:eastAsia="en-US"/>
        </w:rPr>
        <w:t xml:space="preserve">olaboración </w:t>
      </w:r>
      <w:r w:rsidR="00772F62" w:rsidRPr="005B541A">
        <w:rPr>
          <w:rFonts w:eastAsiaTheme="minorHAnsi"/>
          <w:lang w:eastAsia="en-US"/>
        </w:rPr>
        <w:t>en</w:t>
      </w:r>
      <w:r w:rsidRPr="005B541A">
        <w:rPr>
          <w:rFonts w:eastAsiaTheme="minorHAnsi"/>
          <w:lang w:eastAsia="en-US"/>
        </w:rPr>
        <w:t xml:space="preserve"> la cadena de suministro es vital, incluye la participación de los diferentes actores en actividades de innovación que faciliten incrementar las relaciones entre las demás empresas (clientes, proveedores, institutos de investigación) para fortalecer o explotar nuevas oportunidades,</w:t>
      </w:r>
      <w:r w:rsidRPr="005B541A">
        <w:t xml:space="preserve"> </w:t>
      </w:r>
      <w:r w:rsidRPr="005B541A">
        <w:rPr>
          <w:rFonts w:eastAsiaTheme="minorHAnsi"/>
          <w:lang w:eastAsia="en-US"/>
        </w:rPr>
        <w:t>de acuerdo con Kafetzopoulos (2020).</w:t>
      </w:r>
      <w:r w:rsidRPr="005B541A">
        <w:t xml:space="preserve"> </w:t>
      </w:r>
      <w:r w:rsidRPr="005B541A">
        <w:rPr>
          <w:rFonts w:eastAsiaTheme="minorHAnsi"/>
          <w:lang w:eastAsia="en-US"/>
        </w:rPr>
        <w:t xml:space="preserve">Al crear nuevas redes y obtener acceso a conocimientos y tecnologías externas, las empresas pueden facilitar la decisión de compartir la innovación o mejorar su capacidad para ofrecer y beneficiarse de la innovación interna </w:t>
      </w:r>
      <w:r w:rsidRPr="005B541A">
        <w:rPr>
          <w:rFonts w:eastAsiaTheme="minorHAnsi"/>
          <w:lang w:eastAsia="en-US"/>
        </w:rPr>
        <w:fldChar w:fldCharType="begin"/>
      </w:r>
      <w:r w:rsidRPr="005B541A">
        <w:rPr>
          <w:rFonts w:eastAsiaTheme="minorHAnsi"/>
          <w:lang w:eastAsia="en-US"/>
        </w:rPr>
        <w:instrText xml:space="preserve"> ADDIN EN.CITE &lt;EndNote&gt;&lt;Cite&gt;&lt;Author&gt;Materia&lt;/Author&gt;&lt;Year&gt;2017&lt;/Year&gt;&lt;RecNum&gt;68&lt;/RecNum&gt;&lt;DisplayText&gt;(Materia et al., 2017)&lt;/DisplayText&gt;&lt;record&gt;&lt;rec-number&gt;68&lt;/rec-number&gt;&lt;foreign-keys&gt;&lt;key app="EN" db-id="evwftvtxbvrxvuetssq59z9cd0pvpwrz5pef" timestamp="1691475150"&gt;68&lt;/key&gt;&lt;/foreign-keys&gt;&lt;ref-type name="Journal Article"&gt;17&lt;/ref-type&gt;&lt;contributors&gt;&lt;authors&gt;&lt;author&gt;Materia, Valentina.&lt;/author&gt;&lt;author&gt;Pascucci, Stefano. &lt;/author&gt;&lt;author&gt;Dries, Liesbeth.&lt;/author&gt;&lt;/authors&gt;&lt;/contributors&gt;&lt;titles&gt;&lt;title&gt;Are inhouse and outsourcing innovation strategies correlated? Evidence from the European agrifood sector&lt;/title&gt;&lt;secondary-title&gt;Journal of Agricultural Economics&lt;/secondary-title&gt;&lt;/titles&gt;&lt;periodical&gt;&lt;full-title&gt;Journal of Agricultural Economics&lt;/full-title&gt;&lt;/periodical&gt;&lt;pages&gt;249-258&lt;/pages&gt;&lt;volume&gt;68&lt;/volume&gt;&lt;number&gt;1&lt;/number&gt;&lt;dates&gt;&lt;year&gt;2017&lt;/year&gt;&lt;/dates&gt;&lt;urls&gt;&lt;/urls&gt;&lt;electronic-resource-num&gt;DOI: 10.1111/1477-9552.12206&lt;/electronic-resource-num&gt;&lt;/record&gt;&lt;/Cite&gt;&lt;/EndNote&gt;</w:instrText>
      </w:r>
      <w:r w:rsidRPr="005B541A">
        <w:rPr>
          <w:rFonts w:eastAsiaTheme="minorHAnsi"/>
          <w:lang w:eastAsia="en-US"/>
        </w:rPr>
        <w:fldChar w:fldCharType="separate"/>
      </w:r>
      <w:r w:rsidRPr="005B541A">
        <w:rPr>
          <w:rFonts w:eastAsiaTheme="minorHAnsi"/>
          <w:lang w:eastAsia="en-US"/>
        </w:rPr>
        <w:t>(</w:t>
      </w:r>
      <w:hyperlink w:anchor="_ENREF_59" w:tooltip="Materia, 2017 #68" w:history="1">
        <w:r w:rsidR="0014284F" w:rsidRPr="005B541A">
          <w:rPr>
            <w:rFonts w:eastAsiaTheme="minorHAnsi"/>
            <w:lang w:eastAsia="en-US"/>
          </w:rPr>
          <w:t>Materia et al., 2017</w:t>
        </w:r>
      </w:hyperlink>
      <w:r w:rsidRPr="005B541A">
        <w:rPr>
          <w:rFonts w:eastAsiaTheme="minorHAnsi"/>
          <w:lang w:eastAsia="en-US"/>
        </w:rPr>
        <w:t>)</w:t>
      </w:r>
      <w:r w:rsidRPr="005B541A">
        <w:rPr>
          <w:rFonts w:eastAsiaTheme="minorHAnsi"/>
          <w:lang w:eastAsia="en-US"/>
        </w:rPr>
        <w:fldChar w:fldCharType="end"/>
      </w:r>
      <w:r w:rsidRPr="005B541A">
        <w:rPr>
          <w:rFonts w:eastAsiaTheme="minorHAnsi"/>
          <w:lang w:eastAsia="en-US"/>
        </w:rPr>
        <w:t>.</w:t>
      </w:r>
    </w:p>
    <w:p w14:paraId="7FD00FEA" w14:textId="2F9EFAC3" w:rsidR="0014284F" w:rsidRPr="00E3741D" w:rsidRDefault="0087370E" w:rsidP="005B541A">
      <w:pPr>
        <w:spacing w:line="360" w:lineRule="auto"/>
        <w:jc w:val="center"/>
        <w:rPr>
          <w:rFonts w:eastAsiaTheme="minorHAnsi"/>
          <w:b/>
          <w:bCs/>
          <w:sz w:val="28"/>
          <w:szCs w:val="28"/>
          <w:lang w:eastAsia="en-US"/>
        </w:rPr>
      </w:pPr>
      <w:r w:rsidRPr="00E3741D">
        <w:rPr>
          <w:rFonts w:eastAsiaTheme="minorHAnsi"/>
          <w:b/>
          <w:bCs/>
          <w:sz w:val="28"/>
          <w:szCs w:val="28"/>
          <w:lang w:eastAsia="en-US"/>
        </w:rPr>
        <w:lastRenderedPageBreak/>
        <w:t>Ítems</w:t>
      </w:r>
      <w:r w:rsidR="00772F62" w:rsidRPr="00E3741D">
        <w:rPr>
          <w:rFonts w:eastAsiaTheme="minorHAnsi"/>
          <w:b/>
          <w:bCs/>
          <w:sz w:val="28"/>
          <w:szCs w:val="28"/>
          <w:lang w:eastAsia="en-US"/>
        </w:rPr>
        <w:t xml:space="preserve"> de los factores</w:t>
      </w:r>
    </w:p>
    <w:p w14:paraId="6BFF8E79" w14:textId="75F28388" w:rsidR="0014284F" w:rsidRPr="005B541A" w:rsidRDefault="001A2224" w:rsidP="00F93273">
      <w:pPr>
        <w:spacing w:line="360" w:lineRule="auto"/>
        <w:ind w:firstLine="709"/>
        <w:jc w:val="both"/>
        <w:rPr>
          <w:rFonts w:eastAsiaTheme="minorHAnsi"/>
          <w:lang w:eastAsia="en-US"/>
        </w:rPr>
      </w:pPr>
      <w:r w:rsidRPr="005B541A">
        <w:rPr>
          <w:rFonts w:eastAsiaTheme="minorHAnsi"/>
          <w:lang w:eastAsia="en-US"/>
        </w:rPr>
        <w:t xml:space="preserve">Esta sección presenta los resultados de la revisión de la literatura que se realiza para identificar los </w:t>
      </w:r>
      <w:r w:rsidRPr="005B541A">
        <w:t xml:space="preserve">factores </w:t>
      </w:r>
      <w:r w:rsidR="009D7D3A" w:rsidRPr="005B541A">
        <w:t>d</w:t>
      </w:r>
      <w:r w:rsidRPr="005B541A">
        <w:t>el desempeño de la cadena de suministro y sus respectivos ítems, mismos que son analizados, seleccionados y adaptados para construir el instrumento de medición propuesto en este trabajo de investigación.</w:t>
      </w:r>
    </w:p>
    <w:p w14:paraId="7C07E45D" w14:textId="0127A52F" w:rsidR="0014284F" w:rsidRPr="005B541A" w:rsidRDefault="001A2224" w:rsidP="00F93273">
      <w:pPr>
        <w:spacing w:line="360" w:lineRule="auto"/>
        <w:ind w:firstLine="709"/>
        <w:jc w:val="both"/>
      </w:pPr>
      <w:r w:rsidRPr="005B541A">
        <w:t xml:space="preserve">Entre los factores </w:t>
      </w:r>
      <w:r w:rsidR="00772F62" w:rsidRPr="005B541A">
        <w:t>d</w:t>
      </w:r>
      <w:r w:rsidRPr="005B541A">
        <w:t>el desempeño de la cadena de suministro se encuentran la dinámica de colaboración entre sus elementos, tecnología e innovación Esser et al. (1996); Malaver y Vargas (2006). El dinamismo del cambio tecnológico, información</w:t>
      </w:r>
      <w:r w:rsidRPr="005B541A">
        <w:rPr>
          <w:i/>
          <w:iCs/>
        </w:rPr>
        <w:t>, nearshoring</w:t>
      </w:r>
      <w:r w:rsidRPr="005B541A">
        <w:t xml:space="preserve">, integraciones hacia delante y atrás, la apertura de fronteras, además de otras áreas que impactan en el desarrollo de un enfoque sistemático para la integración de la CS (Flynn et al.,  </w:t>
      </w:r>
      <w:r w:rsidRPr="005B541A">
        <w:fldChar w:fldCharType="begin"/>
      </w:r>
      <w:r w:rsidRPr="005B541A">
        <w:instrText xml:space="preserve"> ADDIN EN.CITE &lt;EndNote&gt;&lt;Cite ExcludeAuth="1"&gt;&lt;Author&gt;Flynn&lt;/Author&gt;&lt;Year&gt;2010&lt;/Year&gt;&lt;RecNum&gt;3&lt;/RecNum&gt;&lt;IDText&gt;The impact of supply chain integration on performance: A contingency and configuration approach&lt;/IDText&gt;&lt;DisplayText&gt;(2010)&lt;/DisplayText&gt;&lt;record&gt;&lt;rec-number&gt;3&lt;/rec-number&gt;&lt;foreign-keys&gt;&lt;key app="EN" db-id="evwftvtxbvrxvuetssq59z9cd0pvpwrz5pef" timestamp="1691475150"&gt;3&lt;/key&gt;&lt;/foreign-keys&gt;&lt;ref-type name="Journal Article"&gt;17&lt;/ref-type&gt;&lt;contributors&gt;&lt;authors&gt;&lt;author&gt;Flynn, B.&lt;/author&gt;&lt;author&gt;Huo.&lt;/author&gt;&lt;author&gt;Zhao, X.&lt;/author&gt;&lt;/authors&gt;&lt;/contributors&gt;&lt;titles&gt;&lt;title&gt;The impact of supply chain integration on performance: A contingency and configuration approach&lt;/title&gt;&lt;secondary-title&gt;Journal of Operation Managements&lt;/secondary-title&gt;&lt;/titles&gt;&lt;periodical&gt;&lt;full-title&gt;Journal of Operation Managements&lt;/full-title&gt;&lt;/periodical&gt;&lt;pages&gt;58-71&lt;/pages&gt;&lt;volume&gt;28&lt;/volume&gt;&lt;dates&gt;&lt;year&gt;2010&lt;/year&gt;&lt;/dates&gt;&lt;isbn&gt;0272-6963&lt;/isbn&gt;&lt;urls&gt;&lt;/urls&gt;&lt;/record&gt;&lt;/Cite&gt;&lt;/EndNote&gt;</w:instrText>
      </w:r>
      <w:r w:rsidRPr="005B541A">
        <w:fldChar w:fldCharType="separate"/>
      </w:r>
      <w:hyperlink w:anchor="_ENREF_32" w:tooltip="Flynn, 2010 #3" w:history="1">
        <w:r w:rsidR="0014284F" w:rsidRPr="005B541A">
          <w:t>2010</w:t>
        </w:r>
      </w:hyperlink>
      <w:r w:rsidRPr="005B541A">
        <w:t>)</w:t>
      </w:r>
      <w:r w:rsidRPr="005B541A">
        <w:fldChar w:fldCharType="end"/>
      </w:r>
      <w:r w:rsidR="00452F1B">
        <w:t>,</w:t>
      </w:r>
      <w:r w:rsidRPr="005B541A">
        <w:t xml:space="preserve"> el uso de la tecnología como los dispositivos electrónicos manuales (</w:t>
      </w:r>
      <w:r w:rsidRPr="005B541A">
        <w:rPr>
          <w:i/>
          <w:iCs/>
        </w:rPr>
        <w:t>hand helds)</w:t>
      </w:r>
      <w:r w:rsidRPr="005B541A">
        <w:t>, reconocimiento de voz, códigos de barras, Identificación por Radio Frecuencia, e impresión móvil, que incrementan los rendimientos.</w:t>
      </w:r>
    </w:p>
    <w:p w14:paraId="2B10DE78" w14:textId="1B77345B" w:rsidR="00C74762" w:rsidRDefault="00C74762" w:rsidP="00F93273">
      <w:pPr>
        <w:spacing w:line="360" w:lineRule="auto"/>
        <w:ind w:firstLine="709"/>
        <w:jc w:val="both"/>
      </w:pPr>
      <w:r w:rsidRPr="00C74762">
        <w:t>Cabe añadir que establecer objetivos y las estrategias correspondientes para alcanzarlos implica gestionar los procesos de innovación, lo cual requiere identificar las variables o factores críticos de éxito (que influyen significativamente en la innovación en la cadena de suministro). La información generada por esta identificación es una herramienta útil para los responsables de la toma de decisiones en este tipo de empresas, ya que les permite asignar recursos de forma óptima en la gestión de dichos factores críticos de éxito.</w:t>
      </w:r>
    </w:p>
    <w:p w14:paraId="6B2C4121" w14:textId="0C578D2E" w:rsidR="00C74762" w:rsidRDefault="00C74762" w:rsidP="00F93273">
      <w:pPr>
        <w:spacing w:line="360" w:lineRule="auto"/>
        <w:ind w:firstLine="709"/>
        <w:jc w:val="both"/>
      </w:pPr>
      <w:bookmarkStart w:id="3" w:name="_Toc71744687"/>
      <w:r w:rsidRPr="00C74762">
        <w:t xml:space="preserve">La logística y la gestión de la cadena de suministro </w:t>
      </w:r>
      <w:r>
        <w:t xml:space="preserve">innovadora </w:t>
      </w:r>
      <w:r w:rsidRPr="00C74762">
        <w:t>son tendencias prioritarias que permiten a las empresas alcanzar ventajas competitivas sostenibles. Para desarrollar el Proceso de Innovación de la Cadena de Suministro (PICS), las empresas deben identificar sus oportunidades de innovación y, basándose en ellas, formular una estrategia para lograr el éxito en la gestión del PICS. El aumento del comercio internacional y la complejidad de las operaciones logísticas han hecho que la competitividad entre las organizaciones ya no se mida únicamente por las marcas o los puntos de venta, sino por cadenas de suministro bien gestionadas (Cooper et al., 1997), preservando así la ventaja competitiva (Baryannis et al., 2019). Por lo tanto, es importante tomar decisiones acertadas que generen éxito en la gestión y administración de la cadena de suministro, lo que requiere identificar los factores FCE que determinan la competitividad de la cadena de suministro (Bughin et al., 2010).</w:t>
      </w:r>
    </w:p>
    <w:p w14:paraId="1CFC671B" w14:textId="77777777" w:rsidR="000351D8" w:rsidRDefault="000351D8" w:rsidP="00235303">
      <w:pPr>
        <w:spacing w:line="360" w:lineRule="auto"/>
        <w:jc w:val="both"/>
      </w:pPr>
    </w:p>
    <w:bookmarkEnd w:id="3"/>
    <w:p w14:paraId="39800550" w14:textId="0E34CE2B" w:rsidR="0014284F" w:rsidRDefault="001A2224" w:rsidP="00F93273">
      <w:pPr>
        <w:spacing w:line="360" w:lineRule="auto"/>
        <w:ind w:firstLine="709"/>
        <w:jc w:val="both"/>
        <w:rPr>
          <w:iCs/>
          <w:color w:val="000000"/>
          <w:shd w:val="clear" w:color="auto" w:fill="FFFFFF"/>
        </w:rPr>
      </w:pPr>
      <w:r w:rsidRPr="005B541A">
        <w:rPr>
          <w:iCs/>
          <w:color w:val="000000"/>
          <w:shd w:val="clear" w:color="auto" w:fill="FFFFFF"/>
        </w:rPr>
        <w:lastRenderedPageBreak/>
        <w:t xml:space="preserve">En la Tabla 1 se presentan </w:t>
      </w:r>
      <w:r w:rsidR="003C06E2" w:rsidRPr="005B541A">
        <w:rPr>
          <w:iCs/>
          <w:color w:val="000000"/>
          <w:shd w:val="clear" w:color="auto" w:fill="FFFFFF"/>
        </w:rPr>
        <w:t>otros</w:t>
      </w:r>
      <w:r w:rsidRPr="005B541A">
        <w:rPr>
          <w:iCs/>
          <w:color w:val="000000"/>
          <w:shd w:val="clear" w:color="auto" w:fill="FFFFFF"/>
        </w:rPr>
        <w:t xml:space="preserve"> factores que influyen o determinan la competitividad de la cadena de suministro (Aranvidh y Ganesan, </w:t>
      </w:r>
      <w:r w:rsidRPr="005B541A">
        <w:rPr>
          <w:iCs/>
          <w:color w:val="000000"/>
          <w:shd w:val="clear" w:color="auto" w:fill="FFFFFF"/>
        </w:rPr>
        <w:fldChar w:fldCharType="begin"/>
      </w:r>
      <w:r w:rsidRPr="005B541A">
        <w:rPr>
          <w:iCs/>
          <w:color w:val="000000"/>
          <w:shd w:val="clear" w:color="auto" w:fill="FFFFFF"/>
        </w:rPr>
        <w:instrText xml:space="preserve"> ADDIN EN.CITE &lt;EndNote&gt;&lt;Cite ExcludeAuth="1"&gt;&lt;Author&gt;Kumaran&lt;/Author&gt;&lt;Year&gt;2011&lt;/Year&gt;&lt;RecNum&gt;29&lt;/RecNum&gt;&lt;DisplayText&gt;(2011)&lt;/DisplayText&gt;&lt;record&gt;&lt;rec-number&gt;29&lt;/rec-number&gt;&lt;foreign-keys&gt;&lt;key app="EN" db-id="evwftvtxbvrxvuetssq59z9cd0pvpwrz5pef" timestamp="1691475150"&gt;29&lt;/key&gt;&lt;/foreign-keys&gt;&lt;ref-type name="Journal Article"&gt;17&lt;/ref-type&gt;&lt;contributors&gt;&lt;authors&gt;&lt;author&gt;Kumaran, L.&lt;/author&gt;&lt;author&gt;Ganesan, R. &lt;/author&gt;&lt;/authors&gt;&lt;/contributors&gt;&lt;titles&gt;&lt;title&gt;Influence of E-Business in SME’s Supply Chain Management: A Status Review&lt;/title&gt;&lt;secondary-title&gt;European Journal of Social Sciences&lt;/secondary-title&gt;&lt;/titles&gt;&lt;periodical&gt;&lt;full-title&gt;European Journal of Social Sciences&lt;/full-title&gt;&lt;/periodical&gt;&lt;pages&gt;493-501&lt;/pages&gt;&lt;volume&gt;23 (3)&lt;/volume&gt;&lt;dates&gt;&lt;year&gt;2011&lt;/year&gt;&lt;/dates&gt;&lt;urls&gt;&lt;related-urls&gt;&lt;url&gt;https://www.researchgate.net/publication/288405501_Influence_of_e-business_in_SME%27s_supply_chain_management_A_status_review&lt;/url&gt;&lt;/related-urls&gt;&lt;/urls&gt;&lt;/record&gt;&lt;/Cite&gt;&lt;/EndNote&gt;</w:instrText>
      </w:r>
      <w:r w:rsidRPr="005B541A">
        <w:rPr>
          <w:iCs/>
          <w:color w:val="000000"/>
          <w:shd w:val="clear" w:color="auto" w:fill="FFFFFF"/>
        </w:rPr>
        <w:fldChar w:fldCharType="separate"/>
      </w:r>
      <w:hyperlink w:anchor="_ENREF_48" w:tooltip="Kumaran, 2011 #29" w:history="1">
        <w:r w:rsidR="0014284F" w:rsidRPr="005B541A">
          <w:t>2011</w:t>
        </w:r>
      </w:hyperlink>
      <w:r w:rsidRPr="005B541A">
        <w:rPr>
          <w:iCs/>
          <w:color w:val="000000"/>
          <w:shd w:val="clear" w:color="auto" w:fill="FFFFFF"/>
        </w:rPr>
        <w:t>)</w:t>
      </w:r>
      <w:r w:rsidRPr="005B541A">
        <w:rPr>
          <w:iCs/>
          <w:color w:val="000000"/>
          <w:shd w:val="clear" w:color="auto" w:fill="FFFFFF"/>
        </w:rPr>
        <w:fldChar w:fldCharType="end"/>
      </w:r>
      <w:r w:rsidR="00833055">
        <w:rPr>
          <w:iCs/>
          <w:color w:val="000000"/>
          <w:shd w:val="clear" w:color="auto" w:fill="FFFFFF"/>
        </w:rPr>
        <w:t>.</w:t>
      </w:r>
      <w:r w:rsidR="002C76CE">
        <w:rPr>
          <w:iCs/>
          <w:color w:val="000000"/>
          <w:shd w:val="clear" w:color="auto" w:fill="FFFFFF"/>
        </w:rPr>
        <w:t xml:space="preserve"> </w:t>
      </w:r>
      <w:r w:rsidRPr="005B541A">
        <w:rPr>
          <w:iCs/>
          <w:color w:val="000000"/>
          <w:shd w:val="clear" w:color="auto" w:fill="FFFFFF"/>
        </w:rPr>
        <w:t xml:space="preserve"> </w:t>
      </w:r>
    </w:p>
    <w:p w14:paraId="1AD60BA9" w14:textId="77777777" w:rsidR="006A2D2B" w:rsidRPr="005B541A" w:rsidRDefault="006A2D2B" w:rsidP="00F93273">
      <w:pPr>
        <w:spacing w:line="360" w:lineRule="auto"/>
        <w:ind w:firstLine="709"/>
        <w:jc w:val="both"/>
        <w:rPr>
          <w:iCs/>
          <w:color w:val="000000"/>
          <w:shd w:val="clear" w:color="auto" w:fill="FFFFFF"/>
        </w:rPr>
      </w:pPr>
    </w:p>
    <w:p w14:paraId="132375D3" w14:textId="07F36E47" w:rsidR="009655BA" w:rsidRPr="00582E42" w:rsidRDefault="009655BA" w:rsidP="00582E42">
      <w:pPr>
        <w:spacing w:line="360" w:lineRule="auto"/>
        <w:jc w:val="center"/>
        <w:rPr>
          <w:b/>
          <w:bCs/>
        </w:rPr>
      </w:pPr>
      <w:r w:rsidRPr="00F93273">
        <w:rPr>
          <w:b/>
          <w:bCs/>
        </w:rPr>
        <w:t xml:space="preserve">Tabla </w:t>
      </w:r>
      <w:r w:rsidRPr="00F93273">
        <w:rPr>
          <w:b/>
          <w:bCs/>
        </w:rPr>
        <w:fldChar w:fldCharType="begin"/>
      </w:r>
      <w:r w:rsidRPr="00F93273">
        <w:rPr>
          <w:b/>
          <w:bCs/>
        </w:rPr>
        <w:instrText xml:space="preserve"> SEQ Tabla \* ARABIC </w:instrText>
      </w:r>
      <w:r w:rsidRPr="00F93273">
        <w:rPr>
          <w:b/>
          <w:bCs/>
        </w:rPr>
        <w:fldChar w:fldCharType="separate"/>
      </w:r>
      <w:r w:rsidR="00AC3CA8">
        <w:rPr>
          <w:b/>
          <w:bCs/>
          <w:noProof/>
        </w:rPr>
        <w:t>1</w:t>
      </w:r>
      <w:r w:rsidRPr="00F93273">
        <w:rPr>
          <w:b/>
          <w:bCs/>
        </w:rPr>
        <w:fldChar w:fldCharType="end"/>
      </w:r>
      <w:r w:rsidRPr="00F93273">
        <w:rPr>
          <w:b/>
          <w:bCs/>
        </w:rPr>
        <w:t xml:space="preserve">. </w:t>
      </w:r>
      <w:r w:rsidRPr="00F93273">
        <w:t>Factores de la competitividad de la cadena de suministro</w:t>
      </w:r>
    </w:p>
    <w:tbl>
      <w:tblPr>
        <w:tblW w:w="880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4A0" w:firstRow="1" w:lastRow="0" w:firstColumn="1" w:lastColumn="0" w:noHBand="0" w:noVBand="1"/>
      </w:tblPr>
      <w:tblGrid>
        <w:gridCol w:w="2245"/>
        <w:gridCol w:w="6555"/>
      </w:tblGrid>
      <w:tr w:rsidR="009655BA" w:rsidRPr="00F93273" w14:paraId="657D0BD9" w14:textId="77777777" w:rsidTr="00B84C24">
        <w:trPr>
          <w:trHeight w:val="320"/>
          <w:jc w:val="center"/>
        </w:trPr>
        <w:tc>
          <w:tcPr>
            <w:tcW w:w="2245" w:type="dxa"/>
            <w:shd w:val="clear" w:color="auto" w:fill="auto"/>
            <w:noWrap/>
            <w:vAlign w:val="center"/>
          </w:tcPr>
          <w:p w14:paraId="526BDA9F" w14:textId="77777777" w:rsidR="009655BA" w:rsidRPr="00F93273" w:rsidRDefault="009655BA" w:rsidP="00B84C24">
            <w:pPr>
              <w:jc w:val="center"/>
              <w:rPr>
                <w:color w:val="000000"/>
                <w:sz w:val="20"/>
                <w:szCs w:val="20"/>
              </w:rPr>
            </w:pPr>
            <w:r w:rsidRPr="00F93273">
              <w:rPr>
                <w:color w:val="000000"/>
                <w:sz w:val="20"/>
                <w:szCs w:val="20"/>
              </w:rPr>
              <w:t>Referencias</w:t>
            </w:r>
          </w:p>
        </w:tc>
        <w:tc>
          <w:tcPr>
            <w:tcW w:w="6555" w:type="dxa"/>
            <w:shd w:val="clear" w:color="auto" w:fill="auto"/>
            <w:noWrap/>
            <w:vAlign w:val="center"/>
          </w:tcPr>
          <w:p w14:paraId="0EAEDDBB" w14:textId="77777777" w:rsidR="009655BA" w:rsidRPr="00F93273" w:rsidRDefault="009655BA" w:rsidP="00B84C24">
            <w:pPr>
              <w:jc w:val="center"/>
              <w:rPr>
                <w:color w:val="000000"/>
                <w:sz w:val="20"/>
                <w:szCs w:val="20"/>
              </w:rPr>
            </w:pPr>
            <w:r w:rsidRPr="00F93273">
              <w:rPr>
                <w:color w:val="000000"/>
                <w:sz w:val="20"/>
                <w:szCs w:val="20"/>
              </w:rPr>
              <w:t>Factores</w:t>
            </w:r>
          </w:p>
        </w:tc>
      </w:tr>
      <w:tr w:rsidR="009655BA" w:rsidRPr="00F93273" w14:paraId="039AC934" w14:textId="77777777" w:rsidTr="00B84C24">
        <w:trPr>
          <w:trHeight w:val="320"/>
          <w:jc w:val="center"/>
        </w:trPr>
        <w:tc>
          <w:tcPr>
            <w:tcW w:w="2245" w:type="dxa"/>
            <w:shd w:val="clear" w:color="auto" w:fill="auto"/>
            <w:noWrap/>
            <w:vAlign w:val="center"/>
          </w:tcPr>
          <w:p w14:paraId="093C7786" w14:textId="77777777" w:rsidR="009655BA" w:rsidRPr="00F93273" w:rsidRDefault="009655BA" w:rsidP="00B84C24">
            <w:pPr>
              <w:ind w:right="-755"/>
              <w:rPr>
                <w:color w:val="000000"/>
                <w:sz w:val="20"/>
                <w:szCs w:val="20"/>
              </w:rPr>
            </w:pPr>
            <w:r w:rsidRPr="00F93273">
              <w:rPr>
                <w:color w:val="000000"/>
                <w:sz w:val="20"/>
                <w:szCs w:val="20"/>
              </w:rPr>
              <w:t xml:space="preserve">Bower y Hout, 1988 </w:t>
            </w:r>
          </w:p>
        </w:tc>
        <w:tc>
          <w:tcPr>
            <w:tcW w:w="6555" w:type="dxa"/>
            <w:shd w:val="clear" w:color="auto" w:fill="auto"/>
            <w:noWrap/>
            <w:vAlign w:val="center"/>
          </w:tcPr>
          <w:p w14:paraId="6FC21489" w14:textId="77777777" w:rsidR="009655BA" w:rsidRPr="00F93273" w:rsidRDefault="009655BA" w:rsidP="00B84C24">
            <w:pPr>
              <w:rPr>
                <w:color w:val="000000"/>
                <w:sz w:val="20"/>
                <w:szCs w:val="20"/>
              </w:rPr>
            </w:pPr>
            <w:r w:rsidRPr="00F93273">
              <w:rPr>
                <w:color w:val="000000"/>
                <w:sz w:val="20"/>
                <w:szCs w:val="20"/>
              </w:rPr>
              <w:t xml:space="preserve">Tiempo de ciclo de una orden de compra </w:t>
            </w:r>
          </w:p>
        </w:tc>
      </w:tr>
      <w:tr w:rsidR="009655BA" w:rsidRPr="00F93273" w14:paraId="044DFBBF" w14:textId="77777777" w:rsidTr="00B84C24">
        <w:trPr>
          <w:trHeight w:val="221"/>
          <w:jc w:val="center"/>
        </w:trPr>
        <w:tc>
          <w:tcPr>
            <w:tcW w:w="2245" w:type="dxa"/>
            <w:shd w:val="clear" w:color="auto" w:fill="auto"/>
            <w:noWrap/>
            <w:vAlign w:val="center"/>
          </w:tcPr>
          <w:p w14:paraId="64258610" w14:textId="77777777" w:rsidR="009655BA" w:rsidRPr="00F93273" w:rsidRDefault="009655BA" w:rsidP="00B84C24">
            <w:pPr>
              <w:rPr>
                <w:color w:val="000000"/>
                <w:sz w:val="20"/>
                <w:szCs w:val="20"/>
              </w:rPr>
            </w:pPr>
            <w:r w:rsidRPr="00F93273">
              <w:rPr>
                <w:color w:val="000000"/>
                <w:sz w:val="20"/>
                <w:szCs w:val="20"/>
              </w:rPr>
              <w:t xml:space="preserve">Schonberger, 1990 </w:t>
            </w:r>
          </w:p>
        </w:tc>
        <w:tc>
          <w:tcPr>
            <w:tcW w:w="6555" w:type="dxa"/>
            <w:shd w:val="clear" w:color="auto" w:fill="auto"/>
            <w:noWrap/>
            <w:vAlign w:val="center"/>
          </w:tcPr>
          <w:p w14:paraId="0E94FA2B" w14:textId="77777777" w:rsidR="009655BA" w:rsidRPr="00F93273" w:rsidRDefault="009655BA" w:rsidP="00B84C24">
            <w:pPr>
              <w:rPr>
                <w:color w:val="000000"/>
                <w:sz w:val="20"/>
                <w:szCs w:val="20"/>
              </w:rPr>
            </w:pPr>
            <w:r w:rsidRPr="00F93273">
              <w:rPr>
                <w:color w:val="000000"/>
                <w:sz w:val="20"/>
                <w:szCs w:val="20"/>
              </w:rPr>
              <w:t xml:space="preserve">Tiempo de entrega de pedido y tiempo de entrega </w:t>
            </w:r>
          </w:p>
        </w:tc>
      </w:tr>
      <w:tr w:rsidR="009655BA" w:rsidRPr="00F93273" w14:paraId="76D503A8" w14:textId="77777777" w:rsidTr="00B84C24">
        <w:trPr>
          <w:trHeight w:val="526"/>
          <w:jc w:val="center"/>
        </w:trPr>
        <w:tc>
          <w:tcPr>
            <w:tcW w:w="2245" w:type="dxa"/>
            <w:shd w:val="clear" w:color="auto" w:fill="auto"/>
            <w:noWrap/>
            <w:vAlign w:val="center"/>
          </w:tcPr>
          <w:p w14:paraId="3EBF83BC" w14:textId="77777777" w:rsidR="009655BA" w:rsidRPr="00F93273" w:rsidRDefault="009655BA" w:rsidP="00B84C24">
            <w:pPr>
              <w:rPr>
                <w:color w:val="000000"/>
                <w:sz w:val="20"/>
                <w:szCs w:val="20"/>
              </w:rPr>
            </w:pPr>
            <w:r w:rsidRPr="00F93273">
              <w:rPr>
                <w:color w:val="000000"/>
                <w:sz w:val="20"/>
                <w:szCs w:val="20"/>
              </w:rPr>
              <w:t xml:space="preserve">Rushton y Oxley, 1991 </w:t>
            </w:r>
          </w:p>
        </w:tc>
        <w:tc>
          <w:tcPr>
            <w:tcW w:w="6555" w:type="dxa"/>
            <w:shd w:val="clear" w:color="auto" w:fill="auto"/>
            <w:noWrap/>
            <w:vAlign w:val="center"/>
          </w:tcPr>
          <w:p w14:paraId="542DA9B9" w14:textId="77777777" w:rsidR="009655BA" w:rsidRPr="00F93273" w:rsidRDefault="009655BA" w:rsidP="00B84C24">
            <w:pPr>
              <w:rPr>
                <w:color w:val="000000"/>
                <w:sz w:val="20"/>
                <w:szCs w:val="20"/>
              </w:rPr>
            </w:pPr>
            <w:r w:rsidRPr="00F93273">
              <w:rPr>
                <w:color w:val="000000"/>
                <w:sz w:val="20"/>
                <w:szCs w:val="20"/>
              </w:rPr>
              <w:t xml:space="preserve">Ciclo de pedido y proceso de entrega, tiempo de ciclo de desarrollo del producto. </w:t>
            </w:r>
          </w:p>
        </w:tc>
      </w:tr>
      <w:tr w:rsidR="009655BA" w:rsidRPr="00F93273" w14:paraId="0B3AE323" w14:textId="77777777" w:rsidTr="00B84C24">
        <w:trPr>
          <w:trHeight w:val="320"/>
          <w:jc w:val="center"/>
        </w:trPr>
        <w:tc>
          <w:tcPr>
            <w:tcW w:w="2245" w:type="dxa"/>
            <w:shd w:val="clear" w:color="auto" w:fill="auto"/>
            <w:noWrap/>
            <w:vAlign w:val="center"/>
          </w:tcPr>
          <w:p w14:paraId="64FA41FC" w14:textId="77777777" w:rsidR="009655BA" w:rsidRPr="00F93273" w:rsidRDefault="009655BA" w:rsidP="00B84C24">
            <w:pPr>
              <w:rPr>
                <w:color w:val="000000"/>
                <w:sz w:val="20"/>
                <w:szCs w:val="20"/>
              </w:rPr>
            </w:pPr>
            <w:r w:rsidRPr="00F93273">
              <w:rPr>
                <w:color w:val="000000"/>
                <w:sz w:val="20"/>
                <w:szCs w:val="20"/>
              </w:rPr>
              <w:t xml:space="preserve">Graham et al., 1994 </w:t>
            </w:r>
          </w:p>
        </w:tc>
        <w:tc>
          <w:tcPr>
            <w:tcW w:w="6555" w:type="dxa"/>
            <w:shd w:val="clear" w:color="auto" w:fill="auto"/>
            <w:noWrap/>
            <w:vAlign w:val="center"/>
          </w:tcPr>
          <w:p w14:paraId="6FC2476C" w14:textId="77777777" w:rsidR="009655BA" w:rsidRPr="00F93273" w:rsidRDefault="009655BA" w:rsidP="00B84C24">
            <w:pPr>
              <w:jc w:val="both"/>
              <w:rPr>
                <w:color w:val="000000"/>
                <w:sz w:val="20"/>
                <w:szCs w:val="20"/>
              </w:rPr>
            </w:pPr>
            <w:r w:rsidRPr="00F93273">
              <w:rPr>
                <w:color w:val="000000"/>
                <w:sz w:val="20"/>
                <w:szCs w:val="20"/>
              </w:rPr>
              <w:t xml:space="preserve">Asistencia del proveedor para resolver problemas técnicos, capacidad del proveedor para responder a problemas de calidad </w:t>
            </w:r>
          </w:p>
        </w:tc>
      </w:tr>
      <w:tr w:rsidR="009655BA" w:rsidRPr="00F93273" w14:paraId="4A9630E0" w14:textId="77777777" w:rsidTr="00B84C24">
        <w:trPr>
          <w:trHeight w:val="320"/>
          <w:jc w:val="center"/>
        </w:trPr>
        <w:tc>
          <w:tcPr>
            <w:tcW w:w="2245" w:type="dxa"/>
            <w:shd w:val="clear" w:color="auto" w:fill="auto"/>
            <w:noWrap/>
            <w:vAlign w:val="center"/>
          </w:tcPr>
          <w:p w14:paraId="6D287494" w14:textId="77777777" w:rsidR="009655BA" w:rsidRPr="00F93273" w:rsidRDefault="009655BA" w:rsidP="00B84C24">
            <w:pPr>
              <w:rPr>
                <w:color w:val="000000"/>
                <w:sz w:val="20"/>
                <w:szCs w:val="20"/>
              </w:rPr>
            </w:pPr>
            <w:r w:rsidRPr="00F93273">
              <w:rPr>
                <w:color w:val="000000"/>
                <w:sz w:val="20"/>
                <w:szCs w:val="20"/>
              </w:rPr>
              <w:t>Stewart, 1995</w:t>
            </w:r>
          </w:p>
        </w:tc>
        <w:tc>
          <w:tcPr>
            <w:tcW w:w="6555" w:type="dxa"/>
            <w:shd w:val="clear" w:color="auto" w:fill="auto"/>
            <w:noWrap/>
            <w:vAlign w:val="center"/>
          </w:tcPr>
          <w:p w14:paraId="440D3AD1" w14:textId="77777777" w:rsidR="009655BA" w:rsidRPr="00F93273" w:rsidRDefault="009655BA" w:rsidP="00B84C24">
            <w:pPr>
              <w:rPr>
                <w:color w:val="000000"/>
                <w:sz w:val="20"/>
                <w:szCs w:val="20"/>
              </w:rPr>
            </w:pPr>
            <w:r w:rsidRPr="00F93273">
              <w:rPr>
                <w:color w:val="000000"/>
                <w:sz w:val="20"/>
                <w:szCs w:val="20"/>
              </w:rPr>
              <w:t>Costo del inventario</w:t>
            </w:r>
          </w:p>
        </w:tc>
      </w:tr>
      <w:tr w:rsidR="009655BA" w:rsidRPr="00F93273" w14:paraId="0CA3ADA1" w14:textId="77777777" w:rsidTr="00B84C24">
        <w:trPr>
          <w:trHeight w:val="320"/>
          <w:jc w:val="center"/>
        </w:trPr>
        <w:tc>
          <w:tcPr>
            <w:tcW w:w="2245" w:type="dxa"/>
            <w:shd w:val="clear" w:color="auto" w:fill="auto"/>
            <w:noWrap/>
            <w:vAlign w:val="center"/>
          </w:tcPr>
          <w:p w14:paraId="7EDDF01E" w14:textId="77777777" w:rsidR="009655BA" w:rsidRPr="00F93273" w:rsidRDefault="009655BA" w:rsidP="00B84C24">
            <w:pPr>
              <w:rPr>
                <w:color w:val="000000"/>
                <w:sz w:val="20"/>
                <w:szCs w:val="20"/>
              </w:rPr>
            </w:pPr>
            <w:r w:rsidRPr="00F93273">
              <w:rPr>
                <w:color w:val="000000"/>
                <w:sz w:val="20"/>
                <w:szCs w:val="20"/>
              </w:rPr>
              <w:t xml:space="preserve">Thomas y Griffin, 1996 </w:t>
            </w:r>
          </w:p>
        </w:tc>
        <w:tc>
          <w:tcPr>
            <w:tcW w:w="6555" w:type="dxa"/>
            <w:shd w:val="clear" w:color="auto" w:fill="auto"/>
            <w:noWrap/>
            <w:vAlign w:val="center"/>
          </w:tcPr>
          <w:p w14:paraId="23519A93" w14:textId="77777777" w:rsidR="009655BA" w:rsidRPr="00F93273" w:rsidRDefault="009655BA" w:rsidP="00B84C24">
            <w:pPr>
              <w:rPr>
                <w:color w:val="000000"/>
                <w:sz w:val="20"/>
                <w:szCs w:val="20"/>
              </w:rPr>
            </w:pPr>
            <w:r w:rsidRPr="00F93273">
              <w:rPr>
                <w:color w:val="000000"/>
                <w:sz w:val="20"/>
                <w:szCs w:val="20"/>
              </w:rPr>
              <w:t xml:space="preserve">Iniciativas de ahorro de costos de proveedores </w:t>
            </w:r>
          </w:p>
        </w:tc>
      </w:tr>
      <w:tr w:rsidR="009655BA" w:rsidRPr="00F93273" w14:paraId="1EDD861A" w14:textId="77777777" w:rsidTr="00B84C24">
        <w:trPr>
          <w:trHeight w:val="320"/>
          <w:jc w:val="center"/>
        </w:trPr>
        <w:tc>
          <w:tcPr>
            <w:tcW w:w="2245" w:type="dxa"/>
            <w:shd w:val="clear" w:color="auto" w:fill="auto"/>
            <w:noWrap/>
            <w:vAlign w:val="center"/>
          </w:tcPr>
          <w:p w14:paraId="7E48C41D" w14:textId="77777777" w:rsidR="009655BA" w:rsidRPr="00F93273" w:rsidRDefault="009655BA" w:rsidP="00B84C24">
            <w:pPr>
              <w:rPr>
                <w:color w:val="000000"/>
                <w:sz w:val="20"/>
                <w:szCs w:val="20"/>
              </w:rPr>
            </w:pPr>
            <w:r w:rsidRPr="00F93273">
              <w:rPr>
                <w:color w:val="000000"/>
                <w:sz w:val="20"/>
                <w:szCs w:val="20"/>
              </w:rPr>
              <w:t>Mason J. y Towill, 1997</w:t>
            </w:r>
          </w:p>
        </w:tc>
        <w:tc>
          <w:tcPr>
            <w:tcW w:w="6555" w:type="dxa"/>
            <w:shd w:val="clear" w:color="auto" w:fill="auto"/>
            <w:noWrap/>
            <w:vAlign w:val="center"/>
          </w:tcPr>
          <w:p w14:paraId="48988971" w14:textId="77777777" w:rsidR="009655BA" w:rsidRPr="00F93273" w:rsidRDefault="009655BA" w:rsidP="00B84C24">
            <w:pPr>
              <w:rPr>
                <w:color w:val="000000"/>
                <w:sz w:val="20"/>
                <w:szCs w:val="20"/>
              </w:rPr>
            </w:pPr>
            <w:r w:rsidRPr="00F93273">
              <w:rPr>
                <w:color w:val="000000"/>
                <w:sz w:val="20"/>
                <w:szCs w:val="20"/>
              </w:rPr>
              <w:t xml:space="preserve">Métodos de colocación de pedidos del proveedor </w:t>
            </w:r>
          </w:p>
        </w:tc>
      </w:tr>
      <w:tr w:rsidR="009655BA" w:rsidRPr="00F93273" w14:paraId="53468BF7" w14:textId="77777777" w:rsidTr="00B84C24">
        <w:trPr>
          <w:trHeight w:val="320"/>
          <w:jc w:val="center"/>
        </w:trPr>
        <w:tc>
          <w:tcPr>
            <w:tcW w:w="2245" w:type="dxa"/>
            <w:shd w:val="clear" w:color="auto" w:fill="auto"/>
            <w:noWrap/>
            <w:vAlign w:val="center"/>
          </w:tcPr>
          <w:p w14:paraId="336E42F3" w14:textId="77777777" w:rsidR="009655BA" w:rsidRPr="00F93273" w:rsidRDefault="009655BA" w:rsidP="00B84C24">
            <w:pPr>
              <w:rPr>
                <w:color w:val="000000"/>
                <w:sz w:val="20"/>
                <w:szCs w:val="20"/>
              </w:rPr>
            </w:pPr>
            <w:r w:rsidRPr="00F93273">
              <w:rPr>
                <w:color w:val="000000"/>
                <w:sz w:val="20"/>
                <w:szCs w:val="20"/>
              </w:rPr>
              <w:t>Levy, 1997</w:t>
            </w:r>
          </w:p>
        </w:tc>
        <w:tc>
          <w:tcPr>
            <w:tcW w:w="6555" w:type="dxa"/>
            <w:shd w:val="clear" w:color="auto" w:fill="auto"/>
            <w:noWrap/>
            <w:vAlign w:val="center"/>
          </w:tcPr>
          <w:p w14:paraId="280B4443" w14:textId="77777777" w:rsidR="009655BA" w:rsidRPr="00F93273" w:rsidRDefault="009655BA" w:rsidP="00B84C24">
            <w:pPr>
              <w:rPr>
                <w:color w:val="000000"/>
                <w:sz w:val="20"/>
                <w:szCs w:val="20"/>
              </w:rPr>
            </w:pPr>
            <w:r w:rsidRPr="00F93273">
              <w:rPr>
                <w:color w:val="000000"/>
                <w:sz w:val="20"/>
                <w:szCs w:val="20"/>
              </w:rPr>
              <w:t>Costo de transporte de la información</w:t>
            </w:r>
          </w:p>
        </w:tc>
      </w:tr>
      <w:tr w:rsidR="009655BA" w:rsidRPr="00F93273" w14:paraId="19C51373" w14:textId="77777777" w:rsidTr="00B84C24">
        <w:trPr>
          <w:trHeight w:val="320"/>
          <w:jc w:val="center"/>
        </w:trPr>
        <w:tc>
          <w:tcPr>
            <w:tcW w:w="2245" w:type="dxa"/>
            <w:shd w:val="clear" w:color="auto" w:fill="auto"/>
            <w:noWrap/>
            <w:vAlign w:val="center"/>
          </w:tcPr>
          <w:p w14:paraId="54746376" w14:textId="77777777" w:rsidR="009655BA" w:rsidRPr="00F93273" w:rsidRDefault="009655BA" w:rsidP="00B84C24">
            <w:pPr>
              <w:rPr>
                <w:color w:val="000000"/>
                <w:sz w:val="20"/>
                <w:szCs w:val="20"/>
              </w:rPr>
            </w:pPr>
            <w:r w:rsidRPr="00F93273">
              <w:rPr>
                <w:color w:val="000000"/>
                <w:sz w:val="20"/>
                <w:szCs w:val="20"/>
              </w:rPr>
              <w:t xml:space="preserve">Spekman et al., 1998 </w:t>
            </w:r>
          </w:p>
        </w:tc>
        <w:tc>
          <w:tcPr>
            <w:tcW w:w="6555" w:type="dxa"/>
            <w:shd w:val="clear" w:color="auto" w:fill="auto"/>
            <w:noWrap/>
            <w:vAlign w:val="center"/>
          </w:tcPr>
          <w:p w14:paraId="101892D1" w14:textId="77777777" w:rsidR="009655BA" w:rsidRPr="00F93273" w:rsidRDefault="009655BA" w:rsidP="00B84C24">
            <w:pPr>
              <w:rPr>
                <w:color w:val="000000"/>
                <w:sz w:val="20"/>
                <w:szCs w:val="20"/>
              </w:rPr>
            </w:pPr>
            <w:r w:rsidRPr="00F93273">
              <w:rPr>
                <w:color w:val="000000"/>
                <w:sz w:val="20"/>
                <w:szCs w:val="20"/>
              </w:rPr>
              <w:t xml:space="preserve">Nivel de asociación comprador-proveedor </w:t>
            </w:r>
          </w:p>
        </w:tc>
      </w:tr>
      <w:tr w:rsidR="009655BA" w:rsidRPr="00F93273" w14:paraId="030CEB91" w14:textId="77777777" w:rsidTr="00B84C24">
        <w:trPr>
          <w:trHeight w:val="320"/>
          <w:jc w:val="center"/>
        </w:trPr>
        <w:tc>
          <w:tcPr>
            <w:tcW w:w="2245" w:type="dxa"/>
            <w:shd w:val="clear" w:color="auto" w:fill="auto"/>
            <w:noWrap/>
            <w:vAlign w:val="center"/>
          </w:tcPr>
          <w:p w14:paraId="3887ED1B" w14:textId="77777777" w:rsidR="009655BA" w:rsidRPr="00F93273" w:rsidRDefault="009655BA" w:rsidP="00B84C24">
            <w:pPr>
              <w:rPr>
                <w:color w:val="000000"/>
                <w:sz w:val="20"/>
                <w:szCs w:val="20"/>
              </w:rPr>
            </w:pPr>
            <w:r w:rsidRPr="00F93273">
              <w:rPr>
                <w:color w:val="000000"/>
                <w:sz w:val="20"/>
                <w:szCs w:val="20"/>
              </w:rPr>
              <w:t xml:space="preserve">Gunasekaran et al., 2001 </w:t>
            </w:r>
          </w:p>
        </w:tc>
        <w:tc>
          <w:tcPr>
            <w:tcW w:w="6555" w:type="dxa"/>
            <w:shd w:val="clear" w:color="auto" w:fill="auto"/>
            <w:noWrap/>
            <w:vAlign w:val="center"/>
          </w:tcPr>
          <w:p w14:paraId="51A005D7" w14:textId="77777777" w:rsidR="009655BA" w:rsidRPr="00F93273" w:rsidRDefault="009655BA" w:rsidP="00B84C24">
            <w:pPr>
              <w:jc w:val="both"/>
              <w:rPr>
                <w:color w:val="000000"/>
                <w:sz w:val="20"/>
                <w:szCs w:val="20"/>
              </w:rPr>
            </w:pPr>
            <w:r w:rsidRPr="00F93273">
              <w:rPr>
                <w:color w:val="000000"/>
                <w:sz w:val="20"/>
                <w:szCs w:val="20"/>
              </w:rPr>
              <w:t>Tiempo total de ciclo de la cadena de suministro, tiempo de entrega del proveedor, defectos de proveedores, tasa de rechazo de proveedores, precisión de las técnicas de pronóstico, costos de operación, confiabilidad de entrega, capacidad de respuesta a urgencias. Cumplimiento del calendario de planeación de entregas, calidad de servicio de entregas. Documentación y frecuencia de entregas, calidad de los productos entregados, logro de entregas sin defectos, flexibilidad de los sistemas de servicio, valor percibido por el cliente, tiempo total de flujo de efectivo, tiempo de solución de consultas del cliente.</w:t>
            </w:r>
          </w:p>
        </w:tc>
      </w:tr>
      <w:tr w:rsidR="009655BA" w:rsidRPr="00F93273" w14:paraId="5778D8A6" w14:textId="77777777" w:rsidTr="00B84C24">
        <w:trPr>
          <w:trHeight w:val="320"/>
          <w:jc w:val="center"/>
        </w:trPr>
        <w:tc>
          <w:tcPr>
            <w:tcW w:w="2245" w:type="dxa"/>
            <w:shd w:val="clear" w:color="auto" w:fill="auto"/>
            <w:noWrap/>
            <w:vAlign w:val="center"/>
          </w:tcPr>
          <w:p w14:paraId="21B5C0B7" w14:textId="77777777" w:rsidR="009655BA" w:rsidRPr="00F93273" w:rsidRDefault="009655BA" w:rsidP="00B84C24">
            <w:pPr>
              <w:rPr>
                <w:color w:val="000000"/>
                <w:sz w:val="20"/>
                <w:szCs w:val="20"/>
              </w:rPr>
            </w:pPr>
            <w:r w:rsidRPr="00F93273">
              <w:rPr>
                <w:color w:val="000000"/>
                <w:sz w:val="20"/>
                <w:szCs w:val="20"/>
              </w:rPr>
              <w:t>Tan, 2001</w:t>
            </w:r>
          </w:p>
        </w:tc>
        <w:tc>
          <w:tcPr>
            <w:tcW w:w="6555" w:type="dxa"/>
            <w:shd w:val="clear" w:color="auto" w:fill="auto"/>
            <w:noWrap/>
            <w:vAlign w:val="center"/>
          </w:tcPr>
          <w:p w14:paraId="54AEF84F" w14:textId="77777777" w:rsidR="009655BA" w:rsidRPr="00F93273" w:rsidRDefault="009655BA" w:rsidP="00B84C24">
            <w:pPr>
              <w:rPr>
                <w:color w:val="000000"/>
                <w:sz w:val="20"/>
                <w:szCs w:val="20"/>
              </w:rPr>
            </w:pPr>
            <w:r w:rsidRPr="00F93273">
              <w:rPr>
                <w:color w:val="000000"/>
                <w:sz w:val="20"/>
                <w:szCs w:val="20"/>
              </w:rPr>
              <w:t xml:space="preserve">Efectividad del programa maestro de producción. </w:t>
            </w:r>
          </w:p>
        </w:tc>
      </w:tr>
      <w:tr w:rsidR="009655BA" w:rsidRPr="00F93273" w14:paraId="6F0A51E3" w14:textId="77777777" w:rsidTr="00B84C24">
        <w:trPr>
          <w:trHeight w:val="320"/>
          <w:jc w:val="center"/>
        </w:trPr>
        <w:tc>
          <w:tcPr>
            <w:tcW w:w="2245" w:type="dxa"/>
            <w:shd w:val="clear" w:color="auto" w:fill="auto"/>
            <w:noWrap/>
            <w:vAlign w:val="center"/>
          </w:tcPr>
          <w:p w14:paraId="521C2C00" w14:textId="77777777" w:rsidR="009655BA" w:rsidRPr="00F93273" w:rsidRDefault="009655BA" w:rsidP="00B84C24">
            <w:pPr>
              <w:rPr>
                <w:color w:val="000000"/>
                <w:sz w:val="20"/>
                <w:szCs w:val="20"/>
              </w:rPr>
            </w:pPr>
            <w:r w:rsidRPr="00F93273">
              <w:rPr>
                <w:color w:val="000000"/>
                <w:sz w:val="20"/>
                <w:szCs w:val="20"/>
              </w:rPr>
              <w:t xml:space="preserve">Fuentes et al., 2004 </w:t>
            </w:r>
          </w:p>
        </w:tc>
        <w:tc>
          <w:tcPr>
            <w:tcW w:w="6555" w:type="dxa"/>
            <w:shd w:val="clear" w:color="auto" w:fill="auto"/>
            <w:noWrap/>
            <w:vAlign w:val="center"/>
          </w:tcPr>
          <w:p w14:paraId="1DD0D1B8" w14:textId="77777777" w:rsidR="009655BA" w:rsidRPr="00F93273" w:rsidRDefault="009655BA" w:rsidP="00B84C24">
            <w:pPr>
              <w:keepNext/>
              <w:rPr>
                <w:color w:val="000000"/>
                <w:sz w:val="20"/>
                <w:szCs w:val="20"/>
              </w:rPr>
            </w:pPr>
            <w:r w:rsidRPr="00F93273">
              <w:rPr>
                <w:color w:val="000000"/>
                <w:sz w:val="20"/>
                <w:szCs w:val="20"/>
              </w:rPr>
              <w:t xml:space="preserve">Tiempo de consulta del cliente </w:t>
            </w:r>
          </w:p>
        </w:tc>
      </w:tr>
    </w:tbl>
    <w:p w14:paraId="79F46DB1" w14:textId="77777777" w:rsidR="009655BA" w:rsidRPr="00582E42" w:rsidRDefault="009655BA" w:rsidP="00582E42">
      <w:pPr>
        <w:spacing w:line="360" w:lineRule="auto"/>
        <w:jc w:val="center"/>
        <w:rPr>
          <w:rFonts w:eastAsiaTheme="minorHAnsi"/>
          <w:lang w:eastAsia="en-US"/>
        </w:rPr>
      </w:pPr>
      <w:r w:rsidRPr="00582E42">
        <w:t>Fuente: elaboración propia</w:t>
      </w:r>
    </w:p>
    <w:p w14:paraId="52B10935" w14:textId="77777777" w:rsidR="003C06E2" w:rsidRPr="005B541A" w:rsidRDefault="003C06E2" w:rsidP="003C06E2">
      <w:pPr>
        <w:spacing w:line="360" w:lineRule="auto"/>
        <w:ind w:firstLine="708"/>
        <w:jc w:val="both"/>
        <w:rPr>
          <w:rFonts w:eastAsiaTheme="minorHAnsi"/>
          <w:lang w:eastAsia="en-US"/>
        </w:rPr>
      </w:pPr>
    </w:p>
    <w:p w14:paraId="7BD071D1" w14:textId="0975CE5D" w:rsidR="0014284F" w:rsidRPr="00F93273" w:rsidRDefault="007F194F" w:rsidP="005B541A">
      <w:pPr>
        <w:spacing w:line="360" w:lineRule="auto"/>
        <w:jc w:val="center"/>
        <w:rPr>
          <w:rFonts w:eastAsiaTheme="minorHAnsi"/>
          <w:b/>
          <w:bCs/>
          <w:sz w:val="28"/>
          <w:szCs w:val="28"/>
          <w:lang w:eastAsia="en-US"/>
        </w:rPr>
      </w:pPr>
      <w:r w:rsidRPr="00F93273">
        <w:rPr>
          <w:rFonts w:eastAsiaTheme="minorHAnsi"/>
          <w:b/>
          <w:bCs/>
          <w:sz w:val="28"/>
          <w:szCs w:val="28"/>
          <w:lang w:eastAsia="en-US"/>
        </w:rPr>
        <w:t xml:space="preserve">Análisis </w:t>
      </w:r>
      <w:r w:rsidR="005B541A" w:rsidRPr="00F93273">
        <w:rPr>
          <w:rFonts w:eastAsiaTheme="minorHAnsi"/>
          <w:b/>
          <w:bCs/>
          <w:sz w:val="28"/>
          <w:szCs w:val="28"/>
          <w:lang w:eastAsia="en-US"/>
        </w:rPr>
        <w:t>e</w:t>
      </w:r>
      <w:r w:rsidRPr="00F93273">
        <w:rPr>
          <w:rFonts w:eastAsiaTheme="minorHAnsi"/>
          <w:b/>
          <w:bCs/>
          <w:sz w:val="28"/>
          <w:szCs w:val="28"/>
          <w:lang w:eastAsia="en-US"/>
        </w:rPr>
        <w:t xml:space="preserve">stadístico para la </w:t>
      </w:r>
      <w:r w:rsidR="005B541A" w:rsidRPr="00F93273">
        <w:rPr>
          <w:rFonts w:eastAsiaTheme="minorHAnsi"/>
          <w:b/>
          <w:bCs/>
          <w:sz w:val="28"/>
          <w:szCs w:val="28"/>
          <w:lang w:eastAsia="en-US"/>
        </w:rPr>
        <w:t>v</w:t>
      </w:r>
      <w:r w:rsidR="003C06E2" w:rsidRPr="00F93273">
        <w:rPr>
          <w:rFonts w:eastAsiaTheme="minorHAnsi"/>
          <w:b/>
          <w:bCs/>
          <w:sz w:val="28"/>
          <w:szCs w:val="28"/>
          <w:lang w:eastAsia="en-US"/>
        </w:rPr>
        <w:t xml:space="preserve">alidación de </w:t>
      </w:r>
      <w:r w:rsidR="005B541A" w:rsidRPr="00F93273">
        <w:rPr>
          <w:rFonts w:eastAsiaTheme="minorHAnsi"/>
          <w:b/>
          <w:bCs/>
          <w:sz w:val="28"/>
          <w:szCs w:val="28"/>
          <w:lang w:eastAsia="en-US"/>
        </w:rPr>
        <w:t>c</w:t>
      </w:r>
      <w:r w:rsidRPr="00F93273">
        <w:rPr>
          <w:rFonts w:eastAsiaTheme="minorHAnsi"/>
          <w:b/>
          <w:bCs/>
          <w:sz w:val="28"/>
          <w:szCs w:val="28"/>
          <w:lang w:eastAsia="en-US"/>
        </w:rPr>
        <w:t>o</w:t>
      </w:r>
      <w:r w:rsidR="003C06E2" w:rsidRPr="00F93273">
        <w:rPr>
          <w:rFonts w:eastAsiaTheme="minorHAnsi"/>
          <w:b/>
          <w:bCs/>
          <w:sz w:val="28"/>
          <w:szCs w:val="28"/>
          <w:lang w:eastAsia="en-US"/>
        </w:rPr>
        <w:t xml:space="preserve">ntenido del </w:t>
      </w:r>
      <w:r w:rsidRPr="00F93273">
        <w:rPr>
          <w:rFonts w:eastAsiaTheme="minorHAnsi"/>
          <w:b/>
          <w:bCs/>
          <w:sz w:val="28"/>
          <w:szCs w:val="28"/>
          <w:lang w:eastAsia="en-US"/>
        </w:rPr>
        <w:t>IM</w:t>
      </w:r>
    </w:p>
    <w:p w14:paraId="647A770D" w14:textId="0AFD0354" w:rsidR="00C74762" w:rsidRDefault="001A2224" w:rsidP="00F93273">
      <w:pPr>
        <w:snapToGrid w:val="0"/>
        <w:spacing w:line="360" w:lineRule="auto"/>
        <w:ind w:firstLine="709"/>
        <w:jc w:val="both"/>
        <w:rPr>
          <w:color w:val="000000" w:themeColor="text1"/>
          <w:lang w:val="es-ES" w:bidi="en-US"/>
        </w:rPr>
      </w:pPr>
      <w:r w:rsidRPr="005B541A">
        <w:rPr>
          <w:color w:val="000000" w:themeColor="text1"/>
          <w:lang w:bidi="en-US"/>
        </w:rPr>
        <w:t xml:space="preserve">Para que el análisis estadístico de la base de datos que se obtiene a través de la aplicación de un instrumento de medición sea confiable, es </w:t>
      </w:r>
      <w:r w:rsidR="009D7D3A" w:rsidRPr="005B541A">
        <w:rPr>
          <w:color w:val="000000" w:themeColor="text1"/>
          <w:lang w:bidi="en-US"/>
        </w:rPr>
        <w:t xml:space="preserve">necesario </w:t>
      </w:r>
      <w:r w:rsidR="009D7D3A" w:rsidRPr="005B541A">
        <w:rPr>
          <w:color w:val="000000" w:themeColor="text1"/>
          <w:lang w:val="es-ES" w:bidi="en-US"/>
        </w:rPr>
        <w:t>verificar</w:t>
      </w:r>
      <w:r w:rsidRPr="005B541A">
        <w:rPr>
          <w:color w:val="000000" w:themeColor="text1"/>
          <w:lang w:bidi="en-US"/>
        </w:rPr>
        <w:t xml:space="preserve"> la</w:t>
      </w:r>
      <w:r w:rsidRPr="005B541A">
        <w:rPr>
          <w:color w:val="000000" w:themeColor="text1"/>
          <w:lang w:val="es-ES" w:bidi="en-US"/>
        </w:rPr>
        <w:t xml:space="preserve"> validez de contenido</w:t>
      </w:r>
      <w:r w:rsidRPr="005B541A">
        <w:rPr>
          <w:color w:val="000000" w:themeColor="text1"/>
          <w:lang w:bidi="en-US"/>
        </w:rPr>
        <w:t xml:space="preserve"> de dicho IM, independientemente de </w:t>
      </w:r>
      <w:r w:rsidR="0017074E" w:rsidRPr="005B541A">
        <w:rPr>
          <w:color w:val="000000" w:themeColor="text1"/>
          <w:lang w:bidi="en-US"/>
        </w:rPr>
        <w:t xml:space="preserve">que </w:t>
      </w:r>
      <w:r w:rsidRPr="005B541A">
        <w:rPr>
          <w:color w:val="000000" w:themeColor="text1"/>
          <w:lang w:bidi="en-US"/>
        </w:rPr>
        <w:t>se cumplan otras medidas de validez</w:t>
      </w:r>
      <w:r w:rsidR="00C35D9B">
        <w:rPr>
          <w:color w:val="000000" w:themeColor="text1"/>
          <w:lang w:bidi="en-US"/>
        </w:rPr>
        <w:t xml:space="preserve"> como lo sugiere </w:t>
      </w:r>
      <w:r w:rsidRPr="005B541A">
        <w:rPr>
          <w:color w:val="000000" w:themeColor="text1"/>
          <w:lang w:bidi="en-US"/>
        </w:rPr>
        <w:t xml:space="preserve"> Almanaresh et al., </w:t>
      </w:r>
      <w:r w:rsidR="00C35D9B">
        <w:rPr>
          <w:color w:val="000000" w:themeColor="text1"/>
          <w:lang w:bidi="en-US"/>
        </w:rPr>
        <w:t>(</w:t>
      </w:r>
      <w:r w:rsidRPr="005B541A">
        <w:rPr>
          <w:color w:val="000000" w:themeColor="text1"/>
          <w:lang w:bidi="en-US"/>
        </w:rPr>
        <w:t xml:space="preserve">2019). Guillot et al. </w:t>
      </w:r>
      <w:r w:rsidR="00543D48">
        <w:rPr>
          <w:color w:val="000000" w:themeColor="text1"/>
          <w:lang w:bidi="en-US"/>
        </w:rPr>
        <w:t>(</w:t>
      </w:r>
      <w:r w:rsidRPr="005B541A">
        <w:rPr>
          <w:color w:val="000000" w:themeColor="text1"/>
          <w:lang w:bidi="en-US"/>
        </w:rPr>
        <w:t>20</w:t>
      </w:r>
      <w:r w:rsidR="00543D48">
        <w:rPr>
          <w:color w:val="000000" w:themeColor="text1"/>
          <w:lang w:bidi="en-US"/>
        </w:rPr>
        <w:t>22),</w:t>
      </w:r>
      <w:r w:rsidRPr="005B541A">
        <w:rPr>
          <w:color w:val="000000" w:themeColor="text1"/>
          <w:lang w:bidi="en-US"/>
        </w:rPr>
        <w:t xml:space="preserve"> establecen que el </w:t>
      </w:r>
      <w:r w:rsidR="000C2FE2" w:rsidRPr="005B541A">
        <w:rPr>
          <w:color w:val="000000" w:themeColor="text1"/>
          <w:lang w:bidi="en-US"/>
        </w:rPr>
        <w:t>método</w:t>
      </w:r>
      <w:r w:rsidR="000C2FE2" w:rsidRPr="005B541A">
        <w:rPr>
          <w:color w:val="000000" w:themeColor="text1"/>
          <w:lang w:val="es-ES" w:bidi="en-US"/>
        </w:rPr>
        <w:t xml:space="preserve"> </w:t>
      </w:r>
      <w:r w:rsidRPr="005B541A">
        <w:rPr>
          <w:color w:val="000000" w:themeColor="text1"/>
          <w:lang w:bidi="en-US"/>
        </w:rPr>
        <w:t>de juicios de expertos</w:t>
      </w:r>
      <w:r w:rsidRPr="005B541A">
        <w:rPr>
          <w:color w:val="000000" w:themeColor="text1"/>
          <w:lang w:val="es-ES" w:bidi="en-US"/>
        </w:rPr>
        <w:t xml:space="preserve"> para</w:t>
      </w:r>
      <w:r w:rsidRPr="005B541A">
        <w:rPr>
          <w:color w:val="000000" w:themeColor="text1"/>
          <w:lang w:bidi="en-US"/>
        </w:rPr>
        <w:t xml:space="preserve"> evaluar</w:t>
      </w:r>
      <w:r w:rsidRPr="005B541A">
        <w:rPr>
          <w:color w:val="000000" w:themeColor="text1"/>
          <w:lang w:val="es-ES" w:bidi="en-US"/>
        </w:rPr>
        <w:t xml:space="preserve"> la validez del contenido </w:t>
      </w:r>
      <w:r w:rsidRPr="005B541A">
        <w:rPr>
          <w:color w:val="000000" w:themeColor="text1"/>
          <w:lang w:bidi="en-US"/>
        </w:rPr>
        <w:t xml:space="preserve">del IM </w:t>
      </w:r>
      <w:r w:rsidRPr="005B541A">
        <w:rPr>
          <w:color w:val="000000" w:themeColor="text1"/>
          <w:lang w:val="es-ES" w:bidi="en-US"/>
        </w:rPr>
        <w:t xml:space="preserve">es el </w:t>
      </w:r>
      <w:r w:rsidRPr="005B541A">
        <w:rPr>
          <w:color w:val="000000" w:themeColor="text1"/>
          <w:lang w:bidi="en-US"/>
        </w:rPr>
        <w:t>que</w:t>
      </w:r>
      <w:r w:rsidRPr="005B541A">
        <w:rPr>
          <w:color w:val="000000" w:themeColor="text1"/>
          <w:lang w:val="es-ES" w:bidi="en-US"/>
        </w:rPr>
        <w:t xml:space="preserve"> maximiza la verosimilitud de los instrumentos de medición</w:t>
      </w:r>
      <w:r w:rsidRPr="005B541A">
        <w:rPr>
          <w:color w:val="000000" w:themeColor="text1"/>
          <w:lang w:bidi="en-US"/>
        </w:rPr>
        <w:t>,</w:t>
      </w:r>
      <w:r w:rsidRPr="005B541A">
        <w:rPr>
          <w:color w:val="000000" w:themeColor="text1"/>
          <w:lang w:val="es-ES" w:bidi="en-US"/>
        </w:rPr>
        <w:t xml:space="preserve"> </w:t>
      </w:r>
      <w:r w:rsidRPr="005B541A">
        <w:rPr>
          <w:color w:val="000000" w:themeColor="text1"/>
          <w:lang w:bidi="en-US"/>
        </w:rPr>
        <w:t>y dicho método consiste en</w:t>
      </w:r>
      <w:r w:rsidRPr="005B541A">
        <w:rPr>
          <w:color w:val="000000" w:themeColor="text1"/>
          <w:lang w:val="es-ES" w:bidi="en-US"/>
        </w:rPr>
        <w:t xml:space="preserve"> </w:t>
      </w:r>
      <w:r w:rsidRPr="005B541A">
        <w:rPr>
          <w:color w:val="000000" w:themeColor="text1"/>
          <w:lang w:bidi="en-US"/>
        </w:rPr>
        <w:t>integrar a un</w:t>
      </w:r>
      <w:r w:rsidRPr="005B541A">
        <w:rPr>
          <w:color w:val="000000" w:themeColor="text1"/>
          <w:lang w:val="es-ES" w:bidi="en-US"/>
        </w:rPr>
        <w:t xml:space="preserve"> grupo de personas expertas en el tema, quienes </w:t>
      </w:r>
      <w:r w:rsidRPr="005B541A">
        <w:rPr>
          <w:color w:val="000000" w:themeColor="text1"/>
          <w:lang w:bidi="en-US"/>
        </w:rPr>
        <w:t>deciden</w:t>
      </w:r>
      <w:r w:rsidRPr="005B541A">
        <w:rPr>
          <w:color w:val="000000" w:themeColor="text1"/>
          <w:lang w:val="es-ES" w:bidi="en-US"/>
        </w:rPr>
        <w:t xml:space="preserve"> si </w:t>
      </w:r>
      <w:r w:rsidR="009D7D3A" w:rsidRPr="005B541A">
        <w:rPr>
          <w:color w:val="000000" w:themeColor="text1"/>
          <w:lang w:val="es-ES" w:bidi="en-US"/>
        </w:rPr>
        <w:t xml:space="preserve">los </w:t>
      </w:r>
      <w:r w:rsidR="009D7D3A" w:rsidRPr="005B541A">
        <w:rPr>
          <w:color w:val="000000" w:themeColor="text1"/>
          <w:lang w:bidi="en-US"/>
        </w:rPr>
        <w:t>ítems</w:t>
      </w:r>
      <w:r w:rsidRPr="005B541A">
        <w:rPr>
          <w:color w:val="000000" w:themeColor="text1"/>
          <w:lang w:val="es-ES" w:bidi="en-US"/>
        </w:rPr>
        <w:t xml:space="preserve"> son suficientes,</w:t>
      </w:r>
      <w:r w:rsidRPr="005B541A">
        <w:rPr>
          <w:color w:val="000000" w:themeColor="text1"/>
          <w:lang w:bidi="en-US"/>
        </w:rPr>
        <w:t xml:space="preserve"> claros, coherentes y relevantes.</w:t>
      </w:r>
      <w:r w:rsidRPr="005B541A">
        <w:rPr>
          <w:color w:val="000000" w:themeColor="text1"/>
          <w:lang w:val="es-ES" w:bidi="en-US"/>
        </w:rPr>
        <w:t xml:space="preserve"> </w:t>
      </w:r>
    </w:p>
    <w:p w14:paraId="4BDDCD44" w14:textId="77777777" w:rsidR="00C74762" w:rsidRDefault="001A2224" w:rsidP="00F93273">
      <w:pPr>
        <w:snapToGrid w:val="0"/>
        <w:spacing w:line="360" w:lineRule="auto"/>
        <w:ind w:firstLine="709"/>
        <w:jc w:val="both"/>
        <w:rPr>
          <w:color w:val="000000" w:themeColor="text1"/>
          <w:lang w:bidi="en-US"/>
        </w:rPr>
      </w:pPr>
      <w:r w:rsidRPr="005B541A">
        <w:rPr>
          <w:color w:val="000000" w:themeColor="text1"/>
          <w:lang w:bidi="en-US"/>
        </w:rPr>
        <w:t xml:space="preserve">El procedimiento para validar </w:t>
      </w:r>
      <w:r w:rsidRPr="005B541A">
        <w:rPr>
          <w:color w:val="000000" w:themeColor="text1"/>
          <w:lang w:val="es-ES" w:bidi="en-US"/>
        </w:rPr>
        <w:t>el contenido del instrumento de medición consta de cuatro etapas</w:t>
      </w:r>
      <w:r w:rsidRPr="005B541A">
        <w:rPr>
          <w:color w:val="000000" w:themeColor="text1"/>
          <w:lang w:bidi="en-US"/>
        </w:rPr>
        <w:t>: l</w:t>
      </w:r>
      <w:r w:rsidRPr="005B541A">
        <w:rPr>
          <w:color w:val="000000" w:themeColor="text1"/>
          <w:lang w:val="es-ES" w:bidi="en-US"/>
        </w:rPr>
        <w:t>a primera etapa, conocida como "definición", con</w:t>
      </w:r>
      <w:r w:rsidRPr="005B541A">
        <w:rPr>
          <w:color w:val="000000" w:themeColor="text1"/>
          <w:lang w:bidi="en-US"/>
        </w:rPr>
        <w:t>siste en llevar a cabo una revisión de literatura que sirva como base para seleccionar</w:t>
      </w:r>
      <w:r w:rsidRPr="005B541A">
        <w:rPr>
          <w:color w:val="000000" w:themeColor="text1"/>
          <w:lang w:val="es-ES" w:bidi="en-US"/>
        </w:rPr>
        <w:t xml:space="preserve"> los constructos y </w:t>
      </w:r>
      <w:r w:rsidRPr="005B541A">
        <w:rPr>
          <w:color w:val="000000" w:themeColor="text1"/>
          <w:lang w:bidi="en-US"/>
        </w:rPr>
        <w:t xml:space="preserve">sus </w:t>
      </w:r>
      <w:r w:rsidRPr="005B541A">
        <w:rPr>
          <w:color w:val="000000" w:themeColor="text1"/>
          <w:lang w:bidi="en-US"/>
        </w:rPr>
        <w:lastRenderedPageBreak/>
        <w:t>correspondientes ítems; en l</w:t>
      </w:r>
      <w:r w:rsidRPr="005B541A">
        <w:rPr>
          <w:color w:val="000000" w:themeColor="text1"/>
          <w:lang w:val="es-ES" w:bidi="en-US"/>
        </w:rPr>
        <w:t xml:space="preserve">a segunda etapa, </w:t>
      </w:r>
      <w:r w:rsidRPr="005B541A">
        <w:rPr>
          <w:color w:val="000000" w:themeColor="text1"/>
          <w:lang w:bidi="en-US"/>
        </w:rPr>
        <w:t>se lleva a cabo el</w:t>
      </w:r>
      <w:r w:rsidRPr="005B541A">
        <w:rPr>
          <w:color w:val="000000" w:themeColor="text1"/>
          <w:lang w:val="es-ES" w:bidi="en-US"/>
        </w:rPr>
        <w:t xml:space="preserve"> juicio de expertos,</w:t>
      </w:r>
      <w:r w:rsidRPr="005B541A">
        <w:rPr>
          <w:color w:val="000000" w:themeColor="text1"/>
          <w:lang w:bidi="en-US"/>
        </w:rPr>
        <w:t xml:space="preserve"> en donde</w:t>
      </w:r>
      <w:r w:rsidRPr="005B541A">
        <w:rPr>
          <w:color w:val="000000" w:themeColor="text1"/>
          <w:lang w:val="es-ES" w:bidi="en-US"/>
        </w:rPr>
        <w:t xml:space="preserve"> </w:t>
      </w:r>
      <w:r w:rsidRPr="005B541A">
        <w:rPr>
          <w:color w:val="000000" w:themeColor="text1"/>
          <w:lang w:bidi="en-US"/>
        </w:rPr>
        <w:t>se selecciona</w:t>
      </w:r>
      <w:r w:rsidRPr="005B541A">
        <w:rPr>
          <w:color w:val="000000" w:themeColor="text1"/>
          <w:lang w:val="es-ES" w:bidi="en-US"/>
        </w:rPr>
        <w:t xml:space="preserve"> </w:t>
      </w:r>
      <w:r w:rsidRPr="005B541A">
        <w:rPr>
          <w:color w:val="000000" w:themeColor="text1"/>
          <w:lang w:bidi="en-US"/>
        </w:rPr>
        <w:t>al</w:t>
      </w:r>
      <w:r w:rsidRPr="005B541A">
        <w:rPr>
          <w:color w:val="000000" w:themeColor="text1"/>
          <w:lang w:val="es-ES" w:bidi="en-US"/>
        </w:rPr>
        <w:t xml:space="preserve"> grupo de expertos</w:t>
      </w:r>
      <w:r w:rsidRPr="005B541A">
        <w:rPr>
          <w:color w:val="000000" w:themeColor="text1"/>
          <w:lang w:bidi="en-US"/>
        </w:rPr>
        <w:t xml:space="preserve"> que evalúan la suficiencia, claridad, coherencia y relevancia de </w:t>
      </w:r>
      <w:r w:rsidRPr="005B541A">
        <w:rPr>
          <w:color w:val="000000" w:themeColor="text1"/>
          <w:lang w:val="es-ES" w:bidi="en-US"/>
        </w:rPr>
        <w:t xml:space="preserve">los </w:t>
      </w:r>
      <w:r w:rsidRPr="005B541A">
        <w:rPr>
          <w:color w:val="000000" w:themeColor="text1"/>
          <w:lang w:bidi="en-US"/>
        </w:rPr>
        <w:t>ítems</w:t>
      </w:r>
      <w:r w:rsidRPr="005B541A">
        <w:rPr>
          <w:color w:val="000000" w:themeColor="text1"/>
          <w:lang w:val="es-ES" w:bidi="en-US"/>
        </w:rPr>
        <w:t xml:space="preserve"> </w:t>
      </w:r>
      <w:r w:rsidRPr="005B541A">
        <w:rPr>
          <w:color w:val="000000" w:themeColor="text1"/>
          <w:lang w:bidi="en-US"/>
        </w:rPr>
        <w:t>y los constructos del instrumento de medición</w:t>
      </w:r>
      <w:r w:rsidR="00C74762">
        <w:rPr>
          <w:color w:val="000000" w:themeColor="text1"/>
          <w:lang w:bidi="en-US"/>
        </w:rPr>
        <w:t>.</w:t>
      </w:r>
      <w:r w:rsidRPr="005B541A">
        <w:rPr>
          <w:color w:val="000000" w:themeColor="text1"/>
          <w:lang w:bidi="en-US"/>
        </w:rPr>
        <w:t xml:space="preserve"> </w:t>
      </w:r>
    </w:p>
    <w:p w14:paraId="39B3B27E" w14:textId="22C319F0" w:rsidR="005B541A" w:rsidRDefault="00C74762" w:rsidP="00F93273">
      <w:pPr>
        <w:snapToGrid w:val="0"/>
        <w:spacing w:line="360" w:lineRule="auto"/>
        <w:ind w:firstLine="709"/>
        <w:jc w:val="both"/>
        <w:rPr>
          <w:color w:val="000000" w:themeColor="text1"/>
          <w:lang w:val="es-ES" w:bidi="en-US"/>
        </w:rPr>
      </w:pPr>
      <w:r>
        <w:rPr>
          <w:color w:val="000000" w:themeColor="text1"/>
          <w:lang w:bidi="en-US"/>
        </w:rPr>
        <w:t>E</w:t>
      </w:r>
      <w:r w:rsidR="001A2224" w:rsidRPr="005B541A">
        <w:rPr>
          <w:color w:val="000000" w:themeColor="text1"/>
          <w:lang w:bidi="en-US"/>
        </w:rPr>
        <w:t>n l</w:t>
      </w:r>
      <w:r w:rsidR="001A2224" w:rsidRPr="005B541A">
        <w:rPr>
          <w:color w:val="000000" w:themeColor="text1"/>
          <w:lang w:val="es-ES" w:bidi="en-US"/>
        </w:rPr>
        <w:t xml:space="preserve">a tercera etapa, </w:t>
      </w:r>
      <w:r w:rsidR="001A2224" w:rsidRPr="005B541A">
        <w:rPr>
          <w:color w:val="000000" w:themeColor="text1"/>
          <w:lang w:bidi="en-US"/>
        </w:rPr>
        <w:t>se realiza el análisis estadístico para determinar si existe concordancia entre las calificaciones asignadas por los jueces, no atribuible al azar, a los constructos e items del IM;  la cuarta</w:t>
      </w:r>
      <w:r w:rsidR="001A2224" w:rsidRPr="005B541A">
        <w:rPr>
          <w:color w:val="000000" w:themeColor="text1"/>
          <w:lang w:val="es-ES" w:bidi="en-US"/>
        </w:rPr>
        <w:t xml:space="preserve"> etapa </w:t>
      </w:r>
      <w:r w:rsidR="001A2224" w:rsidRPr="005B541A">
        <w:rPr>
          <w:color w:val="000000" w:themeColor="text1"/>
          <w:lang w:bidi="en-US"/>
        </w:rPr>
        <w:t>se ejecuta en caso de que en la etapa 3 el instrumento de medición se declarado con no validez de contenido, y consiste en reestructurar y/o elimina los ítems</w:t>
      </w:r>
      <w:r w:rsidR="001A2224" w:rsidRPr="005B541A">
        <w:rPr>
          <w:color w:val="000000" w:themeColor="text1"/>
          <w:lang w:val="es-ES" w:bidi="en-US"/>
        </w:rPr>
        <w:t xml:space="preserve"> </w:t>
      </w:r>
      <w:r w:rsidR="001A2224" w:rsidRPr="005B541A">
        <w:rPr>
          <w:color w:val="000000" w:themeColor="text1"/>
          <w:lang w:bidi="en-US"/>
        </w:rPr>
        <w:t>y/o constructos para reiniciar en la etapa dos, este proceso se repite hasta lograr la validez de contenido</w:t>
      </w:r>
      <w:r w:rsidR="001A2224" w:rsidRPr="005B541A">
        <w:rPr>
          <w:color w:val="000000" w:themeColor="text1"/>
          <w:lang w:val="es-ES" w:bidi="en-US"/>
        </w:rPr>
        <w:t xml:space="preserve">. </w:t>
      </w:r>
    </w:p>
    <w:p w14:paraId="7DA24784" w14:textId="4571CC34" w:rsidR="0014284F" w:rsidRPr="005B541A" w:rsidRDefault="001A2224" w:rsidP="00F93273">
      <w:pPr>
        <w:snapToGrid w:val="0"/>
        <w:spacing w:line="360" w:lineRule="auto"/>
        <w:ind w:firstLine="709"/>
        <w:jc w:val="both"/>
        <w:rPr>
          <w:color w:val="000000" w:themeColor="text1"/>
          <w:lang w:val="es-ES" w:bidi="en-US"/>
        </w:rPr>
      </w:pPr>
      <w:r w:rsidRPr="005B541A">
        <w:rPr>
          <w:color w:val="000000" w:themeColor="text1"/>
          <w:lang w:bidi="en-US"/>
        </w:rPr>
        <w:t>En la</w:t>
      </w:r>
      <w:r w:rsidRPr="005B541A">
        <w:rPr>
          <w:color w:val="000000" w:themeColor="text1"/>
          <w:lang w:val="es-ES" w:bidi="en-US"/>
        </w:rPr>
        <w:t xml:space="preserve"> evaluación de la validez de contenido del IM </w:t>
      </w:r>
      <w:r w:rsidRPr="005B541A">
        <w:rPr>
          <w:color w:val="000000" w:themeColor="text1"/>
          <w:lang w:bidi="en-US"/>
        </w:rPr>
        <w:t xml:space="preserve">se busca determinar </w:t>
      </w:r>
      <w:r w:rsidRPr="005B541A">
        <w:rPr>
          <w:color w:val="000000" w:themeColor="text1"/>
          <w:lang w:val="es-ES" w:bidi="en-US"/>
        </w:rPr>
        <w:t xml:space="preserve">si los </w:t>
      </w:r>
      <w:r w:rsidR="0091235C" w:rsidRPr="005B541A">
        <w:rPr>
          <w:color w:val="000000" w:themeColor="text1"/>
          <w:lang w:bidi="en-US"/>
        </w:rPr>
        <w:t>ítem</w:t>
      </w:r>
      <w:r w:rsidR="0091235C" w:rsidRPr="005B541A">
        <w:rPr>
          <w:color w:val="000000" w:themeColor="text1"/>
          <w:lang w:val="es-ES" w:bidi="en-US"/>
        </w:rPr>
        <w:t>s propuestos</w:t>
      </w:r>
      <w:r w:rsidRPr="005B541A">
        <w:rPr>
          <w:color w:val="000000" w:themeColor="text1"/>
          <w:lang w:val="es-ES" w:bidi="en-US"/>
        </w:rPr>
        <w:t xml:space="preserve"> </w:t>
      </w:r>
      <w:r w:rsidRPr="005B541A">
        <w:rPr>
          <w:color w:val="000000" w:themeColor="text1"/>
          <w:lang w:bidi="en-US"/>
        </w:rPr>
        <w:t>corresponden</w:t>
      </w:r>
      <w:r w:rsidRPr="005B541A">
        <w:rPr>
          <w:color w:val="000000" w:themeColor="text1"/>
          <w:lang w:val="es-ES" w:bidi="en-US"/>
        </w:rPr>
        <w:t xml:space="preserve"> </w:t>
      </w:r>
      <w:r w:rsidRPr="005B541A">
        <w:rPr>
          <w:color w:val="000000" w:themeColor="text1"/>
          <w:lang w:bidi="en-US"/>
        </w:rPr>
        <w:t>a</w:t>
      </w:r>
      <w:r w:rsidRPr="005B541A">
        <w:rPr>
          <w:color w:val="000000" w:themeColor="text1"/>
          <w:lang w:val="es-ES" w:bidi="en-US"/>
        </w:rPr>
        <w:t>l dominio de contenido que se busca medir</w:t>
      </w:r>
      <w:r w:rsidRPr="005B541A">
        <w:rPr>
          <w:color w:val="000000" w:themeColor="text1"/>
          <w:lang w:bidi="en-US"/>
        </w:rPr>
        <w:t xml:space="preserve"> en base a los conocimientos y experiencia de los expertos que participan como jueces</w:t>
      </w:r>
      <w:r w:rsidRPr="005B541A">
        <w:rPr>
          <w:color w:val="000000" w:themeColor="text1"/>
          <w:lang w:val="es-ES" w:bidi="en-US"/>
        </w:rPr>
        <w:t>.</w:t>
      </w:r>
      <w:r w:rsidRPr="005B541A">
        <w:rPr>
          <w:color w:val="000000" w:themeColor="text1"/>
          <w:lang w:bidi="en-US"/>
        </w:rPr>
        <w:t xml:space="preserve"> Para </w:t>
      </w:r>
      <w:r w:rsidR="009D7D3A" w:rsidRPr="005B541A">
        <w:rPr>
          <w:color w:val="000000" w:themeColor="text1"/>
          <w:lang w:bidi="en-US"/>
        </w:rPr>
        <w:t>el</w:t>
      </w:r>
      <w:r w:rsidRPr="005B541A">
        <w:rPr>
          <w:color w:val="000000" w:themeColor="text1"/>
          <w:lang w:bidi="en-US"/>
        </w:rPr>
        <w:t>lo se realiza un análisis estadístico</w:t>
      </w:r>
      <w:r w:rsidR="009D7D3A" w:rsidRPr="005B541A">
        <w:rPr>
          <w:color w:val="000000" w:themeColor="text1"/>
          <w:lang w:bidi="en-US"/>
        </w:rPr>
        <w:t>, con el que se</w:t>
      </w:r>
      <w:r w:rsidRPr="005B541A">
        <w:rPr>
          <w:color w:val="000000" w:themeColor="text1"/>
          <w:lang w:bidi="en-US"/>
        </w:rPr>
        <w:t xml:space="preserve"> determina si las</w:t>
      </w:r>
      <w:r w:rsidRPr="005B541A">
        <w:rPr>
          <w:color w:val="000000" w:themeColor="text1"/>
          <w:lang w:val="es-ES" w:bidi="en-US"/>
        </w:rPr>
        <w:t xml:space="preserve"> </w:t>
      </w:r>
      <w:r w:rsidRPr="005B541A">
        <w:rPr>
          <w:color w:val="000000" w:themeColor="text1"/>
          <w:lang w:bidi="en-US"/>
        </w:rPr>
        <w:t xml:space="preserve">concordancias en los </w:t>
      </w:r>
      <w:r w:rsidRPr="005B541A">
        <w:rPr>
          <w:color w:val="000000" w:themeColor="text1"/>
          <w:lang w:val="es-ES" w:bidi="en-US"/>
        </w:rPr>
        <w:t xml:space="preserve">juicios </w:t>
      </w:r>
      <w:r w:rsidRPr="005B541A">
        <w:rPr>
          <w:color w:val="000000" w:themeColor="text1"/>
          <w:lang w:bidi="en-US"/>
        </w:rPr>
        <w:t>emitidos por los</w:t>
      </w:r>
      <w:r w:rsidRPr="005B541A">
        <w:rPr>
          <w:color w:val="000000" w:themeColor="text1"/>
          <w:lang w:val="es-ES" w:bidi="en-US"/>
        </w:rPr>
        <w:t xml:space="preserve"> expertos para cada ítem y para el conjunto</w:t>
      </w:r>
      <w:r w:rsidRPr="005B541A">
        <w:rPr>
          <w:color w:val="000000" w:themeColor="text1"/>
          <w:lang w:bidi="en-US"/>
        </w:rPr>
        <w:t xml:space="preserve"> de constructos o dimensiones</w:t>
      </w:r>
      <w:r w:rsidRPr="005B541A">
        <w:rPr>
          <w:color w:val="000000" w:themeColor="text1"/>
          <w:lang w:val="es-ES" w:bidi="en-US"/>
        </w:rPr>
        <w:t xml:space="preserve"> son atribuibles al azar. Para comprobar estas hipótesis se emplean el índice de validez de contenido (CVI, por sus siglas en inglés, Lynn, 1986), los índices de razón de validez de contenido (CVR, por sus siglas en inglés, Lawshe, 1975), la prueba de concordancia de Kendall </w:t>
      </w:r>
      <w:sdt>
        <w:sdtPr>
          <w:rPr>
            <w:color w:val="000000" w:themeColor="text1"/>
            <w:lang w:val="es-ES" w:bidi="en-US"/>
          </w:rPr>
          <w:id w:val="1188482853"/>
        </w:sdtPr>
        <w:sdtEndPr/>
        <w:sdtContent>
          <w:r w:rsidRPr="005B541A">
            <w:rPr>
              <w:color w:val="000000" w:themeColor="text1"/>
              <w:lang w:val="es-ES" w:bidi="en-US"/>
            </w:rPr>
            <w:fldChar w:fldCharType="begin"/>
          </w:r>
          <w:r w:rsidRPr="005B541A">
            <w:rPr>
              <w:color w:val="000000" w:themeColor="text1"/>
              <w:lang w:bidi="en-US"/>
            </w:rPr>
            <w:instrText xml:space="preserve"> CITATION Pol07 \l 1034 </w:instrText>
          </w:r>
          <w:r w:rsidRPr="005B541A">
            <w:rPr>
              <w:color w:val="000000" w:themeColor="text1"/>
              <w:lang w:val="es-ES" w:bidi="en-US"/>
            </w:rPr>
            <w:fldChar w:fldCharType="separate"/>
          </w:r>
          <w:r w:rsidRPr="005B541A">
            <w:rPr>
              <w:color w:val="000000" w:themeColor="text1"/>
              <w:lang w:bidi="en-US"/>
            </w:rPr>
            <w:t>(Polit et al., 2007)</w:t>
          </w:r>
          <w:r w:rsidRPr="005B541A">
            <w:rPr>
              <w:color w:val="000000" w:themeColor="text1"/>
              <w:lang w:val="es-ES" w:bidi="en-US"/>
            </w:rPr>
            <w:fldChar w:fldCharType="end"/>
          </w:r>
        </w:sdtContent>
      </w:sdt>
      <w:r w:rsidRPr="005B541A">
        <w:rPr>
          <w:color w:val="000000" w:themeColor="text1"/>
          <w:lang w:val="es-ES" w:bidi="en-US"/>
        </w:rPr>
        <w:t xml:space="preserve"> y el índice Kappa modificado</w:t>
      </w:r>
      <w:r w:rsidRPr="005B541A">
        <w:rPr>
          <w:color w:val="000000" w:themeColor="text1"/>
          <w:lang w:bidi="en-US"/>
        </w:rPr>
        <w:t>, entre otros</w:t>
      </w:r>
      <w:r w:rsidRPr="005B541A">
        <w:rPr>
          <w:color w:val="000000" w:themeColor="text1"/>
          <w:lang w:val="es-ES" w:bidi="en-US"/>
        </w:rPr>
        <w:t>.</w:t>
      </w:r>
    </w:p>
    <w:p w14:paraId="559E93C1" w14:textId="0B0E7619" w:rsidR="0014284F" w:rsidRPr="005B541A" w:rsidRDefault="001A2224" w:rsidP="00F93273">
      <w:pPr>
        <w:snapToGrid w:val="0"/>
        <w:spacing w:line="360" w:lineRule="auto"/>
        <w:ind w:firstLine="709"/>
        <w:jc w:val="both"/>
        <w:rPr>
          <w:color w:val="000000" w:themeColor="text1"/>
          <w:lang w:val="es-ES" w:bidi="en-US"/>
        </w:rPr>
      </w:pPr>
      <w:r w:rsidRPr="005B541A">
        <w:rPr>
          <w:color w:val="000000" w:themeColor="text1"/>
        </w:rPr>
        <w:t>P</w:t>
      </w:r>
      <w:r w:rsidRPr="005B541A">
        <w:rPr>
          <w:color w:val="000000" w:themeColor="text1"/>
          <w:lang w:val="es-ES"/>
        </w:rPr>
        <w:t xml:space="preserve">ara probar la hipótesis de que las concordancias entre jueces son </w:t>
      </w:r>
      <w:r w:rsidRPr="005B541A">
        <w:rPr>
          <w:color w:val="000000" w:themeColor="text1"/>
        </w:rPr>
        <w:t xml:space="preserve">atribuibles </w:t>
      </w:r>
      <w:r w:rsidRPr="005B541A">
        <w:rPr>
          <w:color w:val="000000" w:themeColor="text1"/>
          <w:lang w:val="es-ES"/>
        </w:rPr>
        <w:t>al azar</w:t>
      </w:r>
      <w:r w:rsidRPr="005B541A">
        <w:rPr>
          <w:color w:val="000000" w:themeColor="text1"/>
          <w:lang w:val="es-ES" w:bidi="en-US"/>
        </w:rPr>
        <w:t xml:space="preserve">, Almanasreh et al. </w:t>
      </w:r>
      <w:sdt>
        <w:sdtPr>
          <w:rPr>
            <w:color w:val="000000" w:themeColor="text1"/>
            <w:lang w:val="es-ES" w:bidi="en-US"/>
          </w:rPr>
          <w:id w:val="-993250140"/>
        </w:sdtPr>
        <w:sdtEndPr/>
        <w:sdtContent>
          <w:r w:rsidRPr="005B541A">
            <w:rPr>
              <w:color w:val="000000" w:themeColor="text1"/>
              <w:lang w:val="es-ES" w:bidi="en-US"/>
            </w:rPr>
            <w:fldChar w:fldCharType="begin"/>
          </w:r>
          <w:r w:rsidRPr="005B541A">
            <w:rPr>
              <w:color w:val="000000" w:themeColor="text1"/>
              <w:lang w:bidi="en-US"/>
            </w:rPr>
            <w:instrText xml:space="preserve">CITATION Alm19 \n  \t  \l 1034 </w:instrText>
          </w:r>
          <w:r w:rsidRPr="005B541A">
            <w:rPr>
              <w:color w:val="000000" w:themeColor="text1"/>
              <w:lang w:val="es-ES" w:bidi="en-US"/>
            </w:rPr>
            <w:fldChar w:fldCharType="separate"/>
          </w:r>
          <w:r w:rsidRPr="005B541A">
            <w:rPr>
              <w:color w:val="000000" w:themeColor="text1"/>
              <w:lang w:bidi="en-US"/>
            </w:rPr>
            <w:t>(2019)</w:t>
          </w:r>
          <w:r w:rsidRPr="005B541A">
            <w:rPr>
              <w:color w:val="000000" w:themeColor="text1"/>
              <w:lang w:val="es-ES" w:bidi="en-US"/>
            </w:rPr>
            <w:fldChar w:fldCharType="end"/>
          </w:r>
        </w:sdtContent>
      </w:sdt>
      <w:r w:rsidRPr="005B541A">
        <w:rPr>
          <w:color w:val="000000" w:themeColor="text1"/>
          <w:lang w:val="es-ES" w:bidi="en-US"/>
        </w:rPr>
        <w:t xml:space="preserve"> </w:t>
      </w:r>
      <w:r w:rsidRPr="005B541A">
        <w:rPr>
          <w:color w:val="000000" w:themeColor="text1"/>
          <w:lang w:bidi="en-US"/>
        </w:rPr>
        <w:t>y</w:t>
      </w:r>
      <w:r w:rsidRPr="005B541A">
        <w:rPr>
          <w:color w:val="000000" w:themeColor="text1"/>
          <w:lang w:val="es-ES" w:bidi="en-US"/>
        </w:rPr>
        <w:t xml:space="preserve"> Wilson et al. </w:t>
      </w:r>
      <w:sdt>
        <w:sdtPr>
          <w:rPr>
            <w:color w:val="000000" w:themeColor="text1"/>
            <w:lang w:val="es-ES" w:bidi="en-US"/>
          </w:rPr>
          <w:id w:val="-766998958"/>
        </w:sdtPr>
        <w:sdtEndPr/>
        <w:sdtContent>
          <w:r w:rsidRPr="005B541A">
            <w:rPr>
              <w:color w:val="000000" w:themeColor="text1"/>
              <w:lang w:val="es-ES" w:bidi="en-US"/>
            </w:rPr>
            <w:fldChar w:fldCharType="begin"/>
          </w:r>
          <w:r w:rsidRPr="005B541A">
            <w:rPr>
              <w:color w:val="000000" w:themeColor="text1"/>
              <w:lang w:bidi="en-US"/>
            </w:rPr>
            <w:instrText xml:space="preserve">CITATION Wil12 \n  \t  \l 1034 </w:instrText>
          </w:r>
          <w:r w:rsidRPr="005B541A">
            <w:rPr>
              <w:color w:val="000000" w:themeColor="text1"/>
              <w:lang w:val="es-ES" w:bidi="en-US"/>
            </w:rPr>
            <w:fldChar w:fldCharType="separate"/>
          </w:r>
          <w:r w:rsidRPr="005B541A">
            <w:rPr>
              <w:color w:val="000000" w:themeColor="text1"/>
              <w:lang w:bidi="en-US"/>
            </w:rPr>
            <w:t>(2012)</w:t>
          </w:r>
          <w:r w:rsidRPr="005B541A">
            <w:rPr>
              <w:color w:val="000000" w:themeColor="text1"/>
              <w:lang w:val="es-ES" w:bidi="en-US"/>
            </w:rPr>
            <w:fldChar w:fldCharType="end"/>
          </w:r>
        </w:sdtContent>
      </w:sdt>
      <w:r w:rsidRPr="005B541A">
        <w:rPr>
          <w:color w:val="000000" w:themeColor="text1"/>
          <w:lang w:val="es-ES" w:bidi="en-US"/>
        </w:rPr>
        <w:t xml:space="preserve"> </w:t>
      </w:r>
      <w:r w:rsidR="000C2FE2" w:rsidRPr="005B541A">
        <w:rPr>
          <w:color w:val="000000" w:themeColor="text1"/>
        </w:rPr>
        <w:t>recomiendan</w:t>
      </w:r>
      <w:r w:rsidRPr="005B541A">
        <w:rPr>
          <w:color w:val="000000" w:themeColor="text1"/>
        </w:rPr>
        <w:t xml:space="preserve"> utilizar </w:t>
      </w:r>
      <w:r w:rsidRPr="005B541A">
        <w:rPr>
          <w:color w:val="000000" w:themeColor="text1"/>
          <w:lang w:val="es-ES"/>
        </w:rPr>
        <w:t xml:space="preserve">el índice CVR por su sencillez para </w:t>
      </w:r>
      <w:r w:rsidRPr="005B541A">
        <w:rPr>
          <w:color w:val="000000" w:themeColor="text1"/>
        </w:rPr>
        <w:t>l</w:t>
      </w:r>
      <w:r w:rsidRPr="005B541A">
        <w:rPr>
          <w:color w:val="000000" w:themeColor="text1"/>
          <w:lang w:val="es-ES"/>
        </w:rPr>
        <w:t xml:space="preserve">a comparación con otros criterios alternativos, </w:t>
      </w:r>
      <w:r w:rsidRPr="005B541A">
        <w:rPr>
          <w:color w:val="000000" w:themeColor="text1"/>
        </w:rPr>
        <w:t xml:space="preserve">la existencia de valores tabulares de este indicador y por </w:t>
      </w:r>
      <w:r w:rsidRPr="005B541A">
        <w:rPr>
          <w:color w:val="000000" w:themeColor="text1"/>
          <w:lang w:val="es-ES"/>
        </w:rPr>
        <w:t xml:space="preserve">su facilidad de cuantificación. Sin embargo, cuando la cantidad de jueces expertos </w:t>
      </w:r>
      <w:r w:rsidRPr="005B541A">
        <w:rPr>
          <w:color w:val="000000" w:themeColor="text1"/>
          <w:lang w:val="es-ES" w:bidi="en-US"/>
        </w:rPr>
        <w:t>es igual a ocho, este valor crítico rompe la monotonía observada en el resto de estos valores</w:t>
      </w:r>
      <w:r w:rsidRPr="005B541A">
        <w:rPr>
          <w:color w:val="000000" w:themeColor="text1"/>
          <w:lang w:val="es-ES"/>
        </w:rPr>
        <w:t xml:space="preserve">. Para </w:t>
      </w:r>
      <w:r w:rsidRPr="005B541A">
        <w:rPr>
          <w:color w:val="000000" w:themeColor="text1"/>
        </w:rPr>
        <w:t>resolver este</w:t>
      </w:r>
      <w:r w:rsidRPr="005B541A">
        <w:rPr>
          <w:color w:val="000000" w:themeColor="text1"/>
          <w:lang w:val="es-ES"/>
        </w:rPr>
        <w:t xml:space="preserve"> problema</w:t>
      </w:r>
      <w:r w:rsidRPr="005B541A">
        <w:rPr>
          <w:color w:val="000000" w:themeColor="text1"/>
          <w:lang w:val="es-ES" w:bidi="en-US"/>
        </w:rPr>
        <w:t>, Wilson et al. (2012) proponen utiliza</w:t>
      </w:r>
      <w:r w:rsidRPr="005B541A">
        <w:rPr>
          <w:color w:val="000000" w:themeColor="text1"/>
          <w:lang w:bidi="en-US"/>
        </w:rPr>
        <w:t>r</w:t>
      </w:r>
      <w:r w:rsidRPr="005B541A">
        <w:rPr>
          <w:color w:val="000000" w:themeColor="text1"/>
          <w:lang w:val="es-ES" w:bidi="en-US"/>
        </w:rPr>
        <w:t xml:space="preserve"> </w:t>
      </w:r>
      <w:r w:rsidRPr="005B541A">
        <w:rPr>
          <w:color w:val="000000" w:themeColor="text1"/>
          <w:lang w:bidi="en-US"/>
        </w:rPr>
        <w:t>el indicador</w:t>
      </w:r>
    </w:p>
    <w:p w14:paraId="3F97363E" w14:textId="77777777" w:rsidR="0014284F" w:rsidRPr="005B541A" w:rsidRDefault="001A2224">
      <w:pPr>
        <w:snapToGrid w:val="0"/>
        <w:spacing w:after="240" w:line="360" w:lineRule="auto"/>
        <w:jc w:val="center"/>
        <w:rPr>
          <w:color w:val="000000" w:themeColor="text1"/>
          <w:sz w:val="28"/>
          <w:szCs w:val="28"/>
          <w:lang w:bidi="en-US"/>
        </w:rPr>
      </w:pPr>
      <w:r w:rsidRPr="005B541A">
        <w:rPr>
          <w:color w:val="000000" w:themeColor="text1"/>
          <w:sz w:val="28"/>
          <w:szCs w:val="28"/>
          <w:lang w:bidi="en-US"/>
        </w:rPr>
        <w:t xml:space="preserve">                                               </w:t>
      </w:r>
      <m:oMath>
        <m:r>
          <w:rPr>
            <w:rFonts w:ascii="Cambria Math" w:hAnsi="Cambria Math"/>
            <w:color w:val="000000" w:themeColor="text1"/>
            <w:sz w:val="28"/>
            <w:szCs w:val="28"/>
            <w:lang w:val="es-ES" w:bidi="en-US"/>
          </w:rPr>
          <m:t>CV</m:t>
        </m:r>
        <m:sSub>
          <m:sSubPr>
            <m:ctrlPr>
              <w:rPr>
                <w:rFonts w:ascii="Cambria Math" w:hAnsi="Cambria Math"/>
                <w:i/>
                <w:color w:val="000000" w:themeColor="text1"/>
                <w:sz w:val="28"/>
                <w:szCs w:val="28"/>
                <w:lang w:val="es-ES" w:bidi="en-US"/>
              </w:rPr>
            </m:ctrlPr>
          </m:sSubPr>
          <m:e>
            <m:r>
              <w:rPr>
                <w:rFonts w:ascii="Cambria Math" w:hAnsi="Cambria Math"/>
                <w:color w:val="000000" w:themeColor="text1"/>
                <w:sz w:val="28"/>
                <w:szCs w:val="28"/>
                <w:lang w:val="es-ES" w:bidi="en-US"/>
              </w:rPr>
              <m:t>R</m:t>
            </m:r>
          </m:e>
          <m:sub>
            <m:r>
              <w:rPr>
                <w:rFonts w:ascii="Cambria Math" w:hAnsi="Cambria Math"/>
                <w:color w:val="000000" w:themeColor="text1"/>
                <w:sz w:val="28"/>
                <w:szCs w:val="28"/>
                <w:lang w:val="es-ES" w:bidi="en-US"/>
              </w:rPr>
              <m:t>∝</m:t>
            </m:r>
          </m:sub>
        </m:sSub>
        <m:r>
          <w:rPr>
            <w:rFonts w:ascii="Cambria Math" w:hAnsi="Cambria Math"/>
            <w:color w:val="000000" w:themeColor="text1"/>
            <w:sz w:val="28"/>
            <w:szCs w:val="28"/>
            <w:lang w:val="es-ES" w:bidi="en-US"/>
          </w:rPr>
          <m:t>=</m:t>
        </m:r>
        <m:f>
          <m:fPr>
            <m:ctrlPr>
              <w:rPr>
                <w:rFonts w:ascii="Cambria Math" w:hAnsi="Cambria Math"/>
                <w:i/>
                <w:color w:val="000000" w:themeColor="text1"/>
                <w:sz w:val="28"/>
                <w:szCs w:val="28"/>
                <w:lang w:val="es-ES" w:bidi="en-US"/>
              </w:rPr>
            </m:ctrlPr>
          </m:fPr>
          <m:num>
            <m:sSub>
              <m:sSubPr>
                <m:ctrlPr>
                  <w:rPr>
                    <w:rFonts w:ascii="Cambria Math" w:hAnsi="Cambria Math"/>
                    <w:i/>
                    <w:color w:val="000000" w:themeColor="text1"/>
                    <w:sz w:val="28"/>
                    <w:szCs w:val="28"/>
                    <w:lang w:val="es-ES" w:bidi="en-US"/>
                  </w:rPr>
                </m:ctrlPr>
              </m:sSubPr>
              <m:e>
                <m:r>
                  <w:rPr>
                    <w:rFonts w:ascii="Cambria Math" w:hAnsi="Cambria Math"/>
                    <w:color w:val="000000" w:themeColor="text1"/>
                    <w:sz w:val="28"/>
                    <w:szCs w:val="28"/>
                    <w:lang w:val="es-ES" w:bidi="en-US"/>
                  </w:rPr>
                  <m:t>z</m:t>
                </m:r>
              </m:e>
              <m:sub>
                <m:r>
                  <w:rPr>
                    <w:rFonts w:ascii="Cambria Math" w:hAnsi="Cambria Math"/>
                    <w:color w:val="000000" w:themeColor="text1"/>
                    <w:sz w:val="28"/>
                    <w:szCs w:val="28"/>
                    <w:lang w:val="es-ES" w:bidi="en-US"/>
                  </w:rPr>
                  <m:t>∝</m:t>
                </m:r>
              </m:sub>
            </m:sSub>
          </m:num>
          <m:den>
            <m:rad>
              <m:radPr>
                <m:degHide m:val="1"/>
                <m:ctrlPr>
                  <w:rPr>
                    <w:rFonts w:ascii="Cambria Math" w:hAnsi="Cambria Math"/>
                    <w:i/>
                    <w:color w:val="000000" w:themeColor="text1"/>
                    <w:sz w:val="28"/>
                    <w:szCs w:val="28"/>
                    <w:lang w:val="es-ES" w:bidi="en-US"/>
                  </w:rPr>
                </m:ctrlPr>
              </m:radPr>
              <m:deg/>
              <m:e>
                <m:r>
                  <w:rPr>
                    <w:rFonts w:ascii="Cambria Math" w:hAnsi="Cambria Math"/>
                    <w:color w:val="000000" w:themeColor="text1"/>
                    <w:sz w:val="28"/>
                    <w:szCs w:val="28"/>
                    <w:lang w:val="es-ES" w:bidi="en-US"/>
                  </w:rPr>
                  <m:t>N</m:t>
                </m:r>
              </m:e>
            </m:rad>
          </m:den>
        </m:f>
      </m:oMath>
      <w:r w:rsidRPr="005B541A">
        <w:rPr>
          <w:color w:val="000000" w:themeColor="text1"/>
          <w:sz w:val="28"/>
          <w:szCs w:val="28"/>
          <w:lang w:bidi="en-US"/>
        </w:rPr>
        <w:t xml:space="preserve">                                                       (1)</w:t>
      </w:r>
    </w:p>
    <w:p w14:paraId="2F77699B" w14:textId="77777777" w:rsidR="004E2A40" w:rsidRDefault="001A2224" w:rsidP="00F93273">
      <w:pPr>
        <w:snapToGrid w:val="0"/>
        <w:spacing w:line="360" w:lineRule="auto"/>
        <w:ind w:firstLine="567"/>
        <w:jc w:val="both"/>
        <w:rPr>
          <w:color w:val="000000" w:themeColor="text1"/>
          <w:lang w:val="es-ES" w:bidi="en-US"/>
        </w:rPr>
      </w:pPr>
      <w:r w:rsidRPr="005B541A">
        <w:rPr>
          <w:color w:val="000000" w:themeColor="text1"/>
          <w:lang w:val="es-ES" w:bidi="en-US"/>
        </w:rPr>
        <w:t xml:space="preserve">donde </w:t>
      </w:r>
      <m:oMath>
        <m:r>
          <w:rPr>
            <w:rFonts w:ascii="Cambria Math" w:hAnsi="Cambria Math"/>
            <w:color w:val="000000" w:themeColor="text1"/>
            <w:lang w:val="es-ES" w:bidi="en-US"/>
          </w:rPr>
          <m:t>N</m:t>
        </m:r>
      </m:oMath>
      <w:r w:rsidRPr="005B541A">
        <w:rPr>
          <w:color w:val="000000" w:themeColor="text1"/>
          <w:lang w:val="es-ES" w:bidi="en-US"/>
        </w:rPr>
        <w:t xml:space="preserve"> representa el número de jueces expertos que realizan la evaluación, y </w:t>
      </w:r>
      <m:oMath>
        <m:sSub>
          <m:sSubPr>
            <m:ctrlPr>
              <w:rPr>
                <w:rFonts w:ascii="Cambria Math" w:hAnsi="Cambria Math"/>
                <w:i/>
                <w:color w:val="000000" w:themeColor="text1"/>
                <w:sz w:val="28"/>
                <w:szCs w:val="28"/>
                <w:lang w:val="es-ES" w:bidi="en-US"/>
              </w:rPr>
            </m:ctrlPr>
          </m:sSubPr>
          <m:e>
            <m:r>
              <w:rPr>
                <w:rFonts w:ascii="Cambria Math" w:hAnsi="Cambria Math"/>
                <w:color w:val="000000" w:themeColor="text1"/>
                <w:sz w:val="28"/>
                <w:szCs w:val="28"/>
                <w:lang w:val="es-ES" w:bidi="en-US"/>
              </w:rPr>
              <m:t>z</m:t>
            </m:r>
          </m:e>
          <m:sub>
            <m:r>
              <w:rPr>
                <w:rFonts w:ascii="Cambria Math" w:hAnsi="Cambria Math"/>
                <w:color w:val="000000" w:themeColor="text1"/>
                <w:sz w:val="28"/>
                <w:szCs w:val="28"/>
                <w:lang w:val="es-ES" w:bidi="en-US"/>
              </w:rPr>
              <m:t>∝</m:t>
            </m:r>
          </m:sub>
        </m:sSub>
      </m:oMath>
      <w:r w:rsidRPr="005B541A">
        <w:rPr>
          <w:color w:val="000000" w:themeColor="text1"/>
          <w:lang w:val="es-ES" w:bidi="en-US"/>
        </w:rPr>
        <w:t xml:space="preserve">corresponde al </w:t>
      </w:r>
      <w:r w:rsidRPr="005B541A">
        <w:rPr>
          <w:color w:val="000000" w:themeColor="text1"/>
          <w:lang w:bidi="en-US"/>
        </w:rPr>
        <w:t>valor del cuartil de la distribución normal estándar.</w:t>
      </w:r>
    </w:p>
    <w:p w14:paraId="54B42B4B" w14:textId="2EF8D49B" w:rsidR="0014284F" w:rsidRPr="005B541A" w:rsidRDefault="001A2224" w:rsidP="00F93273">
      <w:pPr>
        <w:snapToGrid w:val="0"/>
        <w:spacing w:line="360" w:lineRule="auto"/>
        <w:ind w:firstLine="709"/>
        <w:jc w:val="both"/>
        <w:rPr>
          <w:color w:val="000000" w:themeColor="text1"/>
          <w:lang w:val="es-ES" w:bidi="en-US"/>
        </w:rPr>
      </w:pPr>
      <w:r w:rsidRPr="005B541A">
        <w:rPr>
          <w:color w:val="000000" w:themeColor="text1"/>
          <w:lang w:bidi="en-US"/>
        </w:rPr>
        <w:t>Lynn (1986)</w:t>
      </w:r>
      <w:r w:rsidR="00C35D9B">
        <w:rPr>
          <w:color w:val="000000" w:themeColor="text1"/>
          <w:lang w:bidi="en-US"/>
        </w:rPr>
        <w:t>,</w:t>
      </w:r>
      <w:r w:rsidRPr="005B541A">
        <w:rPr>
          <w:color w:val="000000" w:themeColor="text1"/>
          <w:lang w:bidi="en-US"/>
        </w:rPr>
        <w:t xml:space="preserve"> propone utilizar e</w:t>
      </w:r>
      <w:r w:rsidRPr="005B541A">
        <w:rPr>
          <w:color w:val="000000" w:themeColor="text1"/>
          <w:lang w:val="es-ES" w:bidi="en-US"/>
        </w:rPr>
        <w:t xml:space="preserve">l método del </w:t>
      </w:r>
      <w:r w:rsidRPr="005B541A">
        <w:rPr>
          <w:color w:val="000000" w:themeColor="text1"/>
          <w:lang w:bidi="en-US"/>
        </w:rPr>
        <w:t>Í</w:t>
      </w:r>
      <w:r w:rsidRPr="005B541A">
        <w:rPr>
          <w:color w:val="000000" w:themeColor="text1"/>
          <w:lang w:val="es-ES" w:bidi="en-US"/>
        </w:rPr>
        <w:t xml:space="preserve">ndice de </w:t>
      </w:r>
      <w:r w:rsidRPr="005B541A">
        <w:rPr>
          <w:color w:val="000000" w:themeColor="text1"/>
          <w:lang w:bidi="en-US"/>
        </w:rPr>
        <w:t>V</w:t>
      </w:r>
      <w:r w:rsidRPr="005B541A">
        <w:rPr>
          <w:color w:val="000000" w:themeColor="text1"/>
          <w:lang w:val="es-ES" w:bidi="en-US"/>
        </w:rPr>
        <w:t xml:space="preserve">alidez de </w:t>
      </w:r>
      <w:r w:rsidRPr="005B541A">
        <w:rPr>
          <w:color w:val="000000" w:themeColor="text1"/>
          <w:lang w:bidi="en-US"/>
        </w:rPr>
        <w:t>C</w:t>
      </w:r>
      <w:r w:rsidRPr="005B541A">
        <w:rPr>
          <w:color w:val="000000" w:themeColor="text1"/>
          <w:lang w:val="es-ES" w:bidi="en-US"/>
        </w:rPr>
        <w:t xml:space="preserve">ontenido </w:t>
      </w:r>
      <w:r w:rsidR="00C35D9B">
        <w:rPr>
          <w:color w:val="000000" w:themeColor="text1"/>
          <w:lang w:val="es-ES" w:bidi="en-US"/>
        </w:rPr>
        <w:t>(</w:t>
      </w:r>
      <w:r w:rsidRPr="005B541A">
        <w:rPr>
          <w:color w:val="000000" w:themeColor="text1"/>
          <w:lang w:val="es-ES" w:bidi="en-US"/>
        </w:rPr>
        <w:t xml:space="preserve">CVI, por sus siglas en inglés) </w:t>
      </w:r>
      <w:r w:rsidRPr="005B541A">
        <w:rPr>
          <w:color w:val="000000" w:themeColor="text1"/>
          <w:lang w:bidi="en-US"/>
        </w:rPr>
        <w:t>como una</w:t>
      </w:r>
      <w:r w:rsidRPr="005B541A">
        <w:rPr>
          <w:color w:val="000000" w:themeColor="text1"/>
          <w:lang w:val="es-ES" w:bidi="en-US"/>
        </w:rPr>
        <w:t xml:space="preserve"> </w:t>
      </w:r>
      <w:r w:rsidRPr="005B541A">
        <w:rPr>
          <w:color w:val="000000" w:themeColor="text1"/>
          <w:lang w:bidi="en-US"/>
        </w:rPr>
        <w:t>alternativa</w:t>
      </w:r>
      <w:r w:rsidRPr="005B541A">
        <w:rPr>
          <w:color w:val="000000" w:themeColor="text1"/>
          <w:lang w:val="es-ES" w:bidi="en-US"/>
        </w:rPr>
        <w:t xml:space="preserve"> al método CVR</w:t>
      </w:r>
      <w:r w:rsidRPr="005B541A">
        <w:rPr>
          <w:color w:val="000000" w:themeColor="text1"/>
          <w:lang w:bidi="en-US"/>
        </w:rPr>
        <w:t xml:space="preserve"> </w:t>
      </w:r>
      <w:r w:rsidRPr="005B541A">
        <w:rPr>
          <w:color w:val="000000" w:themeColor="text1"/>
        </w:rPr>
        <w:t>debido a</w:t>
      </w:r>
      <w:r w:rsidRPr="005B541A">
        <w:rPr>
          <w:color w:val="000000" w:themeColor="text1"/>
          <w:lang w:val="es-ES"/>
        </w:rPr>
        <w:t xml:space="preserve"> su facilidad de cálculo y comprensión</w:t>
      </w:r>
      <w:r w:rsidRPr="005B541A">
        <w:rPr>
          <w:color w:val="000000" w:themeColor="text1"/>
        </w:rPr>
        <w:t>, por lo que</w:t>
      </w:r>
      <w:r w:rsidRPr="005B541A">
        <w:rPr>
          <w:color w:val="000000" w:themeColor="text1"/>
          <w:lang w:val="es-ES"/>
        </w:rPr>
        <w:t xml:space="preserve"> ofrece mayores ventajas</w:t>
      </w:r>
      <w:r w:rsidRPr="005B541A">
        <w:rPr>
          <w:color w:val="000000" w:themeColor="text1"/>
        </w:rPr>
        <w:t xml:space="preserve"> </w:t>
      </w:r>
      <w:r w:rsidRPr="005B541A">
        <w:rPr>
          <w:color w:val="000000" w:themeColor="text1"/>
          <w:lang w:val="es-ES" w:bidi="en-US"/>
        </w:rPr>
        <w:t>debido a su potencial de discriminación</w:t>
      </w:r>
      <w:r w:rsidRPr="005B541A">
        <w:rPr>
          <w:color w:val="000000" w:themeColor="text1"/>
          <w:lang w:bidi="en-US"/>
        </w:rPr>
        <w:t xml:space="preserve"> (Romero et al., 2023)</w:t>
      </w:r>
      <w:r w:rsidRPr="005B541A">
        <w:rPr>
          <w:color w:val="000000" w:themeColor="text1"/>
          <w:lang w:val="es-ES" w:bidi="en-US"/>
        </w:rPr>
        <w:t>.</w:t>
      </w:r>
      <w:r w:rsidRPr="005B541A">
        <w:rPr>
          <w:color w:val="000000" w:themeColor="text1"/>
          <w:lang w:bidi="en-US"/>
        </w:rPr>
        <w:t xml:space="preserve"> Además, el</w:t>
      </w:r>
      <w:r w:rsidRPr="005B541A">
        <w:rPr>
          <w:color w:val="000000" w:themeColor="text1"/>
          <w:lang w:val="es-ES" w:bidi="en-US"/>
        </w:rPr>
        <w:t xml:space="preserve"> CVI </w:t>
      </w:r>
      <w:r w:rsidRPr="005B541A">
        <w:rPr>
          <w:color w:val="000000" w:themeColor="text1"/>
          <w:lang w:bidi="en-US"/>
        </w:rPr>
        <w:t>permite establecer</w:t>
      </w:r>
      <w:r w:rsidRPr="005B541A">
        <w:rPr>
          <w:color w:val="000000" w:themeColor="text1"/>
          <w:lang w:val="es-ES" w:bidi="en-US"/>
        </w:rPr>
        <w:t xml:space="preserve"> el grado de concordancia entre los </w:t>
      </w:r>
      <w:r w:rsidRPr="005B541A">
        <w:rPr>
          <w:color w:val="000000" w:themeColor="text1"/>
          <w:lang w:val="es-ES" w:bidi="en-US"/>
        </w:rPr>
        <w:lastRenderedPageBreak/>
        <w:t xml:space="preserve">jueces en dos niveles: a nivel individual </w:t>
      </w:r>
      <w:r w:rsidRPr="005B541A">
        <w:rPr>
          <w:color w:val="000000" w:themeColor="text1"/>
          <w:lang w:bidi="en-US"/>
        </w:rPr>
        <w:t>para</w:t>
      </w:r>
      <w:r w:rsidRPr="005B541A">
        <w:rPr>
          <w:color w:val="000000" w:themeColor="text1"/>
          <w:lang w:val="es-ES" w:bidi="en-US"/>
        </w:rPr>
        <w:t xml:space="preserve"> cada ítem (I-CVI) y a nivel de escala que registra la concordancia entre los jueces sobre el instrumento de medición en su conjunto (S-CVI) y </w:t>
      </w:r>
      <w:r w:rsidRPr="005B541A">
        <w:rPr>
          <w:color w:val="000000" w:themeColor="text1"/>
          <w:lang w:bidi="en-US"/>
        </w:rPr>
        <w:t>que</w:t>
      </w:r>
      <w:r w:rsidRPr="005B541A">
        <w:rPr>
          <w:color w:val="000000" w:themeColor="text1"/>
          <w:lang w:val="es-ES" w:bidi="en-US"/>
        </w:rPr>
        <w:t xml:space="preserve"> se representa con </w:t>
      </w:r>
      <w:r w:rsidRPr="005B541A">
        <w:rPr>
          <w:color w:val="000000" w:themeColor="text1"/>
          <w:lang w:bidi="en-US"/>
        </w:rPr>
        <w:t>los</w:t>
      </w:r>
      <w:r w:rsidRPr="005B541A">
        <w:rPr>
          <w:color w:val="000000" w:themeColor="text1"/>
          <w:lang w:val="es-ES" w:bidi="en-US"/>
        </w:rPr>
        <w:t xml:space="preserve"> índices, S-CVI/ave y S-CVI/UA.</w:t>
      </w:r>
      <w:r w:rsidR="004E2A40">
        <w:rPr>
          <w:color w:val="000000" w:themeColor="text1"/>
          <w:lang w:val="es-ES" w:bidi="en-US"/>
        </w:rPr>
        <w:t xml:space="preserve"> </w:t>
      </w:r>
      <w:r w:rsidRPr="005B541A">
        <w:rPr>
          <w:color w:val="000000" w:themeColor="text1"/>
          <w:lang w:bidi="en-US"/>
        </w:rPr>
        <w:t>La</w:t>
      </w:r>
      <w:r w:rsidRPr="005B541A">
        <w:rPr>
          <w:color w:val="000000" w:themeColor="text1"/>
          <w:lang w:val="es-ES" w:bidi="en-US"/>
        </w:rPr>
        <w:t xml:space="preserve"> validez de contenido </w:t>
      </w:r>
      <w:r w:rsidRPr="005B541A">
        <w:rPr>
          <w:color w:val="000000" w:themeColor="text1"/>
          <w:lang w:bidi="en-US"/>
        </w:rPr>
        <w:t>individual para cada ítem</w:t>
      </w:r>
      <w:r w:rsidRPr="005B541A">
        <w:rPr>
          <w:color w:val="000000" w:themeColor="text1"/>
          <w:lang w:val="es-ES" w:bidi="en-US"/>
        </w:rPr>
        <w:t xml:space="preserve"> del instrumento</w:t>
      </w:r>
      <w:r w:rsidRPr="005B541A">
        <w:rPr>
          <w:color w:val="000000" w:themeColor="text1"/>
          <w:lang w:bidi="en-US"/>
        </w:rPr>
        <w:t xml:space="preserve"> de medición</w:t>
      </w:r>
      <w:r w:rsidRPr="005B541A">
        <w:rPr>
          <w:color w:val="000000" w:themeColor="text1"/>
          <w:lang w:val="es-ES" w:bidi="en-US"/>
        </w:rPr>
        <w:t xml:space="preserve"> </w:t>
      </w:r>
      <w:r w:rsidRPr="005B541A">
        <w:rPr>
          <w:color w:val="000000" w:themeColor="text1"/>
          <w:lang w:bidi="en-US"/>
        </w:rPr>
        <w:t>s</w:t>
      </w:r>
      <w:r w:rsidRPr="005B541A">
        <w:rPr>
          <w:color w:val="000000" w:themeColor="text1"/>
          <w:lang w:val="es-ES" w:bidi="en-US"/>
        </w:rPr>
        <w:t>e determina</w:t>
      </w:r>
      <w:r w:rsidRPr="005B541A">
        <w:rPr>
          <w:color w:val="000000" w:themeColor="text1"/>
          <w:lang w:bidi="en-US"/>
        </w:rPr>
        <w:t xml:space="preserve"> al obtener la calificación que cada</w:t>
      </w:r>
      <w:r w:rsidRPr="005B541A">
        <w:rPr>
          <w:color w:val="000000" w:themeColor="text1"/>
          <w:lang w:val="es-ES" w:bidi="en-US"/>
        </w:rPr>
        <w:t xml:space="preserve"> experto </w:t>
      </w:r>
      <w:r w:rsidRPr="005B541A">
        <w:rPr>
          <w:color w:val="000000" w:themeColor="text1"/>
          <w:lang w:bidi="en-US"/>
        </w:rPr>
        <w:t>otorga a</w:t>
      </w:r>
      <w:r w:rsidRPr="005B541A">
        <w:rPr>
          <w:color w:val="000000" w:themeColor="text1"/>
          <w:lang w:val="es-ES" w:bidi="en-US"/>
        </w:rPr>
        <w:t xml:space="preserve"> cada ítem en función de su relevancia, claridad</w:t>
      </w:r>
      <w:r w:rsidRPr="005B541A">
        <w:rPr>
          <w:color w:val="000000" w:themeColor="text1"/>
          <w:lang w:bidi="en-US"/>
        </w:rPr>
        <w:t>, pertinencia</w:t>
      </w:r>
      <w:r w:rsidRPr="005B541A">
        <w:rPr>
          <w:color w:val="000000" w:themeColor="text1"/>
          <w:lang w:val="es-ES" w:bidi="en-US"/>
        </w:rPr>
        <w:t xml:space="preserve"> y coherencia con el constructo correspondiente</w:t>
      </w:r>
      <w:r w:rsidRPr="005B541A">
        <w:rPr>
          <w:color w:val="000000" w:themeColor="text1"/>
          <w:lang w:bidi="en-US"/>
        </w:rPr>
        <w:t>, estas calificaciones se comparan contra</w:t>
      </w:r>
      <w:r w:rsidRPr="005B541A">
        <w:rPr>
          <w:color w:val="000000" w:themeColor="text1"/>
          <w:lang w:val="es-ES" w:bidi="en-US"/>
        </w:rPr>
        <w:t xml:space="preserve"> un valor crítico para la aceptación de cada I-CVI, y aquellos </w:t>
      </w:r>
      <w:r w:rsidRPr="005B541A">
        <w:rPr>
          <w:color w:val="000000" w:themeColor="text1"/>
          <w:lang w:bidi="en-US"/>
        </w:rPr>
        <w:t>ítems</w:t>
      </w:r>
      <w:r w:rsidRPr="005B541A">
        <w:rPr>
          <w:color w:val="000000" w:themeColor="text1"/>
          <w:lang w:val="es-ES" w:bidi="en-US"/>
        </w:rPr>
        <w:t xml:space="preserve"> que no </w:t>
      </w:r>
      <w:r w:rsidRPr="005B541A">
        <w:rPr>
          <w:color w:val="000000" w:themeColor="text1"/>
          <w:lang w:bidi="en-US"/>
        </w:rPr>
        <w:t>superan</w:t>
      </w:r>
      <w:r w:rsidRPr="005B541A">
        <w:rPr>
          <w:color w:val="000000" w:themeColor="text1"/>
          <w:lang w:val="es-ES" w:bidi="en-US"/>
        </w:rPr>
        <w:t xml:space="preserve"> </w:t>
      </w:r>
      <w:r w:rsidRPr="005B541A">
        <w:rPr>
          <w:color w:val="000000" w:themeColor="text1"/>
          <w:lang w:bidi="en-US"/>
        </w:rPr>
        <w:t>dicho</w:t>
      </w:r>
      <w:r w:rsidRPr="005B541A">
        <w:rPr>
          <w:color w:val="000000" w:themeColor="text1"/>
          <w:lang w:val="es-ES" w:bidi="en-US"/>
        </w:rPr>
        <w:t xml:space="preserve"> valor </w:t>
      </w:r>
      <w:r w:rsidRPr="005B541A">
        <w:rPr>
          <w:color w:val="000000" w:themeColor="text1"/>
          <w:lang w:bidi="en-US"/>
        </w:rPr>
        <w:t>crítico</w:t>
      </w:r>
      <w:r w:rsidRPr="005B541A">
        <w:rPr>
          <w:color w:val="000000" w:themeColor="text1"/>
          <w:lang w:val="es-ES" w:bidi="en-US"/>
        </w:rPr>
        <w:t xml:space="preserve"> se revisan o excluyen</w:t>
      </w:r>
      <w:r w:rsidR="009D7D3A" w:rsidRPr="005B541A">
        <w:rPr>
          <w:color w:val="000000" w:themeColor="text1"/>
          <w:lang w:val="es-ES" w:bidi="en-US"/>
        </w:rPr>
        <w:t xml:space="preserve"> y l</w:t>
      </w:r>
      <w:r w:rsidRPr="005B541A">
        <w:rPr>
          <w:color w:val="000000" w:themeColor="text1"/>
          <w:lang w:val="es-ES" w:bidi="en-US"/>
        </w:rPr>
        <w:t>a validez de contenido del IM en su conjunto se</w:t>
      </w:r>
      <w:r w:rsidRPr="005B541A">
        <w:rPr>
          <w:color w:val="000000" w:themeColor="text1"/>
          <w:lang w:bidi="en-US"/>
        </w:rPr>
        <w:t xml:space="preserve"> determina con el </w:t>
      </w:r>
      <w:r w:rsidRPr="005B541A">
        <w:rPr>
          <w:color w:val="000000" w:themeColor="text1"/>
          <w:lang w:val="es-ES" w:bidi="en-US"/>
        </w:rPr>
        <w:t>índice de validez de contenido de escala promedio</w:t>
      </w:r>
      <w:r w:rsidRPr="005B541A">
        <w:rPr>
          <w:color w:val="000000" w:themeColor="text1"/>
          <w:lang w:bidi="en-US"/>
        </w:rPr>
        <w:t xml:space="preserve"> (</w:t>
      </w:r>
      <w:r w:rsidRPr="005B541A">
        <w:rPr>
          <w:color w:val="000000" w:themeColor="text1"/>
          <w:lang w:val="es-ES" w:bidi="en-US"/>
        </w:rPr>
        <w:t>S-CVI/ave</w:t>
      </w:r>
      <w:r w:rsidRPr="005B541A">
        <w:rPr>
          <w:color w:val="000000" w:themeColor="text1"/>
          <w:lang w:bidi="en-US"/>
        </w:rPr>
        <w:t>, por sus siglas en inglés)</w:t>
      </w:r>
      <w:r w:rsidRPr="005B541A">
        <w:rPr>
          <w:color w:val="000000" w:themeColor="text1"/>
          <w:lang w:val="es-ES" w:bidi="en-US"/>
        </w:rPr>
        <w:t xml:space="preserve">  como </w:t>
      </w:r>
      <w:r w:rsidRPr="005B541A">
        <w:rPr>
          <w:color w:val="000000" w:themeColor="text1"/>
          <w:lang w:bidi="en-US"/>
        </w:rPr>
        <w:t>la media aritmética</w:t>
      </w:r>
      <w:r w:rsidRPr="005B541A">
        <w:rPr>
          <w:color w:val="000000" w:themeColor="text1"/>
          <w:lang w:val="es-ES" w:bidi="en-US"/>
        </w:rPr>
        <w:t xml:space="preserve"> de</w:t>
      </w:r>
      <w:r w:rsidRPr="005B541A">
        <w:rPr>
          <w:color w:val="000000" w:themeColor="text1"/>
          <w:lang w:bidi="en-US"/>
        </w:rPr>
        <w:t xml:space="preserve"> </w:t>
      </w:r>
      <w:r w:rsidRPr="005B541A">
        <w:rPr>
          <w:color w:val="000000" w:themeColor="text1"/>
          <w:lang w:val="es-ES" w:bidi="en-US"/>
        </w:rPr>
        <w:t xml:space="preserve"> los</w:t>
      </w:r>
      <w:r w:rsidRPr="005B541A">
        <w:rPr>
          <w:color w:val="000000" w:themeColor="text1"/>
          <w:lang w:bidi="en-US"/>
        </w:rPr>
        <w:t xml:space="preserve"> valores del</w:t>
      </w:r>
      <w:r w:rsidRPr="005B541A">
        <w:rPr>
          <w:color w:val="000000" w:themeColor="text1"/>
          <w:lang w:val="es-ES" w:bidi="en-US"/>
        </w:rPr>
        <w:t xml:space="preserve"> I-CVI de todos los </w:t>
      </w:r>
      <w:r w:rsidRPr="005B541A">
        <w:rPr>
          <w:color w:val="000000" w:themeColor="text1"/>
          <w:lang w:bidi="en-US"/>
        </w:rPr>
        <w:t>ítems,</w:t>
      </w:r>
      <w:r w:rsidRPr="005B541A">
        <w:rPr>
          <w:color w:val="000000" w:themeColor="text1"/>
          <w:lang w:val="es-ES" w:bidi="en-US"/>
        </w:rPr>
        <w:t xml:space="preserve"> </w:t>
      </w:r>
      <w:r w:rsidRPr="005B541A">
        <w:rPr>
          <w:color w:val="000000" w:themeColor="text1"/>
          <w:lang w:bidi="en-US"/>
        </w:rPr>
        <w:t>donde</w:t>
      </w:r>
      <w:r w:rsidRPr="005B541A">
        <w:rPr>
          <w:color w:val="000000" w:themeColor="text1"/>
          <w:lang w:val="es-ES" w:bidi="en-US"/>
        </w:rPr>
        <w:t xml:space="preserve"> un</w:t>
      </w:r>
      <w:r w:rsidRPr="005B541A">
        <w:rPr>
          <w:color w:val="000000" w:themeColor="text1"/>
          <w:lang w:bidi="en-US"/>
        </w:rPr>
        <w:t xml:space="preserve"> valor “alto” del</w:t>
      </w:r>
      <w:r w:rsidRPr="005B541A">
        <w:rPr>
          <w:color w:val="000000" w:themeColor="text1"/>
          <w:lang w:val="es-ES" w:bidi="en-US"/>
        </w:rPr>
        <w:t xml:space="preserve"> S-CVI/ave indica</w:t>
      </w:r>
      <w:r w:rsidRPr="005B541A">
        <w:rPr>
          <w:color w:val="000000" w:themeColor="text1"/>
          <w:lang w:bidi="en-US"/>
        </w:rPr>
        <w:t xml:space="preserve"> concordancia entre los jueces no atribuible al error experimental</w:t>
      </w:r>
      <w:r w:rsidRPr="005B541A">
        <w:rPr>
          <w:color w:val="000000" w:themeColor="text1"/>
          <w:lang w:val="es-ES" w:bidi="en-US"/>
        </w:rPr>
        <w:t>.</w:t>
      </w:r>
      <w:r w:rsidRPr="005B541A">
        <w:rPr>
          <w:color w:val="000000" w:themeColor="text1"/>
          <w:lang w:bidi="en-US"/>
        </w:rPr>
        <w:t xml:space="preserve"> </w:t>
      </w:r>
    </w:p>
    <w:p w14:paraId="21CDEBE3" w14:textId="07297698" w:rsidR="0014284F" w:rsidRDefault="001A2224" w:rsidP="00F93273">
      <w:pPr>
        <w:snapToGrid w:val="0"/>
        <w:spacing w:line="360" w:lineRule="auto"/>
        <w:ind w:firstLine="709"/>
        <w:jc w:val="both"/>
        <w:rPr>
          <w:color w:val="000000" w:themeColor="text1"/>
          <w:lang w:val="es-ES" w:bidi="en-US"/>
        </w:rPr>
      </w:pPr>
      <w:r w:rsidRPr="005B541A">
        <w:rPr>
          <w:color w:val="000000" w:themeColor="text1"/>
          <w:lang w:val="es-ES" w:bidi="en-US"/>
        </w:rPr>
        <w:t>Para el proceso de cálculo de la validez de contenido se utiliza una escala de Likert de</w:t>
      </w:r>
      <w:r w:rsidRPr="005B541A">
        <w:rPr>
          <w:color w:val="000000" w:themeColor="text1"/>
          <w:lang w:bidi="en-US"/>
        </w:rPr>
        <w:t>l 1 al 4, donde el 1 indica una nula correspondencia, el 2 una pobre correspondencia, el 3 indica correspondencia y el 4 una total correspondencia</w:t>
      </w:r>
      <w:r w:rsidRPr="005B541A">
        <w:rPr>
          <w:color w:val="000000" w:themeColor="text1"/>
          <w:lang w:val="es-ES" w:bidi="en-US"/>
        </w:rPr>
        <w:t xml:space="preserve"> posiciones</w:t>
      </w:r>
      <w:r w:rsidRPr="005B541A">
        <w:rPr>
          <w:color w:val="000000" w:themeColor="text1"/>
          <w:lang w:bidi="en-US"/>
        </w:rPr>
        <w:t>. Para efectos de cuantificar los indicadores CVI del IM, las respuestas de los jueces o expertos iguales a uno o dos, se codifican con e</w:t>
      </w:r>
      <w:r w:rsidR="009D7D3A" w:rsidRPr="005B541A">
        <w:rPr>
          <w:color w:val="000000" w:themeColor="text1"/>
          <w:lang w:bidi="en-US"/>
        </w:rPr>
        <w:t>l</w:t>
      </w:r>
      <w:r w:rsidRPr="005B541A">
        <w:rPr>
          <w:color w:val="000000" w:themeColor="text1"/>
          <w:lang w:bidi="en-US"/>
        </w:rPr>
        <w:t xml:space="preserve"> número cero, mientras que las respuestas con valores de tres o cuatro se codifican con el número uno</w:t>
      </w:r>
      <w:r w:rsidRPr="005B541A">
        <w:rPr>
          <w:color w:val="000000" w:themeColor="text1"/>
          <w:lang w:val="es-ES" w:bidi="en-US"/>
        </w:rPr>
        <w:t xml:space="preserve">. Una vez que las respuestas han sido codificadas, se realiza el </w:t>
      </w:r>
      <w:r w:rsidRPr="004E2A40">
        <w:rPr>
          <w:color w:val="000000" w:themeColor="text1"/>
          <w:lang w:val="es-ES" w:bidi="en-US"/>
        </w:rPr>
        <w:t xml:space="preserve">cálculo de los indicadores, como se indica en la tabla </w:t>
      </w:r>
      <w:r w:rsidRPr="004E2A40">
        <w:rPr>
          <w:color w:val="000000" w:themeColor="text1"/>
          <w:lang w:bidi="en-US"/>
        </w:rPr>
        <w:t>2</w:t>
      </w:r>
      <w:r w:rsidRPr="004E2A40">
        <w:rPr>
          <w:color w:val="000000" w:themeColor="text1"/>
          <w:lang w:val="es-ES" w:bidi="en-US"/>
        </w:rPr>
        <w:t>.</w:t>
      </w:r>
    </w:p>
    <w:p w14:paraId="5CB74B95" w14:textId="77777777" w:rsidR="00651EA3" w:rsidRDefault="00651EA3" w:rsidP="00F93273">
      <w:pPr>
        <w:snapToGrid w:val="0"/>
        <w:spacing w:line="360" w:lineRule="auto"/>
        <w:ind w:firstLine="709"/>
        <w:jc w:val="both"/>
        <w:rPr>
          <w:color w:val="000000" w:themeColor="text1"/>
          <w:lang w:val="es-ES" w:bidi="en-US"/>
        </w:rPr>
      </w:pPr>
    </w:p>
    <w:p w14:paraId="7476AA96" w14:textId="67D15BAE" w:rsidR="000A2795" w:rsidRPr="00D93966" w:rsidRDefault="000A2795" w:rsidP="00D93966">
      <w:pPr>
        <w:jc w:val="center"/>
        <w:rPr>
          <w:bCs/>
        </w:rPr>
      </w:pPr>
      <w:r w:rsidRPr="00D93966">
        <w:rPr>
          <w:b/>
          <w:bCs/>
        </w:rPr>
        <w:t xml:space="preserve">Tabla 2. </w:t>
      </w:r>
      <w:r w:rsidRPr="00D93966">
        <w:rPr>
          <w:bCs/>
        </w:rPr>
        <w:t>Indicadores del CVI</w:t>
      </w:r>
    </w:p>
    <w:tbl>
      <w:tblPr>
        <w:tblStyle w:val="Tablaconcuadrcula"/>
        <w:tblpPr w:leftFromText="180" w:rightFromText="180" w:vertAnchor="text" w:horzAnchor="margin" w:tblpY="393"/>
        <w:tblW w:w="9090" w:type="dxa"/>
        <w:tblCellMar>
          <w:top w:w="57" w:type="dxa"/>
          <w:left w:w="57" w:type="dxa"/>
          <w:bottom w:w="57" w:type="dxa"/>
          <w:right w:w="57" w:type="dxa"/>
        </w:tblCellMar>
        <w:tblLook w:val="04A0" w:firstRow="1" w:lastRow="0" w:firstColumn="1" w:lastColumn="0" w:noHBand="0" w:noVBand="1"/>
      </w:tblPr>
      <w:tblGrid>
        <w:gridCol w:w="1295"/>
        <w:gridCol w:w="1855"/>
        <w:gridCol w:w="2700"/>
        <w:gridCol w:w="3240"/>
      </w:tblGrid>
      <w:tr w:rsidR="0014284F" w:rsidRPr="00582E42" w14:paraId="145CEA48" w14:textId="77777777" w:rsidTr="000C62F2">
        <w:trPr>
          <w:trHeight w:val="415"/>
        </w:trPr>
        <w:tc>
          <w:tcPr>
            <w:tcW w:w="1295" w:type="dxa"/>
            <w:shd w:val="clear" w:color="auto" w:fill="auto"/>
            <w:vAlign w:val="center"/>
          </w:tcPr>
          <w:p w14:paraId="0B0F73D4" w14:textId="77777777" w:rsidR="0014284F" w:rsidRPr="00582E42" w:rsidRDefault="001A2224">
            <w:pPr>
              <w:snapToGrid w:val="0"/>
              <w:jc w:val="center"/>
              <w:rPr>
                <w:color w:val="000000" w:themeColor="text1"/>
                <w:sz w:val="18"/>
                <w:szCs w:val="18"/>
                <w:lang w:val="es-ES" w:bidi="en-US"/>
              </w:rPr>
            </w:pPr>
            <w:r w:rsidRPr="00582E42">
              <w:rPr>
                <w:color w:val="000000" w:themeColor="text1"/>
                <w:sz w:val="18"/>
                <w:szCs w:val="18"/>
                <w:lang w:val="es-ES" w:bidi="en-US"/>
              </w:rPr>
              <w:t>Indicador</w:t>
            </w:r>
          </w:p>
        </w:tc>
        <w:tc>
          <w:tcPr>
            <w:tcW w:w="1855" w:type="dxa"/>
            <w:shd w:val="clear" w:color="auto" w:fill="auto"/>
            <w:vAlign w:val="center"/>
          </w:tcPr>
          <w:p w14:paraId="6ADB51B2" w14:textId="77777777" w:rsidR="0014284F" w:rsidRPr="00582E42" w:rsidRDefault="001A2224">
            <w:pPr>
              <w:snapToGrid w:val="0"/>
              <w:jc w:val="center"/>
              <w:rPr>
                <w:color w:val="000000" w:themeColor="text1"/>
                <w:sz w:val="18"/>
                <w:szCs w:val="18"/>
                <w:lang w:val="es-ES" w:bidi="en-US"/>
              </w:rPr>
            </w:pPr>
            <w:r w:rsidRPr="00582E42">
              <w:rPr>
                <w:color w:val="000000" w:themeColor="text1"/>
                <w:sz w:val="18"/>
                <w:szCs w:val="18"/>
                <w:lang w:val="es-ES" w:bidi="en-US"/>
              </w:rPr>
              <w:t>Nombre</w:t>
            </w:r>
          </w:p>
        </w:tc>
        <w:tc>
          <w:tcPr>
            <w:tcW w:w="2700" w:type="dxa"/>
            <w:shd w:val="clear" w:color="auto" w:fill="auto"/>
            <w:vAlign w:val="center"/>
          </w:tcPr>
          <w:p w14:paraId="7ADA1704" w14:textId="77777777" w:rsidR="0014284F" w:rsidRPr="00582E42" w:rsidRDefault="001A2224">
            <w:pPr>
              <w:snapToGrid w:val="0"/>
              <w:jc w:val="center"/>
              <w:rPr>
                <w:color w:val="000000" w:themeColor="text1"/>
                <w:sz w:val="18"/>
                <w:szCs w:val="18"/>
                <w:lang w:val="es-ES" w:bidi="en-US"/>
              </w:rPr>
            </w:pPr>
            <w:r w:rsidRPr="00582E42">
              <w:rPr>
                <w:color w:val="000000" w:themeColor="text1"/>
                <w:sz w:val="18"/>
                <w:szCs w:val="18"/>
                <w:lang w:val="es-ES" w:bidi="en-US"/>
              </w:rPr>
              <w:t>Definición</w:t>
            </w:r>
          </w:p>
        </w:tc>
        <w:tc>
          <w:tcPr>
            <w:tcW w:w="3240" w:type="dxa"/>
            <w:shd w:val="clear" w:color="auto" w:fill="auto"/>
            <w:vAlign w:val="center"/>
          </w:tcPr>
          <w:p w14:paraId="1BB1F050" w14:textId="77777777" w:rsidR="0014284F" w:rsidRPr="00582E42" w:rsidRDefault="001A2224">
            <w:pPr>
              <w:snapToGrid w:val="0"/>
              <w:jc w:val="center"/>
              <w:rPr>
                <w:color w:val="000000" w:themeColor="text1"/>
                <w:sz w:val="18"/>
                <w:szCs w:val="18"/>
                <w:lang w:val="es-ES" w:bidi="en-US"/>
              </w:rPr>
            </w:pPr>
            <w:r w:rsidRPr="00582E42">
              <w:rPr>
                <w:color w:val="000000" w:themeColor="text1"/>
                <w:sz w:val="18"/>
                <w:szCs w:val="18"/>
                <w:lang w:val="es-ES" w:bidi="en-US"/>
              </w:rPr>
              <w:t>Fórmula</w:t>
            </w:r>
          </w:p>
        </w:tc>
      </w:tr>
      <w:tr w:rsidR="0014284F" w:rsidRPr="00582E42" w14:paraId="2F417707" w14:textId="77777777" w:rsidTr="000C62F2">
        <w:trPr>
          <w:trHeight w:val="397"/>
        </w:trPr>
        <w:tc>
          <w:tcPr>
            <w:tcW w:w="1295" w:type="dxa"/>
            <w:shd w:val="clear" w:color="auto" w:fill="auto"/>
            <w:vAlign w:val="center"/>
          </w:tcPr>
          <w:p w14:paraId="4B948EFE" w14:textId="77777777" w:rsidR="0014284F" w:rsidRPr="00582E42" w:rsidRDefault="001A2224">
            <w:pPr>
              <w:snapToGrid w:val="0"/>
              <w:rPr>
                <w:color w:val="000000" w:themeColor="text1"/>
                <w:sz w:val="18"/>
                <w:szCs w:val="18"/>
                <w:lang w:val="es-ES" w:bidi="en-US"/>
              </w:rPr>
            </w:pPr>
            <w:r w:rsidRPr="00582E42">
              <w:rPr>
                <w:color w:val="000000" w:themeColor="text1"/>
                <w:sz w:val="18"/>
                <w:szCs w:val="18"/>
                <w:lang w:val="es-ES" w:bidi="en-US"/>
              </w:rPr>
              <w:t>I-CVI</w:t>
            </w:r>
          </w:p>
        </w:tc>
        <w:tc>
          <w:tcPr>
            <w:tcW w:w="1855" w:type="dxa"/>
            <w:shd w:val="clear" w:color="auto" w:fill="auto"/>
            <w:vAlign w:val="center"/>
          </w:tcPr>
          <w:p w14:paraId="1D3E8104" w14:textId="77777777" w:rsidR="0014284F" w:rsidRPr="00582E42" w:rsidRDefault="001A2224">
            <w:pPr>
              <w:snapToGrid w:val="0"/>
              <w:rPr>
                <w:color w:val="000000" w:themeColor="text1"/>
                <w:sz w:val="18"/>
                <w:szCs w:val="18"/>
                <w:lang w:val="es-ES" w:bidi="en-US"/>
              </w:rPr>
            </w:pPr>
            <w:r w:rsidRPr="00582E42">
              <w:rPr>
                <w:color w:val="000000" w:themeColor="text1"/>
                <w:sz w:val="18"/>
                <w:szCs w:val="18"/>
                <w:lang w:val="es-ES" w:bidi="en-US"/>
              </w:rPr>
              <w:t>Índice de validez de contenido por ítem</w:t>
            </w:r>
          </w:p>
        </w:tc>
        <w:tc>
          <w:tcPr>
            <w:tcW w:w="2700" w:type="dxa"/>
            <w:shd w:val="clear" w:color="auto" w:fill="auto"/>
            <w:vAlign w:val="center"/>
          </w:tcPr>
          <w:p w14:paraId="01E828A9" w14:textId="77777777" w:rsidR="0014284F" w:rsidRPr="00582E42" w:rsidRDefault="001A2224">
            <w:pPr>
              <w:snapToGrid w:val="0"/>
              <w:rPr>
                <w:color w:val="000000" w:themeColor="text1"/>
                <w:sz w:val="18"/>
                <w:szCs w:val="18"/>
                <w:lang w:val="es-ES" w:bidi="en-US"/>
              </w:rPr>
            </w:pPr>
            <w:r w:rsidRPr="00582E42">
              <w:rPr>
                <w:color w:val="000000" w:themeColor="text1"/>
                <w:sz w:val="18"/>
                <w:szCs w:val="18"/>
                <w:lang w:val="es-ES" w:bidi="en-US"/>
              </w:rPr>
              <w:t>Proporción de jueces que declaran esencial al ítem</w:t>
            </w:r>
          </w:p>
        </w:tc>
        <w:tc>
          <w:tcPr>
            <w:tcW w:w="3240" w:type="dxa"/>
            <w:shd w:val="clear" w:color="auto" w:fill="auto"/>
            <w:vAlign w:val="center"/>
          </w:tcPr>
          <w:p w14:paraId="426C8355" w14:textId="0BD16BA2" w:rsidR="0014284F" w:rsidRPr="00582E42" w:rsidRDefault="00582E42">
            <w:pPr>
              <w:snapToGrid w:val="0"/>
              <w:spacing w:after="120"/>
              <w:jc w:val="center"/>
              <w:rPr>
                <w:color w:val="000000" w:themeColor="text1"/>
                <w:sz w:val="18"/>
                <w:szCs w:val="18"/>
                <w:lang w:val="es-ES" w:bidi="en-US"/>
              </w:rPr>
            </w:pPr>
            <m:oMathPara>
              <m:oMath>
                <m:r>
                  <w:rPr>
                    <w:rFonts w:ascii="Cambria Math" w:hAnsi="Cambria Math"/>
                    <w:color w:val="000000" w:themeColor="text1"/>
                    <w:sz w:val="18"/>
                    <w:szCs w:val="18"/>
                    <w:lang w:val="es-ES" w:bidi="en-US"/>
                  </w:rPr>
                  <m:t>I-CVI=</m:t>
                </m:r>
                <m:f>
                  <m:fPr>
                    <m:ctrlPr>
                      <w:rPr>
                        <w:rFonts w:ascii="Cambria Math" w:hAnsi="Cambria Math"/>
                        <w:i/>
                        <w:color w:val="000000" w:themeColor="text1"/>
                        <w:sz w:val="18"/>
                        <w:szCs w:val="18"/>
                        <w:lang w:val="es-ES" w:bidi="en-US"/>
                      </w:rPr>
                    </m:ctrlPr>
                  </m:fPr>
                  <m:num>
                    <m:r>
                      <w:rPr>
                        <w:rFonts w:ascii="Cambria Math" w:hAnsi="Cambria Math"/>
                        <w:color w:val="000000" w:themeColor="text1"/>
                        <w:sz w:val="18"/>
                        <w:szCs w:val="18"/>
                        <w:lang w:val="es-ES" w:bidi="en-US"/>
                      </w:rPr>
                      <m:t>k</m:t>
                    </m:r>
                  </m:num>
                  <m:den>
                    <m:r>
                      <w:rPr>
                        <w:rFonts w:ascii="Cambria Math" w:hAnsi="Cambria Math"/>
                        <w:color w:val="000000" w:themeColor="text1"/>
                        <w:sz w:val="18"/>
                        <w:szCs w:val="18"/>
                        <w:lang w:val="es-ES" w:bidi="en-US"/>
                      </w:rPr>
                      <m:t>N</m:t>
                    </m:r>
                  </m:den>
                </m:f>
              </m:oMath>
            </m:oMathPara>
          </w:p>
          <w:p w14:paraId="57F7269A" w14:textId="10BE1E8F" w:rsidR="0014284F" w:rsidRPr="00582E42" w:rsidRDefault="00582E42">
            <w:pPr>
              <w:snapToGrid w:val="0"/>
              <w:spacing w:after="120"/>
              <w:rPr>
                <w:color w:val="000000" w:themeColor="text1"/>
                <w:sz w:val="18"/>
                <w:szCs w:val="18"/>
                <w:lang w:val="es-ES" w:bidi="en-US"/>
              </w:rPr>
            </w:pPr>
            <m:oMath>
              <m:r>
                <w:rPr>
                  <w:rFonts w:ascii="Cambria Math" w:hAnsi="Cambria Math"/>
                  <w:color w:val="000000" w:themeColor="text1"/>
                  <w:sz w:val="18"/>
                  <w:szCs w:val="18"/>
                  <w:lang w:val="es-ES" w:bidi="en-US"/>
                </w:rPr>
                <m:t>k=</m:t>
              </m:r>
            </m:oMath>
            <w:r w:rsidR="001A2224" w:rsidRPr="00582E42">
              <w:rPr>
                <w:color w:val="000000" w:themeColor="text1"/>
                <w:sz w:val="18"/>
                <w:szCs w:val="18"/>
                <w:lang w:val="es-ES" w:bidi="en-US"/>
              </w:rPr>
              <w:t xml:space="preserve"> # de ítem esenciales</w:t>
            </w:r>
          </w:p>
          <w:p w14:paraId="3F90C0CE" w14:textId="011DAF97" w:rsidR="0014284F" w:rsidRPr="00582E42" w:rsidRDefault="00582E42">
            <w:pPr>
              <w:snapToGrid w:val="0"/>
              <w:rPr>
                <w:color w:val="000000" w:themeColor="text1"/>
                <w:sz w:val="18"/>
                <w:szCs w:val="18"/>
                <w:lang w:val="es-ES" w:bidi="en-US"/>
              </w:rPr>
            </w:pPr>
            <m:oMath>
              <m:r>
                <w:rPr>
                  <w:rFonts w:ascii="Cambria Math" w:hAnsi="Cambria Math"/>
                  <w:color w:val="000000" w:themeColor="text1"/>
                  <w:sz w:val="18"/>
                  <w:szCs w:val="18"/>
                  <w:lang w:val="es-ES" w:bidi="en-US"/>
                </w:rPr>
                <m:t>N=</m:t>
              </m:r>
            </m:oMath>
            <w:r w:rsidR="001A2224" w:rsidRPr="00582E42">
              <w:rPr>
                <w:color w:val="000000" w:themeColor="text1"/>
                <w:sz w:val="18"/>
                <w:szCs w:val="18"/>
                <w:lang w:val="es-ES" w:bidi="en-US"/>
              </w:rPr>
              <w:t xml:space="preserve"> # de jueces</w:t>
            </w:r>
          </w:p>
        </w:tc>
      </w:tr>
      <w:tr w:rsidR="0014284F" w:rsidRPr="00582E42" w14:paraId="3D2006B7" w14:textId="77777777" w:rsidTr="000C62F2">
        <w:trPr>
          <w:trHeight w:val="397"/>
        </w:trPr>
        <w:tc>
          <w:tcPr>
            <w:tcW w:w="1295" w:type="dxa"/>
            <w:shd w:val="clear" w:color="auto" w:fill="auto"/>
            <w:vAlign w:val="center"/>
          </w:tcPr>
          <w:p w14:paraId="7D80195C" w14:textId="77777777" w:rsidR="0014284F" w:rsidRPr="00582E42" w:rsidRDefault="001A2224">
            <w:pPr>
              <w:snapToGrid w:val="0"/>
              <w:rPr>
                <w:color w:val="000000" w:themeColor="text1"/>
                <w:sz w:val="18"/>
                <w:szCs w:val="18"/>
                <w:lang w:val="es-ES" w:bidi="en-US"/>
              </w:rPr>
            </w:pPr>
            <w:r w:rsidRPr="00582E42">
              <w:rPr>
                <w:color w:val="000000" w:themeColor="text1"/>
                <w:sz w:val="18"/>
                <w:szCs w:val="18"/>
                <w:lang w:val="es-ES" w:bidi="en-US"/>
              </w:rPr>
              <w:t>S-CVI/ave</w:t>
            </w:r>
          </w:p>
        </w:tc>
        <w:tc>
          <w:tcPr>
            <w:tcW w:w="1855" w:type="dxa"/>
            <w:shd w:val="clear" w:color="auto" w:fill="auto"/>
            <w:vAlign w:val="center"/>
          </w:tcPr>
          <w:p w14:paraId="3659EC1D" w14:textId="77777777" w:rsidR="0014284F" w:rsidRPr="00582E42" w:rsidRDefault="001A2224">
            <w:pPr>
              <w:snapToGrid w:val="0"/>
              <w:rPr>
                <w:color w:val="000000" w:themeColor="text1"/>
                <w:sz w:val="18"/>
                <w:szCs w:val="18"/>
                <w:lang w:val="es-ES" w:bidi="en-US"/>
              </w:rPr>
            </w:pPr>
            <w:r w:rsidRPr="00582E42">
              <w:rPr>
                <w:color w:val="000000" w:themeColor="text1"/>
                <w:sz w:val="18"/>
                <w:szCs w:val="18"/>
                <w:lang w:val="es-ES" w:bidi="en-US"/>
              </w:rPr>
              <w:t>Índice de validez de contenido para la escala, basado en el método del promedio</w:t>
            </w:r>
          </w:p>
        </w:tc>
        <w:tc>
          <w:tcPr>
            <w:tcW w:w="2700" w:type="dxa"/>
            <w:shd w:val="clear" w:color="auto" w:fill="auto"/>
            <w:vAlign w:val="center"/>
          </w:tcPr>
          <w:p w14:paraId="32C3DA98" w14:textId="3EB1095B" w:rsidR="0014284F" w:rsidRPr="00582E42" w:rsidRDefault="001A2224">
            <w:pPr>
              <w:snapToGrid w:val="0"/>
              <w:rPr>
                <w:color w:val="000000" w:themeColor="text1"/>
                <w:sz w:val="18"/>
                <w:szCs w:val="18"/>
                <w:lang w:val="es-ES" w:bidi="en-US"/>
              </w:rPr>
            </w:pPr>
            <w:r w:rsidRPr="00582E42">
              <w:rPr>
                <w:color w:val="000000" w:themeColor="text1"/>
                <w:sz w:val="18"/>
                <w:szCs w:val="18"/>
                <w:lang w:val="es-ES" w:bidi="en-US"/>
              </w:rPr>
              <w:t xml:space="preserve">Media aritmética de los  I-CVI de los </w:t>
            </w:r>
            <w:r w:rsidRPr="00582E42">
              <w:rPr>
                <w:color w:val="000000" w:themeColor="text1"/>
                <w:sz w:val="18"/>
                <w:szCs w:val="18"/>
                <w:lang w:bidi="en-US"/>
              </w:rPr>
              <w:t>ítem</w:t>
            </w:r>
            <w:r w:rsidRPr="00582E42">
              <w:rPr>
                <w:color w:val="000000" w:themeColor="text1"/>
                <w:sz w:val="18"/>
                <w:szCs w:val="18"/>
                <w:lang w:val="es-ES" w:bidi="en-US"/>
              </w:rPr>
              <w:t xml:space="preserve">; o </w:t>
            </w:r>
            <w:r w:rsidRPr="00582E42">
              <w:rPr>
                <w:color w:val="000000" w:themeColor="text1"/>
                <w:sz w:val="18"/>
                <w:szCs w:val="18"/>
                <w:lang w:bidi="en-US"/>
              </w:rPr>
              <w:t>como</w:t>
            </w:r>
            <w:r w:rsidRPr="00582E42">
              <w:rPr>
                <w:color w:val="000000" w:themeColor="text1"/>
                <w:sz w:val="18"/>
                <w:szCs w:val="18"/>
                <w:lang w:val="es-ES" w:bidi="en-US"/>
              </w:rPr>
              <w:t xml:space="preserve"> la proporción de </w:t>
            </w:r>
            <w:r w:rsidRPr="00582E42">
              <w:rPr>
                <w:color w:val="000000" w:themeColor="text1"/>
                <w:sz w:val="18"/>
                <w:szCs w:val="18"/>
                <w:lang w:bidi="en-US"/>
              </w:rPr>
              <w:t>ítems</w:t>
            </w:r>
            <w:r w:rsidRPr="00582E42">
              <w:rPr>
                <w:color w:val="000000" w:themeColor="text1"/>
                <w:sz w:val="18"/>
                <w:szCs w:val="18"/>
                <w:lang w:val="es-ES" w:bidi="en-US"/>
              </w:rPr>
              <w:t xml:space="preserve"> evaluados como esenciales por cada juez </w:t>
            </w:r>
            <m:oMath>
              <m:r>
                <w:rPr>
                  <w:rFonts w:ascii="Cambria Math" w:hAnsi="Cambria Math"/>
                  <w:color w:val="000000" w:themeColor="text1"/>
                  <w:sz w:val="18"/>
                  <w:szCs w:val="18"/>
                  <w:lang w:val="es-ES" w:bidi="en-US"/>
                </w:rPr>
                <m:t>(</m:t>
              </m:r>
              <m:sSub>
                <m:sSubPr>
                  <m:ctrlPr>
                    <w:rPr>
                      <w:rFonts w:ascii="Cambria Math" w:hAnsi="Cambria Math"/>
                      <w:i/>
                      <w:color w:val="000000" w:themeColor="text1"/>
                      <w:sz w:val="18"/>
                      <w:szCs w:val="18"/>
                      <w:lang w:val="es-ES" w:bidi="en-US"/>
                    </w:rPr>
                  </m:ctrlPr>
                </m:sSubPr>
                <m:e>
                  <m:r>
                    <w:rPr>
                      <w:rFonts w:ascii="Cambria Math" w:hAnsi="Cambria Math"/>
                      <w:color w:val="000000" w:themeColor="text1"/>
                      <w:sz w:val="18"/>
                      <w:szCs w:val="18"/>
                      <w:lang w:val="es-ES" w:bidi="en-US"/>
                    </w:rPr>
                    <m:t>j</m:t>
                  </m:r>
                </m:e>
                <m:sub>
                  <m:r>
                    <w:rPr>
                      <w:rFonts w:ascii="Cambria Math" w:hAnsi="Cambria Math"/>
                      <w:color w:val="000000" w:themeColor="text1"/>
                      <w:sz w:val="18"/>
                      <w:szCs w:val="18"/>
                      <w:lang w:val="es-ES" w:bidi="en-US"/>
                    </w:rPr>
                    <m:t>i</m:t>
                  </m:r>
                </m:sub>
              </m:sSub>
              <m:r>
                <w:rPr>
                  <w:rFonts w:ascii="Cambria Math" w:hAnsi="Cambria Math"/>
                  <w:color w:val="000000" w:themeColor="text1"/>
                  <w:sz w:val="18"/>
                  <w:szCs w:val="18"/>
                  <w:lang w:val="es-ES" w:bidi="en-US"/>
                </w:rPr>
                <m:t>)</m:t>
              </m:r>
            </m:oMath>
            <w:r w:rsidRPr="00582E42">
              <w:rPr>
                <w:color w:val="000000" w:themeColor="text1"/>
                <w:sz w:val="18"/>
                <w:szCs w:val="18"/>
                <w:lang w:val="es-ES" w:bidi="en-US"/>
              </w:rPr>
              <w:t>.</w:t>
            </w:r>
          </w:p>
        </w:tc>
        <w:tc>
          <w:tcPr>
            <w:tcW w:w="3240" w:type="dxa"/>
            <w:shd w:val="clear" w:color="auto" w:fill="auto"/>
            <w:vAlign w:val="center"/>
          </w:tcPr>
          <w:p w14:paraId="1EA5CCB1" w14:textId="39757F23" w:rsidR="0014284F" w:rsidRPr="00582E42" w:rsidRDefault="00582E42">
            <w:pPr>
              <w:snapToGrid w:val="0"/>
              <w:spacing w:after="120"/>
              <w:jc w:val="center"/>
              <w:rPr>
                <w:color w:val="000000" w:themeColor="text1"/>
                <w:sz w:val="18"/>
                <w:szCs w:val="18"/>
                <w:lang w:val="es-ES" w:bidi="en-US"/>
              </w:rPr>
            </w:pPr>
            <m:oMathPara>
              <m:oMath>
                <m:r>
                  <m:rPr>
                    <m:sty m:val="p"/>
                  </m:rPr>
                  <w:rPr>
                    <w:rFonts w:ascii="Cambria Math" w:hAnsi="Cambria Math"/>
                    <w:color w:val="000000" w:themeColor="text1"/>
                    <w:sz w:val="18"/>
                    <w:szCs w:val="18"/>
                    <w:lang w:val="es-ES" w:bidi="en-US"/>
                  </w:rPr>
                  <m:t>S-CVI/ave</m:t>
                </m:r>
                <m:r>
                  <w:rPr>
                    <w:rFonts w:ascii="Cambria Math" w:hAnsi="Cambria Math"/>
                    <w:color w:val="000000" w:themeColor="text1"/>
                    <w:sz w:val="18"/>
                    <w:szCs w:val="18"/>
                    <w:lang w:val="es-ES" w:bidi="en-US"/>
                  </w:rPr>
                  <m:t>=</m:t>
                </m:r>
                <m:f>
                  <m:fPr>
                    <m:ctrlPr>
                      <w:rPr>
                        <w:rFonts w:ascii="Cambria Math" w:hAnsi="Cambria Math"/>
                        <w:i/>
                        <w:color w:val="000000" w:themeColor="text1"/>
                        <w:sz w:val="18"/>
                        <w:szCs w:val="18"/>
                        <w:lang w:val="es-ES" w:bidi="en-US"/>
                      </w:rPr>
                    </m:ctrlPr>
                  </m:fPr>
                  <m:num>
                    <m:nary>
                      <m:naryPr>
                        <m:chr m:val="∑"/>
                        <m:limLoc m:val="undOvr"/>
                        <m:ctrlPr>
                          <w:rPr>
                            <w:rFonts w:ascii="Cambria Math" w:hAnsi="Cambria Math"/>
                            <w:i/>
                            <w:color w:val="000000" w:themeColor="text1"/>
                            <w:sz w:val="18"/>
                            <w:szCs w:val="18"/>
                            <w:lang w:val="es-ES" w:bidi="en-US"/>
                          </w:rPr>
                        </m:ctrlPr>
                      </m:naryPr>
                      <m:sub>
                        <m:r>
                          <w:rPr>
                            <w:rFonts w:ascii="Cambria Math" w:hAnsi="Cambria Math"/>
                            <w:color w:val="000000" w:themeColor="text1"/>
                            <w:sz w:val="18"/>
                            <w:szCs w:val="18"/>
                            <w:lang w:val="es-ES" w:bidi="en-US"/>
                          </w:rPr>
                          <m:t>i=1</m:t>
                        </m:r>
                      </m:sub>
                      <m:sup>
                        <m:r>
                          <w:rPr>
                            <w:rFonts w:ascii="Cambria Math" w:hAnsi="Cambria Math"/>
                            <w:color w:val="000000" w:themeColor="text1"/>
                            <w:sz w:val="18"/>
                            <w:szCs w:val="18"/>
                            <w:lang w:val="es-ES" w:bidi="en-US"/>
                          </w:rPr>
                          <m:t>n</m:t>
                        </m:r>
                      </m:sup>
                      <m:e>
                        <m:r>
                          <m:rPr>
                            <m:sty m:val="p"/>
                          </m:rPr>
                          <w:rPr>
                            <w:rFonts w:ascii="Cambria Math" w:hAnsi="Cambria Math"/>
                            <w:color w:val="000000" w:themeColor="text1"/>
                            <w:sz w:val="18"/>
                            <w:szCs w:val="18"/>
                            <w:lang w:val="es-ES" w:bidi="en-US"/>
                          </w:rPr>
                          <m:t>(I-CV</m:t>
                        </m:r>
                        <m:sSub>
                          <m:sSubPr>
                            <m:ctrlPr>
                              <w:rPr>
                                <w:rFonts w:ascii="Cambria Math" w:hAnsi="Cambria Math"/>
                                <w:color w:val="000000" w:themeColor="text1"/>
                                <w:sz w:val="18"/>
                                <w:szCs w:val="18"/>
                                <w:lang w:val="es-ES" w:bidi="en-US"/>
                              </w:rPr>
                            </m:ctrlPr>
                          </m:sSubPr>
                          <m:e>
                            <m:r>
                              <m:rPr>
                                <m:sty m:val="p"/>
                              </m:rPr>
                              <w:rPr>
                                <w:rFonts w:ascii="Cambria Math" w:hAnsi="Cambria Math"/>
                                <w:color w:val="000000" w:themeColor="text1"/>
                                <w:sz w:val="18"/>
                                <w:szCs w:val="18"/>
                                <w:lang w:val="es-ES" w:bidi="en-US"/>
                              </w:rPr>
                              <m:t>I</m:t>
                            </m:r>
                          </m:e>
                          <m:sub>
                            <m:r>
                              <w:rPr>
                                <w:rFonts w:ascii="Cambria Math" w:hAnsi="Cambria Math"/>
                                <w:color w:val="000000" w:themeColor="text1"/>
                                <w:sz w:val="18"/>
                                <w:szCs w:val="18"/>
                                <w:lang w:val="es-ES" w:bidi="en-US"/>
                              </w:rPr>
                              <m:t>i</m:t>
                            </m:r>
                          </m:sub>
                        </m:sSub>
                        <m:r>
                          <w:rPr>
                            <w:rFonts w:ascii="Cambria Math" w:hAnsi="Cambria Math"/>
                            <w:color w:val="000000" w:themeColor="text1"/>
                            <w:sz w:val="18"/>
                            <w:szCs w:val="18"/>
                            <w:lang w:val="es-ES" w:bidi="en-US"/>
                          </w:rPr>
                          <m:t>)</m:t>
                        </m:r>
                      </m:e>
                    </m:nary>
                  </m:num>
                  <m:den>
                    <m:r>
                      <w:rPr>
                        <w:rFonts w:ascii="Cambria Math" w:hAnsi="Cambria Math"/>
                        <w:color w:val="000000" w:themeColor="text1"/>
                        <w:sz w:val="18"/>
                        <w:szCs w:val="18"/>
                        <w:lang w:val="es-ES" w:bidi="en-US"/>
                      </w:rPr>
                      <m:t>n</m:t>
                    </m:r>
                  </m:den>
                </m:f>
              </m:oMath>
            </m:oMathPara>
          </w:p>
          <w:p w14:paraId="59AA631D" w14:textId="67D19516" w:rsidR="0014284F" w:rsidRPr="00582E42" w:rsidRDefault="00AC3CA8">
            <w:pPr>
              <w:snapToGrid w:val="0"/>
              <w:spacing w:after="120"/>
              <w:rPr>
                <w:color w:val="000000" w:themeColor="text1"/>
                <w:sz w:val="18"/>
                <w:szCs w:val="18"/>
                <w:lang w:val="es-ES" w:bidi="en-US"/>
              </w:rPr>
            </w:pPr>
            <m:oMath>
              <m:d>
                <m:dPr>
                  <m:ctrlPr>
                    <w:rPr>
                      <w:rFonts w:ascii="Cambria Math" w:hAnsi="Cambria Math"/>
                      <w:color w:val="000000" w:themeColor="text1"/>
                      <w:sz w:val="18"/>
                      <w:szCs w:val="18"/>
                      <w:lang w:val="es-ES" w:bidi="en-US"/>
                    </w:rPr>
                  </m:ctrlPr>
                </m:dPr>
                <m:e>
                  <m:r>
                    <m:rPr>
                      <m:sty m:val="p"/>
                    </m:rPr>
                    <w:rPr>
                      <w:rFonts w:ascii="Cambria Math" w:hAnsi="Cambria Math"/>
                      <w:color w:val="000000" w:themeColor="text1"/>
                      <w:sz w:val="18"/>
                      <w:szCs w:val="18"/>
                      <w:lang w:val="es-ES" w:bidi="en-US"/>
                    </w:rPr>
                    <m:t>I-CV</m:t>
                  </m:r>
                  <m:sSub>
                    <m:sSubPr>
                      <m:ctrlPr>
                        <w:rPr>
                          <w:rFonts w:ascii="Cambria Math" w:hAnsi="Cambria Math"/>
                          <w:color w:val="000000" w:themeColor="text1"/>
                          <w:sz w:val="18"/>
                          <w:szCs w:val="18"/>
                          <w:lang w:val="es-ES" w:bidi="en-US"/>
                        </w:rPr>
                      </m:ctrlPr>
                    </m:sSubPr>
                    <m:e>
                      <m:r>
                        <m:rPr>
                          <m:sty m:val="p"/>
                        </m:rPr>
                        <w:rPr>
                          <w:rFonts w:ascii="Cambria Math" w:hAnsi="Cambria Math"/>
                          <w:color w:val="000000" w:themeColor="text1"/>
                          <w:sz w:val="18"/>
                          <w:szCs w:val="18"/>
                          <w:lang w:val="es-ES" w:bidi="en-US"/>
                        </w:rPr>
                        <m:t>I</m:t>
                      </m:r>
                    </m:e>
                    <m:sub>
                      <m:r>
                        <w:rPr>
                          <w:rFonts w:ascii="Cambria Math" w:hAnsi="Cambria Math"/>
                          <w:color w:val="000000" w:themeColor="text1"/>
                          <w:sz w:val="18"/>
                          <w:szCs w:val="18"/>
                          <w:lang w:val="es-ES" w:bidi="en-US"/>
                        </w:rPr>
                        <m:t>i</m:t>
                      </m:r>
                    </m:sub>
                  </m:sSub>
                  <m:ctrlPr>
                    <w:rPr>
                      <w:rFonts w:ascii="Cambria Math" w:hAnsi="Cambria Math"/>
                      <w:i/>
                      <w:color w:val="000000" w:themeColor="text1"/>
                      <w:sz w:val="18"/>
                      <w:szCs w:val="18"/>
                      <w:lang w:val="es-ES" w:bidi="en-US"/>
                    </w:rPr>
                  </m:ctrlPr>
                </m:e>
              </m:d>
              <m:r>
                <w:rPr>
                  <w:rFonts w:ascii="Cambria Math" w:hAnsi="Cambria Math"/>
                  <w:color w:val="000000" w:themeColor="text1"/>
                  <w:sz w:val="18"/>
                  <w:szCs w:val="18"/>
                  <w:lang w:val="es-ES" w:bidi="en-US"/>
                </w:rPr>
                <m:t>=</m:t>
              </m:r>
            </m:oMath>
            <w:r w:rsidR="001A2224" w:rsidRPr="00582E42">
              <w:rPr>
                <w:color w:val="000000" w:themeColor="text1"/>
                <w:sz w:val="18"/>
                <w:szCs w:val="18"/>
                <w:lang w:val="es-ES" w:bidi="en-US"/>
              </w:rPr>
              <w:t xml:space="preserve">  I-CVI del ítem </w:t>
            </w:r>
            <m:oMath>
              <m:r>
                <w:rPr>
                  <w:rFonts w:ascii="Cambria Math" w:hAnsi="Cambria Math"/>
                  <w:color w:val="000000" w:themeColor="text1"/>
                  <w:sz w:val="18"/>
                  <w:szCs w:val="18"/>
                  <w:lang w:val="es-ES" w:bidi="en-US"/>
                </w:rPr>
                <m:t>i</m:t>
              </m:r>
            </m:oMath>
          </w:p>
          <w:p w14:paraId="78A92DF1" w14:textId="7B7EAEDD" w:rsidR="0014284F" w:rsidRPr="00582E42" w:rsidRDefault="00582E42">
            <w:pPr>
              <w:snapToGrid w:val="0"/>
              <w:spacing w:after="120"/>
              <w:rPr>
                <w:color w:val="000000" w:themeColor="text1"/>
                <w:sz w:val="18"/>
                <w:szCs w:val="18"/>
                <w:lang w:val="es-ES" w:bidi="en-US"/>
              </w:rPr>
            </w:pPr>
            <m:oMath>
              <m:r>
                <w:rPr>
                  <w:rFonts w:ascii="Cambria Math" w:hAnsi="Cambria Math"/>
                  <w:color w:val="000000" w:themeColor="text1"/>
                  <w:sz w:val="18"/>
                  <w:szCs w:val="18"/>
                  <w:lang w:val="es-ES" w:bidi="en-US"/>
                </w:rPr>
                <m:t>n=</m:t>
              </m:r>
            </m:oMath>
            <w:r w:rsidR="001A2224" w:rsidRPr="00582E42">
              <w:rPr>
                <w:color w:val="000000" w:themeColor="text1"/>
                <w:sz w:val="18"/>
                <w:szCs w:val="18"/>
                <w:lang w:val="es-ES" w:bidi="en-US"/>
              </w:rPr>
              <w:t xml:space="preserve"> # ítems</w:t>
            </w:r>
          </w:p>
          <w:p w14:paraId="0D5471A9" w14:textId="77777777" w:rsidR="0014284F" w:rsidRPr="00582E42" w:rsidRDefault="001A2224">
            <w:pPr>
              <w:snapToGrid w:val="0"/>
              <w:spacing w:after="120"/>
              <w:rPr>
                <w:color w:val="000000" w:themeColor="text1"/>
                <w:sz w:val="18"/>
                <w:szCs w:val="18"/>
                <w:lang w:val="es-ES" w:bidi="en-US"/>
              </w:rPr>
            </w:pPr>
            <w:r w:rsidRPr="00582E42">
              <w:rPr>
                <w:color w:val="000000" w:themeColor="text1"/>
                <w:sz w:val="18"/>
                <w:szCs w:val="18"/>
                <w:lang w:val="es-ES" w:bidi="en-US"/>
              </w:rPr>
              <w:t>o</w:t>
            </w:r>
          </w:p>
          <w:p w14:paraId="7B9924A7" w14:textId="5AC39E21" w:rsidR="0014284F" w:rsidRPr="00582E42" w:rsidRDefault="00582E42">
            <w:pPr>
              <w:snapToGrid w:val="0"/>
              <w:spacing w:after="120"/>
              <w:jc w:val="center"/>
              <w:rPr>
                <w:color w:val="000000" w:themeColor="text1"/>
                <w:sz w:val="18"/>
                <w:szCs w:val="18"/>
                <w:lang w:val="es-ES" w:bidi="en-US"/>
              </w:rPr>
            </w:pPr>
            <m:oMathPara>
              <m:oMath>
                <m:r>
                  <m:rPr>
                    <m:sty m:val="p"/>
                  </m:rPr>
                  <w:rPr>
                    <w:rFonts w:ascii="Cambria Math" w:hAnsi="Cambria Math"/>
                    <w:color w:val="000000" w:themeColor="text1"/>
                    <w:sz w:val="18"/>
                    <w:szCs w:val="18"/>
                    <w:lang w:val="es-ES" w:bidi="en-US"/>
                  </w:rPr>
                  <m:t>S-CVI/ave</m:t>
                </m:r>
                <m:r>
                  <w:rPr>
                    <w:rFonts w:ascii="Cambria Math" w:hAnsi="Cambria Math"/>
                    <w:color w:val="000000" w:themeColor="text1"/>
                    <w:sz w:val="18"/>
                    <w:szCs w:val="18"/>
                    <w:lang w:val="es-ES" w:bidi="en-US"/>
                  </w:rPr>
                  <m:t>=</m:t>
                </m:r>
                <m:f>
                  <m:fPr>
                    <m:ctrlPr>
                      <w:rPr>
                        <w:rFonts w:ascii="Cambria Math" w:hAnsi="Cambria Math"/>
                        <w:i/>
                        <w:color w:val="000000" w:themeColor="text1"/>
                        <w:sz w:val="18"/>
                        <w:szCs w:val="18"/>
                        <w:lang w:val="es-ES" w:bidi="en-US"/>
                      </w:rPr>
                    </m:ctrlPr>
                  </m:fPr>
                  <m:num>
                    <m:nary>
                      <m:naryPr>
                        <m:chr m:val="∑"/>
                        <m:limLoc m:val="undOvr"/>
                        <m:ctrlPr>
                          <w:rPr>
                            <w:rFonts w:ascii="Cambria Math" w:hAnsi="Cambria Math"/>
                            <w:i/>
                            <w:color w:val="000000" w:themeColor="text1"/>
                            <w:sz w:val="18"/>
                            <w:szCs w:val="18"/>
                            <w:lang w:val="es-ES" w:bidi="en-US"/>
                          </w:rPr>
                        </m:ctrlPr>
                      </m:naryPr>
                      <m:sub>
                        <m:r>
                          <w:rPr>
                            <w:rFonts w:ascii="Cambria Math" w:hAnsi="Cambria Math"/>
                            <w:color w:val="000000" w:themeColor="text1"/>
                            <w:sz w:val="18"/>
                            <w:szCs w:val="18"/>
                            <w:lang w:val="es-ES" w:bidi="en-US"/>
                          </w:rPr>
                          <m:t>i=1</m:t>
                        </m:r>
                      </m:sub>
                      <m:sup>
                        <m:r>
                          <w:rPr>
                            <w:rFonts w:ascii="Cambria Math" w:hAnsi="Cambria Math"/>
                            <w:color w:val="000000" w:themeColor="text1"/>
                            <w:sz w:val="18"/>
                            <w:szCs w:val="18"/>
                            <w:lang w:val="es-ES" w:bidi="en-US"/>
                          </w:rPr>
                          <m:t>n</m:t>
                        </m:r>
                      </m:sup>
                      <m:e>
                        <m:sSub>
                          <m:sSubPr>
                            <m:ctrlPr>
                              <w:rPr>
                                <w:rFonts w:ascii="Cambria Math" w:hAnsi="Cambria Math"/>
                                <w:color w:val="000000" w:themeColor="text1"/>
                                <w:sz w:val="18"/>
                                <w:szCs w:val="18"/>
                                <w:lang w:val="es-ES" w:bidi="en-US"/>
                              </w:rPr>
                            </m:ctrlPr>
                          </m:sSubPr>
                          <m:e>
                            <m:r>
                              <w:rPr>
                                <w:rFonts w:ascii="Cambria Math" w:hAnsi="Cambria Math"/>
                                <w:color w:val="000000" w:themeColor="text1"/>
                                <w:sz w:val="18"/>
                                <w:szCs w:val="18"/>
                                <w:lang w:val="es-ES" w:bidi="en-US"/>
                              </w:rPr>
                              <m:t>j</m:t>
                            </m:r>
                          </m:e>
                          <m:sub>
                            <m:r>
                              <w:rPr>
                                <w:rFonts w:ascii="Cambria Math" w:hAnsi="Cambria Math"/>
                                <w:color w:val="000000" w:themeColor="text1"/>
                                <w:sz w:val="18"/>
                                <w:szCs w:val="18"/>
                                <w:lang w:val="es-ES" w:bidi="en-US"/>
                              </w:rPr>
                              <m:t>i</m:t>
                            </m:r>
                          </m:sub>
                        </m:sSub>
                      </m:e>
                    </m:nary>
                  </m:num>
                  <m:den>
                    <m:r>
                      <w:rPr>
                        <w:rFonts w:ascii="Cambria Math" w:hAnsi="Cambria Math"/>
                        <w:color w:val="000000" w:themeColor="text1"/>
                        <w:sz w:val="18"/>
                        <w:szCs w:val="18"/>
                        <w:lang w:val="es-ES" w:bidi="en-US"/>
                      </w:rPr>
                      <m:t>N</m:t>
                    </m:r>
                  </m:den>
                </m:f>
              </m:oMath>
            </m:oMathPara>
          </w:p>
        </w:tc>
      </w:tr>
    </w:tbl>
    <w:p w14:paraId="59798BB3" w14:textId="77777777" w:rsidR="00437BA1" w:rsidRDefault="00437BA1" w:rsidP="00582E42">
      <w:pPr>
        <w:snapToGrid w:val="0"/>
        <w:spacing w:after="120" w:line="360" w:lineRule="auto"/>
        <w:rPr>
          <w:color w:val="000000" w:themeColor="text1"/>
          <w:sz w:val="20"/>
          <w:szCs w:val="20"/>
          <w:lang w:val="es-ES" w:bidi="en-US"/>
        </w:rPr>
      </w:pPr>
    </w:p>
    <w:p w14:paraId="1672231A" w14:textId="27A024EA" w:rsidR="00651EA3" w:rsidRPr="00582E42" w:rsidRDefault="00D93966" w:rsidP="00582E42">
      <w:pPr>
        <w:snapToGrid w:val="0"/>
        <w:spacing w:after="120" w:line="360" w:lineRule="auto"/>
        <w:ind w:firstLine="567"/>
        <w:jc w:val="center"/>
        <w:rPr>
          <w:color w:val="000000" w:themeColor="text1"/>
          <w:lang w:val="es-ES" w:bidi="en-US"/>
        </w:rPr>
      </w:pPr>
      <w:r w:rsidRPr="00582E42">
        <w:rPr>
          <w:color w:val="000000" w:themeColor="text1"/>
          <w:lang w:val="es-ES" w:bidi="en-US"/>
        </w:rPr>
        <w:t>Fuente Yusoff, (2029)</w:t>
      </w:r>
    </w:p>
    <w:p w14:paraId="4C954B04" w14:textId="77777777" w:rsidR="00D93966" w:rsidRDefault="00D93966" w:rsidP="00F93273">
      <w:pPr>
        <w:snapToGrid w:val="0"/>
        <w:spacing w:line="360" w:lineRule="auto"/>
        <w:ind w:firstLine="709"/>
        <w:jc w:val="both"/>
        <w:rPr>
          <w:color w:val="000000" w:themeColor="text1"/>
          <w:lang w:val="es-ES" w:bidi="en-US"/>
        </w:rPr>
      </w:pPr>
    </w:p>
    <w:p w14:paraId="3DC04C1D" w14:textId="77777777" w:rsidR="00D93966" w:rsidRDefault="00D93966" w:rsidP="00F93273">
      <w:pPr>
        <w:snapToGrid w:val="0"/>
        <w:spacing w:line="360" w:lineRule="auto"/>
        <w:ind w:firstLine="709"/>
        <w:jc w:val="both"/>
        <w:rPr>
          <w:color w:val="000000" w:themeColor="text1"/>
          <w:lang w:val="es-ES" w:bidi="en-US"/>
        </w:rPr>
      </w:pPr>
    </w:p>
    <w:p w14:paraId="32E124FC" w14:textId="1534DBF0" w:rsidR="00563EE5" w:rsidRDefault="001A2224" w:rsidP="00F93273">
      <w:pPr>
        <w:snapToGrid w:val="0"/>
        <w:spacing w:line="360" w:lineRule="auto"/>
        <w:ind w:firstLine="709"/>
        <w:jc w:val="both"/>
        <w:rPr>
          <w:color w:val="000000" w:themeColor="text1"/>
          <w:lang w:val="es-ES" w:bidi="en-US"/>
        </w:rPr>
      </w:pPr>
      <w:r w:rsidRPr="005B541A">
        <w:rPr>
          <w:color w:val="000000" w:themeColor="text1"/>
          <w:lang w:val="es-ES" w:bidi="en-US"/>
        </w:rPr>
        <w:lastRenderedPageBreak/>
        <w:t>Para evaluar al I-CVI, que examina individualmente cada ítem, es necesario establecer la proporción de expertos que ju</w:t>
      </w:r>
      <w:r w:rsidRPr="005B541A">
        <w:rPr>
          <w:color w:val="000000" w:themeColor="text1"/>
          <w:lang w:bidi="en-US"/>
        </w:rPr>
        <w:t>z</w:t>
      </w:r>
      <w:r w:rsidRPr="005B541A">
        <w:rPr>
          <w:color w:val="000000" w:themeColor="text1"/>
          <w:lang w:val="es-ES" w:bidi="en-US"/>
        </w:rPr>
        <w:t xml:space="preserve">garon al ítem como fundamental. Esto es, aquellos que le asignaron una </w:t>
      </w:r>
      <w:r w:rsidRPr="005B541A">
        <w:rPr>
          <w:color w:val="000000" w:themeColor="text1"/>
          <w:lang w:bidi="en-US"/>
        </w:rPr>
        <w:t>calificación con valor igual a tres o igual a cuatro, es decir, hayan sido codificados con el número uno</w:t>
      </w:r>
      <w:r w:rsidRPr="005B541A">
        <w:rPr>
          <w:color w:val="000000" w:themeColor="text1"/>
          <w:lang w:val="es-ES" w:bidi="en-US"/>
        </w:rPr>
        <w:t xml:space="preserve">. </w:t>
      </w:r>
      <w:bookmarkStart w:id="4" w:name="_Hlk221557135"/>
      <w:r w:rsidRPr="005B541A">
        <w:rPr>
          <w:color w:val="000000" w:themeColor="text1"/>
          <w:lang w:val="es-ES" w:bidi="en-US"/>
        </w:rPr>
        <w:t xml:space="preserve">De acuerdo con Polit et al. </w:t>
      </w:r>
      <w:sdt>
        <w:sdtPr>
          <w:rPr>
            <w:color w:val="000000" w:themeColor="text1"/>
            <w:lang w:val="es-ES" w:bidi="en-US"/>
          </w:rPr>
          <w:id w:val="-2045507377"/>
        </w:sdtPr>
        <w:sdtEndPr/>
        <w:sdtContent>
          <w:r w:rsidRPr="005B541A">
            <w:rPr>
              <w:color w:val="000000" w:themeColor="text1"/>
              <w:lang w:val="es-ES" w:bidi="en-US"/>
            </w:rPr>
            <w:fldChar w:fldCharType="begin"/>
          </w:r>
          <w:r w:rsidRPr="005B541A">
            <w:rPr>
              <w:color w:val="000000" w:themeColor="text1"/>
              <w:lang w:bidi="en-US"/>
            </w:rPr>
            <w:instrText xml:space="preserve">CITATION Pol07 \n  \t  \l 1034 </w:instrText>
          </w:r>
          <w:r w:rsidRPr="005B541A">
            <w:rPr>
              <w:color w:val="000000" w:themeColor="text1"/>
              <w:lang w:val="es-ES" w:bidi="en-US"/>
            </w:rPr>
            <w:fldChar w:fldCharType="separate"/>
          </w:r>
          <w:r w:rsidRPr="005B541A">
            <w:rPr>
              <w:color w:val="000000" w:themeColor="text1"/>
              <w:lang w:bidi="en-US"/>
            </w:rPr>
            <w:t>(2007)</w:t>
          </w:r>
          <w:r w:rsidRPr="005B541A">
            <w:rPr>
              <w:color w:val="000000" w:themeColor="text1"/>
              <w:lang w:val="es-ES" w:bidi="en-US"/>
            </w:rPr>
            <w:fldChar w:fldCharType="end"/>
          </w:r>
        </w:sdtContent>
      </w:sdt>
      <w:r w:rsidRPr="005B541A">
        <w:rPr>
          <w:color w:val="000000" w:themeColor="text1"/>
          <w:lang w:bidi="en-US"/>
        </w:rPr>
        <w:t>.</w:t>
      </w:r>
      <w:r w:rsidRPr="005B541A">
        <w:rPr>
          <w:color w:val="000000" w:themeColor="text1"/>
          <w:lang w:val="es-ES" w:bidi="en-US"/>
        </w:rPr>
        <w:t xml:space="preserve"> </w:t>
      </w:r>
      <w:r w:rsidRPr="005B541A">
        <w:rPr>
          <w:rFonts w:eastAsiaTheme="minorEastAsia"/>
          <w:lang w:val="es-ES"/>
        </w:rPr>
        <w:t>Un ítem se declara excelente si el valor de su indicador I-CVI es igual a: 1, si el número de expertos es entre 3 y 5; e igual 0.78 para entre 6 y 10 expertos</w:t>
      </w:r>
      <w:bookmarkEnd w:id="4"/>
      <w:r w:rsidRPr="005B541A">
        <w:rPr>
          <w:color w:val="000000" w:themeColor="text1"/>
          <w:lang w:val="es-ES" w:bidi="en-US"/>
        </w:rPr>
        <w:t xml:space="preserve">. </w:t>
      </w:r>
      <w:r w:rsidRPr="005B541A">
        <w:rPr>
          <w:color w:val="000000" w:themeColor="text1"/>
          <w:lang w:bidi="en-US"/>
        </w:rPr>
        <w:t>E</w:t>
      </w:r>
      <w:r w:rsidRPr="005B541A">
        <w:rPr>
          <w:color w:val="000000" w:themeColor="text1"/>
          <w:lang w:val="es-ES" w:bidi="en-US"/>
        </w:rPr>
        <w:t xml:space="preserve">l </w:t>
      </w:r>
      <w:r w:rsidRPr="005B541A">
        <w:rPr>
          <w:color w:val="000000" w:themeColor="text1"/>
          <w:lang w:bidi="en-US"/>
        </w:rPr>
        <w:t xml:space="preserve">valor del </w:t>
      </w:r>
      <w:r w:rsidRPr="005B541A">
        <w:rPr>
          <w:color w:val="000000" w:themeColor="text1"/>
          <w:lang w:val="es-ES" w:bidi="en-US"/>
        </w:rPr>
        <w:t>índice de validez de contenido de escala promedio (S-CVI/ave)</w:t>
      </w:r>
      <w:r w:rsidRPr="005B541A">
        <w:rPr>
          <w:color w:val="000000" w:themeColor="text1"/>
          <w:lang w:bidi="en-US"/>
        </w:rPr>
        <w:t xml:space="preserve"> se determina como</w:t>
      </w:r>
      <w:r w:rsidRPr="005B541A">
        <w:rPr>
          <w:color w:val="000000" w:themeColor="text1"/>
          <w:lang w:val="es-ES" w:bidi="en-US"/>
        </w:rPr>
        <w:t xml:space="preserve"> la media aritmética de todos</w:t>
      </w:r>
      <w:r w:rsidRPr="005B541A">
        <w:rPr>
          <w:color w:val="000000" w:themeColor="text1"/>
          <w:lang w:bidi="en-US"/>
        </w:rPr>
        <w:t xml:space="preserve"> los valores de</w:t>
      </w:r>
      <w:r w:rsidRPr="005B541A">
        <w:rPr>
          <w:color w:val="000000" w:themeColor="text1"/>
          <w:lang w:val="es-ES" w:bidi="en-US"/>
        </w:rPr>
        <w:t xml:space="preserve"> los I-CVI evaluados previamente. </w:t>
      </w:r>
      <w:bookmarkStart w:id="5" w:name="_Hlk221557293"/>
      <w:r w:rsidRPr="005B541A">
        <w:rPr>
          <w:color w:val="000000" w:themeColor="text1"/>
          <w:lang w:val="es-ES" w:bidi="en-US"/>
        </w:rPr>
        <w:t>Asimismo, el S-CVI/ave es considerado como aceptable si alcanza un valor mayor o igual a 0.90.</w:t>
      </w:r>
      <w:r w:rsidRPr="005B541A">
        <w:rPr>
          <w:color w:val="000000" w:themeColor="text1"/>
          <w:lang w:bidi="en-US"/>
        </w:rPr>
        <w:t xml:space="preserve"> </w:t>
      </w:r>
      <w:bookmarkEnd w:id="5"/>
      <w:r w:rsidRPr="005B541A">
        <w:rPr>
          <w:color w:val="000000" w:themeColor="text1"/>
          <w:lang w:bidi="en-US"/>
        </w:rPr>
        <w:t>El valor de</w:t>
      </w:r>
      <w:r w:rsidRPr="005B541A">
        <w:rPr>
          <w:color w:val="000000" w:themeColor="text1"/>
          <w:lang w:val="es-ES" w:bidi="en-US"/>
        </w:rPr>
        <w:t>l índice de validez de contenido escalar/universal acumulado (S-CVI/UA)</w:t>
      </w:r>
      <w:r w:rsidRPr="005B541A">
        <w:rPr>
          <w:color w:val="000000" w:themeColor="text1"/>
          <w:lang w:bidi="en-US"/>
        </w:rPr>
        <w:t xml:space="preserve"> se calcula como la proporción de ítems calificados como esenciales y su valor critico de aceptación es igual a 0.80 (</w:t>
      </w:r>
      <w:r w:rsidR="009D7D3A" w:rsidRPr="005B541A">
        <w:rPr>
          <w:color w:val="000000" w:themeColor="text1"/>
          <w:lang w:bidi="en-US"/>
        </w:rPr>
        <w:t>S</w:t>
      </w:r>
      <w:r w:rsidRPr="005B541A">
        <w:rPr>
          <w:color w:val="000000" w:themeColor="text1"/>
          <w:lang w:bidi="en-US"/>
        </w:rPr>
        <w:t>hi, et al,</w:t>
      </w:r>
      <w:r w:rsidR="009D7D3A" w:rsidRPr="005B541A">
        <w:rPr>
          <w:color w:val="000000" w:themeColor="text1"/>
          <w:lang w:bidi="en-US"/>
        </w:rPr>
        <w:t xml:space="preserve"> </w:t>
      </w:r>
      <w:r w:rsidRPr="005B541A">
        <w:rPr>
          <w:color w:val="000000" w:themeColor="text1"/>
          <w:lang w:bidi="en-US"/>
        </w:rPr>
        <w:t>2012)</w:t>
      </w:r>
      <w:r w:rsidRPr="005B541A">
        <w:rPr>
          <w:color w:val="000000" w:themeColor="text1"/>
          <w:lang w:val="es-ES" w:bidi="en-US"/>
        </w:rPr>
        <w:t>.</w:t>
      </w:r>
    </w:p>
    <w:p w14:paraId="48711F5D" w14:textId="2515E13C" w:rsidR="00F93273" w:rsidRDefault="001A2224" w:rsidP="000351D8">
      <w:pPr>
        <w:snapToGrid w:val="0"/>
        <w:spacing w:line="360" w:lineRule="auto"/>
        <w:ind w:firstLine="709"/>
        <w:jc w:val="both"/>
        <w:rPr>
          <w:color w:val="000000" w:themeColor="text1"/>
          <w:lang w:val="es-ES" w:bidi="en-US"/>
        </w:rPr>
      </w:pPr>
      <w:r w:rsidRPr="005B541A">
        <w:rPr>
          <w:color w:val="000000" w:themeColor="text1"/>
          <w:lang w:bidi="en-US"/>
        </w:rPr>
        <w:t xml:space="preserve">Al respecto de los índices </w:t>
      </w:r>
      <w:r w:rsidRPr="005B541A">
        <w:rPr>
          <w:color w:val="000000" w:themeColor="text1"/>
          <w:lang w:val="es-ES" w:bidi="en-US"/>
        </w:rPr>
        <w:t>T, Gwet's AC1, Cohen Kappa's K, Kappa ponderado, Fleiss Kappa (Kappa de múltiples evaluadores), entre otros</w:t>
      </w:r>
      <w:r w:rsidRPr="005B541A">
        <w:rPr>
          <w:color w:val="000000" w:themeColor="text1"/>
          <w:lang w:bidi="en-US"/>
        </w:rPr>
        <w:t xml:space="preserve"> que son </w:t>
      </w:r>
      <w:r w:rsidR="009D7D3A" w:rsidRPr="005B541A">
        <w:rPr>
          <w:color w:val="000000" w:themeColor="text1"/>
          <w:lang w:bidi="en-US"/>
        </w:rPr>
        <w:t>aplic</w:t>
      </w:r>
      <w:r w:rsidRPr="005B541A">
        <w:rPr>
          <w:color w:val="000000" w:themeColor="text1"/>
          <w:lang w:bidi="en-US"/>
        </w:rPr>
        <w:t>ados para evaluar la validez de contenido del instrumento de medición,</w:t>
      </w:r>
      <w:r w:rsidRPr="005B541A">
        <w:rPr>
          <w:color w:val="000000" w:themeColor="text1"/>
          <w:lang w:val="es-ES" w:bidi="en-US"/>
        </w:rPr>
        <w:t xml:space="preserve"> Almanasreh, et al. (2019) </w:t>
      </w:r>
      <w:r w:rsidRPr="005B541A">
        <w:rPr>
          <w:color w:val="000000" w:themeColor="text1"/>
          <w:lang w:bidi="en-US"/>
        </w:rPr>
        <w:t>comentan</w:t>
      </w:r>
      <w:r w:rsidRPr="005B541A">
        <w:rPr>
          <w:color w:val="000000" w:themeColor="text1"/>
          <w:lang w:val="es-ES" w:bidi="en-US"/>
        </w:rPr>
        <w:t xml:space="preserve"> que </w:t>
      </w:r>
      <w:r w:rsidRPr="005B541A">
        <w:rPr>
          <w:color w:val="000000" w:themeColor="text1"/>
          <w:lang w:bidi="en-US"/>
        </w:rPr>
        <w:t>dichos</w:t>
      </w:r>
      <w:r w:rsidRPr="005B541A">
        <w:rPr>
          <w:color w:val="000000" w:themeColor="text1"/>
          <w:lang w:val="es-ES" w:bidi="en-US"/>
        </w:rPr>
        <w:t xml:space="preserve"> índices</w:t>
      </w:r>
      <w:r w:rsidRPr="005B541A">
        <w:rPr>
          <w:color w:val="000000" w:themeColor="text1"/>
          <w:lang w:bidi="en-US"/>
        </w:rPr>
        <w:t xml:space="preserve"> </w:t>
      </w:r>
      <w:r w:rsidRPr="005B541A">
        <w:rPr>
          <w:color w:val="000000" w:themeColor="text1"/>
          <w:lang w:val="es-ES" w:bidi="en-US"/>
        </w:rPr>
        <w:t>deben ser interpretados con prudencia si se emplean con el propósito de evaluar la validez de contenido, debido a que, el desarrollo y diseño de los mismos tienen por objetivo evaluar el acuerdo general entre los evaluadores, pero no con el propósito de cuantificar la validez de contenido de un instrumento de medición.</w:t>
      </w:r>
    </w:p>
    <w:p w14:paraId="25EE4498" w14:textId="77777777" w:rsidR="00582E42" w:rsidRPr="001D50D4" w:rsidRDefault="00582E42" w:rsidP="000351D8">
      <w:pPr>
        <w:snapToGrid w:val="0"/>
        <w:spacing w:line="360" w:lineRule="auto"/>
        <w:ind w:firstLine="709"/>
        <w:jc w:val="both"/>
        <w:rPr>
          <w:color w:val="000000" w:themeColor="text1"/>
          <w:lang w:val="es-ES" w:bidi="en-US"/>
        </w:rPr>
      </w:pPr>
    </w:p>
    <w:p w14:paraId="42442792" w14:textId="65EADEAB" w:rsidR="00844EF0" w:rsidRPr="005B541A" w:rsidRDefault="007F194F" w:rsidP="005B541A">
      <w:pPr>
        <w:tabs>
          <w:tab w:val="left" w:pos="450"/>
        </w:tabs>
        <w:spacing w:line="360" w:lineRule="auto"/>
        <w:jc w:val="center"/>
        <w:rPr>
          <w:b/>
          <w:bCs/>
          <w:sz w:val="28"/>
          <w:szCs w:val="28"/>
        </w:rPr>
      </w:pPr>
      <w:r w:rsidRPr="005B541A">
        <w:rPr>
          <w:b/>
          <w:bCs/>
          <w:sz w:val="28"/>
          <w:szCs w:val="28"/>
        </w:rPr>
        <w:t xml:space="preserve">Validación del </w:t>
      </w:r>
      <w:r w:rsidR="005B541A">
        <w:rPr>
          <w:b/>
          <w:bCs/>
          <w:sz w:val="28"/>
          <w:szCs w:val="28"/>
        </w:rPr>
        <w:t>i</w:t>
      </w:r>
      <w:r w:rsidRPr="005B541A">
        <w:rPr>
          <w:b/>
          <w:bCs/>
          <w:sz w:val="28"/>
          <w:szCs w:val="28"/>
        </w:rPr>
        <w:t xml:space="preserve">nstrumento de </w:t>
      </w:r>
      <w:r w:rsidR="005B541A">
        <w:rPr>
          <w:b/>
          <w:bCs/>
          <w:sz w:val="28"/>
          <w:szCs w:val="28"/>
        </w:rPr>
        <w:t>m</w:t>
      </w:r>
      <w:r w:rsidRPr="005B541A">
        <w:rPr>
          <w:b/>
          <w:bCs/>
          <w:sz w:val="28"/>
          <w:szCs w:val="28"/>
        </w:rPr>
        <w:t>edición</w:t>
      </w:r>
    </w:p>
    <w:p w14:paraId="7B84CA8B" w14:textId="12830557" w:rsidR="0014284F" w:rsidRDefault="001A2224" w:rsidP="000351D8">
      <w:pPr>
        <w:spacing w:line="360" w:lineRule="auto"/>
        <w:ind w:firstLine="709"/>
        <w:jc w:val="both"/>
      </w:pPr>
      <w:r w:rsidRPr="005B541A">
        <w:rPr>
          <w:rFonts w:eastAsiaTheme="minorEastAsia"/>
          <w:lang w:val="es-ES"/>
        </w:rPr>
        <w:t xml:space="preserve">Para evaluar la concordancia de los resultados </w:t>
      </w:r>
      <w:r w:rsidR="007F194F" w:rsidRPr="005B541A">
        <w:rPr>
          <w:rFonts w:eastAsiaTheme="minorEastAsia"/>
          <w:lang w:val="es-ES"/>
        </w:rPr>
        <w:t xml:space="preserve">se integró un grupo de 10 </w:t>
      </w:r>
      <w:r w:rsidR="005A27C7" w:rsidRPr="005B541A">
        <w:rPr>
          <w:rFonts w:eastAsiaTheme="minorEastAsia"/>
          <w:lang w:val="es-ES"/>
        </w:rPr>
        <w:t>expertos para</w:t>
      </w:r>
      <w:r w:rsidR="007F194F" w:rsidRPr="005B541A">
        <w:rPr>
          <w:rFonts w:eastAsiaTheme="minorEastAsia"/>
          <w:lang w:val="es-ES"/>
        </w:rPr>
        <w:t xml:space="preserve"> la evaluación de</w:t>
      </w:r>
      <w:r w:rsidRPr="005B541A">
        <w:rPr>
          <w:rFonts w:eastAsiaTheme="minorEastAsia"/>
          <w:lang w:val="es-ES"/>
        </w:rPr>
        <w:t xml:space="preserve"> cada ítem y </w:t>
      </w:r>
      <w:r w:rsidR="007F194F" w:rsidRPr="005B541A">
        <w:rPr>
          <w:rFonts w:eastAsiaTheme="minorEastAsia"/>
          <w:lang w:val="es-ES"/>
        </w:rPr>
        <w:t>d</w:t>
      </w:r>
      <w:r w:rsidRPr="005B541A">
        <w:rPr>
          <w:rFonts w:eastAsiaTheme="minorEastAsia"/>
          <w:lang w:val="es-ES"/>
        </w:rPr>
        <w:t>el propio instrumento de medición, se utiliza el Índice de Validez de Contenido (CVI</w:t>
      </w:r>
      <w:r w:rsidR="005A27C7" w:rsidRPr="005B541A">
        <w:rPr>
          <w:rFonts w:eastAsiaTheme="minorEastAsia"/>
          <w:lang w:val="es-ES"/>
        </w:rPr>
        <w:t>)</w:t>
      </w:r>
      <w:r w:rsidRPr="005B541A">
        <w:rPr>
          <w:rFonts w:eastAsiaTheme="minorEastAsia"/>
          <w:lang w:val="es-ES"/>
        </w:rPr>
        <w:t>,</w:t>
      </w:r>
      <w:r w:rsidR="005A27C7" w:rsidRPr="005B541A">
        <w:rPr>
          <w:rFonts w:eastAsiaTheme="minorEastAsia"/>
          <w:lang w:val="es-ES"/>
        </w:rPr>
        <w:t xml:space="preserve"> </w:t>
      </w:r>
      <w:r w:rsidR="006244FE" w:rsidRPr="005B541A">
        <w:rPr>
          <w:rFonts w:eastAsiaTheme="minorEastAsia"/>
          <w:lang w:val="es-ES"/>
        </w:rPr>
        <w:t>de Lynn</w:t>
      </w:r>
      <w:r w:rsidRPr="005B541A">
        <w:rPr>
          <w:rFonts w:eastAsiaTheme="minorEastAsia"/>
          <w:lang w:val="es-ES"/>
        </w:rPr>
        <w:t xml:space="preserve"> (1986), y al que Almanasreh et al. (2019) lo califica, como el índice de mayor uso para cuantificar la validez de contenido de un instrumento de medición. Este índice mide dos características: el Índice de Validez de Contenido del Ítem (I-CVI, por sus siglas en inglés), que determina el nivel de concordancia entre los jueces para cada uno </w:t>
      </w:r>
      <w:r w:rsidR="005A27C7" w:rsidRPr="005B541A">
        <w:rPr>
          <w:rFonts w:eastAsiaTheme="minorEastAsia"/>
          <w:lang w:val="es-ES"/>
        </w:rPr>
        <w:t xml:space="preserve">de los </w:t>
      </w:r>
      <w:r w:rsidR="005A27C7" w:rsidRPr="005B541A">
        <w:rPr>
          <w:rFonts w:eastAsiaTheme="minorEastAsia"/>
        </w:rPr>
        <w:t xml:space="preserve">ítems y </w:t>
      </w:r>
      <w:r w:rsidRPr="005B541A">
        <w:rPr>
          <w:rFonts w:eastAsiaTheme="minorEastAsia"/>
          <w:lang w:val="es-ES"/>
        </w:rPr>
        <w:t>e</w:t>
      </w:r>
      <w:r w:rsidR="005A27C7" w:rsidRPr="005B541A">
        <w:rPr>
          <w:rFonts w:eastAsiaTheme="minorEastAsia"/>
          <w:lang w:val="es-ES"/>
        </w:rPr>
        <w:t>l</w:t>
      </w:r>
      <w:r w:rsidRPr="005B541A">
        <w:rPr>
          <w:rFonts w:eastAsiaTheme="minorEastAsia"/>
          <w:lang w:val="es-ES"/>
        </w:rPr>
        <w:t xml:space="preserve"> Índice de Validez de contenido de Escala (S-CVI, por sus siglas en ingles), con el que se mide la concordancia entre los jueces sobre todo el instrumento de medición.</w:t>
      </w:r>
      <w:r w:rsidRPr="005B541A">
        <w:rPr>
          <w:rFonts w:eastAsiaTheme="minorEastAsia"/>
        </w:rPr>
        <w:t xml:space="preserve"> En esta evaluación de la validez del contenido del IM</w:t>
      </w:r>
      <w:r w:rsidR="005A27C7" w:rsidRPr="005B541A">
        <w:rPr>
          <w:rFonts w:eastAsiaTheme="minorEastAsia"/>
        </w:rPr>
        <w:t xml:space="preserve"> se aplicaron</w:t>
      </w:r>
      <w:r w:rsidRPr="005B541A">
        <w:rPr>
          <w:rFonts w:eastAsiaTheme="minorEastAsia"/>
        </w:rPr>
        <w:t xml:space="preserve"> </w:t>
      </w:r>
      <w:r w:rsidR="005A27C7" w:rsidRPr="005B541A">
        <w:rPr>
          <w:rFonts w:eastAsiaTheme="minorEastAsia"/>
        </w:rPr>
        <w:t xml:space="preserve">los indicadores dados en </w:t>
      </w:r>
      <w:r w:rsidRPr="005B541A">
        <w:rPr>
          <w:rFonts w:eastAsiaTheme="minorEastAsia"/>
        </w:rPr>
        <w:t>la Tabla 2</w:t>
      </w:r>
      <w:r w:rsidR="005A27C7" w:rsidRPr="005B541A">
        <w:rPr>
          <w:rFonts w:eastAsiaTheme="minorEastAsia"/>
        </w:rPr>
        <w:t xml:space="preserve"> y </w:t>
      </w:r>
      <w:r w:rsidRPr="005B541A">
        <w:rPr>
          <w:rFonts w:eastAsiaTheme="minorEastAsia"/>
        </w:rPr>
        <w:t xml:space="preserve">se consideran los criterios establecidos por Shi, et al. </w:t>
      </w:r>
      <w:r w:rsidR="00DB5462">
        <w:rPr>
          <w:rFonts w:eastAsiaTheme="minorEastAsia"/>
        </w:rPr>
        <w:t>(</w:t>
      </w:r>
      <w:r w:rsidRPr="005B541A">
        <w:rPr>
          <w:rFonts w:eastAsiaTheme="minorEastAsia"/>
        </w:rPr>
        <w:t>2012</w:t>
      </w:r>
      <w:r w:rsidR="00DB5462">
        <w:rPr>
          <w:rFonts w:eastAsiaTheme="minorEastAsia"/>
        </w:rPr>
        <w:t>),</w:t>
      </w:r>
      <w:r w:rsidRPr="005B541A">
        <w:rPr>
          <w:rFonts w:eastAsiaTheme="minorEastAsia"/>
          <w:lang w:val="es-ES"/>
        </w:rPr>
        <w:t xml:space="preserve"> para rechazar la hipótesis nula, con un nivel de significancia del 5%, que</w:t>
      </w:r>
      <w:r w:rsidRPr="005B541A">
        <w:rPr>
          <w:rFonts w:eastAsiaTheme="minorEastAsia"/>
        </w:rPr>
        <w:t xml:space="preserve"> establece que</w:t>
      </w:r>
      <w:r w:rsidRPr="005B541A">
        <w:rPr>
          <w:rFonts w:eastAsiaTheme="minorEastAsia"/>
          <w:lang w:val="es-ES"/>
        </w:rPr>
        <w:t xml:space="preserve"> el acuerdo entre los jueces</w:t>
      </w:r>
      <w:r w:rsidRPr="005B541A">
        <w:rPr>
          <w:rFonts w:eastAsiaTheme="minorEastAsia"/>
        </w:rPr>
        <w:t xml:space="preserve"> </w:t>
      </w:r>
      <w:r w:rsidRPr="005B541A">
        <w:rPr>
          <w:rFonts w:eastAsiaTheme="minorEastAsia"/>
          <w:lang w:val="es-ES"/>
        </w:rPr>
        <w:t xml:space="preserve">sobre </w:t>
      </w:r>
      <w:r w:rsidR="004F35CB" w:rsidRPr="005B541A">
        <w:rPr>
          <w:rFonts w:eastAsiaTheme="minorEastAsia"/>
          <w:lang w:val="es-ES"/>
        </w:rPr>
        <w:t xml:space="preserve">los </w:t>
      </w:r>
      <w:r w:rsidR="004F35CB" w:rsidRPr="005B541A">
        <w:rPr>
          <w:rFonts w:eastAsiaTheme="minorEastAsia"/>
        </w:rPr>
        <w:t>ítems</w:t>
      </w:r>
      <w:r w:rsidRPr="005B541A">
        <w:rPr>
          <w:rFonts w:eastAsiaTheme="minorEastAsia"/>
          <w:lang w:val="es-ES"/>
        </w:rPr>
        <w:t xml:space="preserve"> y el instrumento de </w:t>
      </w:r>
      <w:r w:rsidR="005A27C7" w:rsidRPr="005B541A">
        <w:rPr>
          <w:rFonts w:eastAsiaTheme="minorEastAsia"/>
          <w:lang w:val="es-ES"/>
        </w:rPr>
        <w:t>medición</w:t>
      </w:r>
      <w:r w:rsidRPr="005B541A">
        <w:rPr>
          <w:rFonts w:eastAsiaTheme="minorEastAsia"/>
          <w:lang w:val="es-ES"/>
        </w:rPr>
        <w:t xml:space="preserve"> es atribuible al azar.</w:t>
      </w:r>
      <w:r w:rsidR="00BC5AC0" w:rsidRPr="005B541A">
        <w:rPr>
          <w:rFonts w:eastAsiaTheme="minorEastAsia"/>
          <w:lang w:val="es-ES"/>
        </w:rPr>
        <w:t xml:space="preserve"> </w:t>
      </w:r>
      <w:r w:rsidRPr="005B541A">
        <w:rPr>
          <w:rFonts w:eastAsiaTheme="minorEastAsia"/>
          <w:lang w:val="es-ES"/>
        </w:rPr>
        <w:t xml:space="preserve">En la Tabla </w:t>
      </w:r>
      <w:r w:rsidR="009D4693">
        <w:rPr>
          <w:rFonts w:eastAsiaTheme="minorEastAsia"/>
          <w:lang w:val="es-ES"/>
        </w:rPr>
        <w:t>4</w:t>
      </w:r>
      <w:r w:rsidRPr="005B541A">
        <w:rPr>
          <w:rFonts w:eastAsiaTheme="minorEastAsia"/>
          <w:lang w:val="es-ES"/>
        </w:rPr>
        <w:t xml:space="preserve"> se presenta el instrumento de medición</w:t>
      </w:r>
      <w:r w:rsidRPr="005B541A">
        <w:rPr>
          <w:rFonts w:eastAsiaTheme="minorEastAsia"/>
        </w:rPr>
        <w:t xml:space="preserve"> en </w:t>
      </w:r>
      <w:r w:rsidRPr="005B541A">
        <w:rPr>
          <w:rFonts w:eastAsiaTheme="minorEastAsia"/>
          <w:lang w:val="es-ES"/>
        </w:rPr>
        <w:t xml:space="preserve">el formato en que es presentado para su </w:t>
      </w:r>
      <w:r w:rsidRPr="005B541A">
        <w:rPr>
          <w:rFonts w:eastAsiaTheme="minorEastAsia"/>
          <w:lang w:val="es-ES"/>
        </w:rPr>
        <w:lastRenderedPageBreak/>
        <w:t xml:space="preserve">evaluación por cada experto participante en este juicio, </w:t>
      </w:r>
      <w:r w:rsidRPr="005B541A">
        <w:rPr>
          <w:rFonts w:eastAsiaTheme="minorEastAsia"/>
        </w:rPr>
        <w:t xml:space="preserve">donde se les solicita evaluar cuatro características: </w:t>
      </w:r>
      <w:r w:rsidRPr="005B541A">
        <w:t>suficiencia, esto corresponde a evaluar si el conjunto de ítem considerados en cada constructo, representan de manera completa al constructo; claridad, determinar si cada ítem es redactado de tal forma que pueda ser entendido por quien responde el instrumento de medición; coherencia, se pregunta si cada ítem está asociado con el constructo; y relevancia, en donde se determina si la eliminación de cada ítem afecta o no la medición del constructo.</w:t>
      </w:r>
      <w:r w:rsidR="00BC5AC0" w:rsidRPr="005B541A">
        <w:rPr>
          <w:rFonts w:eastAsiaTheme="minorEastAsia"/>
        </w:rPr>
        <w:t xml:space="preserve"> </w:t>
      </w:r>
      <w:r w:rsidRPr="005B541A">
        <w:t xml:space="preserve">Una vez emitido el juicio por parte de los expertos, se analizan los resultados y en caso necesario se realizan las </w:t>
      </w:r>
      <w:r w:rsidR="004F35CB" w:rsidRPr="005B541A">
        <w:t>adecuaciones necesarias</w:t>
      </w:r>
      <w:r w:rsidRPr="005B541A">
        <w:t xml:space="preserve"> al instrumento de medición y se vuelve a someter a una nueva evaluación por parte de los expertos. </w:t>
      </w:r>
    </w:p>
    <w:p w14:paraId="69A89256" w14:textId="77777777" w:rsidR="006A2D2B" w:rsidRPr="000351D8" w:rsidRDefault="006A2D2B" w:rsidP="000351D8">
      <w:pPr>
        <w:spacing w:line="360" w:lineRule="auto"/>
        <w:ind w:firstLine="709"/>
        <w:jc w:val="both"/>
        <w:rPr>
          <w:rFonts w:eastAsiaTheme="minorEastAsia"/>
          <w:lang w:val="es-ES"/>
        </w:rPr>
      </w:pPr>
    </w:p>
    <w:p w14:paraId="33D5DF3A" w14:textId="587C4546" w:rsidR="0014284F" w:rsidRPr="005B541A" w:rsidRDefault="003C06E2" w:rsidP="005B541A">
      <w:pPr>
        <w:spacing w:line="360" w:lineRule="auto"/>
        <w:jc w:val="center"/>
        <w:rPr>
          <w:b/>
          <w:bCs/>
          <w:sz w:val="32"/>
          <w:szCs w:val="32"/>
        </w:rPr>
      </w:pPr>
      <w:r w:rsidRPr="005B541A">
        <w:rPr>
          <w:b/>
          <w:bCs/>
          <w:sz w:val="32"/>
          <w:szCs w:val="32"/>
        </w:rPr>
        <w:t>Resultados</w:t>
      </w:r>
    </w:p>
    <w:p w14:paraId="33F03880" w14:textId="4EA63838" w:rsidR="000351D8" w:rsidRPr="00582E42" w:rsidRDefault="00AE6D89" w:rsidP="00582E42">
      <w:pPr>
        <w:spacing w:line="360" w:lineRule="auto"/>
        <w:ind w:firstLine="709"/>
        <w:jc w:val="both"/>
      </w:pPr>
      <w:r w:rsidRPr="00AE6D89">
        <w:t>La Tabla 3 muestra los resultados de la evaluación de contenido del instrumento de medición, correspondientes a los resultados emitidos por los expertos o jueces en la primera ronda. Los valores de calidad para cada ítem y constructo son superiores a los valores de los parámetros establecidos para las variables suficiencia, claridad, coherencia y relevancia. Por lo tanto, el IM se declara adecuado para cuantificar y obtener mediciones de los factores críticos de éxito, dado que el acuerdo entre los expertos en la calificación de cada ítem y constructo como fundamental no es atribuible al azar.</w:t>
      </w:r>
    </w:p>
    <w:p w14:paraId="43334396" w14:textId="1DF605B0" w:rsidR="00AE6D89" w:rsidRDefault="00AE6D89" w:rsidP="00F93273">
      <w:pPr>
        <w:spacing w:line="360" w:lineRule="auto"/>
        <w:ind w:firstLine="709"/>
        <w:jc w:val="both"/>
        <w:rPr>
          <w:rFonts w:eastAsia="SimSun"/>
          <w:color w:val="000000"/>
          <w:lang w:eastAsia="zh-CN" w:bidi="ar"/>
        </w:rPr>
      </w:pPr>
      <w:r w:rsidRPr="00AE6D89">
        <w:rPr>
          <w:rFonts w:eastAsia="SimSun"/>
          <w:color w:val="000000"/>
          <w:lang w:eastAsia="zh-CN" w:bidi="ar"/>
        </w:rPr>
        <w:t>Algunos autores proponen la prueba de concordancia de Kendall e índices Kappa modificados para evaluar la concordancia entre evaluadores en las calificaciones asignadas a</w:t>
      </w:r>
      <w:r w:rsidR="00EC6517">
        <w:rPr>
          <w:rFonts w:eastAsia="SimSun"/>
          <w:color w:val="000000"/>
          <w:lang w:eastAsia="zh-CN" w:bidi="ar"/>
        </w:rPr>
        <w:t>l</w:t>
      </w:r>
      <w:r w:rsidRPr="00AE6D89">
        <w:rPr>
          <w:rFonts w:eastAsia="SimSun"/>
          <w:color w:val="000000"/>
          <w:lang w:eastAsia="zh-CN" w:bidi="ar"/>
        </w:rPr>
        <w:t xml:space="preserve"> I</w:t>
      </w:r>
      <w:r w:rsidR="00EC6517">
        <w:rPr>
          <w:rFonts w:eastAsia="SimSun"/>
          <w:color w:val="000000"/>
          <w:lang w:eastAsia="zh-CN" w:bidi="ar"/>
        </w:rPr>
        <w:t>M</w:t>
      </w:r>
      <w:r w:rsidRPr="00AE6D89">
        <w:rPr>
          <w:rFonts w:eastAsia="SimSun"/>
          <w:color w:val="000000"/>
          <w:lang w:eastAsia="zh-CN" w:bidi="ar"/>
        </w:rPr>
        <w:t>. Sin embargo, estos enfoques no permiten evaluar la concordancia para cada ítem individualmente. Esto impide determinar el papel del azar en la concomitancia de cada una de estas evaluaciones. A pesar de su incapacidad para discriminar los efectos de la aleatoriedad en la evaluación de la concordancia entre expertos, estos métodos se siguen aplicando para validar el contenido del I</w:t>
      </w:r>
      <w:r w:rsidR="00EC6517">
        <w:rPr>
          <w:rFonts w:eastAsia="SimSun"/>
          <w:color w:val="000000"/>
          <w:lang w:eastAsia="zh-CN" w:bidi="ar"/>
        </w:rPr>
        <w:t>M</w:t>
      </w:r>
      <w:r w:rsidRPr="00AE6D89">
        <w:rPr>
          <w:rFonts w:eastAsia="SimSun"/>
          <w:color w:val="000000"/>
          <w:lang w:eastAsia="zh-CN" w:bidi="ar"/>
        </w:rPr>
        <w:t>. En otras palabras, desde un punto de vista estadístico, los resultados obtenidos al evaluar la validez de contenido con estos métodos son cuestionables.</w:t>
      </w:r>
    </w:p>
    <w:p w14:paraId="02450097" w14:textId="476C64EA" w:rsidR="00437BA1" w:rsidRDefault="00437BA1" w:rsidP="00F93273">
      <w:pPr>
        <w:spacing w:line="360" w:lineRule="auto"/>
        <w:ind w:firstLine="709"/>
        <w:jc w:val="both"/>
        <w:rPr>
          <w:rFonts w:eastAsia="SimSun"/>
          <w:color w:val="000000"/>
          <w:lang w:eastAsia="zh-CN" w:bidi="ar"/>
        </w:rPr>
      </w:pPr>
    </w:p>
    <w:p w14:paraId="24683A5A" w14:textId="4D936443" w:rsidR="00437BA1" w:rsidRDefault="00437BA1" w:rsidP="00F93273">
      <w:pPr>
        <w:spacing w:line="360" w:lineRule="auto"/>
        <w:ind w:firstLine="709"/>
        <w:jc w:val="both"/>
        <w:rPr>
          <w:rFonts w:eastAsia="SimSun"/>
          <w:color w:val="000000"/>
          <w:lang w:eastAsia="zh-CN" w:bidi="ar"/>
        </w:rPr>
      </w:pPr>
    </w:p>
    <w:p w14:paraId="2A7A48D1" w14:textId="304831AC" w:rsidR="00437BA1" w:rsidRDefault="00437BA1" w:rsidP="00F93273">
      <w:pPr>
        <w:spacing w:line="360" w:lineRule="auto"/>
        <w:ind w:firstLine="709"/>
        <w:jc w:val="both"/>
        <w:rPr>
          <w:rFonts w:eastAsia="SimSun"/>
          <w:color w:val="000000"/>
          <w:lang w:eastAsia="zh-CN" w:bidi="ar"/>
        </w:rPr>
      </w:pPr>
    </w:p>
    <w:p w14:paraId="5CA672B8" w14:textId="77777777" w:rsidR="00437BA1" w:rsidRDefault="00437BA1" w:rsidP="00F93273">
      <w:pPr>
        <w:spacing w:line="360" w:lineRule="auto"/>
        <w:ind w:firstLine="709"/>
        <w:jc w:val="both"/>
        <w:rPr>
          <w:rFonts w:eastAsia="SimSun"/>
          <w:color w:val="000000"/>
          <w:lang w:eastAsia="zh-CN" w:bidi="ar"/>
        </w:rPr>
      </w:pPr>
    </w:p>
    <w:p w14:paraId="19775878" w14:textId="1289B0BD" w:rsidR="00437BA1" w:rsidRDefault="00437BA1" w:rsidP="00F93273">
      <w:pPr>
        <w:spacing w:line="360" w:lineRule="auto"/>
        <w:ind w:firstLine="709"/>
        <w:jc w:val="both"/>
        <w:rPr>
          <w:rFonts w:eastAsia="SimSun"/>
          <w:color w:val="000000"/>
          <w:lang w:eastAsia="zh-CN" w:bidi="ar"/>
        </w:rPr>
      </w:pPr>
    </w:p>
    <w:p w14:paraId="60852AE7" w14:textId="77777777" w:rsidR="00437BA1" w:rsidRPr="00993354" w:rsidRDefault="00437BA1" w:rsidP="00437BA1">
      <w:pPr>
        <w:jc w:val="center"/>
        <w:rPr>
          <w:bCs/>
        </w:rPr>
      </w:pPr>
      <w:r w:rsidRPr="005B541A">
        <w:rPr>
          <w:b/>
          <w:bCs/>
        </w:rPr>
        <w:lastRenderedPageBreak/>
        <w:t xml:space="preserve">Tabla </w:t>
      </w:r>
      <w:r>
        <w:rPr>
          <w:b/>
          <w:bCs/>
        </w:rPr>
        <w:t>3</w:t>
      </w:r>
      <w:r w:rsidRPr="005B541A">
        <w:rPr>
          <w:b/>
          <w:bCs/>
        </w:rPr>
        <w:t xml:space="preserve">. </w:t>
      </w:r>
      <w:r w:rsidRPr="00993354">
        <w:rPr>
          <w:bCs/>
        </w:rPr>
        <w:t>Calificaciones de las características suficiencia, claridad, coherencia y relevancia del instrumento de medición</w:t>
      </w:r>
    </w:p>
    <w:tbl>
      <w:tblPr>
        <w:tblStyle w:val="Tablaconcuadrcula"/>
        <w:tblpPr w:leftFromText="180" w:rightFromText="180" w:vertAnchor="text" w:horzAnchor="margin" w:tblpY="139"/>
        <w:tblOverlap w:val="never"/>
        <w:tblW w:w="8781" w:type="dxa"/>
        <w:tblLook w:val="04A0" w:firstRow="1" w:lastRow="0" w:firstColumn="1" w:lastColumn="0" w:noHBand="0" w:noVBand="1"/>
      </w:tblPr>
      <w:tblGrid>
        <w:gridCol w:w="481"/>
        <w:gridCol w:w="1001"/>
        <w:gridCol w:w="1070"/>
        <w:gridCol w:w="928"/>
        <w:gridCol w:w="1137"/>
        <w:gridCol w:w="1002"/>
        <w:gridCol w:w="938"/>
        <w:gridCol w:w="1020"/>
        <w:gridCol w:w="1204"/>
      </w:tblGrid>
      <w:tr w:rsidR="00437BA1" w:rsidRPr="00582E42" w14:paraId="6337C58A" w14:textId="77777777" w:rsidTr="00582E42">
        <w:trPr>
          <w:trHeight w:val="20"/>
        </w:trPr>
        <w:tc>
          <w:tcPr>
            <w:tcW w:w="481" w:type="dxa"/>
            <w:vMerge w:val="restart"/>
            <w:shd w:val="clear" w:color="auto" w:fill="auto"/>
            <w:textDirection w:val="tbRl"/>
            <w:vAlign w:val="center"/>
          </w:tcPr>
          <w:p w14:paraId="6FCBB914" w14:textId="77777777" w:rsidR="00437BA1" w:rsidRPr="00582E42" w:rsidRDefault="00437BA1" w:rsidP="00B84C24">
            <w:pPr>
              <w:pStyle w:val="Sinespaciado"/>
              <w:jc w:val="center"/>
              <w:rPr>
                <w:rFonts w:ascii="Times New Roman" w:eastAsia="Times New Roman" w:hAnsi="Times New Roman" w:cs="Times New Roman"/>
                <w:sz w:val="18"/>
                <w:szCs w:val="18"/>
              </w:rPr>
            </w:pPr>
          </w:p>
        </w:tc>
        <w:tc>
          <w:tcPr>
            <w:tcW w:w="2071" w:type="dxa"/>
            <w:gridSpan w:val="2"/>
            <w:shd w:val="clear" w:color="auto" w:fill="auto"/>
            <w:vAlign w:val="center"/>
          </w:tcPr>
          <w:p w14:paraId="75883A4F" w14:textId="77777777" w:rsidR="00437BA1" w:rsidRPr="00582E42" w:rsidRDefault="00437BA1" w:rsidP="00B84C24">
            <w:pPr>
              <w:pStyle w:val="Sinespaciado"/>
              <w:jc w:val="center"/>
              <w:rPr>
                <w:rFonts w:ascii="Times New Roman" w:eastAsia="Calibri" w:hAnsi="Times New Roman" w:cs="Times New Roman"/>
              </w:rPr>
            </w:pPr>
            <w:r w:rsidRPr="00582E42">
              <w:rPr>
                <w:rFonts w:ascii="Times New Roman" w:hAnsi="Times New Roman" w:cs="Times New Roman"/>
              </w:rPr>
              <w:t>Suficiencia</w:t>
            </w:r>
          </w:p>
        </w:tc>
        <w:tc>
          <w:tcPr>
            <w:tcW w:w="2065" w:type="dxa"/>
            <w:gridSpan w:val="2"/>
            <w:shd w:val="clear" w:color="auto" w:fill="auto"/>
            <w:vAlign w:val="center"/>
          </w:tcPr>
          <w:p w14:paraId="0631E742" w14:textId="77777777" w:rsidR="00437BA1" w:rsidRPr="00582E42" w:rsidRDefault="00437BA1" w:rsidP="00B84C24">
            <w:pPr>
              <w:pStyle w:val="Sinespaciado"/>
              <w:jc w:val="center"/>
              <w:rPr>
                <w:rFonts w:ascii="Times New Roman" w:eastAsia="Calibri" w:hAnsi="Times New Roman" w:cs="Times New Roman"/>
              </w:rPr>
            </w:pPr>
            <w:r w:rsidRPr="00582E42">
              <w:rPr>
                <w:rFonts w:ascii="Times New Roman" w:hAnsi="Times New Roman" w:cs="Times New Roman"/>
              </w:rPr>
              <w:t>Claridad</w:t>
            </w:r>
          </w:p>
        </w:tc>
        <w:tc>
          <w:tcPr>
            <w:tcW w:w="1940" w:type="dxa"/>
            <w:gridSpan w:val="2"/>
            <w:shd w:val="clear" w:color="auto" w:fill="auto"/>
            <w:vAlign w:val="center"/>
          </w:tcPr>
          <w:p w14:paraId="43817A83" w14:textId="77777777" w:rsidR="00437BA1" w:rsidRPr="00582E42" w:rsidRDefault="00437BA1" w:rsidP="00B84C24">
            <w:pPr>
              <w:pStyle w:val="Sinespaciado"/>
              <w:jc w:val="center"/>
              <w:rPr>
                <w:rFonts w:ascii="Times New Roman" w:eastAsia="Calibri" w:hAnsi="Times New Roman" w:cs="Times New Roman"/>
              </w:rPr>
            </w:pPr>
            <w:r w:rsidRPr="00582E42">
              <w:rPr>
                <w:rFonts w:ascii="Times New Roman" w:hAnsi="Times New Roman" w:cs="Times New Roman"/>
              </w:rPr>
              <w:t>Coherencia</w:t>
            </w:r>
          </w:p>
        </w:tc>
        <w:tc>
          <w:tcPr>
            <w:tcW w:w="2224" w:type="dxa"/>
            <w:gridSpan w:val="2"/>
            <w:shd w:val="clear" w:color="auto" w:fill="auto"/>
            <w:vAlign w:val="center"/>
          </w:tcPr>
          <w:p w14:paraId="5945BB85" w14:textId="77777777" w:rsidR="00437BA1" w:rsidRPr="00582E42" w:rsidRDefault="00437BA1" w:rsidP="00B84C24">
            <w:pPr>
              <w:pStyle w:val="Sinespaciado"/>
              <w:jc w:val="center"/>
              <w:rPr>
                <w:rFonts w:ascii="Times New Roman" w:eastAsia="Calibri" w:hAnsi="Times New Roman" w:cs="Times New Roman"/>
              </w:rPr>
            </w:pPr>
            <w:r w:rsidRPr="00582E42">
              <w:rPr>
                <w:rFonts w:ascii="Times New Roman" w:hAnsi="Times New Roman" w:cs="Times New Roman"/>
              </w:rPr>
              <w:t>Relevancia</w:t>
            </w:r>
          </w:p>
        </w:tc>
      </w:tr>
      <w:tr w:rsidR="00437BA1" w:rsidRPr="00582E42" w14:paraId="7F2B514E" w14:textId="77777777" w:rsidTr="00582E42">
        <w:trPr>
          <w:trHeight w:val="20"/>
        </w:trPr>
        <w:tc>
          <w:tcPr>
            <w:tcW w:w="481" w:type="dxa"/>
            <w:vMerge/>
            <w:shd w:val="clear" w:color="auto" w:fill="auto"/>
            <w:textDirection w:val="tbRl"/>
            <w:vAlign w:val="center"/>
          </w:tcPr>
          <w:p w14:paraId="6DA2325F" w14:textId="77777777" w:rsidR="00437BA1" w:rsidRPr="00582E42" w:rsidRDefault="00437BA1" w:rsidP="00B84C24">
            <w:pPr>
              <w:pStyle w:val="Sinespaciado"/>
              <w:jc w:val="center"/>
              <w:rPr>
                <w:rFonts w:ascii="Times New Roman" w:eastAsia="Times New Roman" w:hAnsi="Times New Roman" w:cs="Times New Roman"/>
                <w:sz w:val="18"/>
                <w:szCs w:val="18"/>
              </w:rPr>
            </w:pPr>
          </w:p>
        </w:tc>
        <w:tc>
          <w:tcPr>
            <w:tcW w:w="2071" w:type="dxa"/>
            <w:gridSpan w:val="2"/>
            <w:shd w:val="clear" w:color="auto" w:fill="auto"/>
            <w:vAlign w:val="center"/>
          </w:tcPr>
          <w:p w14:paraId="02734E4B" w14:textId="77777777" w:rsidR="00437BA1" w:rsidRPr="00582E42" w:rsidRDefault="00437BA1" w:rsidP="00B84C24">
            <w:pPr>
              <w:pStyle w:val="Sinespaciado"/>
              <w:jc w:val="center"/>
              <w:rPr>
                <w:rFonts w:ascii="Times New Roman" w:eastAsia="Calibri" w:hAnsi="Times New Roman" w:cs="Times New Roman"/>
              </w:rPr>
            </w:pPr>
            <w:r w:rsidRPr="00582E42">
              <w:rPr>
                <w:rFonts w:ascii="Times New Roman" w:hAnsi="Times New Roman" w:cs="Times New Roman"/>
              </w:rPr>
              <w:t>Calificación</w:t>
            </w:r>
          </w:p>
        </w:tc>
        <w:tc>
          <w:tcPr>
            <w:tcW w:w="2065" w:type="dxa"/>
            <w:gridSpan w:val="2"/>
            <w:shd w:val="clear" w:color="auto" w:fill="auto"/>
            <w:vAlign w:val="center"/>
          </w:tcPr>
          <w:p w14:paraId="1C8F3664" w14:textId="77777777" w:rsidR="00437BA1" w:rsidRPr="00582E42" w:rsidRDefault="00437BA1" w:rsidP="00B84C24">
            <w:pPr>
              <w:pStyle w:val="Sinespaciado"/>
              <w:jc w:val="center"/>
              <w:rPr>
                <w:rFonts w:ascii="Times New Roman" w:eastAsia="Calibri" w:hAnsi="Times New Roman" w:cs="Times New Roman"/>
              </w:rPr>
            </w:pPr>
            <w:r w:rsidRPr="00582E42">
              <w:rPr>
                <w:rFonts w:ascii="Times New Roman" w:hAnsi="Times New Roman" w:cs="Times New Roman"/>
              </w:rPr>
              <w:t>Calificación</w:t>
            </w:r>
          </w:p>
        </w:tc>
        <w:tc>
          <w:tcPr>
            <w:tcW w:w="1940" w:type="dxa"/>
            <w:gridSpan w:val="2"/>
            <w:shd w:val="clear" w:color="auto" w:fill="auto"/>
            <w:vAlign w:val="center"/>
          </w:tcPr>
          <w:p w14:paraId="3D265513" w14:textId="77777777" w:rsidR="00437BA1" w:rsidRPr="00582E42" w:rsidRDefault="00437BA1" w:rsidP="00B84C24">
            <w:pPr>
              <w:pStyle w:val="Sinespaciado"/>
              <w:jc w:val="center"/>
              <w:rPr>
                <w:rFonts w:ascii="Times New Roman" w:eastAsia="Calibri" w:hAnsi="Times New Roman" w:cs="Times New Roman"/>
              </w:rPr>
            </w:pPr>
            <w:r w:rsidRPr="00582E42">
              <w:rPr>
                <w:rFonts w:ascii="Times New Roman" w:hAnsi="Times New Roman" w:cs="Times New Roman"/>
              </w:rPr>
              <w:t>Calificación</w:t>
            </w:r>
          </w:p>
        </w:tc>
        <w:tc>
          <w:tcPr>
            <w:tcW w:w="2224" w:type="dxa"/>
            <w:gridSpan w:val="2"/>
            <w:shd w:val="clear" w:color="auto" w:fill="auto"/>
            <w:vAlign w:val="center"/>
          </w:tcPr>
          <w:p w14:paraId="029A93F8" w14:textId="77777777" w:rsidR="00437BA1" w:rsidRPr="00582E42" w:rsidRDefault="00437BA1" w:rsidP="00B84C24">
            <w:pPr>
              <w:pStyle w:val="Sinespaciado"/>
              <w:jc w:val="center"/>
              <w:rPr>
                <w:rFonts w:ascii="Times New Roman" w:eastAsia="Calibri" w:hAnsi="Times New Roman" w:cs="Times New Roman"/>
              </w:rPr>
            </w:pPr>
            <w:r w:rsidRPr="00582E42">
              <w:rPr>
                <w:rFonts w:ascii="Times New Roman" w:hAnsi="Times New Roman" w:cs="Times New Roman"/>
              </w:rPr>
              <w:t>Calificación</w:t>
            </w:r>
          </w:p>
        </w:tc>
      </w:tr>
      <w:tr w:rsidR="00437BA1" w:rsidRPr="00582E42" w14:paraId="60936946" w14:textId="77777777" w:rsidTr="00582E42">
        <w:trPr>
          <w:trHeight w:val="585"/>
        </w:trPr>
        <w:tc>
          <w:tcPr>
            <w:tcW w:w="481" w:type="dxa"/>
            <w:shd w:val="clear" w:color="auto" w:fill="auto"/>
            <w:textDirection w:val="tbRl"/>
            <w:vAlign w:val="center"/>
          </w:tcPr>
          <w:p w14:paraId="3BDB10BA" w14:textId="6639A716" w:rsidR="00437BA1" w:rsidRPr="00582E42" w:rsidRDefault="00582E42" w:rsidP="00B84C24">
            <w:pPr>
              <w:pStyle w:val="Sinespaciado"/>
              <w:jc w:val="center"/>
              <w:rPr>
                <w:rFonts w:ascii="Times New Roman" w:hAnsi="Times New Roman" w:cs="Times New Roman"/>
                <w:sz w:val="18"/>
                <w:szCs w:val="18"/>
              </w:rPr>
            </w:pPr>
            <m:oMathPara>
              <m:oMath>
                <m:r>
                  <w:rPr>
                    <w:rFonts w:ascii="Cambria Math" w:hAnsi="Cambria Math" w:cs="Times New Roman"/>
                    <w:sz w:val="18"/>
                    <w:szCs w:val="18"/>
                  </w:rPr>
                  <m:t>Item</m:t>
                </m:r>
              </m:oMath>
            </m:oMathPara>
          </w:p>
        </w:tc>
        <w:tc>
          <w:tcPr>
            <w:tcW w:w="1001" w:type="dxa"/>
            <w:shd w:val="clear" w:color="auto" w:fill="auto"/>
            <w:vAlign w:val="center"/>
          </w:tcPr>
          <w:p w14:paraId="5E1D95FF" w14:textId="4F85A9E2" w:rsidR="00437BA1" w:rsidRPr="00582E42" w:rsidRDefault="00582E42" w:rsidP="00B84C24">
            <w:pPr>
              <w:pStyle w:val="Sinespaciado"/>
              <w:jc w:val="center"/>
              <w:rPr>
                <w:rFonts w:ascii="Times New Roman" w:hAnsi="Times New Roman" w:cs="Times New Roman"/>
                <w:sz w:val="18"/>
                <w:szCs w:val="18"/>
              </w:rPr>
            </w:pPr>
            <m:oMathPara>
              <m:oMath>
                <m:r>
                  <w:rPr>
                    <w:rFonts w:ascii="Cambria Math" w:hAnsi="Cambria Math" w:cs="Times New Roman"/>
                    <w:sz w:val="18"/>
                    <w:szCs w:val="18"/>
                  </w:rPr>
                  <m:t xml:space="preserve">     I-CVI</m:t>
                </m:r>
              </m:oMath>
            </m:oMathPara>
          </w:p>
        </w:tc>
        <w:tc>
          <w:tcPr>
            <w:tcW w:w="1070" w:type="dxa"/>
            <w:shd w:val="clear" w:color="auto" w:fill="auto"/>
            <w:vAlign w:val="center"/>
          </w:tcPr>
          <w:p w14:paraId="30103D17" w14:textId="036B0648" w:rsidR="00437BA1" w:rsidRPr="00582E42" w:rsidRDefault="00AC3CA8" w:rsidP="00B84C24">
            <w:pPr>
              <w:pStyle w:val="Sinespaciado"/>
              <w:jc w:val="center"/>
              <w:rPr>
                <w:rFonts w:ascii="Times New Roman" w:hAnsi="Times New Roman" w:cs="Times New Roman"/>
                <w:sz w:val="18"/>
                <w:szCs w:val="18"/>
              </w:rPr>
            </w:pPr>
            <m:oMathPara>
              <m:oMath>
                <m:f>
                  <m:fPr>
                    <m:ctrlPr>
                      <w:rPr>
                        <w:rFonts w:ascii="Cambria Math" w:hAnsi="Cambria Math" w:cs="Times New Roman"/>
                        <w:i/>
                        <w:sz w:val="18"/>
                        <w:szCs w:val="18"/>
                      </w:rPr>
                    </m:ctrlPr>
                  </m:fPr>
                  <m:num>
                    <m:r>
                      <w:rPr>
                        <w:rFonts w:ascii="Cambria Math" w:hAnsi="Cambria Math" w:cs="Times New Roman"/>
                        <w:sz w:val="18"/>
                        <w:szCs w:val="18"/>
                      </w:rPr>
                      <m:t>I-CVI</m:t>
                    </m:r>
                  </m:num>
                  <m:den>
                    <m:r>
                      <w:rPr>
                        <w:rFonts w:ascii="Cambria Math" w:hAnsi="Cambria Math" w:cs="Times New Roman"/>
                        <w:sz w:val="18"/>
                        <w:szCs w:val="18"/>
                      </w:rPr>
                      <m:t>ave</m:t>
                    </m:r>
                  </m:den>
                </m:f>
              </m:oMath>
            </m:oMathPara>
          </w:p>
        </w:tc>
        <w:tc>
          <w:tcPr>
            <w:tcW w:w="928" w:type="dxa"/>
            <w:shd w:val="clear" w:color="auto" w:fill="auto"/>
            <w:vAlign w:val="center"/>
          </w:tcPr>
          <w:p w14:paraId="7A0472F2" w14:textId="4C068A4F" w:rsidR="00437BA1" w:rsidRPr="00582E42" w:rsidRDefault="00582E42" w:rsidP="00B84C24">
            <w:pPr>
              <w:pStyle w:val="Sinespaciado"/>
              <w:jc w:val="center"/>
              <w:rPr>
                <w:rFonts w:ascii="Times New Roman" w:hAnsi="Times New Roman" w:cs="Times New Roman"/>
                <w:sz w:val="18"/>
                <w:szCs w:val="18"/>
              </w:rPr>
            </w:pPr>
            <m:oMathPara>
              <m:oMath>
                <m:r>
                  <w:rPr>
                    <w:rFonts w:ascii="Cambria Math" w:hAnsi="Cambria Math" w:cs="Times New Roman"/>
                    <w:sz w:val="18"/>
                    <w:szCs w:val="18"/>
                  </w:rPr>
                  <m:t xml:space="preserve"> I-CVI</m:t>
                </m:r>
              </m:oMath>
            </m:oMathPara>
          </w:p>
        </w:tc>
        <w:tc>
          <w:tcPr>
            <w:tcW w:w="1137" w:type="dxa"/>
            <w:shd w:val="clear" w:color="auto" w:fill="auto"/>
            <w:vAlign w:val="center"/>
          </w:tcPr>
          <w:p w14:paraId="17BA94B8" w14:textId="3F7B0B2F" w:rsidR="00437BA1" w:rsidRPr="00582E42" w:rsidRDefault="00AC3CA8" w:rsidP="00B84C24">
            <w:pPr>
              <w:pStyle w:val="Sinespaciado"/>
              <w:jc w:val="center"/>
              <w:rPr>
                <w:rFonts w:ascii="Times New Roman" w:hAnsi="Times New Roman" w:cs="Times New Roman"/>
                <w:sz w:val="18"/>
                <w:szCs w:val="18"/>
              </w:rPr>
            </w:pPr>
            <m:oMathPara>
              <m:oMath>
                <m:f>
                  <m:fPr>
                    <m:ctrlPr>
                      <w:rPr>
                        <w:rFonts w:ascii="Cambria Math" w:hAnsi="Cambria Math" w:cs="Times New Roman"/>
                        <w:i/>
                        <w:sz w:val="18"/>
                        <w:szCs w:val="18"/>
                      </w:rPr>
                    </m:ctrlPr>
                  </m:fPr>
                  <m:num>
                    <m:r>
                      <w:rPr>
                        <w:rFonts w:ascii="Cambria Math" w:hAnsi="Cambria Math" w:cs="Times New Roman"/>
                        <w:sz w:val="18"/>
                        <w:szCs w:val="18"/>
                      </w:rPr>
                      <m:t>I-CVI</m:t>
                    </m:r>
                  </m:num>
                  <m:den>
                    <m:r>
                      <w:rPr>
                        <w:rFonts w:ascii="Cambria Math" w:hAnsi="Cambria Math" w:cs="Times New Roman"/>
                        <w:sz w:val="18"/>
                        <w:szCs w:val="18"/>
                      </w:rPr>
                      <m:t>ave</m:t>
                    </m:r>
                  </m:den>
                </m:f>
              </m:oMath>
            </m:oMathPara>
          </w:p>
        </w:tc>
        <w:tc>
          <w:tcPr>
            <w:tcW w:w="1002" w:type="dxa"/>
            <w:shd w:val="clear" w:color="auto" w:fill="auto"/>
            <w:vAlign w:val="center"/>
          </w:tcPr>
          <w:p w14:paraId="6BE81269" w14:textId="27251BE6" w:rsidR="00437BA1" w:rsidRPr="00582E42" w:rsidRDefault="00582E42" w:rsidP="00B84C24">
            <w:pPr>
              <w:pStyle w:val="Sinespaciado"/>
              <w:jc w:val="center"/>
              <w:rPr>
                <w:rFonts w:ascii="Times New Roman" w:hAnsi="Times New Roman" w:cs="Times New Roman"/>
                <w:sz w:val="18"/>
                <w:szCs w:val="18"/>
              </w:rPr>
            </w:pPr>
            <m:oMathPara>
              <m:oMath>
                <m:r>
                  <w:rPr>
                    <w:rFonts w:ascii="Cambria Math" w:hAnsi="Cambria Math" w:cs="Times New Roman"/>
                    <w:sz w:val="18"/>
                    <w:szCs w:val="18"/>
                  </w:rPr>
                  <m:t>I-CVI</m:t>
                </m:r>
              </m:oMath>
            </m:oMathPara>
          </w:p>
        </w:tc>
        <w:tc>
          <w:tcPr>
            <w:tcW w:w="938" w:type="dxa"/>
            <w:shd w:val="clear" w:color="auto" w:fill="auto"/>
            <w:vAlign w:val="center"/>
          </w:tcPr>
          <w:p w14:paraId="41172F7E" w14:textId="2DBC56D6" w:rsidR="00437BA1" w:rsidRPr="00582E42" w:rsidRDefault="00AC3CA8" w:rsidP="00B84C24">
            <w:pPr>
              <w:pStyle w:val="Sinespaciado"/>
              <w:jc w:val="center"/>
              <w:rPr>
                <w:rFonts w:ascii="Times New Roman" w:hAnsi="Times New Roman" w:cs="Times New Roman"/>
                <w:sz w:val="18"/>
                <w:szCs w:val="18"/>
              </w:rPr>
            </w:pPr>
            <m:oMathPara>
              <m:oMath>
                <m:f>
                  <m:fPr>
                    <m:ctrlPr>
                      <w:rPr>
                        <w:rFonts w:ascii="Cambria Math" w:hAnsi="Cambria Math" w:cs="Times New Roman"/>
                        <w:i/>
                        <w:sz w:val="18"/>
                        <w:szCs w:val="18"/>
                      </w:rPr>
                    </m:ctrlPr>
                  </m:fPr>
                  <m:num>
                    <m:r>
                      <w:rPr>
                        <w:rFonts w:ascii="Cambria Math" w:hAnsi="Cambria Math" w:cs="Times New Roman"/>
                        <w:sz w:val="18"/>
                        <w:szCs w:val="18"/>
                      </w:rPr>
                      <m:t>I-CVI</m:t>
                    </m:r>
                  </m:num>
                  <m:den>
                    <m:r>
                      <w:rPr>
                        <w:rFonts w:ascii="Cambria Math" w:hAnsi="Cambria Math" w:cs="Times New Roman"/>
                        <w:sz w:val="18"/>
                        <w:szCs w:val="18"/>
                      </w:rPr>
                      <m:t>ave</m:t>
                    </m:r>
                  </m:den>
                </m:f>
              </m:oMath>
            </m:oMathPara>
          </w:p>
        </w:tc>
        <w:tc>
          <w:tcPr>
            <w:tcW w:w="1020" w:type="dxa"/>
            <w:shd w:val="clear" w:color="auto" w:fill="auto"/>
            <w:vAlign w:val="center"/>
          </w:tcPr>
          <w:p w14:paraId="3185DD99" w14:textId="2618768E" w:rsidR="00437BA1" w:rsidRPr="00582E42" w:rsidRDefault="00582E42" w:rsidP="00B84C24">
            <w:pPr>
              <w:pStyle w:val="Sinespaciado"/>
              <w:jc w:val="center"/>
              <w:rPr>
                <w:rFonts w:ascii="Times New Roman" w:hAnsi="Times New Roman" w:cs="Times New Roman"/>
                <w:sz w:val="18"/>
                <w:szCs w:val="18"/>
              </w:rPr>
            </w:pPr>
            <m:oMathPara>
              <m:oMath>
                <m:r>
                  <w:rPr>
                    <w:rFonts w:ascii="Cambria Math" w:hAnsi="Cambria Math" w:cs="Times New Roman"/>
                    <w:sz w:val="18"/>
                    <w:szCs w:val="18"/>
                  </w:rPr>
                  <m:t xml:space="preserve"> I-CVI</m:t>
                </m:r>
              </m:oMath>
            </m:oMathPara>
          </w:p>
        </w:tc>
        <w:tc>
          <w:tcPr>
            <w:tcW w:w="1204" w:type="dxa"/>
            <w:shd w:val="clear" w:color="auto" w:fill="auto"/>
            <w:vAlign w:val="center"/>
          </w:tcPr>
          <w:p w14:paraId="779314D7" w14:textId="5ED2731B" w:rsidR="00437BA1" w:rsidRPr="00582E42" w:rsidRDefault="00AC3CA8" w:rsidP="00B84C24">
            <w:pPr>
              <w:pStyle w:val="Sinespaciado"/>
              <w:jc w:val="center"/>
              <w:rPr>
                <w:rFonts w:ascii="Times New Roman" w:hAnsi="Times New Roman" w:cs="Times New Roman"/>
                <w:sz w:val="18"/>
                <w:szCs w:val="18"/>
              </w:rPr>
            </w:pPr>
            <m:oMathPara>
              <m:oMath>
                <m:f>
                  <m:fPr>
                    <m:ctrlPr>
                      <w:rPr>
                        <w:rFonts w:ascii="Cambria Math" w:hAnsi="Cambria Math" w:cs="Times New Roman"/>
                        <w:i/>
                        <w:sz w:val="18"/>
                        <w:szCs w:val="18"/>
                      </w:rPr>
                    </m:ctrlPr>
                  </m:fPr>
                  <m:num>
                    <m:r>
                      <w:rPr>
                        <w:rFonts w:ascii="Cambria Math" w:hAnsi="Cambria Math" w:cs="Times New Roman"/>
                        <w:sz w:val="18"/>
                        <w:szCs w:val="18"/>
                      </w:rPr>
                      <m:t>I-CVI</m:t>
                    </m:r>
                  </m:num>
                  <m:den>
                    <m:r>
                      <w:rPr>
                        <w:rFonts w:ascii="Cambria Math" w:hAnsi="Cambria Math" w:cs="Times New Roman"/>
                        <w:sz w:val="18"/>
                        <w:szCs w:val="18"/>
                      </w:rPr>
                      <m:t>ave</m:t>
                    </m:r>
                  </m:den>
                </m:f>
              </m:oMath>
            </m:oMathPara>
          </w:p>
        </w:tc>
      </w:tr>
      <w:tr w:rsidR="00437BA1" w:rsidRPr="00582E42" w14:paraId="7A06814E" w14:textId="77777777" w:rsidTr="00582E42">
        <w:trPr>
          <w:trHeight w:val="20"/>
        </w:trPr>
        <w:tc>
          <w:tcPr>
            <w:tcW w:w="481" w:type="dxa"/>
            <w:shd w:val="clear" w:color="auto" w:fill="auto"/>
            <w:vAlign w:val="center"/>
          </w:tcPr>
          <w:p w14:paraId="123A954C"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1</w:t>
            </w:r>
          </w:p>
        </w:tc>
        <w:tc>
          <w:tcPr>
            <w:tcW w:w="1001" w:type="dxa"/>
            <w:shd w:val="clear" w:color="auto" w:fill="auto"/>
            <w:vAlign w:val="center"/>
          </w:tcPr>
          <w:p w14:paraId="6C7E498B"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1</w:t>
            </w:r>
          </w:p>
        </w:tc>
        <w:tc>
          <w:tcPr>
            <w:tcW w:w="1070" w:type="dxa"/>
            <w:shd w:val="clear" w:color="auto" w:fill="auto"/>
            <w:vAlign w:val="center"/>
          </w:tcPr>
          <w:p w14:paraId="43D83788"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0.99</w:t>
            </w:r>
          </w:p>
        </w:tc>
        <w:tc>
          <w:tcPr>
            <w:tcW w:w="928" w:type="dxa"/>
            <w:shd w:val="clear" w:color="auto" w:fill="auto"/>
            <w:vAlign w:val="center"/>
          </w:tcPr>
          <w:p w14:paraId="58D734BF"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0.833</w:t>
            </w:r>
          </w:p>
        </w:tc>
        <w:tc>
          <w:tcPr>
            <w:tcW w:w="1137" w:type="dxa"/>
            <w:shd w:val="clear" w:color="auto" w:fill="auto"/>
            <w:vAlign w:val="center"/>
          </w:tcPr>
          <w:p w14:paraId="530F6325"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0.96</w:t>
            </w:r>
          </w:p>
        </w:tc>
        <w:tc>
          <w:tcPr>
            <w:tcW w:w="1002" w:type="dxa"/>
            <w:shd w:val="clear" w:color="auto" w:fill="auto"/>
            <w:vAlign w:val="center"/>
          </w:tcPr>
          <w:p w14:paraId="105B6187"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0.833</w:t>
            </w:r>
          </w:p>
        </w:tc>
        <w:tc>
          <w:tcPr>
            <w:tcW w:w="938" w:type="dxa"/>
            <w:shd w:val="clear" w:color="auto" w:fill="auto"/>
            <w:vAlign w:val="center"/>
          </w:tcPr>
          <w:p w14:paraId="1CB93EC7"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0.93</w:t>
            </w:r>
          </w:p>
        </w:tc>
        <w:tc>
          <w:tcPr>
            <w:tcW w:w="1020" w:type="dxa"/>
            <w:shd w:val="clear" w:color="auto" w:fill="auto"/>
            <w:vAlign w:val="center"/>
          </w:tcPr>
          <w:p w14:paraId="09AA1DC1"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1</w:t>
            </w:r>
          </w:p>
        </w:tc>
        <w:tc>
          <w:tcPr>
            <w:tcW w:w="1204" w:type="dxa"/>
            <w:shd w:val="clear" w:color="auto" w:fill="auto"/>
            <w:vAlign w:val="center"/>
          </w:tcPr>
          <w:p w14:paraId="5E443733"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0.96</w:t>
            </w:r>
          </w:p>
        </w:tc>
      </w:tr>
      <w:tr w:rsidR="00437BA1" w:rsidRPr="00582E42" w14:paraId="0507F78F" w14:textId="77777777" w:rsidTr="00582E42">
        <w:trPr>
          <w:trHeight w:val="20"/>
        </w:trPr>
        <w:tc>
          <w:tcPr>
            <w:tcW w:w="481" w:type="dxa"/>
            <w:shd w:val="clear" w:color="auto" w:fill="auto"/>
            <w:vAlign w:val="center"/>
          </w:tcPr>
          <w:p w14:paraId="669B8F1C"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2</w:t>
            </w:r>
          </w:p>
        </w:tc>
        <w:tc>
          <w:tcPr>
            <w:tcW w:w="1001" w:type="dxa"/>
            <w:shd w:val="clear" w:color="auto" w:fill="auto"/>
            <w:vAlign w:val="center"/>
          </w:tcPr>
          <w:p w14:paraId="78CE1616" w14:textId="77777777" w:rsidR="00437BA1" w:rsidRPr="00582E42" w:rsidRDefault="00437BA1" w:rsidP="00B84C24">
            <w:pPr>
              <w:pStyle w:val="Sinespaciado"/>
              <w:jc w:val="center"/>
              <w:rPr>
                <w:rFonts w:ascii="Times New Roman" w:hAnsi="Times New Roman" w:cs="Times New Roman"/>
                <w:sz w:val="18"/>
                <w:szCs w:val="18"/>
              </w:rPr>
            </w:pPr>
          </w:p>
        </w:tc>
        <w:tc>
          <w:tcPr>
            <w:tcW w:w="1070" w:type="dxa"/>
            <w:shd w:val="clear" w:color="auto" w:fill="auto"/>
            <w:vAlign w:val="center"/>
          </w:tcPr>
          <w:p w14:paraId="15323FEF" w14:textId="77777777" w:rsidR="00437BA1" w:rsidRPr="00582E42" w:rsidRDefault="00437BA1" w:rsidP="00B84C24">
            <w:pPr>
              <w:pStyle w:val="Sinespaciado"/>
              <w:jc w:val="center"/>
              <w:rPr>
                <w:rFonts w:ascii="Times New Roman" w:hAnsi="Times New Roman" w:cs="Times New Roman"/>
                <w:sz w:val="18"/>
                <w:szCs w:val="18"/>
              </w:rPr>
            </w:pPr>
          </w:p>
        </w:tc>
        <w:tc>
          <w:tcPr>
            <w:tcW w:w="928" w:type="dxa"/>
            <w:shd w:val="clear" w:color="auto" w:fill="auto"/>
            <w:vAlign w:val="center"/>
          </w:tcPr>
          <w:p w14:paraId="43CB63B4"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1</w:t>
            </w:r>
          </w:p>
        </w:tc>
        <w:tc>
          <w:tcPr>
            <w:tcW w:w="1137" w:type="dxa"/>
            <w:shd w:val="clear" w:color="auto" w:fill="auto"/>
            <w:vAlign w:val="center"/>
          </w:tcPr>
          <w:p w14:paraId="6CBCCCDA" w14:textId="77777777" w:rsidR="00437BA1" w:rsidRPr="00582E42" w:rsidRDefault="00437BA1" w:rsidP="00B84C24">
            <w:pPr>
              <w:pStyle w:val="Sinespaciado"/>
              <w:jc w:val="center"/>
              <w:rPr>
                <w:rFonts w:ascii="Times New Roman" w:hAnsi="Times New Roman" w:cs="Times New Roman"/>
                <w:sz w:val="18"/>
                <w:szCs w:val="18"/>
              </w:rPr>
            </w:pPr>
          </w:p>
        </w:tc>
        <w:tc>
          <w:tcPr>
            <w:tcW w:w="1002" w:type="dxa"/>
            <w:shd w:val="clear" w:color="auto" w:fill="auto"/>
            <w:vAlign w:val="center"/>
          </w:tcPr>
          <w:p w14:paraId="220BA695"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1</w:t>
            </w:r>
          </w:p>
        </w:tc>
        <w:tc>
          <w:tcPr>
            <w:tcW w:w="938" w:type="dxa"/>
            <w:shd w:val="clear" w:color="auto" w:fill="auto"/>
            <w:vAlign w:val="center"/>
          </w:tcPr>
          <w:p w14:paraId="34025E72" w14:textId="77777777" w:rsidR="00437BA1" w:rsidRPr="00582E42" w:rsidRDefault="00437BA1" w:rsidP="00B84C24">
            <w:pPr>
              <w:pStyle w:val="Sinespaciado"/>
              <w:jc w:val="center"/>
              <w:rPr>
                <w:rFonts w:ascii="Times New Roman" w:hAnsi="Times New Roman" w:cs="Times New Roman"/>
                <w:sz w:val="18"/>
                <w:szCs w:val="18"/>
              </w:rPr>
            </w:pPr>
          </w:p>
        </w:tc>
        <w:tc>
          <w:tcPr>
            <w:tcW w:w="1020" w:type="dxa"/>
            <w:shd w:val="clear" w:color="auto" w:fill="auto"/>
            <w:vAlign w:val="center"/>
          </w:tcPr>
          <w:p w14:paraId="59EE1DB8"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1</w:t>
            </w:r>
          </w:p>
        </w:tc>
        <w:tc>
          <w:tcPr>
            <w:tcW w:w="1204" w:type="dxa"/>
            <w:shd w:val="clear" w:color="auto" w:fill="auto"/>
            <w:vAlign w:val="center"/>
          </w:tcPr>
          <w:p w14:paraId="1EF701AC" w14:textId="77777777" w:rsidR="00437BA1" w:rsidRPr="00582E42" w:rsidRDefault="00437BA1" w:rsidP="00B84C24">
            <w:pPr>
              <w:pStyle w:val="Sinespaciado"/>
              <w:jc w:val="center"/>
              <w:rPr>
                <w:rFonts w:ascii="Times New Roman" w:hAnsi="Times New Roman" w:cs="Times New Roman"/>
                <w:sz w:val="18"/>
                <w:szCs w:val="18"/>
              </w:rPr>
            </w:pPr>
          </w:p>
        </w:tc>
      </w:tr>
      <w:tr w:rsidR="00437BA1" w:rsidRPr="00582E42" w14:paraId="76363567" w14:textId="77777777" w:rsidTr="00582E42">
        <w:trPr>
          <w:trHeight w:val="20"/>
        </w:trPr>
        <w:tc>
          <w:tcPr>
            <w:tcW w:w="481" w:type="dxa"/>
            <w:shd w:val="clear" w:color="auto" w:fill="auto"/>
            <w:vAlign w:val="center"/>
          </w:tcPr>
          <w:p w14:paraId="1DB0D4C9"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3</w:t>
            </w:r>
          </w:p>
        </w:tc>
        <w:tc>
          <w:tcPr>
            <w:tcW w:w="1001" w:type="dxa"/>
            <w:shd w:val="clear" w:color="auto" w:fill="auto"/>
            <w:vAlign w:val="center"/>
          </w:tcPr>
          <w:p w14:paraId="23DFE076" w14:textId="77777777" w:rsidR="00437BA1" w:rsidRPr="00582E42" w:rsidRDefault="00437BA1" w:rsidP="00B84C24">
            <w:pPr>
              <w:pStyle w:val="Sinespaciado"/>
              <w:jc w:val="center"/>
              <w:rPr>
                <w:rFonts w:ascii="Times New Roman" w:hAnsi="Times New Roman" w:cs="Times New Roman"/>
                <w:sz w:val="18"/>
                <w:szCs w:val="18"/>
              </w:rPr>
            </w:pPr>
          </w:p>
        </w:tc>
        <w:tc>
          <w:tcPr>
            <w:tcW w:w="1070" w:type="dxa"/>
            <w:shd w:val="clear" w:color="auto" w:fill="auto"/>
            <w:vAlign w:val="center"/>
          </w:tcPr>
          <w:p w14:paraId="5EB2E69B" w14:textId="77777777" w:rsidR="00437BA1" w:rsidRPr="00582E42" w:rsidRDefault="00437BA1" w:rsidP="00B84C24">
            <w:pPr>
              <w:pStyle w:val="Sinespaciado"/>
              <w:jc w:val="center"/>
              <w:rPr>
                <w:rFonts w:ascii="Times New Roman" w:hAnsi="Times New Roman" w:cs="Times New Roman"/>
                <w:sz w:val="18"/>
                <w:szCs w:val="18"/>
              </w:rPr>
            </w:pPr>
          </w:p>
        </w:tc>
        <w:tc>
          <w:tcPr>
            <w:tcW w:w="928" w:type="dxa"/>
            <w:shd w:val="clear" w:color="auto" w:fill="auto"/>
            <w:vAlign w:val="center"/>
          </w:tcPr>
          <w:p w14:paraId="1045BD0D"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1</w:t>
            </w:r>
          </w:p>
        </w:tc>
        <w:tc>
          <w:tcPr>
            <w:tcW w:w="1137" w:type="dxa"/>
            <w:shd w:val="clear" w:color="auto" w:fill="auto"/>
            <w:vAlign w:val="center"/>
          </w:tcPr>
          <w:p w14:paraId="5E724F0C" w14:textId="77777777" w:rsidR="00437BA1" w:rsidRPr="00582E42" w:rsidRDefault="00437BA1" w:rsidP="00B84C24">
            <w:pPr>
              <w:pStyle w:val="Sinespaciado"/>
              <w:jc w:val="center"/>
              <w:rPr>
                <w:rFonts w:ascii="Times New Roman" w:hAnsi="Times New Roman" w:cs="Times New Roman"/>
                <w:sz w:val="18"/>
                <w:szCs w:val="18"/>
              </w:rPr>
            </w:pPr>
          </w:p>
        </w:tc>
        <w:tc>
          <w:tcPr>
            <w:tcW w:w="1002" w:type="dxa"/>
            <w:shd w:val="clear" w:color="auto" w:fill="auto"/>
            <w:vAlign w:val="center"/>
          </w:tcPr>
          <w:p w14:paraId="624F6975"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1</w:t>
            </w:r>
          </w:p>
        </w:tc>
        <w:tc>
          <w:tcPr>
            <w:tcW w:w="938" w:type="dxa"/>
            <w:shd w:val="clear" w:color="auto" w:fill="auto"/>
            <w:vAlign w:val="center"/>
          </w:tcPr>
          <w:p w14:paraId="1B8D8F23" w14:textId="77777777" w:rsidR="00437BA1" w:rsidRPr="00582E42" w:rsidRDefault="00437BA1" w:rsidP="00B84C24">
            <w:pPr>
              <w:pStyle w:val="Sinespaciado"/>
              <w:jc w:val="center"/>
              <w:rPr>
                <w:rFonts w:ascii="Times New Roman" w:hAnsi="Times New Roman" w:cs="Times New Roman"/>
                <w:sz w:val="18"/>
                <w:szCs w:val="18"/>
              </w:rPr>
            </w:pPr>
          </w:p>
        </w:tc>
        <w:tc>
          <w:tcPr>
            <w:tcW w:w="1020" w:type="dxa"/>
            <w:shd w:val="clear" w:color="auto" w:fill="auto"/>
            <w:vAlign w:val="center"/>
          </w:tcPr>
          <w:p w14:paraId="20B8FF31"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1</w:t>
            </w:r>
          </w:p>
        </w:tc>
        <w:tc>
          <w:tcPr>
            <w:tcW w:w="1204" w:type="dxa"/>
            <w:shd w:val="clear" w:color="auto" w:fill="auto"/>
            <w:vAlign w:val="center"/>
          </w:tcPr>
          <w:p w14:paraId="7422CD98" w14:textId="77777777" w:rsidR="00437BA1" w:rsidRPr="00582E42" w:rsidRDefault="00437BA1" w:rsidP="00B84C24">
            <w:pPr>
              <w:pStyle w:val="Sinespaciado"/>
              <w:jc w:val="center"/>
              <w:rPr>
                <w:rFonts w:ascii="Times New Roman" w:hAnsi="Times New Roman" w:cs="Times New Roman"/>
                <w:sz w:val="18"/>
                <w:szCs w:val="18"/>
              </w:rPr>
            </w:pPr>
          </w:p>
        </w:tc>
      </w:tr>
      <w:tr w:rsidR="00437BA1" w:rsidRPr="00582E42" w14:paraId="620DE4E6" w14:textId="77777777" w:rsidTr="00582E42">
        <w:trPr>
          <w:trHeight w:val="90"/>
        </w:trPr>
        <w:tc>
          <w:tcPr>
            <w:tcW w:w="481" w:type="dxa"/>
            <w:shd w:val="clear" w:color="auto" w:fill="auto"/>
            <w:vAlign w:val="center"/>
          </w:tcPr>
          <w:p w14:paraId="18ABB3EB"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4</w:t>
            </w:r>
          </w:p>
        </w:tc>
        <w:tc>
          <w:tcPr>
            <w:tcW w:w="1001" w:type="dxa"/>
            <w:shd w:val="clear" w:color="auto" w:fill="auto"/>
            <w:vAlign w:val="center"/>
          </w:tcPr>
          <w:p w14:paraId="0E220FD2" w14:textId="77777777" w:rsidR="00437BA1" w:rsidRPr="00582E42" w:rsidRDefault="00437BA1" w:rsidP="00B84C24">
            <w:pPr>
              <w:pStyle w:val="Sinespaciado"/>
              <w:jc w:val="center"/>
              <w:rPr>
                <w:rFonts w:ascii="Times New Roman" w:hAnsi="Times New Roman" w:cs="Times New Roman"/>
                <w:sz w:val="18"/>
                <w:szCs w:val="18"/>
              </w:rPr>
            </w:pPr>
          </w:p>
        </w:tc>
        <w:tc>
          <w:tcPr>
            <w:tcW w:w="1070" w:type="dxa"/>
            <w:shd w:val="clear" w:color="auto" w:fill="auto"/>
            <w:vAlign w:val="center"/>
          </w:tcPr>
          <w:p w14:paraId="4BC5AFC6" w14:textId="77777777" w:rsidR="00437BA1" w:rsidRPr="00582E42" w:rsidRDefault="00437BA1" w:rsidP="00B84C24">
            <w:pPr>
              <w:pStyle w:val="Sinespaciado"/>
              <w:jc w:val="center"/>
              <w:rPr>
                <w:rFonts w:ascii="Times New Roman" w:hAnsi="Times New Roman" w:cs="Times New Roman"/>
                <w:sz w:val="18"/>
                <w:szCs w:val="18"/>
              </w:rPr>
            </w:pPr>
          </w:p>
        </w:tc>
        <w:tc>
          <w:tcPr>
            <w:tcW w:w="928" w:type="dxa"/>
            <w:shd w:val="clear" w:color="auto" w:fill="auto"/>
            <w:vAlign w:val="center"/>
          </w:tcPr>
          <w:p w14:paraId="79F51984"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1</w:t>
            </w:r>
          </w:p>
        </w:tc>
        <w:tc>
          <w:tcPr>
            <w:tcW w:w="1137" w:type="dxa"/>
            <w:shd w:val="clear" w:color="auto" w:fill="auto"/>
            <w:vAlign w:val="center"/>
          </w:tcPr>
          <w:p w14:paraId="4AE0CDF2" w14:textId="77777777" w:rsidR="00437BA1" w:rsidRPr="00582E42" w:rsidRDefault="00437BA1" w:rsidP="00B84C24">
            <w:pPr>
              <w:pStyle w:val="Sinespaciado"/>
              <w:jc w:val="center"/>
              <w:rPr>
                <w:rFonts w:ascii="Times New Roman" w:hAnsi="Times New Roman" w:cs="Times New Roman"/>
                <w:sz w:val="18"/>
                <w:szCs w:val="18"/>
              </w:rPr>
            </w:pPr>
          </w:p>
        </w:tc>
        <w:tc>
          <w:tcPr>
            <w:tcW w:w="1002" w:type="dxa"/>
            <w:shd w:val="clear" w:color="auto" w:fill="auto"/>
            <w:vAlign w:val="center"/>
          </w:tcPr>
          <w:p w14:paraId="2D499375"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1</w:t>
            </w:r>
          </w:p>
        </w:tc>
        <w:tc>
          <w:tcPr>
            <w:tcW w:w="938" w:type="dxa"/>
            <w:shd w:val="clear" w:color="auto" w:fill="auto"/>
            <w:vAlign w:val="center"/>
          </w:tcPr>
          <w:p w14:paraId="7AAAC179" w14:textId="77777777" w:rsidR="00437BA1" w:rsidRPr="00582E42" w:rsidRDefault="00437BA1" w:rsidP="00B84C24">
            <w:pPr>
              <w:pStyle w:val="Sinespaciado"/>
              <w:jc w:val="center"/>
              <w:rPr>
                <w:rFonts w:ascii="Times New Roman" w:hAnsi="Times New Roman" w:cs="Times New Roman"/>
                <w:sz w:val="18"/>
                <w:szCs w:val="18"/>
              </w:rPr>
            </w:pPr>
          </w:p>
        </w:tc>
        <w:tc>
          <w:tcPr>
            <w:tcW w:w="1020" w:type="dxa"/>
            <w:shd w:val="clear" w:color="auto" w:fill="auto"/>
            <w:vAlign w:val="center"/>
          </w:tcPr>
          <w:p w14:paraId="03CD3439"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1</w:t>
            </w:r>
          </w:p>
        </w:tc>
        <w:tc>
          <w:tcPr>
            <w:tcW w:w="1204" w:type="dxa"/>
            <w:shd w:val="clear" w:color="auto" w:fill="auto"/>
            <w:vAlign w:val="center"/>
          </w:tcPr>
          <w:p w14:paraId="72592C85" w14:textId="77777777" w:rsidR="00437BA1" w:rsidRPr="00582E42" w:rsidRDefault="00437BA1" w:rsidP="00B84C24">
            <w:pPr>
              <w:pStyle w:val="Sinespaciado"/>
              <w:jc w:val="center"/>
              <w:rPr>
                <w:rFonts w:ascii="Times New Roman" w:hAnsi="Times New Roman" w:cs="Times New Roman"/>
                <w:sz w:val="18"/>
                <w:szCs w:val="18"/>
              </w:rPr>
            </w:pPr>
          </w:p>
        </w:tc>
      </w:tr>
      <w:tr w:rsidR="00437BA1" w:rsidRPr="00582E42" w14:paraId="1FE1A6EE" w14:textId="77777777" w:rsidTr="00582E42">
        <w:trPr>
          <w:trHeight w:val="90"/>
        </w:trPr>
        <w:tc>
          <w:tcPr>
            <w:tcW w:w="481" w:type="dxa"/>
            <w:shd w:val="clear" w:color="auto" w:fill="auto"/>
            <w:vAlign w:val="center"/>
          </w:tcPr>
          <w:p w14:paraId="4A132BB0"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5</w:t>
            </w:r>
          </w:p>
        </w:tc>
        <w:tc>
          <w:tcPr>
            <w:tcW w:w="1001" w:type="dxa"/>
            <w:shd w:val="clear" w:color="auto" w:fill="auto"/>
            <w:vAlign w:val="center"/>
          </w:tcPr>
          <w:p w14:paraId="5C7FDA80" w14:textId="77777777" w:rsidR="00437BA1" w:rsidRPr="00582E42" w:rsidRDefault="00437BA1" w:rsidP="00B84C24">
            <w:pPr>
              <w:pStyle w:val="Sinespaciado"/>
              <w:jc w:val="center"/>
              <w:rPr>
                <w:rFonts w:ascii="Times New Roman" w:hAnsi="Times New Roman" w:cs="Times New Roman"/>
                <w:sz w:val="18"/>
                <w:szCs w:val="18"/>
              </w:rPr>
            </w:pPr>
          </w:p>
        </w:tc>
        <w:tc>
          <w:tcPr>
            <w:tcW w:w="1070" w:type="dxa"/>
            <w:shd w:val="clear" w:color="auto" w:fill="auto"/>
            <w:vAlign w:val="center"/>
          </w:tcPr>
          <w:p w14:paraId="2FEE38FE" w14:textId="77777777" w:rsidR="00437BA1" w:rsidRPr="00582E42" w:rsidRDefault="00437BA1" w:rsidP="00B84C24">
            <w:pPr>
              <w:pStyle w:val="Sinespaciado"/>
              <w:jc w:val="center"/>
              <w:rPr>
                <w:rFonts w:ascii="Times New Roman" w:hAnsi="Times New Roman" w:cs="Times New Roman"/>
                <w:sz w:val="18"/>
                <w:szCs w:val="18"/>
              </w:rPr>
            </w:pPr>
          </w:p>
        </w:tc>
        <w:tc>
          <w:tcPr>
            <w:tcW w:w="928" w:type="dxa"/>
            <w:shd w:val="clear" w:color="auto" w:fill="auto"/>
            <w:vAlign w:val="center"/>
          </w:tcPr>
          <w:p w14:paraId="610D2F9A"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1</w:t>
            </w:r>
          </w:p>
        </w:tc>
        <w:tc>
          <w:tcPr>
            <w:tcW w:w="1137" w:type="dxa"/>
            <w:shd w:val="clear" w:color="auto" w:fill="auto"/>
            <w:vAlign w:val="center"/>
          </w:tcPr>
          <w:p w14:paraId="51E82426" w14:textId="77777777" w:rsidR="00437BA1" w:rsidRPr="00582E42" w:rsidRDefault="00437BA1" w:rsidP="00B84C24">
            <w:pPr>
              <w:pStyle w:val="Sinespaciado"/>
              <w:jc w:val="center"/>
              <w:rPr>
                <w:rFonts w:ascii="Times New Roman" w:hAnsi="Times New Roman" w:cs="Times New Roman"/>
                <w:sz w:val="18"/>
                <w:szCs w:val="18"/>
              </w:rPr>
            </w:pPr>
          </w:p>
        </w:tc>
        <w:tc>
          <w:tcPr>
            <w:tcW w:w="1002" w:type="dxa"/>
            <w:shd w:val="clear" w:color="auto" w:fill="auto"/>
            <w:vAlign w:val="center"/>
          </w:tcPr>
          <w:p w14:paraId="51BFB3A6"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1</w:t>
            </w:r>
          </w:p>
        </w:tc>
        <w:tc>
          <w:tcPr>
            <w:tcW w:w="938" w:type="dxa"/>
            <w:shd w:val="clear" w:color="auto" w:fill="auto"/>
            <w:vAlign w:val="center"/>
          </w:tcPr>
          <w:p w14:paraId="425BCC15" w14:textId="77777777" w:rsidR="00437BA1" w:rsidRPr="00582E42" w:rsidRDefault="00437BA1" w:rsidP="00B84C24">
            <w:pPr>
              <w:pStyle w:val="Sinespaciado"/>
              <w:jc w:val="center"/>
              <w:rPr>
                <w:rFonts w:ascii="Times New Roman" w:hAnsi="Times New Roman" w:cs="Times New Roman"/>
                <w:sz w:val="18"/>
                <w:szCs w:val="18"/>
              </w:rPr>
            </w:pPr>
          </w:p>
        </w:tc>
        <w:tc>
          <w:tcPr>
            <w:tcW w:w="1020" w:type="dxa"/>
            <w:shd w:val="clear" w:color="auto" w:fill="auto"/>
            <w:vAlign w:val="center"/>
          </w:tcPr>
          <w:p w14:paraId="56B1273B"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0.833</w:t>
            </w:r>
          </w:p>
        </w:tc>
        <w:tc>
          <w:tcPr>
            <w:tcW w:w="1204" w:type="dxa"/>
            <w:shd w:val="clear" w:color="auto" w:fill="auto"/>
            <w:vAlign w:val="center"/>
          </w:tcPr>
          <w:p w14:paraId="653AE7F6" w14:textId="77777777" w:rsidR="00437BA1" w:rsidRPr="00582E42" w:rsidRDefault="00437BA1" w:rsidP="00B84C24">
            <w:pPr>
              <w:pStyle w:val="Sinespaciado"/>
              <w:jc w:val="center"/>
              <w:rPr>
                <w:rFonts w:ascii="Times New Roman" w:hAnsi="Times New Roman" w:cs="Times New Roman"/>
                <w:sz w:val="18"/>
                <w:szCs w:val="18"/>
              </w:rPr>
            </w:pPr>
          </w:p>
        </w:tc>
      </w:tr>
      <w:tr w:rsidR="00437BA1" w:rsidRPr="00582E42" w14:paraId="754208F5" w14:textId="77777777" w:rsidTr="00582E42">
        <w:trPr>
          <w:trHeight w:val="206"/>
        </w:trPr>
        <w:tc>
          <w:tcPr>
            <w:tcW w:w="481" w:type="dxa"/>
            <w:shd w:val="clear" w:color="auto" w:fill="auto"/>
            <w:vAlign w:val="center"/>
          </w:tcPr>
          <w:p w14:paraId="2ECDB4C8"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6</w:t>
            </w:r>
          </w:p>
        </w:tc>
        <w:tc>
          <w:tcPr>
            <w:tcW w:w="1001" w:type="dxa"/>
            <w:shd w:val="clear" w:color="auto" w:fill="auto"/>
            <w:vAlign w:val="center"/>
          </w:tcPr>
          <w:p w14:paraId="249D189A" w14:textId="77777777" w:rsidR="00437BA1" w:rsidRPr="00582E42" w:rsidRDefault="00437BA1" w:rsidP="00B84C24">
            <w:pPr>
              <w:pStyle w:val="Sinespaciado"/>
              <w:jc w:val="center"/>
              <w:rPr>
                <w:rFonts w:ascii="Times New Roman" w:hAnsi="Times New Roman" w:cs="Times New Roman"/>
                <w:sz w:val="18"/>
                <w:szCs w:val="18"/>
              </w:rPr>
            </w:pPr>
          </w:p>
        </w:tc>
        <w:tc>
          <w:tcPr>
            <w:tcW w:w="1070" w:type="dxa"/>
            <w:shd w:val="clear" w:color="auto" w:fill="auto"/>
            <w:vAlign w:val="center"/>
          </w:tcPr>
          <w:p w14:paraId="39C58B69" w14:textId="77777777" w:rsidR="00437BA1" w:rsidRPr="00582E42" w:rsidRDefault="00437BA1" w:rsidP="00B84C24">
            <w:pPr>
              <w:pStyle w:val="Sinespaciado"/>
              <w:jc w:val="center"/>
              <w:rPr>
                <w:rFonts w:ascii="Times New Roman" w:hAnsi="Times New Roman" w:cs="Times New Roman"/>
                <w:sz w:val="18"/>
                <w:szCs w:val="18"/>
              </w:rPr>
            </w:pPr>
          </w:p>
        </w:tc>
        <w:tc>
          <w:tcPr>
            <w:tcW w:w="928" w:type="dxa"/>
            <w:shd w:val="clear" w:color="auto" w:fill="auto"/>
            <w:vAlign w:val="center"/>
          </w:tcPr>
          <w:p w14:paraId="6A820F36"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1</w:t>
            </w:r>
          </w:p>
        </w:tc>
        <w:tc>
          <w:tcPr>
            <w:tcW w:w="1137" w:type="dxa"/>
            <w:shd w:val="clear" w:color="auto" w:fill="auto"/>
            <w:vAlign w:val="center"/>
          </w:tcPr>
          <w:p w14:paraId="1A8E832E" w14:textId="77777777" w:rsidR="00437BA1" w:rsidRPr="00582E42" w:rsidRDefault="00437BA1" w:rsidP="00B84C24">
            <w:pPr>
              <w:pStyle w:val="Sinespaciado"/>
              <w:jc w:val="center"/>
              <w:rPr>
                <w:rFonts w:ascii="Times New Roman" w:hAnsi="Times New Roman" w:cs="Times New Roman"/>
                <w:sz w:val="18"/>
                <w:szCs w:val="18"/>
              </w:rPr>
            </w:pPr>
          </w:p>
        </w:tc>
        <w:tc>
          <w:tcPr>
            <w:tcW w:w="1002" w:type="dxa"/>
            <w:shd w:val="clear" w:color="auto" w:fill="auto"/>
            <w:vAlign w:val="center"/>
          </w:tcPr>
          <w:p w14:paraId="684B3926"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1</w:t>
            </w:r>
          </w:p>
        </w:tc>
        <w:tc>
          <w:tcPr>
            <w:tcW w:w="938" w:type="dxa"/>
            <w:shd w:val="clear" w:color="auto" w:fill="auto"/>
            <w:vAlign w:val="center"/>
          </w:tcPr>
          <w:p w14:paraId="28DC64E9" w14:textId="77777777" w:rsidR="00437BA1" w:rsidRPr="00582E42" w:rsidRDefault="00437BA1" w:rsidP="00B84C24">
            <w:pPr>
              <w:pStyle w:val="Sinespaciado"/>
              <w:jc w:val="center"/>
              <w:rPr>
                <w:rFonts w:ascii="Times New Roman" w:hAnsi="Times New Roman" w:cs="Times New Roman"/>
                <w:sz w:val="18"/>
                <w:szCs w:val="18"/>
              </w:rPr>
            </w:pPr>
          </w:p>
        </w:tc>
        <w:tc>
          <w:tcPr>
            <w:tcW w:w="1020" w:type="dxa"/>
            <w:shd w:val="clear" w:color="auto" w:fill="auto"/>
            <w:vAlign w:val="center"/>
          </w:tcPr>
          <w:p w14:paraId="2A180D05"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1</w:t>
            </w:r>
          </w:p>
        </w:tc>
        <w:tc>
          <w:tcPr>
            <w:tcW w:w="1204" w:type="dxa"/>
            <w:shd w:val="clear" w:color="auto" w:fill="auto"/>
            <w:vAlign w:val="center"/>
          </w:tcPr>
          <w:p w14:paraId="77B85281" w14:textId="77777777" w:rsidR="00437BA1" w:rsidRPr="00582E42" w:rsidRDefault="00437BA1" w:rsidP="00B84C24">
            <w:pPr>
              <w:pStyle w:val="Sinespaciado"/>
              <w:jc w:val="center"/>
              <w:rPr>
                <w:rFonts w:ascii="Times New Roman" w:hAnsi="Times New Roman" w:cs="Times New Roman"/>
                <w:sz w:val="18"/>
                <w:szCs w:val="18"/>
              </w:rPr>
            </w:pPr>
          </w:p>
        </w:tc>
      </w:tr>
      <w:tr w:rsidR="00437BA1" w:rsidRPr="00582E42" w14:paraId="637C44F7" w14:textId="77777777" w:rsidTr="00582E42">
        <w:trPr>
          <w:trHeight w:val="20"/>
        </w:trPr>
        <w:tc>
          <w:tcPr>
            <w:tcW w:w="481" w:type="dxa"/>
            <w:shd w:val="clear" w:color="auto" w:fill="auto"/>
            <w:vAlign w:val="center"/>
          </w:tcPr>
          <w:p w14:paraId="015EA701"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7</w:t>
            </w:r>
          </w:p>
        </w:tc>
        <w:tc>
          <w:tcPr>
            <w:tcW w:w="1001" w:type="dxa"/>
            <w:shd w:val="clear" w:color="auto" w:fill="auto"/>
            <w:vAlign w:val="center"/>
          </w:tcPr>
          <w:p w14:paraId="2739788D" w14:textId="77777777" w:rsidR="00437BA1" w:rsidRPr="00582E42" w:rsidRDefault="00437BA1" w:rsidP="00B84C24">
            <w:pPr>
              <w:pStyle w:val="Sinespaciado"/>
              <w:jc w:val="center"/>
              <w:rPr>
                <w:rFonts w:ascii="Times New Roman" w:hAnsi="Times New Roman" w:cs="Times New Roman"/>
                <w:sz w:val="18"/>
                <w:szCs w:val="18"/>
              </w:rPr>
            </w:pPr>
          </w:p>
        </w:tc>
        <w:tc>
          <w:tcPr>
            <w:tcW w:w="1070" w:type="dxa"/>
            <w:shd w:val="clear" w:color="auto" w:fill="auto"/>
            <w:vAlign w:val="center"/>
          </w:tcPr>
          <w:p w14:paraId="62D292FC" w14:textId="77777777" w:rsidR="00437BA1" w:rsidRPr="00582E42" w:rsidRDefault="00437BA1" w:rsidP="00B84C24">
            <w:pPr>
              <w:pStyle w:val="Sinespaciado"/>
              <w:jc w:val="center"/>
              <w:rPr>
                <w:rFonts w:ascii="Times New Roman" w:hAnsi="Times New Roman" w:cs="Times New Roman"/>
                <w:sz w:val="18"/>
                <w:szCs w:val="18"/>
              </w:rPr>
            </w:pPr>
          </w:p>
        </w:tc>
        <w:tc>
          <w:tcPr>
            <w:tcW w:w="928" w:type="dxa"/>
            <w:shd w:val="clear" w:color="auto" w:fill="auto"/>
            <w:vAlign w:val="center"/>
          </w:tcPr>
          <w:p w14:paraId="435DCA1E"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1</w:t>
            </w:r>
          </w:p>
        </w:tc>
        <w:tc>
          <w:tcPr>
            <w:tcW w:w="1137" w:type="dxa"/>
            <w:shd w:val="clear" w:color="auto" w:fill="auto"/>
            <w:vAlign w:val="center"/>
          </w:tcPr>
          <w:p w14:paraId="001FA6BC" w14:textId="77777777" w:rsidR="00437BA1" w:rsidRPr="00582E42" w:rsidRDefault="00437BA1" w:rsidP="00B84C24">
            <w:pPr>
              <w:pStyle w:val="Sinespaciado"/>
              <w:jc w:val="center"/>
              <w:rPr>
                <w:rFonts w:ascii="Times New Roman" w:hAnsi="Times New Roman" w:cs="Times New Roman"/>
                <w:sz w:val="18"/>
                <w:szCs w:val="18"/>
              </w:rPr>
            </w:pPr>
          </w:p>
        </w:tc>
        <w:tc>
          <w:tcPr>
            <w:tcW w:w="1002" w:type="dxa"/>
            <w:shd w:val="clear" w:color="auto" w:fill="auto"/>
            <w:vAlign w:val="center"/>
          </w:tcPr>
          <w:p w14:paraId="594C38DC"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1</w:t>
            </w:r>
          </w:p>
        </w:tc>
        <w:tc>
          <w:tcPr>
            <w:tcW w:w="938" w:type="dxa"/>
            <w:shd w:val="clear" w:color="auto" w:fill="auto"/>
            <w:vAlign w:val="center"/>
          </w:tcPr>
          <w:p w14:paraId="5C2E4376" w14:textId="77777777" w:rsidR="00437BA1" w:rsidRPr="00582E42" w:rsidRDefault="00437BA1" w:rsidP="00B84C24">
            <w:pPr>
              <w:pStyle w:val="Sinespaciado"/>
              <w:jc w:val="center"/>
              <w:rPr>
                <w:rFonts w:ascii="Times New Roman" w:hAnsi="Times New Roman" w:cs="Times New Roman"/>
                <w:sz w:val="18"/>
                <w:szCs w:val="18"/>
              </w:rPr>
            </w:pPr>
          </w:p>
        </w:tc>
        <w:tc>
          <w:tcPr>
            <w:tcW w:w="1020" w:type="dxa"/>
            <w:shd w:val="clear" w:color="auto" w:fill="auto"/>
            <w:vAlign w:val="center"/>
          </w:tcPr>
          <w:p w14:paraId="75DEF189"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1</w:t>
            </w:r>
          </w:p>
        </w:tc>
        <w:tc>
          <w:tcPr>
            <w:tcW w:w="1204" w:type="dxa"/>
            <w:shd w:val="clear" w:color="auto" w:fill="auto"/>
            <w:vAlign w:val="center"/>
          </w:tcPr>
          <w:p w14:paraId="04E515A6" w14:textId="77777777" w:rsidR="00437BA1" w:rsidRPr="00582E42" w:rsidRDefault="00437BA1" w:rsidP="00B84C24">
            <w:pPr>
              <w:pStyle w:val="Sinespaciado"/>
              <w:jc w:val="center"/>
              <w:rPr>
                <w:rFonts w:ascii="Times New Roman" w:hAnsi="Times New Roman" w:cs="Times New Roman"/>
                <w:sz w:val="18"/>
                <w:szCs w:val="18"/>
              </w:rPr>
            </w:pPr>
          </w:p>
        </w:tc>
      </w:tr>
      <w:tr w:rsidR="00437BA1" w:rsidRPr="00582E42" w14:paraId="30072F8C" w14:textId="77777777" w:rsidTr="00582E42">
        <w:trPr>
          <w:trHeight w:val="20"/>
        </w:trPr>
        <w:tc>
          <w:tcPr>
            <w:tcW w:w="481" w:type="dxa"/>
            <w:shd w:val="clear" w:color="auto" w:fill="auto"/>
            <w:vAlign w:val="center"/>
          </w:tcPr>
          <w:p w14:paraId="316E9265"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8</w:t>
            </w:r>
          </w:p>
        </w:tc>
        <w:tc>
          <w:tcPr>
            <w:tcW w:w="1001" w:type="dxa"/>
            <w:shd w:val="clear" w:color="auto" w:fill="auto"/>
            <w:vAlign w:val="center"/>
          </w:tcPr>
          <w:p w14:paraId="79F2FE49"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0.833</w:t>
            </w:r>
          </w:p>
        </w:tc>
        <w:tc>
          <w:tcPr>
            <w:tcW w:w="1070" w:type="dxa"/>
            <w:shd w:val="clear" w:color="auto" w:fill="auto"/>
            <w:vAlign w:val="center"/>
          </w:tcPr>
          <w:p w14:paraId="7A122F4D" w14:textId="77777777" w:rsidR="00437BA1" w:rsidRPr="00582E42" w:rsidRDefault="00437BA1" w:rsidP="00B84C24">
            <w:pPr>
              <w:pStyle w:val="Sinespaciado"/>
              <w:jc w:val="center"/>
              <w:rPr>
                <w:rFonts w:ascii="Times New Roman" w:hAnsi="Times New Roman" w:cs="Times New Roman"/>
                <w:sz w:val="18"/>
                <w:szCs w:val="18"/>
              </w:rPr>
            </w:pPr>
          </w:p>
        </w:tc>
        <w:tc>
          <w:tcPr>
            <w:tcW w:w="928" w:type="dxa"/>
            <w:shd w:val="clear" w:color="auto" w:fill="auto"/>
            <w:vAlign w:val="center"/>
          </w:tcPr>
          <w:p w14:paraId="26AD95AF"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1</w:t>
            </w:r>
          </w:p>
        </w:tc>
        <w:tc>
          <w:tcPr>
            <w:tcW w:w="1137" w:type="dxa"/>
            <w:shd w:val="clear" w:color="auto" w:fill="auto"/>
            <w:vAlign w:val="center"/>
          </w:tcPr>
          <w:p w14:paraId="6C542606" w14:textId="77777777" w:rsidR="00437BA1" w:rsidRPr="00582E42" w:rsidRDefault="00437BA1" w:rsidP="00B84C24">
            <w:pPr>
              <w:pStyle w:val="Sinespaciado"/>
              <w:jc w:val="center"/>
              <w:rPr>
                <w:rFonts w:ascii="Times New Roman" w:hAnsi="Times New Roman" w:cs="Times New Roman"/>
                <w:sz w:val="18"/>
                <w:szCs w:val="18"/>
              </w:rPr>
            </w:pPr>
          </w:p>
        </w:tc>
        <w:tc>
          <w:tcPr>
            <w:tcW w:w="1002" w:type="dxa"/>
            <w:shd w:val="clear" w:color="auto" w:fill="auto"/>
            <w:vAlign w:val="center"/>
          </w:tcPr>
          <w:p w14:paraId="7343B102"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1</w:t>
            </w:r>
          </w:p>
        </w:tc>
        <w:tc>
          <w:tcPr>
            <w:tcW w:w="938" w:type="dxa"/>
            <w:shd w:val="clear" w:color="auto" w:fill="auto"/>
            <w:vAlign w:val="center"/>
          </w:tcPr>
          <w:p w14:paraId="06EA8B3F" w14:textId="77777777" w:rsidR="00437BA1" w:rsidRPr="00582E42" w:rsidRDefault="00437BA1" w:rsidP="00B84C24">
            <w:pPr>
              <w:pStyle w:val="Sinespaciado"/>
              <w:jc w:val="center"/>
              <w:rPr>
                <w:rFonts w:ascii="Times New Roman" w:hAnsi="Times New Roman" w:cs="Times New Roman"/>
                <w:sz w:val="18"/>
                <w:szCs w:val="18"/>
              </w:rPr>
            </w:pPr>
          </w:p>
        </w:tc>
        <w:tc>
          <w:tcPr>
            <w:tcW w:w="1020" w:type="dxa"/>
            <w:shd w:val="clear" w:color="auto" w:fill="auto"/>
            <w:vAlign w:val="center"/>
          </w:tcPr>
          <w:p w14:paraId="6EECAA8E"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1</w:t>
            </w:r>
          </w:p>
        </w:tc>
        <w:tc>
          <w:tcPr>
            <w:tcW w:w="1204" w:type="dxa"/>
            <w:shd w:val="clear" w:color="auto" w:fill="auto"/>
            <w:vAlign w:val="center"/>
          </w:tcPr>
          <w:p w14:paraId="0857EC0C" w14:textId="77777777" w:rsidR="00437BA1" w:rsidRPr="00582E42" w:rsidRDefault="00437BA1" w:rsidP="00B84C24">
            <w:pPr>
              <w:pStyle w:val="Sinespaciado"/>
              <w:jc w:val="center"/>
              <w:rPr>
                <w:rFonts w:ascii="Times New Roman" w:hAnsi="Times New Roman" w:cs="Times New Roman"/>
                <w:sz w:val="18"/>
                <w:szCs w:val="18"/>
              </w:rPr>
            </w:pPr>
          </w:p>
        </w:tc>
      </w:tr>
      <w:tr w:rsidR="00437BA1" w:rsidRPr="00582E42" w14:paraId="624619A3" w14:textId="77777777" w:rsidTr="00582E42">
        <w:trPr>
          <w:trHeight w:val="20"/>
        </w:trPr>
        <w:tc>
          <w:tcPr>
            <w:tcW w:w="481" w:type="dxa"/>
            <w:shd w:val="clear" w:color="auto" w:fill="auto"/>
            <w:vAlign w:val="center"/>
          </w:tcPr>
          <w:p w14:paraId="1EB7E7A0"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9</w:t>
            </w:r>
          </w:p>
        </w:tc>
        <w:tc>
          <w:tcPr>
            <w:tcW w:w="1001" w:type="dxa"/>
            <w:shd w:val="clear" w:color="auto" w:fill="auto"/>
            <w:vAlign w:val="center"/>
          </w:tcPr>
          <w:p w14:paraId="103DAFD5" w14:textId="77777777" w:rsidR="00437BA1" w:rsidRPr="00582E42" w:rsidRDefault="00437BA1" w:rsidP="00B84C24">
            <w:pPr>
              <w:pStyle w:val="Sinespaciado"/>
              <w:jc w:val="center"/>
              <w:rPr>
                <w:rFonts w:ascii="Times New Roman" w:hAnsi="Times New Roman" w:cs="Times New Roman"/>
                <w:sz w:val="18"/>
                <w:szCs w:val="18"/>
              </w:rPr>
            </w:pPr>
          </w:p>
        </w:tc>
        <w:tc>
          <w:tcPr>
            <w:tcW w:w="1070" w:type="dxa"/>
            <w:shd w:val="clear" w:color="auto" w:fill="auto"/>
            <w:vAlign w:val="center"/>
          </w:tcPr>
          <w:p w14:paraId="298F3587" w14:textId="77777777" w:rsidR="00437BA1" w:rsidRPr="00582E42" w:rsidRDefault="00437BA1" w:rsidP="00B84C24">
            <w:pPr>
              <w:pStyle w:val="Sinespaciado"/>
              <w:jc w:val="center"/>
              <w:rPr>
                <w:rFonts w:ascii="Times New Roman" w:hAnsi="Times New Roman" w:cs="Times New Roman"/>
                <w:sz w:val="18"/>
                <w:szCs w:val="18"/>
              </w:rPr>
            </w:pPr>
          </w:p>
        </w:tc>
        <w:tc>
          <w:tcPr>
            <w:tcW w:w="928" w:type="dxa"/>
            <w:shd w:val="clear" w:color="auto" w:fill="auto"/>
            <w:vAlign w:val="center"/>
          </w:tcPr>
          <w:p w14:paraId="760549E4"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1</w:t>
            </w:r>
          </w:p>
        </w:tc>
        <w:tc>
          <w:tcPr>
            <w:tcW w:w="1137" w:type="dxa"/>
            <w:shd w:val="clear" w:color="auto" w:fill="auto"/>
            <w:vAlign w:val="center"/>
          </w:tcPr>
          <w:p w14:paraId="43F0A577" w14:textId="77777777" w:rsidR="00437BA1" w:rsidRPr="00582E42" w:rsidRDefault="00437BA1" w:rsidP="00B84C24">
            <w:pPr>
              <w:pStyle w:val="Sinespaciado"/>
              <w:jc w:val="center"/>
              <w:rPr>
                <w:rFonts w:ascii="Times New Roman" w:hAnsi="Times New Roman" w:cs="Times New Roman"/>
                <w:sz w:val="18"/>
                <w:szCs w:val="18"/>
              </w:rPr>
            </w:pPr>
          </w:p>
        </w:tc>
        <w:tc>
          <w:tcPr>
            <w:tcW w:w="1002" w:type="dxa"/>
            <w:shd w:val="clear" w:color="auto" w:fill="auto"/>
            <w:vAlign w:val="center"/>
          </w:tcPr>
          <w:p w14:paraId="0208A6F8"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1</w:t>
            </w:r>
          </w:p>
        </w:tc>
        <w:tc>
          <w:tcPr>
            <w:tcW w:w="938" w:type="dxa"/>
            <w:shd w:val="clear" w:color="auto" w:fill="auto"/>
            <w:vAlign w:val="center"/>
          </w:tcPr>
          <w:p w14:paraId="20FA1851" w14:textId="77777777" w:rsidR="00437BA1" w:rsidRPr="00582E42" w:rsidRDefault="00437BA1" w:rsidP="00B84C24">
            <w:pPr>
              <w:pStyle w:val="Sinespaciado"/>
              <w:jc w:val="center"/>
              <w:rPr>
                <w:rFonts w:ascii="Times New Roman" w:hAnsi="Times New Roman" w:cs="Times New Roman"/>
                <w:sz w:val="18"/>
                <w:szCs w:val="18"/>
              </w:rPr>
            </w:pPr>
          </w:p>
        </w:tc>
        <w:tc>
          <w:tcPr>
            <w:tcW w:w="1020" w:type="dxa"/>
            <w:shd w:val="clear" w:color="auto" w:fill="auto"/>
            <w:vAlign w:val="center"/>
          </w:tcPr>
          <w:p w14:paraId="358392F3"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1</w:t>
            </w:r>
          </w:p>
        </w:tc>
        <w:tc>
          <w:tcPr>
            <w:tcW w:w="1204" w:type="dxa"/>
            <w:shd w:val="clear" w:color="auto" w:fill="auto"/>
            <w:vAlign w:val="center"/>
          </w:tcPr>
          <w:p w14:paraId="13A9559D" w14:textId="77777777" w:rsidR="00437BA1" w:rsidRPr="00582E42" w:rsidRDefault="00437BA1" w:rsidP="00B84C24">
            <w:pPr>
              <w:pStyle w:val="Sinespaciado"/>
              <w:jc w:val="center"/>
              <w:rPr>
                <w:rFonts w:ascii="Times New Roman" w:hAnsi="Times New Roman" w:cs="Times New Roman"/>
                <w:sz w:val="18"/>
                <w:szCs w:val="18"/>
              </w:rPr>
            </w:pPr>
          </w:p>
        </w:tc>
      </w:tr>
      <w:tr w:rsidR="00437BA1" w:rsidRPr="00582E42" w14:paraId="5E4BFB3A" w14:textId="77777777" w:rsidTr="00582E42">
        <w:trPr>
          <w:trHeight w:val="20"/>
        </w:trPr>
        <w:tc>
          <w:tcPr>
            <w:tcW w:w="481" w:type="dxa"/>
            <w:shd w:val="clear" w:color="auto" w:fill="auto"/>
            <w:vAlign w:val="center"/>
          </w:tcPr>
          <w:p w14:paraId="3652657F"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10</w:t>
            </w:r>
          </w:p>
        </w:tc>
        <w:tc>
          <w:tcPr>
            <w:tcW w:w="1001" w:type="dxa"/>
            <w:shd w:val="clear" w:color="auto" w:fill="auto"/>
            <w:vAlign w:val="center"/>
          </w:tcPr>
          <w:p w14:paraId="120C8677" w14:textId="77777777" w:rsidR="00437BA1" w:rsidRPr="00582E42" w:rsidRDefault="00437BA1" w:rsidP="00B84C24">
            <w:pPr>
              <w:pStyle w:val="Sinespaciado"/>
              <w:jc w:val="center"/>
              <w:rPr>
                <w:rFonts w:ascii="Times New Roman" w:hAnsi="Times New Roman" w:cs="Times New Roman"/>
                <w:sz w:val="18"/>
                <w:szCs w:val="18"/>
              </w:rPr>
            </w:pPr>
          </w:p>
        </w:tc>
        <w:tc>
          <w:tcPr>
            <w:tcW w:w="1070" w:type="dxa"/>
            <w:shd w:val="clear" w:color="auto" w:fill="auto"/>
            <w:vAlign w:val="center"/>
          </w:tcPr>
          <w:p w14:paraId="058F4818" w14:textId="77777777" w:rsidR="00437BA1" w:rsidRPr="00582E42" w:rsidRDefault="00437BA1" w:rsidP="00B84C24">
            <w:pPr>
              <w:pStyle w:val="Sinespaciado"/>
              <w:jc w:val="center"/>
              <w:rPr>
                <w:rFonts w:ascii="Times New Roman" w:hAnsi="Times New Roman" w:cs="Times New Roman"/>
                <w:sz w:val="18"/>
                <w:szCs w:val="18"/>
              </w:rPr>
            </w:pPr>
          </w:p>
        </w:tc>
        <w:tc>
          <w:tcPr>
            <w:tcW w:w="928" w:type="dxa"/>
            <w:shd w:val="clear" w:color="auto" w:fill="auto"/>
            <w:vAlign w:val="center"/>
          </w:tcPr>
          <w:p w14:paraId="64CD716C"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1</w:t>
            </w:r>
          </w:p>
        </w:tc>
        <w:tc>
          <w:tcPr>
            <w:tcW w:w="1137" w:type="dxa"/>
            <w:shd w:val="clear" w:color="auto" w:fill="auto"/>
            <w:vAlign w:val="center"/>
          </w:tcPr>
          <w:p w14:paraId="3885189F" w14:textId="77777777" w:rsidR="00437BA1" w:rsidRPr="00582E42" w:rsidRDefault="00437BA1" w:rsidP="00B84C24">
            <w:pPr>
              <w:pStyle w:val="Sinespaciado"/>
              <w:jc w:val="center"/>
              <w:rPr>
                <w:rFonts w:ascii="Times New Roman" w:hAnsi="Times New Roman" w:cs="Times New Roman"/>
                <w:sz w:val="18"/>
                <w:szCs w:val="18"/>
              </w:rPr>
            </w:pPr>
          </w:p>
        </w:tc>
        <w:tc>
          <w:tcPr>
            <w:tcW w:w="1002" w:type="dxa"/>
            <w:shd w:val="clear" w:color="auto" w:fill="auto"/>
            <w:vAlign w:val="center"/>
          </w:tcPr>
          <w:p w14:paraId="650E642D"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0.833</w:t>
            </w:r>
          </w:p>
        </w:tc>
        <w:tc>
          <w:tcPr>
            <w:tcW w:w="938" w:type="dxa"/>
            <w:shd w:val="clear" w:color="auto" w:fill="auto"/>
            <w:vAlign w:val="center"/>
          </w:tcPr>
          <w:p w14:paraId="7425F912" w14:textId="77777777" w:rsidR="00437BA1" w:rsidRPr="00582E42" w:rsidRDefault="00437BA1" w:rsidP="00B84C24">
            <w:pPr>
              <w:pStyle w:val="Sinespaciado"/>
              <w:jc w:val="center"/>
              <w:rPr>
                <w:rFonts w:ascii="Times New Roman" w:hAnsi="Times New Roman" w:cs="Times New Roman"/>
                <w:sz w:val="18"/>
                <w:szCs w:val="18"/>
              </w:rPr>
            </w:pPr>
          </w:p>
        </w:tc>
        <w:tc>
          <w:tcPr>
            <w:tcW w:w="1020" w:type="dxa"/>
            <w:shd w:val="clear" w:color="auto" w:fill="auto"/>
            <w:vAlign w:val="center"/>
          </w:tcPr>
          <w:p w14:paraId="6FD128DD"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1</w:t>
            </w:r>
          </w:p>
        </w:tc>
        <w:tc>
          <w:tcPr>
            <w:tcW w:w="1204" w:type="dxa"/>
            <w:shd w:val="clear" w:color="auto" w:fill="auto"/>
            <w:vAlign w:val="center"/>
          </w:tcPr>
          <w:p w14:paraId="461993E8" w14:textId="77777777" w:rsidR="00437BA1" w:rsidRPr="00582E42" w:rsidRDefault="00437BA1" w:rsidP="00B84C24">
            <w:pPr>
              <w:pStyle w:val="Sinespaciado"/>
              <w:jc w:val="center"/>
              <w:rPr>
                <w:rFonts w:ascii="Times New Roman" w:hAnsi="Times New Roman" w:cs="Times New Roman"/>
                <w:sz w:val="18"/>
                <w:szCs w:val="18"/>
              </w:rPr>
            </w:pPr>
          </w:p>
        </w:tc>
      </w:tr>
      <w:tr w:rsidR="00437BA1" w:rsidRPr="00582E42" w14:paraId="604307FC" w14:textId="77777777" w:rsidTr="00582E42">
        <w:trPr>
          <w:trHeight w:val="20"/>
        </w:trPr>
        <w:tc>
          <w:tcPr>
            <w:tcW w:w="481" w:type="dxa"/>
            <w:shd w:val="clear" w:color="auto" w:fill="auto"/>
            <w:vAlign w:val="center"/>
          </w:tcPr>
          <w:p w14:paraId="23F1D902"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11</w:t>
            </w:r>
          </w:p>
        </w:tc>
        <w:tc>
          <w:tcPr>
            <w:tcW w:w="1001" w:type="dxa"/>
            <w:shd w:val="clear" w:color="auto" w:fill="auto"/>
            <w:vAlign w:val="center"/>
          </w:tcPr>
          <w:p w14:paraId="101EDBA6" w14:textId="77777777" w:rsidR="00437BA1" w:rsidRPr="00582E42" w:rsidRDefault="00437BA1" w:rsidP="00B84C24">
            <w:pPr>
              <w:pStyle w:val="Sinespaciado"/>
              <w:jc w:val="center"/>
              <w:rPr>
                <w:rFonts w:ascii="Times New Roman" w:hAnsi="Times New Roman" w:cs="Times New Roman"/>
                <w:sz w:val="18"/>
                <w:szCs w:val="18"/>
              </w:rPr>
            </w:pPr>
          </w:p>
        </w:tc>
        <w:tc>
          <w:tcPr>
            <w:tcW w:w="1070" w:type="dxa"/>
            <w:shd w:val="clear" w:color="auto" w:fill="auto"/>
            <w:vAlign w:val="center"/>
          </w:tcPr>
          <w:p w14:paraId="0ADD3272" w14:textId="77777777" w:rsidR="00437BA1" w:rsidRPr="00582E42" w:rsidRDefault="00437BA1" w:rsidP="00B84C24">
            <w:pPr>
              <w:pStyle w:val="Sinespaciado"/>
              <w:jc w:val="center"/>
              <w:rPr>
                <w:rFonts w:ascii="Times New Roman" w:hAnsi="Times New Roman" w:cs="Times New Roman"/>
                <w:sz w:val="18"/>
                <w:szCs w:val="18"/>
              </w:rPr>
            </w:pPr>
          </w:p>
        </w:tc>
        <w:tc>
          <w:tcPr>
            <w:tcW w:w="928" w:type="dxa"/>
            <w:shd w:val="clear" w:color="auto" w:fill="auto"/>
            <w:vAlign w:val="center"/>
          </w:tcPr>
          <w:p w14:paraId="62E4E94C"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1</w:t>
            </w:r>
          </w:p>
        </w:tc>
        <w:tc>
          <w:tcPr>
            <w:tcW w:w="1137" w:type="dxa"/>
            <w:shd w:val="clear" w:color="auto" w:fill="auto"/>
            <w:vAlign w:val="center"/>
          </w:tcPr>
          <w:p w14:paraId="02D6F70F" w14:textId="77777777" w:rsidR="00437BA1" w:rsidRPr="00582E42" w:rsidRDefault="00437BA1" w:rsidP="00B84C24">
            <w:pPr>
              <w:pStyle w:val="Sinespaciado"/>
              <w:jc w:val="center"/>
              <w:rPr>
                <w:rFonts w:ascii="Times New Roman" w:hAnsi="Times New Roman" w:cs="Times New Roman"/>
                <w:sz w:val="18"/>
                <w:szCs w:val="18"/>
              </w:rPr>
            </w:pPr>
          </w:p>
        </w:tc>
        <w:tc>
          <w:tcPr>
            <w:tcW w:w="1002" w:type="dxa"/>
            <w:shd w:val="clear" w:color="auto" w:fill="auto"/>
            <w:vAlign w:val="center"/>
          </w:tcPr>
          <w:p w14:paraId="0BD0A3E3"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1</w:t>
            </w:r>
          </w:p>
        </w:tc>
        <w:tc>
          <w:tcPr>
            <w:tcW w:w="938" w:type="dxa"/>
            <w:shd w:val="clear" w:color="auto" w:fill="auto"/>
            <w:vAlign w:val="center"/>
          </w:tcPr>
          <w:p w14:paraId="5E2C001A" w14:textId="77777777" w:rsidR="00437BA1" w:rsidRPr="00582E42" w:rsidRDefault="00437BA1" w:rsidP="00B84C24">
            <w:pPr>
              <w:pStyle w:val="Sinespaciado"/>
              <w:jc w:val="center"/>
              <w:rPr>
                <w:rFonts w:ascii="Times New Roman" w:hAnsi="Times New Roman" w:cs="Times New Roman"/>
                <w:sz w:val="18"/>
                <w:szCs w:val="18"/>
              </w:rPr>
            </w:pPr>
          </w:p>
        </w:tc>
        <w:tc>
          <w:tcPr>
            <w:tcW w:w="1020" w:type="dxa"/>
            <w:shd w:val="clear" w:color="auto" w:fill="auto"/>
            <w:vAlign w:val="center"/>
          </w:tcPr>
          <w:p w14:paraId="590CBE99"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1</w:t>
            </w:r>
          </w:p>
        </w:tc>
        <w:tc>
          <w:tcPr>
            <w:tcW w:w="1204" w:type="dxa"/>
            <w:shd w:val="clear" w:color="auto" w:fill="auto"/>
            <w:vAlign w:val="center"/>
          </w:tcPr>
          <w:p w14:paraId="58F8EA58" w14:textId="77777777" w:rsidR="00437BA1" w:rsidRPr="00582E42" w:rsidRDefault="00437BA1" w:rsidP="00B84C24">
            <w:pPr>
              <w:pStyle w:val="Sinespaciado"/>
              <w:jc w:val="center"/>
              <w:rPr>
                <w:rFonts w:ascii="Times New Roman" w:hAnsi="Times New Roman" w:cs="Times New Roman"/>
                <w:sz w:val="18"/>
                <w:szCs w:val="18"/>
              </w:rPr>
            </w:pPr>
          </w:p>
        </w:tc>
      </w:tr>
      <w:tr w:rsidR="00437BA1" w:rsidRPr="00582E42" w14:paraId="2905E46D" w14:textId="77777777" w:rsidTr="00582E42">
        <w:trPr>
          <w:trHeight w:val="20"/>
        </w:trPr>
        <w:tc>
          <w:tcPr>
            <w:tcW w:w="481" w:type="dxa"/>
            <w:shd w:val="clear" w:color="auto" w:fill="auto"/>
            <w:vAlign w:val="center"/>
          </w:tcPr>
          <w:p w14:paraId="06963C78"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12</w:t>
            </w:r>
          </w:p>
        </w:tc>
        <w:tc>
          <w:tcPr>
            <w:tcW w:w="1001" w:type="dxa"/>
            <w:shd w:val="clear" w:color="auto" w:fill="auto"/>
            <w:vAlign w:val="center"/>
          </w:tcPr>
          <w:p w14:paraId="4C9A8CFA"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1</w:t>
            </w:r>
          </w:p>
        </w:tc>
        <w:tc>
          <w:tcPr>
            <w:tcW w:w="1070" w:type="dxa"/>
            <w:shd w:val="clear" w:color="auto" w:fill="auto"/>
            <w:vAlign w:val="center"/>
          </w:tcPr>
          <w:p w14:paraId="601F344D" w14:textId="77777777" w:rsidR="00437BA1" w:rsidRPr="00582E42" w:rsidRDefault="00437BA1" w:rsidP="00B84C24">
            <w:pPr>
              <w:pStyle w:val="Sinespaciado"/>
              <w:jc w:val="center"/>
              <w:rPr>
                <w:rFonts w:ascii="Times New Roman" w:hAnsi="Times New Roman" w:cs="Times New Roman"/>
                <w:sz w:val="18"/>
                <w:szCs w:val="18"/>
              </w:rPr>
            </w:pPr>
          </w:p>
        </w:tc>
        <w:tc>
          <w:tcPr>
            <w:tcW w:w="928" w:type="dxa"/>
            <w:shd w:val="clear" w:color="auto" w:fill="auto"/>
            <w:vAlign w:val="center"/>
          </w:tcPr>
          <w:p w14:paraId="282653E0"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1</w:t>
            </w:r>
          </w:p>
        </w:tc>
        <w:tc>
          <w:tcPr>
            <w:tcW w:w="1137" w:type="dxa"/>
            <w:shd w:val="clear" w:color="auto" w:fill="auto"/>
            <w:vAlign w:val="center"/>
          </w:tcPr>
          <w:p w14:paraId="616C9369" w14:textId="77777777" w:rsidR="00437BA1" w:rsidRPr="00582E42" w:rsidRDefault="00437BA1" w:rsidP="00B84C24">
            <w:pPr>
              <w:pStyle w:val="Sinespaciado"/>
              <w:jc w:val="center"/>
              <w:rPr>
                <w:rFonts w:ascii="Times New Roman" w:hAnsi="Times New Roman" w:cs="Times New Roman"/>
                <w:sz w:val="18"/>
                <w:szCs w:val="18"/>
              </w:rPr>
            </w:pPr>
          </w:p>
        </w:tc>
        <w:tc>
          <w:tcPr>
            <w:tcW w:w="1002" w:type="dxa"/>
            <w:shd w:val="clear" w:color="auto" w:fill="auto"/>
            <w:vAlign w:val="center"/>
          </w:tcPr>
          <w:p w14:paraId="1D601796"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1</w:t>
            </w:r>
          </w:p>
        </w:tc>
        <w:tc>
          <w:tcPr>
            <w:tcW w:w="938" w:type="dxa"/>
            <w:shd w:val="clear" w:color="auto" w:fill="auto"/>
            <w:vAlign w:val="center"/>
          </w:tcPr>
          <w:p w14:paraId="0A759350" w14:textId="77777777" w:rsidR="00437BA1" w:rsidRPr="00582E42" w:rsidRDefault="00437BA1" w:rsidP="00B84C24">
            <w:pPr>
              <w:pStyle w:val="Sinespaciado"/>
              <w:jc w:val="center"/>
              <w:rPr>
                <w:rFonts w:ascii="Times New Roman" w:hAnsi="Times New Roman" w:cs="Times New Roman"/>
                <w:sz w:val="18"/>
                <w:szCs w:val="18"/>
              </w:rPr>
            </w:pPr>
          </w:p>
        </w:tc>
        <w:tc>
          <w:tcPr>
            <w:tcW w:w="1020" w:type="dxa"/>
            <w:shd w:val="clear" w:color="auto" w:fill="auto"/>
            <w:vAlign w:val="center"/>
          </w:tcPr>
          <w:p w14:paraId="5BA111EB"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1</w:t>
            </w:r>
          </w:p>
        </w:tc>
        <w:tc>
          <w:tcPr>
            <w:tcW w:w="1204" w:type="dxa"/>
            <w:shd w:val="clear" w:color="auto" w:fill="auto"/>
            <w:vAlign w:val="center"/>
          </w:tcPr>
          <w:p w14:paraId="4D394481" w14:textId="77777777" w:rsidR="00437BA1" w:rsidRPr="00582E42" w:rsidRDefault="00437BA1" w:rsidP="00B84C24">
            <w:pPr>
              <w:pStyle w:val="Sinespaciado"/>
              <w:jc w:val="center"/>
              <w:rPr>
                <w:rFonts w:ascii="Times New Roman" w:hAnsi="Times New Roman" w:cs="Times New Roman"/>
                <w:sz w:val="18"/>
                <w:szCs w:val="18"/>
              </w:rPr>
            </w:pPr>
          </w:p>
        </w:tc>
      </w:tr>
      <w:tr w:rsidR="00437BA1" w:rsidRPr="00582E42" w14:paraId="111C322B" w14:textId="77777777" w:rsidTr="00582E42">
        <w:trPr>
          <w:trHeight w:val="20"/>
        </w:trPr>
        <w:tc>
          <w:tcPr>
            <w:tcW w:w="481" w:type="dxa"/>
            <w:shd w:val="clear" w:color="auto" w:fill="auto"/>
            <w:vAlign w:val="center"/>
          </w:tcPr>
          <w:p w14:paraId="62190216"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13</w:t>
            </w:r>
          </w:p>
        </w:tc>
        <w:tc>
          <w:tcPr>
            <w:tcW w:w="1001" w:type="dxa"/>
            <w:shd w:val="clear" w:color="auto" w:fill="auto"/>
            <w:vAlign w:val="center"/>
          </w:tcPr>
          <w:p w14:paraId="7471F3AF" w14:textId="77777777" w:rsidR="00437BA1" w:rsidRPr="00582E42" w:rsidRDefault="00437BA1" w:rsidP="00B84C24">
            <w:pPr>
              <w:pStyle w:val="Sinespaciado"/>
              <w:jc w:val="center"/>
              <w:rPr>
                <w:rFonts w:ascii="Times New Roman" w:hAnsi="Times New Roman" w:cs="Times New Roman"/>
                <w:sz w:val="18"/>
                <w:szCs w:val="18"/>
              </w:rPr>
            </w:pPr>
          </w:p>
        </w:tc>
        <w:tc>
          <w:tcPr>
            <w:tcW w:w="1070" w:type="dxa"/>
            <w:shd w:val="clear" w:color="auto" w:fill="auto"/>
            <w:vAlign w:val="center"/>
          </w:tcPr>
          <w:p w14:paraId="529E7DC7" w14:textId="77777777" w:rsidR="00437BA1" w:rsidRPr="00582E42" w:rsidRDefault="00437BA1" w:rsidP="00B84C24">
            <w:pPr>
              <w:pStyle w:val="Sinespaciado"/>
              <w:jc w:val="center"/>
              <w:rPr>
                <w:rFonts w:ascii="Times New Roman" w:hAnsi="Times New Roman" w:cs="Times New Roman"/>
                <w:sz w:val="18"/>
                <w:szCs w:val="18"/>
              </w:rPr>
            </w:pPr>
          </w:p>
        </w:tc>
        <w:tc>
          <w:tcPr>
            <w:tcW w:w="928" w:type="dxa"/>
            <w:shd w:val="clear" w:color="auto" w:fill="auto"/>
            <w:vAlign w:val="center"/>
          </w:tcPr>
          <w:p w14:paraId="254C2937"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1</w:t>
            </w:r>
          </w:p>
        </w:tc>
        <w:tc>
          <w:tcPr>
            <w:tcW w:w="1137" w:type="dxa"/>
            <w:shd w:val="clear" w:color="auto" w:fill="auto"/>
            <w:vAlign w:val="center"/>
          </w:tcPr>
          <w:p w14:paraId="75D5E85C" w14:textId="77777777" w:rsidR="00437BA1" w:rsidRPr="00582E42" w:rsidRDefault="00437BA1" w:rsidP="00B84C24">
            <w:pPr>
              <w:pStyle w:val="Sinespaciado"/>
              <w:jc w:val="center"/>
              <w:rPr>
                <w:rFonts w:ascii="Times New Roman" w:hAnsi="Times New Roman" w:cs="Times New Roman"/>
                <w:sz w:val="18"/>
                <w:szCs w:val="18"/>
              </w:rPr>
            </w:pPr>
          </w:p>
        </w:tc>
        <w:tc>
          <w:tcPr>
            <w:tcW w:w="1002" w:type="dxa"/>
            <w:shd w:val="clear" w:color="auto" w:fill="auto"/>
            <w:vAlign w:val="center"/>
          </w:tcPr>
          <w:p w14:paraId="2A401945"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1</w:t>
            </w:r>
          </w:p>
        </w:tc>
        <w:tc>
          <w:tcPr>
            <w:tcW w:w="938" w:type="dxa"/>
            <w:shd w:val="clear" w:color="auto" w:fill="auto"/>
            <w:vAlign w:val="center"/>
          </w:tcPr>
          <w:p w14:paraId="78162BAD" w14:textId="77777777" w:rsidR="00437BA1" w:rsidRPr="00582E42" w:rsidRDefault="00437BA1" w:rsidP="00B84C24">
            <w:pPr>
              <w:pStyle w:val="Sinespaciado"/>
              <w:jc w:val="center"/>
              <w:rPr>
                <w:rFonts w:ascii="Times New Roman" w:hAnsi="Times New Roman" w:cs="Times New Roman"/>
                <w:sz w:val="18"/>
                <w:szCs w:val="18"/>
              </w:rPr>
            </w:pPr>
          </w:p>
        </w:tc>
        <w:tc>
          <w:tcPr>
            <w:tcW w:w="1020" w:type="dxa"/>
            <w:shd w:val="clear" w:color="auto" w:fill="auto"/>
            <w:vAlign w:val="center"/>
          </w:tcPr>
          <w:p w14:paraId="05969439"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1</w:t>
            </w:r>
          </w:p>
        </w:tc>
        <w:tc>
          <w:tcPr>
            <w:tcW w:w="1204" w:type="dxa"/>
            <w:shd w:val="clear" w:color="auto" w:fill="auto"/>
            <w:vAlign w:val="center"/>
          </w:tcPr>
          <w:p w14:paraId="7CC0F24B" w14:textId="77777777" w:rsidR="00437BA1" w:rsidRPr="00582E42" w:rsidRDefault="00437BA1" w:rsidP="00B84C24">
            <w:pPr>
              <w:pStyle w:val="Sinespaciado"/>
              <w:jc w:val="center"/>
              <w:rPr>
                <w:rFonts w:ascii="Times New Roman" w:hAnsi="Times New Roman" w:cs="Times New Roman"/>
                <w:sz w:val="18"/>
                <w:szCs w:val="18"/>
              </w:rPr>
            </w:pPr>
          </w:p>
        </w:tc>
      </w:tr>
      <w:tr w:rsidR="00437BA1" w:rsidRPr="00582E42" w14:paraId="03354220" w14:textId="77777777" w:rsidTr="00582E42">
        <w:trPr>
          <w:trHeight w:val="20"/>
        </w:trPr>
        <w:tc>
          <w:tcPr>
            <w:tcW w:w="481" w:type="dxa"/>
            <w:shd w:val="clear" w:color="auto" w:fill="auto"/>
            <w:vAlign w:val="center"/>
          </w:tcPr>
          <w:p w14:paraId="01BD461C"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14</w:t>
            </w:r>
          </w:p>
        </w:tc>
        <w:tc>
          <w:tcPr>
            <w:tcW w:w="1001" w:type="dxa"/>
            <w:shd w:val="clear" w:color="auto" w:fill="auto"/>
            <w:vAlign w:val="center"/>
          </w:tcPr>
          <w:p w14:paraId="55375346" w14:textId="77777777" w:rsidR="00437BA1" w:rsidRPr="00582E42" w:rsidRDefault="00437BA1" w:rsidP="00B84C24">
            <w:pPr>
              <w:pStyle w:val="Sinespaciado"/>
              <w:jc w:val="center"/>
              <w:rPr>
                <w:rFonts w:ascii="Times New Roman" w:hAnsi="Times New Roman" w:cs="Times New Roman"/>
                <w:sz w:val="18"/>
                <w:szCs w:val="18"/>
              </w:rPr>
            </w:pPr>
          </w:p>
        </w:tc>
        <w:tc>
          <w:tcPr>
            <w:tcW w:w="1070" w:type="dxa"/>
            <w:shd w:val="clear" w:color="auto" w:fill="auto"/>
            <w:vAlign w:val="center"/>
          </w:tcPr>
          <w:p w14:paraId="468279A0" w14:textId="77777777" w:rsidR="00437BA1" w:rsidRPr="00582E42" w:rsidRDefault="00437BA1" w:rsidP="00B84C24">
            <w:pPr>
              <w:pStyle w:val="Sinespaciado"/>
              <w:jc w:val="center"/>
              <w:rPr>
                <w:rFonts w:ascii="Times New Roman" w:hAnsi="Times New Roman" w:cs="Times New Roman"/>
                <w:sz w:val="18"/>
                <w:szCs w:val="18"/>
              </w:rPr>
            </w:pPr>
          </w:p>
        </w:tc>
        <w:tc>
          <w:tcPr>
            <w:tcW w:w="928" w:type="dxa"/>
            <w:shd w:val="clear" w:color="auto" w:fill="auto"/>
            <w:vAlign w:val="center"/>
          </w:tcPr>
          <w:p w14:paraId="1680CDC3"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1</w:t>
            </w:r>
          </w:p>
        </w:tc>
        <w:tc>
          <w:tcPr>
            <w:tcW w:w="1137" w:type="dxa"/>
            <w:shd w:val="clear" w:color="auto" w:fill="auto"/>
            <w:vAlign w:val="center"/>
          </w:tcPr>
          <w:p w14:paraId="66627520" w14:textId="77777777" w:rsidR="00437BA1" w:rsidRPr="00582E42" w:rsidRDefault="00437BA1" w:rsidP="00B84C24">
            <w:pPr>
              <w:pStyle w:val="Sinespaciado"/>
              <w:jc w:val="center"/>
              <w:rPr>
                <w:rFonts w:ascii="Times New Roman" w:hAnsi="Times New Roman" w:cs="Times New Roman"/>
                <w:sz w:val="18"/>
                <w:szCs w:val="18"/>
              </w:rPr>
            </w:pPr>
          </w:p>
        </w:tc>
        <w:tc>
          <w:tcPr>
            <w:tcW w:w="1002" w:type="dxa"/>
            <w:shd w:val="clear" w:color="auto" w:fill="auto"/>
            <w:vAlign w:val="center"/>
          </w:tcPr>
          <w:p w14:paraId="6A342ACF"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1</w:t>
            </w:r>
          </w:p>
        </w:tc>
        <w:tc>
          <w:tcPr>
            <w:tcW w:w="938" w:type="dxa"/>
            <w:shd w:val="clear" w:color="auto" w:fill="auto"/>
            <w:vAlign w:val="center"/>
          </w:tcPr>
          <w:p w14:paraId="6E5B2D66" w14:textId="77777777" w:rsidR="00437BA1" w:rsidRPr="00582E42" w:rsidRDefault="00437BA1" w:rsidP="00B84C24">
            <w:pPr>
              <w:pStyle w:val="Sinespaciado"/>
              <w:jc w:val="center"/>
              <w:rPr>
                <w:rFonts w:ascii="Times New Roman" w:hAnsi="Times New Roman" w:cs="Times New Roman"/>
                <w:sz w:val="18"/>
                <w:szCs w:val="18"/>
              </w:rPr>
            </w:pPr>
          </w:p>
        </w:tc>
        <w:tc>
          <w:tcPr>
            <w:tcW w:w="1020" w:type="dxa"/>
            <w:shd w:val="clear" w:color="auto" w:fill="auto"/>
            <w:vAlign w:val="center"/>
          </w:tcPr>
          <w:p w14:paraId="3AE998F7"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0.833</w:t>
            </w:r>
          </w:p>
        </w:tc>
        <w:tc>
          <w:tcPr>
            <w:tcW w:w="1204" w:type="dxa"/>
            <w:shd w:val="clear" w:color="auto" w:fill="auto"/>
            <w:vAlign w:val="center"/>
          </w:tcPr>
          <w:p w14:paraId="2E9E1FC3" w14:textId="77777777" w:rsidR="00437BA1" w:rsidRPr="00582E42" w:rsidRDefault="00437BA1" w:rsidP="00B84C24">
            <w:pPr>
              <w:pStyle w:val="Sinespaciado"/>
              <w:jc w:val="center"/>
              <w:rPr>
                <w:rFonts w:ascii="Times New Roman" w:hAnsi="Times New Roman" w:cs="Times New Roman"/>
                <w:sz w:val="18"/>
                <w:szCs w:val="18"/>
              </w:rPr>
            </w:pPr>
          </w:p>
        </w:tc>
      </w:tr>
      <w:tr w:rsidR="00437BA1" w:rsidRPr="00582E42" w14:paraId="5246E6CA" w14:textId="77777777" w:rsidTr="00582E42">
        <w:trPr>
          <w:trHeight w:val="20"/>
        </w:trPr>
        <w:tc>
          <w:tcPr>
            <w:tcW w:w="481" w:type="dxa"/>
            <w:shd w:val="clear" w:color="auto" w:fill="auto"/>
            <w:vAlign w:val="center"/>
          </w:tcPr>
          <w:p w14:paraId="2D3687A3"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15</w:t>
            </w:r>
          </w:p>
        </w:tc>
        <w:tc>
          <w:tcPr>
            <w:tcW w:w="1001" w:type="dxa"/>
            <w:shd w:val="clear" w:color="auto" w:fill="auto"/>
            <w:vAlign w:val="center"/>
          </w:tcPr>
          <w:p w14:paraId="1FFE5308" w14:textId="77777777" w:rsidR="00437BA1" w:rsidRPr="00582E42" w:rsidRDefault="00437BA1" w:rsidP="00B84C24">
            <w:pPr>
              <w:pStyle w:val="Sinespaciado"/>
              <w:jc w:val="center"/>
              <w:rPr>
                <w:rFonts w:ascii="Times New Roman" w:hAnsi="Times New Roman" w:cs="Times New Roman"/>
                <w:sz w:val="18"/>
                <w:szCs w:val="18"/>
              </w:rPr>
            </w:pPr>
          </w:p>
        </w:tc>
        <w:tc>
          <w:tcPr>
            <w:tcW w:w="1070" w:type="dxa"/>
            <w:shd w:val="clear" w:color="auto" w:fill="auto"/>
            <w:vAlign w:val="center"/>
          </w:tcPr>
          <w:p w14:paraId="7AC42A14" w14:textId="77777777" w:rsidR="00437BA1" w:rsidRPr="00582E42" w:rsidRDefault="00437BA1" w:rsidP="00B84C24">
            <w:pPr>
              <w:pStyle w:val="Sinespaciado"/>
              <w:jc w:val="center"/>
              <w:rPr>
                <w:rFonts w:ascii="Times New Roman" w:hAnsi="Times New Roman" w:cs="Times New Roman"/>
                <w:sz w:val="18"/>
                <w:szCs w:val="18"/>
              </w:rPr>
            </w:pPr>
          </w:p>
        </w:tc>
        <w:tc>
          <w:tcPr>
            <w:tcW w:w="928" w:type="dxa"/>
            <w:shd w:val="clear" w:color="auto" w:fill="auto"/>
            <w:vAlign w:val="center"/>
          </w:tcPr>
          <w:p w14:paraId="528F28BE"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1</w:t>
            </w:r>
          </w:p>
        </w:tc>
        <w:tc>
          <w:tcPr>
            <w:tcW w:w="1137" w:type="dxa"/>
            <w:shd w:val="clear" w:color="auto" w:fill="auto"/>
            <w:vAlign w:val="center"/>
          </w:tcPr>
          <w:p w14:paraId="591AD504" w14:textId="77777777" w:rsidR="00437BA1" w:rsidRPr="00582E42" w:rsidRDefault="00437BA1" w:rsidP="00B84C24">
            <w:pPr>
              <w:pStyle w:val="Sinespaciado"/>
              <w:jc w:val="center"/>
              <w:rPr>
                <w:rFonts w:ascii="Times New Roman" w:hAnsi="Times New Roman" w:cs="Times New Roman"/>
                <w:sz w:val="18"/>
                <w:szCs w:val="18"/>
              </w:rPr>
            </w:pPr>
          </w:p>
        </w:tc>
        <w:tc>
          <w:tcPr>
            <w:tcW w:w="1002" w:type="dxa"/>
            <w:shd w:val="clear" w:color="auto" w:fill="auto"/>
            <w:vAlign w:val="center"/>
          </w:tcPr>
          <w:p w14:paraId="756AEC0B"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1</w:t>
            </w:r>
          </w:p>
        </w:tc>
        <w:tc>
          <w:tcPr>
            <w:tcW w:w="938" w:type="dxa"/>
            <w:shd w:val="clear" w:color="auto" w:fill="auto"/>
            <w:vAlign w:val="center"/>
          </w:tcPr>
          <w:p w14:paraId="21EE49EC" w14:textId="77777777" w:rsidR="00437BA1" w:rsidRPr="00582E42" w:rsidRDefault="00437BA1" w:rsidP="00B84C24">
            <w:pPr>
              <w:pStyle w:val="Sinespaciado"/>
              <w:jc w:val="center"/>
              <w:rPr>
                <w:rFonts w:ascii="Times New Roman" w:hAnsi="Times New Roman" w:cs="Times New Roman"/>
                <w:sz w:val="18"/>
                <w:szCs w:val="18"/>
              </w:rPr>
            </w:pPr>
          </w:p>
        </w:tc>
        <w:tc>
          <w:tcPr>
            <w:tcW w:w="1020" w:type="dxa"/>
            <w:shd w:val="clear" w:color="auto" w:fill="auto"/>
            <w:vAlign w:val="center"/>
          </w:tcPr>
          <w:p w14:paraId="4D96BA2D"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1</w:t>
            </w:r>
          </w:p>
        </w:tc>
        <w:tc>
          <w:tcPr>
            <w:tcW w:w="1204" w:type="dxa"/>
            <w:shd w:val="clear" w:color="auto" w:fill="auto"/>
            <w:vAlign w:val="center"/>
          </w:tcPr>
          <w:p w14:paraId="2A712937" w14:textId="77777777" w:rsidR="00437BA1" w:rsidRPr="00582E42" w:rsidRDefault="00437BA1" w:rsidP="00B84C24">
            <w:pPr>
              <w:pStyle w:val="Sinespaciado"/>
              <w:jc w:val="center"/>
              <w:rPr>
                <w:rFonts w:ascii="Times New Roman" w:hAnsi="Times New Roman" w:cs="Times New Roman"/>
                <w:sz w:val="18"/>
                <w:szCs w:val="18"/>
              </w:rPr>
            </w:pPr>
          </w:p>
        </w:tc>
      </w:tr>
      <w:tr w:rsidR="00437BA1" w:rsidRPr="00582E42" w14:paraId="36DF4A36" w14:textId="77777777" w:rsidTr="00582E42">
        <w:trPr>
          <w:trHeight w:val="20"/>
        </w:trPr>
        <w:tc>
          <w:tcPr>
            <w:tcW w:w="481" w:type="dxa"/>
            <w:shd w:val="clear" w:color="auto" w:fill="auto"/>
            <w:vAlign w:val="center"/>
          </w:tcPr>
          <w:p w14:paraId="0510BBFD"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16</w:t>
            </w:r>
          </w:p>
        </w:tc>
        <w:tc>
          <w:tcPr>
            <w:tcW w:w="1001" w:type="dxa"/>
            <w:shd w:val="clear" w:color="auto" w:fill="auto"/>
            <w:vAlign w:val="center"/>
          </w:tcPr>
          <w:p w14:paraId="6E087BE6"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1</w:t>
            </w:r>
          </w:p>
        </w:tc>
        <w:tc>
          <w:tcPr>
            <w:tcW w:w="1070" w:type="dxa"/>
            <w:shd w:val="clear" w:color="auto" w:fill="auto"/>
            <w:vAlign w:val="center"/>
          </w:tcPr>
          <w:p w14:paraId="56862016" w14:textId="77777777" w:rsidR="00437BA1" w:rsidRPr="00582E42" w:rsidRDefault="00437BA1" w:rsidP="00B84C24">
            <w:pPr>
              <w:pStyle w:val="Sinespaciado"/>
              <w:jc w:val="center"/>
              <w:rPr>
                <w:rFonts w:ascii="Times New Roman" w:hAnsi="Times New Roman" w:cs="Times New Roman"/>
                <w:sz w:val="18"/>
                <w:szCs w:val="18"/>
              </w:rPr>
            </w:pPr>
          </w:p>
        </w:tc>
        <w:tc>
          <w:tcPr>
            <w:tcW w:w="928" w:type="dxa"/>
            <w:shd w:val="clear" w:color="auto" w:fill="auto"/>
            <w:vAlign w:val="center"/>
          </w:tcPr>
          <w:p w14:paraId="7289DDCE"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1</w:t>
            </w:r>
          </w:p>
        </w:tc>
        <w:tc>
          <w:tcPr>
            <w:tcW w:w="1137" w:type="dxa"/>
            <w:shd w:val="clear" w:color="auto" w:fill="auto"/>
            <w:vAlign w:val="center"/>
          </w:tcPr>
          <w:p w14:paraId="2E0F24AB" w14:textId="77777777" w:rsidR="00437BA1" w:rsidRPr="00582E42" w:rsidRDefault="00437BA1" w:rsidP="00B84C24">
            <w:pPr>
              <w:pStyle w:val="Sinespaciado"/>
              <w:jc w:val="center"/>
              <w:rPr>
                <w:rFonts w:ascii="Times New Roman" w:hAnsi="Times New Roman" w:cs="Times New Roman"/>
                <w:sz w:val="18"/>
                <w:szCs w:val="18"/>
              </w:rPr>
            </w:pPr>
          </w:p>
        </w:tc>
        <w:tc>
          <w:tcPr>
            <w:tcW w:w="1002" w:type="dxa"/>
            <w:shd w:val="clear" w:color="auto" w:fill="auto"/>
            <w:vAlign w:val="center"/>
          </w:tcPr>
          <w:p w14:paraId="15FE7F47"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1</w:t>
            </w:r>
          </w:p>
        </w:tc>
        <w:tc>
          <w:tcPr>
            <w:tcW w:w="938" w:type="dxa"/>
            <w:shd w:val="clear" w:color="auto" w:fill="auto"/>
            <w:vAlign w:val="center"/>
          </w:tcPr>
          <w:p w14:paraId="5F658163" w14:textId="77777777" w:rsidR="00437BA1" w:rsidRPr="00582E42" w:rsidRDefault="00437BA1" w:rsidP="00B84C24">
            <w:pPr>
              <w:pStyle w:val="Sinespaciado"/>
              <w:jc w:val="center"/>
              <w:rPr>
                <w:rFonts w:ascii="Times New Roman" w:hAnsi="Times New Roman" w:cs="Times New Roman"/>
                <w:sz w:val="18"/>
                <w:szCs w:val="18"/>
              </w:rPr>
            </w:pPr>
          </w:p>
        </w:tc>
        <w:tc>
          <w:tcPr>
            <w:tcW w:w="1020" w:type="dxa"/>
            <w:shd w:val="clear" w:color="auto" w:fill="auto"/>
            <w:vAlign w:val="center"/>
          </w:tcPr>
          <w:p w14:paraId="54218E74"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1</w:t>
            </w:r>
          </w:p>
        </w:tc>
        <w:tc>
          <w:tcPr>
            <w:tcW w:w="1204" w:type="dxa"/>
            <w:shd w:val="clear" w:color="auto" w:fill="auto"/>
            <w:vAlign w:val="center"/>
          </w:tcPr>
          <w:p w14:paraId="2662C9AA" w14:textId="77777777" w:rsidR="00437BA1" w:rsidRPr="00582E42" w:rsidRDefault="00437BA1" w:rsidP="00B84C24">
            <w:pPr>
              <w:pStyle w:val="Sinespaciado"/>
              <w:jc w:val="center"/>
              <w:rPr>
                <w:rFonts w:ascii="Times New Roman" w:hAnsi="Times New Roman" w:cs="Times New Roman"/>
                <w:sz w:val="18"/>
                <w:szCs w:val="18"/>
              </w:rPr>
            </w:pPr>
          </w:p>
        </w:tc>
      </w:tr>
      <w:tr w:rsidR="00437BA1" w:rsidRPr="00582E42" w14:paraId="75F96BB0" w14:textId="77777777" w:rsidTr="00582E42">
        <w:trPr>
          <w:trHeight w:val="20"/>
        </w:trPr>
        <w:tc>
          <w:tcPr>
            <w:tcW w:w="481" w:type="dxa"/>
            <w:shd w:val="clear" w:color="auto" w:fill="auto"/>
            <w:vAlign w:val="center"/>
          </w:tcPr>
          <w:p w14:paraId="2F2ED016"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17</w:t>
            </w:r>
          </w:p>
        </w:tc>
        <w:tc>
          <w:tcPr>
            <w:tcW w:w="1001" w:type="dxa"/>
            <w:shd w:val="clear" w:color="auto" w:fill="auto"/>
            <w:vAlign w:val="center"/>
          </w:tcPr>
          <w:p w14:paraId="31F1A6FF" w14:textId="77777777" w:rsidR="00437BA1" w:rsidRPr="00582E42" w:rsidRDefault="00437BA1" w:rsidP="00B84C24">
            <w:pPr>
              <w:pStyle w:val="Sinespaciado"/>
              <w:jc w:val="center"/>
              <w:rPr>
                <w:rFonts w:ascii="Times New Roman" w:hAnsi="Times New Roman" w:cs="Times New Roman"/>
                <w:sz w:val="18"/>
                <w:szCs w:val="18"/>
              </w:rPr>
            </w:pPr>
          </w:p>
        </w:tc>
        <w:tc>
          <w:tcPr>
            <w:tcW w:w="1070" w:type="dxa"/>
            <w:shd w:val="clear" w:color="auto" w:fill="auto"/>
            <w:vAlign w:val="center"/>
          </w:tcPr>
          <w:p w14:paraId="1EA057A9" w14:textId="77777777" w:rsidR="00437BA1" w:rsidRPr="00582E42" w:rsidRDefault="00437BA1" w:rsidP="00B84C24">
            <w:pPr>
              <w:pStyle w:val="Sinespaciado"/>
              <w:jc w:val="center"/>
              <w:rPr>
                <w:rFonts w:ascii="Times New Roman" w:hAnsi="Times New Roman" w:cs="Times New Roman"/>
                <w:sz w:val="18"/>
                <w:szCs w:val="18"/>
              </w:rPr>
            </w:pPr>
          </w:p>
        </w:tc>
        <w:tc>
          <w:tcPr>
            <w:tcW w:w="928" w:type="dxa"/>
            <w:shd w:val="clear" w:color="auto" w:fill="auto"/>
            <w:vAlign w:val="center"/>
          </w:tcPr>
          <w:p w14:paraId="084FABC4"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1</w:t>
            </w:r>
          </w:p>
        </w:tc>
        <w:tc>
          <w:tcPr>
            <w:tcW w:w="1137" w:type="dxa"/>
            <w:shd w:val="clear" w:color="auto" w:fill="auto"/>
            <w:vAlign w:val="center"/>
          </w:tcPr>
          <w:p w14:paraId="737D289C" w14:textId="77777777" w:rsidR="00437BA1" w:rsidRPr="00582E42" w:rsidRDefault="00437BA1" w:rsidP="00B84C24">
            <w:pPr>
              <w:pStyle w:val="Sinespaciado"/>
              <w:jc w:val="center"/>
              <w:rPr>
                <w:rFonts w:ascii="Times New Roman" w:hAnsi="Times New Roman" w:cs="Times New Roman"/>
                <w:sz w:val="18"/>
                <w:szCs w:val="18"/>
              </w:rPr>
            </w:pPr>
          </w:p>
        </w:tc>
        <w:tc>
          <w:tcPr>
            <w:tcW w:w="1002" w:type="dxa"/>
            <w:shd w:val="clear" w:color="auto" w:fill="auto"/>
            <w:vAlign w:val="center"/>
          </w:tcPr>
          <w:p w14:paraId="238BE189"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1</w:t>
            </w:r>
          </w:p>
        </w:tc>
        <w:tc>
          <w:tcPr>
            <w:tcW w:w="938" w:type="dxa"/>
            <w:shd w:val="clear" w:color="auto" w:fill="auto"/>
            <w:vAlign w:val="center"/>
          </w:tcPr>
          <w:p w14:paraId="4857F7CC" w14:textId="77777777" w:rsidR="00437BA1" w:rsidRPr="00582E42" w:rsidRDefault="00437BA1" w:rsidP="00B84C24">
            <w:pPr>
              <w:pStyle w:val="Sinespaciado"/>
              <w:jc w:val="center"/>
              <w:rPr>
                <w:rFonts w:ascii="Times New Roman" w:hAnsi="Times New Roman" w:cs="Times New Roman"/>
                <w:sz w:val="18"/>
                <w:szCs w:val="18"/>
              </w:rPr>
            </w:pPr>
          </w:p>
        </w:tc>
        <w:tc>
          <w:tcPr>
            <w:tcW w:w="1020" w:type="dxa"/>
            <w:shd w:val="clear" w:color="auto" w:fill="auto"/>
            <w:vAlign w:val="center"/>
          </w:tcPr>
          <w:p w14:paraId="71CA1B55"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1</w:t>
            </w:r>
          </w:p>
        </w:tc>
        <w:tc>
          <w:tcPr>
            <w:tcW w:w="1204" w:type="dxa"/>
            <w:shd w:val="clear" w:color="auto" w:fill="auto"/>
            <w:vAlign w:val="center"/>
          </w:tcPr>
          <w:p w14:paraId="71877DFE" w14:textId="77777777" w:rsidR="00437BA1" w:rsidRPr="00582E42" w:rsidRDefault="00437BA1" w:rsidP="00B84C24">
            <w:pPr>
              <w:pStyle w:val="Sinespaciado"/>
              <w:jc w:val="center"/>
              <w:rPr>
                <w:rFonts w:ascii="Times New Roman" w:hAnsi="Times New Roman" w:cs="Times New Roman"/>
                <w:sz w:val="18"/>
                <w:szCs w:val="18"/>
              </w:rPr>
            </w:pPr>
          </w:p>
        </w:tc>
      </w:tr>
      <w:tr w:rsidR="00437BA1" w:rsidRPr="00582E42" w14:paraId="4FE1D7C1" w14:textId="77777777" w:rsidTr="00582E42">
        <w:trPr>
          <w:trHeight w:val="20"/>
        </w:trPr>
        <w:tc>
          <w:tcPr>
            <w:tcW w:w="481" w:type="dxa"/>
            <w:shd w:val="clear" w:color="auto" w:fill="auto"/>
            <w:vAlign w:val="center"/>
          </w:tcPr>
          <w:p w14:paraId="7CA526DC"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18</w:t>
            </w:r>
          </w:p>
        </w:tc>
        <w:tc>
          <w:tcPr>
            <w:tcW w:w="1001" w:type="dxa"/>
            <w:shd w:val="clear" w:color="auto" w:fill="auto"/>
            <w:vAlign w:val="center"/>
          </w:tcPr>
          <w:p w14:paraId="66D0C3B9" w14:textId="77777777" w:rsidR="00437BA1" w:rsidRPr="00582E42" w:rsidRDefault="00437BA1" w:rsidP="00B84C24">
            <w:pPr>
              <w:pStyle w:val="Sinespaciado"/>
              <w:jc w:val="center"/>
              <w:rPr>
                <w:rFonts w:ascii="Times New Roman" w:hAnsi="Times New Roman" w:cs="Times New Roman"/>
                <w:sz w:val="18"/>
                <w:szCs w:val="18"/>
              </w:rPr>
            </w:pPr>
          </w:p>
        </w:tc>
        <w:tc>
          <w:tcPr>
            <w:tcW w:w="1070" w:type="dxa"/>
            <w:shd w:val="clear" w:color="auto" w:fill="auto"/>
            <w:vAlign w:val="center"/>
          </w:tcPr>
          <w:p w14:paraId="71F18F82" w14:textId="77777777" w:rsidR="00437BA1" w:rsidRPr="00582E42" w:rsidRDefault="00437BA1" w:rsidP="00B84C24">
            <w:pPr>
              <w:pStyle w:val="Sinespaciado"/>
              <w:jc w:val="center"/>
              <w:rPr>
                <w:rFonts w:ascii="Times New Roman" w:hAnsi="Times New Roman" w:cs="Times New Roman"/>
                <w:sz w:val="18"/>
                <w:szCs w:val="18"/>
              </w:rPr>
            </w:pPr>
          </w:p>
        </w:tc>
        <w:tc>
          <w:tcPr>
            <w:tcW w:w="928" w:type="dxa"/>
            <w:shd w:val="clear" w:color="auto" w:fill="auto"/>
            <w:vAlign w:val="center"/>
          </w:tcPr>
          <w:p w14:paraId="5B1B5F5E"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1</w:t>
            </w:r>
          </w:p>
        </w:tc>
        <w:tc>
          <w:tcPr>
            <w:tcW w:w="1137" w:type="dxa"/>
            <w:shd w:val="clear" w:color="auto" w:fill="auto"/>
            <w:vAlign w:val="center"/>
          </w:tcPr>
          <w:p w14:paraId="44267DC7" w14:textId="77777777" w:rsidR="00437BA1" w:rsidRPr="00582E42" w:rsidRDefault="00437BA1" w:rsidP="00B84C24">
            <w:pPr>
              <w:pStyle w:val="Sinespaciado"/>
              <w:jc w:val="center"/>
              <w:rPr>
                <w:rFonts w:ascii="Times New Roman" w:hAnsi="Times New Roman" w:cs="Times New Roman"/>
                <w:sz w:val="18"/>
                <w:szCs w:val="18"/>
              </w:rPr>
            </w:pPr>
          </w:p>
        </w:tc>
        <w:tc>
          <w:tcPr>
            <w:tcW w:w="1002" w:type="dxa"/>
            <w:shd w:val="clear" w:color="auto" w:fill="auto"/>
            <w:vAlign w:val="center"/>
          </w:tcPr>
          <w:p w14:paraId="13B412F6"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1</w:t>
            </w:r>
          </w:p>
        </w:tc>
        <w:tc>
          <w:tcPr>
            <w:tcW w:w="938" w:type="dxa"/>
            <w:shd w:val="clear" w:color="auto" w:fill="auto"/>
            <w:vAlign w:val="center"/>
          </w:tcPr>
          <w:p w14:paraId="7E482EC5" w14:textId="77777777" w:rsidR="00437BA1" w:rsidRPr="00582E42" w:rsidRDefault="00437BA1" w:rsidP="00B84C24">
            <w:pPr>
              <w:pStyle w:val="Sinespaciado"/>
              <w:jc w:val="center"/>
              <w:rPr>
                <w:rFonts w:ascii="Times New Roman" w:hAnsi="Times New Roman" w:cs="Times New Roman"/>
                <w:sz w:val="18"/>
                <w:szCs w:val="18"/>
              </w:rPr>
            </w:pPr>
          </w:p>
        </w:tc>
        <w:tc>
          <w:tcPr>
            <w:tcW w:w="1020" w:type="dxa"/>
            <w:shd w:val="clear" w:color="auto" w:fill="auto"/>
            <w:vAlign w:val="center"/>
          </w:tcPr>
          <w:p w14:paraId="32373FBE"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1</w:t>
            </w:r>
          </w:p>
        </w:tc>
        <w:tc>
          <w:tcPr>
            <w:tcW w:w="1204" w:type="dxa"/>
            <w:shd w:val="clear" w:color="auto" w:fill="auto"/>
            <w:vAlign w:val="center"/>
          </w:tcPr>
          <w:p w14:paraId="0C951F63" w14:textId="77777777" w:rsidR="00437BA1" w:rsidRPr="00582E42" w:rsidRDefault="00437BA1" w:rsidP="00B84C24">
            <w:pPr>
              <w:pStyle w:val="Sinespaciado"/>
              <w:jc w:val="center"/>
              <w:rPr>
                <w:rFonts w:ascii="Times New Roman" w:hAnsi="Times New Roman" w:cs="Times New Roman"/>
                <w:sz w:val="18"/>
                <w:szCs w:val="18"/>
              </w:rPr>
            </w:pPr>
          </w:p>
        </w:tc>
      </w:tr>
      <w:tr w:rsidR="00437BA1" w:rsidRPr="00582E42" w14:paraId="489E0FAF" w14:textId="77777777" w:rsidTr="00582E42">
        <w:trPr>
          <w:trHeight w:val="20"/>
        </w:trPr>
        <w:tc>
          <w:tcPr>
            <w:tcW w:w="481" w:type="dxa"/>
            <w:shd w:val="clear" w:color="auto" w:fill="auto"/>
            <w:vAlign w:val="center"/>
          </w:tcPr>
          <w:p w14:paraId="261EE932"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19</w:t>
            </w:r>
          </w:p>
        </w:tc>
        <w:tc>
          <w:tcPr>
            <w:tcW w:w="1001" w:type="dxa"/>
            <w:shd w:val="clear" w:color="auto" w:fill="auto"/>
            <w:vAlign w:val="center"/>
          </w:tcPr>
          <w:p w14:paraId="0AE4F417" w14:textId="77777777" w:rsidR="00437BA1" w:rsidRPr="00582E42" w:rsidRDefault="00437BA1" w:rsidP="00B84C24">
            <w:pPr>
              <w:pStyle w:val="Sinespaciado"/>
              <w:jc w:val="center"/>
              <w:rPr>
                <w:rFonts w:ascii="Times New Roman" w:hAnsi="Times New Roman" w:cs="Times New Roman"/>
                <w:sz w:val="18"/>
                <w:szCs w:val="18"/>
              </w:rPr>
            </w:pPr>
          </w:p>
        </w:tc>
        <w:tc>
          <w:tcPr>
            <w:tcW w:w="1070" w:type="dxa"/>
            <w:shd w:val="clear" w:color="auto" w:fill="auto"/>
            <w:vAlign w:val="center"/>
          </w:tcPr>
          <w:p w14:paraId="0C74D06E" w14:textId="77777777" w:rsidR="00437BA1" w:rsidRPr="00582E42" w:rsidRDefault="00437BA1" w:rsidP="00B84C24">
            <w:pPr>
              <w:pStyle w:val="Sinespaciado"/>
              <w:jc w:val="center"/>
              <w:rPr>
                <w:rFonts w:ascii="Times New Roman" w:hAnsi="Times New Roman" w:cs="Times New Roman"/>
                <w:sz w:val="18"/>
                <w:szCs w:val="18"/>
              </w:rPr>
            </w:pPr>
          </w:p>
        </w:tc>
        <w:tc>
          <w:tcPr>
            <w:tcW w:w="928" w:type="dxa"/>
            <w:shd w:val="clear" w:color="auto" w:fill="auto"/>
            <w:vAlign w:val="center"/>
          </w:tcPr>
          <w:p w14:paraId="786CB6AB"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1</w:t>
            </w:r>
          </w:p>
        </w:tc>
        <w:tc>
          <w:tcPr>
            <w:tcW w:w="1137" w:type="dxa"/>
            <w:shd w:val="clear" w:color="auto" w:fill="auto"/>
            <w:vAlign w:val="center"/>
          </w:tcPr>
          <w:p w14:paraId="7DA8AC7D" w14:textId="77777777" w:rsidR="00437BA1" w:rsidRPr="00582E42" w:rsidRDefault="00437BA1" w:rsidP="00B84C24">
            <w:pPr>
              <w:pStyle w:val="Sinespaciado"/>
              <w:jc w:val="center"/>
              <w:rPr>
                <w:rFonts w:ascii="Times New Roman" w:hAnsi="Times New Roman" w:cs="Times New Roman"/>
                <w:sz w:val="18"/>
                <w:szCs w:val="18"/>
              </w:rPr>
            </w:pPr>
          </w:p>
        </w:tc>
        <w:tc>
          <w:tcPr>
            <w:tcW w:w="1002" w:type="dxa"/>
            <w:shd w:val="clear" w:color="auto" w:fill="auto"/>
            <w:vAlign w:val="center"/>
          </w:tcPr>
          <w:p w14:paraId="4AEE26AE"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1</w:t>
            </w:r>
          </w:p>
        </w:tc>
        <w:tc>
          <w:tcPr>
            <w:tcW w:w="938" w:type="dxa"/>
            <w:shd w:val="clear" w:color="auto" w:fill="auto"/>
            <w:vAlign w:val="center"/>
          </w:tcPr>
          <w:p w14:paraId="2D4EB103" w14:textId="77777777" w:rsidR="00437BA1" w:rsidRPr="00582E42" w:rsidRDefault="00437BA1" w:rsidP="00B84C24">
            <w:pPr>
              <w:pStyle w:val="Sinespaciado"/>
              <w:jc w:val="center"/>
              <w:rPr>
                <w:rFonts w:ascii="Times New Roman" w:hAnsi="Times New Roman" w:cs="Times New Roman"/>
                <w:sz w:val="18"/>
                <w:szCs w:val="18"/>
              </w:rPr>
            </w:pPr>
          </w:p>
        </w:tc>
        <w:tc>
          <w:tcPr>
            <w:tcW w:w="1020" w:type="dxa"/>
            <w:shd w:val="clear" w:color="auto" w:fill="auto"/>
            <w:vAlign w:val="center"/>
          </w:tcPr>
          <w:p w14:paraId="3EE984B9"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0.833</w:t>
            </w:r>
          </w:p>
        </w:tc>
        <w:tc>
          <w:tcPr>
            <w:tcW w:w="1204" w:type="dxa"/>
            <w:shd w:val="clear" w:color="auto" w:fill="auto"/>
            <w:vAlign w:val="center"/>
          </w:tcPr>
          <w:p w14:paraId="1F9595BC" w14:textId="77777777" w:rsidR="00437BA1" w:rsidRPr="00582E42" w:rsidRDefault="00437BA1" w:rsidP="00B84C24">
            <w:pPr>
              <w:pStyle w:val="Sinespaciado"/>
              <w:jc w:val="center"/>
              <w:rPr>
                <w:rFonts w:ascii="Times New Roman" w:hAnsi="Times New Roman" w:cs="Times New Roman"/>
                <w:sz w:val="18"/>
                <w:szCs w:val="18"/>
              </w:rPr>
            </w:pPr>
          </w:p>
        </w:tc>
      </w:tr>
      <w:tr w:rsidR="00437BA1" w:rsidRPr="00582E42" w14:paraId="06EE3F2B" w14:textId="77777777" w:rsidTr="00582E42">
        <w:trPr>
          <w:trHeight w:val="20"/>
        </w:trPr>
        <w:tc>
          <w:tcPr>
            <w:tcW w:w="481" w:type="dxa"/>
            <w:shd w:val="clear" w:color="auto" w:fill="auto"/>
            <w:vAlign w:val="center"/>
          </w:tcPr>
          <w:p w14:paraId="72CC83DD"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20</w:t>
            </w:r>
          </w:p>
        </w:tc>
        <w:tc>
          <w:tcPr>
            <w:tcW w:w="1001" w:type="dxa"/>
            <w:shd w:val="clear" w:color="auto" w:fill="auto"/>
            <w:vAlign w:val="center"/>
          </w:tcPr>
          <w:p w14:paraId="2AEBA694"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1</w:t>
            </w:r>
          </w:p>
        </w:tc>
        <w:tc>
          <w:tcPr>
            <w:tcW w:w="1070" w:type="dxa"/>
            <w:shd w:val="clear" w:color="auto" w:fill="auto"/>
            <w:vAlign w:val="center"/>
          </w:tcPr>
          <w:p w14:paraId="2D6247D2" w14:textId="77777777" w:rsidR="00437BA1" w:rsidRPr="00582E42" w:rsidRDefault="00437BA1" w:rsidP="00B84C24">
            <w:pPr>
              <w:pStyle w:val="Sinespaciado"/>
              <w:jc w:val="center"/>
              <w:rPr>
                <w:rFonts w:ascii="Times New Roman" w:hAnsi="Times New Roman" w:cs="Times New Roman"/>
                <w:sz w:val="18"/>
                <w:szCs w:val="18"/>
              </w:rPr>
            </w:pPr>
          </w:p>
        </w:tc>
        <w:tc>
          <w:tcPr>
            <w:tcW w:w="928" w:type="dxa"/>
            <w:shd w:val="clear" w:color="auto" w:fill="auto"/>
            <w:vAlign w:val="center"/>
          </w:tcPr>
          <w:p w14:paraId="2E6A04C7"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1</w:t>
            </w:r>
          </w:p>
        </w:tc>
        <w:tc>
          <w:tcPr>
            <w:tcW w:w="1137" w:type="dxa"/>
            <w:shd w:val="clear" w:color="auto" w:fill="auto"/>
            <w:vAlign w:val="center"/>
          </w:tcPr>
          <w:p w14:paraId="344616B1" w14:textId="77777777" w:rsidR="00437BA1" w:rsidRPr="00582E42" w:rsidRDefault="00437BA1" w:rsidP="00B84C24">
            <w:pPr>
              <w:pStyle w:val="Sinespaciado"/>
              <w:jc w:val="center"/>
              <w:rPr>
                <w:rFonts w:ascii="Times New Roman" w:hAnsi="Times New Roman" w:cs="Times New Roman"/>
                <w:sz w:val="18"/>
                <w:szCs w:val="18"/>
              </w:rPr>
            </w:pPr>
          </w:p>
        </w:tc>
        <w:tc>
          <w:tcPr>
            <w:tcW w:w="1002" w:type="dxa"/>
            <w:shd w:val="clear" w:color="auto" w:fill="auto"/>
            <w:vAlign w:val="center"/>
          </w:tcPr>
          <w:p w14:paraId="7FE15A51"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1</w:t>
            </w:r>
          </w:p>
        </w:tc>
        <w:tc>
          <w:tcPr>
            <w:tcW w:w="938" w:type="dxa"/>
            <w:shd w:val="clear" w:color="auto" w:fill="auto"/>
            <w:vAlign w:val="center"/>
          </w:tcPr>
          <w:p w14:paraId="0352C35A" w14:textId="77777777" w:rsidR="00437BA1" w:rsidRPr="00582E42" w:rsidRDefault="00437BA1" w:rsidP="00B84C24">
            <w:pPr>
              <w:pStyle w:val="Sinespaciado"/>
              <w:jc w:val="center"/>
              <w:rPr>
                <w:rFonts w:ascii="Times New Roman" w:hAnsi="Times New Roman" w:cs="Times New Roman"/>
                <w:sz w:val="18"/>
                <w:szCs w:val="18"/>
              </w:rPr>
            </w:pPr>
          </w:p>
        </w:tc>
        <w:tc>
          <w:tcPr>
            <w:tcW w:w="1020" w:type="dxa"/>
            <w:shd w:val="clear" w:color="auto" w:fill="auto"/>
            <w:vAlign w:val="center"/>
          </w:tcPr>
          <w:p w14:paraId="191CF2CB" w14:textId="77777777" w:rsidR="00437BA1" w:rsidRPr="00582E42" w:rsidRDefault="00437BA1" w:rsidP="00B84C24">
            <w:pPr>
              <w:pStyle w:val="Sinespaciado"/>
              <w:jc w:val="center"/>
              <w:rPr>
                <w:rFonts w:ascii="Times New Roman" w:hAnsi="Times New Roman" w:cs="Times New Roman"/>
                <w:sz w:val="18"/>
                <w:szCs w:val="18"/>
              </w:rPr>
            </w:pPr>
            <w:r w:rsidRPr="00582E42">
              <w:rPr>
                <w:rFonts w:ascii="Times New Roman" w:hAnsi="Times New Roman" w:cs="Times New Roman"/>
                <w:sz w:val="18"/>
                <w:szCs w:val="18"/>
              </w:rPr>
              <w:t>1</w:t>
            </w:r>
          </w:p>
        </w:tc>
        <w:tc>
          <w:tcPr>
            <w:tcW w:w="1204" w:type="dxa"/>
            <w:shd w:val="clear" w:color="auto" w:fill="auto"/>
            <w:vAlign w:val="center"/>
          </w:tcPr>
          <w:p w14:paraId="069B17D7" w14:textId="77777777" w:rsidR="00437BA1" w:rsidRPr="00582E42" w:rsidRDefault="00437BA1" w:rsidP="00B84C24">
            <w:pPr>
              <w:pStyle w:val="Sinespaciado"/>
              <w:jc w:val="center"/>
              <w:rPr>
                <w:rFonts w:ascii="Times New Roman" w:hAnsi="Times New Roman" w:cs="Times New Roman"/>
                <w:sz w:val="18"/>
                <w:szCs w:val="18"/>
              </w:rPr>
            </w:pPr>
          </w:p>
        </w:tc>
      </w:tr>
    </w:tbl>
    <w:p w14:paraId="474DFE87" w14:textId="0302E7E7" w:rsidR="00437BA1" w:rsidRDefault="00437BA1" w:rsidP="00582E42">
      <w:pPr>
        <w:spacing w:line="360" w:lineRule="auto"/>
        <w:jc w:val="center"/>
      </w:pPr>
      <w:r w:rsidRPr="00582E42">
        <w:t>Fuente: elaboración propia</w:t>
      </w:r>
    </w:p>
    <w:p w14:paraId="29F05716" w14:textId="77777777" w:rsidR="00582E42" w:rsidRPr="00582E42" w:rsidRDefault="00582E42" w:rsidP="00582E42">
      <w:pPr>
        <w:spacing w:line="360" w:lineRule="auto"/>
        <w:jc w:val="center"/>
        <w:rPr>
          <w:rFonts w:eastAsia="SimSun"/>
          <w:color w:val="000000"/>
          <w:lang w:eastAsia="zh-CN" w:bidi="ar"/>
        </w:rPr>
      </w:pPr>
    </w:p>
    <w:p w14:paraId="17FC6E24" w14:textId="09694AC9" w:rsidR="0014284F" w:rsidRPr="00582E42" w:rsidRDefault="00A5171D" w:rsidP="00563EE5">
      <w:pPr>
        <w:spacing w:line="360" w:lineRule="auto"/>
        <w:jc w:val="center"/>
        <w:rPr>
          <w:rFonts w:eastAsia="SimSun"/>
          <w:b/>
          <w:color w:val="000000"/>
          <w:sz w:val="32"/>
          <w:szCs w:val="32"/>
          <w:lang w:eastAsia="zh-CN" w:bidi="ar"/>
        </w:rPr>
      </w:pPr>
      <w:bookmarkStart w:id="6" w:name="_Hlk224724564"/>
      <w:r w:rsidRPr="00582E42">
        <w:rPr>
          <w:rFonts w:eastAsia="SimSun"/>
          <w:b/>
          <w:color w:val="000000"/>
          <w:sz w:val="32"/>
          <w:szCs w:val="32"/>
          <w:lang w:eastAsia="zh-CN" w:bidi="ar"/>
        </w:rPr>
        <w:t>Discusión</w:t>
      </w:r>
      <w:r w:rsidR="00475BA2" w:rsidRPr="00582E42">
        <w:rPr>
          <w:rFonts w:eastAsia="SimSun"/>
          <w:b/>
          <w:color w:val="000000"/>
          <w:sz w:val="32"/>
          <w:szCs w:val="32"/>
          <w:lang w:eastAsia="zh-CN" w:bidi="ar"/>
        </w:rPr>
        <w:t xml:space="preserve"> de Resultados</w:t>
      </w:r>
    </w:p>
    <w:bookmarkEnd w:id="6"/>
    <w:p w14:paraId="6893ED49" w14:textId="072DDC99" w:rsidR="0072566C" w:rsidRPr="0072566C" w:rsidRDefault="0072566C" w:rsidP="00F93273">
      <w:pPr>
        <w:spacing w:line="360" w:lineRule="auto"/>
        <w:ind w:firstLine="709"/>
        <w:jc w:val="both"/>
        <w:rPr>
          <w:rFonts w:eastAsia="SimSun"/>
          <w:color w:val="000000"/>
          <w:lang w:eastAsia="zh-CN" w:bidi="ar"/>
        </w:rPr>
      </w:pPr>
      <w:r w:rsidRPr="0072566C">
        <w:rPr>
          <w:rFonts w:eastAsia="SimSun"/>
          <w:color w:val="000000"/>
          <w:lang w:eastAsia="zh-CN" w:bidi="ar"/>
        </w:rPr>
        <w:t xml:space="preserve">Los resultados estadísticos obtenidos permiten verificar la validez de contenido del IM propuesto en esta investigación. Esto implica que los ítems asignados a cada constructo lo representan de forma adecuada y completa. Por lo tanto, el IM presenta una excelente validez de contenido en las cuatro características evaluadas, dados los valores numéricos observados </w:t>
      </w:r>
      <w:r w:rsidR="00B936A3">
        <w:rPr>
          <w:rFonts w:eastAsia="SimSun"/>
          <w:color w:val="000000"/>
          <w:lang w:eastAsia="zh-CN" w:bidi="ar"/>
        </w:rPr>
        <w:t>p</w:t>
      </w:r>
      <w:r w:rsidRPr="0072566C">
        <w:rPr>
          <w:rFonts w:eastAsia="SimSun"/>
          <w:color w:val="000000"/>
          <w:lang w:eastAsia="zh-CN" w:bidi="ar"/>
        </w:rPr>
        <w:t>ara los indicadores I-CVI, cumple</w:t>
      </w:r>
      <w:r w:rsidR="00B936A3">
        <w:rPr>
          <w:rFonts w:eastAsia="SimSun"/>
          <w:color w:val="000000"/>
          <w:lang w:eastAsia="zh-CN" w:bidi="ar"/>
        </w:rPr>
        <w:t>n</w:t>
      </w:r>
      <w:r w:rsidRPr="0072566C">
        <w:rPr>
          <w:rFonts w:eastAsia="SimSun"/>
          <w:color w:val="000000"/>
          <w:lang w:eastAsia="zh-CN" w:bidi="ar"/>
        </w:rPr>
        <w:t xml:space="preserve"> con el criterio de al menos 0,78, considerado excelente, y para el I-CVI/ave, se considera aceptable al</w:t>
      </w:r>
      <w:r w:rsidR="00B936A3">
        <w:rPr>
          <w:rFonts w:eastAsia="SimSun"/>
          <w:color w:val="000000"/>
          <w:lang w:eastAsia="zh-CN" w:bidi="ar"/>
        </w:rPr>
        <w:t xml:space="preserve"> al</w:t>
      </w:r>
      <w:r w:rsidRPr="0072566C">
        <w:rPr>
          <w:rFonts w:eastAsia="SimSun"/>
          <w:color w:val="000000"/>
          <w:lang w:eastAsia="zh-CN" w:bidi="ar"/>
        </w:rPr>
        <w:t>canza</w:t>
      </w:r>
      <w:r w:rsidR="00B936A3">
        <w:rPr>
          <w:rFonts w:eastAsia="SimSun"/>
          <w:color w:val="000000"/>
          <w:lang w:eastAsia="zh-CN" w:bidi="ar"/>
        </w:rPr>
        <w:t>r</w:t>
      </w:r>
      <w:r w:rsidRPr="0072566C">
        <w:rPr>
          <w:rFonts w:eastAsia="SimSun"/>
          <w:color w:val="000000"/>
          <w:lang w:eastAsia="zh-CN" w:bidi="ar"/>
        </w:rPr>
        <w:t xml:space="preserve"> un valor superior a 0,</w:t>
      </w:r>
      <w:r w:rsidRPr="00DB5462">
        <w:rPr>
          <w:rFonts w:eastAsia="SimSun"/>
          <w:color w:val="000000"/>
          <w:lang w:eastAsia="zh-CN" w:bidi="ar"/>
        </w:rPr>
        <w:t xml:space="preserve">90 </w:t>
      </w:r>
      <w:r w:rsidR="00B936A3" w:rsidRPr="00DB5462">
        <w:rPr>
          <w:rFonts w:eastAsia="SimSun"/>
          <w:color w:val="000000"/>
          <w:lang w:eastAsia="zh-CN" w:bidi="ar"/>
        </w:rPr>
        <w:t xml:space="preserve">(Polit et al., 2007). </w:t>
      </w:r>
      <w:r w:rsidR="00B45CF2" w:rsidRPr="00DB5462">
        <w:rPr>
          <w:rFonts w:eastAsia="SimSun"/>
          <w:color w:val="000000"/>
          <w:lang w:eastAsia="zh-CN" w:bidi="ar"/>
        </w:rPr>
        <w:t>También</w:t>
      </w:r>
      <w:r w:rsidR="00C12AE0" w:rsidRPr="00DB5462">
        <w:rPr>
          <w:rFonts w:eastAsia="SimSun"/>
          <w:color w:val="000000"/>
          <w:lang w:eastAsia="zh-CN" w:bidi="ar"/>
        </w:rPr>
        <w:t xml:space="preserve"> en ambos casos se cumplen los</w:t>
      </w:r>
      <w:r w:rsidR="0097163D" w:rsidRPr="00DB5462">
        <w:rPr>
          <w:rFonts w:eastAsia="SimSun"/>
          <w:color w:val="000000"/>
          <w:lang w:eastAsia="zh-CN" w:bidi="ar"/>
        </w:rPr>
        <w:t xml:space="preserve"> criterios establecidos por Shi, et al. (2012).</w:t>
      </w:r>
    </w:p>
    <w:p w14:paraId="1ED37D13" w14:textId="472417D7" w:rsidR="0072566C" w:rsidRDefault="0072566C" w:rsidP="00F93273">
      <w:pPr>
        <w:spacing w:line="360" w:lineRule="auto"/>
        <w:ind w:firstLine="709"/>
        <w:jc w:val="both"/>
        <w:rPr>
          <w:rFonts w:eastAsia="SimSun"/>
          <w:color w:val="000000"/>
          <w:lang w:eastAsia="zh-CN" w:bidi="ar"/>
        </w:rPr>
      </w:pPr>
      <w:r w:rsidRPr="0072566C">
        <w:rPr>
          <w:rFonts w:eastAsia="SimSun"/>
          <w:color w:val="000000"/>
          <w:lang w:eastAsia="zh-CN" w:bidi="ar"/>
        </w:rPr>
        <w:t>Esto implica que estos ítems son suficientes para representar su respectivo constructo, claros en su redacción, coherentes en su relación con los conceptos que definen cada constructo y relevantes para cada constructo. Es importante destacar que los resultados del IM se obtienen en la primera ronda de evaluación, lo que hace innecesaria otra ronda para este instrumento, como sugieren</w:t>
      </w:r>
      <w:r w:rsidR="00834B3F">
        <w:rPr>
          <w:rFonts w:eastAsia="SimSun"/>
          <w:color w:val="000000"/>
          <w:lang w:eastAsia="zh-CN" w:bidi="ar"/>
        </w:rPr>
        <w:t xml:space="preserve"> </w:t>
      </w:r>
      <w:sdt>
        <w:sdtPr>
          <w:rPr>
            <w:color w:val="000000" w:themeColor="text1"/>
            <w:lang w:val="es-ES" w:bidi="en-US"/>
          </w:rPr>
          <w:id w:val="323948513"/>
        </w:sdtPr>
        <w:sdtEndPr/>
        <w:sdtContent>
          <w:r w:rsidR="00834B3F" w:rsidRPr="005B541A">
            <w:rPr>
              <w:color w:val="000000" w:themeColor="text1"/>
              <w:lang w:val="es-ES" w:bidi="en-US"/>
            </w:rPr>
            <w:fldChar w:fldCharType="begin"/>
          </w:r>
          <w:r w:rsidR="00834B3F" w:rsidRPr="005B541A">
            <w:rPr>
              <w:color w:val="000000" w:themeColor="text1"/>
              <w:lang w:bidi="en-US"/>
            </w:rPr>
            <w:instrText xml:space="preserve"> CITATION Pol07 \l 1034 </w:instrText>
          </w:r>
          <w:r w:rsidR="00834B3F" w:rsidRPr="005B541A">
            <w:rPr>
              <w:color w:val="000000" w:themeColor="text1"/>
              <w:lang w:val="es-ES" w:bidi="en-US"/>
            </w:rPr>
            <w:fldChar w:fldCharType="separate"/>
          </w:r>
          <w:r w:rsidR="00834B3F" w:rsidRPr="005B541A">
            <w:rPr>
              <w:color w:val="000000" w:themeColor="text1"/>
              <w:lang w:bidi="en-US"/>
            </w:rPr>
            <w:t>(Polit et al., 2007)</w:t>
          </w:r>
          <w:r w:rsidR="00834B3F" w:rsidRPr="005B541A">
            <w:rPr>
              <w:color w:val="000000" w:themeColor="text1"/>
              <w:lang w:val="es-ES" w:bidi="en-US"/>
            </w:rPr>
            <w:fldChar w:fldCharType="end"/>
          </w:r>
        </w:sdtContent>
      </w:sdt>
      <w:r w:rsidRPr="0072566C">
        <w:rPr>
          <w:rFonts w:eastAsia="SimSun"/>
          <w:color w:val="000000"/>
          <w:lang w:eastAsia="zh-CN" w:bidi="ar"/>
        </w:rPr>
        <w:t xml:space="preserve">. </w:t>
      </w:r>
    </w:p>
    <w:p w14:paraId="5853B83C" w14:textId="77777777" w:rsidR="00582E42" w:rsidRDefault="00582E42" w:rsidP="00F93273">
      <w:pPr>
        <w:spacing w:line="360" w:lineRule="auto"/>
        <w:ind w:firstLine="709"/>
        <w:jc w:val="both"/>
        <w:rPr>
          <w:rFonts w:eastAsia="SimSun"/>
          <w:color w:val="000000"/>
          <w:lang w:eastAsia="zh-CN" w:bidi="ar"/>
        </w:rPr>
      </w:pPr>
    </w:p>
    <w:p w14:paraId="3622E728" w14:textId="339EF276" w:rsidR="002B7F6A" w:rsidRDefault="0072566C" w:rsidP="00F93273">
      <w:pPr>
        <w:spacing w:line="360" w:lineRule="auto"/>
        <w:ind w:firstLine="709"/>
        <w:jc w:val="both"/>
        <w:rPr>
          <w:rFonts w:eastAsia="SimSun"/>
          <w:color w:val="000000"/>
          <w:lang w:eastAsia="zh-CN" w:bidi="ar"/>
        </w:rPr>
      </w:pPr>
      <w:r w:rsidRPr="0072566C">
        <w:rPr>
          <w:rFonts w:eastAsia="SimSun"/>
          <w:color w:val="000000"/>
          <w:lang w:eastAsia="zh-CN" w:bidi="ar"/>
        </w:rPr>
        <w:lastRenderedPageBreak/>
        <w:t xml:space="preserve">El instrumento de medición (Tabla </w:t>
      </w:r>
      <w:r w:rsidR="009D4693">
        <w:rPr>
          <w:rFonts w:eastAsia="SimSun"/>
          <w:color w:val="000000"/>
          <w:lang w:eastAsia="zh-CN" w:bidi="ar"/>
        </w:rPr>
        <w:t>4</w:t>
      </w:r>
      <w:r w:rsidRPr="0072566C">
        <w:rPr>
          <w:rFonts w:eastAsia="SimSun"/>
          <w:color w:val="000000"/>
          <w:lang w:eastAsia="zh-CN" w:bidi="ar"/>
        </w:rPr>
        <w:t>, Apéndice) demuestra validez de contenido, evaluada mediante cuatro características recomendadas por Escobar y Cuervo (2008), lo que lo convierte en una herramienta adecuada para medir los factores críticos que influyen en el éxito de la innovación en la cadena de suministro de la industria láctea. Este resultado permite que estudios futuros analicen las relaciones causales entre las variables exógenas correspondientes a estos factores críticos de éxito y la variable endógena (</w:t>
      </w:r>
      <w:r w:rsidR="00EC6517">
        <w:rPr>
          <w:rFonts w:eastAsia="SimSun"/>
          <w:color w:val="000000"/>
          <w:lang w:eastAsia="zh-CN" w:bidi="ar"/>
        </w:rPr>
        <w:t>PICS</w:t>
      </w:r>
      <w:r w:rsidRPr="0072566C">
        <w:rPr>
          <w:rFonts w:eastAsia="SimSun"/>
          <w:color w:val="000000"/>
          <w:lang w:eastAsia="zh-CN" w:bidi="ar"/>
        </w:rPr>
        <w:t>) de la industria láctea. Esto resulta útil para modelar las relaciones causales entre variables exógenas y endógenas mediante un modelo estructural.</w:t>
      </w:r>
    </w:p>
    <w:p w14:paraId="04AF402C" w14:textId="77777777" w:rsidR="00EF0357" w:rsidRPr="005B541A" w:rsidRDefault="00EF0357">
      <w:pPr>
        <w:spacing w:line="360" w:lineRule="auto"/>
        <w:jc w:val="both"/>
        <w:rPr>
          <w:rFonts w:eastAsia="SimSun"/>
          <w:color w:val="000000"/>
          <w:lang w:eastAsia="zh-CN" w:bidi="ar"/>
        </w:rPr>
      </w:pPr>
    </w:p>
    <w:p w14:paraId="1608B7C8" w14:textId="3BF3264F" w:rsidR="0016449C" w:rsidRPr="00CA43D3" w:rsidRDefault="005A27C7" w:rsidP="00CA43D3">
      <w:pPr>
        <w:tabs>
          <w:tab w:val="left" w:pos="630"/>
        </w:tabs>
        <w:spacing w:line="360" w:lineRule="auto"/>
        <w:jc w:val="center"/>
        <w:rPr>
          <w:rFonts w:eastAsia="SimSun"/>
          <w:b/>
          <w:bCs/>
          <w:color w:val="000000"/>
          <w:sz w:val="32"/>
          <w:szCs w:val="32"/>
          <w:lang w:eastAsia="zh-CN" w:bidi="ar"/>
        </w:rPr>
      </w:pPr>
      <w:r w:rsidRPr="00563EE5">
        <w:rPr>
          <w:rFonts w:eastAsia="SimSun"/>
          <w:b/>
          <w:bCs/>
          <w:color w:val="000000"/>
          <w:sz w:val="32"/>
          <w:szCs w:val="32"/>
          <w:lang w:eastAsia="zh-CN" w:bidi="ar"/>
        </w:rPr>
        <w:t>Conclusiones</w:t>
      </w:r>
      <w:r w:rsidR="00125FC0" w:rsidRPr="00563EE5">
        <w:rPr>
          <w:rFonts w:eastAsia="SimSun"/>
          <w:b/>
          <w:bCs/>
          <w:color w:val="000000"/>
          <w:sz w:val="32"/>
          <w:szCs w:val="32"/>
          <w:lang w:eastAsia="zh-CN" w:bidi="ar"/>
        </w:rPr>
        <w:t xml:space="preserve"> y Recomendaciones</w:t>
      </w:r>
    </w:p>
    <w:p w14:paraId="463D8E63" w14:textId="58961E31" w:rsidR="00EF0357" w:rsidRPr="00EF0357" w:rsidRDefault="00EF0357" w:rsidP="00F93273">
      <w:pPr>
        <w:spacing w:line="360" w:lineRule="auto"/>
        <w:ind w:firstLine="709"/>
        <w:jc w:val="both"/>
        <w:rPr>
          <w:rFonts w:eastAsia="SimSun"/>
          <w:color w:val="000000"/>
          <w:lang w:eastAsia="zh-CN" w:bidi="ar"/>
        </w:rPr>
      </w:pPr>
      <w:r w:rsidRPr="00EF0357">
        <w:rPr>
          <w:rFonts w:eastAsia="SimSun"/>
          <w:color w:val="000000"/>
          <w:lang w:eastAsia="zh-CN" w:bidi="ar"/>
        </w:rPr>
        <w:t xml:space="preserve">Con base en los resultados, se concluye que el </w:t>
      </w:r>
      <w:r>
        <w:rPr>
          <w:rFonts w:eastAsia="SimSun"/>
          <w:color w:val="000000"/>
          <w:lang w:eastAsia="zh-CN" w:bidi="ar"/>
        </w:rPr>
        <w:t>Instrumento de Medición propuesto</w:t>
      </w:r>
      <w:r w:rsidRPr="00EF0357">
        <w:rPr>
          <w:rFonts w:eastAsia="SimSun"/>
          <w:color w:val="000000"/>
          <w:lang w:eastAsia="zh-CN" w:bidi="ar"/>
        </w:rPr>
        <w:t xml:space="preserve"> es adecuado para recopilar los datos necesarios para construir modelos que estimen las relaciones causales entre los factores y la variable PICS en la industria láctea.</w:t>
      </w:r>
    </w:p>
    <w:p w14:paraId="1CEB4427" w14:textId="121134F1" w:rsidR="00EF0357" w:rsidRPr="00EF0357" w:rsidRDefault="00EF0357" w:rsidP="00F93273">
      <w:pPr>
        <w:spacing w:line="360" w:lineRule="auto"/>
        <w:ind w:firstLine="709"/>
        <w:jc w:val="both"/>
        <w:rPr>
          <w:rFonts w:eastAsia="SimSun"/>
          <w:color w:val="000000"/>
          <w:lang w:eastAsia="zh-CN" w:bidi="ar"/>
        </w:rPr>
      </w:pPr>
      <w:r w:rsidRPr="00EF0357">
        <w:rPr>
          <w:rFonts w:eastAsia="SimSun"/>
          <w:color w:val="000000"/>
          <w:lang w:eastAsia="zh-CN" w:bidi="ar"/>
        </w:rPr>
        <w:t>Determinar si el acuerdo entre los jueces, resultante de la evaluación de la validez de contenido, se debe al azar, mediante los índices CVR y CVI, son métodos superiores a los dos enfoques mencionados anteriormente.</w:t>
      </w:r>
    </w:p>
    <w:p w14:paraId="56E8A6A7" w14:textId="129631B7" w:rsidR="00EF0357" w:rsidRPr="00EF0357" w:rsidRDefault="00EF0357" w:rsidP="00F93273">
      <w:pPr>
        <w:spacing w:line="360" w:lineRule="auto"/>
        <w:ind w:firstLine="709"/>
        <w:jc w:val="both"/>
        <w:rPr>
          <w:rFonts w:eastAsia="SimSun"/>
          <w:color w:val="000000"/>
          <w:lang w:eastAsia="zh-CN" w:bidi="ar"/>
        </w:rPr>
      </w:pPr>
      <w:r w:rsidRPr="00EF0357">
        <w:rPr>
          <w:rFonts w:eastAsia="SimSun"/>
          <w:color w:val="000000"/>
          <w:lang w:eastAsia="zh-CN" w:bidi="ar"/>
        </w:rPr>
        <w:t>En general, incluso con la principal limitación de que el tamaño de la muestra se limita a la región de Laguna, varios aspectos indican que el estudio se considera válido. Estos incluyen, en el CVI, como alternativa al método CVR:</w:t>
      </w:r>
    </w:p>
    <w:p w14:paraId="6F2D307A" w14:textId="4570C72F" w:rsidR="00EF0357" w:rsidRPr="00EF0357" w:rsidRDefault="00EF0357" w:rsidP="00EF0357">
      <w:pPr>
        <w:spacing w:line="360" w:lineRule="auto"/>
        <w:ind w:left="709" w:hanging="142"/>
        <w:jc w:val="both"/>
        <w:rPr>
          <w:rFonts w:eastAsia="SimSun"/>
          <w:color w:val="000000"/>
          <w:lang w:eastAsia="zh-CN" w:bidi="ar"/>
        </w:rPr>
      </w:pPr>
      <w:r w:rsidRPr="00EF0357">
        <w:rPr>
          <w:rFonts w:eastAsia="SimSun"/>
          <w:color w:val="000000"/>
          <w:lang w:eastAsia="zh-CN" w:bidi="ar"/>
        </w:rPr>
        <w:t>• El índice de validez de contenido del ítem (I-CVI), que permite establecer el grado de acuerdo entre los jueces en dos niveles: a nivel individual para cada ítem.</w:t>
      </w:r>
    </w:p>
    <w:p w14:paraId="06F488DF" w14:textId="26FDF294" w:rsidR="00EF0357" w:rsidRDefault="00EF0357" w:rsidP="00EF0357">
      <w:pPr>
        <w:spacing w:line="360" w:lineRule="auto"/>
        <w:ind w:left="709" w:hanging="142"/>
        <w:jc w:val="both"/>
        <w:rPr>
          <w:rFonts w:eastAsia="SimSun"/>
          <w:color w:val="000000"/>
          <w:lang w:eastAsia="zh-CN" w:bidi="ar"/>
        </w:rPr>
      </w:pPr>
      <w:r w:rsidRPr="00EF0357">
        <w:rPr>
          <w:rFonts w:eastAsia="SimSun"/>
          <w:color w:val="000000"/>
          <w:lang w:eastAsia="zh-CN" w:bidi="ar"/>
        </w:rPr>
        <w:t xml:space="preserve">• El índice promedio de validez de contenido de la escala (I-CVI/ave), donde un valor alto de S-CVI/ave indica un acuerdo entre los jueces no atribuible a error experimental. </w:t>
      </w:r>
    </w:p>
    <w:p w14:paraId="397629E4" w14:textId="218749A8" w:rsidR="00646838" w:rsidRDefault="00EF0357">
      <w:pPr>
        <w:spacing w:line="360" w:lineRule="auto"/>
        <w:jc w:val="both"/>
        <w:rPr>
          <w:rFonts w:eastAsia="SimSun"/>
          <w:color w:val="000000"/>
          <w:lang w:eastAsia="zh-CN" w:bidi="ar"/>
        </w:rPr>
      </w:pPr>
      <w:r w:rsidRPr="00EF0357">
        <w:rPr>
          <w:rFonts w:eastAsia="SimSun"/>
          <w:color w:val="000000"/>
          <w:lang w:eastAsia="zh-CN" w:bidi="ar"/>
        </w:rPr>
        <w:t>Dadas estas dos alternativas disponibles</w:t>
      </w:r>
      <w:r w:rsidR="00CA43D3">
        <w:rPr>
          <w:rFonts w:eastAsia="SimSun"/>
          <w:color w:val="000000"/>
          <w:lang w:eastAsia="zh-CN" w:bidi="ar"/>
        </w:rPr>
        <w:t xml:space="preserve"> </w:t>
      </w:r>
      <w:r w:rsidR="00CA43D3" w:rsidRPr="00EF0357">
        <w:rPr>
          <w:rFonts w:eastAsia="SimSun"/>
          <w:color w:val="000000"/>
          <w:lang w:eastAsia="zh-CN" w:bidi="ar"/>
        </w:rPr>
        <w:t>(CVR y CVI)</w:t>
      </w:r>
      <w:r w:rsidRPr="00EF0357">
        <w:rPr>
          <w:rFonts w:eastAsia="SimSun"/>
          <w:color w:val="000000"/>
          <w:lang w:eastAsia="zh-CN" w:bidi="ar"/>
        </w:rPr>
        <w:t xml:space="preserve"> para evaluar la validez de contenido del I</w:t>
      </w:r>
      <w:bookmarkStart w:id="7" w:name="_Hlk224560008"/>
      <w:r w:rsidR="00CA43D3">
        <w:rPr>
          <w:rFonts w:eastAsia="SimSun"/>
          <w:color w:val="000000"/>
          <w:lang w:eastAsia="zh-CN" w:bidi="ar"/>
        </w:rPr>
        <w:t xml:space="preserve">nstrumento de </w:t>
      </w:r>
      <w:r w:rsidR="00361DC8">
        <w:rPr>
          <w:rFonts w:eastAsia="SimSun"/>
          <w:color w:val="000000"/>
          <w:lang w:eastAsia="zh-CN" w:bidi="ar"/>
        </w:rPr>
        <w:t>Medición</w:t>
      </w:r>
      <w:r w:rsidR="00CA43D3">
        <w:rPr>
          <w:rFonts w:eastAsia="SimSun"/>
          <w:color w:val="000000"/>
          <w:lang w:eastAsia="zh-CN" w:bidi="ar"/>
        </w:rPr>
        <w:t xml:space="preserve"> son válidas</w:t>
      </w:r>
      <w:r w:rsidRPr="00EF0357">
        <w:rPr>
          <w:rFonts w:eastAsia="SimSun"/>
          <w:color w:val="000000"/>
          <w:lang w:eastAsia="zh-CN" w:bidi="ar"/>
        </w:rPr>
        <w:t>,</w:t>
      </w:r>
      <w:bookmarkEnd w:id="7"/>
      <w:r w:rsidRPr="00EF0357">
        <w:rPr>
          <w:rFonts w:eastAsia="SimSun"/>
          <w:color w:val="000000"/>
          <w:lang w:eastAsia="zh-CN" w:bidi="ar"/>
        </w:rPr>
        <w:t xml:space="preserve"> se recomienda realizar un estudio de simulación para comparar la efectividad de estos indicadores a la hora de evaluar la concordancia</w:t>
      </w:r>
      <w:r w:rsidR="00CA43D3">
        <w:rPr>
          <w:rFonts w:eastAsia="SimSun"/>
          <w:color w:val="000000"/>
          <w:lang w:eastAsia="zh-CN" w:bidi="ar"/>
        </w:rPr>
        <w:t xml:space="preserve">, y seleccionar </w:t>
      </w:r>
      <w:r w:rsidR="00361DC8">
        <w:rPr>
          <w:rFonts w:eastAsia="SimSun"/>
          <w:color w:val="000000"/>
          <w:lang w:eastAsia="zh-CN" w:bidi="ar"/>
        </w:rPr>
        <w:t>el</w:t>
      </w:r>
      <w:r w:rsidR="00CA43D3">
        <w:rPr>
          <w:rFonts w:eastAsia="SimSun"/>
          <w:color w:val="000000"/>
          <w:lang w:eastAsia="zh-CN" w:bidi="ar"/>
        </w:rPr>
        <w:t xml:space="preserve"> m</w:t>
      </w:r>
      <w:r w:rsidR="00361DC8">
        <w:rPr>
          <w:rFonts w:eastAsia="SimSun"/>
          <w:color w:val="000000"/>
          <w:lang w:eastAsia="zh-CN" w:bidi="ar"/>
        </w:rPr>
        <w:t>á</w:t>
      </w:r>
      <w:r w:rsidR="00CA43D3">
        <w:rPr>
          <w:rFonts w:eastAsia="SimSun"/>
          <w:color w:val="000000"/>
          <w:lang w:eastAsia="zh-CN" w:bidi="ar"/>
        </w:rPr>
        <w:t>s adecuada para el estudio.</w:t>
      </w:r>
    </w:p>
    <w:p w14:paraId="084E70C6" w14:textId="77777777" w:rsidR="00582E42" w:rsidRDefault="00582E42">
      <w:pPr>
        <w:spacing w:line="360" w:lineRule="auto"/>
        <w:jc w:val="both"/>
        <w:rPr>
          <w:rFonts w:eastAsia="SimSun"/>
          <w:color w:val="000000"/>
          <w:lang w:eastAsia="zh-CN" w:bidi="ar"/>
        </w:rPr>
      </w:pPr>
    </w:p>
    <w:p w14:paraId="426AD43F" w14:textId="77777777" w:rsidR="00582E42" w:rsidRDefault="00582E42">
      <w:pPr>
        <w:spacing w:line="360" w:lineRule="auto"/>
        <w:jc w:val="both"/>
        <w:rPr>
          <w:rFonts w:eastAsia="SimSun"/>
          <w:color w:val="000000"/>
          <w:lang w:eastAsia="zh-CN" w:bidi="ar"/>
        </w:rPr>
      </w:pPr>
    </w:p>
    <w:p w14:paraId="70AAD25D" w14:textId="77777777" w:rsidR="00582E42" w:rsidRDefault="00582E42">
      <w:pPr>
        <w:spacing w:line="360" w:lineRule="auto"/>
        <w:jc w:val="both"/>
        <w:rPr>
          <w:rFonts w:eastAsia="SimSun"/>
          <w:color w:val="000000"/>
          <w:lang w:eastAsia="zh-CN" w:bidi="ar"/>
        </w:rPr>
      </w:pPr>
    </w:p>
    <w:p w14:paraId="302C23DF" w14:textId="77777777" w:rsidR="00582E42" w:rsidRDefault="00582E42">
      <w:pPr>
        <w:spacing w:line="360" w:lineRule="auto"/>
        <w:jc w:val="both"/>
        <w:rPr>
          <w:rFonts w:eastAsia="SimSun"/>
          <w:color w:val="000000"/>
          <w:lang w:eastAsia="zh-CN" w:bidi="ar"/>
        </w:rPr>
      </w:pPr>
    </w:p>
    <w:p w14:paraId="5CE65F23" w14:textId="77777777" w:rsidR="00582E42" w:rsidRDefault="00582E42">
      <w:pPr>
        <w:spacing w:line="360" w:lineRule="auto"/>
        <w:jc w:val="both"/>
        <w:rPr>
          <w:rFonts w:eastAsia="SimSun"/>
          <w:color w:val="000000"/>
          <w:lang w:eastAsia="zh-CN" w:bidi="ar"/>
        </w:rPr>
      </w:pPr>
    </w:p>
    <w:p w14:paraId="063FC8A6" w14:textId="77777777" w:rsidR="00582E42" w:rsidRPr="005B541A" w:rsidRDefault="00582E42">
      <w:pPr>
        <w:spacing w:line="360" w:lineRule="auto"/>
        <w:jc w:val="both"/>
        <w:rPr>
          <w:rFonts w:eastAsia="SimSun"/>
          <w:color w:val="000000"/>
          <w:lang w:eastAsia="zh-CN" w:bidi="ar"/>
        </w:rPr>
      </w:pPr>
    </w:p>
    <w:p w14:paraId="12C563C5" w14:textId="58F80A1E" w:rsidR="0016449C" w:rsidRPr="00F93273" w:rsidRDefault="0016449C" w:rsidP="00563EE5">
      <w:pPr>
        <w:spacing w:line="360" w:lineRule="auto"/>
        <w:jc w:val="center"/>
        <w:rPr>
          <w:rFonts w:eastAsia="SimSun"/>
          <w:b/>
          <w:color w:val="000000"/>
          <w:sz w:val="28"/>
          <w:szCs w:val="28"/>
          <w:lang w:eastAsia="zh-CN" w:bidi="ar"/>
        </w:rPr>
      </w:pPr>
      <w:r w:rsidRPr="00F93273">
        <w:rPr>
          <w:rFonts w:eastAsia="SimSun"/>
          <w:b/>
          <w:color w:val="000000"/>
          <w:sz w:val="28"/>
          <w:szCs w:val="28"/>
          <w:lang w:eastAsia="zh-CN" w:bidi="ar"/>
        </w:rPr>
        <w:lastRenderedPageBreak/>
        <w:t xml:space="preserve">Futuras </w:t>
      </w:r>
      <w:r w:rsidR="007904BE" w:rsidRPr="00F93273">
        <w:rPr>
          <w:rFonts w:eastAsia="SimSun"/>
          <w:b/>
          <w:color w:val="000000"/>
          <w:sz w:val="28"/>
          <w:szCs w:val="28"/>
          <w:lang w:eastAsia="zh-CN" w:bidi="ar"/>
        </w:rPr>
        <w:t>l</w:t>
      </w:r>
      <w:r w:rsidRPr="00F93273">
        <w:rPr>
          <w:rFonts w:eastAsia="SimSun"/>
          <w:b/>
          <w:color w:val="000000"/>
          <w:sz w:val="28"/>
          <w:szCs w:val="28"/>
          <w:lang w:eastAsia="zh-CN" w:bidi="ar"/>
        </w:rPr>
        <w:t xml:space="preserve">íneas de </w:t>
      </w:r>
      <w:r w:rsidR="00A72470" w:rsidRPr="00F93273">
        <w:rPr>
          <w:rFonts w:eastAsia="SimSun"/>
          <w:b/>
          <w:color w:val="000000"/>
          <w:sz w:val="28"/>
          <w:szCs w:val="28"/>
          <w:lang w:eastAsia="zh-CN" w:bidi="ar"/>
        </w:rPr>
        <w:t>i</w:t>
      </w:r>
      <w:r w:rsidRPr="00F93273">
        <w:rPr>
          <w:rFonts w:eastAsia="SimSun"/>
          <w:b/>
          <w:color w:val="000000"/>
          <w:sz w:val="28"/>
          <w:szCs w:val="28"/>
          <w:lang w:eastAsia="zh-CN" w:bidi="ar"/>
        </w:rPr>
        <w:t>nvestigación</w:t>
      </w:r>
    </w:p>
    <w:p w14:paraId="1617E64C" w14:textId="4098383E" w:rsidR="00CA43D3" w:rsidRPr="00CA43D3" w:rsidRDefault="00CA43D3" w:rsidP="00F93273">
      <w:pPr>
        <w:spacing w:line="360" w:lineRule="auto"/>
        <w:ind w:firstLine="709"/>
        <w:jc w:val="both"/>
        <w:rPr>
          <w:rFonts w:eastAsia="SimSun"/>
          <w:color w:val="000000"/>
          <w:lang w:eastAsia="zh-CN" w:bidi="ar"/>
        </w:rPr>
      </w:pPr>
      <w:r w:rsidRPr="00CA43D3">
        <w:rPr>
          <w:rFonts w:eastAsia="SimSun"/>
          <w:color w:val="000000"/>
          <w:lang w:eastAsia="zh-CN" w:bidi="ar"/>
        </w:rPr>
        <w:t>Este trabajo forma parte de la primera etapa del proyecto de investigación</w:t>
      </w:r>
      <w:r w:rsidR="0051610D" w:rsidRPr="0051610D">
        <w:rPr>
          <w:rFonts w:eastAsia="SimSun"/>
          <w:color w:val="000000"/>
          <w:lang w:eastAsia="zh-CN" w:bidi="ar"/>
        </w:rPr>
        <w:t xml:space="preserve"> </w:t>
      </w:r>
      <w:r w:rsidR="0051610D" w:rsidRPr="00CA43D3">
        <w:rPr>
          <w:rFonts w:eastAsia="SimSun"/>
          <w:color w:val="000000"/>
          <w:lang w:eastAsia="zh-CN" w:bidi="ar"/>
        </w:rPr>
        <w:t>Medición de los factores de innovación en la cadena de suministro en la industria láctea</w:t>
      </w:r>
      <w:r w:rsidR="0051610D">
        <w:rPr>
          <w:rFonts w:eastAsia="SimSun"/>
          <w:color w:val="000000"/>
          <w:lang w:eastAsia="zh-CN" w:bidi="ar"/>
        </w:rPr>
        <w:t>,</w:t>
      </w:r>
      <w:r w:rsidRPr="00CA43D3">
        <w:rPr>
          <w:rFonts w:eastAsia="SimSun"/>
          <w:color w:val="000000"/>
          <w:lang w:eastAsia="zh-CN" w:bidi="ar"/>
        </w:rPr>
        <w:t xml:space="preserve"> </w:t>
      </w:r>
      <w:r w:rsidR="0051610D">
        <w:rPr>
          <w:rFonts w:eastAsia="SimSun"/>
          <w:color w:val="000000"/>
          <w:lang w:eastAsia="zh-CN" w:bidi="ar"/>
        </w:rPr>
        <w:t>p</w:t>
      </w:r>
      <w:r w:rsidRPr="00CA43D3">
        <w:rPr>
          <w:rFonts w:eastAsia="SimSun"/>
          <w:color w:val="000000"/>
          <w:lang w:eastAsia="zh-CN" w:bidi="ar"/>
        </w:rPr>
        <w:t>or lo tanto, el siguiente paso consiste en tomar una muestra de la población objetivo y realizar un análisis estadístico mediante análisis factorial y modelado de ecuaciones estructurales.</w:t>
      </w:r>
    </w:p>
    <w:p w14:paraId="761041DC" w14:textId="2DEAA6F6" w:rsidR="000A719A" w:rsidRPr="005B541A" w:rsidRDefault="00CA43D3" w:rsidP="00F93273">
      <w:pPr>
        <w:spacing w:line="360" w:lineRule="auto"/>
        <w:ind w:firstLine="709"/>
        <w:jc w:val="both"/>
        <w:rPr>
          <w:rFonts w:eastAsia="SimSun"/>
          <w:color w:val="000000"/>
          <w:lang w:eastAsia="zh-CN" w:bidi="ar"/>
        </w:rPr>
      </w:pPr>
      <w:r w:rsidRPr="00CA43D3">
        <w:rPr>
          <w:rFonts w:eastAsia="SimSun"/>
          <w:color w:val="000000"/>
          <w:lang w:eastAsia="zh-CN" w:bidi="ar"/>
        </w:rPr>
        <w:t>Queda abierta la posibilidad de obtener una muestra más amplia de un mayor número de empresas mexicanas, lo cual es esencial para validar y generalizar los resultados obtenidos, como posible línea de investigación futura.</w:t>
      </w:r>
    </w:p>
    <w:p w14:paraId="75A40D1C" w14:textId="77777777" w:rsidR="000351D8" w:rsidRPr="005B541A" w:rsidRDefault="000351D8">
      <w:pPr>
        <w:spacing w:line="360" w:lineRule="auto"/>
        <w:jc w:val="both"/>
        <w:rPr>
          <w:rFonts w:eastAsia="SimSun"/>
          <w:color w:val="000000"/>
          <w:lang w:eastAsia="zh-CN" w:bidi="ar"/>
        </w:rPr>
      </w:pPr>
    </w:p>
    <w:p w14:paraId="658797FE" w14:textId="671E3756" w:rsidR="00EF0357" w:rsidRPr="00F93273" w:rsidRDefault="001A2224" w:rsidP="00F93273">
      <w:pPr>
        <w:spacing w:after="120"/>
        <w:rPr>
          <w:rFonts w:ascii="Calibri" w:hAnsi="Calibri" w:cs="Calibri"/>
          <w:b/>
          <w:bCs/>
          <w:sz w:val="28"/>
          <w:szCs w:val="28"/>
          <w:lang w:val="en-US"/>
        </w:rPr>
      </w:pPr>
      <w:r w:rsidRPr="00F93273">
        <w:rPr>
          <w:rFonts w:ascii="Calibri" w:hAnsi="Calibri" w:cs="Calibri"/>
          <w:b/>
          <w:bCs/>
          <w:sz w:val="28"/>
          <w:szCs w:val="28"/>
          <w:lang w:val="en-US"/>
        </w:rPr>
        <w:t>Referencias</w:t>
      </w:r>
    </w:p>
    <w:p w14:paraId="1DDEE82E" w14:textId="77777777" w:rsidR="00EF0357" w:rsidRPr="00F93273" w:rsidRDefault="00EF0357" w:rsidP="00F93273">
      <w:pPr>
        <w:spacing w:line="360" w:lineRule="auto"/>
        <w:ind w:left="567" w:hanging="567"/>
        <w:jc w:val="both"/>
        <w:rPr>
          <w:lang w:val="en-US"/>
        </w:rPr>
      </w:pPr>
      <w:r w:rsidRPr="00F93273">
        <w:rPr>
          <w:color w:val="222222"/>
          <w:shd w:val="clear" w:color="auto" w:fill="FFFFFF"/>
          <w:lang w:val="en-US"/>
        </w:rPr>
        <w:t>Ahmed, A. M., Yang, J. B., &amp; Dale, B. G. (2003). Self-assessment methodology: The route to business excellence. </w:t>
      </w:r>
      <w:r w:rsidRPr="00F93273">
        <w:rPr>
          <w:i/>
          <w:iCs/>
          <w:color w:val="222222"/>
          <w:shd w:val="clear" w:color="auto" w:fill="FFFFFF"/>
          <w:lang w:val="en-US"/>
        </w:rPr>
        <w:t>Quality Management Journal</w:t>
      </w:r>
      <w:r w:rsidRPr="00F93273">
        <w:rPr>
          <w:color w:val="222222"/>
          <w:shd w:val="clear" w:color="auto" w:fill="FFFFFF"/>
          <w:lang w:val="en-US"/>
        </w:rPr>
        <w:t>, </w:t>
      </w:r>
      <w:r w:rsidRPr="00F93273">
        <w:rPr>
          <w:i/>
          <w:iCs/>
          <w:color w:val="222222"/>
          <w:shd w:val="clear" w:color="auto" w:fill="FFFFFF"/>
          <w:lang w:val="en-US"/>
        </w:rPr>
        <w:t>10</w:t>
      </w:r>
      <w:r w:rsidRPr="00F93273">
        <w:rPr>
          <w:color w:val="222222"/>
          <w:shd w:val="clear" w:color="auto" w:fill="FFFFFF"/>
          <w:lang w:val="en-US"/>
        </w:rPr>
        <w:t>(1), 43-57.</w:t>
      </w:r>
    </w:p>
    <w:p w14:paraId="0B7DFEB0" w14:textId="77777777" w:rsidR="00EF0357" w:rsidRPr="00F93273" w:rsidRDefault="00EF0357" w:rsidP="00F93273">
      <w:pPr>
        <w:spacing w:line="360" w:lineRule="auto"/>
        <w:ind w:left="567" w:hanging="567"/>
        <w:jc w:val="both"/>
        <w:rPr>
          <w:rFonts w:eastAsia="SimSun"/>
          <w:lang w:val="en-US" w:eastAsia="zh-CN" w:bidi="ar"/>
        </w:rPr>
      </w:pPr>
      <w:r w:rsidRPr="00F93273">
        <w:rPr>
          <w:rFonts w:eastAsia="SimSun"/>
          <w:lang w:val="en-US" w:eastAsia="zh-CN" w:bidi="ar"/>
        </w:rPr>
        <w:t xml:space="preserve">Almanasreh, E., Moles, R. and Chen, T. F. (2019). Evaluation of methods used for estimating content validity. </w:t>
      </w:r>
      <w:r w:rsidRPr="00F93273">
        <w:rPr>
          <w:rFonts w:eastAsia="TimesNewRomanPS-ItalicMT"/>
          <w:i/>
          <w:iCs/>
          <w:lang w:val="en-US" w:eastAsia="zh-CN" w:bidi="ar"/>
        </w:rPr>
        <w:t>Research in Social and Administrative Pharmacy</w:t>
      </w:r>
      <w:r w:rsidRPr="00F93273">
        <w:rPr>
          <w:rFonts w:eastAsia="SimSun"/>
          <w:lang w:val="en-US" w:eastAsia="zh-CN" w:bidi="ar"/>
        </w:rPr>
        <w:t xml:space="preserve">, </w:t>
      </w:r>
      <w:r w:rsidRPr="00F93273">
        <w:rPr>
          <w:rFonts w:eastAsia="TimesNewRomanPS-ItalicMT"/>
          <w:i/>
          <w:iCs/>
          <w:lang w:val="en-US" w:eastAsia="zh-CN" w:bidi="ar"/>
        </w:rPr>
        <w:t>15</w:t>
      </w:r>
      <w:r w:rsidRPr="00F93273">
        <w:rPr>
          <w:rFonts w:eastAsia="SimSun"/>
          <w:lang w:val="en-US" w:eastAsia="zh-CN" w:bidi="ar"/>
        </w:rPr>
        <w:t xml:space="preserve">(2), 214–221. </w:t>
      </w:r>
      <w:hyperlink r:id="rId10" w:history="1">
        <w:r w:rsidRPr="00F93273">
          <w:rPr>
            <w:rStyle w:val="Hipervnculo"/>
            <w:rFonts w:eastAsia="SimSun"/>
            <w:color w:val="auto"/>
            <w:lang w:val="en-US" w:eastAsia="zh-CN" w:bidi="ar"/>
          </w:rPr>
          <w:t>https://doi.org/10.1016/j.sapharm.2018.03.066.</w:t>
        </w:r>
      </w:hyperlink>
    </w:p>
    <w:p w14:paraId="7BA04E78" w14:textId="77777777" w:rsidR="00EF0357" w:rsidRPr="00F93273" w:rsidRDefault="00EF0357" w:rsidP="00F93273">
      <w:pPr>
        <w:spacing w:line="360" w:lineRule="auto"/>
        <w:ind w:left="567" w:hanging="567"/>
        <w:jc w:val="both"/>
        <w:rPr>
          <w:lang w:val="it-IT"/>
        </w:rPr>
      </w:pPr>
      <w:r w:rsidRPr="00F93273">
        <w:rPr>
          <w:color w:val="222222"/>
          <w:shd w:val="clear" w:color="auto" w:fill="FFFFFF"/>
        </w:rPr>
        <w:t xml:space="preserve">Aravindh, K. L., &amp; Ganesan, R. (2011). </w:t>
      </w:r>
      <w:r w:rsidRPr="00F93273">
        <w:rPr>
          <w:color w:val="222222"/>
          <w:shd w:val="clear" w:color="auto" w:fill="FFFFFF"/>
          <w:lang w:val="en-US"/>
        </w:rPr>
        <w:t>Influence of e-business in SME’s supply chain management: a status review. </w:t>
      </w:r>
      <w:r w:rsidRPr="00F93273">
        <w:rPr>
          <w:i/>
          <w:iCs/>
          <w:color w:val="222222"/>
          <w:shd w:val="clear" w:color="auto" w:fill="FFFFFF"/>
          <w:lang w:val="en-US"/>
        </w:rPr>
        <w:t>European Journal of Social Sciences</w:t>
      </w:r>
      <w:r w:rsidRPr="00F93273">
        <w:rPr>
          <w:color w:val="222222"/>
          <w:shd w:val="clear" w:color="auto" w:fill="FFFFFF"/>
          <w:lang w:val="en-US"/>
        </w:rPr>
        <w:t>, </w:t>
      </w:r>
      <w:r w:rsidRPr="00F93273">
        <w:rPr>
          <w:i/>
          <w:iCs/>
          <w:color w:val="222222"/>
          <w:shd w:val="clear" w:color="auto" w:fill="FFFFFF"/>
          <w:lang w:val="en-US"/>
        </w:rPr>
        <w:t>23</w:t>
      </w:r>
      <w:r w:rsidRPr="00F93273">
        <w:rPr>
          <w:color w:val="222222"/>
          <w:shd w:val="clear" w:color="auto" w:fill="FFFFFF"/>
          <w:lang w:val="en-US"/>
        </w:rPr>
        <w:t>(3), 493-501.</w:t>
      </w:r>
    </w:p>
    <w:p w14:paraId="4FEF5C10" w14:textId="77777777" w:rsidR="00EF0357" w:rsidRPr="00F93273" w:rsidRDefault="00EF0357" w:rsidP="00F93273">
      <w:pPr>
        <w:spacing w:line="360" w:lineRule="auto"/>
        <w:ind w:left="567" w:hanging="567"/>
        <w:jc w:val="both"/>
        <w:rPr>
          <w:lang w:val="en-US"/>
        </w:rPr>
      </w:pPr>
      <w:r w:rsidRPr="00F93273">
        <w:rPr>
          <w:lang w:val="it-IT"/>
        </w:rPr>
        <w:t xml:space="preserve">Baryannis, G., Validi, S., Dani, S., &amp; Antoniou, G. (2019). </w:t>
      </w:r>
      <w:r w:rsidRPr="00F93273">
        <w:rPr>
          <w:lang w:val="en-US"/>
        </w:rPr>
        <w:t xml:space="preserve">Supply Chain Risk Management and Artificial Intelligence: State of the Art and Future Research Directions. </w:t>
      </w:r>
      <w:r w:rsidRPr="00F93273">
        <w:rPr>
          <w:i/>
          <w:lang w:val="en-US"/>
        </w:rPr>
        <w:t>International Journal of Production Research</w:t>
      </w:r>
      <w:r w:rsidRPr="00F93273">
        <w:rPr>
          <w:lang w:val="en-US"/>
        </w:rPr>
        <w:t>,</w:t>
      </w:r>
      <w:r w:rsidRPr="00F93273">
        <w:rPr>
          <w:i/>
          <w:lang w:val="en-US"/>
        </w:rPr>
        <w:t xml:space="preserve"> 57</w:t>
      </w:r>
      <w:r w:rsidRPr="00F93273">
        <w:rPr>
          <w:lang w:val="en-US"/>
        </w:rPr>
        <w:t xml:space="preserve">(7), 2179-2202. </w:t>
      </w:r>
      <w:hyperlink r:id="rId11" w:history="1">
        <w:r w:rsidRPr="00F93273">
          <w:rPr>
            <w:rStyle w:val="Hipervnculo"/>
            <w:color w:val="auto"/>
            <w:lang w:val="en-US"/>
          </w:rPr>
          <w:t>https://doi.org/10.1080/00207543.2018.1530476</w:t>
        </w:r>
      </w:hyperlink>
      <w:r w:rsidRPr="00F93273">
        <w:rPr>
          <w:lang w:val="en-US"/>
        </w:rPr>
        <w:t xml:space="preserve"> </w:t>
      </w:r>
    </w:p>
    <w:p w14:paraId="2CAB9F11" w14:textId="77777777" w:rsidR="00EF0357" w:rsidRPr="00F93273" w:rsidRDefault="00EF0357" w:rsidP="00F93273">
      <w:pPr>
        <w:spacing w:line="360" w:lineRule="auto"/>
        <w:ind w:left="567" w:hanging="567"/>
        <w:jc w:val="both"/>
        <w:rPr>
          <w:rStyle w:val="Hipervnculo"/>
          <w:color w:val="auto"/>
          <w:lang w:val="en-US"/>
        </w:rPr>
      </w:pPr>
      <w:r w:rsidRPr="00F93273">
        <w:rPr>
          <w:lang w:val="en-US"/>
        </w:rPr>
        <w:t xml:space="preserve">Belhadi, A., Kamble, S., Jabbour, C., Gunasekaran, A., Ndubisi, N., &amp; Venkatesh, M. (2021). Manufacturing and service supply chain resilience to the COVID-19 outbreak: lessons learned from the automobile and airline industries. </w:t>
      </w:r>
      <w:r w:rsidRPr="00F93273">
        <w:rPr>
          <w:i/>
          <w:lang w:val="en-US"/>
        </w:rPr>
        <w:t>Technological Forecasting and Social Change</w:t>
      </w:r>
      <w:r w:rsidRPr="00F93273">
        <w:rPr>
          <w:lang w:val="en-US"/>
        </w:rPr>
        <w:t>,</w:t>
      </w:r>
      <w:r w:rsidRPr="00F93273">
        <w:rPr>
          <w:i/>
          <w:lang w:val="en-US"/>
        </w:rPr>
        <w:t xml:space="preserve"> 163</w:t>
      </w:r>
      <w:r w:rsidRPr="00F93273">
        <w:rPr>
          <w:lang w:val="en-US"/>
        </w:rPr>
        <w:t xml:space="preserve">(1). </w:t>
      </w:r>
      <w:hyperlink r:id="rId12" w:history="1">
        <w:r w:rsidRPr="00F93273">
          <w:rPr>
            <w:rStyle w:val="Hipervnculo"/>
            <w:color w:val="auto"/>
            <w:lang w:val="en-US"/>
          </w:rPr>
          <w:t>https://doi.org/10.1016/j.techfore.2020.120447</w:t>
        </w:r>
      </w:hyperlink>
      <w:r w:rsidRPr="00F93273">
        <w:rPr>
          <w:rStyle w:val="Hipervnculo"/>
          <w:color w:val="auto"/>
          <w:lang w:val="en-US"/>
        </w:rPr>
        <w:t>.</w:t>
      </w:r>
    </w:p>
    <w:p w14:paraId="4F020D11" w14:textId="77777777" w:rsidR="00EF0357" w:rsidRPr="00F93273" w:rsidRDefault="00EF0357" w:rsidP="00F93273">
      <w:pPr>
        <w:spacing w:line="360" w:lineRule="auto"/>
        <w:ind w:left="567" w:hanging="567"/>
        <w:jc w:val="both"/>
      </w:pPr>
      <w:r w:rsidRPr="00F93273">
        <w:rPr>
          <w:color w:val="222222"/>
          <w:shd w:val="clear" w:color="auto" w:fill="FFFFFF"/>
          <w:lang w:val="en-US"/>
        </w:rPr>
        <w:t>Bughin, J., Chui, M., &amp; Manyika, J. (2010). Clouds, big data, and smart assets: Ten tech-enabled business trends to watch. </w:t>
      </w:r>
      <w:r w:rsidRPr="00F93273">
        <w:rPr>
          <w:i/>
          <w:iCs/>
          <w:color w:val="222222"/>
          <w:shd w:val="clear" w:color="auto" w:fill="FFFFFF"/>
        </w:rPr>
        <w:t>McKinsey quarterly</w:t>
      </w:r>
      <w:r w:rsidRPr="00F93273">
        <w:rPr>
          <w:color w:val="222222"/>
          <w:shd w:val="clear" w:color="auto" w:fill="FFFFFF"/>
        </w:rPr>
        <w:t>, </w:t>
      </w:r>
      <w:r w:rsidRPr="00F93273">
        <w:rPr>
          <w:i/>
          <w:iCs/>
          <w:color w:val="222222"/>
          <w:shd w:val="clear" w:color="auto" w:fill="FFFFFF"/>
        </w:rPr>
        <w:t>56</w:t>
      </w:r>
      <w:r w:rsidRPr="00F93273">
        <w:rPr>
          <w:color w:val="222222"/>
          <w:shd w:val="clear" w:color="auto" w:fill="FFFFFF"/>
        </w:rPr>
        <w:t xml:space="preserve">(1), 75-86. </w:t>
      </w:r>
    </w:p>
    <w:p w14:paraId="1CBC205E" w14:textId="77777777" w:rsidR="00EF0357" w:rsidRPr="00F93273" w:rsidRDefault="00EF0357" w:rsidP="00F93273">
      <w:pPr>
        <w:spacing w:line="360" w:lineRule="auto"/>
        <w:ind w:left="567" w:hanging="567"/>
        <w:jc w:val="both"/>
        <w:rPr>
          <w:rStyle w:val="Hipervnculo"/>
          <w:color w:val="auto"/>
        </w:rPr>
      </w:pPr>
      <w:r w:rsidRPr="00F93273">
        <w:rPr>
          <w:color w:val="222222"/>
          <w:shd w:val="clear" w:color="auto" w:fill="FFFFFF"/>
        </w:rPr>
        <w:t>Cámara Nacional de Industriales de la Leche (Canilec). (2022). Estadísticas del Sector Lácteo 2011-2021. </w:t>
      </w:r>
      <w:r w:rsidRPr="00F93273">
        <w:rPr>
          <w:i/>
          <w:iCs/>
          <w:color w:val="222222"/>
          <w:shd w:val="clear" w:color="auto" w:fill="FFFFFF"/>
        </w:rPr>
        <w:t>Canilec</w:t>
      </w:r>
      <w:r w:rsidRPr="00F93273">
        <w:rPr>
          <w:color w:val="222222"/>
          <w:shd w:val="clear" w:color="auto" w:fill="FFFFFF"/>
        </w:rPr>
        <w:t xml:space="preserve">. </w:t>
      </w:r>
      <w:hyperlink r:id="rId13" w:history="1">
        <w:r w:rsidRPr="00F93273">
          <w:rPr>
            <w:rStyle w:val="Hipervnculo"/>
            <w:shd w:val="clear" w:color="auto" w:fill="FFFFFF"/>
          </w:rPr>
          <w:t>https://www.canilec.org.mx/wp-content/uploads/2022/12/Compendio_Sector_Lacteo_-2011-2022-act202205.pdf</w:t>
        </w:r>
      </w:hyperlink>
      <w:r w:rsidRPr="00F93273">
        <w:rPr>
          <w:color w:val="222222"/>
          <w:shd w:val="clear" w:color="auto" w:fill="FFFFFF"/>
        </w:rPr>
        <w:t xml:space="preserve"> </w:t>
      </w:r>
    </w:p>
    <w:p w14:paraId="78326BCB" w14:textId="77777777" w:rsidR="00EF0357" w:rsidRPr="00F93273" w:rsidRDefault="00EF0357" w:rsidP="00F93273">
      <w:pPr>
        <w:spacing w:line="360" w:lineRule="auto"/>
        <w:ind w:left="567" w:hanging="567"/>
        <w:jc w:val="both"/>
        <w:rPr>
          <w:rStyle w:val="Hipervnculo"/>
          <w:color w:val="auto"/>
          <w:lang w:val="en-US"/>
        </w:rPr>
      </w:pPr>
      <w:r w:rsidRPr="00F93273">
        <w:rPr>
          <w:lang w:val="en-US"/>
        </w:rPr>
        <w:t xml:space="preserve">Cooper, M., Lambert, D., &amp; Pagh, J. (1997). Supply Chain Management: more than a New Name for Logistics. </w:t>
      </w:r>
      <w:r w:rsidRPr="00F93273">
        <w:rPr>
          <w:i/>
          <w:lang w:val="en-US"/>
        </w:rPr>
        <w:t>The International Journal of Logistics Management</w:t>
      </w:r>
      <w:r w:rsidRPr="00F93273">
        <w:rPr>
          <w:lang w:val="en-US"/>
        </w:rPr>
        <w:t>,</w:t>
      </w:r>
      <w:r w:rsidRPr="00F93273">
        <w:rPr>
          <w:i/>
          <w:lang w:val="en-US"/>
        </w:rPr>
        <w:t xml:space="preserve"> 8</w:t>
      </w:r>
      <w:r w:rsidRPr="00F93273">
        <w:rPr>
          <w:lang w:val="en-US"/>
        </w:rPr>
        <w:t xml:space="preserve">(1), 1-14. </w:t>
      </w:r>
      <w:hyperlink r:id="rId14" w:history="1">
        <w:r w:rsidRPr="00F93273">
          <w:rPr>
            <w:rStyle w:val="Hipervnculo"/>
            <w:color w:val="auto"/>
            <w:lang w:val="en-US"/>
          </w:rPr>
          <w:t>https://doi.org/https://doi-org.pbidi.unam.mx:2443/10.1108/09574099710805556</w:t>
        </w:r>
      </w:hyperlink>
      <w:r w:rsidRPr="00F93273">
        <w:rPr>
          <w:rStyle w:val="Hipervnculo"/>
          <w:color w:val="auto"/>
          <w:lang w:val="en-US"/>
        </w:rPr>
        <w:t>.</w:t>
      </w:r>
    </w:p>
    <w:p w14:paraId="415E4D0C" w14:textId="77777777" w:rsidR="00EF0357" w:rsidRPr="00F93273" w:rsidRDefault="00EF0357" w:rsidP="00F93273">
      <w:pPr>
        <w:spacing w:line="360" w:lineRule="auto"/>
        <w:ind w:left="567" w:hanging="567"/>
        <w:jc w:val="both"/>
        <w:rPr>
          <w:rFonts w:eastAsia="SimSun"/>
          <w:shd w:val="clear" w:color="auto" w:fill="FFFFFF"/>
          <w:lang w:val="en-US"/>
        </w:rPr>
      </w:pPr>
      <w:r w:rsidRPr="00F93273">
        <w:rPr>
          <w:color w:val="222222"/>
          <w:shd w:val="clear" w:color="auto" w:fill="FFFFFF"/>
        </w:rPr>
        <w:lastRenderedPageBreak/>
        <w:t>Drucker, P. (2004). La disciplina de la innovación. </w:t>
      </w:r>
      <w:r w:rsidRPr="00F93273">
        <w:rPr>
          <w:i/>
          <w:iCs/>
          <w:color w:val="222222"/>
          <w:shd w:val="clear" w:color="auto" w:fill="FFFFFF"/>
          <w:lang w:val="en-US"/>
        </w:rPr>
        <w:t>Harvard business review</w:t>
      </w:r>
      <w:r w:rsidRPr="00F93273">
        <w:rPr>
          <w:color w:val="222222"/>
          <w:shd w:val="clear" w:color="auto" w:fill="FFFFFF"/>
          <w:lang w:val="en-US"/>
        </w:rPr>
        <w:t>, </w:t>
      </w:r>
      <w:r w:rsidRPr="00F93273">
        <w:rPr>
          <w:i/>
          <w:iCs/>
          <w:color w:val="222222"/>
          <w:shd w:val="clear" w:color="auto" w:fill="FFFFFF"/>
          <w:lang w:val="en-US"/>
        </w:rPr>
        <w:t>82</w:t>
      </w:r>
      <w:r w:rsidRPr="00F93273">
        <w:rPr>
          <w:color w:val="222222"/>
          <w:shd w:val="clear" w:color="auto" w:fill="FFFFFF"/>
          <w:lang w:val="en-US"/>
        </w:rPr>
        <w:t>(8), 3-7.</w:t>
      </w:r>
    </w:p>
    <w:p w14:paraId="59BE9A67" w14:textId="77777777" w:rsidR="00EF0357" w:rsidRPr="00F93273" w:rsidRDefault="00EF0357" w:rsidP="00F93273">
      <w:pPr>
        <w:spacing w:line="360" w:lineRule="auto"/>
        <w:ind w:left="567" w:hanging="567"/>
        <w:jc w:val="both"/>
        <w:rPr>
          <w:lang w:val="en-US"/>
        </w:rPr>
      </w:pPr>
      <w:r w:rsidRPr="00F93273">
        <w:rPr>
          <w:color w:val="222222"/>
          <w:shd w:val="clear" w:color="auto" w:fill="FFFFFF"/>
          <w:lang w:val="en-US"/>
        </w:rPr>
        <w:t>E Porter, M. (1998). Competitive strategy: Techniques for analyzing industries and competitors.</w:t>
      </w:r>
    </w:p>
    <w:p w14:paraId="0036417B" w14:textId="77777777" w:rsidR="00EF0357" w:rsidRPr="00F93273" w:rsidRDefault="00EF0357" w:rsidP="00F93273">
      <w:pPr>
        <w:spacing w:line="360" w:lineRule="auto"/>
        <w:ind w:left="567" w:hanging="567"/>
        <w:jc w:val="both"/>
        <w:rPr>
          <w:color w:val="222222"/>
          <w:shd w:val="clear" w:color="auto" w:fill="FFFFFF"/>
        </w:rPr>
      </w:pPr>
      <w:r w:rsidRPr="00F93273">
        <w:rPr>
          <w:color w:val="222222"/>
          <w:shd w:val="clear" w:color="auto" w:fill="FFFFFF"/>
        </w:rPr>
        <w:t>Escobar-Pérez, J., &amp; Cuervo-Martínez, Á. (2008). VALIDEZ DE CONTENIDO Y JUICIO DE EXPERTOS: UNA APROXIMACIÓN A SU UTILIZACIÓN. </w:t>
      </w:r>
      <w:r w:rsidRPr="00F93273">
        <w:rPr>
          <w:i/>
          <w:iCs/>
          <w:color w:val="222222"/>
          <w:shd w:val="clear" w:color="auto" w:fill="FFFFFF"/>
        </w:rPr>
        <w:t>Avances en Medición</w:t>
      </w:r>
      <w:r w:rsidRPr="00F93273">
        <w:rPr>
          <w:color w:val="222222"/>
          <w:shd w:val="clear" w:color="auto" w:fill="FFFFFF"/>
        </w:rPr>
        <w:t>, </w:t>
      </w:r>
      <w:r w:rsidRPr="00F93273">
        <w:rPr>
          <w:i/>
          <w:iCs/>
          <w:color w:val="222222"/>
          <w:shd w:val="clear" w:color="auto" w:fill="FFFFFF"/>
        </w:rPr>
        <w:t>6</w:t>
      </w:r>
      <w:r w:rsidRPr="00F93273">
        <w:rPr>
          <w:color w:val="222222"/>
          <w:shd w:val="clear" w:color="auto" w:fill="FFFFFF"/>
        </w:rPr>
        <w:t>, 27-36.</w:t>
      </w:r>
    </w:p>
    <w:p w14:paraId="3C7AB9EA" w14:textId="77777777" w:rsidR="00EF0357" w:rsidRPr="00F93273" w:rsidRDefault="00EF0357" w:rsidP="00F93273">
      <w:pPr>
        <w:spacing w:line="360" w:lineRule="auto"/>
        <w:ind w:left="567" w:hanging="567"/>
        <w:jc w:val="both"/>
      </w:pPr>
      <w:r w:rsidRPr="00F93273">
        <w:t xml:space="preserve">Esser, Klaus &amp; Hillebrand, Wolfgang &amp; Messner, Dirk &amp; Meyer-Stamer, Jörg, 1996. </w:t>
      </w:r>
      <w:r w:rsidRPr="00F93273">
        <w:rPr>
          <w:u w:val="single"/>
        </w:rPr>
        <w:t>"</w:t>
      </w:r>
      <w:hyperlink r:id="rId15" w:history="1">
        <w:r w:rsidRPr="00F93273">
          <w:rPr>
            <w:u w:val="single"/>
          </w:rPr>
          <w:t>Competitividad sistémica: nuevo desafío para las empresas y la política</w:t>
        </w:r>
      </w:hyperlink>
      <w:r w:rsidRPr="00F93273">
        <w:t xml:space="preserve">," </w:t>
      </w:r>
      <w:hyperlink r:id="rId16" w:history="1">
        <w:r w:rsidRPr="00F93273">
          <w:t>Revista CEPAL</w:t>
        </w:r>
      </w:hyperlink>
      <w:r w:rsidRPr="00F93273">
        <w:t>, Naciones Unidas Comisión Económica para América Latina y el Caribe (CEPAL), August.</w:t>
      </w:r>
    </w:p>
    <w:p w14:paraId="4B3B229F" w14:textId="77777777" w:rsidR="00EF0357" w:rsidRPr="00F93273" w:rsidRDefault="00EF0357" w:rsidP="00F93273">
      <w:pPr>
        <w:spacing w:line="360" w:lineRule="auto"/>
        <w:ind w:left="567" w:hanging="567"/>
        <w:jc w:val="both"/>
        <w:rPr>
          <w:lang w:val="en-US"/>
        </w:rPr>
      </w:pPr>
      <w:r w:rsidRPr="00F93273">
        <w:rPr>
          <w:lang w:val="en-US"/>
        </w:rPr>
        <w:t>Fatorachian, H., &amp; Kazemi, H. (2021). Impact of Industry 4.0 on supply chain performance. </w:t>
      </w:r>
      <w:r w:rsidRPr="00F93273">
        <w:rPr>
          <w:i/>
          <w:lang w:val="en-US"/>
        </w:rPr>
        <w:t>Production Planning &amp; Control</w:t>
      </w:r>
      <w:r w:rsidRPr="00F93273">
        <w:rPr>
          <w:lang w:val="en-US"/>
        </w:rPr>
        <w:t xml:space="preserve">, 32 (1), 63–81. </w:t>
      </w:r>
      <w:hyperlink r:id="rId17" w:history="1">
        <w:r w:rsidRPr="00F93273">
          <w:rPr>
            <w:rStyle w:val="Hipervnculo"/>
            <w:lang w:val="en-US"/>
          </w:rPr>
          <w:t>https://doi.org/10.1080/09537287.2020.1712487</w:t>
        </w:r>
      </w:hyperlink>
    </w:p>
    <w:p w14:paraId="36AC031B" w14:textId="77777777" w:rsidR="00EF0357" w:rsidRPr="00F93273" w:rsidRDefault="00EF0357" w:rsidP="00F93273">
      <w:pPr>
        <w:spacing w:line="360" w:lineRule="auto"/>
        <w:ind w:left="567" w:hanging="567"/>
        <w:jc w:val="both"/>
        <w:rPr>
          <w:lang w:val="en-US"/>
        </w:rPr>
      </w:pPr>
      <w:r w:rsidRPr="00F93273">
        <w:rPr>
          <w:color w:val="222222"/>
          <w:shd w:val="clear" w:color="auto" w:fill="FFFFFF"/>
          <w:lang w:val="en-US"/>
        </w:rPr>
        <w:t>Flynn, B. B., Huo, B., &amp; Zhao, X. (2010). The impact of supply chain integration on performance: A contingency and configuration approach. </w:t>
      </w:r>
      <w:r w:rsidRPr="00F93273">
        <w:rPr>
          <w:i/>
          <w:iCs/>
          <w:color w:val="222222"/>
          <w:shd w:val="clear" w:color="auto" w:fill="FFFFFF"/>
          <w:lang w:val="en-US"/>
        </w:rPr>
        <w:t>Journal of operations management</w:t>
      </w:r>
      <w:r w:rsidRPr="00F93273">
        <w:rPr>
          <w:color w:val="222222"/>
          <w:shd w:val="clear" w:color="auto" w:fill="FFFFFF"/>
          <w:lang w:val="en-US"/>
        </w:rPr>
        <w:t>, </w:t>
      </w:r>
      <w:r w:rsidRPr="00F93273">
        <w:rPr>
          <w:i/>
          <w:iCs/>
          <w:color w:val="222222"/>
          <w:shd w:val="clear" w:color="auto" w:fill="FFFFFF"/>
          <w:lang w:val="en-US"/>
        </w:rPr>
        <w:t>28</w:t>
      </w:r>
      <w:r w:rsidRPr="00F93273">
        <w:rPr>
          <w:color w:val="222222"/>
          <w:shd w:val="clear" w:color="auto" w:fill="FFFFFF"/>
          <w:lang w:val="en-US"/>
        </w:rPr>
        <w:t>(1), 58-71.</w:t>
      </w:r>
    </w:p>
    <w:p w14:paraId="7FFFF860" w14:textId="77777777" w:rsidR="00EF0357" w:rsidRPr="00F93273" w:rsidRDefault="00EF0357" w:rsidP="00F93273">
      <w:pPr>
        <w:spacing w:line="360" w:lineRule="auto"/>
        <w:ind w:left="567" w:hanging="567"/>
        <w:jc w:val="both"/>
        <w:rPr>
          <w:color w:val="222222"/>
          <w:shd w:val="clear" w:color="auto" w:fill="FFFFFF"/>
          <w:lang w:val="en-US"/>
        </w:rPr>
      </w:pPr>
      <w:r w:rsidRPr="00F93273">
        <w:rPr>
          <w:color w:val="222222"/>
          <w:shd w:val="clear" w:color="auto" w:fill="FFFFFF"/>
          <w:lang w:val="en-US"/>
        </w:rPr>
        <w:t>Guillot-Valdés, M., Guillén-Riquelme, A., &amp; Buela-Casal, G. (2022). Content validity through expert judgment for the Depression Clinical Evaluation Test. </w:t>
      </w:r>
      <w:r w:rsidRPr="00F93273">
        <w:rPr>
          <w:i/>
          <w:iCs/>
          <w:color w:val="222222"/>
          <w:shd w:val="clear" w:color="auto" w:fill="FFFFFF"/>
          <w:lang w:val="en-US"/>
        </w:rPr>
        <w:t>International Journal of Clinical and Health Psychology</w:t>
      </w:r>
      <w:r w:rsidRPr="00F93273">
        <w:rPr>
          <w:color w:val="222222"/>
          <w:shd w:val="clear" w:color="auto" w:fill="FFFFFF"/>
          <w:lang w:val="en-US"/>
        </w:rPr>
        <w:t>, </w:t>
      </w:r>
      <w:r w:rsidRPr="00F93273">
        <w:rPr>
          <w:i/>
          <w:iCs/>
          <w:color w:val="222222"/>
          <w:shd w:val="clear" w:color="auto" w:fill="FFFFFF"/>
          <w:lang w:val="en-US"/>
        </w:rPr>
        <w:t>22</w:t>
      </w:r>
      <w:r w:rsidRPr="00F93273">
        <w:rPr>
          <w:color w:val="222222"/>
          <w:shd w:val="clear" w:color="auto" w:fill="FFFFFF"/>
          <w:lang w:val="en-US"/>
        </w:rPr>
        <w:t>(2), 100292.</w:t>
      </w:r>
    </w:p>
    <w:p w14:paraId="19E8655A" w14:textId="77777777" w:rsidR="00EF0357" w:rsidRPr="00F93273" w:rsidRDefault="00EF0357" w:rsidP="00F93273">
      <w:pPr>
        <w:spacing w:line="360" w:lineRule="auto"/>
        <w:ind w:left="567" w:hanging="567"/>
        <w:jc w:val="both"/>
      </w:pPr>
      <w:bookmarkStart w:id="8" w:name="_ENREF_37"/>
      <w:r w:rsidRPr="00F93273">
        <w:rPr>
          <w:lang w:val="en-US"/>
        </w:rPr>
        <w:t xml:space="preserve">Hamsioglu, A. (2011). Market orientation, quality orientation and business performance relationship: A study in pharmaceutical industry. </w:t>
      </w:r>
      <w:r w:rsidRPr="00F93273">
        <w:rPr>
          <w:i/>
        </w:rPr>
        <w:t>Ege Academic Review</w:t>
      </w:r>
      <w:r w:rsidRPr="00F93273">
        <w:rPr>
          <w:iCs/>
        </w:rPr>
        <w:t>,</w:t>
      </w:r>
      <w:r w:rsidRPr="00F93273">
        <w:rPr>
          <w:i/>
        </w:rPr>
        <w:t xml:space="preserve"> 11</w:t>
      </w:r>
      <w:r w:rsidRPr="00F93273">
        <w:t xml:space="preserve">(1), 91-101. </w:t>
      </w:r>
      <w:bookmarkEnd w:id="8"/>
    </w:p>
    <w:p w14:paraId="0384E585" w14:textId="77777777" w:rsidR="00EF0357" w:rsidRPr="00F93273" w:rsidRDefault="00EF0357" w:rsidP="00F93273">
      <w:pPr>
        <w:spacing w:line="360" w:lineRule="auto"/>
        <w:ind w:left="567" w:hanging="567"/>
        <w:jc w:val="both"/>
        <w:rPr>
          <w:color w:val="222222"/>
          <w:shd w:val="clear" w:color="auto" w:fill="FFFFFF"/>
        </w:rPr>
      </w:pPr>
      <w:r w:rsidRPr="00F93273">
        <w:rPr>
          <w:color w:val="222222"/>
          <w:shd w:val="clear" w:color="auto" w:fill="FFFFFF"/>
        </w:rPr>
        <w:t>Hidalgo Nuchera, A.; Serrano León, G.; Pavón Morote, J.(2002) LA GESTIÓN DE LA INNOVACIÓN Y LA TECNOLOGÍA EN LAS ORGANIZACIONES. Pirámide, Madrid. Revista madri+ d. Monografía: revista de investigación en gestión de la innovación y tecnología, (5), 161-162. https://dialnet.unirioja.es/servlet/libro?codigo=100690</w:t>
      </w:r>
    </w:p>
    <w:p w14:paraId="1C65DF28" w14:textId="77777777" w:rsidR="00EF0357" w:rsidRPr="00F93273" w:rsidRDefault="00EF0357" w:rsidP="00F93273">
      <w:pPr>
        <w:spacing w:line="360" w:lineRule="auto"/>
        <w:ind w:left="567" w:hanging="567"/>
        <w:jc w:val="both"/>
        <w:rPr>
          <w:lang w:val="en-US"/>
        </w:rPr>
      </w:pPr>
      <w:bookmarkStart w:id="9" w:name="_ENREF_46"/>
      <w:r w:rsidRPr="00F93273">
        <w:t xml:space="preserve">Kafetzopoulos, D., Vouzas, F., &amp; Skalkos, D. (2020). </w:t>
      </w:r>
      <w:r w:rsidRPr="00F93273">
        <w:rPr>
          <w:lang w:val="en-US"/>
        </w:rPr>
        <w:t xml:space="preserve">Developing and validating an innovation drivers' measurement instrument in the agri-food sector. </w:t>
      </w:r>
      <w:r w:rsidRPr="00F93273">
        <w:rPr>
          <w:i/>
          <w:lang w:val="en-US"/>
        </w:rPr>
        <w:t>British Food Journal</w:t>
      </w:r>
      <w:bookmarkEnd w:id="9"/>
      <w:r w:rsidRPr="00F93273">
        <w:rPr>
          <w:lang w:val="en-US"/>
        </w:rPr>
        <w:t xml:space="preserve">, </w:t>
      </w:r>
      <w:r w:rsidRPr="00F93273">
        <w:rPr>
          <w:i/>
          <w:iCs/>
          <w:lang w:val="en-US"/>
        </w:rPr>
        <w:t>122</w:t>
      </w:r>
      <w:r w:rsidRPr="00F93273">
        <w:rPr>
          <w:lang w:val="en-US"/>
        </w:rPr>
        <w:t xml:space="preserve">(4), 1199-1214. </w:t>
      </w:r>
      <w:hyperlink r:id="rId18" w:history="1">
        <w:r w:rsidRPr="00F93273">
          <w:rPr>
            <w:rStyle w:val="Hipervnculo"/>
            <w:color w:val="auto"/>
            <w:lang w:val="en-US"/>
          </w:rPr>
          <w:t>https://doi.org/10.1108/BFJ-09-2019-0721.</w:t>
        </w:r>
      </w:hyperlink>
    </w:p>
    <w:p w14:paraId="0B2ED215" w14:textId="77777777" w:rsidR="00EF0357" w:rsidRPr="00F93273" w:rsidRDefault="00EF0357" w:rsidP="00F93273">
      <w:pPr>
        <w:spacing w:line="360" w:lineRule="auto"/>
        <w:ind w:left="567" w:hanging="567"/>
        <w:jc w:val="both"/>
        <w:rPr>
          <w:lang w:val="en-US"/>
        </w:rPr>
      </w:pPr>
      <w:bookmarkStart w:id="10" w:name="_ENREF_54"/>
      <w:r w:rsidRPr="00F93273">
        <w:rPr>
          <w:lang w:val="en-US"/>
        </w:rPr>
        <w:t xml:space="preserve">Lawshe, C. H. (1975). A quantitative approach to content validity. </w:t>
      </w:r>
      <w:r w:rsidRPr="00F93273">
        <w:rPr>
          <w:i/>
          <w:iCs/>
          <w:lang w:val="en-US"/>
        </w:rPr>
        <w:t>Personnel Psychology, 28</w:t>
      </w:r>
      <w:r w:rsidRPr="00F93273">
        <w:rPr>
          <w:lang w:val="en-US"/>
        </w:rPr>
        <w:t>(4), 563–575. https://doi.org/10.1111/j.1744-6570.1975.tb01393.x.</w:t>
      </w:r>
    </w:p>
    <w:p w14:paraId="1E3E2D39" w14:textId="77777777" w:rsidR="00EF0357" w:rsidRPr="00F93273" w:rsidRDefault="00EF0357" w:rsidP="00F93273">
      <w:pPr>
        <w:spacing w:line="360" w:lineRule="auto"/>
        <w:ind w:left="567" w:hanging="567"/>
        <w:jc w:val="both"/>
        <w:rPr>
          <w:lang w:val="en-US"/>
        </w:rPr>
      </w:pPr>
      <w:bookmarkStart w:id="11" w:name="_ENREF_52"/>
      <w:bookmarkEnd w:id="10"/>
      <w:r w:rsidRPr="00F93273">
        <w:lastRenderedPageBreak/>
        <w:t xml:space="preserve">Lugones, E., Gutti., P., &amp; Le Clech, N. (2007). Indicadores de capacidades tecnológicas en América Latina. </w:t>
      </w:r>
      <w:r w:rsidRPr="00F93273">
        <w:rPr>
          <w:i/>
          <w:lang w:val="en-US"/>
        </w:rPr>
        <w:t>CEPAL</w:t>
      </w:r>
      <w:r w:rsidRPr="00F93273">
        <w:rPr>
          <w:lang w:val="en-US"/>
        </w:rPr>
        <w:t>,</w:t>
      </w:r>
      <w:r w:rsidRPr="00F93273">
        <w:rPr>
          <w:i/>
          <w:lang w:val="en-US"/>
        </w:rPr>
        <w:t xml:space="preserve"> 89</w:t>
      </w:r>
      <w:r w:rsidRPr="00F93273">
        <w:rPr>
          <w:lang w:val="en-US"/>
        </w:rPr>
        <w:t xml:space="preserve">. </w:t>
      </w:r>
      <w:bookmarkEnd w:id="11"/>
      <w:r w:rsidRPr="00F93273">
        <w:rPr>
          <w:lang w:val="en-US"/>
        </w:rPr>
        <w:fldChar w:fldCharType="begin"/>
      </w:r>
      <w:r w:rsidRPr="00F93273">
        <w:rPr>
          <w:lang w:val="en-US"/>
        </w:rPr>
        <w:instrText xml:space="preserve"> HYPERLINK "https://www.cepal.org/es/publicaciones/5014-indicadores-capacidades-tecnologicas-america-latina" </w:instrText>
      </w:r>
      <w:r w:rsidRPr="00F93273">
        <w:rPr>
          <w:lang w:val="en-US"/>
        </w:rPr>
      </w:r>
      <w:r w:rsidRPr="00F93273">
        <w:rPr>
          <w:lang w:val="en-US"/>
        </w:rPr>
        <w:fldChar w:fldCharType="separate"/>
      </w:r>
      <w:r w:rsidRPr="00F93273">
        <w:rPr>
          <w:rStyle w:val="Hipervnculo"/>
          <w:lang w:val="en-US"/>
        </w:rPr>
        <w:t>https://www.cepal.org/es/publicaciones/5014-indicadores-capacidades-tecnologicas-america-latina</w:t>
      </w:r>
      <w:r w:rsidRPr="00F93273">
        <w:rPr>
          <w:lang w:val="en-US"/>
        </w:rPr>
        <w:fldChar w:fldCharType="end"/>
      </w:r>
    </w:p>
    <w:p w14:paraId="5259A305" w14:textId="77777777" w:rsidR="00EF0357" w:rsidRPr="00F93273" w:rsidRDefault="00EF0357" w:rsidP="00F93273">
      <w:pPr>
        <w:spacing w:line="360" w:lineRule="auto"/>
        <w:ind w:left="567" w:hanging="567"/>
        <w:jc w:val="both"/>
        <w:rPr>
          <w:rStyle w:val="Hipervnculo"/>
          <w:color w:val="auto"/>
        </w:rPr>
      </w:pPr>
      <w:r w:rsidRPr="00F93273">
        <w:rPr>
          <w:lang w:val="en-US"/>
        </w:rPr>
        <w:t xml:space="preserve">Lynn, M. R. (1986). Determination and quantification of content validity. </w:t>
      </w:r>
      <w:r w:rsidRPr="00F93273">
        <w:rPr>
          <w:i/>
          <w:iCs/>
        </w:rPr>
        <w:t>Nursing Research, 35</w:t>
      </w:r>
      <w:r w:rsidRPr="00F93273">
        <w:t xml:space="preserve">(6), 82–385. </w:t>
      </w:r>
      <w:hyperlink r:id="rId19" w:history="1">
        <w:r w:rsidRPr="00F93273">
          <w:rPr>
            <w:rStyle w:val="Hipervnculo"/>
            <w:color w:val="auto"/>
          </w:rPr>
          <w:t>https://doi.org/10.1097/00006199-198611000-00017.</w:t>
        </w:r>
      </w:hyperlink>
    </w:p>
    <w:p w14:paraId="53CFE350" w14:textId="77777777" w:rsidR="00EF0357" w:rsidRPr="00F93273" w:rsidRDefault="00EF0357" w:rsidP="00F93273">
      <w:pPr>
        <w:spacing w:line="360" w:lineRule="auto"/>
        <w:ind w:left="567" w:hanging="567"/>
        <w:jc w:val="both"/>
        <w:rPr>
          <w:lang w:val="en-US"/>
        </w:rPr>
      </w:pPr>
      <w:r w:rsidRPr="00F93273">
        <w:rPr>
          <w:color w:val="222222"/>
          <w:shd w:val="clear" w:color="auto" w:fill="FFFFFF"/>
        </w:rPr>
        <w:t>Malaver Rodríguez, F., &amp; Vargas Pérez, M. (2013). Formas de innovar y sus implicaciones de política: lecciones de una experiencia. </w:t>
      </w:r>
      <w:r w:rsidRPr="00F93273">
        <w:rPr>
          <w:i/>
          <w:iCs/>
          <w:color w:val="222222"/>
          <w:shd w:val="clear" w:color="auto" w:fill="FFFFFF"/>
          <w:lang w:val="en-US"/>
        </w:rPr>
        <w:t>Cuadernos de Economía</w:t>
      </w:r>
      <w:r w:rsidRPr="00F93273">
        <w:rPr>
          <w:color w:val="222222"/>
          <w:shd w:val="clear" w:color="auto" w:fill="FFFFFF"/>
          <w:lang w:val="en-US"/>
        </w:rPr>
        <w:t>, </w:t>
      </w:r>
      <w:r w:rsidRPr="00F93273">
        <w:rPr>
          <w:i/>
          <w:iCs/>
          <w:color w:val="222222"/>
          <w:shd w:val="clear" w:color="auto" w:fill="FFFFFF"/>
          <w:lang w:val="en-US"/>
        </w:rPr>
        <w:t>32</w:t>
      </w:r>
      <w:r w:rsidRPr="00F93273">
        <w:rPr>
          <w:color w:val="222222"/>
          <w:shd w:val="clear" w:color="auto" w:fill="FFFFFF"/>
          <w:lang w:val="en-US"/>
        </w:rPr>
        <w:t>(60), 499-532.</w:t>
      </w:r>
    </w:p>
    <w:p w14:paraId="69504E80" w14:textId="77777777" w:rsidR="00EF0357" w:rsidRPr="00F93273" w:rsidRDefault="00EF0357" w:rsidP="00F93273">
      <w:pPr>
        <w:spacing w:line="360" w:lineRule="auto"/>
        <w:ind w:left="567" w:hanging="567"/>
        <w:jc w:val="both"/>
      </w:pPr>
      <w:bookmarkStart w:id="12" w:name="_ENREF_59"/>
      <w:r w:rsidRPr="00F93273">
        <w:rPr>
          <w:lang w:val="it-IT"/>
        </w:rPr>
        <w:t xml:space="preserve">Materia, V., Pascucci, S., &amp; Dries, L. (2017). </w:t>
      </w:r>
      <w:r w:rsidRPr="00F93273">
        <w:rPr>
          <w:lang w:val="en-US"/>
        </w:rPr>
        <w:t xml:space="preserve">Are in-house and outsourcing innovation strategies correlated? Evidence from the European agrifood sector. </w:t>
      </w:r>
      <w:r w:rsidRPr="00F93273">
        <w:rPr>
          <w:i/>
          <w:lang w:val="en-US"/>
        </w:rPr>
        <w:t>Journal of Agricultural Economics</w:t>
      </w:r>
      <w:r w:rsidRPr="00F93273">
        <w:rPr>
          <w:lang w:val="en-US"/>
        </w:rPr>
        <w:t>,</w:t>
      </w:r>
      <w:r w:rsidRPr="00F93273">
        <w:rPr>
          <w:i/>
          <w:lang w:val="en-US"/>
        </w:rPr>
        <w:t xml:space="preserve"> 68</w:t>
      </w:r>
      <w:r w:rsidRPr="00F93273">
        <w:rPr>
          <w:lang w:val="en-US"/>
        </w:rPr>
        <w:t xml:space="preserve">(1), 249-258. </w:t>
      </w:r>
      <w:hyperlink r:id="rId20" w:history="1">
        <w:r w:rsidRPr="00F93273">
          <w:rPr>
            <w:rStyle w:val="Hipervnculo"/>
            <w:color w:val="auto"/>
          </w:rPr>
          <w:t>https://doi.org/DOI</w:t>
        </w:r>
      </w:hyperlink>
      <w:r w:rsidRPr="00F93273">
        <w:t>: 10.1111/1477-9552.12206.</w:t>
      </w:r>
    </w:p>
    <w:bookmarkEnd w:id="12"/>
    <w:p w14:paraId="48E0678E" w14:textId="77777777" w:rsidR="00EF0357" w:rsidRPr="00F93273" w:rsidRDefault="00EF0357" w:rsidP="00F93273">
      <w:pPr>
        <w:spacing w:line="360" w:lineRule="auto"/>
        <w:ind w:left="567" w:hanging="567"/>
        <w:jc w:val="both"/>
        <w:rPr>
          <w:lang w:val="en-US"/>
        </w:rPr>
      </w:pPr>
      <w:r w:rsidRPr="00F93273">
        <w:rPr>
          <w:color w:val="222222"/>
          <w:shd w:val="clear" w:color="auto" w:fill="FFFFFF"/>
        </w:rPr>
        <w:t xml:space="preserve">Mentzer, J. T., DeWitt, W., Keebler, J. S., Min, S., Nix, N. W., Smith, C. D., &amp; Zacharia, Z. G. (2001). </w:t>
      </w:r>
      <w:r w:rsidRPr="00F93273">
        <w:rPr>
          <w:color w:val="222222"/>
          <w:shd w:val="clear" w:color="auto" w:fill="FFFFFF"/>
          <w:lang w:val="en-US"/>
        </w:rPr>
        <w:t>Defining supply chain management. </w:t>
      </w:r>
      <w:r w:rsidRPr="00F93273">
        <w:rPr>
          <w:i/>
          <w:iCs/>
          <w:color w:val="222222"/>
          <w:shd w:val="clear" w:color="auto" w:fill="FFFFFF"/>
          <w:lang w:val="en-US"/>
        </w:rPr>
        <w:t>Journal of Business logistics</w:t>
      </w:r>
      <w:r w:rsidRPr="00F93273">
        <w:rPr>
          <w:color w:val="222222"/>
          <w:shd w:val="clear" w:color="auto" w:fill="FFFFFF"/>
          <w:lang w:val="en-US"/>
        </w:rPr>
        <w:t>, </w:t>
      </w:r>
      <w:r w:rsidRPr="00F93273">
        <w:rPr>
          <w:i/>
          <w:iCs/>
          <w:color w:val="222222"/>
          <w:shd w:val="clear" w:color="auto" w:fill="FFFFFF"/>
          <w:lang w:val="en-US"/>
        </w:rPr>
        <w:t>22</w:t>
      </w:r>
      <w:r w:rsidRPr="00F93273">
        <w:rPr>
          <w:color w:val="222222"/>
          <w:shd w:val="clear" w:color="auto" w:fill="FFFFFF"/>
          <w:lang w:val="en-US"/>
        </w:rPr>
        <w:t>(2), 1-25.</w:t>
      </w:r>
    </w:p>
    <w:p w14:paraId="63F1915E" w14:textId="77777777" w:rsidR="00EF0357" w:rsidRPr="00F93273" w:rsidRDefault="00EF0357" w:rsidP="00F93273">
      <w:pPr>
        <w:spacing w:line="360" w:lineRule="auto"/>
        <w:ind w:left="567" w:hanging="567"/>
        <w:jc w:val="both"/>
        <w:rPr>
          <w:lang w:val="en-US"/>
        </w:rPr>
      </w:pPr>
      <w:bookmarkStart w:id="13" w:name="_ENREF_66"/>
      <w:r w:rsidRPr="00F93273">
        <w:rPr>
          <w:lang w:val="en-US"/>
        </w:rPr>
        <w:t xml:space="preserve">Navas, J. E., &amp; Nieto, M. (2003). </w:t>
      </w:r>
      <w:r w:rsidRPr="00F93273">
        <w:t xml:space="preserve">Estrategias de innovación y creación del conocimiento tecnológico en las empresas industriales españolas. </w:t>
      </w:r>
      <w:r w:rsidRPr="00F93273">
        <w:rPr>
          <w:lang w:val="en-US"/>
        </w:rPr>
        <w:t>In. Madrid: Civitas.</w:t>
      </w:r>
      <w:bookmarkEnd w:id="13"/>
    </w:p>
    <w:p w14:paraId="4562BABC" w14:textId="77777777" w:rsidR="00EF0357" w:rsidRPr="00F93273" w:rsidRDefault="00EF0357" w:rsidP="00F93273">
      <w:pPr>
        <w:spacing w:line="360" w:lineRule="auto"/>
        <w:ind w:left="567" w:hanging="567"/>
        <w:jc w:val="both"/>
        <w:rPr>
          <w:lang w:val="en-US"/>
        </w:rPr>
      </w:pPr>
      <w:bookmarkStart w:id="14" w:name="_Hlk224558297"/>
      <w:r w:rsidRPr="00F93273">
        <w:rPr>
          <w:lang w:val="en-US"/>
        </w:rPr>
        <w:t xml:space="preserve">Polit, D., Beck, C., &amp; Owen, S. (2007). </w:t>
      </w:r>
      <w:bookmarkEnd w:id="14"/>
      <w:r w:rsidRPr="00F93273">
        <w:rPr>
          <w:lang w:val="en-US"/>
        </w:rPr>
        <w:t xml:space="preserve">Is the CVI an acceptable indicator of content validity? Appraisal and recommendations. </w:t>
      </w:r>
      <w:r w:rsidRPr="00F93273">
        <w:rPr>
          <w:i/>
          <w:iCs/>
          <w:lang w:val="en-US"/>
        </w:rPr>
        <w:t>Research in nursing &amp; health, 30</w:t>
      </w:r>
      <w:r w:rsidRPr="00F93273">
        <w:rPr>
          <w:lang w:val="en-US"/>
        </w:rPr>
        <w:t>(4), 459-467. https://doi.org/10.1002/nur.20199.</w:t>
      </w:r>
    </w:p>
    <w:p w14:paraId="77A2943D" w14:textId="77777777" w:rsidR="00EF0357" w:rsidRPr="00F93273" w:rsidRDefault="00EF0357" w:rsidP="00F93273">
      <w:pPr>
        <w:spacing w:line="360" w:lineRule="auto"/>
        <w:ind w:left="567" w:hanging="567"/>
        <w:jc w:val="both"/>
        <w:rPr>
          <w:lang w:val="en-US"/>
        </w:rPr>
      </w:pPr>
      <w:r w:rsidRPr="00F93273">
        <w:rPr>
          <w:color w:val="222222"/>
          <w:shd w:val="clear" w:color="auto" w:fill="FFFFFF"/>
        </w:rPr>
        <w:t xml:space="preserve">Priore Moreno, P., Ponte Blanco, B., &amp; Rosillo Camblor, R. (2018). </w:t>
      </w:r>
      <w:r w:rsidRPr="00F93273">
        <w:rPr>
          <w:color w:val="222222"/>
          <w:shd w:val="clear" w:color="auto" w:fill="FFFFFF"/>
          <w:lang w:val="en-US"/>
        </w:rPr>
        <w:t>Applying machine learning to the dynamic selection of replenishment policies in fast-changing supply chain environments. </w:t>
      </w:r>
      <w:r w:rsidRPr="00F93273">
        <w:rPr>
          <w:i/>
          <w:iCs/>
          <w:color w:val="222222"/>
          <w:shd w:val="clear" w:color="auto" w:fill="FFFFFF"/>
          <w:lang w:val="en-US"/>
        </w:rPr>
        <w:t>International Journal of Production Research, 57</w:t>
      </w:r>
      <w:r w:rsidRPr="00F93273">
        <w:rPr>
          <w:color w:val="222222"/>
          <w:shd w:val="clear" w:color="auto" w:fill="FFFFFF"/>
          <w:lang w:val="en-US"/>
        </w:rPr>
        <w:t>.</w:t>
      </w:r>
    </w:p>
    <w:p w14:paraId="331DCF1D" w14:textId="77777777" w:rsidR="00EF0357" w:rsidRPr="00F93273" w:rsidRDefault="00EF0357" w:rsidP="00F93273">
      <w:pPr>
        <w:spacing w:line="360" w:lineRule="auto"/>
        <w:ind w:left="567" w:hanging="567"/>
        <w:jc w:val="both"/>
        <w:rPr>
          <w:lang w:val="en-US"/>
        </w:rPr>
      </w:pPr>
      <w:r w:rsidRPr="00F93273">
        <w:rPr>
          <w:lang w:val="en-US"/>
        </w:rPr>
        <w:t xml:space="preserve">Romero, M., Díaz Costa, E., &amp; Faouzi Nadim, T. (2023). A Review of Lawshe's Method for Calculating Content Validity in the Social Sciences. </w:t>
      </w:r>
      <w:r w:rsidRPr="00F93273">
        <w:rPr>
          <w:i/>
          <w:iCs/>
          <w:lang w:val="en-US"/>
        </w:rPr>
        <w:t>Frontiers in Education, 8</w:t>
      </w:r>
      <w:r w:rsidRPr="00F93273">
        <w:rPr>
          <w:lang w:val="en-US"/>
        </w:rPr>
        <w:t>, 1-8. https://doi.org/10.3389/feduc.2023.1271335.</w:t>
      </w:r>
    </w:p>
    <w:p w14:paraId="199F5531" w14:textId="77777777" w:rsidR="00EF0357" w:rsidRPr="00F93273" w:rsidRDefault="00EF0357" w:rsidP="00F93273">
      <w:pPr>
        <w:spacing w:line="360" w:lineRule="auto"/>
        <w:ind w:left="567" w:hanging="567"/>
        <w:jc w:val="both"/>
      </w:pPr>
      <w:bookmarkStart w:id="15" w:name="_ENREF_83"/>
      <w:r w:rsidRPr="00F93273">
        <w:rPr>
          <w:color w:val="222222"/>
          <w:shd w:val="clear" w:color="auto" w:fill="FFFFFF"/>
          <w:lang w:val="en-US"/>
        </w:rPr>
        <w:t>Shamout, M. D. (2019). </w:t>
      </w:r>
      <w:r w:rsidRPr="00F93273">
        <w:rPr>
          <w:i/>
          <w:iCs/>
          <w:color w:val="222222"/>
          <w:shd w:val="clear" w:color="auto" w:fill="FFFFFF"/>
          <w:lang w:val="en-US"/>
        </w:rPr>
        <w:t xml:space="preserve">Does supply chain analytics enhance supply chain innovation and robustness capability? </w:t>
      </w:r>
      <w:r w:rsidRPr="00F93273">
        <w:rPr>
          <w:i/>
          <w:iCs/>
          <w:color w:val="222222"/>
          <w:shd w:val="clear" w:color="auto" w:fill="FFFFFF"/>
        </w:rPr>
        <w:t>Organizacija, 52 (2), 95-106</w:t>
      </w:r>
      <w:r w:rsidRPr="00F93273">
        <w:rPr>
          <w:color w:val="222222"/>
          <w:shd w:val="clear" w:color="auto" w:fill="FFFFFF"/>
        </w:rPr>
        <w:t>.</w:t>
      </w:r>
      <w:r w:rsidRPr="00F93273">
        <w:t xml:space="preserve"> </w:t>
      </w:r>
      <w:hyperlink r:id="rId21" w:history="1">
        <w:r w:rsidRPr="00F93273">
          <w:rPr>
            <w:rStyle w:val="Hipervnculo"/>
            <w:color w:val="auto"/>
          </w:rPr>
          <w:t>https://doi.org/10.2478/orga-2019-0007</w:t>
        </w:r>
      </w:hyperlink>
      <w:r w:rsidRPr="00F93273">
        <w:t xml:space="preserve"> </w:t>
      </w:r>
      <w:bookmarkEnd w:id="15"/>
    </w:p>
    <w:p w14:paraId="1094017C" w14:textId="41A41831" w:rsidR="00EF0357" w:rsidRPr="00F93273" w:rsidRDefault="00EF0357" w:rsidP="00F93273">
      <w:pPr>
        <w:spacing w:line="360" w:lineRule="auto"/>
        <w:ind w:left="567" w:hanging="567"/>
        <w:jc w:val="both"/>
        <w:rPr>
          <w:color w:val="222222"/>
          <w:shd w:val="clear" w:color="auto" w:fill="FFFFFF"/>
          <w:lang w:val="en-US"/>
        </w:rPr>
      </w:pPr>
      <w:r w:rsidRPr="00F93273">
        <w:rPr>
          <w:color w:val="222222"/>
          <w:shd w:val="clear" w:color="auto" w:fill="FFFFFF"/>
        </w:rPr>
        <w:t xml:space="preserve">Shi, J., Mo, X., &amp; Sun, Z. (2012). </w:t>
      </w:r>
      <w:r w:rsidRPr="00F93273">
        <w:rPr>
          <w:color w:val="222222"/>
          <w:shd w:val="clear" w:color="auto" w:fill="FFFFFF"/>
          <w:lang w:val="en-US"/>
        </w:rPr>
        <w:t>Content validity index in scale development. </w:t>
      </w:r>
      <w:r w:rsidRPr="00F93273">
        <w:rPr>
          <w:i/>
          <w:iCs/>
          <w:color w:val="222222"/>
          <w:shd w:val="clear" w:color="auto" w:fill="FFFFFF"/>
          <w:lang w:val="en-US"/>
        </w:rPr>
        <w:t>Zhong nan da xue bao. Yi xue ban= Journal of Central South University. Medical sciences</w:t>
      </w:r>
      <w:r w:rsidRPr="00F93273">
        <w:rPr>
          <w:color w:val="222222"/>
          <w:shd w:val="clear" w:color="auto" w:fill="FFFFFF"/>
          <w:lang w:val="en-US"/>
        </w:rPr>
        <w:t>, </w:t>
      </w:r>
      <w:r w:rsidRPr="00F93273">
        <w:rPr>
          <w:i/>
          <w:iCs/>
          <w:color w:val="222222"/>
          <w:shd w:val="clear" w:color="auto" w:fill="FFFFFF"/>
          <w:lang w:val="en-US"/>
        </w:rPr>
        <w:t>37</w:t>
      </w:r>
      <w:r w:rsidRPr="00F93273">
        <w:rPr>
          <w:color w:val="222222"/>
          <w:shd w:val="clear" w:color="auto" w:fill="FFFFFF"/>
          <w:lang w:val="en-US"/>
        </w:rPr>
        <w:t xml:space="preserve">(2), 152-155. </w:t>
      </w:r>
      <w:r w:rsidRPr="00F93273">
        <w:rPr>
          <w:rFonts w:eastAsia="Segoe UI"/>
          <w:shd w:val="clear" w:color="auto" w:fill="FFFFFF"/>
          <w:lang w:val="en-US"/>
        </w:rPr>
        <w:t>doi: 10.3969/j.issn.1672-7347.2012.02.007</w:t>
      </w:r>
    </w:p>
    <w:p w14:paraId="1909ACDE" w14:textId="77777777" w:rsidR="00EF0357" w:rsidRPr="00F93273" w:rsidRDefault="00EF0357" w:rsidP="00F93273">
      <w:pPr>
        <w:spacing w:line="360" w:lineRule="auto"/>
        <w:ind w:left="567" w:hanging="567"/>
        <w:jc w:val="both"/>
        <w:rPr>
          <w:lang w:val="en-US"/>
        </w:rPr>
      </w:pPr>
      <w:r w:rsidRPr="00F93273">
        <w:rPr>
          <w:color w:val="222222"/>
          <w:shd w:val="clear" w:color="auto" w:fill="FFFFFF"/>
          <w:lang w:val="en-US"/>
        </w:rPr>
        <w:t>Stylos, N., Beltagui, A., &amp; Sesis, A. (2020). Makerspaces as a route to democratising Innovation: The case of 3D Printing. </w:t>
      </w:r>
      <w:r w:rsidRPr="00F93273">
        <w:rPr>
          <w:i/>
          <w:iCs/>
          <w:color w:val="222222"/>
          <w:shd w:val="clear" w:color="auto" w:fill="FFFFFF"/>
          <w:lang w:val="en-US"/>
        </w:rPr>
        <w:t xml:space="preserve">All rights reserved. No full or partial </w:t>
      </w:r>
      <w:r w:rsidRPr="00F93273">
        <w:rPr>
          <w:i/>
          <w:iCs/>
          <w:color w:val="222222"/>
          <w:shd w:val="clear" w:color="auto" w:fill="FFFFFF"/>
          <w:lang w:val="en-US"/>
        </w:rPr>
        <w:lastRenderedPageBreak/>
        <w:t>reproduction, copy or transmission of this publication may be made without prior written permission of the authors and/or</w:t>
      </w:r>
      <w:r w:rsidRPr="00F93273">
        <w:rPr>
          <w:color w:val="222222"/>
          <w:shd w:val="clear" w:color="auto" w:fill="FFFFFF"/>
          <w:lang w:val="en-US"/>
        </w:rPr>
        <w:t>, 31.</w:t>
      </w:r>
    </w:p>
    <w:p w14:paraId="23398AAE" w14:textId="77777777" w:rsidR="00EF0357" w:rsidRPr="00F93273" w:rsidRDefault="00EF0357" w:rsidP="00F93273">
      <w:pPr>
        <w:spacing w:line="360" w:lineRule="auto"/>
        <w:ind w:left="567" w:hanging="567"/>
        <w:jc w:val="both"/>
        <w:rPr>
          <w:lang w:val="en-US"/>
        </w:rPr>
      </w:pPr>
      <w:r w:rsidRPr="00F93273">
        <w:rPr>
          <w:lang w:val="en-US"/>
        </w:rPr>
        <w:t xml:space="preserve">Wilson, F. R., Wei, P., &amp; Donald, A. S. (2012). Recalculation of the Critical Values for Lawshe’s Content Validity Ratio. </w:t>
      </w:r>
      <w:r w:rsidRPr="00F93273">
        <w:rPr>
          <w:i/>
          <w:iCs/>
          <w:lang w:val="en-US"/>
        </w:rPr>
        <w:t>Measurement and Evaluation in Counseling and Development, 45</w:t>
      </w:r>
      <w:r w:rsidRPr="00F93273">
        <w:rPr>
          <w:lang w:val="en-US"/>
        </w:rPr>
        <w:t xml:space="preserve">(12), </w:t>
      </w:r>
      <w:hyperlink r:id="rId22" w:history="1">
        <w:r w:rsidRPr="00F93273">
          <w:rPr>
            <w:rStyle w:val="Hipervnculo"/>
            <w:color w:val="auto"/>
            <w:lang w:val="en-US"/>
          </w:rPr>
          <w:t>https://doi.org/10.1177/0748175612440286.</w:t>
        </w:r>
      </w:hyperlink>
    </w:p>
    <w:p w14:paraId="7189FA5E" w14:textId="77777777" w:rsidR="00EF0357" w:rsidRPr="004278DF" w:rsidRDefault="00EF0357" w:rsidP="00F93273">
      <w:pPr>
        <w:spacing w:line="360" w:lineRule="auto"/>
        <w:ind w:left="567" w:hanging="567"/>
        <w:jc w:val="both"/>
        <w:rPr>
          <w:sz w:val="22"/>
          <w:szCs w:val="22"/>
          <w:lang w:val="en-US"/>
        </w:rPr>
      </w:pPr>
      <w:r w:rsidRPr="00F93273">
        <w:rPr>
          <w:color w:val="222222"/>
          <w:shd w:val="clear" w:color="auto" w:fill="FFFFFF"/>
          <w:lang w:val="en-US"/>
        </w:rPr>
        <w:t>Yao, J., Shi, H., &amp; Liu, C. (2020). Optimising the configuration of green supply chains under mass personalisation. </w:t>
      </w:r>
      <w:r w:rsidRPr="00F93273">
        <w:rPr>
          <w:i/>
          <w:iCs/>
          <w:color w:val="222222"/>
          <w:shd w:val="clear" w:color="auto" w:fill="FFFFFF"/>
        </w:rPr>
        <w:t>International Journal of Production Research</w:t>
      </w:r>
      <w:r w:rsidRPr="00F93273">
        <w:rPr>
          <w:color w:val="222222"/>
          <w:shd w:val="clear" w:color="auto" w:fill="FFFFFF"/>
        </w:rPr>
        <w:t>, </w:t>
      </w:r>
      <w:r w:rsidRPr="00F93273">
        <w:rPr>
          <w:i/>
          <w:iCs/>
          <w:color w:val="222222"/>
          <w:shd w:val="clear" w:color="auto" w:fill="FFFFFF"/>
        </w:rPr>
        <w:t>58</w:t>
      </w:r>
      <w:r w:rsidRPr="00F93273">
        <w:rPr>
          <w:color w:val="222222"/>
          <w:shd w:val="clear" w:color="auto" w:fill="FFFFFF"/>
        </w:rPr>
        <w:t>(24), 7420-7438.</w:t>
      </w:r>
    </w:p>
    <w:p w14:paraId="07A14DD4" w14:textId="0580A3F0" w:rsidR="00BC5AC0" w:rsidRDefault="00BC5AC0" w:rsidP="00AB10F1">
      <w:pPr>
        <w:spacing w:after="120"/>
        <w:ind w:left="567" w:hanging="567"/>
        <w:jc w:val="both"/>
        <w:rPr>
          <w:sz w:val="22"/>
          <w:szCs w:val="22"/>
          <w:lang w:val="en-US"/>
        </w:rPr>
      </w:pPr>
    </w:p>
    <w:p w14:paraId="76E82E96" w14:textId="77777777" w:rsidR="00F93273" w:rsidRDefault="00F93273" w:rsidP="00AB10F1">
      <w:pPr>
        <w:spacing w:after="120"/>
        <w:ind w:left="567" w:hanging="567"/>
        <w:jc w:val="both"/>
        <w:rPr>
          <w:sz w:val="22"/>
          <w:szCs w:val="22"/>
          <w:lang w:val="en-US"/>
        </w:rPr>
      </w:pPr>
    </w:p>
    <w:p w14:paraId="442844C4" w14:textId="77777777" w:rsidR="00582E42" w:rsidRDefault="00582E42" w:rsidP="00AB10F1">
      <w:pPr>
        <w:spacing w:after="120"/>
        <w:ind w:left="567" w:hanging="567"/>
        <w:jc w:val="both"/>
        <w:rPr>
          <w:sz w:val="22"/>
          <w:szCs w:val="22"/>
          <w:lang w:val="en-US"/>
        </w:rPr>
      </w:pPr>
    </w:p>
    <w:p w14:paraId="372576BF" w14:textId="77777777" w:rsidR="00582E42" w:rsidRDefault="00582E42" w:rsidP="00AB10F1">
      <w:pPr>
        <w:spacing w:after="120"/>
        <w:ind w:left="567" w:hanging="567"/>
        <w:jc w:val="both"/>
        <w:rPr>
          <w:sz w:val="22"/>
          <w:szCs w:val="22"/>
          <w:lang w:val="en-US"/>
        </w:rPr>
      </w:pPr>
    </w:p>
    <w:p w14:paraId="1FDABB4A" w14:textId="77777777" w:rsidR="00582E42" w:rsidRDefault="00582E42" w:rsidP="00AB10F1">
      <w:pPr>
        <w:spacing w:after="120"/>
        <w:ind w:left="567" w:hanging="567"/>
        <w:jc w:val="both"/>
        <w:rPr>
          <w:sz w:val="22"/>
          <w:szCs w:val="22"/>
          <w:lang w:val="en-US"/>
        </w:rPr>
      </w:pPr>
    </w:p>
    <w:p w14:paraId="7E393395" w14:textId="77777777" w:rsidR="00582E42" w:rsidRDefault="00582E42" w:rsidP="00AB10F1">
      <w:pPr>
        <w:spacing w:after="120"/>
        <w:ind w:left="567" w:hanging="567"/>
        <w:jc w:val="both"/>
        <w:rPr>
          <w:sz w:val="22"/>
          <w:szCs w:val="22"/>
          <w:lang w:val="en-US"/>
        </w:rPr>
      </w:pPr>
    </w:p>
    <w:p w14:paraId="17534513" w14:textId="77777777" w:rsidR="00582E42" w:rsidRDefault="00582E42" w:rsidP="00AB10F1">
      <w:pPr>
        <w:spacing w:after="120"/>
        <w:ind w:left="567" w:hanging="567"/>
        <w:jc w:val="both"/>
        <w:rPr>
          <w:sz w:val="22"/>
          <w:szCs w:val="22"/>
          <w:lang w:val="en-US"/>
        </w:rPr>
      </w:pPr>
    </w:p>
    <w:p w14:paraId="0698C45C" w14:textId="77777777" w:rsidR="00582E42" w:rsidRDefault="00582E42" w:rsidP="00AB10F1">
      <w:pPr>
        <w:spacing w:after="120"/>
        <w:ind w:left="567" w:hanging="567"/>
        <w:jc w:val="both"/>
        <w:rPr>
          <w:sz w:val="22"/>
          <w:szCs w:val="22"/>
          <w:lang w:val="en-US"/>
        </w:rPr>
      </w:pPr>
    </w:p>
    <w:p w14:paraId="139A47B7" w14:textId="77777777" w:rsidR="00582E42" w:rsidRDefault="00582E42" w:rsidP="00AB10F1">
      <w:pPr>
        <w:spacing w:after="120"/>
        <w:ind w:left="567" w:hanging="567"/>
        <w:jc w:val="both"/>
        <w:rPr>
          <w:sz w:val="22"/>
          <w:szCs w:val="22"/>
          <w:lang w:val="en-US"/>
        </w:rPr>
      </w:pPr>
    </w:p>
    <w:p w14:paraId="31084962" w14:textId="77777777" w:rsidR="00582E42" w:rsidRDefault="00582E42" w:rsidP="00AB10F1">
      <w:pPr>
        <w:spacing w:after="120"/>
        <w:ind w:left="567" w:hanging="567"/>
        <w:jc w:val="both"/>
        <w:rPr>
          <w:sz w:val="22"/>
          <w:szCs w:val="22"/>
          <w:lang w:val="en-US"/>
        </w:rPr>
      </w:pPr>
    </w:p>
    <w:p w14:paraId="1E5C5C6A" w14:textId="77777777" w:rsidR="00582E42" w:rsidRDefault="00582E42" w:rsidP="00AB10F1">
      <w:pPr>
        <w:spacing w:after="120"/>
        <w:ind w:left="567" w:hanging="567"/>
        <w:jc w:val="both"/>
        <w:rPr>
          <w:sz w:val="22"/>
          <w:szCs w:val="22"/>
          <w:lang w:val="en-US"/>
        </w:rPr>
      </w:pPr>
    </w:p>
    <w:p w14:paraId="613F02E2" w14:textId="77777777" w:rsidR="00582E42" w:rsidRDefault="00582E42" w:rsidP="00AB10F1">
      <w:pPr>
        <w:spacing w:after="120"/>
        <w:ind w:left="567" w:hanging="567"/>
        <w:jc w:val="both"/>
        <w:rPr>
          <w:sz w:val="22"/>
          <w:szCs w:val="22"/>
          <w:lang w:val="en-US"/>
        </w:rPr>
      </w:pPr>
    </w:p>
    <w:p w14:paraId="4B22CFBC" w14:textId="77777777" w:rsidR="00582E42" w:rsidRDefault="00582E42" w:rsidP="00AB10F1">
      <w:pPr>
        <w:spacing w:after="120"/>
        <w:ind w:left="567" w:hanging="567"/>
        <w:jc w:val="both"/>
        <w:rPr>
          <w:sz w:val="22"/>
          <w:szCs w:val="22"/>
          <w:lang w:val="en-US"/>
        </w:rPr>
      </w:pPr>
    </w:p>
    <w:p w14:paraId="3238830F" w14:textId="77777777" w:rsidR="00582E42" w:rsidRDefault="00582E42" w:rsidP="00AB10F1">
      <w:pPr>
        <w:spacing w:after="120"/>
        <w:ind w:left="567" w:hanging="567"/>
        <w:jc w:val="both"/>
        <w:rPr>
          <w:sz w:val="22"/>
          <w:szCs w:val="22"/>
          <w:lang w:val="en-US"/>
        </w:rPr>
      </w:pPr>
    </w:p>
    <w:p w14:paraId="11B054F0" w14:textId="77777777" w:rsidR="00582E42" w:rsidRDefault="00582E42" w:rsidP="00AB10F1">
      <w:pPr>
        <w:spacing w:after="120"/>
        <w:ind w:left="567" w:hanging="567"/>
        <w:jc w:val="both"/>
        <w:rPr>
          <w:sz w:val="22"/>
          <w:szCs w:val="22"/>
          <w:lang w:val="en-US"/>
        </w:rPr>
      </w:pPr>
    </w:p>
    <w:p w14:paraId="726942B8" w14:textId="77777777" w:rsidR="00582E42" w:rsidRDefault="00582E42" w:rsidP="00AB10F1">
      <w:pPr>
        <w:spacing w:after="120"/>
        <w:ind w:left="567" w:hanging="567"/>
        <w:jc w:val="both"/>
        <w:rPr>
          <w:sz w:val="22"/>
          <w:szCs w:val="22"/>
          <w:lang w:val="en-US"/>
        </w:rPr>
      </w:pPr>
    </w:p>
    <w:p w14:paraId="4758D2F8" w14:textId="77777777" w:rsidR="00582E42" w:rsidRDefault="00582E42" w:rsidP="00AB10F1">
      <w:pPr>
        <w:spacing w:after="120"/>
        <w:ind w:left="567" w:hanging="567"/>
        <w:jc w:val="both"/>
        <w:rPr>
          <w:sz w:val="22"/>
          <w:szCs w:val="22"/>
          <w:lang w:val="en-US"/>
        </w:rPr>
      </w:pPr>
    </w:p>
    <w:p w14:paraId="2D0ACD37" w14:textId="77777777" w:rsidR="00582E42" w:rsidRDefault="00582E42" w:rsidP="00AB10F1">
      <w:pPr>
        <w:spacing w:after="120"/>
        <w:ind w:left="567" w:hanging="567"/>
        <w:jc w:val="both"/>
        <w:rPr>
          <w:sz w:val="22"/>
          <w:szCs w:val="22"/>
          <w:lang w:val="en-US"/>
        </w:rPr>
      </w:pPr>
    </w:p>
    <w:p w14:paraId="5B618D7D" w14:textId="77777777" w:rsidR="00582E42" w:rsidRDefault="00582E42" w:rsidP="00AB10F1">
      <w:pPr>
        <w:spacing w:after="120"/>
        <w:ind w:left="567" w:hanging="567"/>
        <w:jc w:val="both"/>
        <w:rPr>
          <w:sz w:val="22"/>
          <w:szCs w:val="22"/>
          <w:lang w:val="en-US"/>
        </w:rPr>
      </w:pPr>
    </w:p>
    <w:p w14:paraId="1E91D116" w14:textId="77777777" w:rsidR="00582E42" w:rsidRDefault="00582E42" w:rsidP="00AB10F1">
      <w:pPr>
        <w:spacing w:after="120"/>
        <w:ind w:left="567" w:hanging="567"/>
        <w:jc w:val="both"/>
        <w:rPr>
          <w:sz w:val="22"/>
          <w:szCs w:val="22"/>
          <w:lang w:val="en-US"/>
        </w:rPr>
      </w:pPr>
    </w:p>
    <w:p w14:paraId="6969C88B" w14:textId="77777777" w:rsidR="00582E42" w:rsidRDefault="00582E42" w:rsidP="00AB10F1">
      <w:pPr>
        <w:spacing w:after="120"/>
        <w:ind w:left="567" w:hanging="567"/>
        <w:jc w:val="both"/>
        <w:rPr>
          <w:sz w:val="22"/>
          <w:szCs w:val="22"/>
          <w:lang w:val="en-US"/>
        </w:rPr>
      </w:pPr>
    </w:p>
    <w:p w14:paraId="0F88DD3F" w14:textId="77777777" w:rsidR="00582E42" w:rsidRDefault="00582E42" w:rsidP="00AB10F1">
      <w:pPr>
        <w:spacing w:after="120"/>
        <w:ind w:left="567" w:hanging="567"/>
        <w:jc w:val="both"/>
        <w:rPr>
          <w:sz w:val="22"/>
          <w:szCs w:val="22"/>
          <w:lang w:val="en-US"/>
        </w:rPr>
      </w:pPr>
    </w:p>
    <w:p w14:paraId="5E751F6D" w14:textId="77777777" w:rsidR="00582E42" w:rsidRDefault="00582E42" w:rsidP="00AB10F1">
      <w:pPr>
        <w:spacing w:after="120"/>
        <w:ind w:left="567" w:hanging="567"/>
        <w:jc w:val="both"/>
        <w:rPr>
          <w:sz w:val="22"/>
          <w:szCs w:val="22"/>
          <w:lang w:val="en-US"/>
        </w:rPr>
      </w:pPr>
    </w:p>
    <w:p w14:paraId="0FA080CC" w14:textId="77777777" w:rsidR="00582E42" w:rsidRDefault="00582E42" w:rsidP="00AB10F1">
      <w:pPr>
        <w:spacing w:after="120"/>
        <w:ind w:left="567" w:hanging="567"/>
        <w:jc w:val="both"/>
        <w:rPr>
          <w:sz w:val="22"/>
          <w:szCs w:val="22"/>
          <w:lang w:val="en-US"/>
        </w:rPr>
      </w:pPr>
    </w:p>
    <w:p w14:paraId="2C301F8D" w14:textId="77777777" w:rsidR="00582E42" w:rsidRDefault="00582E42" w:rsidP="00AB10F1">
      <w:pPr>
        <w:spacing w:after="120"/>
        <w:ind w:left="567" w:hanging="567"/>
        <w:jc w:val="both"/>
        <w:rPr>
          <w:sz w:val="22"/>
          <w:szCs w:val="22"/>
          <w:lang w:val="en-US"/>
        </w:rPr>
      </w:pPr>
    </w:p>
    <w:p w14:paraId="4F751BEF" w14:textId="77777777" w:rsidR="00F93273" w:rsidRDefault="00F93273" w:rsidP="00AB10F1">
      <w:pPr>
        <w:spacing w:after="120"/>
        <w:ind w:left="567" w:hanging="567"/>
        <w:jc w:val="both"/>
        <w:rPr>
          <w:sz w:val="22"/>
          <w:szCs w:val="22"/>
          <w:lang w:val="en-US"/>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F93273" w:rsidRPr="00F93273" w14:paraId="44111438" w14:textId="77777777" w:rsidTr="00F93273">
        <w:trPr>
          <w:jc w:val="center"/>
        </w:trPr>
        <w:tc>
          <w:tcPr>
            <w:tcW w:w="3045" w:type="dxa"/>
            <w:tcMar>
              <w:top w:w="100" w:type="dxa"/>
              <w:left w:w="100" w:type="dxa"/>
              <w:bottom w:w="100" w:type="dxa"/>
              <w:right w:w="100" w:type="dxa"/>
            </w:tcMar>
          </w:tcPr>
          <w:p w14:paraId="3834F155" w14:textId="77777777" w:rsidR="00F93273" w:rsidRPr="00F93273" w:rsidRDefault="00F93273" w:rsidP="000A2795">
            <w:pPr>
              <w:pStyle w:val="Ttulo3"/>
              <w:widowControl w:val="0"/>
              <w:spacing w:before="0"/>
              <w:rPr>
                <w:color w:val="000000" w:themeColor="text1"/>
                <w:sz w:val="24"/>
                <w:szCs w:val="24"/>
              </w:rPr>
            </w:pPr>
            <w:r w:rsidRPr="00F93273">
              <w:rPr>
                <w:color w:val="000000" w:themeColor="text1"/>
                <w:sz w:val="24"/>
                <w:szCs w:val="24"/>
              </w:rPr>
              <w:lastRenderedPageBreak/>
              <w:t>Rol de Contribución</w:t>
            </w:r>
          </w:p>
        </w:tc>
        <w:tc>
          <w:tcPr>
            <w:tcW w:w="6315" w:type="dxa"/>
            <w:tcMar>
              <w:top w:w="100" w:type="dxa"/>
              <w:left w:w="100" w:type="dxa"/>
              <w:bottom w:w="100" w:type="dxa"/>
              <w:right w:w="100" w:type="dxa"/>
            </w:tcMar>
          </w:tcPr>
          <w:p w14:paraId="621B1568" w14:textId="2E7B1164" w:rsidR="00F93273" w:rsidRPr="00F93273" w:rsidRDefault="00F93273" w:rsidP="000A2795">
            <w:pPr>
              <w:pStyle w:val="Ttulo3"/>
              <w:widowControl w:val="0"/>
              <w:spacing w:before="0"/>
              <w:rPr>
                <w:color w:val="000000" w:themeColor="text1"/>
                <w:sz w:val="24"/>
                <w:szCs w:val="24"/>
              </w:rPr>
            </w:pPr>
            <w:bookmarkStart w:id="16" w:name="_btsjgdfgjwkr" w:colFirst="0" w:colLast="0"/>
            <w:bookmarkEnd w:id="16"/>
            <w:r>
              <w:rPr>
                <w:color w:val="000000" w:themeColor="text1"/>
                <w:sz w:val="24"/>
                <w:szCs w:val="24"/>
              </w:rPr>
              <w:t>Autor (es)</w:t>
            </w:r>
          </w:p>
        </w:tc>
      </w:tr>
      <w:tr w:rsidR="00F93273" w:rsidRPr="00F93273" w14:paraId="44DAD070" w14:textId="77777777" w:rsidTr="00F93273">
        <w:trPr>
          <w:jc w:val="center"/>
        </w:trPr>
        <w:tc>
          <w:tcPr>
            <w:tcW w:w="3045" w:type="dxa"/>
            <w:tcMar>
              <w:top w:w="100" w:type="dxa"/>
              <w:left w:w="100" w:type="dxa"/>
              <w:bottom w:w="100" w:type="dxa"/>
              <w:right w:w="100" w:type="dxa"/>
            </w:tcMar>
          </w:tcPr>
          <w:p w14:paraId="5E416F39" w14:textId="77777777" w:rsidR="00F93273" w:rsidRPr="00F93273" w:rsidRDefault="00F93273" w:rsidP="000A2795">
            <w:pPr>
              <w:widowControl w:val="0"/>
              <w:rPr>
                <w:color w:val="000000" w:themeColor="text1"/>
              </w:rPr>
            </w:pPr>
            <w:r w:rsidRPr="00F93273">
              <w:rPr>
                <w:color w:val="000000" w:themeColor="text1"/>
              </w:rPr>
              <w:t>Conceptualización</w:t>
            </w:r>
          </w:p>
        </w:tc>
        <w:tc>
          <w:tcPr>
            <w:tcW w:w="6315" w:type="dxa"/>
            <w:tcMar>
              <w:top w:w="100" w:type="dxa"/>
              <w:left w:w="100" w:type="dxa"/>
              <w:bottom w:w="100" w:type="dxa"/>
              <w:right w:w="100" w:type="dxa"/>
            </w:tcMar>
          </w:tcPr>
          <w:p w14:paraId="0F54D778" w14:textId="77777777" w:rsidR="00F93273" w:rsidRPr="00F93273" w:rsidRDefault="00F93273" w:rsidP="000A2795">
            <w:pPr>
              <w:widowControl w:val="0"/>
              <w:rPr>
                <w:color w:val="000000" w:themeColor="text1"/>
              </w:rPr>
            </w:pPr>
            <w:r w:rsidRPr="00F93273">
              <w:rPr>
                <w:color w:val="000000" w:themeColor="text1"/>
              </w:rPr>
              <w:t>Gabriela Margarita Reyna García&lt;principal&gt;, Rafael García Martínez &lt;igual&gt;</w:t>
            </w:r>
          </w:p>
        </w:tc>
      </w:tr>
      <w:tr w:rsidR="00F93273" w:rsidRPr="00F93273" w14:paraId="197DDF31" w14:textId="77777777" w:rsidTr="00F93273">
        <w:trPr>
          <w:jc w:val="center"/>
        </w:trPr>
        <w:tc>
          <w:tcPr>
            <w:tcW w:w="3045" w:type="dxa"/>
            <w:tcMar>
              <w:top w:w="100" w:type="dxa"/>
              <w:left w:w="100" w:type="dxa"/>
              <w:bottom w:w="100" w:type="dxa"/>
              <w:right w:w="100" w:type="dxa"/>
            </w:tcMar>
          </w:tcPr>
          <w:p w14:paraId="197B3B39" w14:textId="77777777" w:rsidR="00F93273" w:rsidRPr="00F93273" w:rsidRDefault="00F93273" w:rsidP="000A2795">
            <w:pPr>
              <w:widowControl w:val="0"/>
              <w:rPr>
                <w:color w:val="000000" w:themeColor="text1"/>
              </w:rPr>
            </w:pPr>
            <w:r w:rsidRPr="00F93273">
              <w:rPr>
                <w:color w:val="000000" w:themeColor="text1"/>
              </w:rPr>
              <w:t>Metodología</w:t>
            </w:r>
          </w:p>
        </w:tc>
        <w:tc>
          <w:tcPr>
            <w:tcW w:w="6315" w:type="dxa"/>
            <w:tcMar>
              <w:top w:w="100" w:type="dxa"/>
              <w:left w:w="100" w:type="dxa"/>
              <w:bottom w:w="100" w:type="dxa"/>
              <w:right w:w="100" w:type="dxa"/>
            </w:tcMar>
          </w:tcPr>
          <w:p w14:paraId="279BA7B7" w14:textId="77777777" w:rsidR="00F93273" w:rsidRPr="00F93273" w:rsidRDefault="00F93273" w:rsidP="000A2795">
            <w:pPr>
              <w:widowControl w:val="0"/>
              <w:rPr>
                <w:color w:val="000000" w:themeColor="text1"/>
              </w:rPr>
            </w:pPr>
            <w:r w:rsidRPr="00F93273">
              <w:rPr>
                <w:color w:val="000000" w:themeColor="text1"/>
              </w:rPr>
              <w:t>Gabriela Margarita Reyna Garcíav &lt;principal&gt;, Rafael García Martínez &lt;que apoya&gt;</w:t>
            </w:r>
          </w:p>
        </w:tc>
      </w:tr>
      <w:tr w:rsidR="00F93273" w:rsidRPr="00F93273" w14:paraId="5A9D3122" w14:textId="77777777" w:rsidTr="00F93273">
        <w:trPr>
          <w:jc w:val="center"/>
        </w:trPr>
        <w:tc>
          <w:tcPr>
            <w:tcW w:w="3045" w:type="dxa"/>
            <w:tcMar>
              <w:top w:w="100" w:type="dxa"/>
              <w:left w:w="100" w:type="dxa"/>
              <w:bottom w:w="100" w:type="dxa"/>
              <w:right w:w="100" w:type="dxa"/>
            </w:tcMar>
          </w:tcPr>
          <w:p w14:paraId="0CE807C3" w14:textId="77777777" w:rsidR="00F93273" w:rsidRPr="00F93273" w:rsidRDefault="00F93273" w:rsidP="000A2795">
            <w:pPr>
              <w:widowControl w:val="0"/>
              <w:rPr>
                <w:color w:val="000000" w:themeColor="text1"/>
              </w:rPr>
            </w:pPr>
            <w:r w:rsidRPr="00F93273">
              <w:rPr>
                <w:color w:val="000000" w:themeColor="text1"/>
              </w:rPr>
              <w:t>Software</w:t>
            </w:r>
          </w:p>
        </w:tc>
        <w:tc>
          <w:tcPr>
            <w:tcW w:w="6315" w:type="dxa"/>
            <w:tcMar>
              <w:top w:w="100" w:type="dxa"/>
              <w:left w:w="100" w:type="dxa"/>
              <w:bottom w:w="100" w:type="dxa"/>
              <w:right w:w="100" w:type="dxa"/>
            </w:tcMar>
          </w:tcPr>
          <w:p w14:paraId="3C7E76B7" w14:textId="77777777" w:rsidR="00F93273" w:rsidRPr="00F93273" w:rsidRDefault="00F93273" w:rsidP="000A2795">
            <w:pPr>
              <w:widowControl w:val="0"/>
              <w:rPr>
                <w:color w:val="000000" w:themeColor="text1"/>
              </w:rPr>
            </w:pPr>
            <w:r w:rsidRPr="00F93273">
              <w:rPr>
                <w:color w:val="000000" w:themeColor="text1"/>
              </w:rPr>
              <w:t>Rafael García Martínez &lt;principal&gt;, Eduardo Rafael Poblano-Ojinaga &lt;igual&gt;</w:t>
            </w:r>
          </w:p>
        </w:tc>
      </w:tr>
      <w:tr w:rsidR="00F93273" w:rsidRPr="00F93273" w14:paraId="5B2E93E0" w14:textId="77777777" w:rsidTr="00F93273">
        <w:trPr>
          <w:jc w:val="center"/>
        </w:trPr>
        <w:tc>
          <w:tcPr>
            <w:tcW w:w="3045" w:type="dxa"/>
            <w:tcMar>
              <w:top w:w="100" w:type="dxa"/>
              <w:left w:w="100" w:type="dxa"/>
              <w:bottom w:w="100" w:type="dxa"/>
              <w:right w:w="100" w:type="dxa"/>
            </w:tcMar>
          </w:tcPr>
          <w:p w14:paraId="5B72B958" w14:textId="77777777" w:rsidR="00F93273" w:rsidRPr="00F93273" w:rsidRDefault="00F93273" w:rsidP="000A2795">
            <w:pPr>
              <w:widowControl w:val="0"/>
              <w:rPr>
                <w:color w:val="000000" w:themeColor="text1"/>
              </w:rPr>
            </w:pPr>
            <w:r w:rsidRPr="00F93273">
              <w:rPr>
                <w:color w:val="000000" w:themeColor="text1"/>
              </w:rPr>
              <w:t>Validación</w:t>
            </w:r>
          </w:p>
        </w:tc>
        <w:tc>
          <w:tcPr>
            <w:tcW w:w="6315" w:type="dxa"/>
            <w:tcMar>
              <w:top w:w="100" w:type="dxa"/>
              <w:left w:w="100" w:type="dxa"/>
              <w:bottom w:w="100" w:type="dxa"/>
              <w:right w:w="100" w:type="dxa"/>
            </w:tcMar>
          </w:tcPr>
          <w:p w14:paraId="5B3D568F" w14:textId="77777777" w:rsidR="00F93273" w:rsidRPr="00F93273" w:rsidRDefault="00F93273" w:rsidP="000A2795">
            <w:pPr>
              <w:widowControl w:val="0"/>
              <w:rPr>
                <w:color w:val="000000" w:themeColor="text1"/>
              </w:rPr>
            </w:pPr>
            <w:r w:rsidRPr="00F93273">
              <w:rPr>
                <w:color w:val="000000" w:themeColor="text1"/>
              </w:rPr>
              <w:t>Gabriela Margarita Reyna García &lt;principal&gt;, Rafael García Martínez &lt;igual&gt;, Eduardo Rafael Poblano-Ojinaga &lt; que apoya&gt;</w:t>
            </w:r>
          </w:p>
        </w:tc>
      </w:tr>
      <w:tr w:rsidR="00F93273" w:rsidRPr="00F93273" w14:paraId="20248EAB" w14:textId="77777777" w:rsidTr="00F93273">
        <w:trPr>
          <w:jc w:val="center"/>
        </w:trPr>
        <w:tc>
          <w:tcPr>
            <w:tcW w:w="3045" w:type="dxa"/>
            <w:tcMar>
              <w:top w:w="100" w:type="dxa"/>
              <w:left w:w="100" w:type="dxa"/>
              <w:bottom w:w="100" w:type="dxa"/>
              <w:right w:w="100" w:type="dxa"/>
            </w:tcMar>
          </w:tcPr>
          <w:p w14:paraId="24EBCFBE" w14:textId="77777777" w:rsidR="00F93273" w:rsidRPr="00F93273" w:rsidRDefault="00F93273" w:rsidP="000A2795">
            <w:pPr>
              <w:widowControl w:val="0"/>
              <w:rPr>
                <w:color w:val="000000" w:themeColor="text1"/>
              </w:rPr>
            </w:pPr>
            <w:r w:rsidRPr="00F93273">
              <w:rPr>
                <w:color w:val="000000" w:themeColor="text1"/>
              </w:rPr>
              <w:t>Análisis Formal</w:t>
            </w:r>
          </w:p>
        </w:tc>
        <w:tc>
          <w:tcPr>
            <w:tcW w:w="6315" w:type="dxa"/>
            <w:tcMar>
              <w:top w:w="100" w:type="dxa"/>
              <w:left w:w="100" w:type="dxa"/>
              <w:bottom w:w="100" w:type="dxa"/>
              <w:right w:w="100" w:type="dxa"/>
            </w:tcMar>
          </w:tcPr>
          <w:p w14:paraId="058D7DED" w14:textId="77777777" w:rsidR="00F93273" w:rsidRPr="00F93273" w:rsidRDefault="00F93273" w:rsidP="000A2795">
            <w:pPr>
              <w:widowControl w:val="0"/>
              <w:rPr>
                <w:color w:val="000000" w:themeColor="text1"/>
              </w:rPr>
            </w:pPr>
            <w:r w:rsidRPr="00F93273">
              <w:rPr>
                <w:color w:val="000000" w:themeColor="text1"/>
              </w:rPr>
              <w:t>Gabriela Margarita Reyna García, Rafael García Martínez, Eduardo Rafael Poblano-Ojinaga, Vianey Torres-Arguelles</w:t>
            </w:r>
          </w:p>
        </w:tc>
      </w:tr>
      <w:tr w:rsidR="00F93273" w:rsidRPr="00F93273" w14:paraId="3D415603" w14:textId="77777777" w:rsidTr="00F93273">
        <w:trPr>
          <w:jc w:val="center"/>
        </w:trPr>
        <w:tc>
          <w:tcPr>
            <w:tcW w:w="3045" w:type="dxa"/>
            <w:tcMar>
              <w:top w:w="100" w:type="dxa"/>
              <w:left w:w="100" w:type="dxa"/>
              <w:bottom w:w="100" w:type="dxa"/>
              <w:right w:w="100" w:type="dxa"/>
            </w:tcMar>
          </w:tcPr>
          <w:p w14:paraId="3581F7FC" w14:textId="77777777" w:rsidR="00F93273" w:rsidRPr="00F93273" w:rsidRDefault="00F93273" w:rsidP="000A2795">
            <w:pPr>
              <w:widowControl w:val="0"/>
              <w:rPr>
                <w:color w:val="000000" w:themeColor="text1"/>
              </w:rPr>
            </w:pPr>
            <w:r w:rsidRPr="00F93273">
              <w:rPr>
                <w:color w:val="000000" w:themeColor="text1"/>
              </w:rPr>
              <w:t>Investigación</w:t>
            </w:r>
          </w:p>
        </w:tc>
        <w:tc>
          <w:tcPr>
            <w:tcW w:w="6315" w:type="dxa"/>
            <w:tcMar>
              <w:top w:w="100" w:type="dxa"/>
              <w:left w:w="100" w:type="dxa"/>
              <w:bottom w:w="100" w:type="dxa"/>
              <w:right w:w="100" w:type="dxa"/>
            </w:tcMar>
          </w:tcPr>
          <w:p w14:paraId="56134B6C" w14:textId="77777777" w:rsidR="00F93273" w:rsidRPr="00F93273" w:rsidRDefault="00F93273" w:rsidP="000A2795">
            <w:pPr>
              <w:widowControl w:val="0"/>
              <w:rPr>
                <w:color w:val="000000" w:themeColor="text1"/>
              </w:rPr>
            </w:pPr>
            <w:r w:rsidRPr="00F93273">
              <w:rPr>
                <w:color w:val="000000" w:themeColor="text1"/>
              </w:rPr>
              <w:t>Gabriela Margarita Reyna García &lt;principal&gt;, Vianey Torres-Arguelles &lt;que apoya&gt;</w:t>
            </w:r>
          </w:p>
        </w:tc>
      </w:tr>
      <w:tr w:rsidR="00F93273" w:rsidRPr="00F93273" w14:paraId="39DDC1B0" w14:textId="77777777" w:rsidTr="00F93273">
        <w:trPr>
          <w:jc w:val="center"/>
        </w:trPr>
        <w:tc>
          <w:tcPr>
            <w:tcW w:w="3045" w:type="dxa"/>
            <w:tcMar>
              <w:top w:w="100" w:type="dxa"/>
              <w:left w:w="100" w:type="dxa"/>
              <w:bottom w:w="100" w:type="dxa"/>
              <w:right w:w="100" w:type="dxa"/>
            </w:tcMar>
          </w:tcPr>
          <w:p w14:paraId="0E8D7A86" w14:textId="77777777" w:rsidR="00F93273" w:rsidRPr="00F93273" w:rsidRDefault="00F93273" w:rsidP="000A2795">
            <w:pPr>
              <w:widowControl w:val="0"/>
              <w:rPr>
                <w:color w:val="000000" w:themeColor="text1"/>
              </w:rPr>
            </w:pPr>
            <w:r w:rsidRPr="00F93273">
              <w:rPr>
                <w:color w:val="000000" w:themeColor="text1"/>
              </w:rPr>
              <w:t>Recursos</w:t>
            </w:r>
          </w:p>
        </w:tc>
        <w:tc>
          <w:tcPr>
            <w:tcW w:w="6315" w:type="dxa"/>
            <w:tcMar>
              <w:top w:w="100" w:type="dxa"/>
              <w:left w:w="100" w:type="dxa"/>
              <w:bottom w:w="100" w:type="dxa"/>
              <w:right w:w="100" w:type="dxa"/>
            </w:tcMar>
          </w:tcPr>
          <w:p w14:paraId="64A21A74" w14:textId="77777777" w:rsidR="00F93273" w:rsidRPr="00F93273" w:rsidRDefault="00F93273" w:rsidP="000A2795">
            <w:pPr>
              <w:widowControl w:val="0"/>
              <w:rPr>
                <w:color w:val="000000" w:themeColor="text1"/>
              </w:rPr>
            </w:pPr>
            <w:r w:rsidRPr="00F93273">
              <w:rPr>
                <w:color w:val="000000" w:themeColor="text1"/>
              </w:rPr>
              <w:t>Gabriela Margarita Reyna García &lt;principal&gt;, Vianey Torres-Arguelles &lt;que apoya&gt;</w:t>
            </w:r>
          </w:p>
        </w:tc>
      </w:tr>
      <w:tr w:rsidR="00F93273" w:rsidRPr="00F93273" w14:paraId="34B51ED5" w14:textId="77777777" w:rsidTr="00F93273">
        <w:trPr>
          <w:jc w:val="center"/>
        </w:trPr>
        <w:tc>
          <w:tcPr>
            <w:tcW w:w="3045" w:type="dxa"/>
            <w:tcMar>
              <w:top w:w="100" w:type="dxa"/>
              <w:left w:w="100" w:type="dxa"/>
              <w:bottom w:w="100" w:type="dxa"/>
              <w:right w:w="100" w:type="dxa"/>
            </w:tcMar>
          </w:tcPr>
          <w:p w14:paraId="0B5C45D9" w14:textId="77777777" w:rsidR="00F93273" w:rsidRPr="00F93273" w:rsidRDefault="00F93273" w:rsidP="000A2795">
            <w:pPr>
              <w:widowControl w:val="0"/>
              <w:rPr>
                <w:color w:val="000000" w:themeColor="text1"/>
              </w:rPr>
            </w:pPr>
            <w:r w:rsidRPr="00F93273">
              <w:rPr>
                <w:color w:val="000000" w:themeColor="text1"/>
              </w:rPr>
              <w:t>Curación de datos</w:t>
            </w:r>
          </w:p>
        </w:tc>
        <w:tc>
          <w:tcPr>
            <w:tcW w:w="6315" w:type="dxa"/>
            <w:tcMar>
              <w:top w:w="100" w:type="dxa"/>
              <w:left w:w="100" w:type="dxa"/>
              <w:bottom w:w="100" w:type="dxa"/>
              <w:right w:w="100" w:type="dxa"/>
            </w:tcMar>
          </w:tcPr>
          <w:p w14:paraId="6DF03F31" w14:textId="77777777" w:rsidR="00F93273" w:rsidRPr="00F93273" w:rsidRDefault="00F93273" w:rsidP="000A2795">
            <w:pPr>
              <w:widowControl w:val="0"/>
              <w:rPr>
                <w:color w:val="000000" w:themeColor="text1"/>
              </w:rPr>
            </w:pPr>
            <w:r w:rsidRPr="00F93273">
              <w:rPr>
                <w:color w:val="000000" w:themeColor="text1"/>
              </w:rPr>
              <w:t>Rafael García Martínez &lt;principal&gt;, Eduardo Rafael Poblano-Ojinaga &lt;que apoya&gt;,</w:t>
            </w:r>
          </w:p>
        </w:tc>
      </w:tr>
      <w:tr w:rsidR="00F93273" w:rsidRPr="00F93273" w14:paraId="37D3C845" w14:textId="77777777" w:rsidTr="00F93273">
        <w:trPr>
          <w:jc w:val="center"/>
        </w:trPr>
        <w:tc>
          <w:tcPr>
            <w:tcW w:w="3045" w:type="dxa"/>
            <w:tcMar>
              <w:top w:w="100" w:type="dxa"/>
              <w:left w:w="100" w:type="dxa"/>
              <w:bottom w:w="100" w:type="dxa"/>
              <w:right w:w="100" w:type="dxa"/>
            </w:tcMar>
          </w:tcPr>
          <w:p w14:paraId="236C97BD" w14:textId="77777777" w:rsidR="00F93273" w:rsidRPr="00F93273" w:rsidRDefault="00F93273" w:rsidP="000A2795">
            <w:pPr>
              <w:widowControl w:val="0"/>
              <w:rPr>
                <w:color w:val="000000" w:themeColor="text1"/>
              </w:rPr>
            </w:pPr>
            <w:r w:rsidRPr="00F93273">
              <w:rPr>
                <w:color w:val="000000" w:themeColor="text1"/>
              </w:rPr>
              <w:t>Escritura - Preparación del borrador original</w:t>
            </w:r>
          </w:p>
        </w:tc>
        <w:tc>
          <w:tcPr>
            <w:tcW w:w="6315" w:type="dxa"/>
            <w:tcMar>
              <w:top w:w="100" w:type="dxa"/>
              <w:left w:w="100" w:type="dxa"/>
              <w:bottom w:w="100" w:type="dxa"/>
              <w:right w:w="100" w:type="dxa"/>
            </w:tcMar>
          </w:tcPr>
          <w:p w14:paraId="1805F6A5" w14:textId="77777777" w:rsidR="00F93273" w:rsidRPr="00F93273" w:rsidRDefault="00F93273" w:rsidP="000A2795">
            <w:pPr>
              <w:widowControl w:val="0"/>
              <w:rPr>
                <w:color w:val="000000" w:themeColor="text1"/>
              </w:rPr>
            </w:pPr>
            <w:r w:rsidRPr="00F93273">
              <w:rPr>
                <w:color w:val="000000" w:themeColor="text1"/>
              </w:rPr>
              <w:t>Gabriela Margarita Reyna García &lt;principal&gt;, Rafael García Martínez &lt;que apoya&gt;</w:t>
            </w:r>
          </w:p>
        </w:tc>
      </w:tr>
      <w:tr w:rsidR="00F93273" w:rsidRPr="00F93273" w14:paraId="06E7A42D" w14:textId="77777777" w:rsidTr="00F93273">
        <w:trPr>
          <w:jc w:val="center"/>
        </w:trPr>
        <w:tc>
          <w:tcPr>
            <w:tcW w:w="3045" w:type="dxa"/>
            <w:tcMar>
              <w:top w:w="100" w:type="dxa"/>
              <w:left w:w="100" w:type="dxa"/>
              <w:bottom w:w="100" w:type="dxa"/>
              <w:right w:w="100" w:type="dxa"/>
            </w:tcMar>
          </w:tcPr>
          <w:p w14:paraId="52B6DEF9" w14:textId="77777777" w:rsidR="00F93273" w:rsidRPr="00F93273" w:rsidRDefault="00F93273" w:rsidP="000A2795">
            <w:pPr>
              <w:widowControl w:val="0"/>
              <w:rPr>
                <w:color w:val="000000" w:themeColor="text1"/>
              </w:rPr>
            </w:pPr>
            <w:r w:rsidRPr="00F93273">
              <w:rPr>
                <w:color w:val="000000" w:themeColor="text1"/>
              </w:rPr>
              <w:t>Escritura - Revisión y edición</w:t>
            </w:r>
          </w:p>
        </w:tc>
        <w:tc>
          <w:tcPr>
            <w:tcW w:w="6315" w:type="dxa"/>
            <w:tcMar>
              <w:top w:w="100" w:type="dxa"/>
              <w:left w:w="100" w:type="dxa"/>
              <w:bottom w:w="100" w:type="dxa"/>
              <w:right w:w="100" w:type="dxa"/>
            </w:tcMar>
          </w:tcPr>
          <w:p w14:paraId="4C94E37A" w14:textId="77777777" w:rsidR="00F93273" w:rsidRPr="00F93273" w:rsidRDefault="00F93273" w:rsidP="000A2795">
            <w:pPr>
              <w:widowControl w:val="0"/>
              <w:rPr>
                <w:color w:val="000000" w:themeColor="text1"/>
              </w:rPr>
            </w:pPr>
            <w:r w:rsidRPr="00F93273">
              <w:rPr>
                <w:color w:val="000000" w:themeColor="text1"/>
              </w:rPr>
              <w:t>Eduardo Rafael Poblano-Ojinaga &gt;principal&gt;, Vianey Torres-Arguelles &lt;que apoya&gt;</w:t>
            </w:r>
          </w:p>
        </w:tc>
      </w:tr>
      <w:tr w:rsidR="00F93273" w:rsidRPr="00F93273" w14:paraId="75F84F34" w14:textId="77777777" w:rsidTr="00F93273">
        <w:trPr>
          <w:jc w:val="center"/>
        </w:trPr>
        <w:tc>
          <w:tcPr>
            <w:tcW w:w="3045" w:type="dxa"/>
            <w:tcMar>
              <w:top w:w="100" w:type="dxa"/>
              <w:left w:w="100" w:type="dxa"/>
              <w:bottom w:w="100" w:type="dxa"/>
              <w:right w:w="100" w:type="dxa"/>
            </w:tcMar>
          </w:tcPr>
          <w:p w14:paraId="7F92188D" w14:textId="77777777" w:rsidR="00F93273" w:rsidRPr="00F93273" w:rsidRDefault="00F93273" w:rsidP="000A2795">
            <w:pPr>
              <w:widowControl w:val="0"/>
              <w:rPr>
                <w:color w:val="000000" w:themeColor="text1"/>
              </w:rPr>
            </w:pPr>
            <w:r w:rsidRPr="00F93273">
              <w:rPr>
                <w:color w:val="000000" w:themeColor="text1"/>
              </w:rPr>
              <w:t>Visualización</w:t>
            </w:r>
          </w:p>
        </w:tc>
        <w:tc>
          <w:tcPr>
            <w:tcW w:w="6315" w:type="dxa"/>
            <w:tcMar>
              <w:top w:w="100" w:type="dxa"/>
              <w:left w:w="100" w:type="dxa"/>
              <w:bottom w:w="100" w:type="dxa"/>
              <w:right w:w="100" w:type="dxa"/>
            </w:tcMar>
          </w:tcPr>
          <w:p w14:paraId="22C4E0FF" w14:textId="77777777" w:rsidR="00F93273" w:rsidRPr="00F93273" w:rsidRDefault="00F93273" w:rsidP="000A2795">
            <w:pPr>
              <w:widowControl w:val="0"/>
              <w:rPr>
                <w:color w:val="000000" w:themeColor="text1"/>
              </w:rPr>
            </w:pPr>
            <w:r w:rsidRPr="00F93273">
              <w:rPr>
                <w:color w:val="000000" w:themeColor="text1"/>
              </w:rPr>
              <w:t>Gabriela Margarita Reyna García &lt;principal&gt;</w:t>
            </w:r>
          </w:p>
        </w:tc>
      </w:tr>
      <w:tr w:rsidR="00F93273" w:rsidRPr="00F93273" w14:paraId="701F63B2" w14:textId="77777777" w:rsidTr="00F93273">
        <w:trPr>
          <w:jc w:val="center"/>
        </w:trPr>
        <w:tc>
          <w:tcPr>
            <w:tcW w:w="3045" w:type="dxa"/>
            <w:tcMar>
              <w:top w:w="100" w:type="dxa"/>
              <w:left w:w="100" w:type="dxa"/>
              <w:bottom w:w="100" w:type="dxa"/>
              <w:right w:w="100" w:type="dxa"/>
            </w:tcMar>
          </w:tcPr>
          <w:p w14:paraId="52038369" w14:textId="77777777" w:rsidR="00F93273" w:rsidRPr="00F93273" w:rsidRDefault="00F93273" w:rsidP="000A2795">
            <w:pPr>
              <w:widowControl w:val="0"/>
              <w:rPr>
                <w:color w:val="000000" w:themeColor="text1"/>
              </w:rPr>
            </w:pPr>
            <w:r w:rsidRPr="00F93273">
              <w:rPr>
                <w:color w:val="000000" w:themeColor="text1"/>
              </w:rPr>
              <w:t>Supervisión</w:t>
            </w:r>
          </w:p>
        </w:tc>
        <w:tc>
          <w:tcPr>
            <w:tcW w:w="6315" w:type="dxa"/>
            <w:tcMar>
              <w:top w:w="100" w:type="dxa"/>
              <w:left w:w="100" w:type="dxa"/>
              <w:bottom w:w="100" w:type="dxa"/>
              <w:right w:w="100" w:type="dxa"/>
            </w:tcMar>
          </w:tcPr>
          <w:p w14:paraId="6BD5475B" w14:textId="77777777" w:rsidR="00F93273" w:rsidRPr="00F93273" w:rsidRDefault="00F93273" w:rsidP="000A2795">
            <w:pPr>
              <w:widowControl w:val="0"/>
              <w:rPr>
                <w:color w:val="000000" w:themeColor="text1"/>
              </w:rPr>
            </w:pPr>
            <w:r w:rsidRPr="00F93273">
              <w:rPr>
                <w:color w:val="000000" w:themeColor="text1"/>
              </w:rPr>
              <w:t>Rafael García Martínez &lt;principal&gt;, Vianey Torres-Arguelles &lt;que apoya&gt;</w:t>
            </w:r>
          </w:p>
        </w:tc>
      </w:tr>
      <w:tr w:rsidR="00F93273" w:rsidRPr="00F93273" w14:paraId="25AF420C" w14:textId="77777777" w:rsidTr="00F93273">
        <w:trPr>
          <w:jc w:val="center"/>
        </w:trPr>
        <w:tc>
          <w:tcPr>
            <w:tcW w:w="3045" w:type="dxa"/>
            <w:tcMar>
              <w:top w:w="100" w:type="dxa"/>
              <w:left w:w="100" w:type="dxa"/>
              <w:bottom w:w="100" w:type="dxa"/>
              <w:right w:w="100" w:type="dxa"/>
            </w:tcMar>
          </w:tcPr>
          <w:p w14:paraId="7F408465" w14:textId="77777777" w:rsidR="00F93273" w:rsidRPr="00F93273" w:rsidRDefault="00F93273" w:rsidP="000A2795">
            <w:pPr>
              <w:widowControl w:val="0"/>
              <w:rPr>
                <w:color w:val="000000" w:themeColor="text1"/>
              </w:rPr>
            </w:pPr>
            <w:r w:rsidRPr="00F93273">
              <w:rPr>
                <w:color w:val="000000" w:themeColor="text1"/>
              </w:rPr>
              <w:t>Administración de Proyectos</w:t>
            </w:r>
          </w:p>
        </w:tc>
        <w:tc>
          <w:tcPr>
            <w:tcW w:w="6315" w:type="dxa"/>
            <w:tcMar>
              <w:top w:w="100" w:type="dxa"/>
              <w:left w:w="100" w:type="dxa"/>
              <w:bottom w:w="100" w:type="dxa"/>
              <w:right w:w="100" w:type="dxa"/>
            </w:tcMar>
          </w:tcPr>
          <w:p w14:paraId="692403B6" w14:textId="77777777" w:rsidR="00F93273" w:rsidRPr="00F93273" w:rsidRDefault="00F93273" w:rsidP="000A2795">
            <w:pPr>
              <w:widowControl w:val="0"/>
              <w:rPr>
                <w:color w:val="000000" w:themeColor="text1"/>
              </w:rPr>
            </w:pPr>
            <w:r w:rsidRPr="00F93273">
              <w:rPr>
                <w:color w:val="000000" w:themeColor="text1"/>
              </w:rPr>
              <w:t>Gabriela Margarita Reyna García &lt;principal&gt;, Rafael García Martínez &lt;igual&gt;</w:t>
            </w:r>
          </w:p>
        </w:tc>
      </w:tr>
      <w:tr w:rsidR="00F93273" w:rsidRPr="00F93273" w14:paraId="25961466" w14:textId="77777777" w:rsidTr="00F93273">
        <w:trPr>
          <w:jc w:val="center"/>
        </w:trPr>
        <w:tc>
          <w:tcPr>
            <w:tcW w:w="3045" w:type="dxa"/>
            <w:tcMar>
              <w:top w:w="100" w:type="dxa"/>
              <w:left w:w="100" w:type="dxa"/>
              <w:bottom w:w="100" w:type="dxa"/>
              <w:right w:w="100" w:type="dxa"/>
            </w:tcMar>
          </w:tcPr>
          <w:p w14:paraId="4F859389" w14:textId="77777777" w:rsidR="00F93273" w:rsidRPr="00F93273" w:rsidRDefault="00F93273" w:rsidP="000A2795">
            <w:pPr>
              <w:widowControl w:val="0"/>
              <w:rPr>
                <w:color w:val="000000" w:themeColor="text1"/>
              </w:rPr>
            </w:pPr>
            <w:r w:rsidRPr="00F93273">
              <w:rPr>
                <w:color w:val="000000" w:themeColor="text1"/>
              </w:rPr>
              <w:t>Adquisición de fondos</w:t>
            </w:r>
          </w:p>
        </w:tc>
        <w:tc>
          <w:tcPr>
            <w:tcW w:w="6315" w:type="dxa"/>
            <w:tcMar>
              <w:top w:w="100" w:type="dxa"/>
              <w:left w:w="100" w:type="dxa"/>
              <w:bottom w:w="100" w:type="dxa"/>
              <w:right w:w="100" w:type="dxa"/>
            </w:tcMar>
          </w:tcPr>
          <w:p w14:paraId="5279CC0E" w14:textId="77777777" w:rsidR="00F93273" w:rsidRPr="00F93273" w:rsidRDefault="00F93273" w:rsidP="000A2795">
            <w:pPr>
              <w:widowControl w:val="0"/>
              <w:rPr>
                <w:color w:val="000000" w:themeColor="text1"/>
              </w:rPr>
            </w:pPr>
            <w:r w:rsidRPr="00F93273">
              <w:rPr>
                <w:color w:val="000000" w:themeColor="text1"/>
              </w:rPr>
              <w:t>Gabriela Margarita Reyna García &lt;principal&gt;, Vianey Torres-Arguelles &lt;que apoya&gt;</w:t>
            </w:r>
          </w:p>
        </w:tc>
      </w:tr>
    </w:tbl>
    <w:p w14:paraId="2F798A0B" w14:textId="256C0576" w:rsidR="00F93273" w:rsidRDefault="00F93273" w:rsidP="00AB10F1">
      <w:pPr>
        <w:spacing w:after="120"/>
        <w:ind w:left="567" w:hanging="567"/>
        <w:jc w:val="both"/>
        <w:rPr>
          <w:sz w:val="22"/>
          <w:szCs w:val="22"/>
        </w:rPr>
      </w:pPr>
    </w:p>
    <w:p w14:paraId="3C1A41BB" w14:textId="56586FCF" w:rsidR="00F70452" w:rsidRDefault="00F70452" w:rsidP="00AB10F1">
      <w:pPr>
        <w:spacing w:after="120"/>
        <w:ind w:left="567" w:hanging="567"/>
        <w:jc w:val="both"/>
        <w:rPr>
          <w:sz w:val="22"/>
          <w:szCs w:val="22"/>
        </w:rPr>
      </w:pPr>
    </w:p>
    <w:p w14:paraId="19C63FFA" w14:textId="26BD5759" w:rsidR="00F70452" w:rsidRDefault="00F70452" w:rsidP="00AB10F1">
      <w:pPr>
        <w:spacing w:after="120"/>
        <w:ind w:left="567" w:hanging="567"/>
        <w:jc w:val="both"/>
        <w:rPr>
          <w:sz w:val="22"/>
          <w:szCs w:val="22"/>
        </w:rPr>
      </w:pPr>
    </w:p>
    <w:p w14:paraId="48CCB092" w14:textId="33585BA1" w:rsidR="00F70452" w:rsidRDefault="00F70452" w:rsidP="00AB10F1">
      <w:pPr>
        <w:spacing w:after="120"/>
        <w:ind w:left="567" w:hanging="567"/>
        <w:jc w:val="both"/>
        <w:rPr>
          <w:sz w:val="22"/>
          <w:szCs w:val="22"/>
        </w:rPr>
      </w:pPr>
    </w:p>
    <w:p w14:paraId="5FBFF95E" w14:textId="62CE68BB" w:rsidR="00F70452" w:rsidRDefault="00F70452" w:rsidP="00AB10F1">
      <w:pPr>
        <w:spacing w:after="120"/>
        <w:ind w:left="567" w:hanging="567"/>
        <w:jc w:val="both"/>
        <w:rPr>
          <w:sz w:val="22"/>
          <w:szCs w:val="22"/>
        </w:rPr>
      </w:pPr>
    </w:p>
    <w:p w14:paraId="73D1E622" w14:textId="77777777" w:rsidR="00F70452" w:rsidRDefault="00F70452" w:rsidP="00F70452">
      <w:pPr>
        <w:spacing w:after="120"/>
        <w:ind w:left="567" w:hanging="567"/>
        <w:jc w:val="center"/>
        <w:rPr>
          <w:b/>
          <w:sz w:val="28"/>
          <w:szCs w:val="28"/>
        </w:rPr>
      </w:pPr>
    </w:p>
    <w:p w14:paraId="7061A97E" w14:textId="09C51716" w:rsidR="00F70452" w:rsidRPr="00F70452" w:rsidRDefault="00F70452" w:rsidP="009D4693">
      <w:pPr>
        <w:spacing w:after="120"/>
        <w:ind w:left="567" w:hanging="567"/>
        <w:jc w:val="center"/>
        <w:rPr>
          <w:b/>
          <w:sz w:val="28"/>
          <w:szCs w:val="28"/>
        </w:rPr>
      </w:pPr>
      <w:r w:rsidRPr="00F70452">
        <w:rPr>
          <w:b/>
          <w:sz w:val="28"/>
          <w:szCs w:val="28"/>
        </w:rPr>
        <w:lastRenderedPageBreak/>
        <w:t>A</w:t>
      </w:r>
      <w:r w:rsidR="009D4693">
        <w:rPr>
          <w:b/>
          <w:sz w:val="28"/>
          <w:szCs w:val="28"/>
        </w:rPr>
        <w:t>péndice</w:t>
      </w:r>
      <w:r w:rsidRPr="00F70452">
        <w:rPr>
          <w:b/>
          <w:sz w:val="28"/>
          <w:szCs w:val="28"/>
        </w:rPr>
        <w:t xml:space="preserve"> A</w:t>
      </w:r>
    </w:p>
    <w:p w14:paraId="2CE482FB" w14:textId="5246992D" w:rsidR="00F70452" w:rsidRDefault="00F70452" w:rsidP="00AB10F1">
      <w:pPr>
        <w:spacing w:after="120"/>
        <w:ind w:left="567" w:hanging="567"/>
        <w:jc w:val="both"/>
        <w:rPr>
          <w:sz w:val="22"/>
          <w:szCs w:val="22"/>
        </w:rPr>
      </w:pPr>
    </w:p>
    <w:p w14:paraId="796F3846" w14:textId="15EE7C16" w:rsidR="00F70452" w:rsidRDefault="00F70452" w:rsidP="00582E42">
      <w:pPr>
        <w:spacing w:after="120"/>
        <w:ind w:left="567" w:hanging="567"/>
        <w:jc w:val="center"/>
      </w:pPr>
      <w:r w:rsidRPr="00F70452">
        <w:rPr>
          <w:b/>
        </w:rPr>
        <w:t xml:space="preserve">Tabla </w:t>
      </w:r>
      <w:r w:rsidR="00EE7AF7">
        <w:rPr>
          <w:b/>
        </w:rPr>
        <w:t>4</w:t>
      </w:r>
      <w:r w:rsidRPr="00F70452">
        <w:rPr>
          <w:b/>
        </w:rPr>
        <w:t>.</w:t>
      </w:r>
      <w:r w:rsidRPr="00F70452">
        <w:rPr>
          <w:b/>
          <w:bCs/>
        </w:rPr>
        <w:t xml:space="preserve"> </w:t>
      </w:r>
      <w:r w:rsidRPr="00F70452">
        <w:t>Instrumento de medición en formato de cuestionario para juicio de expertos</w:t>
      </w:r>
    </w:p>
    <w:p w14:paraId="76C46FE3" w14:textId="2FADF3E1" w:rsidR="008E27BB" w:rsidRDefault="005844EA" w:rsidP="008E27BB">
      <w:pPr>
        <w:spacing w:after="120"/>
        <w:ind w:left="567" w:hanging="567"/>
        <w:jc w:val="center"/>
      </w:pPr>
      <w:r w:rsidRPr="005844EA">
        <w:rPr>
          <w:noProof/>
        </w:rPr>
        <w:drawing>
          <wp:inline distT="0" distB="0" distL="0" distR="0" wp14:anchorId="45805400" wp14:editId="2518EAA8">
            <wp:extent cx="5612130" cy="7575976"/>
            <wp:effectExtent l="0" t="0" r="7620"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612130" cy="7575976"/>
                    </a:xfrm>
                    <a:prstGeom prst="rect">
                      <a:avLst/>
                    </a:prstGeom>
                    <a:noFill/>
                    <a:ln>
                      <a:noFill/>
                    </a:ln>
                  </pic:spPr>
                </pic:pic>
              </a:graphicData>
            </a:graphic>
          </wp:inline>
        </w:drawing>
      </w:r>
    </w:p>
    <w:p w14:paraId="43898B3B" w14:textId="775D29A1" w:rsidR="008E27BB" w:rsidRDefault="008E27BB" w:rsidP="008E27BB">
      <w:pPr>
        <w:spacing w:after="120"/>
        <w:ind w:left="567" w:hanging="567"/>
        <w:jc w:val="center"/>
      </w:pPr>
    </w:p>
    <w:p w14:paraId="0B717EC6" w14:textId="0A4BB580" w:rsidR="008E27BB" w:rsidRDefault="008E27BB" w:rsidP="00582E42">
      <w:pPr>
        <w:spacing w:after="120"/>
        <w:ind w:left="567" w:hanging="567"/>
        <w:jc w:val="center"/>
      </w:pPr>
    </w:p>
    <w:p w14:paraId="70A54D11" w14:textId="60A042B1" w:rsidR="008E27BB" w:rsidRDefault="005844EA" w:rsidP="00582E42">
      <w:pPr>
        <w:spacing w:after="120"/>
        <w:ind w:left="567" w:hanging="567"/>
        <w:jc w:val="center"/>
      </w:pPr>
      <w:r w:rsidRPr="005844EA">
        <w:rPr>
          <w:noProof/>
        </w:rPr>
        <w:drawing>
          <wp:inline distT="0" distB="0" distL="0" distR="0" wp14:anchorId="0C6FBBCA" wp14:editId="4E5A402F">
            <wp:extent cx="5611495" cy="7353300"/>
            <wp:effectExtent l="0" t="0" r="825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614771" cy="7357593"/>
                    </a:xfrm>
                    <a:prstGeom prst="rect">
                      <a:avLst/>
                    </a:prstGeom>
                    <a:noFill/>
                    <a:ln>
                      <a:noFill/>
                    </a:ln>
                  </pic:spPr>
                </pic:pic>
              </a:graphicData>
            </a:graphic>
          </wp:inline>
        </w:drawing>
      </w:r>
    </w:p>
    <w:p w14:paraId="6510DE9A" w14:textId="5338A0D2" w:rsidR="008E27BB" w:rsidRDefault="008E27BB" w:rsidP="00582E42">
      <w:pPr>
        <w:spacing w:after="120"/>
        <w:ind w:left="567" w:hanging="567"/>
        <w:jc w:val="center"/>
      </w:pPr>
    </w:p>
    <w:p w14:paraId="3E7E8130" w14:textId="47EF0785" w:rsidR="008E27BB" w:rsidRDefault="008E27BB" w:rsidP="00582E42">
      <w:pPr>
        <w:spacing w:after="120"/>
        <w:ind w:left="567" w:hanging="567"/>
        <w:jc w:val="center"/>
      </w:pPr>
    </w:p>
    <w:p w14:paraId="38006703" w14:textId="027CB4F0" w:rsidR="005844EA" w:rsidRDefault="005844EA" w:rsidP="00582E42">
      <w:pPr>
        <w:spacing w:after="120"/>
        <w:ind w:left="567" w:hanging="567"/>
        <w:jc w:val="center"/>
      </w:pPr>
    </w:p>
    <w:p w14:paraId="0535FC4F" w14:textId="77777777" w:rsidR="005844EA" w:rsidRDefault="005844EA" w:rsidP="00582E42">
      <w:pPr>
        <w:spacing w:after="120"/>
        <w:ind w:left="567" w:hanging="567"/>
        <w:jc w:val="center"/>
      </w:pPr>
    </w:p>
    <w:p w14:paraId="2246A9CF" w14:textId="28EBA35F" w:rsidR="008E27BB" w:rsidRDefault="005844EA" w:rsidP="00582E42">
      <w:pPr>
        <w:spacing w:after="120"/>
        <w:ind w:left="567" w:hanging="567"/>
        <w:jc w:val="center"/>
      </w:pPr>
      <w:r w:rsidRPr="005844EA">
        <w:rPr>
          <w:noProof/>
        </w:rPr>
        <w:lastRenderedPageBreak/>
        <w:drawing>
          <wp:inline distT="0" distB="0" distL="0" distR="0" wp14:anchorId="22AC28CA" wp14:editId="041785B5">
            <wp:extent cx="5611895" cy="8028305"/>
            <wp:effectExtent l="0" t="0" r="825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619733" cy="8039517"/>
                    </a:xfrm>
                    <a:prstGeom prst="rect">
                      <a:avLst/>
                    </a:prstGeom>
                    <a:noFill/>
                    <a:ln>
                      <a:noFill/>
                    </a:ln>
                  </pic:spPr>
                </pic:pic>
              </a:graphicData>
            </a:graphic>
          </wp:inline>
        </w:drawing>
      </w:r>
    </w:p>
    <w:p w14:paraId="2663DBCF" w14:textId="0DF25A5A" w:rsidR="008E27BB" w:rsidRDefault="005844EA" w:rsidP="00582E42">
      <w:pPr>
        <w:spacing w:after="120"/>
        <w:ind w:left="567" w:hanging="567"/>
        <w:jc w:val="center"/>
      </w:pPr>
      <w:r>
        <w:t>Fuente: Elaboración propia</w:t>
      </w:r>
    </w:p>
    <w:p w14:paraId="337EE45E" w14:textId="77777777" w:rsidR="00651EA3" w:rsidRPr="005B541A" w:rsidRDefault="00651EA3"/>
    <w:sectPr w:rsidR="00651EA3" w:rsidRPr="005B541A" w:rsidSect="00F93273">
      <w:headerReference w:type="default" r:id="rId26"/>
      <w:footerReference w:type="default" r:id="rId27"/>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DCFB7" w14:textId="77777777" w:rsidR="00932E60" w:rsidRDefault="00932E60">
      <w:r>
        <w:separator/>
      </w:r>
    </w:p>
  </w:endnote>
  <w:endnote w:type="continuationSeparator" w:id="0">
    <w:p w14:paraId="0BFE7943" w14:textId="77777777" w:rsidR="00932E60" w:rsidRDefault="00932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tos">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TimesNewRomanPS-ItalicMT">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DD5E6" w14:textId="3508023F" w:rsidR="00B84C24" w:rsidRDefault="00B84C24">
    <w:pPr>
      <w:pStyle w:val="Piedepgina"/>
    </w:pPr>
    <w:r>
      <w:t xml:space="preserve">                     </w:t>
    </w:r>
    <w:r>
      <w:rPr>
        <w:noProof/>
      </w:rPr>
      <w:drawing>
        <wp:inline distT="0" distB="0" distL="0" distR="0" wp14:anchorId="564060F9" wp14:editId="7ED51AC7">
          <wp:extent cx="1600200" cy="419100"/>
          <wp:effectExtent l="0" t="0" r="0" b="0"/>
          <wp:docPr id="195310778" name="Imagen 19531077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10778" name="Imagen 195310778"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F93273">
      <w:rPr>
        <w:rFonts w:ascii="Calibri" w:hAnsi="Calibri" w:cs="Calibri"/>
        <w:b/>
        <w:sz w:val="22"/>
        <w:szCs w:val="22"/>
      </w:rPr>
      <w:t>Vol. 16 Num. 32 Enero – Junio 2026, 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8D325" w14:textId="77777777" w:rsidR="00932E60" w:rsidRDefault="00932E60">
      <w:r>
        <w:separator/>
      </w:r>
    </w:p>
  </w:footnote>
  <w:footnote w:type="continuationSeparator" w:id="0">
    <w:p w14:paraId="65FAE957" w14:textId="77777777" w:rsidR="00932E60" w:rsidRDefault="00932E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A28BC" w14:textId="628B556A" w:rsidR="00B84C24" w:rsidRDefault="00B84C24" w:rsidP="00F93273">
    <w:pPr>
      <w:pStyle w:val="Encabezado"/>
      <w:jc w:val="center"/>
    </w:pPr>
    <w:r>
      <w:rPr>
        <w:noProof/>
      </w:rPr>
      <w:drawing>
        <wp:inline distT="0" distB="0" distL="0" distR="0" wp14:anchorId="1658BDB8" wp14:editId="6572F922">
          <wp:extent cx="5397500" cy="635000"/>
          <wp:effectExtent l="0" t="0" r="0" b="0"/>
          <wp:docPr id="28659100" name="Imagen 28659100"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9100" name="Imagen 28659100"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A38A3"/>
    <w:multiLevelType w:val="hybridMultilevel"/>
    <w:tmpl w:val="D0BAF7B4"/>
    <w:lvl w:ilvl="0" w:tplc="339AED6C">
      <w:numFmt w:val="bullet"/>
      <w:lvlText w:val="•"/>
      <w:lvlJc w:val="left"/>
      <w:pPr>
        <w:ind w:left="644" w:hanging="360"/>
      </w:pPr>
      <w:rPr>
        <w:rFonts w:ascii="Times New Roman" w:eastAsia="SimSun" w:hAnsi="Times New Roman" w:cs="Times New Roman"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 w15:restartNumberingAfterBreak="0">
    <w:nsid w:val="0C31766F"/>
    <w:multiLevelType w:val="hybridMultilevel"/>
    <w:tmpl w:val="7E6EE0C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 w15:restartNumberingAfterBreak="0">
    <w:nsid w:val="49493BB9"/>
    <w:multiLevelType w:val="hybridMultilevel"/>
    <w:tmpl w:val="7F5EC37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373600"/>
    <w:multiLevelType w:val="hybridMultilevel"/>
    <w:tmpl w:val="A4A26D18"/>
    <w:lvl w:ilvl="0" w:tplc="A410864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56ED19A5"/>
    <w:multiLevelType w:val="hybridMultilevel"/>
    <w:tmpl w:val="3B52343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E6119B"/>
    <w:multiLevelType w:val="hybridMultilevel"/>
    <w:tmpl w:val="9A3A3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4430AF"/>
    <w:multiLevelType w:val="hybridMultilevel"/>
    <w:tmpl w:val="120A6286"/>
    <w:lvl w:ilvl="0" w:tplc="B71C65DC">
      <w:start w:val="3"/>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1792032">
    <w:abstractNumId w:val="5"/>
  </w:num>
  <w:num w:numId="2" w16cid:durableId="2093307536">
    <w:abstractNumId w:val="6"/>
  </w:num>
  <w:num w:numId="3" w16cid:durableId="524443809">
    <w:abstractNumId w:val="3"/>
  </w:num>
  <w:num w:numId="4" w16cid:durableId="303120751">
    <w:abstractNumId w:val="4"/>
  </w:num>
  <w:num w:numId="5" w16cid:durableId="1109397337">
    <w:abstractNumId w:val="2"/>
  </w:num>
  <w:num w:numId="6" w16cid:durableId="631791891">
    <w:abstractNumId w:val="1"/>
  </w:num>
  <w:num w:numId="7" w16cid:durableId="1250846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1C2"/>
    <w:rsid w:val="00002F19"/>
    <w:rsid w:val="00011351"/>
    <w:rsid w:val="00012831"/>
    <w:rsid w:val="00012C51"/>
    <w:rsid w:val="00013752"/>
    <w:rsid w:val="00017D2D"/>
    <w:rsid w:val="00023785"/>
    <w:rsid w:val="00024552"/>
    <w:rsid w:val="00033571"/>
    <w:rsid w:val="000351D8"/>
    <w:rsid w:val="000413F4"/>
    <w:rsid w:val="00065A84"/>
    <w:rsid w:val="000660DF"/>
    <w:rsid w:val="000662BF"/>
    <w:rsid w:val="00071713"/>
    <w:rsid w:val="0007712A"/>
    <w:rsid w:val="00086BCB"/>
    <w:rsid w:val="000871F2"/>
    <w:rsid w:val="000A1503"/>
    <w:rsid w:val="000A2795"/>
    <w:rsid w:val="000A449E"/>
    <w:rsid w:val="000A719A"/>
    <w:rsid w:val="000B4C82"/>
    <w:rsid w:val="000B7587"/>
    <w:rsid w:val="000C1193"/>
    <w:rsid w:val="000C2FE2"/>
    <w:rsid w:val="000C5BC4"/>
    <w:rsid w:val="000C62F2"/>
    <w:rsid w:val="000E09D4"/>
    <w:rsid w:val="000E229E"/>
    <w:rsid w:val="000E5403"/>
    <w:rsid w:val="000E5AE2"/>
    <w:rsid w:val="000F03E5"/>
    <w:rsid w:val="001049CC"/>
    <w:rsid w:val="00104A9F"/>
    <w:rsid w:val="0010513D"/>
    <w:rsid w:val="001246AE"/>
    <w:rsid w:val="001253DE"/>
    <w:rsid w:val="00125FC0"/>
    <w:rsid w:val="00126366"/>
    <w:rsid w:val="0014284F"/>
    <w:rsid w:val="00143519"/>
    <w:rsid w:val="00143A3D"/>
    <w:rsid w:val="00144598"/>
    <w:rsid w:val="0015108C"/>
    <w:rsid w:val="0016449C"/>
    <w:rsid w:val="0017074E"/>
    <w:rsid w:val="00173505"/>
    <w:rsid w:val="001739B6"/>
    <w:rsid w:val="0017490D"/>
    <w:rsid w:val="00191AD6"/>
    <w:rsid w:val="001A0C09"/>
    <w:rsid w:val="001A2224"/>
    <w:rsid w:val="001B35B4"/>
    <w:rsid w:val="001C05CA"/>
    <w:rsid w:val="001C36E2"/>
    <w:rsid w:val="001C5816"/>
    <w:rsid w:val="001D50D4"/>
    <w:rsid w:val="001D72DA"/>
    <w:rsid w:val="001E2DB7"/>
    <w:rsid w:val="001E7D41"/>
    <w:rsid w:val="0020374E"/>
    <w:rsid w:val="002040BD"/>
    <w:rsid w:val="002110CE"/>
    <w:rsid w:val="0022254A"/>
    <w:rsid w:val="002248F7"/>
    <w:rsid w:val="00235303"/>
    <w:rsid w:val="00251494"/>
    <w:rsid w:val="00256FF9"/>
    <w:rsid w:val="002646D3"/>
    <w:rsid w:val="002768C9"/>
    <w:rsid w:val="0028061D"/>
    <w:rsid w:val="0028797F"/>
    <w:rsid w:val="00294C62"/>
    <w:rsid w:val="00296052"/>
    <w:rsid w:val="002A607C"/>
    <w:rsid w:val="002A6BB7"/>
    <w:rsid w:val="002B136E"/>
    <w:rsid w:val="002B7F6A"/>
    <w:rsid w:val="002C21A0"/>
    <w:rsid w:val="002C76CE"/>
    <w:rsid w:val="002C7C3E"/>
    <w:rsid w:val="002D3630"/>
    <w:rsid w:val="002D6C3E"/>
    <w:rsid w:val="002E05ED"/>
    <w:rsid w:val="002E4317"/>
    <w:rsid w:val="003021C9"/>
    <w:rsid w:val="00305842"/>
    <w:rsid w:val="003117AE"/>
    <w:rsid w:val="00314386"/>
    <w:rsid w:val="003200D2"/>
    <w:rsid w:val="003227C3"/>
    <w:rsid w:val="0032564E"/>
    <w:rsid w:val="003273D0"/>
    <w:rsid w:val="0034291E"/>
    <w:rsid w:val="003536AA"/>
    <w:rsid w:val="00361DC8"/>
    <w:rsid w:val="003824E6"/>
    <w:rsid w:val="00383D73"/>
    <w:rsid w:val="0039579F"/>
    <w:rsid w:val="003968E9"/>
    <w:rsid w:val="003A6B9B"/>
    <w:rsid w:val="003B2CBB"/>
    <w:rsid w:val="003B49E8"/>
    <w:rsid w:val="003C06E2"/>
    <w:rsid w:val="003C4B7D"/>
    <w:rsid w:val="003D088F"/>
    <w:rsid w:val="003D2AAF"/>
    <w:rsid w:val="003E3D7F"/>
    <w:rsid w:val="003E4501"/>
    <w:rsid w:val="003F2D61"/>
    <w:rsid w:val="003F4569"/>
    <w:rsid w:val="003F5E32"/>
    <w:rsid w:val="00401B90"/>
    <w:rsid w:val="00403592"/>
    <w:rsid w:val="00417F0C"/>
    <w:rsid w:val="004237DC"/>
    <w:rsid w:val="00425A05"/>
    <w:rsid w:val="004278DF"/>
    <w:rsid w:val="00427C33"/>
    <w:rsid w:val="00430695"/>
    <w:rsid w:val="00430D9D"/>
    <w:rsid w:val="004312AF"/>
    <w:rsid w:val="00437880"/>
    <w:rsid w:val="00437BA1"/>
    <w:rsid w:val="004433A0"/>
    <w:rsid w:val="00452F1B"/>
    <w:rsid w:val="00453DB9"/>
    <w:rsid w:val="00457367"/>
    <w:rsid w:val="00463CDD"/>
    <w:rsid w:val="00467FD8"/>
    <w:rsid w:val="00472DA6"/>
    <w:rsid w:val="00475BA2"/>
    <w:rsid w:val="00482118"/>
    <w:rsid w:val="00490444"/>
    <w:rsid w:val="00493422"/>
    <w:rsid w:val="00494FB7"/>
    <w:rsid w:val="00496546"/>
    <w:rsid w:val="004A3278"/>
    <w:rsid w:val="004A5071"/>
    <w:rsid w:val="004A5633"/>
    <w:rsid w:val="004A602E"/>
    <w:rsid w:val="004B483A"/>
    <w:rsid w:val="004C0AC8"/>
    <w:rsid w:val="004C1CA1"/>
    <w:rsid w:val="004C51EA"/>
    <w:rsid w:val="004D0977"/>
    <w:rsid w:val="004D4868"/>
    <w:rsid w:val="004D57A7"/>
    <w:rsid w:val="004E0D97"/>
    <w:rsid w:val="004E2A40"/>
    <w:rsid w:val="004F35CB"/>
    <w:rsid w:val="004F7E39"/>
    <w:rsid w:val="005112F1"/>
    <w:rsid w:val="00513372"/>
    <w:rsid w:val="00515651"/>
    <w:rsid w:val="0051610D"/>
    <w:rsid w:val="00516DA9"/>
    <w:rsid w:val="00531E99"/>
    <w:rsid w:val="0053514A"/>
    <w:rsid w:val="00540D76"/>
    <w:rsid w:val="00543D48"/>
    <w:rsid w:val="005444AA"/>
    <w:rsid w:val="00563EE5"/>
    <w:rsid w:val="00571DA6"/>
    <w:rsid w:val="0058011A"/>
    <w:rsid w:val="005810BD"/>
    <w:rsid w:val="00581598"/>
    <w:rsid w:val="00582E42"/>
    <w:rsid w:val="005844EA"/>
    <w:rsid w:val="00586D4A"/>
    <w:rsid w:val="0059084A"/>
    <w:rsid w:val="005919F5"/>
    <w:rsid w:val="005A27C7"/>
    <w:rsid w:val="005B1C19"/>
    <w:rsid w:val="005B31DC"/>
    <w:rsid w:val="005B3B66"/>
    <w:rsid w:val="005B541A"/>
    <w:rsid w:val="005C09B4"/>
    <w:rsid w:val="005C286D"/>
    <w:rsid w:val="005C2D9E"/>
    <w:rsid w:val="005C6CE0"/>
    <w:rsid w:val="005C7BE6"/>
    <w:rsid w:val="005D0AAE"/>
    <w:rsid w:val="005D193E"/>
    <w:rsid w:val="005D48F9"/>
    <w:rsid w:val="005F0874"/>
    <w:rsid w:val="005F4B92"/>
    <w:rsid w:val="006031E4"/>
    <w:rsid w:val="00604A2A"/>
    <w:rsid w:val="00607ED6"/>
    <w:rsid w:val="006106C6"/>
    <w:rsid w:val="0061208D"/>
    <w:rsid w:val="00616129"/>
    <w:rsid w:val="00621B11"/>
    <w:rsid w:val="00622014"/>
    <w:rsid w:val="006244FE"/>
    <w:rsid w:val="00627238"/>
    <w:rsid w:val="0063436F"/>
    <w:rsid w:val="006360C8"/>
    <w:rsid w:val="006404D7"/>
    <w:rsid w:val="00642636"/>
    <w:rsid w:val="00646838"/>
    <w:rsid w:val="00651EA3"/>
    <w:rsid w:val="00657B24"/>
    <w:rsid w:val="00663E0A"/>
    <w:rsid w:val="00665BB7"/>
    <w:rsid w:val="00673204"/>
    <w:rsid w:val="006845BB"/>
    <w:rsid w:val="006878F8"/>
    <w:rsid w:val="006A2D2B"/>
    <w:rsid w:val="006A3F68"/>
    <w:rsid w:val="006A6465"/>
    <w:rsid w:val="006B6D34"/>
    <w:rsid w:val="006C5731"/>
    <w:rsid w:val="006D3314"/>
    <w:rsid w:val="006D3FC4"/>
    <w:rsid w:val="006D5006"/>
    <w:rsid w:val="006E42AB"/>
    <w:rsid w:val="006F55BB"/>
    <w:rsid w:val="006F656D"/>
    <w:rsid w:val="00721A5F"/>
    <w:rsid w:val="0072566C"/>
    <w:rsid w:val="007371C2"/>
    <w:rsid w:val="00743AAD"/>
    <w:rsid w:val="00743E86"/>
    <w:rsid w:val="007531AB"/>
    <w:rsid w:val="00757D6B"/>
    <w:rsid w:val="00765D1A"/>
    <w:rsid w:val="00771F86"/>
    <w:rsid w:val="00772F62"/>
    <w:rsid w:val="00773AD2"/>
    <w:rsid w:val="007904A2"/>
    <w:rsid w:val="007904BE"/>
    <w:rsid w:val="007945E2"/>
    <w:rsid w:val="00796CEA"/>
    <w:rsid w:val="007A3C0D"/>
    <w:rsid w:val="007A3E42"/>
    <w:rsid w:val="007A508B"/>
    <w:rsid w:val="007B59F1"/>
    <w:rsid w:val="007C32F0"/>
    <w:rsid w:val="007C77EE"/>
    <w:rsid w:val="007F194F"/>
    <w:rsid w:val="00805AE2"/>
    <w:rsid w:val="00810AF8"/>
    <w:rsid w:val="00815533"/>
    <w:rsid w:val="00815A75"/>
    <w:rsid w:val="0082025E"/>
    <w:rsid w:val="008224AB"/>
    <w:rsid w:val="00822A41"/>
    <w:rsid w:val="00833055"/>
    <w:rsid w:val="00834198"/>
    <w:rsid w:val="00834B3F"/>
    <w:rsid w:val="00834E21"/>
    <w:rsid w:val="00835100"/>
    <w:rsid w:val="0083601E"/>
    <w:rsid w:val="00842964"/>
    <w:rsid w:val="00843A77"/>
    <w:rsid w:val="00844EF0"/>
    <w:rsid w:val="00850C25"/>
    <w:rsid w:val="00851ABF"/>
    <w:rsid w:val="0085562E"/>
    <w:rsid w:val="008562C2"/>
    <w:rsid w:val="0085644A"/>
    <w:rsid w:val="0087202A"/>
    <w:rsid w:val="0087370E"/>
    <w:rsid w:val="008742D7"/>
    <w:rsid w:val="008756FD"/>
    <w:rsid w:val="00880E84"/>
    <w:rsid w:val="00883CC3"/>
    <w:rsid w:val="008900BB"/>
    <w:rsid w:val="00895DED"/>
    <w:rsid w:val="008A01F1"/>
    <w:rsid w:val="008A7BA6"/>
    <w:rsid w:val="008B02D9"/>
    <w:rsid w:val="008B7839"/>
    <w:rsid w:val="008C5240"/>
    <w:rsid w:val="008D72F1"/>
    <w:rsid w:val="008E27BB"/>
    <w:rsid w:val="00903A89"/>
    <w:rsid w:val="00903BE0"/>
    <w:rsid w:val="0091235C"/>
    <w:rsid w:val="009211BF"/>
    <w:rsid w:val="00932E60"/>
    <w:rsid w:val="00934716"/>
    <w:rsid w:val="00941429"/>
    <w:rsid w:val="009510AD"/>
    <w:rsid w:val="00952907"/>
    <w:rsid w:val="0095452F"/>
    <w:rsid w:val="00956498"/>
    <w:rsid w:val="00961901"/>
    <w:rsid w:val="009655BA"/>
    <w:rsid w:val="00965EB2"/>
    <w:rsid w:val="00965EDE"/>
    <w:rsid w:val="00967638"/>
    <w:rsid w:val="0097163D"/>
    <w:rsid w:val="00972980"/>
    <w:rsid w:val="009844FB"/>
    <w:rsid w:val="009902BB"/>
    <w:rsid w:val="00990A9A"/>
    <w:rsid w:val="00993354"/>
    <w:rsid w:val="00993B3C"/>
    <w:rsid w:val="009953AD"/>
    <w:rsid w:val="009A2344"/>
    <w:rsid w:val="009A29C8"/>
    <w:rsid w:val="009A7AAB"/>
    <w:rsid w:val="009A7E1B"/>
    <w:rsid w:val="009C0984"/>
    <w:rsid w:val="009C176D"/>
    <w:rsid w:val="009C3C56"/>
    <w:rsid w:val="009C7134"/>
    <w:rsid w:val="009C72BF"/>
    <w:rsid w:val="009C7522"/>
    <w:rsid w:val="009D4693"/>
    <w:rsid w:val="009D5814"/>
    <w:rsid w:val="009D7D3A"/>
    <w:rsid w:val="00A00956"/>
    <w:rsid w:val="00A2071D"/>
    <w:rsid w:val="00A21D75"/>
    <w:rsid w:val="00A2498A"/>
    <w:rsid w:val="00A303FD"/>
    <w:rsid w:val="00A348F6"/>
    <w:rsid w:val="00A3798F"/>
    <w:rsid w:val="00A37C77"/>
    <w:rsid w:val="00A5171D"/>
    <w:rsid w:val="00A615DF"/>
    <w:rsid w:val="00A6768C"/>
    <w:rsid w:val="00A71F67"/>
    <w:rsid w:val="00A72470"/>
    <w:rsid w:val="00A80A14"/>
    <w:rsid w:val="00A87633"/>
    <w:rsid w:val="00A93432"/>
    <w:rsid w:val="00AA1146"/>
    <w:rsid w:val="00AB10F1"/>
    <w:rsid w:val="00AC0CE5"/>
    <w:rsid w:val="00AC3185"/>
    <w:rsid w:val="00AC3CA8"/>
    <w:rsid w:val="00AC4482"/>
    <w:rsid w:val="00AC5769"/>
    <w:rsid w:val="00AC6ABF"/>
    <w:rsid w:val="00AD093A"/>
    <w:rsid w:val="00AE6D89"/>
    <w:rsid w:val="00AF2D19"/>
    <w:rsid w:val="00B103A8"/>
    <w:rsid w:val="00B17A59"/>
    <w:rsid w:val="00B303FA"/>
    <w:rsid w:val="00B3092F"/>
    <w:rsid w:val="00B448F0"/>
    <w:rsid w:val="00B45CF2"/>
    <w:rsid w:val="00B50331"/>
    <w:rsid w:val="00B52EAB"/>
    <w:rsid w:val="00B6426D"/>
    <w:rsid w:val="00B654E8"/>
    <w:rsid w:val="00B66C62"/>
    <w:rsid w:val="00B67359"/>
    <w:rsid w:val="00B72342"/>
    <w:rsid w:val="00B842A8"/>
    <w:rsid w:val="00B84C24"/>
    <w:rsid w:val="00B936A3"/>
    <w:rsid w:val="00B943DA"/>
    <w:rsid w:val="00BA0F75"/>
    <w:rsid w:val="00BA340A"/>
    <w:rsid w:val="00BB16CA"/>
    <w:rsid w:val="00BB6AFC"/>
    <w:rsid w:val="00BB778F"/>
    <w:rsid w:val="00BC08CB"/>
    <w:rsid w:val="00BC1C6A"/>
    <w:rsid w:val="00BC56EA"/>
    <w:rsid w:val="00BC5AC0"/>
    <w:rsid w:val="00BD0342"/>
    <w:rsid w:val="00BD38E3"/>
    <w:rsid w:val="00BD4DB6"/>
    <w:rsid w:val="00BE07CF"/>
    <w:rsid w:val="00BF00B9"/>
    <w:rsid w:val="00BF0DD7"/>
    <w:rsid w:val="00BF10C8"/>
    <w:rsid w:val="00BF1D16"/>
    <w:rsid w:val="00C0690C"/>
    <w:rsid w:val="00C070B9"/>
    <w:rsid w:val="00C12AE0"/>
    <w:rsid w:val="00C22D89"/>
    <w:rsid w:val="00C357C0"/>
    <w:rsid w:val="00C35D9B"/>
    <w:rsid w:val="00C431EC"/>
    <w:rsid w:val="00C51C36"/>
    <w:rsid w:val="00C52140"/>
    <w:rsid w:val="00C62157"/>
    <w:rsid w:val="00C63BD0"/>
    <w:rsid w:val="00C74762"/>
    <w:rsid w:val="00C747F5"/>
    <w:rsid w:val="00C84629"/>
    <w:rsid w:val="00C92411"/>
    <w:rsid w:val="00CA43D3"/>
    <w:rsid w:val="00CB4DED"/>
    <w:rsid w:val="00CB4DF5"/>
    <w:rsid w:val="00CC3472"/>
    <w:rsid w:val="00CD34BF"/>
    <w:rsid w:val="00CD71FB"/>
    <w:rsid w:val="00CE0171"/>
    <w:rsid w:val="00CE4327"/>
    <w:rsid w:val="00CE6ED3"/>
    <w:rsid w:val="00CF0260"/>
    <w:rsid w:val="00CF2379"/>
    <w:rsid w:val="00CF70D2"/>
    <w:rsid w:val="00D05085"/>
    <w:rsid w:val="00D10359"/>
    <w:rsid w:val="00D141C3"/>
    <w:rsid w:val="00D1536B"/>
    <w:rsid w:val="00D20020"/>
    <w:rsid w:val="00D20747"/>
    <w:rsid w:val="00D258BE"/>
    <w:rsid w:val="00D26761"/>
    <w:rsid w:val="00D343AA"/>
    <w:rsid w:val="00D34C4E"/>
    <w:rsid w:val="00D416E2"/>
    <w:rsid w:val="00D42680"/>
    <w:rsid w:val="00D44BDD"/>
    <w:rsid w:val="00D47C8E"/>
    <w:rsid w:val="00D47FB8"/>
    <w:rsid w:val="00D50B6A"/>
    <w:rsid w:val="00D565DE"/>
    <w:rsid w:val="00D617C3"/>
    <w:rsid w:val="00D64078"/>
    <w:rsid w:val="00D66BB0"/>
    <w:rsid w:val="00D737AC"/>
    <w:rsid w:val="00D81FD9"/>
    <w:rsid w:val="00D87EFF"/>
    <w:rsid w:val="00D903CF"/>
    <w:rsid w:val="00D90CE7"/>
    <w:rsid w:val="00D91597"/>
    <w:rsid w:val="00D93966"/>
    <w:rsid w:val="00DA0643"/>
    <w:rsid w:val="00DB17A6"/>
    <w:rsid w:val="00DB5462"/>
    <w:rsid w:val="00DC7C8E"/>
    <w:rsid w:val="00DD4F34"/>
    <w:rsid w:val="00DD5C1B"/>
    <w:rsid w:val="00DD6C9D"/>
    <w:rsid w:val="00DE4E0A"/>
    <w:rsid w:val="00DE5E77"/>
    <w:rsid w:val="00DF549F"/>
    <w:rsid w:val="00E23250"/>
    <w:rsid w:val="00E25FFA"/>
    <w:rsid w:val="00E273D1"/>
    <w:rsid w:val="00E33E98"/>
    <w:rsid w:val="00E3565E"/>
    <w:rsid w:val="00E3638B"/>
    <w:rsid w:val="00E3741D"/>
    <w:rsid w:val="00E411FB"/>
    <w:rsid w:val="00E41398"/>
    <w:rsid w:val="00E413FF"/>
    <w:rsid w:val="00E43725"/>
    <w:rsid w:val="00E5428E"/>
    <w:rsid w:val="00E55125"/>
    <w:rsid w:val="00E61297"/>
    <w:rsid w:val="00E6475D"/>
    <w:rsid w:val="00E71C60"/>
    <w:rsid w:val="00E76C17"/>
    <w:rsid w:val="00E81DBE"/>
    <w:rsid w:val="00E90172"/>
    <w:rsid w:val="00E97C3D"/>
    <w:rsid w:val="00EA3103"/>
    <w:rsid w:val="00EA5724"/>
    <w:rsid w:val="00EB06F8"/>
    <w:rsid w:val="00EB5C70"/>
    <w:rsid w:val="00EC231B"/>
    <w:rsid w:val="00EC6517"/>
    <w:rsid w:val="00EE7AF7"/>
    <w:rsid w:val="00EF0357"/>
    <w:rsid w:val="00F0619F"/>
    <w:rsid w:val="00F17C2A"/>
    <w:rsid w:val="00F227B8"/>
    <w:rsid w:val="00F35314"/>
    <w:rsid w:val="00F473A1"/>
    <w:rsid w:val="00F5303D"/>
    <w:rsid w:val="00F57069"/>
    <w:rsid w:val="00F60E90"/>
    <w:rsid w:val="00F67512"/>
    <w:rsid w:val="00F70452"/>
    <w:rsid w:val="00F731BD"/>
    <w:rsid w:val="00F77256"/>
    <w:rsid w:val="00F77AAE"/>
    <w:rsid w:val="00F81B00"/>
    <w:rsid w:val="00F81F95"/>
    <w:rsid w:val="00F84F87"/>
    <w:rsid w:val="00F92696"/>
    <w:rsid w:val="00F93273"/>
    <w:rsid w:val="00F9641A"/>
    <w:rsid w:val="00FB75F1"/>
    <w:rsid w:val="00FB771F"/>
    <w:rsid w:val="00FC70C5"/>
    <w:rsid w:val="00FD4D61"/>
    <w:rsid w:val="00FE116E"/>
    <w:rsid w:val="00FF2566"/>
    <w:rsid w:val="00FF5434"/>
    <w:rsid w:val="058114F3"/>
    <w:rsid w:val="0ED97D4F"/>
    <w:rsid w:val="14700D1F"/>
    <w:rsid w:val="156E480B"/>
    <w:rsid w:val="15AA4D3F"/>
    <w:rsid w:val="1D0137DC"/>
    <w:rsid w:val="1F000049"/>
    <w:rsid w:val="1F135208"/>
    <w:rsid w:val="1F2E3EDE"/>
    <w:rsid w:val="230D594F"/>
    <w:rsid w:val="28222E3E"/>
    <w:rsid w:val="289B47AA"/>
    <w:rsid w:val="2C700B76"/>
    <w:rsid w:val="38323770"/>
    <w:rsid w:val="426D243A"/>
    <w:rsid w:val="46B109EA"/>
    <w:rsid w:val="4CE56A4A"/>
    <w:rsid w:val="54604B65"/>
    <w:rsid w:val="5F517BED"/>
    <w:rsid w:val="653E7A70"/>
    <w:rsid w:val="65986EA4"/>
    <w:rsid w:val="68A51372"/>
    <w:rsid w:val="7A250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2B1B4AA"/>
  <w15:docId w15:val="{81B167AB-CEB7-43F9-8F2C-063ADC454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val="es-MX" w:eastAsia="es-MX"/>
    </w:rPr>
  </w:style>
  <w:style w:type="paragraph" w:styleId="Ttulo1">
    <w:name w:val="heading 1"/>
    <w:basedOn w:val="Normal"/>
    <w:next w:val="Normal"/>
    <w:link w:val="Ttulo1C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pPr>
      <w:keepNext/>
      <w:keepLines/>
      <w:outlineLvl w:val="7"/>
    </w:pPr>
    <w:rPr>
      <w:rFonts w:eastAsiaTheme="majorEastAsia" w:cstheme="majorBidi"/>
      <w:i/>
      <w:iCs/>
      <w:color w:val="262626" w:themeColor="text1" w:themeTint="D9"/>
    </w:rPr>
  </w:style>
  <w:style w:type="paragraph" w:styleId="Ttulo9">
    <w:name w:val="heading 9"/>
    <w:basedOn w:val="Normal"/>
    <w:next w:val="Normal"/>
    <w:link w:val="Ttulo9Car"/>
    <w:uiPriority w:val="9"/>
    <w:semiHidden/>
    <w:unhideWhenUsed/>
    <w:qFormat/>
    <w:pPr>
      <w:keepNext/>
      <w:keepLines/>
      <w:outlineLvl w:val="8"/>
    </w:pPr>
    <w:rPr>
      <w:rFonts w:eastAsiaTheme="majorEastAsia" w:cstheme="majorBidi"/>
      <w:color w:val="262626" w:themeColor="text1" w:themeTint="D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escripcin">
    <w:name w:val="caption"/>
    <w:basedOn w:val="Normal"/>
    <w:next w:val="Normal"/>
    <w:uiPriority w:val="35"/>
    <w:unhideWhenUsed/>
    <w:qFormat/>
    <w:pPr>
      <w:spacing w:after="200"/>
    </w:pPr>
    <w:rPr>
      <w:i/>
      <w:iCs/>
      <w:color w:val="0E2841" w:themeColor="text2"/>
      <w:sz w:val="18"/>
      <w:szCs w:val="18"/>
    </w:rPr>
  </w:style>
  <w:style w:type="paragraph" w:styleId="Piedepgina">
    <w:name w:val="footer"/>
    <w:basedOn w:val="Normal"/>
    <w:uiPriority w:val="99"/>
    <w:unhideWhenUsed/>
    <w:pPr>
      <w:tabs>
        <w:tab w:val="center" w:pos="4153"/>
        <w:tab w:val="right" w:pos="8306"/>
      </w:tabs>
      <w:snapToGrid w:val="0"/>
    </w:pPr>
    <w:rPr>
      <w:sz w:val="18"/>
      <w:szCs w:val="18"/>
    </w:rPr>
  </w:style>
  <w:style w:type="paragraph" w:styleId="Encabezado">
    <w:name w:val="header"/>
    <w:basedOn w:val="Normal"/>
    <w:uiPriority w:val="99"/>
    <w:unhideWhenUsed/>
    <w:pPr>
      <w:tabs>
        <w:tab w:val="center" w:pos="4153"/>
        <w:tab w:val="right" w:pos="8306"/>
      </w:tabs>
      <w:snapToGrid w:val="0"/>
    </w:pPr>
    <w:rPr>
      <w:sz w:val="18"/>
      <w:szCs w:val="18"/>
    </w:rPr>
  </w:style>
  <w:style w:type="character" w:styleId="Hipervnculo">
    <w:name w:val="Hyperlink"/>
    <w:basedOn w:val="Fuentedeprrafopredeter"/>
    <w:uiPriority w:val="99"/>
    <w:unhideWhenUsed/>
    <w:qFormat/>
    <w:rPr>
      <w:color w:val="467886" w:themeColor="hyperlink"/>
      <w:u w:val="single"/>
    </w:rPr>
  </w:style>
  <w:style w:type="paragraph" w:styleId="NormalWeb">
    <w:name w:val="Normal (Web)"/>
    <w:uiPriority w:val="99"/>
    <w:semiHidden/>
    <w:unhideWhenUsed/>
    <w:pPr>
      <w:spacing w:beforeAutospacing="1" w:afterAutospacing="1"/>
    </w:pPr>
    <w:rPr>
      <w:sz w:val="24"/>
      <w:szCs w:val="24"/>
      <w:lang w:eastAsia="zh-CN"/>
    </w:rPr>
  </w:style>
  <w:style w:type="character" w:styleId="Textoennegrita">
    <w:name w:val="Strong"/>
    <w:basedOn w:val="Fuentedeprrafopredeter"/>
    <w:uiPriority w:val="22"/>
    <w:qFormat/>
    <w:rPr>
      <w:b/>
      <w:bCs/>
    </w:rPr>
  </w:style>
  <w:style w:type="paragraph" w:styleId="Subttulo">
    <w:name w:val="Subtitle"/>
    <w:basedOn w:val="Normal"/>
    <w:next w:val="Normal"/>
    <w:link w:val="SubttuloCar"/>
    <w:uiPriority w:val="11"/>
    <w:qFormat/>
    <w:rPr>
      <w:rFonts w:eastAsiaTheme="majorEastAsia" w:cstheme="majorBidi"/>
      <w:color w:val="595959" w:themeColor="text1" w:themeTint="A6"/>
      <w:spacing w:val="15"/>
      <w:sz w:val="28"/>
      <w:szCs w:val="28"/>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qFormat/>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qFormat/>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qFormat/>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qFormat/>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qFormat/>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qFormat/>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qFormat/>
    <w:rPr>
      <w:rFonts w:eastAsiaTheme="majorEastAsia" w:cstheme="majorBidi"/>
      <w:i/>
      <w:iCs/>
      <w:color w:val="262626" w:themeColor="text1" w:themeTint="D9"/>
    </w:rPr>
  </w:style>
  <w:style w:type="character" w:customStyle="1" w:styleId="Ttulo9Car">
    <w:name w:val="Título 9 Car"/>
    <w:basedOn w:val="Fuentedeprrafopredeter"/>
    <w:link w:val="Ttulo9"/>
    <w:uiPriority w:val="9"/>
    <w:semiHidden/>
    <w:qFormat/>
    <w:rPr>
      <w:rFonts w:eastAsiaTheme="majorEastAsia" w:cstheme="majorBidi"/>
      <w:color w:val="262626" w:themeColor="text1" w:themeTint="D9"/>
    </w:rPr>
  </w:style>
  <w:style w:type="character" w:customStyle="1" w:styleId="TtuloCar">
    <w:name w:val="Título Car"/>
    <w:basedOn w:val="Fuentedeprrafopredeter"/>
    <w:link w:val="Ttulo"/>
    <w:uiPriority w:val="10"/>
    <w:qFormat/>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link w:val="Subttulo"/>
    <w:uiPriority w:val="11"/>
    <w:qFormat/>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pPr>
      <w:spacing w:before="160"/>
      <w:jc w:val="center"/>
    </w:pPr>
    <w:rPr>
      <w:i/>
      <w:iCs/>
      <w:color w:val="404040" w:themeColor="text1" w:themeTint="BF"/>
    </w:rPr>
  </w:style>
  <w:style w:type="character" w:customStyle="1" w:styleId="CitaCar">
    <w:name w:val="Cita Car"/>
    <w:basedOn w:val="Fuentedeprrafopredeter"/>
    <w:link w:val="Cita"/>
    <w:uiPriority w:val="29"/>
    <w:qFormat/>
    <w:rPr>
      <w:i/>
      <w:iCs/>
      <w:color w:val="404040" w:themeColor="text1" w:themeTint="BF"/>
    </w:rPr>
  </w:style>
  <w:style w:type="paragraph" w:styleId="Prrafodelista">
    <w:name w:val="List Paragraph"/>
    <w:basedOn w:val="Normal"/>
    <w:uiPriority w:val="34"/>
    <w:qFormat/>
    <w:pPr>
      <w:ind w:left="720"/>
      <w:contextualSpacing/>
    </w:pPr>
  </w:style>
  <w:style w:type="character" w:customStyle="1" w:styleId="IntenseEmphasis1">
    <w:name w:val="Intense Emphasis1"/>
    <w:basedOn w:val="Fuentedeprrafopredeter"/>
    <w:uiPriority w:val="21"/>
    <w:qFormat/>
    <w:rPr>
      <w:i/>
      <w:iCs/>
      <w:color w:val="0F4761" w:themeColor="accent1" w:themeShade="BF"/>
    </w:rPr>
  </w:style>
  <w:style w:type="paragraph" w:styleId="Citadestacada">
    <w:name w:val="Intense Quote"/>
    <w:basedOn w:val="Normal"/>
    <w:next w:val="Normal"/>
    <w:link w:val="Citadestacada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qFormat/>
    <w:rPr>
      <w:i/>
      <w:iCs/>
      <w:color w:val="0F4761" w:themeColor="accent1" w:themeShade="BF"/>
    </w:rPr>
  </w:style>
  <w:style w:type="character" w:customStyle="1" w:styleId="IntenseReference1">
    <w:name w:val="Intense Reference1"/>
    <w:basedOn w:val="Fuentedeprrafopredeter"/>
    <w:uiPriority w:val="32"/>
    <w:qFormat/>
    <w:rPr>
      <w:b/>
      <w:bCs/>
      <w:smallCaps/>
      <w:color w:val="0F4761" w:themeColor="accent1" w:themeShade="BF"/>
      <w:spacing w:val="5"/>
    </w:rPr>
  </w:style>
  <w:style w:type="character" w:customStyle="1" w:styleId="hgkelc">
    <w:name w:val="hgkelc"/>
    <w:basedOn w:val="Fuentedeprrafopredeter"/>
    <w:qFormat/>
  </w:style>
  <w:style w:type="table" w:customStyle="1" w:styleId="TableGrid">
    <w:name w:val="TableGrid"/>
    <w:qFormat/>
    <w:rPr>
      <w:rFonts w:eastAsiaTheme="minorEastAsia"/>
      <w:lang w:eastAsia="es-MX"/>
    </w:rPr>
    <w:tblPr>
      <w:tblCellMar>
        <w:top w:w="0" w:type="dxa"/>
        <w:left w:w="0" w:type="dxa"/>
        <w:bottom w:w="0" w:type="dxa"/>
        <w:right w:w="0" w:type="dxa"/>
      </w:tblCellMar>
    </w:tblPr>
  </w:style>
  <w:style w:type="paragraph" w:styleId="Sinespaciado">
    <w:name w:val="No Spacing"/>
    <w:uiPriority w:val="1"/>
    <w:qFormat/>
    <w:rPr>
      <w:rFonts w:asciiTheme="minorHAnsi" w:eastAsiaTheme="minorHAnsi" w:hAnsiTheme="minorHAnsi" w:cstheme="minorBidi"/>
      <w:sz w:val="22"/>
      <w:szCs w:val="22"/>
      <w:lang w:val="es-MX"/>
    </w:rPr>
  </w:style>
  <w:style w:type="paragraph" w:customStyle="1" w:styleId="Bibliography1">
    <w:name w:val="Bibliography1"/>
    <w:basedOn w:val="Normal"/>
    <w:next w:val="Normal"/>
    <w:uiPriority w:val="37"/>
    <w:unhideWhenUsed/>
    <w:qFormat/>
  </w:style>
  <w:style w:type="character" w:styleId="Mencinsinresolver">
    <w:name w:val="Unresolved Mention"/>
    <w:basedOn w:val="Fuentedeprrafopredeter"/>
    <w:uiPriority w:val="99"/>
    <w:semiHidden/>
    <w:unhideWhenUsed/>
    <w:rsid w:val="00F35314"/>
    <w:rPr>
      <w:color w:val="605E5C"/>
      <w:shd w:val="clear" w:color="auto" w:fill="E1DFDD"/>
    </w:rPr>
  </w:style>
  <w:style w:type="paragraph" w:styleId="Textodeglobo">
    <w:name w:val="Balloon Text"/>
    <w:basedOn w:val="Normal"/>
    <w:link w:val="TextodegloboCar"/>
    <w:uiPriority w:val="99"/>
    <w:semiHidden/>
    <w:unhideWhenUsed/>
    <w:rsid w:val="0083305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33055"/>
    <w:rPr>
      <w:rFonts w:ascii="Segoe UI" w:eastAsia="Times New Roman" w:hAnsi="Segoe UI" w:cs="Segoe UI"/>
      <w:sz w:val="18"/>
      <w:szCs w:val="18"/>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632688">
      <w:bodyDiv w:val="1"/>
      <w:marLeft w:val="0"/>
      <w:marRight w:val="0"/>
      <w:marTop w:val="0"/>
      <w:marBottom w:val="0"/>
      <w:divBdr>
        <w:top w:val="none" w:sz="0" w:space="0" w:color="auto"/>
        <w:left w:val="none" w:sz="0" w:space="0" w:color="auto"/>
        <w:bottom w:val="none" w:sz="0" w:space="0" w:color="auto"/>
        <w:right w:val="none" w:sz="0" w:space="0" w:color="auto"/>
      </w:divBdr>
      <w:divsChild>
        <w:div w:id="1699353488">
          <w:marLeft w:val="0"/>
          <w:marRight w:val="0"/>
          <w:marTop w:val="0"/>
          <w:marBottom w:val="0"/>
          <w:divBdr>
            <w:top w:val="none" w:sz="0" w:space="0" w:color="auto"/>
            <w:left w:val="none" w:sz="0" w:space="0" w:color="auto"/>
            <w:bottom w:val="none" w:sz="0" w:space="0" w:color="auto"/>
            <w:right w:val="none" w:sz="0" w:space="0" w:color="auto"/>
          </w:divBdr>
          <w:divsChild>
            <w:div w:id="1877346444">
              <w:marLeft w:val="0"/>
              <w:marRight w:val="0"/>
              <w:marTop w:val="0"/>
              <w:marBottom w:val="0"/>
              <w:divBdr>
                <w:top w:val="none" w:sz="0" w:space="0" w:color="auto"/>
                <w:left w:val="none" w:sz="0" w:space="0" w:color="auto"/>
                <w:bottom w:val="none" w:sz="0" w:space="0" w:color="auto"/>
                <w:right w:val="none" w:sz="0" w:space="0" w:color="auto"/>
              </w:divBdr>
            </w:div>
            <w:div w:id="834607078">
              <w:marLeft w:val="0"/>
              <w:marRight w:val="0"/>
              <w:marTop w:val="0"/>
              <w:marBottom w:val="0"/>
              <w:divBdr>
                <w:top w:val="none" w:sz="0" w:space="0" w:color="auto"/>
                <w:left w:val="none" w:sz="0" w:space="0" w:color="auto"/>
                <w:bottom w:val="none" w:sz="0" w:space="0" w:color="auto"/>
                <w:right w:val="none" w:sz="0" w:space="0" w:color="auto"/>
              </w:divBdr>
              <w:divsChild>
                <w:div w:id="19301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199173">
          <w:marLeft w:val="0"/>
          <w:marRight w:val="0"/>
          <w:marTop w:val="0"/>
          <w:marBottom w:val="0"/>
          <w:divBdr>
            <w:top w:val="none" w:sz="0" w:space="0" w:color="auto"/>
            <w:left w:val="none" w:sz="0" w:space="0" w:color="auto"/>
            <w:bottom w:val="none" w:sz="0" w:space="0" w:color="auto"/>
            <w:right w:val="none" w:sz="0" w:space="0" w:color="auto"/>
          </w:divBdr>
          <w:divsChild>
            <w:div w:id="1001853232">
              <w:marLeft w:val="0"/>
              <w:marRight w:val="0"/>
              <w:marTop w:val="0"/>
              <w:marBottom w:val="0"/>
              <w:divBdr>
                <w:top w:val="none" w:sz="0" w:space="0" w:color="auto"/>
                <w:left w:val="none" w:sz="0" w:space="0" w:color="auto"/>
                <w:bottom w:val="none" w:sz="0" w:space="0" w:color="auto"/>
                <w:right w:val="none" w:sz="0" w:space="0" w:color="auto"/>
              </w:divBdr>
              <w:divsChild>
                <w:div w:id="2127113444">
                  <w:marLeft w:val="0"/>
                  <w:marRight w:val="0"/>
                  <w:marTop w:val="0"/>
                  <w:marBottom w:val="0"/>
                  <w:divBdr>
                    <w:top w:val="none" w:sz="0" w:space="0" w:color="auto"/>
                    <w:left w:val="none" w:sz="0" w:space="0" w:color="auto"/>
                    <w:bottom w:val="none" w:sz="0" w:space="0" w:color="auto"/>
                    <w:right w:val="none" w:sz="0" w:space="0" w:color="auto"/>
                  </w:divBdr>
                  <w:divsChild>
                    <w:div w:id="25875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330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anilec.org.mx/wp-content/uploads/2022/12/Compendio_Sector_Lacteo_-2011-2022-act202205.pdf" TargetMode="External"/><Relationship Id="rId18" Type="http://schemas.openxmlformats.org/officeDocument/2006/relationships/hyperlink" Target="https://doi.org/10.1108/BFJ-09-2019-0721."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doi.org/10.2478/orga-2019-0007" TargetMode="External"/><Relationship Id="rId7" Type="http://schemas.openxmlformats.org/officeDocument/2006/relationships/footnotes" Target="footnotes.xml"/><Relationship Id="rId12" Type="http://schemas.openxmlformats.org/officeDocument/2006/relationships/hyperlink" Target="https://doi.org/10.1016/j.techfore.2020.120447" TargetMode="External"/><Relationship Id="rId17" Type="http://schemas.openxmlformats.org/officeDocument/2006/relationships/hyperlink" Target="https://doi.org/10.1080/09537287.2020.1712487" TargetMode="External"/><Relationship Id="rId25"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hyperlink" Target="https://ideas.repec.org/s/ecr/col070.html" TargetMode="External"/><Relationship Id="rId20" Type="http://schemas.openxmlformats.org/officeDocument/2006/relationships/hyperlink" Target="https://doi.org/DO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80/00207543.2018.1530476" TargetMode="External"/><Relationship Id="rId24"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yperlink" Target="https://ideas.repec.org/a/ecr/col070/12025.html" TargetMode="External"/><Relationship Id="rId23" Type="http://schemas.openxmlformats.org/officeDocument/2006/relationships/image" Target="media/image1.emf"/><Relationship Id="rId28" Type="http://schemas.openxmlformats.org/officeDocument/2006/relationships/fontTable" Target="fontTable.xml"/><Relationship Id="rId10" Type="http://schemas.openxmlformats.org/officeDocument/2006/relationships/hyperlink" Target="https://doi.org/10.1016/j.sapharm.2018.03.066." TargetMode="External"/><Relationship Id="rId19" Type="http://schemas.openxmlformats.org/officeDocument/2006/relationships/hyperlink" Target="https://doi.org/10.1097/00006199-198611000-00017." TargetMode="External"/><Relationship Id="rId4" Type="http://schemas.openxmlformats.org/officeDocument/2006/relationships/styles" Target="styles.xml"/><Relationship Id="rId9" Type="http://schemas.openxmlformats.org/officeDocument/2006/relationships/hyperlink" Target="mailto:greynag@tec.mx" TargetMode="External"/><Relationship Id="rId14" Type="http://schemas.openxmlformats.org/officeDocument/2006/relationships/hyperlink" Target="https://doi.org/https://doi-org.pbidi.unam.mx:2443/10.1108/09574099710805556" TargetMode="External"/><Relationship Id="rId22" Type="http://schemas.openxmlformats.org/officeDocument/2006/relationships/hyperlink" Target="https://doi.org/10.1177/0748175612440286."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extobjs>
    <extobj name="2384804F-3998-4D57-9195-F3826E402611-8">
      <extobjdata type="2384804F-3998-4D57-9195-F3826E402611" data="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"/>
    </extobj>
  </extobj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3EB2D5-19BC-414E-BAB3-9C42DB7BE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1106</TotalTime>
  <Pages>22</Pages>
  <Words>8962</Words>
  <Characters>49292</Characters>
  <Application>Microsoft Office Word</Application>
  <DocSecurity>0</DocSecurity>
  <Lines>410</Lines>
  <Paragraphs>116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garcia;Dr. No</dc:creator>
  <cp:lastModifiedBy>Norma Alicia Santilan Castillo</cp:lastModifiedBy>
  <cp:revision>10</cp:revision>
  <cp:lastPrinted>2026-03-26T04:58:00Z</cp:lastPrinted>
  <dcterms:created xsi:type="dcterms:W3CDTF">2026-03-25T00:26:00Z</dcterms:created>
  <dcterms:modified xsi:type="dcterms:W3CDTF">2026-03-26T05:03:00Z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45F6981BFA174BE3BC5DB482A7E958EF_13</vt:lpwstr>
  </property>
</Properties>
</file>