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4B1F" w14:textId="409180E9" w:rsidR="00266FB2" w:rsidRPr="00E25488" w:rsidRDefault="00E25488">
      <w:pPr>
        <w:spacing w:before="240" w:line="360" w:lineRule="auto"/>
        <w:jc w:val="right"/>
        <w:rPr>
          <w:rFonts w:ascii="Times New Roman" w:eastAsia="Times New Roman" w:hAnsi="Times New Roman" w:cs="Times New Roman"/>
          <w:b/>
          <w:i/>
          <w:iCs/>
        </w:rPr>
      </w:pPr>
      <w:r w:rsidRPr="00E25488">
        <w:rPr>
          <w:rFonts w:ascii="Times New Roman" w:eastAsia="Times New Roman" w:hAnsi="Times New Roman" w:cs="Times New Roman"/>
          <w:b/>
          <w:i/>
          <w:iCs/>
        </w:rPr>
        <w:t>https://doi.org/10.23913/ride.v16i32.2827</w:t>
      </w:r>
    </w:p>
    <w:p w14:paraId="01AFB0EB" w14:textId="7B05D188" w:rsidR="00266FB2" w:rsidRDefault="00E25488">
      <w:pPr>
        <w:spacing w:before="240" w:line="360" w:lineRule="auto"/>
        <w:jc w:val="right"/>
        <w:rPr>
          <w:rFonts w:ascii="Times New Roman" w:eastAsia="Times New Roman" w:hAnsi="Times New Roman" w:cs="Times New Roman"/>
          <w:b/>
        </w:rPr>
      </w:pPr>
      <w:r>
        <w:rPr>
          <w:rFonts w:ascii="Times New Roman" w:eastAsia="Times New Roman" w:hAnsi="Times New Roman" w:cs="Times New Roman"/>
          <w:b/>
          <w:i/>
          <w:color w:val="000000"/>
        </w:rPr>
        <w:t>Artículos Científicos</w:t>
      </w:r>
    </w:p>
    <w:p w14:paraId="6390F667" w14:textId="736E1EB3" w:rsidR="000A545E" w:rsidRPr="00B26B8F" w:rsidRDefault="000A545E" w:rsidP="000A545E">
      <w:pPr>
        <w:pStyle w:val="AuthorName"/>
        <w:jc w:val="right"/>
        <w:rPr>
          <w:rFonts w:ascii="Calibri" w:eastAsiaTheme="minorHAnsi" w:hAnsi="Calibri" w:cs="Calibri"/>
          <w:b/>
          <w:color w:val="auto"/>
          <w:sz w:val="32"/>
          <w:szCs w:val="32"/>
          <w:lang w:val="es-MX"/>
        </w:rPr>
      </w:pPr>
      <w:bookmarkStart w:id="0" w:name="_Hlk219972541"/>
      <w:r>
        <w:rPr>
          <w:rFonts w:ascii="Calibri" w:eastAsiaTheme="minorHAnsi" w:hAnsi="Calibri" w:cs="Calibri"/>
          <w:b/>
          <w:color w:val="auto"/>
          <w:sz w:val="32"/>
          <w:szCs w:val="32"/>
          <w:lang w:val="es-MX"/>
        </w:rPr>
        <w:t xml:space="preserve">El pensamiento computacional en estudiantes de </w:t>
      </w:r>
      <w:r w:rsidR="00490824">
        <w:rPr>
          <w:rFonts w:ascii="Calibri" w:eastAsiaTheme="minorHAnsi" w:hAnsi="Calibri" w:cs="Calibri"/>
          <w:b/>
          <w:color w:val="auto"/>
          <w:sz w:val="32"/>
          <w:szCs w:val="32"/>
          <w:lang w:val="es-MX"/>
        </w:rPr>
        <w:t>Contaduría</w:t>
      </w:r>
      <w:r>
        <w:rPr>
          <w:rFonts w:ascii="Calibri" w:eastAsiaTheme="minorHAnsi" w:hAnsi="Calibri" w:cs="Calibri"/>
          <w:b/>
          <w:color w:val="auto"/>
          <w:sz w:val="32"/>
          <w:szCs w:val="32"/>
          <w:lang w:val="es-MX"/>
        </w:rPr>
        <w:t>: d</w:t>
      </w:r>
      <w:r w:rsidRPr="00550DFA">
        <w:rPr>
          <w:rFonts w:ascii="Calibri" w:eastAsiaTheme="minorHAnsi" w:hAnsi="Calibri" w:cs="Calibri"/>
          <w:b/>
          <w:color w:val="auto"/>
          <w:sz w:val="32"/>
          <w:szCs w:val="32"/>
          <w:lang w:val="es-MX"/>
        </w:rPr>
        <w:t>esarrollo de competencias integrales para los estudiantes de negocios del siglo XXI</w:t>
      </w:r>
    </w:p>
    <w:p w14:paraId="4B49BF89" w14:textId="77777777" w:rsidR="000A545E" w:rsidRPr="00B26B8F" w:rsidRDefault="000A545E" w:rsidP="000A545E"/>
    <w:p w14:paraId="6745B6BF" w14:textId="69CA267D" w:rsidR="000A545E" w:rsidRPr="00B26B8F" w:rsidRDefault="000A545E" w:rsidP="000A545E">
      <w:pPr>
        <w:spacing w:line="276" w:lineRule="auto"/>
        <w:jc w:val="right"/>
        <w:rPr>
          <w:rFonts w:ascii="Calibri" w:hAnsi="Calibri" w:cs="Calibri"/>
          <w:b/>
          <w:i/>
          <w:iCs/>
          <w:sz w:val="28"/>
          <w:szCs w:val="28"/>
          <w:lang w:val="en-US"/>
        </w:rPr>
      </w:pPr>
      <w:r w:rsidRPr="000A545E">
        <w:rPr>
          <w:rFonts w:ascii="Calibri" w:hAnsi="Calibri" w:cs="Calibri"/>
          <w:b/>
          <w:i/>
          <w:iCs/>
          <w:sz w:val="28"/>
          <w:szCs w:val="28"/>
          <w:lang w:val="en-US"/>
        </w:rPr>
        <w:t xml:space="preserve">The </w:t>
      </w:r>
      <w:r w:rsidRPr="00B26B8F">
        <w:rPr>
          <w:rFonts w:ascii="Calibri" w:hAnsi="Calibri" w:cs="Calibri"/>
          <w:b/>
          <w:i/>
          <w:iCs/>
          <w:sz w:val="28"/>
          <w:szCs w:val="28"/>
          <w:lang w:val="en-US"/>
        </w:rPr>
        <w:t xml:space="preserve">Computational thinking on accounting students: </w:t>
      </w:r>
      <w:r w:rsidRPr="000A545E">
        <w:rPr>
          <w:rFonts w:ascii="Calibri" w:hAnsi="Calibri" w:cs="Calibri"/>
          <w:b/>
          <w:i/>
          <w:iCs/>
          <w:sz w:val="28"/>
          <w:szCs w:val="28"/>
          <w:lang w:val="en-US"/>
        </w:rPr>
        <w:t>Developing integral competencies for the 21st-century</w:t>
      </w:r>
    </w:p>
    <w:p w14:paraId="78809E44" w14:textId="629C9DA7" w:rsidR="000A545E" w:rsidRDefault="000A545E" w:rsidP="000A545E">
      <w:pPr>
        <w:spacing w:after="0" w:line="276" w:lineRule="auto"/>
        <w:jc w:val="right"/>
        <w:rPr>
          <w:rFonts w:ascii="Calibri" w:hAnsi="Calibri" w:cs="Calibri"/>
          <w:b/>
          <w:i/>
          <w:iCs/>
          <w:sz w:val="28"/>
          <w:szCs w:val="28"/>
        </w:rPr>
      </w:pPr>
      <w:r w:rsidRPr="00550DFA">
        <w:rPr>
          <w:rFonts w:ascii="Calibri" w:hAnsi="Calibri" w:cs="Calibri"/>
          <w:b/>
          <w:i/>
          <w:iCs/>
          <w:sz w:val="28"/>
          <w:szCs w:val="28"/>
        </w:rPr>
        <w:t>Desenvolvendo competências e habilidades abrangentes para estudantes de negócios do século XXI.</w:t>
      </w:r>
      <w:r w:rsidRPr="00550DFA">
        <w:t xml:space="preserve"> </w:t>
      </w:r>
      <w:r w:rsidRPr="00550DFA">
        <w:rPr>
          <w:rFonts w:ascii="Calibri" w:hAnsi="Calibri" w:cs="Calibri"/>
          <w:b/>
          <w:i/>
          <w:iCs/>
          <w:sz w:val="28"/>
          <w:szCs w:val="28"/>
        </w:rPr>
        <w:t>Pensamento computacional para estudantes</w:t>
      </w:r>
      <w:r>
        <w:rPr>
          <w:rFonts w:ascii="Calibri" w:hAnsi="Calibri" w:cs="Calibri"/>
          <w:b/>
          <w:i/>
          <w:iCs/>
          <w:sz w:val="28"/>
          <w:szCs w:val="28"/>
        </w:rPr>
        <w:t xml:space="preserve"> </w:t>
      </w:r>
      <w:r w:rsidRPr="00550DFA">
        <w:rPr>
          <w:rFonts w:ascii="Calibri" w:hAnsi="Calibri" w:cs="Calibri"/>
          <w:b/>
          <w:i/>
          <w:iCs/>
          <w:sz w:val="28"/>
          <w:szCs w:val="28"/>
        </w:rPr>
        <w:t>de</w:t>
      </w:r>
      <w:r>
        <w:rPr>
          <w:rFonts w:ascii="Calibri" w:hAnsi="Calibri" w:cs="Calibri"/>
          <w:b/>
          <w:i/>
          <w:iCs/>
          <w:sz w:val="28"/>
          <w:szCs w:val="28"/>
        </w:rPr>
        <w:t xml:space="preserve"> contabilidade</w:t>
      </w:r>
    </w:p>
    <w:p w14:paraId="447BE7D8" w14:textId="77777777" w:rsidR="00266FB2" w:rsidRDefault="00B1315D">
      <w:pPr>
        <w:spacing w:after="0" w:line="276" w:lineRule="auto"/>
        <w:jc w:val="right"/>
        <w:rPr>
          <w:rFonts w:ascii="Calibri" w:eastAsia="Calibri" w:hAnsi="Calibri" w:cs="Calibri"/>
          <w:b/>
        </w:rPr>
      </w:pPr>
      <w:r>
        <w:rPr>
          <w:rFonts w:ascii="Times New Roman" w:eastAsia="Times New Roman" w:hAnsi="Times New Roman" w:cs="Times New Roman"/>
        </w:rPr>
        <w:br/>
      </w:r>
      <w:r>
        <w:rPr>
          <w:rFonts w:ascii="Calibri" w:eastAsia="Calibri" w:hAnsi="Calibri" w:cs="Calibri"/>
          <w:b/>
        </w:rPr>
        <w:t>César Augusto Mejía Gracia</w:t>
      </w:r>
    </w:p>
    <w:p w14:paraId="607A35BD"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Universidad Veracruzana, México</w:t>
      </w:r>
    </w:p>
    <w:p w14:paraId="4B6C7F8E" w14:textId="77777777" w:rsidR="00266FB2" w:rsidRPr="00AE7D56" w:rsidRDefault="00B1315D">
      <w:pPr>
        <w:spacing w:after="0" w:line="276" w:lineRule="auto"/>
        <w:jc w:val="right"/>
        <w:rPr>
          <w:rFonts w:ascii="Calibri" w:eastAsia="Calibri" w:hAnsi="Calibri" w:cs="Calibri"/>
          <w:color w:val="FF0000"/>
        </w:rPr>
      </w:pPr>
      <w:r w:rsidRPr="00AE7D56">
        <w:rPr>
          <w:rFonts w:ascii="Calibri" w:eastAsia="Calibri" w:hAnsi="Calibri" w:cs="Calibri"/>
          <w:color w:val="FF0000"/>
        </w:rPr>
        <w:t>cemejia@uv.mx</w:t>
      </w:r>
    </w:p>
    <w:p w14:paraId="1D97B607" w14:textId="4867E89B" w:rsidR="00266FB2" w:rsidRDefault="00D40A98">
      <w:pPr>
        <w:spacing w:after="0" w:line="276" w:lineRule="auto"/>
        <w:jc w:val="right"/>
        <w:rPr>
          <w:rFonts w:ascii="Times New Roman" w:eastAsia="Times New Roman" w:hAnsi="Times New Roman" w:cs="Times New Roman"/>
        </w:rPr>
      </w:pPr>
      <w:r w:rsidRPr="00AE7D56">
        <w:rPr>
          <w:rFonts w:ascii="Times New Roman" w:eastAsia="Times New Roman" w:hAnsi="Times New Roman" w:cs="Times New Roman"/>
        </w:rPr>
        <w:t>https://orcid.org/0000-0001-8874-0473</w:t>
      </w:r>
    </w:p>
    <w:p w14:paraId="74470187" w14:textId="77777777" w:rsidR="00D40A98" w:rsidRDefault="00D40A98">
      <w:pPr>
        <w:spacing w:after="0" w:line="276" w:lineRule="auto"/>
        <w:jc w:val="right"/>
        <w:rPr>
          <w:rFonts w:ascii="Times New Roman" w:eastAsia="Times New Roman" w:hAnsi="Times New Roman" w:cs="Times New Roman"/>
        </w:rPr>
      </w:pPr>
    </w:p>
    <w:p w14:paraId="602EDFF7" w14:textId="77777777" w:rsidR="00266FB2" w:rsidRPr="00AE7D56" w:rsidRDefault="00B1315D">
      <w:pPr>
        <w:spacing w:after="0" w:line="276" w:lineRule="auto"/>
        <w:jc w:val="right"/>
        <w:rPr>
          <w:rFonts w:asciiTheme="majorHAnsi" w:eastAsia="Times New Roman" w:hAnsiTheme="majorHAnsi" w:cstheme="majorHAnsi"/>
          <w:b/>
        </w:rPr>
      </w:pPr>
      <w:r w:rsidRPr="00AE7D56">
        <w:rPr>
          <w:rFonts w:asciiTheme="majorHAnsi" w:eastAsia="Times New Roman" w:hAnsiTheme="majorHAnsi" w:cstheme="majorHAnsi"/>
          <w:b/>
        </w:rPr>
        <w:t>Vicente Josué Aguilera Rueda</w:t>
      </w:r>
    </w:p>
    <w:p w14:paraId="0152F421"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Universidad Veracruzana, México</w:t>
      </w:r>
    </w:p>
    <w:p w14:paraId="666C50F4" w14:textId="77777777" w:rsidR="00266FB2" w:rsidRPr="00AE7D56" w:rsidRDefault="00B1315D">
      <w:pPr>
        <w:spacing w:after="0" w:line="276" w:lineRule="auto"/>
        <w:jc w:val="right"/>
        <w:rPr>
          <w:rFonts w:ascii="Calibri" w:eastAsia="Calibri" w:hAnsi="Calibri" w:cs="Calibri"/>
          <w:color w:val="FF0000"/>
        </w:rPr>
      </w:pPr>
      <w:r w:rsidRPr="00AE7D56">
        <w:rPr>
          <w:rFonts w:ascii="Calibri" w:eastAsia="Calibri" w:hAnsi="Calibri" w:cs="Calibri"/>
          <w:color w:val="FF0000"/>
        </w:rPr>
        <w:t>vaguilera@uv.mx</w:t>
      </w:r>
    </w:p>
    <w:p w14:paraId="646A9EF8"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https://orcid.org/</w:t>
      </w:r>
      <w:r>
        <w:t xml:space="preserve"> </w:t>
      </w:r>
      <w:r>
        <w:rPr>
          <w:rFonts w:ascii="Times New Roman" w:eastAsia="Times New Roman" w:hAnsi="Times New Roman" w:cs="Times New Roman"/>
        </w:rPr>
        <w:t>0000-0002-1952-7860</w:t>
      </w:r>
    </w:p>
    <w:p w14:paraId="69617ED6" w14:textId="77777777" w:rsidR="00266FB2" w:rsidRDefault="00266FB2">
      <w:pPr>
        <w:spacing w:after="0" w:line="276" w:lineRule="auto"/>
        <w:jc w:val="right"/>
        <w:rPr>
          <w:rFonts w:ascii="Times New Roman" w:eastAsia="Times New Roman" w:hAnsi="Times New Roman" w:cs="Times New Roman"/>
        </w:rPr>
      </w:pPr>
    </w:p>
    <w:p w14:paraId="5C4BC36A" w14:textId="77777777" w:rsidR="00266FB2" w:rsidRPr="00AE7D56" w:rsidRDefault="00B1315D">
      <w:pPr>
        <w:spacing w:after="0" w:line="276" w:lineRule="auto"/>
        <w:jc w:val="right"/>
        <w:rPr>
          <w:rFonts w:asciiTheme="majorHAnsi" w:eastAsia="Times New Roman" w:hAnsiTheme="majorHAnsi" w:cstheme="majorHAnsi"/>
          <w:b/>
        </w:rPr>
      </w:pPr>
      <w:r w:rsidRPr="00AE7D56">
        <w:rPr>
          <w:rFonts w:asciiTheme="majorHAnsi" w:eastAsia="Times New Roman" w:hAnsiTheme="majorHAnsi" w:cstheme="majorHAnsi"/>
          <w:b/>
        </w:rPr>
        <w:t>Leticia Murcia López</w:t>
      </w:r>
    </w:p>
    <w:p w14:paraId="61949405"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Universidad Veracruzana, México</w:t>
      </w:r>
    </w:p>
    <w:p w14:paraId="1BFF6DD8" w14:textId="77777777" w:rsidR="00266FB2" w:rsidRPr="00AE7D56" w:rsidRDefault="00B1315D">
      <w:pPr>
        <w:spacing w:after="0" w:line="276" w:lineRule="auto"/>
        <w:jc w:val="right"/>
        <w:rPr>
          <w:rFonts w:ascii="Calibri" w:eastAsia="Calibri" w:hAnsi="Calibri" w:cs="Calibri"/>
          <w:color w:val="FF0000"/>
        </w:rPr>
      </w:pPr>
      <w:r w:rsidRPr="00AE7D56">
        <w:rPr>
          <w:rFonts w:ascii="Calibri" w:eastAsia="Calibri" w:hAnsi="Calibri" w:cs="Calibri"/>
          <w:color w:val="FF0000"/>
        </w:rPr>
        <w:t>lmurcia@uv.mx</w:t>
      </w:r>
    </w:p>
    <w:p w14:paraId="3125ABC5"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https://orcid.org/</w:t>
      </w:r>
      <w:r>
        <w:t xml:space="preserve"> </w:t>
      </w:r>
      <w:r>
        <w:rPr>
          <w:rFonts w:ascii="Times New Roman" w:eastAsia="Times New Roman" w:hAnsi="Times New Roman" w:cs="Times New Roman"/>
        </w:rPr>
        <w:t>0000-0003-2665-8196</w:t>
      </w:r>
    </w:p>
    <w:p w14:paraId="0D3B762B" w14:textId="77777777" w:rsidR="00266FB2" w:rsidRDefault="00266FB2">
      <w:pPr>
        <w:spacing w:after="0" w:line="276" w:lineRule="auto"/>
        <w:jc w:val="right"/>
        <w:rPr>
          <w:rFonts w:ascii="Times New Roman" w:eastAsia="Times New Roman" w:hAnsi="Times New Roman" w:cs="Times New Roman"/>
        </w:rPr>
      </w:pPr>
    </w:p>
    <w:p w14:paraId="3D30FBAE" w14:textId="77777777" w:rsidR="00266FB2" w:rsidRPr="00AE7D56" w:rsidRDefault="00B1315D">
      <w:pPr>
        <w:spacing w:after="0" w:line="276" w:lineRule="auto"/>
        <w:jc w:val="right"/>
        <w:rPr>
          <w:rFonts w:asciiTheme="majorHAnsi" w:eastAsia="Times New Roman" w:hAnsiTheme="majorHAnsi" w:cstheme="majorHAnsi"/>
          <w:b/>
        </w:rPr>
      </w:pPr>
      <w:r w:rsidRPr="00AE7D56">
        <w:rPr>
          <w:rFonts w:asciiTheme="majorHAnsi" w:eastAsia="Times New Roman" w:hAnsiTheme="majorHAnsi" w:cstheme="majorHAnsi"/>
          <w:b/>
        </w:rPr>
        <w:t>José Vicente Díaz Martínez</w:t>
      </w:r>
    </w:p>
    <w:p w14:paraId="1B34148F"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Universidad Veracruzana, México</w:t>
      </w:r>
    </w:p>
    <w:p w14:paraId="38057D54" w14:textId="77777777" w:rsidR="00266FB2" w:rsidRPr="00AE7D56" w:rsidRDefault="00B1315D">
      <w:pPr>
        <w:spacing w:after="0" w:line="276" w:lineRule="auto"/>
        <w:jc w:val="right"/>
        <w:rPr>
          <w:rFonts w:ascii="Calibri" w:eastAsia="Calibri" w:hAnsi="Calibri" w:cs="Calibri"/>
          <w:color w:val="FF0000"/>
        </w:rPr>
      </w:pPr>
      <w:r w:rsidRPr="00AE7D56">
        <w:rPr>
          <w:rFonts w:ascii="Calibri" w:eastAsia="Calibri" w:hAnsi="Calibri" w:cs="Calibri"/>
          <w:color w:val="FF0000"/>
        </w:rPr>
        <w:t>vicdiaz@uv.mx</w:t>
      </w:r>
    </w:p>
    <w:p w14:paraId="45A5CF04"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https://orcid.org/</w:t>
      </w:r>
      <w:r>
        <w:t xml:space="preserve"> </w:t>
      </w:r>
      <w:r>
        <w:rPr>
          <w:rFonts w:ascii="Times New Roman" w:eastAsia="Times New Roman" w:hAnsi="Times New Roman" w:cs="Times New Roman"/>
        </w:rPr>
        <w:t>0009-0000-3381-7250</w:t>
      </w:r>
    </w:p>
    <w:p w14:paraId="05039B95" w14:textId="77777777" w:rsidR="00266FB2" w:rsidRDefault="00266FB2">
      <w:pPr>
        <w:spacing w:after="0" w:line="276" w:lineRule="auto"/>
        <w:jc w:val="right"/>
        <w:rPr>
          <w:rFonts w:ascii="Times New Roman" w:eastAsia="Times New Roman" w:hAnsi="Times New Roman" w:cs="Times New Roman"/>
        </w:rPr>
      </w:pPr>
    </w:p>
    <w:p w14:paraId="76744F69" w14:textId="77777777" w:rsidR="00266FB2" w:rsidRPr="00AE7D56" w:rsidRDefault="00B1315D">
      <w:pPr>
        <w:spacing w:after="0" w:line="276" w:lineRule="auto"/>
        <w:jc w:val="right"/>
        <w:rPr>
          <w:rFonts w:asciiTheme="majorHAnsi" w:eastAsia="Times New Roman" w:hAnsiTheme="majorHAnsi" w:cstheme="majorHAnsi"/>
          <w:b/>
        </w:rPr>
      </w:pPr>
      <w:r w:rsidRPr="00AE7D56">
        <w:rPr>
          <w:rFonts w:asciiTheme="majorHAnsi" w:eastAsia="Times New Roman" w:hAnsiTheme="majorHAnsi" w:cstheme="majorHAnsi"/>
          <w:b/>
        </w:rPr>
        <w:t>Jerónimo Domingo Ricardez Jimenez</w:t>
      </w:r>
    </w:p>
    <w:p w14:paraId="67175665" w14:textId="7777777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Universidad Veracruzana, México</w:t>
      </w:r>
    </w:p>
    <w:p w14:paraId="055A4613" w14:textId="77777777" w:rsidR="00266FB2" w:rsidRPr="00AE7D56" w:rsidRDefault="00B1315D">
      <w:pPr>
        <w:spacing w:after="0" w:line="276" w:lineRule="auto"/>
        <w:jc w:val="right"/>
        <w:rPr>
          <w:rFonts w:ascii="Calibri" w:eastAsia="Calibri" w:hAnsi="Calibri" w:cs="Calibri"/>
          <w:color w:val="FF0000"/>
        </w:rPr>
      </w:pPr>
      <w:r w:rsidRPr="00AE7D56">
        <w:rPr>
          <w:rFonts w:ascii="Calibri" w:eastAsia="Calibri" w:hAnsi="Calibri" w:cs="Calibri"/>
          <w:color w:val="FF0000"/>
        </w:rPr>
        <w:t>jricardez@uv.mx</w:t>
      </w:r>
    </w:p>
    <w:p w14:paraId="733EF129" w14:textId="14961017" w:rsidR="00266FB2" w:rsidRDefault="00B1315D">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https://orcid.org/</w:t>
      </w:r>
      <w:r>
        <w:t xml:space="preserve"> </w:t>
      </w:r>
      <w:r w:rsidR="001C465C" w:rsidRPr="001C465C">
        <w:rPr>
          <w:rFonts w:ascii="Times New Roman" w:eastAsia="Times New Roman" w:hAnsi="Times New Roman" w:cs="Times New Roman"/>
        </w:rPr>
        <w:t>0000-0001-9863-6389</w:t>
      </w:r>
    </w:p>
    <w:p w14:paraId="50B69CD1" w14:textId="77777777" w:rsidR="00266FB2" w:rsidRDefault="00266FB2">
      <w:pPr>
        <w:spacing w:after="0" w:line="276" w:lineRule="auto"/>
        <w:jc w:val="right"/>
        <w:rPr>
          <w:rFonts w:ascii="Times New Roman" w:eastAsia="Times New Roman" w:hAnsi="Times New Roman" w:cs="Times New Roman"/>
        </w:rPr>
      </w:pPr>
    </w:p>
    <w:p w14:paraId="611AAE64" w14:textId="77777777" w:rsidR="00266FB2" w:rsidRDefault="00B1315D">
      <w:pPr>
        <w:spacing w:after="0" w:line="360" w:lineRule="auto"/>
        <w:rPr>
          <w:rFonts w:ascii="Calibri" w:eastAsia="Calibri" w:hAnsi="Calibri" w:cs="Calibri"/>
          <w:b/>
          <w:sz w:val="28"/>
          <w:szCs w:val="28"/>
        </w:rPr>
      </w:pPr>
      <w:r>
        <w:rPr>
          <w:rFonts w:ascii="Calibri" w:eastAsia="Calibri" w:hAnsi="Calibri" w:cs="Calibri"/>
          <w:b/>
          <w:sz w:val="28"/>
          <w:szCs w:val="28"/>
        </w:rPr>
        <w:lastRenderedPageBreak/>
        <w:t>Resumen</w:t>
      </w:r>
    </w:p>
    <w:p w14:paraId="03E12300" w14:textId="6D514ECE" w:rsidR="00DD11A8" w:rsidRDefault="004A5441" w:rsidP="004A5441">
      <w:pPr>
        <w:spacing w:after="0" w:line="360" w:lineRule="auto"/>
        <w:jc w:val="both"/>
        <w:rPr>
          <w:rFonts w:ascii="Times New Roman" w:eastAsia="Times New Roman" w:hAnsi="Times New Roman" w:cs="Times New Roman"/>
          <w:lang w:val="es-MX"/>
        </w:rPr>
      </w:pPr>
      <w:r w:rsidRPr="004A5441">
        <w:rPr>
          <w:rFonts w:ascii="Times New Roman" w:eastAsia="Times New Roman" w:hAnsi="Times New Roman" w:cs="Times New Roman"/>
          <w:lang w:val="es-MX"/>
        </w:rPr>
        <w:t xml:space="preserve">El mercado laboral actual, impulsado por la digitalización, la automatización y la economía colaborativa, exige que los estudiantes desarrollen diversas competencias. Estas se categorizan </w:t>
      </w:r>
      <w:r w:rsidR="000A3788">
        <w:rPr>
          <w:rFonts w:ascii="Times New Roman" w:eastAsia="Times New Roman" w:hAnsi="Times New Roman" w:cs="Times New Roman"/>
          <w:lang w:val="es-MX"/>
        </w:rPr>
        <w:t xml:space="preserve">de acuerdo a la tipología de Tobón </w:t>
      </w:r>
      <w:r w:rsidRPr="004A5441">
        <w:rPr>
          <w:rFonts w:ascii="Times New Roman" w:eastAsia="Times New Roman" w:hAnsi="Times New Roman" w:cs="Times New Roman"/>
          <w:lang w:val="es-MX"/>
        </w:rPr>
        <w:t xml:space="preserve">en transversales, disciplinarias y de aprendizaje, destacando la importancia del </w:t>
      </w:r>
      <w:r w:rsidR="006240CA">
        <w:rPr>
          <w:rFonts w:ascii="Times New Roman" w:eastAsia="Times New Roman" w:hAnsi="Times New Roman" w:cs="Times New Roman"/>
          <w:lang w:val="es-MX"/>
        </w:rPr>
        <w:t>pensamiento</w:t>
      </w:r>
      <w:r w:rsidRPr="004A5441">
        <w:rPr>
          <w:rFonts w:ascii="Times New Roman" w:eastAsia="Times New Roman" w:hAnsi="Times New Roman" w:cs="Times New Roman"/>
          <w:lang w:val="es-MX"/>
        </w:rPr>
        <w:t xml:space="preserve"> crítico y la adaptabilidad en la Educación 4.0</w:t>
      </w:r>
      <w:r>
        <w:rPr>
          <w:rFonts w:ascii="Times New Roman" w:eastAsia="Times New Roman" w:hAnsi="Times New Roman" w:cs="Times New Roman"/>
          <w:lang w:val="es-MX"/>
        </w:rPr>
        <w:t>,</w:t>
      </w:r>
      <w:r w:rsidRPr="004A5441">
        <w:rPr>
          <w:rFonts w:ascii="Times New Roman" w:eastAsia="Times New Roman" w:hAnsi="Times New Roman" w:cs="Times New Roman"/>
          <w:lang w:val="es-MX"/>
        </w:rPr>
        <w:t xml:space="preserve"> paradigma que alinea la enseñanza con la Cuarta Revolución Industrial mediante la integración de tecnologías avanzadas y habilidades sociotécnicas. </w:t>
      </w:r>
    </w:p>
    <w:p w14:paraId="46D5C7CF" w14:textId="6F085C63" w:rsidR="004A5441" w:rsidRDefault="004A5441" w:rsidP="004A5441">
      <w:pPr>
        <w:spacing w:after="0" w:line="360" w:lineRule="auto"/>
        <w:jc w:val="both"/>
        <w:rPr>
          <w:rFonts w:ascii="Times New Roman" w:eastAsia="Times New Roman" w:hAnsi="Times New Roman" w:cs="Times New Roman"/>
          <w:lang w:val="es-MX"/>
        </w:rPr>
      </w:pPr>
      <w:r w:rsidRPr="004A5441">
        <w:rPr>
          <w:rFonts w:ascii="Times New Roman" w:eastAsia="Times New Roman" w:hAnsi="Times New Roman" w:cs="Times New Roman"/>
          <w:lang w:val="es-MX"/>
        </w:rPr>
        <w:t>En este marco, es fundamental que los estudiantes de negocios desarrollen el pensamiento computacional para posibilitar habilidades como la descomposición de problemas, el reconocimiento de patrones y la abstracción.</w:t>
      </w:r>
    </w:p>
    <w:p w14:paraId="0D64566C" w14:textId="7FD1C797" w:rsidR="000A3788" w:rsidRDefault="000A3788" w:rsidP="004A5441">
      <w:pPr>
        <w:spacing w:after="0" w:line="360" w:lineRule="auto"/>
        <w:jc w:val="both"/>
        <w:rPr>
          <w:rFonts w:ascii="Times New Roman" w:eastAsia="Times New Roman" w:hAnsi="Times New Roman" w:cs="Times New Roman"/>
          <w:lang w:val="es-MX"/>
        </w:rPr>
      </w:pPr>
      <w:r w:rsidRPr="000A3788">
        <w:rPr>
          <w:rFonts w:ascii="Times New Roman" w:eastAsia="Times New Roman" w:hAnsi="Times New Roman" w:cs="Times New Roman"/>
          <w:lang w:val="es-MX"/>
        </w:rPr>
        <w:t>El estudio empleó un enfoque descriptivo y transversal mediante la aplicación de las Escalas de Pensamiento Computacional (CTS). La investigación se llevó a cabo en una muestra de 488 estudiantes de Contaduría de la Universidad Veracruzana, México. Finalmente, el procesamiento de los datos incluyó análisis de normalidad y pruebas de correlación estadística</w:t>
      </w:r>
      <w:r>
        <w:rPr>
          <w:rFonts w:ascii="Times New Roman" w:eastAsia="Times New Roman" w:hAnsi="Times New Roman" w:cs="Times New Roman"/>
          <w:lang w:val="es-MX"/>
        </w:rPr>
        <w:t xml:space="preserve"> de Pearson</w:t>
      </w:r>
      <w:r w:rsidRPr="000A3788">
        <w:rPr>
          <w:rFonts w:ascii="Times New Roman" w:eastAsia="Times New Roman" w:hAnsi="Times New Roman" w:cs="Times New Roman"/>
          <w:lang w:val="es-MX"/>
        </w:rPr>
        <w:t xml:space="preserve"> para evaluar la percepción del pensamiento computacional en dicha població</w:t>
      </w:r>
      <w:r>
        <w:rPr>
          <w:rFonts w:ascii="Times New Roman" w:eastAsia="Times New Roman" w:hAnsi="Times New Roman" w:cs="Times New Roman"/>
          <w:lang w:val="es-MX"/>
        </w:rPr>
        <w:t>n.</w:t>
      </w:r>
    </w:p>
    <w:p w14:paraId="1D136A74" w14:textId="55534CA3" w:rsidR="00266FB2" w:rsidRPr="00AE7D56" w:rsidRDefault="004A5441">
      <w:pPr>
        <w:spacing w:after="0" w:line="360" w:lineRule="auto"/>
        <w:jc w:val="both"/>
        <w:rPr>
          <w:rFonts w:ascii="Times New Roman" w:eastAsia="Times New Roman" w:hAnsi="Times New Roman" w:cs="Times New Roman"/>
          <w:lang w:val="es-MX"/>
        </w:rPr>
      </w:pPr>
      <w:r w:rsidRPr="004A5441">
        <w:rPr>
          <w:rFonts w:ascii="Times New Roman" w:eastAsia="Times New Roman" w:hAnsi="Times New Roman" w:cs="Times New Roman"/>
          <w:lang w:val="es-MX"/>
        </w:rPr>
        <w:t xml:space="preserve">Los resultados muestran diferencias de género en las puntuaciones. Además, se identificó que las asignaturas de literacidad digital, </w:t>
      </w:r>
      <w:r w:rsidR="006240CA">
        <w:rPr>
          <w:rFonts w:ascii="Times New Roman" w:eastAsia="Times New Roman" w:hAnsi="Times New Roman" w:cs="Times New Roman"/>
          <w:lang w:val="es-MX"/>
        </w:rPr>
        <w:t>p</w:t>
      </w:r>
      <w:r w:rsidR="00097D84">
        <w:rPr>
          <w:rFonts w:ascii="Times New Roman" w:eastAsia="Times New Roman" w:hAnsi="Times New Roman" w:cs="Times New Roman"/>
          <w:lang w:val="es-MX"/>
        </w:rPr>
        <w:t>ensamiento</w:t>
      </w:r>
      <w:r w:rsidRPr="004A5441">
        <w:rPr>
          <w:rFonts w:ascii="Times New Roman" w:eastAsia="Times New Roman" w:hAnsi="Times New Roman" w:cs="Times New Roman"/>
          <w:lang w:val="es-MX"/>
        </w:rPr>
        <w:t xml:space="preserve"> crítico, matemáticas administrativas y estadística </w:t>
      </w:r>
      <w:r w:rsidR="00375120">
        <w:rPr>
          <w:rFonts w:ascii="Times New Roman" w:eastAsia="Times New Roman" w:hAnsi="Times New Roman" w:cs="Times New Roman"/>
          <w:lang w:val="es-MX"/>
        </w:rPr>
        <w:t>cuentan con asociaciones estadísticas</w:t>
      </w:r>
      <w:r w:rsidRPr="004A5441">
        <w:rPr>
          <w:rFonts w:ascii="Times New Roman" w:eastAsia="Times New Roman" w:hAnsi="Times New Roman" w:cs="Times New Roman"/>
          <w:lang w:val="es-MX"/>
        </w:rPr>
        <w:t xml:space="preserve"> positiva</w:t>
      </w:r>
      <w:r w:rsidR="00375120">
        <w:rPr>
          <w:rFonts w:ascii="Times New Roman" w:eastAsia="Times New Roman" w:hAnsi="Times New Roman" w:cs="Times New Roman"/>
          <w:lang w:val="es-MX"/>
        </w:rPr>
        <w:t>s</w:t>
      </w:r>
      <w:r w:rsidRPr="004A5441">
        <w:rPr>
          <w:rFonts w:ascii="Times New Roman" w:eastAsia="Times New Roman" w:hAnsi="Times New Roman" w:cs="Times New Roman"/>
          <w:lang w:val="es-MX"/>
        </w:rPr>
        <w:t xml:space="preserve"> con las dimensiones de</w:t>
      </w:r>
      <w:r w:rsidR="000A3788">
        <w:rPr>
          <w:rFonts w:ascii="Times New Roman" w:eastAsia="Times New Roman" w:hAnsi="Times New Roman" w:cs="Times New Roman"/>
          <w:lang w:val="es-MX"/>
        </w:rPr>
        <w:t xml:space="preserve"> las CTS</w:t>
      </w:r>
      <w:r w:rsidRPr="004A5441">
        <w:rPr>
          <w:rFonts w:ascii="Times New Roman" w:eastAsia="Times New Roman" w:hAnsi="Times New Roman" w:cs="Times New Roman"/>
          <w:lang w:val="es-MX"/>
        </w:rPr>
        <w:t xml:space="preserve"> </w:t>
      </w:r>
      <w:r w:rsidR="00097D84">
        <w:rPr>
          <w:rFonts w:ascii="Times New Roman" w:eastAsia="Times New Roman" w:hAnsi="Times New Roman" w:cs="Times New Roman"/>
          <w:lang w:val="es-MX"/>
        </w:rPr>
        <w:t>Pensamiento</w:t>
      </w:r>
      <w:r w:rsidRPr="004A5441">
        <w:rPr>
          <w:rFonts w:ascii="Times New Roman" w:eastAsia="Times New Roman" w:hAnsi="Times New Roman" w:cs="Times New Roman"/>
          <w:lang w:val="es-MX"/>
        </w:rPr>
        <w:t xml:space="preserve"> crítico y </w:t>
      </w:r>
      <w:r w:rsidR="000E4ACE">
        <w:rPr>
          <w:rFonts w:ascii="Times New Roman" w:eastAsia="Times New Roman" w:hAnsi="Times New Roman" w:cs="Times New Roman"/>
          <w:lang w:val="es-MX"/>
        </w:rPr>
        <w:t>Resolución</w:t>
      </w:r>
      <w:r w:rsidRPr="004A5441">
        <w:rPr>
          <w:rFonts w:ascii="Times New Roman" w:eastAsia="Times New Roman" w:hAnsi="Times New Roman" w:cs="Times New Roman"/>
          <w:lang w:val="es-MX"/>
        </w:rPr>
        <w:t xml:space="preserve"> de problemas. Lo anterior evidencia la relevancia del diseño curricular para fortalecer las habilidades esenciales del siglo XXI. Se concluye que integrar estas áreas es </w:t>
      </w:r>
      <w:r w:rsidR="005529E6">
        <w:rPr>
          <w:rFonts w:ascii="Times New Roman" w:eastAsia="Times New Roman" w:hAnsi="Times New Roman" w:cs="Times New Roman"/>
          <w:lang w:val="es-MX"/>
        </w:rPr>
        <w:t>de</w:t>
      </w:r>
      <w:r w:rsidRPr="004A5441">
        <w:rPr>
          <w:rFonts w:ascii="Times New Roman" w:eastAsia="Times New Roman" w:hAnsi="Times New Roman" w:cs="Times New Roman"/>
          <w:lang w:val="es-MX"/>
        </w:rPr>
        <w:t>terminante para que el egresado responda con éxito a las exigencias de los entornos organizacionales modernos y tecnológicos.</w:t>
      </w:r>
    </w:p>
    <w:p w14:paraId="0CE79C7D" w14:textId="3EABF503" w:rsidR="00266FB2" w:rsidRDefault="00B1315D">
      <w:pPr>
        <w:spacing w:after="0" w:line="360" w:lineRule="auto"/>
        <w:jc w:val="both"/>
        <w:rPr>
          <w:rFonts w:ascii="Times New Roman" w:eastAsia="Times New Roman" w:hAnsi="Times New Roman" w:cs="Times New Roman"/>
        </w:rPr>
      </w:pPr>
      <w:r>
        <w:rPr>
          <w:rFonts w:ascii="Calibri" w:eastAsia="Calibri" w:hAnsi="Calibri" w:cs="Calibri"/>
          <w:b/>
          <w:sz w:val="28"/>
          <w:szCs w:val="28"/>
        </w:rPr>
        <w:t>Palabras clave:</w:t>
      </w:r>
      <w:r>
        <w:rPr>
          <w:rFonts w:ascii="Times New Roman" w:eastAsia="Times New Roman" w:hAnsi="Times New Roman" w:cs="Times New Roman"/>
          <w:b/>
        </w:rPr>
        <w:t xml:space="preserve"> </w:t>
      </w:r>
      <w:r w:rsidR="000A3788">
        <w:rPr>
          <w:rFonts w:ascii="Times New Roman" w:eastAsia="Times New Roman" w:hAnsi="Times New Roman" w:cs="Times New Roman"/>
        </w:rPr>
        <w:t>e</w:t>
      </w:r>
      <w:r>
        <w:rPr>
          <w:rFonts w:ascii="Times New Roman" w:eastAsia="Times New Roman" w:hAnsi="Times New Roman" w:cs="Times New Roman"/>
        </w:rPr>
        <w:t xml:space="preserve">ducación superior, STEM, </w:t>
      </w:r>
      <w:r w:rsidR="000A3788">
        <w:rPr>
          <w:rFonts w:ascii="Times New Roman" w:eastAsia="Times New Roman" w:hAnsi="Times New Roman" w:cs="Times New Roman"/>
        </w:rPr>
        <w:t>d</w:t>
      </w:r>
      <w:r>
        <w:rPr>
          <w:rFonts w:ascii="Times New Roman" w:eastAsia="Times New Roman" w:hAnsi="Times New Roman" w:cs="Times New Roman"/>
        </w:rPr>
        <w:t xml:space="preserve">isciplinas no STEM, </w:t>
      </w:r>
      <w:r w:rsidR="000A3788">
        <w:rPr>
          <w:rFonts w:ascii="Times New Roman" w:eastAsia="Times New Roman" w:hAnsi="Times New Roman" w:cs="Times New Roman"/>
        </w:rPr>
        <w:t>d</w:t>
      </w:r>
      <w:r>
        <w:rPr>
          <w:rFonts w:ascii="Times New Roman" w:eastAsia="Times New Roman" w:hAnsi="Times New Roman" w:cs="Times New Roman"/>
        </w:rPr>
        <w:t>esarrollo de habilidades.</w:t>
      </w:r>
    </w:p>
    <w:p w14:paraId="3AC0FEDE" w14:textId="77777777" w:rsidR="00266FB2" w:rsidRDefault="00266FB2">
      <w:pPr>
        <w:spacing w:after="0" w:line="360" w:lineRule="auto"/>
        <w:jc w:val="both"/>
        <w:rPr>
          <w:rFonts w:ascii="Times New Roman" w:eastAsia="Times New Roman" w:hAnsi="Times New Roman" w:cs="Times New Roman"/>
        </w:rPr>
      </w:pPr>
    </w:p>
    <w:p w14:paraId="32BA5558" w14:textId="77777777" w:rsidR="00AE7D56" w:rsidRDefault="00AE7D56">
      <w:pPr>
        <w:spacing w:after="0" w:line="360" w:lineRule="auto"/>
        <w:jc w:val="both"/>
        <w:rPr>
          <w:rFonts w:ascii="Times New Roman" w:eastAsia="Times New Roman" w:hAnsi="Times New Roman" w:cs="Times New Roman"/>
        </w:rPr>
      </w:pPr>
    </w:p>
    <w:p w14:paraId="1F2D6E15" w14:textId="77777777" w:rsidR="00AE7D56" w:rsidRDefault="00AE7D56">
      <w:pPr>
        <w:spacing w:after="0" w:line="360" w:lineRule="auto"/>
        <w:jc w:val="both"/>
        <w:rPr>
          <w:rFonts w:ascii="Times New Roman" w:eastAsia="Times New Roman" w:hAnsi="Times New Roman" w:cs="Times New Roman"/>
        </w:rPr>
      </w:pPr>
    </w:p>
    <w:p w14:paraId="64652863" w14:textId="77777777" w:rsidR="00AE7D56" w:rsidRDefault="00AE7D56">
      <w:pPr>
        <w:spacing w:after="0" w:line="360" w:lineRule="auto"/>
        <w:jc w:val="both"/>
        <w:rPr>
          <w:rFonts w:ascii="Times New Roman" w:eastAsia="Times New Roman" w:hAnsi="Times New Roman" w:cs="Times New Roman"/>
        </w:rPr>
      </w:pPr>
    </w:p>
    <w:p w14:paraId="6E1C7DFC" w14:textId="77777777" w:rsidR="00AE7D56" w:rsidRDefault="00AE7D56">
      <w:pPr>
        <w:spacing w:after="0" w:line="360" w:lineRule="auto"/>
        <w:jc w:val="both"/>
        <w:rPr>
          <w:rFonts w:ascii="Times New Roman" w:eastAsia="Times New Roman" w:hAnsi="Times New Roman" w:cs="Times New Roman"/>
        </w:rPr>
      </w:pPr>
    </w:p>
    <w:p w14:paraId="40768A13" w14:textId="77777777" w:rsidR="00AE7D56" w:rsidRDefault="00AE7D56">
      <w:pPr>
        <w:spacing w:after="0" w:line="360" w:lineRule="auto"/>
        <w:jc w:val="both"/>
        <w:rPr>
          <w:rFonts w:ascii="Times New Roman" w:eastAsia="Times New Roman" w:hAnsi="Times New Roman" w:cs="Times New Roman"/>
        </w:rPr>
      </w:pPr>
    </w:p>
    <w:p w14:paraId="58604FAC" w14:textId="77777777" w:rsidR="00AE7D56" w:rsidRDefault="00AE7D56">
      <w:pPr>
        <w:spacing w:after="0" w:line="360" w:lineRule="auto"/>
        <w:jc w:val="both"/>
        <w:rPr>
          <w:rFonts w:ascii="Times New Roman" w:eastAsia="Times New Roman" w:hAnsi="Times New Roman" w:cs="Times New Roman"/>
        </w:rPr>
      </w:pPr>
    </w:p>
    <w:p w14:paraId="18FE57AD" w14:textId="77777777" w:rsidR="00266FB2" w:rsidRPr="00D40A98" w:rsidRDefault="00B1315D">
      <w:pPr>
        <w:spacing w:after="0" w:line="360" w:lineRule="auto"/>
        <w:rPr>
          <w:rFonts w:ascii="Calibri" w:eastAsia="Calibri" w:hAnsi="Calibri" w:cs="Calibri"/>
          <w:b/>
          <w:sz w:val="28"/>
          <w:szCs w:val="28"/>
          <w:lang w:val="en-US"/>
        </w:rPr>
      </w:pPr>
      <w:r w:rsidRPr="00D40A98">
        <w:rPr>
          <w:rFonts w:ascii="Calibri" w:eastAsia="Calibri" w:hAnsi="Calibri" w:cs="Calibri"/>
          <w:b/>
          <w:sz w:val="28"/>
          <w:szCs w:val="28"/>
          <w:lang w:val="en-US"/>
        </w:rPr>
        <w:lastRenderedPageBreak/>
        <w:t xml:space="preserve">Abstract </w:t>
      </w:r>
    </w:p>
    <w:p w14:paraId="3B5EB76C" w14:textId="7B221B49" w:rsidR="00DD11A8" w:rsidRPr="00D40A98" w:rsidRDefault="004A5441" w:rsidP="004A5441">
      <w:pPr>
        <w:spacing w:after="0" w:line="360" w:lineRule="auto"/>
        <w:jc w:val="both"/>
        <w:rPr>
          <w:rFonts w:ascii="Times New Roman" w:eastAsia="Times New Roman" w:hAnsi="Times New Roman" w:cs="Times New Roman"/>
          <w:lang w:val="en-US"/>
        </w:rPr>
      </w:pPr>
      <w:r w:rsidRPr="005529E6">
        <w:rPr>
          <w:rFonts w:ascii="Times New Roman" w:eastAsia="Times New Roman" w:hAnsi="Times New Roman" w:cs="Times New Roman"/>
          <w:lang w:val="en-US"/>
        </w:rPr>
        <w:t xml:space="preserve">The current labor market, driven by digitalization, automation, and the gig economy, demands that students develop a diverse set of competencies. </w:t>
      </w:r>
      <w:r w:rsidRPr="00D40A98">
        <w:rPr>
          <w:rFonts w:ascii="Times New Roman" w:eastAsia="Times New Roman" w:hAnsi="Times New Roman" w:cs="Times New Roman"/>
          <w:lang w:val="en-US"/>
        </w:rPr>
        <w:t xml:space="preserve">These are categorized into soft, disciplinary, and learning skills, highlighting the importance of critical thinking and adaptability within Education 4.0—a paradigm that aligns teaching with the Fourth Industrial Revolution through the integration of advanced technologies and socio-technical skills. </w:t>
      </w:r>
    </w:p>
    <w:p w14:paraId="1EBE435C" w14:textId="3BAF7C22" w:rsidR="004A5441" w:rsidRPr="00DD11A8" w:rsidRDefault="004A5441" w:rsidP="004A5441">
      <w:pPr>
        <w:spacing w:after="0" w:line="360" w:lineRule="auto"/>
        <w:jc w:val="both"/>
        <w:rPr>
          <w:rFonts w:ascii="Times New Roman" w:eastAsia="Times New Roman" w:hAnsi="Times New Roman" w:cs="Times New Roman"/>
          <w:lang w:val="en-US"/>
        </w:rPr>
      </w:pPr>
      <w:r w:rsidRPr="00DD11A8">
        <w:rPr>
          <w:rFonts w:ascii="Times New Roman" w:eastAsia="Times New Roman" w:hAnsi="Times New Roman" w:cs="Times New Roman"/>
          <w:lang w:val="en-US"/>
        </w:rPr>
        <w:t xml:space="preserve">In this context, </w:t>
      </w:r>
      <w:r w:rsidR="00732F7E" w:rsidRPr="00DD11A8">
        <w:rPr>
          <w:rFonts w:ascii="Times New Roman" w:eastAsia="Times New Roman" w:hAnsi="Times New Roman" w:cs="Times New Roman"/>
          <w:lang w:val="en-US"/>
        </w:rPr>
        <w:t>business students need to develop</w:t>
      </w:r>
      <w:r w:rsidRPr="00DD11A8">
        <w:rPr>
          <w:rFonts w:ascii="Times New Roman" w:eastAsia="Times New Roman" w:hAnsi="Times New Roman" w:cs="Times New Roman"/>
          <w:lang w:val="en-US"/>
        </w:rPr>
        <w:t xml:space="preserve"> computational thinking to enable skills such as problem decomposition, pattern recognition, and abstraction.</w:t>
      </w:r>
    </w:p>
    <w:p w14:paraId="042AD207" w14:textId="50ADEE36" w:rsidR="004A5441" w:rsidRPr="00D40A98" w:rsidRDefault="004A5441" w:rsidP="004A5441">
      <w:pPr>
        <w:spacing w:after="0" w:line="360" w:lineRule="auto"/>
        <w:jc w:val="both"/>
        <w:rPr>
          <w:rFonts w:ascii="Times New Roman" w:eastAsia="Times New Roman" w:hAnsi="Times New Roman" w:cs="Times New Roman"/>
          <w:lang w:val="en-US"/>
        </w:rPr>
      </w:pPr>
      <w:r w:rsidRPr="004A5441">
        <w:rPr>
          <w:rFonts w:ascii="Times New Roman" w:eastAsia="Times New Roman" w:hAnsi="Times New Roman" w:cs="Times New Roman"/>
          <w:lang w:val="en-US"/>
        </w:rPr>
        <w:t xml:space="preserve">This study analyzes the perception of computational thinking among accounting students at the Universidad Veracruzana, Mexico. </w:t>
      </w:r>
      <w:r w:rsidRPr="00D40A98">
        <w:rPr>
          <w:rFonts w:ascii="Times New Roman" w:eastAsia="Times New Roman" w:hAnsi="Times New Roman" w:cs="Times New Roman"/>
          <w:lang w:val="en-US"/>
        </w:rPr>
        <w:t>A descriptive and cross-sectional approach was applied using the Computational Thinking Scale (CTS) with a sample of 488 students. Data processing included normality tests and statistical correlation analyses.</w:t>
      </w:r>
    </w:p>
    <w:p w14:paraId="6668180E" w14:textId="01DD61F0" w:rsidR="00677CD5" w:rsidRPr="00942731" w:rsidRDefault="004A5441">
      <w:pPr>
        <w:spacing w:after="0" w:line="360" w:lineRule="auto"/>
        <w:jc w:val="both"/>
        <w:rPr>
          <w:rFonts w:ascii="Times New Roman" w:eastAsia="Times New Roman" w:hAnsi="Times New Roman" w:cs="Times New Roman"/>
          <w:lang w:val="en-US"/>
        </w:rPr>
      </w:pPr>
      <w:r w:rsidRPr="004A5441">
        <w:rPr>
          <w:rFonts w:ascii="Times New Roman" w:eastAsia="Times New Roman" w:hAnsi="Times New Roman" w:cs="Times New Roman"/>
          <w:lang w:val="en-US"/>
        </w:rPr>
        <w:t xml:space="preserve">The findings reveal gender differences in performance scores. </w:t>
      </w:r>
      <w:r w:rsidRPr="00D40A98">
        <w:rPr>
          <w:rFonts w:ascii="Times New Roman" w:eastAsia="Times New Roman" w:hAnsi="Times New Roman" w:cs="Times New Roman"/>
          <w:lang w:val="en-US"/>
        </w:rPr>
        <w:t>Furthermore, it was identified that subjects such as digital literacy, critical thinking, administrative mathematics, and statistics positively correlate with the dimensions of critical thinking and problem-solving. This evidence underscores the relevance of curricular design in strengthening essential 21st-century skills. It is concluded that integrating these areas is decisive for graduates to successfully meet the demands of modern and technological organizational environments.</w:t>
      </w:r>
    </w:p>
    <w:p w14:paraId="005217BB" w14:textId="168C8E2F" w:rsidR="00266FB2" w:rsidRPr="00942731" w:rsidRDefault="00B1315D">
      <w:pPr>
        <w:spacing w:after="0" w:line="360" w:lineRule="auto"/>
        <w:jc w:val="both"/>
        <w:rPr>
          <w:rFonts w:ascii="Times New Roman" w:eastAsia="Times New Roman" w:hAnsi="Times New Roman" w:cs="Times New Roman"/>
          <w:lang w:val="en-US"/>
        </w:rPr>
      </w:pPr>
      <w:r w:rsidRPr="00942731">
        <w:rPr>
          <w:rFonts w:ascii="Calibri" w:eastAsia="Calibri" w:hAnsi="Calibri" w:cs="Calibri"/>
          <w:b/>
          <w:sz w:val="28"/>
          <w:szCs w:val="28"/>
          <w:lang w:val="en-US"/>
        </w:rPr>
        <w:t>Keywords:</w:t>
      </w:r>
      <w:r w:rsidRPr="00942731">
        <w:rPr>
          <w:rFonts w:ascii="Times New Roman" w:eastAsia="Times New Roman" w:hAnsi="Times New Roman" w:cs="Times New Roman"/>
          <w:b/>
          <w:lang w:val="en-US"/>
        </w:rPr>
        <w:t xml:space="preserve"> </w:t>
      </w:r>
      <w:r w:rsidR="000A3788">
        <w:rPr>
          <w:rFonts w:ascii="Times New Roman" w:eastAsia="Times New Roman" w:hAnsi="Times New Roman" w:cs="Times New Roman"/>
          <w:lang w:val="en-US"/>
        </w:rPr>
        <w:t>h</w:t>
      </w:r>
      <w:r w:rsidR="00C27C58">
        <w:rPr>
          <w:rFonts w:ascii="Times New Roman" w:eastAsia="Times New Roman" w:hAnsi="Times New Roman" w:cs="Times New Roman"/>
          <w:lang w:val="en-US"/>
        </w:rPr>
        <w:t>igher</w:t>
      </w:r>
      <w:r w:rsidRPr="00942731">
        <w:rPr>
          <w:rFonts w:ascii="Times New Roman" w:eastAsia="Times New Roman" w:hAnsi="Times New Roman" w:cs="Times New Roman"/>
          <w:lang w:val="en-US"/>
        </w:rPr>
        <w:t xml:space="preserve"> </w:t>
      </w:r>
      <w:r w:rsidR="000A3788">
        <w:rPr>
          <w:rFonts w:ascii="Times New Roman" w:eastAsia="Times New Roman" w:hAnsi="Times New Roman" w:cs="Times New Roman"/>
          <w:lang w:val="en-US"/>
        </w:rPr>
        <w:t>e</w:t>
      </w:r>
      <w:r w:rsidRPr="00942731">
        <w:rPr>
          <w:rFonts w:ascii="Times New Roman" w:eastAsia="Times New Roman" w:hAnsi="Times New Roman" w:cs="Times New Roman"/>
          <w:lang w:val="en-US"/>
        </w:rPr>
        <w:t xml:space="preserve">ducation, STEM, </w:t>
      </w:r>
      <w:r w:rsidR="000A3788">
        <w:rPr>
          <w:rFonts w:ascii="Times New Roman" w:eastAsia="Times New Roman" w:hAnsi="Times New Roman" w:cs="Times New Roman"/>
          <w:lang w:val="en-US"/>
        </w:rPr>
        <w:t>n</w:t>
      </w:r>
      <w:r w:rsidRPr="00942731">
        <w:rPr>
          <w:rFonts w:ascii="Times New Roman" w:eastAsia="Times New Roman" w:hAnsi="Times New Roman" w:cs="Times New Roman"/>
          <w:lang w:val="en-US"/>
        </w:rPr>
        <w:t>o</w:t>
      </w:r>
      <w:r w:rsidR="00C27C58">
        <w:rPr>
          <w:rFonts w:ascii="Times New Roman" w:eastAsia="Times New Roman" w:hAnsi="Times New Roman" w:cs="Times New Roman"/>
          <w:lang w:val="en-US"/>
        </w:rPr>
        <w:t>n-</w:t>
      </w:r>
      <w:r w:rsidRPr="00942731">
        <w:rPr>
          <w:rFonts w:ascii="Times New Roman" w:eastAsia="Times New Roman" w:hAnsi="Times New Roman" w:cs="Times New Roman"/>
          <w:lang w:val="en-US"/>
        </w:rPr>
        <w:t xml:space="preserve">STEM disciplines, </w:t>
      </w:r>
      <w:r w:rsidR="000A3788">
        <w:rPr>
          <w:rFonts w:ascii="Times New Roman" w:eastAsia="Times New Roman" w:hAnsi="Times New Roman" w:cs="Times New Roman"/>
          <w:lang w:val="en-US"/>
        </w:rPr>
        <w:t>d</w:t>
      </w:r>
      <w:r w:rsidRPr="00942731">
        <w:rPr>
          <w:rFonts w:ascii="Times New Roman" w:eastAsia="Times New Roman" w:hAnsi="Times New Roman" w:cs="Times New Roman"/>
          <w:lang w:val="en-US"/>
        </w:rPr>
        <w:t xml:space="preserve">eveloping </w:t>
      </w:r>
      <w:r w:rsidR="000A3788">
        <w:rPr>
          <w:rFonts w:ascii="Times New Roman" w:eastAsia="Times New Roman" w:hAnsi="Times New Roman" w:cs="Times New Roman"/>
          <w:lang w:val="en-US"/>
        </w:rPr>
        <w:t>s</w:t>
      </w:r>
      <w:r w:rsidRPr="00942731">
        <w:rPr>
          <w:rFonts w:ascii="Times New Roman" w:eastAsia="Times New Roman" w:hAnsi="Times New Roman" w:cs="Times New Roman"/>
          <w:lang w:val="en-US"/>
        </w:rPr>
        <w:t>kills</w:t>
      </w:r>
    </w:p>
    <w:p w14:paraId="68650E1D" w14:textId="77777777" w:rsidR="00266FB2" w:rsidRPr="00942731" w:rsidRDefault="00266FB2">
      <w:pPr>
        <w:spacing w:after="0" w:line="360" w:lineRule="auto"/>
        <w:jc w:val="both"/>
        <w:rPr>
          <w:rFonts w:ascii="Times New Roman" w:eastAsia="Times New Roman" w:hAnsi="Times New Roman" w:cs="Times New Roman"/>
          <w:lang w:val="en-US"/>
        </w:rPr>
      </w:pPr>
    </w:p>
    <w:p w14:paraId="07DB5CAF" w14:textId="77777777" w:rsidR="00266FB2" w:rsidRDefault="00B1315D">
      <w:pPr>
        <w:spacing w:after="0" w:line="360" w:lineRule="auto"/>
        <w:jc w:val="both"/>
        <w:rPr>
          <w:rFonts w:ascii="Calibri" w:eastAsia="Calibri" w:hAnsi="Calibri" w:cs="Calibri"/>
          <w:b/>
          <w:sz w:val="28"/>
          <w:szCs w:val="28"/>
        </w:rPr>
      </w:pPr>
      <w:r>
        <w:rPr>
          <w:rFonts w:ascii="Calibri" w:eastAsia="Calibri" w:hAnsi="Calibri" w:cs="Calibri"/>
          <w:b/>
          <w:sz w:val="28"/>
          <w:szCs w:val="28"/>
        </w:rPr>
        <w:t>Resumo</w:t>
      </w:r>
    </w:p>
    <w:p w14:paraId="150ED53E" w14:textId="77777777" w:rsidR="00DD11A8" w:rsidRDefault="00C27C58" w:rsidP="00C27C58">
      <w:pPr>
        <w:spacing w:after="0" w:line="360" w:lineRule="auto"/>
        <w:jc w:val="both"/>
        <w:rPr>
          <w:rFonts w:ascii="Times New Roman" w:eastAsia="Times New Roman" w:hAnsi="Times New Roman" w:cs="Times New Roman"/>
          <w:lang w:val="es-MX"/>
        </w:rPr>
      </w:pPr>
      <w:r w:rsidRPr="00C27C58">
        <w:rPr>
          <w:rFonts w:ascii="Times New Roman" w:eastAsia="Times New Roman" w:hAnsi="Times New Roman" w:cs="Times New Roman"/>
          <w:lang w:val="es-MX"/>
        </w:rPr>
        <w:t xml:space="preserve">O mercado de trabalho atual, impulsionado pela digitalização, automação e economia colaborativa, exige que os estudantes desenvolvam diversas competências. Estas são categorizadas em transversais, disciplinares e de aprendizagem, destacando-se a importância do pensamento crítico e da adaptabilidade na Educação 4.0; paradigma que alinha o ensino à Quarta Revolução Industrial por meio da integração de tecnologias avançadas e competências sociotécnicas. </w:t>
      </w:r>
    </w:p>
    <w:p w14:paraId="60AE73A6" w14:textId="75177553" w:rsidR="00C27C58" w:rsidRDefault="00C27C58" w:rsidP="00C27C58">
      <w:pPr>
        <w:spacing w:after="0" w:line="360" w:lineRule="auto"/>
        <w:jc w:val="both"/>
        <w:rPr>
          <w:rFonts w:ascii="Times New Roman" w:eastAsia="Times New Roman" w:hAnsi="Times New Roman" w:cs="Times New Roman"/>
          <w:lang w:val="es-MX"/>
        </w:rPr>
      </w:pPr>
      <w:r w:rsidRPr="00C27C58">
        <w:rPr>
          <w:rFonts w:ascii="Times New Roman" w:eastAsia="Times New Roman" w:hAnsi="Times New Roman" w:cs="Times New Roman"/>
          <w:lang w:val="es-MX"/>
        </w:rPr>
        <w:t>Nesse quadro, é fundamental que os estudantes de negócios desenvolvam o pensamento computacional para possibilitar habilidades como a decomposição de problemas, o reconhecimento de padrões e a abstração.</w:t>
      </w:r>
    </w:p>
    <w:p w14:paraId="1F97A3EA" w14:textId="01AFB5C4" w:rsidR="00C27C58" w:rsidRDefault="00C27C58" w:rsidP="00C27C58">
      <w:pPr>
        <w:spacing w:after="0" w:line="360" w:lineRule="auto"/>
        <w:jc w:val="both"/>
        <w:rPr>
          <w:rFonts w:ascii="Times New Roman" w:eastAsia="Times New Roman" w:hAnsi="Times New Roman" w:cs="Times New Roman"/>
          <w:lang w:val="es-MX"/>
        </w:rPr>
      </w:pPr>
      <w:r w:rsidRPr="00C27C58">
        <w:rPr>
          <w:rFonts w:ascii="Times New Roman" w:eastAsia="Times New Roman" w:hAnsi="Times New Roman" w:cs="Times New Roman"/>
          <w:lang w:val="es-MX"/>
        </w:rPr>
        <w:t xml:space="preserve">O estudo analisa a percepção do pensamento computacional em estudantes de contabilidade da Universidad Veracruzana, México. Para isso, aplicou-se uma abordagem descritiva e </w:t>
      </w:r>
      <w:r w:rsidRPr="00C27C58">
        <w:rPr>
          <w:rFonts w:ascii="Times New Roman" w:eastAsia="Times New Roman" w:hAnsi="Times New Roman" w:cs="Times New Roman"/>
          <w:lang w:val="es-MX"/>
        </w:rPr>
        <w:lastRenderedPageBreak/>
        <w:t>transversal mediante a Escala de Pensamento Computacional (CTS) em uma amostra de 488 estudantes. O processamento incluiu análises de normalidade e testes de correlação estatística.</w:t>
      </w:r>
    </w:p>
    <w:p w14:paraId="0C730304" w14:textId="2502EF9C" w:rsidR="00616779" w:rsidRPr="00C27C58" w:rsidRDefault="00C27C58" w:rsidP="000A545E">
      <w:pPr>
        <w:spacing w:after="0" w:line="360" w:lineRule="auto"/>
        <w:jc w:val="both"/>
        <w:rPr>
          <w:rFonts w:ascii="Times New Roman" w:eastAsia="Times New Roman" w:hAnsi="Times New Roman" w:cs="Times New Roman"/>
          <w:lang w:val="es-MX"/>
        </w:rPr>
      </w:pPr>
      <w:r w:rsidRPr="00C27C58">
        <w:rPr>
          <w:rFonts w:ascii="Times New Roman" w:eastAsia="Times New Roman" w:hAnsi="Times New Roman" w:cs="Times New Roman"/>
          <w:lang w:val="es-MX"/>
        </w:rPr>
        <w:t>Os resultados mostram diferenças de gênero nas pontuações. Além disso, identificou-se que as disciplinas de literacia digital, pensamento crítico, matemática administrativa e estatística correlacionam-se positivamente com as dimensões de pensamento crítico e resolução de problemas. O exposto evidencia a relevância do desenho curricular para fortalecer as competências essenciais do século XXI. Conclui-se que a integração dessas áreas é determinante para que o egresso responda com sucesso às exigências dos ambientes organizacionais modernos e tecnológicos.</w:t>
      </w:r>
    </w:p>
    <w:p w14:paraId="5AA6D05F" w14:textId="77777777" w:rsidR="00266FB2" w:rsidRDefault="00B1315D">
      <w:pPr>
        <w:spacing w:after="0" w:line="360" w:lineRule="auto"/>
        <w:jc w:val="both"/>
        <w:rPr>
          <w:rFonts w:ascii="Times New Roman" w:eastAsia="Times New Roman" w:hAnsi="Times New Roman" w:cs="Times New Roman"/>
        </w:rPr>
      </w:pPr>
      <w:r>
        <w:rPr>
          <w:rFonts w:ascii="Calibri" w:eastAsia="Calibri" w:hAnsi="Calibri" w:cs="Calibri"/>
          <w:b/>
          <w:sz w:val="28"/>
          <w:szCs w:val="28"/>
        </w:rPr>
        <w:t>Palavras-chave:</w:t>
      </w:r>
      <w:r>
        <w:rPr>
          <w:rFonts w:ascii="Times New Roman" w:eastAsia="Times New Roman" w:hAnsi="Times New Roman" w:cs="Times New Roman"/>
          <w:b/>
        </w:rPr>
        <w:t xml:space="preserve"> </w:t>
      </w:r>
      <w:r>
        <w:rPr>
          <w:rFonts w:ascii="Times New Roman" w:eastAsia="Times New Roman" w:hAnsi="Times New Roman" w:cs="Times New Roman"/>
        </w:rPr>
        <w:t>Educação superior, STEM, Disciplinas  não STEM, Desenvolvimento de habilidades.</w:t>
      </w:r>
      <w:bookmarkEnd w:id="0"/>
    </w:p>
    <w:p w14:paraId="5B96213A" w14:textId="3CA11A2B" w:rsidR="00AE7D56" w:rsidRPr="00AE7D56" w:rsidRDefault="00AE7D56" w:rsidP="00AE7D56">
      <w:pPr>
        <w:shd w:val="clear" w:color="auto" w:fill="FFFFFF"/>
        <w:tabs>
          <w:tab w:val="left" w:pos="8647"/>
        </w:tabs>
        <w:spacing w:after="0" w:line="240" w:lineRule="auto"/>
        <w:rPr>
          <w:rFonts w:ascii="Times New Roman" w:eastAsiaTheme="minorEastAsia" w:hAnsi="Times New Roman" w:cs="Consolas"/>
          <w:color w:val="000000"/>
          <w:szCs w:val="20"/>
          <w:lang w:val="es-ES" w:eastAsia="es-ES"/>
        </w:rPr>
      </w:pPr>
      <w:r w:rsidRPr="00AE7D56">
        <w:rPr>
          <w:rFonts w:ascii="Times New Roman" w:eastAsiaTheme="minorEastAsia" w:hAnsi="Times New Roman" w:cs="Consolas"/>
          <w:b/>
          <w:color w:val="000000"/>
          <w:szCs w:val="20"/>
          <w:lang w:val="es-ES" w:eastAsia="es-ES"/>
        </w:rPr>
        <w:t xml:space="preserve">Fecha Recepción: </w:t>
      </w:r>
      <w:r>
        <w:rPr>
          <w:rFonts w:ascii="Times New Roman" w:eastAsiaTheme="minorEastAsia" w:hAnsi="Times New Roman" w:cs="Consolas"/>
          <w:color w:val="000000"/>
          <w:szCs w:val="20"/>
          <w:lang w:val="es-ES" w:eastAsia="es-ES"/>
        </w:rPr>
        <w:t>Agosto</w:t>
      </w:r>
      <w:r w:rsidRPr="00AE7D56">
        <w:rPr>
          <w:rFonts w:ascii="Times New Roman" w:eastAsiaTheme="minorEastAsia" w:hAnsi="Times New Roman" w:cs="Consolas"/>
          <w:color w:val="000000"/>
          <w:szCs w:val="20"/>
          <w:lang w:val="es-ES" w:eastAsia="es-ES"/>
        </w:rPr>
        <w:t xml:space="preserve"> 2025            </w:t>
      </w:r>
      <w:r>
        <w:rPr>
          <w:rFonts w:ascii="Times New Roman" w:eastAsiaTheme="minorEastAsia" w:hAnsi="Times New Roman" w:cs="Consolas"/>
          <w:color w:val="000000"/>
          <w:szCs w:val="20"/>
          <w:lang w:val="es-ES" w:eastAsia="es-ES"/>
        </w:rPr>
        <w:t xml:space="preserve">      </w:t>
      </w:r>
      <w:r w:rsidRPr="00AE7D56">
        <w:rPr>
          <w:rFonts w:ascii="Times New Roman" w:eastAsiaTheme="minorEastAsia" w:hAnsi="Times New Roman" w:cs="Consolas"/>
          <w:color w:val="000000"/>
          <w:szCs w:val="20"/>
          <w:lang w:val="es-ES" w:eastAsia="es-ES"/>
        </w:rPr>
        <w:t xml:space="preserve">                         </w:t>
      </w:r>
      <w:r w:rsidRPr="00AE7D56">
        <w:rPr>
          <w:rFonts w:ascii="Times New Roman" w:eastAsiaTheme="minorEastAsia" w:hAnsi="Times New Roman" w:cs="Consolas"/>
          <w:b/>
          <w:color w:val="000000"/>
          <w:szCs w:val="20"/>
          <w:lang w:val="es-ES" w:eastAsia="es-ES"/>
        </w:rPr>
        <w:t xml:space="preserve">Fecha Aceptación: </w:t>
      </w:r>
      <w:r w:rsidRPr="00AE7D56">
        <w:rPr>
          <w:rFonts w:ascii="Times New Roman" w:eastAsiaTheme="minorEastAsia" w:hAnsi="Times New Roman" w:cs="Consolas"/>
          <w:color w:val="000000"/>
          <w:szCs w:val="20"/>
          <w:lang w:val="es-ES" w:eastAsia="es-ES"/>
        </w:rPr>
        <w:t>Enero 2026</w:t>
      </w:r>
    </w:p>
    <w:p w14:paraId="5D22E2C3" w14:textId="168248B6" w:rsidR="00AE7D56" w:rsidRPr="00AE7D56" w:rsidRDefault="00000000">
      <w:pPr>
        <w:spacing w:after="0" w:line="360" w:lineRule="auto"/>
        <w:jc w:val="both"/>
        <w:rPr>
          <w:rFonts w:asciiTheme="minorHAnsi" w:eastAsia="Times New Roman" w:hAnsiTheme="minorHAnsi" w:cs="Times New Roman"/>
          <w:b/>
          <w:bCs/>
          <w:kern w:val="2"/>
          <w:sz w:val="22"/>
          <w:szCs w:val="22"/>
          <w:lang w:val="es-MX" w:eastAsia="en-US"/>
        </w:rPr>
      </w:pPr>
      <w:r>
        <w:rPr>
          <w:rFonts w:asciiTheme="minorHAnsi" w:eastAsia="Times New Roman" w:hAnsiTheme="minorHAnsi" w:cs="Times New Roman"/>
          <w:noProof/>
          <w:kern w:val="2"/>
          <w:sz w:val="22"/>
          <w:szCs w:val="22"/>
          <w:lang w:val="es-MX" w:eastAsia="en-US"/>
        </w:rPr>
        <w:pict w14:anchorId="44110268">
          <v:rect id="_x0000_i1025" style="width:441.9pt;height:.05pt" o:hralign="center" o:hrstd="t" o:hr="t" fillcolor="#a0a0a0" stroked="f"/>
        </w:pict>
      </w:r>
    </w:p>
    <w:p w14:paraId="39EFC9D9" w14:textId="3146C869" w:rsidR="00266FB2" w:rsidRDefault="00B1315D" w:rsidP="00AE7D56">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w:t>
      </w:r>
      <w:r w:rsidR="000A545E">
        <w:rPr>
          <w:rFonts w:ascii="Times New Roman" w:eastAsia="Times New Roman" w:hAnsi="Times New Roman" w:cs="Times New Roman"/>
          <w:b/>
          <w:sz w:val="32"/>
          <w:szCs w:val="32"/>
        </w:rPr>
        <w:t>c</w:t>
      </w:r>
      <w:r>
        <w:rPr>
          <w:rFonts w:ascii="Times New Roman" w:eastAsia="Times New Roman" w:hAnsi="Times New Roman" w:cs="Times New Roman"/>
          <w:b/>
          <w:sz w:val="32"/>
          <w:szCs w:val="32"/>
        </w:rPr>
        <w:t>i</w:t>
      </w:r>
      <w:r w:rsidR="000A545E">
        <w:rPr>
          <w:rFonts w:ascii="Times New Roman" w:eastAsia="Times New Roman" w:hAnsi="Times New Roman" w:cs="Times New Roman"/>
          <w:b/>
          <w:sz w:val="32"/>
          <w:szCs w:val="32"/>
        </w:rPr>
        <w:t>ó</w:t>
      </w:r>
      <w:r>
        <w:rPr>
          <w:rFonts w:ascii="Times New Roman" w:eastAsia="Times New Roman" w:hAnsi="Times New Roman" w:cs="Times New Roman"/>
          <w:b/>
          <w:sz w:val="32"/>
          <w:szCs w:val="32"/>
        </w:rPr>
        <w:t>n</w:t>
      </w:r>
    </w:p>
    <w:p w14:paraId="4AD857A5" w14:textId="77777777" w:rsidR="00551859" w:rsidRDefault="00551859" w:rsidP="00551859">
      <w:pPr>
        <w:spacing w:after="0" w:line="360" w:lineRule="auto"/>
        <w:ind w:firstLine="708"/>
        <w:jc w:val="both"/>
        <w:rPr>
          <w:rFonts w:ascii="Times New Roman" w:eastAsia="Times New Roman" w:hAnsi="Times New Roman" w:cs="Times New Roman"/>
          <w:lang w:val="es-MX"/>
        </w:rPr>
      </w:pPr>
      <w:r w:rsidRPr="00551859">
        <w:rPr>
          <w:rFonts w:ascii="Times New Roman" w:eastAsia="Times New Roman" w:hAnsi="Times New Roman" w:cs="Times New Roman"/>
          <w:lang w:val="es-MX"/>
        </w:rPr>
        <w:t xml:space="preserve">El mercado laboral actual evoluciona de forma vertiginosa debido a las demandas globales asociadas a los avances científicos y tecnológicos, tales como la digitalización, la automatización, el teletrabajo y la economía colaborativa. </w:t>
      </w:r>
    </w:p>
    <w:p w14:paraId="071E372C" w14:textId="55F2489B" w:rsidR="00551859" w:rsidRPr="00551859" w:rsidRDefault="00551859" w:rsidP="00551859">
      <w:pPr>
        <w:spacing w:after="0" w:line="360" w:lineRule="auto"/>
        <w:ind w:firstLine="708"/>
        <w:jc w:val="both"/>
        <w:rPr>
          <w:rFonts w:ascii="Times New Roman" w:eastAsia="Times New Roman" w:hAnsi="Times New Roman" w:cs="Times New Roman"/>
          <w:lang w:val="es-MX"/>
        </w:rPr>
      </w:pPr>
      <w:r w:rsidRPr="00551859">
        <w:rPr>
          <w:rFonts w:ascii="Times New Roman" w:eastAsia="Times New Roman" w:hAnsi="Times New Roman" w:cs="Times New Roman"/>
          <w:lang w:val="es-MX"/>
        </w:rPr>
        <w:t>Esta transformación exige que los profesionales adquieran competencias integrales que incluyan conocimientos, actitudes y habilidades de índole técnica, interpersonal, cognitiva y socioemocional (González-Pérez y Ramírez-Montoya, 2022).</w:t>
      </w:r>
    </w:p>
    <w:p w14:paraId="60361A8B" w14:textId="5E9D96DC" w:rsidR="0039784A" w:rsidRDefault="006D2539" w:rsidP="000A545E">
      <w:pPr>
        <w:spacing w:after="0" w:line="360" w:lineRule="auto"/>
        <w:ind w:firstLine="708"/>
        <w:jc w:val="both"/>
        <w:rPr>
          <w:rFonts w:ascii="Times New Roman" w:eastAsia="Times New Roman" w:hAnsi="Times New Roman" w:cs="Times New Roman"/>
        </w:rPr>
      </w:pPr>
      <w:r w:rsidRPr="00D76FA9">
        <w:rPr>
          <w:rFonts w:ascii="Times New Roman" w:eastAsia="Times New Roman" w:hAnsi="Times New Roman" w:cs="Times New Roman"/>
        </w:rPr>
        <w:t xml:space="preserve">En la misma </w:t>
      </w:r>
      <w:r w:rsidR="00D76FA9" w:rsidRPr="00D76FA9">
        <w:rPr>
          <w:rFonts w:ascii="Times New Roman" w:eastAsia="Times New Roman" w:hAnsi="Times New Roman" w:cs="Times New Roman"/>
        </w:rPr>
        <w:t>línea</w:t>
      </w:r>
      <w:r w:rsidR="000A545E" w:rsidRPr="00D76FA9">
        <w:rPr>
          <w:rFonts w:ascii="Times New Roman" w:eastAsia="Times New Roman" w:hAnsi="Times New Roman" w:cs="Times New Roman"/>
        </w:rPr>
        <w:t xml:space="preserve">, Raitskaya y Tikhonova </w:t>
      </w:r>
      <w:r w:rsidR="00713487" w:rsidRPr="00D76FA9">
        <w:rPr>
          <w:rFonts w:ascii="Times New Roman" w:eastAsia="Times New Roman" w:hAnsi="Times New Roman" w:cs="Times New Roman"/>
        </w:rPr>
        <w:t>(</w:t>
      </w:r>
      <w:r w:rsidR="000A545E" w:rsidRPr="00D76FA9">
        <w:rPr>
          <w:rFonts w:ascii="Times New Roman" w:eastAsia="Times New Roman" w:hAnsi="Times New Roman" w:cs="Times New Roman"/>
        </w:rPr>
        <w:t>2019</w:t>
      </w:r>
      <w:r w:rsidR="00713487" w:rsidRPr="00D76FA9">
        <w:rPr>
          <w:rFonts w:ascii="Times New Roman" w:eastAsia="Times New Roman" w:hAnsi="Times New Roman" w:cs="Times New Roman"/>
        </w:rPr>
        <w:t xml:space="preserve">) </w:t>
      </w:r>
      <w:r w:rsidR="00AE5A10" w:rsidRPr="00D76FA9">
        <w:rPr>
          <w:rFonts w:ascii="Times New Roman" w:eastAsia="Times New Roman" w:hAnsi="Times New Roman" w:cs="Times New Roman"/>
        </w:rPr>
        <w:t>y Ozturk</w:t>
      </w:r>
      <w:r w:rsidR="000A545E" w:rsidRPr="00D76FA9">
        <w:rPr>
          <w:rFonts w:ascii="Times New Roman" w:eastAsia="Times New Roman" w:hAnsi="Times New Roman" w:cs="Times New Roman"/>
        </w:rPr>
        <w:t xml:space="preserve"> </w:t>
      </w:r>
      <w:r w:rsidR="00713487" w:rsidRPr="00D76FA9">
        <w:rPr>
          <w:rFonts w:ascii="Times New Roman" w:eastAsia="Times New Roman" w:hAnsi="Times New Roman" w:cs="Times New Roman"/>
        </w:rPr>
        <w:t>(</w:t>
      </w:r>
      <w:r w:rsidR="000A545E" w:rsidRPr="00D76FA9">
        <w:rPr>
          <w:rFonts w:ascii="Times New Roman" w:eastAsia="Times New Roman" w:hAnsi="Times New Roman" w:cs="Times New Roman"/>
        </w:rPr>
        <w:t xml:space="preserve">2022) </w:t>
      </w:r>
      <w:r w:rsidR="000A545E" w:rsidRPr="009A2439">
        <w:rPr>
          <w:rFonts w:ascii="Times New Roman" w:eastAsia="Times New Roman" w:hAnsi="Times New Roman" w:cs="Times New Roman"/>
        </w:rPr>
        <w:t xml:space="preserve">establecieron que la </w:t>
      </w:r>
      <w:r w:rsidR="000A545E">
        <w:rPr>
          <w:rFonts w:ascii="Times New Roman" w:eastAsia="Times New Roman" w:hAnsi="Times New Roman" w:cs="Times New Roman"/>
        </w:rPr>
        <w:t>empleabilidad depende de una</w:t>
      </w:r>
      <w:r w:rsidR="000A545E" w:rsidRPr="009A2439">
        <w:rPr>
          <w:rFonts w:ascii="Times New Roman" w:eastAsia="Times New Roman" w:hAnsi="Times New Roman" w:cs="Times New Roman"/>
        </w:rPr>
        <w:t xml:space="preserve"> combinación de habilidades duras y blandas</w:t>
      </w:r>
      <w:r w:rsidR="00AE5A10">
        <w:rPr>
          <w:rFonts w:ascii="Times New Roman" w:eastAsia="Times New Roman" w:hAnsi="Times New Roman" w:cs="Times New Roman"/>
        </w:rPr>
        <w:t>. E</w:t>
      </w:r>
      <w:r w:rsidR="004F6485">
        <w:rPr>
          <w:rFonts w:ascii="Times New Roman" w:eastAsia="Times New Roman" w:hAnsi="Times New Roman" w:cs="Times New Roman"/>
        </w:rPr>
        <w:t>sto es, que no basta con el conocimiento técnico</w:t>
      </w:r>
      <w:r w:rsidR="004B756F">
        <w:rPr>
          <w:rFonts w:ascii="Times New Roman" w:eastAsia="Times New Roman" w:hAnsi="Times New Roman" w:cs="Times New Roman"/>
        </w:rPr>
        <w:t>,</w:t>
      </w:r>
      <w:r w:rsidR="004F6485">
        <w:rPr>
          <w:rFonts w:ascii="Times New Roman" w:eastAsia="Times New Roman" w:hAnsi="Times New Roman" w:cs="Times New Roman"/>
        </w:rPr>
        <w:t xml:space="preserve"> sino con el desarrollo de habilidades como</w:t>
      </w:r>
      <w:r w:rsidR="000A545E">
        <w:rPr>
          <w:rFonts w:ascii="Times New Roman" w:eastAsia="Times New Roman" w:hAnsi="Times New Roman" w:cs="Times New Roman"/>
        </w:rPr>
        <w:t xml:space="preserve"> la </w:t>
      </w:r>
      <w:r w:rsidR="000A545E" w:rsidRPr="009A2439">
        <w:rPr>
          <w:rFonts w:ascii="Times New Roman" w:eastAsia="Times New Roman" w:hAnsi="Times New Roman" w:cs="Times New Roman"/>
        </w:rPr>
        <w:t xml:space="preserve">comunicación, </w:t>
      </w:r>
      <w:r w:rsidR="004F6485">
        <w:rPr>
          <w:rFonts w:ascii="Times New Roman" w:eastAsia="Times New Roman" w:hAnsi="Times New Roman" w:cs="Times New Roman"/>
        </w:rPr>
        <w:t xml:space="preserve">el </w:t>
      </w:r>
      <w:r w:rsidR="000A545E">
        <w:rPr>
          <w:rFonts w:ascii="Times New Roman" w:eastAsia="Times New Roman" w:hAnsi="Times New Roman" w:cs="Times New Roman"/>
        </w:rPr>
        <w:t>liderazgo</w:t>
      </w:r>
      <w:r w:rsidR="00AE5A10">
        <w:rPr>
          <w:rFonts w:ascii="Times New Roman" w:eastAsia="Times New Roman" w:hAnsi="Times New Roman" w:cs="Times New Roman"/>
        </w:rPr>
        <w:t xml:space="preserve">, </w:t>
      </w:r>
      <w:r w:rsidR="000A545E" w:rsidRPr="009A2439">
        <w:rPr>
          <w:rFonts w:ascii="Times New Roman" w:eastAsia="Times New Roman" w:hAnsi="Times New Roman" w:cs="Times New Roman"/>
        </w:rPr>
        <w:t>la inteligencia emocional</w:t>
      </w:r>
      <w:r w:rsidR="004F6485">
        <w:rPr>
          <w:rFonts w:ascii="Times New Roman" w:eastAsia="Times New Roman" w:hAnsi="Times New Roman" w:cs="Times New Roman"/>
        </w:rPr>
        <w:t xml:space="preserve">, la abstracción, el </w:t>
      </w:r>
      <w:r w:rsidR="000E4ACE">
        <w:rPr>
          <w:rFonts w:ascii="Times New Roman" w:eastAsia="Times New Roman" w:hAnsi="Times New Roman" w:cs="Times New Roman"/>
        </w:rPr>
        <w:t>pensamiento crítico y la resolución</w:t>
      </w:r>
      <w:r w:rsidR="004F6485">
        <w:rPr>
          <w:rFonts w:ascii="Times New Roman" w:eastAsia="Times New Roman" w:hAnsi="Times New Roman" w:cs="Times New Roman"/>
        </w:rPr>
        <w:t xml:space="preserve"> de problemas de forma creativa</w:t>
      </w:r>
      <w:r w:rsidR="000A545E">
        <w:rPr>
          <w:rFonts w:ascii="Times New Roman" w:eastAsia="Times New Roman" w:hAnsi="Times New Roman" w:cs="Times New Roman"/>
        </w:rPr>
        <w:t xml:space="preserve">. </w:t>
      </w:r>
    </w:p>
    <w:p w14:paraId="4C27FBD6" w14:textId="0CF64EB5" w:rsidR="000A545E" w:rsidRDefault="000A545E"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De igual manera, </w:t>
      </w:r>
      <w:r w:rsidRPr="009A2439">
        <w:rPr>
          <w:rFonts w:ascii="Times New Roman" w:eastAsia="Times New Roman" w:hAnsi="Times New Roman" w:cs="Times New Roman"/>
        </w:rPr>
        <w:t>Christy y Lyau (2022), en el contexto de la cuarta revolución industrial,</w:t>
      </w:r>
      <w:r>
        <w:rPr>
          <w:rFonts w:ascii="Times New Roman" w:eastAsia="Times New Roman" w:hAnsi="Times New Roman" w:cs="Times New Roman"/>
        </w:rPr>
        <w:t xml:space="preserve"> indican que</w:t>
      </w:r>
      <w:r w:rsidRPr="009A2439">
        <w:rPr>
          <w:rFonts w:ascii="Times New Roman" w:eastAsia="Times New Roman" w:hAnsi="Times New Roman" w:cs="Times New Roman"/>
        </w:rPr>
        <w:t xml:space="preserve"> los estudiantes de educación empresarial necesitan desarrollar un conjunto diverso de competencias para tener éxito en el cambiante mercado laboral. En la Tabla 1 se muestran las competencias críticas identificadas.</w:t>
      </w:r>
    </w:p>
    <w:p w14:paraId="7255B42E" w14:textId="77777777" w:rsidR="004F6485" w:rsidRDefault="004F6485" w:rsidP="000A545E">
      <w:pPr>
        <w:spacing w:after="0" w:line="360" w:lineRule="auto"/>
        <w:ind w:firstLine="708"/>
        <w:jc w:val="both"/>
        <w:rPr>
          <w:rFonts w:ascii="Times New Roman" w:eastAsia="Times New Roman" w:hAnsi="Times New Roman" w:cs="Times New Roman"/>
        </w:rPr>
      </w:pPr>
    </w:p>
    <w:p w14:paraId="3E067425" w14:textId="77777777" w:rsidR="00AE7D56" w:rsidRDefault="00AE7D56" w:rsidP="000A545E">
      <w:pPr>
        <w:spacing w:after="0" w:line="360" w:lineRule="auto"/>
        <w:ind w:firstLine="708"/>
        <w:jc w:val="both"/>
        <w:rPr>
          <w:rFonts w:ascii="Times New Roman" w:eastAsia="Times New Roman" w:hAnsi="Times New Roman" w:cs="Times New Roman"/>
        </w:rPr>
      </w:pPr>
    </w:p>
    <w:p w14:paraId="2D4E6E48" w14:textId="77777777" w:rsidR="00AE7D56" w:rsidRDefault="00AE7D56" w:rsidP="000A545E">
      <w:pPr>
        <w:spacing w:after="0" w:line="360" w:lineRule="auto"/>
        <w:ind w:firstLine="708"/>
        <w:jc w:val="both"/>
        <w:rPr>
          <w:rFonts w:ascii="Times New Roman" w:eastAsia="Times New Roman" w:hAnsi="Times New Roman" w:cs="Times New Roman"/>
        </w:rPr>
      </w:pPr>
    </w:p>
    <w:p w14:paraId="34F50D2C" w14:textId="77777777" w:rsidR="000A545E" w:rsidRPr="00EC61C7" w:rsidRDefault="000A545E" w:rsidP="00AE7D56">
      <w:pPr>
        <w:pStyle w:val="Descripcin"/>
        <w:jc w:val="center"/>
        <w:rPr>
          <w:rFonts w:ascii="Times New Roman" w:hAnsi="Times New Roman" w:cs="Times New Roman"/>
          <w:i w:val="0"/>
          <w:iCs w:val="0"/>
          <w:color w:val="auto"/>
          <w:sz w:val="24"/>
          <w:szCs w:val="24"/>
          <w:lang w:val="es-MX"/>
        </w:rPr>
      </w:pPr>
      <w:r w:rsidRPr="009E6266">
        <w:rPr>
          <w:rFonts w:ascii="Times New Roman" w:hAnsi="Times New Roman" w:cs="Times New Roman"/>
          <w:b/>
          <w:bCs/>
          <w:i w:val="0"/>
          <w:iCs w:val="0"/>
          <w:color w:val="auto"/>
          <w:sz w:val="24"/>
          <w:szCs w:val="24"/>
          <w:lang w:val="es-MX"/>
        </w:rPr>
        <w:lastRenderedPageBreak/>
        <w:t xml:space="preserve">Tabla 1. </w:t>
      </w:r>
      <w:r w:rsidRPr="009E6266">
        <w:rPr>
          <w:rFonts w:ascii="Times New Roman" w:hAnsi="Times New Roman" w:cs="Times New Roman"/>
          <w:i w:val="0"/>
          <w:iCs w:val="0"/>
          <w:color w:val="auto"/>
          <w:sz w:val="24"/>
          <w:szCs w:val="24"/>
          <w:lang w:val="es-MX"/>
        </w:rPr>
        <w:t>Competencias críticas de los estudiantes de educación empresarial</w:t>
      </w:r>
    </w:p>
    <w:tbl>
      <w:tblPr>
        <w:tblW w:w="8779" w:type="dxa"/>
        <w:tblCellMar>
          <w:left w:w="70" w:type="dxa"/>
          <w:right w:w="70" w:type="dxa"/>
        </w:tblCellMar>
        <w:tblLook w:val="04A0" w:firstRow="1" w:lastRow="0" w:firstColumn="1" w:lastColumn="0" w:noHBand="0" w:noVBand="1"/>
      </w:tblPr>
      <w:tblGrid>
        <w:gridCol w:w="2680"/>
        <w:gridCol w:w="6099"/>
      </w:tblGrid>
      <w:tr w:rsidR="000A545E" w:rsidRPr="00AE7D56" w14:paraId="722E1436" w14:textId="77777777" w:rsidTr="0002088C">
        <w:trPr>
          <w:trHeight w:val="564"/>
        </w:trPr>
        <w:tc>
          <w:tcPr>
            <w:tcW w:w="2680" w:type="dxa"/>
            <w:tcBorders>
              <w:top w:val="single" w:sz="8" w:space="0" w:color="000000"/>
              <w:left w:val="single" w:sz="8" w:space="0" w:color="000000"/>
              <w:bottom w:val="single" w:sz="8" w:space="0" w:color="000000"/>
              <w:right w:val="single" w:sz="8" w:space="0" w:color="000000"/>
            </w:tcBorders>
            <w:vAlign w:val="center"/>
            <w:hideMark/>
          </w:tcPr>
          <w:p w14:paraId="38070EF3" w14:textId="77777777" w:rsidR="000A545E" w:rsidRPr="00AE7D56" w:rsidRDefault="000A545E" w:rsidP="0002088C">
            <w:pPr>
              <w:spacing w:after="0" w:line="240" w:lineRule="auto"/>
              <w:rPr>
                <w:rFonts w:ascii="Times New Roman" w:eastAsia="Times New Roman" w:hAnsi="Times New Roman" w:cs="Times New Roman"/>
                <w:color w:val="000000"/>
              </w:rPr>
            </w:pPr>
            <w:r w:rsidRPr="00AE7D56">
              <w:rPr>
                <w:rFonts w:ascii="Times New Roman" w:eastAsia="Times New Roman" w:hAnsi="Times New Roman" w:cs="Times New Roman"/>
                <w:color w:val="000000"/>
              </w:rPr>
              <w:t>Competencias</w:t>
            </w:r>
          </w:p>
        </w:tc>
        <w:tc>
          <w:tcPr>
            <w:tcW w:w="6099" w:type="dxa"/>
            <w:tcBorders>
              <w:top w:val="single" w:sz="8" w:space="0" w:color="000000"/>
              <w:left w:val="nil"/>
              <w:bottom w:val="single" w:sz="8" w:space="0" w:color="000000"/>
              <w:right w:val="single" w:sz="8" w:space="0" w:color="000000"/>
            </w:tcBorders>
            <w:vAlign w:val="center"/>
            <w:hideMark/>
          </w:tcPr>
          <w:p w14:paraId="01D56270" w14:textId="77777777" w:rsidR="000A545E" w:rsidRPr="00AE7D56" w:rsidRDefault="000A545E" w:rsidP="0002088C">
            <w:pPr>
              <w:spacing w:after="0" w:line="240" w:lineRule="auto"/>
              <w:rPr>
                <w:rFonts w:ascii="Times New Roman" w:eastAsia="Times New Roman" w:hAnsi="Times New Roman" w:cs="Times New Roman"/>
                <w:color w:val="000000"/>
              </w:rPr>
            </w:pPr>
            <w:r w:rsidRPr="00AE7D56">
              <w:rPr>
                <w:rFonts w:ascii="Times New Roman" w:eastAsia="Times New Roman" w:hAnsi="Times New Roman" w:cs="Times New Roman"/>
                <w:color w:val="000000" w:themeColor="text1"/>
              </w:rPr>
              <w:t>Descripción</w:t>
            </w:r>
          </w:p>
        </w:tc>
      </w:tr>
      <w:tr w:rsidR="000A545E" w:rsidRPr="00AE7D56" w14:paraId="7CB7AD63" w14:textId="77777777" w:rsidTr="0002088C">
        <w:trPr>
          <w:trHeight w:val="774"/>
        </w:trPr>
        <w:tc>
          <w:tcPr>
            <w:tcW w:w="2680" w:type="dxa"/>
            <w:tcBorders>
              <w:top w:val="nil"/>
              <w:left w:val="single" w:sz="8" w:space="0" w:color="000000"/>
              <w:bottom w:val="single" w:sz="8" w:space="0" w:color="000000"/>
              <w:right w:val="single" w:sz="8" w:space="0" w:color="000000"/>
            </w:tcBorders>
            <w:vAlign w:val="center"/>
            <w:hideMark/>
          </w:tcPr>
          <w:p w14:paraId="6CCA5E4B" w14:textId="77777777" w:rsidR="000A545E" w:rsidRPr="00AE7D56" w:rsidRDefault="000A545E" w:rsidP="0002088C">
            <w:pPr>
              <w:spacing w:after="0" w:line="240" w:lineRule="auto"/>
              <w:rPr>
                <w:rFonts w:ascii="Times New Roman" w:eastAsia="Times New Roman" w:hAnsi="Times New Roman" w:cs="Times New Roman"/>
                <w:color w:val="000000"/>
              </w:rPr>
            </w:pPr>
            <w:r w:rsidRPr="00AE7D56">
              <w:rPr>
                <w:rFonts w:ascii="Times New Roman" w:eastAsia="Times New Roman" w:hAnsi="Times New Roman" w:cs="Times New Roman"/>
                <w:color w:val="000000"/>
              </w:rPr>
              <w:t>Técnicas</w:t>
            </w:r>
          </w:p>
        </w:tc>
        <w:tc>
          <w:tcPr>
            <w:tcW w:w="6099" w:type="dxa"/>
            <w:tcBorders>
              <w:top w:val="nil"/>
              <w:left w:val="nil"/>
              <w:bottom w:val="single" w:sz="8" w:space="0" w:color="000000"/>
              <w:right w:val="single" w:sz="8" w:space="0" w:color="000000"/>
            </w:tcBorders>
            <w:vAlign w:val="center"/>
            <w:hideMark/>
          </w:tcPr>
          <w:p w14:paraId="2A904BC6" w14:textId="3600AC5F" w:rsidR="000A545E" w:rsidRPr="00AE7D56" w:rsidRDefault="0039784A" w:rsidP="0002088C">
            <w:pPr>
              <w:spacing w:after="0" w:line="240" w:lineRule="auto"/>
              <w:jc w:val="both"/>
              <w:rPr>
                <w:rFonts w:ascii="Times New Roman" w:eastAsia="Times New Roman" w:hAnsi="Times New Roman" w:cs="Times New Roman"/>
                <w:color w:val="000000"/>
              </w:rPr>
            </w:pPr>
            <w:r w:rsidRPr="00AE7D56">
              <w:rPr>
                <w:rFonts w:ascii="Times New Roman" w:eastAsia="Times New Roman" w:hAnsi="Times New Roman" w:cs="Times New Roman"/>
                <w:color w:val="000000"/>
              </w:rPr>
              <w:t xml:space="preserve">Dominio de conocimientos especializados, herramientas digitales y procedimientos normativos de las áreas contable y administrativa, que permiten </w:t>
            </w:r>
            <w:r w:rsidR="000A545E" w:rsidRPr="00AE7D56">
              <w:rPr>
                <w:rFonts w:ascii="Times New Roman" w:eastAsia="Times New Roman" w:hAnsi="Times New Roman" w:cs="Times New Roman"/>
                <w:color w:val="000000"/>
              </w:rPr>
              <w:t>desenvolverse en el panorama digital y aprovechar la tecnología eficazmente.</w:t>
            </w:r>
          </w:p>
        </w:tc>
      </w:tr>
      <w:tr w:rsidR="000A545E" w:rsidRPr="00AE7D56" w14:paraId="3CE0FBED" w14:textId="77777777" w:rsidTr="0002088C">
        <w:trPr>
          <w:trHeight w:val="1126"/>
        </w:trPr>
        <w:tc>
          <w:tcPr>
            <w:tcW w:w="2680" w:type="dxa"/>
            <w:tcBorders>
              <w:top w:val="nil"/>
              <w:left w:val="single" w:sz="8" w:space="0" w:color="000000"/>
              <w:bottom w:val="single" w:sz="8" w:space="0" w:color="000000"/>
              <w:right w:val="single" w:sz="8" w:space="0" w:color="000000"/>
            </w:tcBorders>
            <w:vAlign w:val="center"/>
            <w:hideMark/>
          </w:tcPr>
          <w:p w14:paraId="2D83B397" w14:textId="77777777" w:rsidR="000A545E" w:rsidRPr="00AE7D56" w:rsidRDefault="000A545E" w:rsidP="0002088C">
            <w:pPr>
              <w:spacing w:after="0" w:line="240" w:lineRule="auto"/>
              <w:rPr>
                <w:rFonts w:ascii="Times New Roman" w:eastAsia="Times New Roman" w:hAnsi="Times New Roman" w:cs="Times New Roman"/>
                <w:color w:val="000000"/>
              </w:rPr>
            </w:pPr>
            <w:r w:rsidRPr="00AE7D56">
              <w:rPr>
                <w:rFonts w:ascii="Times New Roman" w:eastAsia="Times New Roman" w:hAnsi="Times New Roman" w:cs="Times New Roman"/>
                <w:color w:val="000000"/>
              </w:rPr>
              <w:t>Metodológicas</w:t>
            </w:r>
          </w:p>
        </w:tc>
        <w:tc>
          <w:tcPr>
            <w:tcW w:w="6099" w:type="dxa"/>
            <w:tcBorders>
              <w:top w:val="nil"/>
              <w:left w:val="nil"/>
              <w:bottom w:val="single" w:sz="8" w:space="0" w:color="000000"/>
              <w:right w:val="single" w:sz="8" w:space="0" w:color="000000"/>
            </w:tcBorders>
            <w:vAlign w:val="center"/>
            <w:hideMark/>
          </w:tcPr>
          <w:p w14:paraId="308D6ED0" w14:textId="1AD12CD5" w:rsidR="000A545E" w:rsidRPr="00AE7D56" w:rsidRDefault="0039784A" w:rsidP="0039784A">
            <w:pPr>
              <w:spacing w:after="0" w:line="240" w:lineRule="auto"/>
              <w:jc w:val="both"/>
              <w:rPr>
                <w:rFonts w:ascii="Times New Roman" w:eastAsia="Times New Roman" w:hAnsi="Times New Roman" w:cs="Times New Roman"/>
                <w:color w:val="000000"/>
              </w:rPr>
            </w:pPr>
            <w:r w:rsidRPr="00AE7D56">
              <w:rPr>
                <w:rFonts w:ascii="Times New Roman" w:eastAsia="Times New Roman" w:hAnsi="Times New Roman" w:cs="Times New Roman"/>
                <w:color w:val="000000"/>
              </w:rPr>
              <w:t xml:space="preserve">Capacidad de aplicación de estrategias lógicas y procesos de resolución de problemas que permiten </w:t>
            </w:r>
            <w:r w:rsidR="000A545E" w:rsidRPr="00AE7D56">
              <w:rPr>
                <w:rFonts w:ascii="Times New Roman" w:eastAsia="Times New Roman" w:hAnsi="Times New Roman" w:cs="Times New Roman"/>
                <w:color w:val="000000"/>
              </w:rPr>
              <w:t>abordar los desafíos y aprovechar las oportunidades en el cambio constante y los avances tecnológicos.</w:t>
            </w:r>
          </w:p>
        </w:tc>
      </w:tr>
      <w:tr w:rsidR="000A545E" w:rsidRPr="00AE7D56" w14:paraId="6BF5CE07" w14:textId="77777777" w:rsidTr="0002088C">
        <w:trPr>
          <w:trHeight w:val="689"/>
        </w:trPr>
        <w:tc>
          <w:tcPr>
            <w:tcW w:w="2680" w:type="dxa"/>
            <w:tcBorders>
              <w:top w:val="nil"/>
              <w:left w:val="single" w:sz="8" w:space="0" w:color="000000"/>
              <w:bottom w:val="single" w:sz="8" w:space="0" w:color="000000"/>
              <w:right w:val="single" w:sz="8" w:space="0" w:color="000000"/>
            </w:tcBorders>
            <w:vAlign w:val="center"/>
            <w:hideMark/>
          </w:tcPr>
          <w:p w14:paraId="1E2D8F30" w14:textId="77777777" w:rsidR="000A545E" w:rsidRPr="00AE7D56" w:rsidRDefault="000A545E" w:rsidP="0002088C">
            <w:pPr>
              <w:spacing w:after="0" w:line="240" w:lineRule="auto"/>
              <w:rPr>
                <w:rFonts w:ascii="Times New Roman" w:eastAsia="Times New Roman" w:hAnsi="Times New Roman" w:cs="Times New Roman"/>
                <w:color w:val="000000"/>
              </w:rPr>
            </w:pPr>
            <w:r w:rsidRPr="00AE7D56">
              <w:rPr>
                <w:rFonts w:ascii="Times New Roman" w:eastAsia="Times New Roman" w:hAnsi="Times New Roman" w:cs="Times New Roman"/>
                <w:color w:val="000000"/>
              </w:rPr>
              <w:t>Personales</w:t>
            </w:r>
          </w:p>
        </w:tc>
        <w:tc>
          <w:tcPr>
            <w:tcW w:w="6099" w:type="dxa"/>
            <w:tcBorders>
              <w:top w:val="nil"/>
              <w:left w:val="nil"/>
              <w:bottom w:val="single" w:sz="8" w:space="0" w:color="000000"/>
              <w:right w:val="single" w:sz="8" w:space="0" w:color="000000"/>
            </w:tcBorders>
            <w:vAlign w:val="center"/>
            <w:hideMark/>
          </w:tcPr>
          <w:p w14:paraId="54DAE0FB" w14:textId="558F2B50" w:rsidR="000A545E" w:rsidRPr="00AE7D56" w:rsidRDefault="0039784A" w:rsidP="0039784A">
            <w:pPr>
              <w:spacing w:after="0" w:line="240" w:lineRule="auto"/>
              <w:jc w:val="both"/>
              <w:rPr>
                <w:rFonts w:ascii="Times New Roman" w:eastAsia="Times New Roman" w:hAnsi="Times New Roman" w:cs="Times New Roman"/>
                <w:color w:val="000000"/>
              </w:rPr>
            </w:pPr>
            <w:r w:rsidRPr="00AE7D56">
              <w:rPr>
                <w:rFonts w:ascii="Times New Roman" w:eastAsia="Times New Roman" w:hAnsi="Times New Roman" w:cs="Times New Roman"/>
                <w:color w:val="000000"/>
              </w:rPr>
              <w:t>Conjunto de atributos intrínsecos al individuo</w:t>
            </w:r>
            <w:r w:rsidR="005212A3" w:rsidRPr="00AE7D56">
              <w:rPr>
                <w:rFonts w:ascii="Times New Roman" w:eastAsia="Times New Roman" w:hAnsi="Times New Roman" w:cs="Times New Roman"/>
                <w:color w:val="000000"/>
              </w:rPr>
              <w:t xml:space="preserve">, como </w:t>
            </w:r>
            <w:r w:rsidR="006240CA" w:rsidRPr="00AE7D56">
              <w:rPr>
                <w:rFonts w:ascii="Times New Roman" w:eastAsia="Times New Roman" w:hAnsi="Times New Roman" w:cs="Times New Roman"/>
                <w:color w:val="000000"/>
              </w:rPr>
              <w:t>pensamiento</w:t>
            </w:r>
            <w:r w:rsidR="005212A3" w:rsidRPr="00AE7D56">
              <w:rPr>
                <w:rFonts w:ascii="Times New Roman" w:eastAsia="Times New Roman" w:hAnsi="Times New Roman" w:cs="Times New Roman"/>
                <w:color w:val="000000"/>
              </w:rPr>
              <w:t xml:space="preserve"> crítico y ética profesional,</w:t>
            </w:r>
            <w:r w:rsidRPr="00AE7D56">
              <w:rPr>
                <w:rFonts w:ascii="Times New Roman" w:eastAsia="Times New Roman" w:hAnsi="Times New Roman" w:cs="Times New Roman"/>
                <w:color w:val="000000"/>
              </w:rPr>
              <w:t xml:space="preserve"> que desempeñan un papel fundamental en su éxito en el ámbito empresarial.</w:t>
            </w:r>
          </w:p>
        </w:tc>
      </w:tr>
      <w:tr w:rsidR="000A545E" w:rsidRPr="00AE7D56" w14:paraId="78294620" w14:textId="77777777" w:rsidTr="0002088C">
        <w:trPr>
          <w:trHeight w:val="1020"/>
        </w:trPr>
        <w:tc>
          <w:tcPr>
            <w:tcW w:w="2680" w:type="dxa"/>
            <w:tcBorders>
              <w:top w:val="nil"/>
              <w:left w:val="single" w:sz="8" w:space="0" w:color="000000"/>
              <w:bottom w:val="single" w:sz="8" w:space="0" w:color="000000"/>
              <w:right w:val="single" w:sz="8" w:space="0" w:color="000000"/>
            </w:tcBorders>
            <w:vAlign w:val="center"/>
            <w:hideMark/>
          </w:tcPr>
          <w:p w14:paraId="4FEDE25F" w14:textId="77777777" w:rsidR="000A545E" w:rsidRPr="00AE7D56" w:rsidRDefault="000A545E" w:rsidP="0002088C">
            <w:pPr>
              <w:spacing w:after="0" w:line="240" w:lineRule="auto"/>
              <w:rPr>
                <w:rFonts w:ascii="Times New Roman" w:eastAsia="Times New Roman" w:hAnsi="Times New Roman" w:cs="Times New Roman"/>
                <w:color w:val="000000"/>
              </w:rPr>
            </w:pPr>
            <w:r w:rsidRPr="00AE7D56">
              <w:rPr>
                <w:rFonts w:ascii="Times New Roman" w:eastAsia="Times New Roman" w:hAnsi="Times New Roman" w:cs="Times New Roman"/>
                <w:color w:val="000000"/>
              </w:rPr>
              <w:t>Sociales</w:t>
            </w:r>
          </w:p>
        </w:tc>
        <w:tc>
          <w:tcPr>
            <w:tcW w:w="6099" w:type="dxa"/>
            <w:tcBorders>
              <w:top w:val="nil"/>
              <w:left w:val="nil"/>
              <w:bottom w:val="single" w:sz="8" w:space="0" w:color="000000"/>
              <w:right w:val="single" w:sz="8" w:space="0" w:color="000000"/>
            </w:tcBorders>
            <w:vAlign w:val="center"/>
            <w:hideMark/>
          </w:tcPr>
          <w:p w14:paraId="74122BDA" w14:textId="6DEE2083" w:rsidR="000A545E" w:rsidRPr="00AE7D56" w:rsidRDefault="0039784A" w:rsidP="0002088C">
            <w:pPr>
              <w:spacing w:after="0" w:line="240" w:lineRule="auto"/>
              <w:jc w:val="both"/>
              <w:rPr>
                <w:rFonts w:ascii="Times New Roman" w:eastAsia="Times New Roman" w:hAnsi="Times New Roman" w:cs="Times New Roman"/>
                <w:color w:val="000000"/>
              </w:rPr>
            </w:pPr>
            <w:r w:rsidRPr="00AE7D56">
              <w:rPr>
                <w:rFonts w:ascii="Times New Roman" w:eastAsia="Times New Roman" w:hAnsi="Times New Roman" w:cs="Times New Roman"/>
                <w:color w:val="000000"/>
              </w:rPr>
              <w:t xml:space="preserve">Conjunto de </w:t>
            </w:r>
            <w:r w:rsidR="00C6561C" w:rsidRPr="00AE7D56">
              <w:rPr>
                <w:rFonts w:ascii="Times New Roman" w:eastAsia="Times New Roman" w:hAnsi="Times New Roman" w:cs="Times New Roman"/>
                <w:color w:val="000000"/>
              </w:rPr>
              <w:t>habilidades</w:t>
            </w:r>
            <w:r w:rsidR="000A545E" w:rsidRPr="00AE7D56">
              <w:rPr>
                <w:rFonts w:ascii="Times New Roman" w:eastAsia="Times New Roman" w:hAnsi="Times New Roman" w:cs="Times New Roman"/>
                <w:color w:val="000000"/>
              </w:rPr>
              <w:t xml:space="preserve"> interpersonales </w:t>
            </w:r>
            <w:r w:rsidR="00C6561C" w:rsidRPr="00AE7D56">
              <w:rPr>
                <w:rFonts w:ascii="Times New Roman" w:eastAsia="Times New Roman" w:hAnsi="Times New Roman" w:cs="Times New Roman"/>
                <w:color w:val="000000"/>
              </w:rPr>
              <w:t xml:space="preserve">que </w:t>
            </w:r>
            <w:r w:rsidR="000A545E" w:rsidRPr="00AE7D56">
              <w:rPr>
                <w:rFonts w:ascii="Times New Roman" w:eastAsia="Times New Roman" w:hAnsi="Times New Roman" w:cs="Times New Roman"/>
                <w:color w:val="000000"/>
              </w:rPr>
              <w:t>son esenciales para que los estudiantes de negocios prosperen en un entorno laboral colaborativo y dinámico.</w:t>
            </w:r>
          </w:p>
        </w:tc>
      </w:tr>
    </w:tbl>
    <w:p w14:paraId="6274243F" w14:textId="77777777" w:rsidR="000A545E" w:rsidRPr="00B26B8F" w:rsidRDefault="000A545E" w:rsidP="000A545E">
      <w:pPr>
        <w:widowControl w:val="0"/>
        <w:spacing w:before="8" w:after="0" w:line="240" w:lineRule="auto"/>
        <w:rPr>
          <w:rFonts w:ascii="Times New Roman" w:eastAsia="Times New Roman" w:hAnsi="Times New Roman" w:cs="Times New Roman"/>
          <w:b/>
          <w:bCs/>
          <w:color w:val="000000" w:themeColor="text1"/>
          <w:sz w:val="20"/>
          <w:szCs w:val="20"/>
        </w:rPr>
      </w:pPr>
    </w:p>
    <w:p w14:paraId="2BBF37B0" w14:textId="7BF194EA" w:rsidR="000A545E" w:rsidRPr="00AE7D56" w:rsidRDefault="000A545E" w:rsidP="00AE7D56">
      <w:pPr>
        <w:widowControl w:val="0"/>
        <w:spacing w:before="8" w:after="0" w:line="360" w:lineRule="auto"/>
        <w:jc w:val="center"/>
        <w:rPr>
          <w:rFonts w:ascii="Times New Roman" w:eastAsia="Times New Roman" w:hAnsi="Times New Roman" w:cs="Times New Roman"/>
          <w:color w:val="000000" w:themeColor="text1"/>
        </w:rPr>
      </w:pPr>
      <w:r w:rsidRPr="00AE7D56">
        <w:rPr>
          <w:rFonts w:ascii="Times New Roman" w:eastAsia="Times New Roman" w:hAnsi="Times New Roman" w:cs="Times New Roman"/>
          <w:color w:val="000000" w:themeColor="text1"/>
        </w:rPr>
        <w:t>Fuente:</w:t>
      </w:r>
      <w:r w:rsidRPr="00AE7D56">
        <w:rPr>
          <w:rFonts w:ascii="Times New Roman" w:eastAsia="Times New Roman" w:hAnsi="Times New Roman" w:cs="Times New Roman"/>
          <w:b/>
          <w:bCs/>
          <w:color w:val="000000" w:themeColor="text1"/>
        </w:rPr>
        <w:t xml:space="preserve"> </w:t>
      </w:r>
      <w:r w:rsidRPr="00AE7D56">
        <w:rPr>
          <w:rFonts w:ascii="Times New Roman" w:eastAsia="Times New Roman" w:hAnsi="Times New Roman" w:cs="Times New Roman"/>
          <w:color w:val="000000" w:themeColor="text1"/>
        </w:rPr>
        <w:t>Elaboración propia</w:t>
      </w:r>
    </w:p>
    <w:p w14:paraId="61C82C3C" w14:textId="3B69EFB2" w:rsidR="000A545E" w:rsidRPr="009A2439" w:rsidRDefault="000A545E"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Dentro de </w:t>
      </w:r>
      <w:r w:rsidR="00D22220">
        <w:rPr>
          <w:rFonts w:ascii="Times New Roman" w:eastAsia="Times New Roman" w:hAnsi="Times New Roman" w:cs="Times New Roman"/>
        </w:rPr>
        <w:t>las competencias</w:t>
      </w:r>
      <w:r>
        <w:rPr>
          <w:rFonts w:ascii="Times New Roman" w:eastAsia="Times New Roman" w:hAnsi="Times New Roman" w:cs="Times New Roman"/>
        </w:rPr>
        <w:t xml:space="preserve">, el pensamiento computacional se ha consolidado como esencial, pues coadyuva a la resolución de problemas, </w:t>
      </w:r>
      <w:r w:rsidR="005212A3">
        <w:rPr>
          <w:rFonts w:ascii="Times New Roman" w:eastAsia="Times New Roman" w:hAnsi="Times New Roman" w:cs="Times New Roman"/>
        </w:rPr>
        <w:t xml:space="preserve">el </w:t>
      </w:r>
      <w:r>
        <w:rPr>
          <w:rFonts w:ascii="Times New Roman" w:eastAsia="Times New Roman" w:hAnsi="Times New Roman" w:cs="Times New Roman"/>
        </w:rPr>
        <w:t xml:space="preserve">diseño de sistemas y </w:t>
      </w:r>
      <w:r w:rsidR="005212A3">
        <w:rPr>
          <w:rFonts w:ascii="Times New Roman" w:eastAsia="Times New Roman" w:hAnsi="Times New Roman" w:cs="Times New Roman"/>
        </w:rPr>
        <w:t xml:space="preserve">la </w:t>
      </w:r>
      <w:r>
        <w:rPr>
          <w:rFonts w:ascii="Times New Roman" w:eastAsia="Times New Roman" w:hAnsi="Times New Roman" w:cs="Times New Roman"/>
        </w:rPr>
        <w:t>compren</w:t>
      </w:r>
      <w:r w:rsidR="005212A3">
        <w:rPr>
          <w:rFonts w:ascii="Times New Roman" w:eastAsia="Times New Roman" w:hAnsi="Times New Roman" w:cs="Times New Roman"/>
        </w:rPr>
        <w:t>sión de</w:t>
      </w:r>
      <w:r>
        <w:rPr>
          <w:rFonts w:ascii="Times New Roman" w:eastAsia="Times New Roman" w:hAnsi="Times New Roman" w:cs="Times New Roman"/>
        </w:rPr>
        <w:t xml:space="preserve"> los procesos a través de una lógica analítica</w:t>
      </w:r>
      <w:r w:rsidRPr="009A2439">
        <w:rPr>
          <w:rFonts w:ascii="Times New Roman" w:eastAsia="Times New Roman" w:hAnsi="Times New Roman" w:cs="Times New Roman"/>
        </w:rPr>
        <w:t xml:space="preserve"> (Wing, 2006</w:t>
      </w:r>
      <w:r>
        <w:rPr>
          <w:rFonts w:ascii="Times New Roman" w:eastAsia="Times New Roman" w:hAnsi="Times New Roman" w:cs="Times New Roman"/>
        </w:rPr>
        <w:t xml:space="preserve">; </w:t>
      </w:r>
      <w:r w:rsidRPr="009A2439">
        <w:rPr>
          <w:rFonts w:ascii="Times New Roman" w:eastAsia="Times New Roman" w:hAnsi="Times New Roman" w:cs="Times New Roman"/>
        </w:rPr>
        <w:t>Korkmaz et al.</w:t>
      </w:r>
      <w:r>
        <w:rPr>
          <w:rFonts w:ascii="Times New Roman" w:eastAsia="Times New Roman" w:hAnsi="Times New Roman" w:cs="Times New Roman"/>
        </w:rPr>
        <w:t>,</w:t>
      </w:r>
      <w:r w:rsidRPr="009A2439">
        <w:rPr>
          <w:rFonts w:ascii="Times New Roman" w:eastAsia="Times New Roman" w:hAnsi="Times New Roman" w:cs="Times New Roman"/>
        </w:rPr>
        <w:t xml:space="preserve"> 2017).</w:t>
      </w:r>
    </w:p>
    <w:p w14:paraId="5755D6B5" w14:textId="5EB16E7B" w:rsidR="000A545E" w:rsidRPr="009A2439" w:rsidRDefault="000A545E"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Es importante considerar que e</w:t>
      </w:r>
      <w:r w:rsidRPr="009A2439">
        <w:rPr>
          <w:rFonts w:ascii="Times New Roman" w:eastAsia="Times New Roman" w:hAnsi="Times New Roman" w:cs="Times New Roman"/>
        </w:rPr>
        <w:t xml:space="preserve">l pensamiento computacional se ha estudiado como </w:t>
      </w:r>
      <w:r w:rsidR="00F5509A">
        <w:rPr>
          <w:rFonts w:ascii="Times New Roman" w:eastAsia="Times New Roman" w:hAnsi="Times New Roman" w:cs="Times New Roman"/>
        </w:rPr>
        <w:t>competencia integral</w:t>
      </w:r>
      <w:r w:rsidRPr="009A2439">
        <w:rPr>
          <w:rFonts w:ascii="Times New Roman" w:eastAsia="Times New Roman" w:hAnsi="Times New Roman" w:cs="Times New Roman"/>
        </w:rPr>
        <w:t xml:space="preserve">, principalmente en estudiantes de ciencias, tecnología, ingeniería y matemáticas (conocidas como STEM); sin embargo, </w:t>
      </w:r>
      <w:r w:rsidR="00F5509A">
        <w:rPr>
          <w:rFonts w:ascii="Times New Roman" w:eastAsia="Times New Roman" w:hAnsi="Times New Roman" w:cs="Times New Roman"/>
        </w:rPr>
        <w:t>los conocimientos, habilidades</w:t>
      </w:r>
      <w:r w:rsidR="005212A3">
        <w:rPr>
          <w:rFonts w:ascii="Times New Roman" w:eastAsia="Times New Roman" w:hAnsi="Times New Roman" w:cs="Times New Roman"/>
        </w:rPr>
        <w:t xml:space="preserve"> y</w:t>
      </w:r>
      <w:r w:rsidR="00F5509A">
        <w:rPr>
          <w:rFonts w:ascii="Times New Roman" w:eastAsia="Times New Roman" w:hAnsi="Times New Roman" w:cs="Times New Roman"/>
        </w:rPr>
        <w:t xml:space="preserve"> actitudes que </w:t>
      </w:r>
      <w:r w:rsidR="005212A3">
        <w:rPr>
          <w:rFonts w:ascii="Times New Roman" w:eastAsia="Times New Roman" w:hAnsi="Times New Roman" w:cs="Times New Roman"/>
        </w:rPr>
        <w:t>é</w:t>
      </w:r>
      <w:r w:rsidR="00F5509A">
        <w:rPr>
          <w:rFonts w:ascii="Times New Roman" w:eastAsia="Times New Roman" w:hAnsi="Times New Roman" w:cs="Times New Roman"/>
        </w:rPr>
        <w:t>st</w:t>
      </w:r>
      <w:r w:rsidR="005212A3">
        <w:rPr>
          <w:rFonts w:ascii="Times New Roman" w:eastAsia="Times New Roman" w:hAnsi="Times New Roman" w:cs="Times New Roman"/>
        </w:rPr>
        <w:t>e</w:t>
      </w:r>
      <w:r w:rsidR="00F5509A">
        <w:rPr>
          <w:rFonts w:ascii="Times New Roman" w:eastAsia="Times New Roman" w:hAnsi="Times New Roman" w:cs="Times New Roman"/>
        </w:rPr>
        <w:t xml:space="preserve"> integra </w:t>
      </w:r>
      <w:r w:rsidRPr="009A2439">
        <w:rPr>
          <w:rFonts w:ascii="Times New Roman" w:eastAsia="Times New Roman" w:hAnsi="Times New Roman" w:cs="Times New Roman"/>
        </w:rPr>
        <w:t>también son deseables en estudiantes de escuelas de negocios, a quienes se les denomina estudiantes no STEM (López Simó et al.</w:t>
      </w:r>
      <w:r w:rsidR="007F4F32">
        <w:rPr>
          <w:rFonts w:ascii="Times New Roman" w:eastAsia="Times New Roman" w:hAnsi="Times New Roman" w:cs="Times New Roman"/>
        </w:rPr>
        <w:t>,</w:t>
      </w:r>
      <w:r w:rsidRPr="009A2439">
        <w:rPr>
          <w:rFonts w:ascii="Times New Roman" w:eastAsia="Times New Roman" w:hAnsi="Times New Roman" w:cs="Times New Roman"/>
        </w:rPr>
        <w:t xml:space="preserve"> 2020).</w:t>
      </w:r>
    </w:p>
    <w:p w14:paraId="451018D4" w14:textId="6C69C679" w:rsidR="00266FB2" w:rsidRDefault="000A545E"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En este marco, el presente estudio tiene como objetivo analizar la percepción de las habilidades </w:t>
      </w:r>
      <w:r w:rsidR="00F5509A">
        <w:rPr>
          <w:rFonts w:ascii="Times New Roman" w:eastAsia="Times New Roman" w:hAnsi="Times New Roman" w:cs="Times New Roman"/>
        </w:rPr>
        <w:t>que son parte del</w:t>
      </w:r>
      <w:r>
        <w:rPr>
          <w:rFonts w:ascii="Times New Roman" w:eastAsia="Times New Roman" w:hAnsi="Times New Roman" w:cs="Times New Roman"/>
        </w:rPr>
        <w:t xml:space="preserve"> pensamiento computacional en estudiantes de </w:t>
      </w:r>
      <w:r w:rsidR="00490824">
        <w:rPr>
          <w:rFonts w:ascii="Times New Roman" w:eastAsia="Times New Roman" w:hAnsi="Times New Roman" w:cs="Times New Roman"/>
        </w:rPr>
        <w:t>Contaduría</w:t>
      </w:r>
      <w:r>
        <w:rPr>
          <w:rFonts w:ascii="Times New Roman" w:eastAsia="Times New Roman" w:hAnsi="Times New Roman" w:cs="Times New Roman"/>
        </w:rPr>
        <w:t xml:space="preserve"> de la Universidad Veracruzana</w:t>
      </w:r>
      <w:r w:rsidR="0045173B">
        <w:rPr>
          <w:rFonts w:ascii="Times New Roman" w:eastAsia="Times New Roman" w:hAnsi="Times New Roman" w:cs="Times New Roman"/>
        </w:rPr>
        <w:t>, México</w:t>
      </w:r>
      <w:r>
        <w:rPr>
          <w:rFonts w:ascii="Times New Roman" w:eastAsia="Times New Roman" w:hAnsi="Times New Roman" w:cs="Times New Roman"/>
        </w:rPr>
        <w:t xml:space="preserve">, considerando su relación con variables académicas y demográficas. El análisis </w:t>
      </w:r>
      <w:r w:rsidR="005212A3">
        <w:rPr>
          <w:rFonts w:ascii="Times New Roman" w:eastAsia="Times New Roman" w:hAnsi="Times New Roman" w:cs="Times New Roman"/>
        </w:rPr>
        <w:t xml:space="preserve">realizado </w:t>
      </w:r>
      <w:r>
        <w:rPr>
          <w:rFonts w:ascii="Times New Roman" w:eastAsia="Times New Roman" w:hAnsi="Times New Roman" w:cs="Times New Roman"/>
        </w:rPr>
        <w:t xml:space="preserve">busca contribuir a la comprensión de </w:t>
      </w:r>
      <w:r w:rsidR="005212A3">
        <w:rPr>
          <w:rFonts w:ascii="Times New Roman" w:eastAsia="Times New Roman" w:hAnsi="Times New Roman" w:cs="Times New Roman"/>
        </w:rPr>
        <w:t>cómo</w:t>
      </w:r>
      <w:r>
        <w:rPr>
          <w:rFonts w:ascii="Times New Roman" w:eastAsia="Times New Roman" w:hAnsi="Times New Roman" w:cs="Times New Roman"/>
        </w:rPr>
        <w:t xml:space="preserve"> las materias dentro de los programas de negocios pueden fortalecer las competencias integrales requeridas para los profesionales del siglo XXI.</w:t>
      </w:r>
    </w:p>
    <w:p w14:paraId="0621542E" w14:textId="77777777" w:rsidR="00697C4A" w:rsidRDefault="00697C4A" w:rsidP="000A545E">
      <w:pPr>
        <w:spacing w:after="0" w:line="360" w:lineRule="auto"/>
        <w:ind w:firstLine="708"/>
        <w:jc w:val="both"/>
        <w:rPr>
          <w:rFonts w:ascii="Times New Roman" w:eastAsia="Times New Roman" w:hAnsi="Times New Roman" w:cs="Times New Roman"/>
        </w:rPr>
      </w:pPr>
    </w:p>
    <w:p w14:paraId="63DCA1AF" w14:textId="77777777" w:rsidR="00AE7D56" w:rsidRDefault="00AE7D56" w:rsidP="000A545E">
      <w:pPr>
        <w:spacing w:after="0" w:line="360" w:lineRule="auto"/>
        <w:ind w:firstLine="708"/>
        <w:jc w:val="both"/>
        <w:rPr>
          <w:rFonts w:ascii="Times New Roman" w:eastAsia="Times New Roman" w:hAnsi="Times New Roman" w:cs="Times New Roman"/>
        </w:rPr>
      </w:pPr>
    </w:p>
    <w:p w14:paraId="33039878" w14:textId="77777777" w:rsidR="00AE7D56" w:rsidRDefault="00AE7D56" w:rsidP="000A545E">
      <w:pPr>
        <w:spacing w:after="0" w:line="360" w:lineRule="auto"/>
        <w:ind w:firstLine="708"/>
        <w:jc w:val="both"/>
        <w:rPr>
          <w:rFonts w:ascii="Times New Roman" w:eastAsia="Times New Roman" w:hAnsi="Times New Roman" w:cs="Times New Roman"/>
        </w:rPr>
      </w:pPr>
    </w:p>
    <w:p w14:paraId="2421C235" w14:textId="77777777" w:rsidR="00AE7D56" w:rsidRDefault="00AE7D56" w:rsidP="000A545E">
      <w:pPr>
        <w:spacing w:after="0" w:line="360" w:lineRule="auto"/>
        <w:ind w:firstLine="708"/>
        <w:jc w:val="both"/>
        <w:rPr>
          <w:rFonts w:ascii="Times New Roman" w:eastAsia="Times New Roman" w:hAnsi="Times New Roman" w:cs="Times New Roman"/>
        </w:rPr>
      </w:pPr>
    </w:p>
    <w:p w14:paraId="0E36D585" w14:textId="77777777" w:rsidR="00AE7D56" w:rsidRDefault="00AE7D56" w:rsidP="000A545E">
      <w:pPr>
        <w:spacing w:after="0" w:line="360" w:lineRule="auto"/>
        <w:ind w:firstLine="708"/>
        <w:jc w:val="both"/>
        <w:rPr>
          <w:rFonts w:ascii="Times New Roman" w:eastAsia="Times New Roman" w:hAnsi="Times New Roman" w:cs="Times New Roman"/>
        </w:rPr>
      </w:pPr>
    </w:p>
    <w:p w14:paraId="1595616C" w14:textId="58F70BDF" w:rsidR="00266FB2" w:rsidRPr="00AE7D56" w:rsidRDefault="005529E6" w:rsidP="00AE7D56">
      <w:pPr>
        <w:spacing w:after="0" w:line="360" w:lineRule="auto"/>
        <w:jc w:val="center"/>
        <w:rPr>
          <w:rFonts w:ascii="Times New Roman" w:eastAsia="Times New Roman" w:hAnsi="Times New Roman" w:cs="Times New Roman"/>
          <w:b/>
          <w:sz w:val="28"/>
          <w:szCs w:val="28"/>
        </w:rPr>
      </w:pPr>
      <w:r w:rsidRPr="00AE7D56">
        <w:rPr>
          <w:rFonts w:ascii="Times New Roman" w:eastAsia="Times New Roman" w:hAnsi="Times New Roman" w:cs="Times New Roman"/>
          <w:b/>
          <w:sz w:val="28"/>
          <w:szCs w:val="28"/>
        </w:rPr>
        <w:lastRenderedPageBreak/>
        <w:t>Revisión de la literatura</w:t>
      </w:r>
    </w:p>
    <w:p w14:paraId="1EC72EFF" w14:textId="5F39FCB6" w:rsidR="00266FB2" w:rsidRDefault="00B1315D">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Las escuelas de negocios están actualmente a la vanguardia en la integración de tecnologías y metodologías en sus planes de estudio para dotar a los estudiantes de las competencias necesarias para el éxito en el panorama del siglo XXI. Estas competencias pueden implicar una transición hacia métodos de aprendizaje experiencial, donde los estudiantes participan en proyectos reales, simulaciones y prácticas profesionales para desarrollar experiencia práctica en resolución de problemas, colaboración y liderazgo. Este enfoque permite a los estudiantes aplicar sus conocimientos en situaciones prácticas, mejorando su adaptabilidad y capacidad de pensamiento crítico (Gachino y Worku, 2019). </w:t>
      </w:r>
    </w:p>
    <w:p w14:paraId="5FD64796" w14:textId="77777777" w:rsidR="00F02130" w:rsidRDefault="00F02130">
      <w:pPr>
        <w:spacing w:after="0" w:line="360" w:lineRule="auto"/>
        <w:ind w:firstLine="708"/>
        <w:jc w:val="both"/>
        <w:rPr>
          <w:rFonts w:ascii="Times New Roman" w:eastAsia="Times New Roman" w:hAnsi="Times New Roman" w:cs="Times New Roman"/>
        </w:rPr>
      </w:pPr>
      <w:r w:rsidRPr="00F02130">
        <w:rPr>
          <w:rFonts w:ascii="Times New Roman" w:eastAsia="Times New Roman" w:hAnsi="Times New Roman" w:cs="Times New Roman"/>
        </w:rPr>
        <w:t>Diversas investigaciones sobre competencias del siglo XXI se fundamentan en el Programa para la Evaluación Internacional de las Competencias de los Adultos (PIAAC) de la OCDE. Este marco evalúa conocimientos, habilidades y actitudes en lectoescritura, aritmética y resolución de problemas en entornos tecnológicos, con el propósito de fortalecer las áreas identificadas como críticas (Al Khateeb et al., 2024; Engelhardt et al., 2021; Kawaguchi y Toriyabe, 2022; Maslov y Zhong, 2022).</w:t>
      </w:r>
    </w:p>
    <w:p w14:paraId="197C3278" w14:textId="781F3236" w:rsidR="00266FB2" w:rsidRDefault="00B1315D">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La Comisión Europea propuso otro marco, el Marco de Competencias Digitales para Ciudadanos (DigComp), que puede ayudar a las personas a evaluar sus competencias digitales, identificar lagunas en sus conocimientos, habilidades y actitudes, y a participar en la sociedad digital (Bartolomé y Garaizar, 2022; Budai et al., 2023; Nguyen et al., 2024; Van Audenhove et al., 2024).</w:t>
      </w:r>
    </w:p>
    <w:p w14:paraId="7780C72A" w14:textId="6C3AAA94" w:rsidR="00F02130" w:rsidRDefault="00F02130">
      <w:pPr>
        <w:spacing w:after="0" w:line="360" w:lineRule="auto"/>
        <w:ind w:firstLine="708"/>
        <w:jc w:val="both"/>
        <w:rPr>
          <w:rFonts w:ascii="Times New Roman" w:eastAsia="Times New Roman" w:hAnsi="Times New Roman" w:cs="Times New Roman"/>
        </w:rPr>
      </w:pPr>
      <w:r w:rsidRPr="00F02130">
        <w:rPr>
          <w:rFonts w:ascii="Times New Roman" w:eastAsia="Times New Roman" w:hAnsi="Times New Roman" w:cs="Times New Roman"/>
        </w:rPr>
        <w:t xml:space="preserve">En </w:t>
      </w:r>
      <w:r>
        <w:rPr>
          <w:rFonts w:ascii="Times New Roman" w:eastAsia="Times New Roman" w:hAnsi="Times New Roman" w:cs="Times New Roman"/>
        </w:rPr>
        <w:t xml:space="preserve">particular, en </w:t>
      </w:r>
      <w:r w:rsidRPr="00F02130">
        <w:rPr>
          <w:rFonts w:ascii="Times New Roman" w:eastAsia="Times New Roman" w:hAnsi="Times New Roman" w:cs="Times New Roman"/>
        </w:rPr>
        <w:t>el ámbito de las escuelas de negocios, diversas publicaciones analizan métodos de innovación en la enseñanza superior para fortalecer las competencia</w:t>
      </w:r>
      <w:r w:rsidRPr="00F02130">
        <w:rPr>
          <w:rFonts w:ascii="Times New Roman" w:eastAsia="Times New Roman" w:hAnsi="Times New Roman" w:cs="Times New Roman"/>
          <w:b/>
          <w:bCs/>
        </w:rPr>
        <w:t>s</w:t>
      </w:r>
      <w:r w:rsidRPr="00F02130">
        <w:rPr>
          <w:rFonts w:ascii="Times New Roman" w:eastAsia="Times New Roman" w:hAnsi="Times New Roman" w:cs="Times New Roman"/>
        </w:rPr>
        <w:t xml:space="preserve"> y, por ende, las habilidades más demandadas por ciudadanos y administradores (Cyphert et al., 2019; Gimenez et al., 2020; Longmore et al., 2018; Ranta et al., 2022a). Algunos estudios se centran en facultades vinculadas al emprendimiento (Pennetta et al., 2023; Peschl et al., 2021; Ranta et al., 2022b), mientras que otros examinan destrezas asociadas al liderazgo (Ngayo Fotso, 2021; Rony et al., 2023).</w:t>
      </w:r>
    </w:p>
    <w:p w14:paraId="08930B90" w14:textId="7C49E73B" w:rsidR="00266FB2" w:rsidRDefault="00B1315D">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Sin embargo, el pensamiento computacional se considera una de las competencias más críticas para los estudiantes universitarios del siglo XX</w:t>
      </w:r>
      <w:r w:rsidR="00B8586E">
        <w:rPr>
          <w:rFonts w:ascii="Times New Roman" w:eastAsia="Times New Roman" w:hAnsi="Times New Roman" w:cs="Times New Roman"/>
        </w:rPr>
        <w:t>I</w:t>
      </w:r>
      <w:r>
        <w:rPr>
          <w:rFonts w:ascii="Times New Roman" w:eastAsia="Times New Roman" w:hAnsi="Times New Roman" w:cs="Times New Roman"/>
        </w:rPr>
        <w:t xml:space="preserve">. Estas competencias se estudian principalmente a través de dos enfoques: para estudiantes STEM y estudiantes no STEM. Como se mencionó, este manuscrito se centra en el segundo caso, donde los estudiantes con menos contacto con la informática desarrollan el pensamiento computacional a través de sus asignaturas. En este sentido, se han publicado numerosas investigaciones utilizando </w:t>
      </w:r>
      <w:r>
        <w:rPr>
          <w:rFonts w:ascii="Times New Roman" w:eastAsia="Times New Roman" w:hAnsi="Times New Roman" w:cs="Times New Roman"/>
        </w:rPr>
        <w:lastRenderedPageBreak/>
        <w:t>diferentes enfoques, por ejemplo, aquellos que se basan en la programación de computadoras (Laura-Ochoa &amp; Bedregal-Alpaca, 2021; Liao et al., 2022a; Wang et al., 2022) y aquellos que miden el nivel de</w:t>
      </w:r>
      <w:r w:rsidR="002D12D5">
        <w:rPr>
          <w:rFonts w:ascii="Times New Roman" w:eastAsia="Times New Roman" w:hAnsi="Times New Roman" w:cs="Times New Roman"/>
        </w:rPr>
        <w:t>l desarrollo del</w:t>
      </w:r>
      <w:r>
        <w:rPr>
          <w:rFonts w:ascii="Times New Roman" w:eastAsia="Times New Roman" w:hAnsi="Times New Roman" w:cs="Times New Roman"/>
        </w:rPr>
        <w:t xml:space="preserve"> pensamiento computacional considerando las asignaturas que han cursado previamente los estudiantes (De Santo et al., 2022; Jang et al., 2023; Kang et al., 2023; Rodríguez-Abitia et al., 2021).</w:t>
      </w:r>
    </w:p>
    <w:p w14:paraId="21419307" w14:textId="03F9858A" w:rsidR="007D00EB" w:rsidRPr="006A69D8" w:rsidRDefault="006D2539" w:rsidP="000A545E">
      <w:pPr>
        <w:spacing w:after="0" w:line="360" w:lineRule="auto"/>
        <w:ind w:firstLine="708"/>
        <w:jc w:val="both"/>
        <w:rPr>
          <w:rFonts w:ascii="Times New Roman" w:eastAsia="Times New Roman" w:hAnsi="Times New Roman" w:cs="Times New Roman"/>
        </w:rPr>
      </w:pPr>
      <w:r w:rsidRPr="006A69D8">
        <w:rPr>
          <w:rFonts w:ascii="Times New Roman" w:eastAsia="Times New Roman" w:hAnsi="Times New Roman" w:cs="Times New Roman"/>
        </w:rPr>
        <w:t xml:space="preserve">Este trabajo se </w:t>
      </w:r>
      <w:r w:rsidR="00D011C8" w:rsidRPr="006A69D8">
        <w:rPr>
          <w:rFonts w:ascii="Times New Roman" w:eastAsia="Times New Roman" w:hAnsi="Times New Roman" w:cs="Times New Roman"/>
        </w:rPr>
        <w:t>sitúa</w:t>
      </w:r>
      <w:r w:rsidRPr="006A69D8">
        <w:rPr>
          <w:rFonts w:ascii="Times New Roman" w:eastAsia="Times New Roman" w:hAnsi="Times New Roman" w:cs="Times New Roman"/>
        </w:rPr>
        <w:t xml:space="preserve"> en el segundo enfoque, considerando </w:t>
      </w:r>
      <w:r w:rsidR="00227544" w:rsidRPr="006A69D8">
        <w:rPr>
          <w:rFonts w:ascii="Times New Roman" w:eastAsia="Times New Roman" w:hAnsi="Times New Roman" w:cs="Times New Roman"/>
        </w:rPr>
        <w:t>que,</w:t>
      </w:r>
      <w:r w:rsidRPr="006A69D8">
        <w:rPr>
          <w:rFonts w:ascii="Times New Roman" w:eastAsia="Times New Roman" w:hAnsi="Times New Roman" w:cs="Times New Roman"/>
        </w:rPr>
        <w:t xml:space="preserve"> de forma transversal a través de los saberes </w:t>
      </w:r>
      <w:r w:rsidR="00D011C8" w:rsidRPr="006A69D8">
        <w:rPr>
          <w:rFonts w:ascii="Times New Roman" w:eastAsia="Times New Roman" w:hAnsi="Times New Roman" w:cs="Times New Roman"/>
        </w:rPr>
        <w:t>implícitos</w:t>
      </w:r>
      <w:r w:rsidRPr="006A69D8">
        <w:rPr>
          <w:rFonts w:ascii="Times New Roman" w:eastAsia="Times New Roman" w:hAnsi="Times New Roman" w:cs="Times New Roman"/>
        </w:rPr>
        <w:t xml:space="preserve"> en las asignat</w:t>
      </w:r>
      <w:r w:rsidR="007D00EB" w:rsidRPr="006A69D8">
        <w:rPr>
          <w:rFonts w:ascii="Times New Roman" w:eastAsia="Times New Roman" w:hAnsi="Times New Roman" w:cs="Times New Roman"/>
        </w:rPr>
        <w:t>uras,</w:t>
      </w:r>
      <w:r w:rsidRPr="006A69D8">
        <w:rPr>
          <w:rFonts w:ascii="Times New Roman" w:eastAsia="Times New Roman" w:hAnsi="Times New Roman" w:cs="Times New Roman"/>
        </w:rPr>
        <w:t xml:space="preserve"> los estudiantes no STEM, en </w:t>
      </w:r>
      <w:r w:rsidR="006A69D8" w:rsidRPr="006A69D8">
        <w:rPr>
          <w:rFonts w:ascii="Times New Roman" w:eastAsia="Times New Roman" w:hAnsi="Times New Roman" w:cs="Times New Roman"/>
        </w:rPr>
        <w:t>este caso particular</w:t>
      </w:r>
      <w:r w:rsidRPr="006A69D8">
        <w:rPr>
          <w:rFonts w:ascii="Times New Roman" w:eastAsia="Times New Roman" w:hAnsi="Times New Roman" w:cs="Times New Roman"/>
        </w:rPr>
        <w:t xml:space="preserve">, estudiantes de </w:t>
      </w:r>
      <w:r w:rsidR="00490824">
        <w:rPr>
          <w:rFonts w:ascii="Times New Roman" w:eastAsia="Times New Roman" w:hAnsi="Times New Roman" w:cs="Times New Roman"/>
        </w:rPr>
        <w:t>Contaduría</w:t>
      </w:r>
      <w:r w:rsidR="007D00EB" w:rsidRPr="006A69D8">
        <w:rPr>
          <w:rFonts w:ascii="Times New Roman" w:eastAsia="Times New Roman" w:hAnsi="Times New Roman" w:cs="Times New Roman"/>
        </w:rPr>
        <w:t>, perciben el desarrollo del pensamiento computacional en su formación profesional.</w:t>
      </w:r>
    </w:p>
    <w:p w14:paraId="7AAE0AD1" w14:textId="77777777" w:rsidR="000A545E" w:rsidRDefault="000A545E">
      <w:pPr>
        <w:spacing w:after="0" w:line="360" w:lineRule="auto"/>
        <w:ind w:firstLine="708"/>
        <w:jc w:val="both"/>
        <w:rPr>
          <w:rFonts w:ascii="Times New Roman" w:eastAsia="Times New Roman" w:hAnsi="Times New Roman" w:cs="Times New Roman"/>
        </w:rPr>
      </w:pPr>
    </w:p>
    <w:p w14:paraId="0C2F496A" w14:textId="687510E4" w:rsidR="00266FB2" w:rsidRPr="005529E6" w:rsidRDefault="000A545E" w:rsidP="00AE7D56">
      <w:pPr>
        <w:spacing w:after="0" w:line="360" w:lineRule="auto"/>
        <w:jc w:val="center"/>
        <w:rPr>
          <w:rFonts w:ascii="Times New Roman" w:eastAsia="Times New Roman" w:hAnsi="Times New Roman" w:cs="Times New Roman"/>
          <w:b/>
          <w:sz w:val="32"/>
          <w:szCs w:val="32"/>
        </w:rPr>
      </w:pPr>
      <w:r w:rsidRPr="005529E6">
        <w:rPr>
          <w:rFonts w:ascii="Times New Roman" w:eastAsia="Times New Roman" w:hAnsi="Times New Roman" w:cs="Times New Roman"/>
          <w:b/>
          <w:sz w:val="32"/>
          <w:szCs w:val="32"/>
        </w:rPr>
        <w:t>M</w:t>
      </w:r>
      <w:r w:rsidR="005529E6" w:rsidRPr="005529E6">
        <w:rPr>
          <w:rFonts w:ascii="Times New Roman" w:eastAsia="Times New Roman" w:hAnsi="Times New Roman" w:cs="Times New Roman"/>
          <w:b/>
          <w:sz w:val="32"/>
          <w:szCs w:val="32"/>
        </w:rPr>
        <w:t>ateriales y métodos</w:t>
      </w:r>
    </w:p>
    <w:p w14:paraId="1D39176E" w14:textId="77777777"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Diseño del estudio</w:t>
      </w:r>
    </w:p>
    <w:p w14:paraId="0A0FA168" w14:textId="157C3379" w:rsidR="000A545E" w:rsidRPr="00B26B8F" w:rsidRDefault="000A545E" w:rsidP="000A545E">
      <w:pPr>
        <w:spacing w:after="0" w:line="360" w:lineRule="auto"/>
        <w:ind w:firstLine="708"/>
        <w:jc w:val="both"/>
        <w:rPr>
          <w:rFonts w:ascii="Times New Roman" w:eastAsia="Times New Roman" w:hAnsi="Times New Roman" w:cs="Times New Roman"/>
        </w:rPr>
      </w:pPr>
      <w:r w:rsidRPr="00B26B8F">
        <w:rPr>
          <w:rFonts w:ascii="Times New Roman" w:eastAsia="Times New Roman" w:hAnsi="Times New Roman" w:cs="Times New Roman"/>
        </w:rPr>
        <w:t xml:space="preserve">El presente trabajo se desarrolló como un estudio de caso </w:t>
      </w:r>
      <w:r w:rsidR="00945A05" w:rsidRPr="00945A05">
        <w:rPr>
          <w:rFonts w:ascii="Times New Roman" w:eastAsia="Times New Roman" w:hAnsi="Times New Roman" w:cs="Times New Roman"/>
        </w:rPr>
        <w:t xml:space="preserve">centrado en el programa de Licenciatura en </w:t>
      </w:r>
      <w:r w:rsidR="00490824">
        <w:rPr>
          <w:rFonts w:ascii="Times New Roman" w:eastAsia="Times New Roman" w:hAnsi="Times New Roman" w:cs="Times New Roman"/>
        </w:rPr>
        <w:t>Contaduría</w:t>
      </w:r>
      <w:r w:rsidR="00945A05" w:rsidRPr="00945A05">
        <w:rPr>
          <w:rFonts w:ascii="Times New Roman" w:eastAsia="Times New Roman" w:hAnsi="Times New Roman" w:cs="Times New Roman"/>
        </w:rPr>
        <w:t xml:space="preserve"> </w:t>
      </w:r>
      <w:r w:rsidR="000C3C16" w:rsidRPr="00B26B8F">
        <w:rPr>
          <w:rFonts w:ascii="Times New Roman" w:eastAsia="Times New Roman" w:hAnsi="Times New Roman" w:cs="Times New Roman"/>
        </w:rPr>
        <w:t xml:space="preserve">de la Facultad de </w:t>
      </w:r>
      <w:r w:rsidR="00490824">
        <w:rPr>
          <w:rFonts w:ascii="Times New Roman" w:eastAsia="Times New Roman" w:hAnsi="Times New Roman" w:cs="Times New Roman"/>
        </w:rPr>
        <w:t>Contaduría</w:t>
      </w:r>
      <w:r w:rsidR="000C3C16" w:rsidRPr="00B26B8F">
        <w:rPr>
          <w:rFonts w:ascii="Times New Roman" w:eastAsia="Times New Roman" w:hAnsi="Times New Roman" w:cs="Times New Roman"/>
        </w:rPr>
        <w:t xml:space="preserve"> y Administración, región Xalapa, de la Universidad Veracruzana, México</w:t>
      </w:r>
      <w:r w:rsidR="000C3C16">
        <w:rPr>
          <w:rFonts w:ascii="Times New Roman" w:eastAsia="Times New Roman" w:hAnsi="Times New Roman" w:cs="Times New Roman"/>
        </w:rPr>
        <w:t>,</w:t>
      </w:r>
      <w:r w:rsidR="000C3C16" w:rsidRPr="00B26B8F">
        <w:rPr>
          <w:rFonts w:ascii="Times New Roman" w:eastAsia="Times New Roman" w:hAnsi="Times New Roman" w:cs="Times New Roman"/>
        </w:rPr>
        <w:t xml:space="preserve"> </w:t>
      </w:r>
      <w:r w:rsidRPr="00B26B8F">
        <w:rPr>
          <w:rFonts w:ascii="Times New Roman" w:eastAsia="Times New Roman" w:hAnsi="Times New Roman" w:cs="Times New Roman"/>
        </w:rPr>
        <w:t xml:space="preserve">con un enfoque exploratorio y descriptivo, cuyo propósito fue analizar la percepción de las habilidades de pensamiento computacional en </w:t>
      </w:r>
      <w:r w:rsidR="000C3C16">
        <w:rPr>
          <w:rFonts w:ascii="Times New Roman" w:eastAsia="Times New Roman" w:hAnsi="Times New Roman" w:cs="Times New Roman"/>
        </w:rPr>
        <w:t xml:space="preserve">los </w:t>
      </w:r>
      <w:r w:rsidRPr="00B26B8F">
        <w:rPr>
          <w:rFonts w:ascii="Times New Roman" w:eastAsia="Times New Roman" w:hAnsi="Times New Roman" w:cs="Times New Roman"/>
        </w:rPr>
        <w:t>estudiantes.</w:t>
      </w:r>
      <w:r w:rsidR="000C3C16" w:rsidRPr="000C3C16">
        <w:rPr>
          <w:rFonts w:ascii="Times New Roman" w:eastAsia="Times New Roman" w:hAnsi="Times New Roman" w:cs="Times New Roman"/>
        </w:rPr>
        <w:t xml:space="preserve"> </w:t>
      </w:r>
    </w:p>
    <w:p w14:paraId="375B37E1" w14:textId="050E624A" w:rsidR="000A545E" w:rsidRDefault="00F16EEB" w:rsidP="000A545E">
      <w:pPr>
        <w:spacing w:after="0" w:line="360" w:lineRule="auto"/>
        <w:ind w:firstLine="708"/>
        <w:jc w:val="both"/>
        <w:rPr>
          <w:rFonts w:ascii="Times New Roman" w:eastAsia="Times New Roman" w:hAnsi="Times New Roman" w:cs="Times New Roman"/>
        </w:rPr>
      </w:pPr>
      <w:r w:rsidRPr="00F16EEB">
        <w:rPr>
          <w:rFonts w:ascii="Times New Roman" w:eastAsia="Times New Roman" w:hAnsi="Times New Roman" w:cs="Times New Roman"/>
        </w:rPr>
        <w:t xml:space="preserve">El presente estudio adoptó un enfoque cuantitativo con alcance descriptivo-correlacional, lo que permitió obtener información detallada sobre un fenómeno poco explorado en el ámbito de las ciencias económico-administrativas. Esta elección se justifica por la necesidad de realizar un tratamiento estadístico robusto de las percepciones, orientado a identificar patrones de comportamiento y </w:t>
      </w:r>
      <w:r w:rsidR="00375120">
        <w:rPr>
          <w:rFonts w:ascii="Times New Roman" w:eastAsia="Times New Roman" w:hAnsi="Times New Roman" w:cs="Times New Roman"/>
        </w:rPr>
        <w:t>asociaciones estadísticas</w:t>
      </w:r>
      <w:r w:rsidRPr="00F16EEB">
        <w:rPr>
          <w:rFonts w:ascii="Times New Roman" w:eastAsia="Times New Roman" w:hAnsi="Times New Roman" w:cs="Times New Roman"/>
        </w:rPr>
        <w:t xml:space="preserve"> significativas entre las variables analizadas. La investigación se realizó in situ, bajo un diseño no experimental y transversal, debido a que la recopilación de los datos se llevó a cabo en un único momento (Gómez-Escalonilla, 2021)</w:t>
      </w:r>
      <w:r w:rsidR="00AE7D56">
        <w:rPr>
          <w:rFonts w:ascii="Times New Roman" w:eastAsia="Times New Roman" w:hAnsi="Times New Roman" w:cs="Times New Roman"/>
        </w:rPr>
        <w:t>.</w:t>
      </w:r>
    </w:p>
    <w:p w14:paraId="30122714" w14:textId="77777777" w:rsidR="00AE7D56" w:rsidRPr="00B26B8F" w:rsidRDefault="00AE7D56" w:rsidP="000A545E">
      <w:pPr>
        <w:spacing w:after="0" w:line="360" w:lineRule="auto"/>
        <w:ind w:firstLine="708"/>
        <w:jc w:val="both"/>
        <w:rPr>
          <w:rFonts w:ascii="Times New Roman" w:eastAsia="Times New Roman" w:hAnsi="Times New Roman" w:cs="Times New Roman"/>
        </w:rPr>
      </w:pPr>
    </w:p>
    <w:p w14:paraId="417B94BF" w14:textId="77777777"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Población y muestra</w:t>
      </w:r>
    </w:p>
    <w:p w14:paraId="3D062D57" w14:textId="13DBC901" w:rsidR="000A545E" w:rsidRDefault="000A545E" w:rsidP="000A545E">
      <w:pPr>
        <w:spacing w:after="0" w:line="360" w:lineRule="auto"/>
        <w:ind w:firstLine="708"/>
        <w:jc w:val="both"/>
        <w:rPr>
          <w:rFonts w:ascii="Times New Roman" w:eastAsia="Times New Roman" w:hAnsi="Times New Roman" w:cs="Times New Roman"/>
        </w:rPr>
      </w:pPr>
      <w:r w:rsidRPr="009A2439">
        <w:rPr>
          <w:rFonts w:ascii="Times New Roman" w:eastAsia="Times New Roman" w:hAnsi="Times New Roman" w:cs="Times New Roman"/>
        </w:rPr>
        <w:t>Para el presente análisis, la población est</w:t>
      </w:r>
      <w:r>
        <w:rPr>
          <w:rFonts w:ascii="Times New Roman" w:eastAsia="Times New Roman" w:hAnsi="Times New Roman" w:cs="Times New Roman"/>
        </w:rPr>
        <w:t>uvo</w:t>
      </w:r>
      <w:r w:rsidRPr="009A2439">
        <w:rPr>
          <w:rFonts w:ascii="Times New Roman" w:eastAsia="Times New Roman" w:hAnsi="Times New Roman" w:cs="Times New Roman"/>
        </w:rPr>
        <w:t xml:space="preserve"> compuesta por los estudiantes activos de la </w:t>
      </w:r>
      <w:r w:rsidR="008C32DC">
        <w:rPr>
          <w:rFonts w:ascii="Times New Roman" w:eastAsia="Times New Roman" w:hAnsi="Times New Roman" w:cs="Times New Roman"/>
        </w:rPr>
        <w:t>Licenciatura</w:t>
      </w:r>
      <w:r w:rsidRPr="009A2439">
        <w:rPr>
          <w:rFonts w:ascii="Times New Roman" w:eastAsia="Times New Roman" w:hAnsi="Times New Roman" w:cs="Times New Roman"/>
        </w:rPr>
        <w:t xml:space="preserve"> en </w:t>
      </w:r>
      <w:r w:rsidR="00490824">
        <w:rPr>
          <w:rFonts w:ascii="Times New Roman" w:eastAsia="Times New Roman" w:hAnsi="Times New Roman" w:cs="Times New Roman"/>
        </w:rPr>
        <w:t>Contaduría</w:t>
      </w:r>
      <w:r w:rsidRPr="009A2439">
        <w:rPr>
          <w:rFonts w:ascii="Times New Roman" w:eastAsia="Times New Roman" w:hAnsi="Times New Roman" w:cs="Times New Roman"/>
        </w:rPr>
        <w:t xml:space="preserve"> de las generaciones que ingresaron entre 2020 y 2023. De acuerdo con los datos proporcionados</w:t>
      </w:r>
      <w:r w:rsidR="000C3C16">
        <w:rPr>
          <w:rFonts w:ascii="Times New Roman" w:eastAsia="Times New Roman" w:hAnsi="Times New Roman" w:cs="Times New Roman"/>
        </w:rPr>
        <w:t xml:space="preserve"> por el Secretario de la Facultad de </w:t>
      </w:r>
      <w:r w:rsidR="00490824">
        <w:rPr>
          <w:rFonts w:ascii="Times New Roman" w:eastAsia="Times New Roman" w:hAnsi="Times New Roman" w:cs="Times New Roman"/>
        </w:rPr>
        <w:t>Contaduría</w:t>
      </w:r>
      <w:r w:rsidR="000C3C16">
        <w:rPr>
          <w:rFonts w:ascii="Times New Roman" w:eastAsia="Times New Roman" w:hAnsi="Times New Roman" w:cs="Times New Roman"/>
        </w:rPr>
        <w:t xml:space="preserve"> y Administración</w:t>
      </w:r>
      <w:r w:rsidRPr="009A2439">
        <w:rPr>
          <w:rFonts w:ascii="Times New Roman" w:eastAsia="Times New Roman" w:hAnsi="Times New Roman" w:cs="Times New Roman"/>
        </w:rPr>
        <w:t>, la matrícula disponible se muestra en la Tabla 2.</w:t>
      </w:r>
    </w:p>
    <w:p w14:paraId="31064729" w14:textId="77777777" w:rsidR="000A545E" w:rsidRPr="009A2439" w:rsidRDefault="000A545E" w:rsidP="000A545E">
      <w:pPr>
        <w:spacing w:after="0" w:line="360" w:lineRule="auto"/>
        <w:ind w:firstLine="708"/>
        <w:jc w:val="both"/>
        <w:rPr>
          <w:rFonts w:ascii="Times New Roman" w:eastAsia="Times New Roman" w:hAnsi="Times New Roman" w:cs="Times New Roman"/>
        </w:rPr>
      </w:pPr>
    </w:p>
    <w:p w14:paraId="58E4C097" w14:textId="3C6ADD08" w:rsidR="000A545E" w:rsidRDefault="000A545E" w:rsidP="000A545E">
      <w:pPr>
        <w:spacing w:after="0" w:line="360" w:lineRule="auto"/>
        <w:jc w:val="center"/>
        <w:rPr>
          <w:rFonts w:ascii="Times New Roman" w:eastAsia="Times New Roman" w:hAnsi="Times New Roman" w:cs="Times New Roman"/>
        </w:rPr>
      </w:pPr>
      <w:r w:rsidRPr="00AE7D56">
        <w:rPr>
          <w:rFonts w:ascii="Times New Roman" w:eastAsia="Times New Roman" w:hAnsi="Times New Roman" w:cs="Times New Roman"/>
          <w:b/>
          <w:bCs/>
        </w:rPr>
        <w:lastRenderedPageBreak/>
        <w:t>Tabla 2.</w:t>
      </w:r>
      <w:r w:rsidRPr="009A2439">
        <w:rPr>
          <w:rFonts w:ascii="Times New Roman" w:eastAsia="Times New Roman" w:hAnsi="Times New Roman" w:cs="Times New Roman"/>
        </w:rPr>
        <w:t xml:space="preserve"> Matrícula activa para </w:t>
      </w:r>
      <w:r w:rsidR="000C3C16">
        <w:rPr>
          <w:rFonts w:ascii="Times New Roman" w:eastAsia="Times New Roman" w:hAnsi="Times New Roman" w:cs="Times New Roman"/>
        </w:rPr>
        <w:t xml:space="preserve">la licenciatura en </w:t>
      </w:r>
      <w:r w:rsidR="00490824">
        <w:rPr>
          <w:rFonts w:ascii="Times New Roman" w:eastAsia="Times New Roman" w:hAnsi="Times New Roman" w:cs="Times New Roman"/>
        </w:rPr>
        <w:t>Contaduría</w:t>
      </w:r>
      <w:r w:rsidRPr="009A2439">
        <w:rPr>
          <w:rFonts w:ascii="Times New Roman" w:eastAsia="Times New Roman" w:hAnsi="Times New Roman" w:cs="Times New Roman"/>
        </w:rPr>
        <w:t>.</w:t>
      </w:r>
    </w:p>
    <w:tbl>
      <w:tblPr>
        <w:tblW w:w="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2240"/>
      </w:tblGrid>
      <w:tr w:rsidR="000A545E" w:rsidRPr="0020218B" w14:paraId="53D5D389" w14:textId="77777777" w:rsidTr="00AE7D56">
        <w:trPr>
          <w:trHeight w:val="300"/>
          <w:jc w:val="center"/>
        </w:trPr>
        <w:tc>
          <w:tcPr>
            <w:tcW w:w="2240" w:type="dxa"/>
            <w:vAlign w:val="center"/>
            <w:hideMark/>
          </w:tcPr>
          <w:p w14:paraId="5ABD52BF"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Año de ingreso</w:t>
            </w:r>
          </w:p>
        </w:tc>
        <w:tc>
          <w:tcPr>
            <w:tcW w:w="2240" w:type="dxa"/>
            <w:vAlign w:val="center"/>
            <w:hideMark/>
          </w:tcPr>
          <w:p w14:paraId="2C1C46D3"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Estudiantes activos</w:t>
            </w:r>
          </w:p>
        </w:tc>
      </w:tr>
      <w:tr w:rsidR="000A545E" w:rsidRPr="0020218B" w14:paraId="34DBE8C3" w14:textId="77777777" w:rsidTr="00AE7D56">
        <w:trPr>
          <w:trHeight w:val="312"/>
          <w:jc w:val="center"/>
        </w:trPr>
        <w:tc>
          <w:tcPr>
            <w:tcW w:w="2240" w:type="dxa"/>
            <w:vAlign w:val="center"/>
            <w:hideMark/>
          </w:tcPr>
          <w:p w14:paraId="4D21022A"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2020</w:t>
            </w:r>
          </w:p>
        </w:tc>
        <w:tc>
          <w:tcPr>
            <w:tcW w:w="2240" w:type="dxa"/>
            <w:vAlign w:val="center"/>
            <w:hideMark/>
          </w:tcPr>
          <w:p w14:paraId="065CE578"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177</w:t>
            </w:r>
          </w:p>
        </w:tc>
      </w:tr>
      <w:tr w:rsidR="000A545E" w:rsidRPr="0020218B" w14:paraId="2AF1038D" w14:textId="77777777" w:rsidTr="00AE7D56">
        <w:trPr>
          <w:trHeight w:val="300"/>
          <w:jc w:val="center"/>
        </w:trPr>
        <w:tc>
          <w:tcPr>
            <w:tcW w:w="2240" w:type="dxa"/>
            <w:vAlign w:val="center"/>
            <w:hideMark/>
          </w:tcPr>
          <w:p w14:paraId="737D5535"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2021</w:t>
            </w:r>
          </w:p>
        </w:tc>
        <w:tc>
          <w:tcPr>
            <w:tcW w:w="2240" w:type="dxa"/>
            <w:vAlign w:val="center"/>
            <w:hideMark/>
          </w:tcPr>
          <w:p w14:paraId="2A3AC053"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182</w:t>
            </w:r>
          </w:p>
        </w:tc>
      </w:tr>
      <w:tr w:rsidR="000A545E" w:rsidRPr="0020218B" w14:paraId="0567EC34" w14:textId="77777777" w:rsidTr="00AE7D56">
        <w:trPr>
          <w:trHeight w:val="300"/>
          <w:jc w:val="center"/>
        </w:trPr>
        <w:tc>
          <w:tcPr>
            <w:tcW w:w="2240" w:type="dxa"/>
            <w:vAlign w:val="center"/>
            <w:hideMark/>
          </w:tcPr>
          <w:p w14:paraId="7B21F210"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2022</w:t>
            </w:r>
          </w:p>
        </w:tc>
        <w:tc>
          <w:tcPr>
            <w:tcW w:w="2240" w:type="dxa"/>
            <w:vAlign w:val="center"/>
            <w:hideMark/>
          </w:tcPr>
          <w:p w14:paraId="605058B4"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208</w:t>
            </w:r>
          </w:p>
        </w:tc>
      </w:tr>
      <w:tr w:rsidR="000A545E" w:rsidRPr="0020218B" w14:paraId="78C5250B" w14:textId="77777777" w:rsidTr="00AE7D56">
        <w:trPr>
          <w:trHeight w:val="300"/>
          <w:jc w:val="center"/>
        </w:trPr>
        <w:tc>
          <w:tcPr>
            <w:tcW w:w="2240" w:type="dxa"/>
            <w:vAlign w:val="center"/>
            <w:hideMark/>
          </w:tcPr>
          <w:p w14:paraId="7EDD2F33"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2023</w:t>
            </w:r>
          </w:p>
        </w:tc>
        <w:tc>
          <w:tcPr>
            <w:tcW w:w="2240" w:type="dxa"/>
            <w:vAlign w:val="center"/>
            <w:hideMark/>
          </w:tcPr>
          <w:p w14:paraId="0668AD18" w14:textId="77777777" w:rsidR="000A545E" w:rsidRPr="0020218B" w:rsidRDefault="000A545E" w:rsidP="0002088C">
            <w:pPr>
              <w:spacing w:after="0" w:line="240" w:lineRule="auto"/>
              <w:jc w:val="center"/>
              <w:rPr>
                <w:rFonts w:ascii="Times New Roman" w:eastAsia="Times New Roman" w:hAnsi="Times New Roman" w:cs="Times New Roman"/>
                <w:color w:val="000000"/>
                <w:sz w:val="22"/>
                <w:szCs w:val="22"/>
              </w:rPr>
            </w:pPr>
            <w:r w:rsidRPr="0020218B">
              <w:rPr>
                <w:rFonts w:ascii="Times New Roman" w:eastAsia="Times New Roman" w:hAnsi="Times New Roman" w:cs="Times New Roman"/>
                <w:color w:val="000000"/>
                <w:sz w:val="22"/>
                <w:szCs w:val="22"/>
              </w:rPr>
              <w:t>225</w:t>
            </w:r>
          </w:p>
        </w:tc>
      </w:tr>
    </w:tbl>
    <w:p w14:paraId="12D5D75A" w14:textId="6EE406FC" w:rsidR="000A545E" w:rsidRPr="009A2439" w:rsidRDefault="000A545E" w:rsidP="00AE7D56">
      <w:pPr>
        <w:spacing w:after="0" w:line="360" w:lineRule="auto"/>
        <w:jc w:val="center"/>
        <w:rPr>
          <w:rFonts w:ascii="Times New Roman" w:eastAsia="Times New Roman" w:hAnsi="Times New Roman" w:cs="Times New Roman"/>
        </w:rPr>
      </w:pPr>
      <w:r w:rsidRPr="009A2439">
        <w:rPr>
          <w:rFonts w:ascii="Times New Roman" w:eastAsia="Times New Roman" w:hAnsi="Times New Roman" w:cs="Times New Roman"/>
        </w:rPr>
        <w:t>Fuente: Elaboración propia</w:t>
      </w:r>
    </w:p>
    <w:p w14:paraId="30B3652C" w14:textId="17D21C51" w:rsidR="000A545E" w:rsidRDefault="000A545E" w:rsidP="000A545E">
      <w:pPr>
        <w:spacing w:after="0" w:line="360" w:lineRule="auto"/>
        <w:ind w:firstLine="708"/>
        <w:jc w:val="both"/>
        <w:rPr>
          <w:rFonts w:ascii="Times New Roman" w:eastAsia="Times New Roman" w:hAnsi="Times New Roman" w:cs="Times New Roman"/>
        </w:rPr>
      </w:pPr>
      <w:r w:rsidRPr="009A2439">
        <w:rPr>
          <w:rFonts w:ascii="Times New Roman" w:eastAsia="Times New Roman" w:hAnsi="Times New Roman" w:cs="Times New Roman"/>
        </w:rPr>
        <w:t xml:space="preserve">Para determinar el número de muestra, </w:t>
      </w:r>
      <w:r w:rsidR="00C13E97">
        <w:rPr>
          <w:rFonts w:ascii="Times New Roman" w:eastAsia="Times New Roman" w:hAnsi="Times New Roman" w:cs="Times New Roman"/>
        </w:rPr>
        <w:t xml:space="preserve">se realizó un muestreo probabilístico estratificado para poblaciones finitas, asegurando una participación proporcional de cada generación seleccionada al azar. </w:t>
      </w:r>
      <w:r w:rsidRPr="009A2439">
        <w:rPr>
          <w:rFonts w:ascii="Times New Roman" w:eastAsia="Times New Roman" w:hAnsi="Times New Roman" w:cs="Times New Roman"/>
        </w:rPr>
        <w:t xml:space="preserve"> La fórmula empleada para el cálculo fue la siguiente:</w:t>
      </w:r>
    </w:p>
    <w:p w14:paraId="5C5F967B" w14:textId="675F7760" w:rsidR="000A545E" w:rsidRPr="009A2439" w:rsidRDefault="000A545E" w:rsidP="00AE7D56">
      <w:pPr>
        <w:spacing w:after="0" w:line="360" w:lineRule="auto"/>
        <w:ind w:firstLine="708"/>
        <w:jc w:val="both"/>
        <w:rPr>
          <w:rFonts w:ascii="Times New Roman" w:eastAsia="Times New Roman" w:hAnsi="Times New Roman" w:cs="Times New Roman"/>
        </w:rPr>
      </w:pPr>
      <w:r w:rsidRPr="009E6266">
        <w:rPr>
          <w:noProof/>
        </w:rPr>
        <w:drawing>
          <wp:inline distT="0" distB="0" distL="0" distR="0" wp14:anchorId="75A3CCB8" wp14:editId="7C79FDEE">
            <wp:extent cx="5562507" cy="374400"/>
            <wp:effectExtent l="0" t="0" r="0" b="0"/>
            <wp:docPr id="74541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507" cy="374400"/>
                    </a:xfrm>
                    <a:prstGeom prst="rect">
                      <a:avLst/>
                    </a:prstGeom>
                    <a:noFill/>
                    <a:ln>
                      <a:noFill/>
                    </a:ln>
                  </pic:spPr>
                </pic:pic>
              </a:graphicData>
            </a:graphic>
          </wp:inline>
        </w:drawing>
      </w:r>
    </w:p>
    <w:p w14:paraId="5A1CC9D1" w14:textId="77777777" w:rsidR="000A545E" w:rsidRPr="009A2439" w:rsidRDefault="000A545E" w:rsidP="000A545E">
      <w:pPr>
        <w:spacing w:after="0" w:line="360" w:lineRule="auto"/>
        <w:ind w:firstLine="708"/>
        <w:jc w:val="both"/>
        <w:rPr>
          <w:rFonts w:ascii="Times New Roman" w:eastAsia="Times New Roman" w:hAnsi="Times New Roman" w:cs="Times New Roman"/>
        </w:rPr>
      </w:pPr>
      <w:r w:rsidRPr="009A2439">
        <w:rPr>
          <w:rFonts w:ascii="Times New Roman" w:eastAsia="Times New Roman" w:hAnsi="Times New Roman" w:cs="Times New Roman"/>
        </w:rPr>
        <w:t xml:space="preserve">Donde </w:t>
      </w:r>
      <w:r w:rsidRPr="00585145">
        <w:rPr>
          <w:rFonts w:ascii="Times New Roman" w:eastAsia="Times New Roman" w:hAnsi="Times New Roman" w:cs="Times New Roman"/>
          <w:i/>
          <w:iCs/>
        </w:rPr>
        <w:t xml:space="preserve">Z </w:t>
      </w:r>
      <w:r w:rsidRPr="009A2439">
        <w:rPr>
          <w:rFonts w:ascii="Times New Roman" w:eastAsia="Times New Roman" w:hAnsi="Times New Roman" w:cs="Times New Roman"/>
        </w:rPr>
        <w:t xml:space="preserve">es el valor de confianza (95%), </w:t>
      </w:r>
      <w:r w:rsidRPr="00585145">
        <w:rPr>
          <w:rFonts w:ascii="Times New Roman" w:eastAsia="Times New Roman" w:hAnsi="Times New Roman" w:cs="Times New Roman"/>
          <w:i/>
          <w:iCs/>
        </w:rPr>
        <w:t>p</w:t>
      </w:r>
      <w:r w:rsidRPr="009A2439">
        <w:rPr>
          <w:rFonts w:ascii="Times New Roman" w:eastAsia="Times New Roman" w:hAnsi="Times New Roman" w:cs="Times New Roman"/>
        </w:rPr>
        <w:t xml:space="preserve"> es la probabilidad, </w:t>
      </w:r>
      <w:r w:rsidRPr="00585145">
        <w:rPr>
          <w:rFonts w:ascii="Times New Roman" w:eastAsia="Times New Roman" w:hAnsi="Times New Roman" w:cs="Times New Roman"/>
          <w:i/>
          <w:iCs/>
        </w:rPr>
        <w:t>q</w:t>
      </w:r>
      <w:r w:rsidRPr="009A2439">
        <w:rPr>
          <w:rFonts w:ascii="Times New Roman" w:eastAsia="Times New Roman" w:hAnsi="Times New Roman" w:cs="Times New Roman"/>
        </w:rPr>
        <w:t xml:space="preserve"> es la probabilidad de que el evento no ocurra, </w:t>
      </w:r>
      <w:r w:rsidRPr="00585145">
        <w:rPr>
          <w:rFonts w:ascii="Times New Roman" w:eastAsia="Times New Roman" w:hAnsi="Times New Roman" w:cs="Times New Roman"/>
          <w:i/>
          <w:iCs/>
        </w:rPr>
        <w:t>N</w:t>
      </w:r>
      <w:r w:rsidRPr="009A2439">
        <w:rPr>
          <w:rFonts w:ascii="Times New Roman" w:eastAsia="Times New Roman" w:hAnsi="Times New Roman" w:cs="Times New Roman"/>
        </w:rPr>
        <w:t xml:space="preserve"> es la población y</w:t>
      </w:r>
      <w:r w:rsidRPr="00585145">
        <w:rPr>
          <w:rFonts w:ascii="Times New Roman" w:eastAsia="Times New Roman" w:hAnsi="Times New Roman" w:cs="Times New Roman"/>
          <w:i/>
          <w:iCs/>
        </w:rPr>
        <w:t xml:space="preserve"> e</w:t>
      </w:r>
      <w:r w:rsidRPr="009A2439">
        <w:rPr>
          <w:rFonts w:ascii="Times New Roman" w:eastAsia="Times New Roman" w:hAnsi="Times New Roman" w:cs="Times New Roman"/>
        </w:rPr>
        <w:t xml:space="preserve"> es el error de estimación máximo aceptado (5%).</w:t>
      </w:r>
    </w:p>
    <w:p w14:paraId="21AF635C" w14:textId="2762ED9E" w:rsidR="00585145" w:rsidRDefault="00585145" w:rsidP="000A545E">
      <w:pPr>
        <w:spacing w:after="0" w:line="360" w:lineRule="auto"/>
        <w:ind w:firstLine="708"/>
        <w:jc w:val="both"/>
        <w:rPr>
          <w:rFonts w:ascii="Times New Roman" w:eastAsia="Times New Roman" w:hAnsi="Times New Roman" w:cs="Times New Roman"/>
        </w:rPr>
      </w:pPr>
      <w:r w:rsidRPr="00585145">
        <w:rPr>
          <w:rFonts w:ascii="Times New Roman" w:eastAsia="Times New Roman" w:hAnsi="Times New Roman" w:cs="Times New Roman"/>
        </w:rPr>
        <w:t xml:space="preserve">La población </w:t>
      </w:r>
      <w:r>
        <w:rPr>
          <w:rFonts w:ascii="Times New Roman" w:eastAsia="Times New Roman" w:hAnsi="Times New Roman" w:cs="Times New Roman"/>
        </w:rPr>
        <w:t xml:space="preserve">de la </w:t>
      </w:r>
      <w:r w:rsidR="008C32DC">
        <w:rPr>
          <w:rFonts w:ascii="Times New Roman" w:eastAsia="Times New Roman" w:hAnsi="Times New Roman" w:cs="Times New Roman"/>
        </w:rPr>
        <w:t>Licenciatura</w:t>
      </w:r>
      <w:r>
        <w:rPr>
          <w:rFonts w:ascii="Times New Roman" w:eastAsia="Times New Roman" w:hAnsi="Times New Roman" w:cs="Times New Roman"/>
        </w:rPr>
        <w:t xml:space="preserve"> en </w:t>
      </w:r>
      <w:r w:rsidR="00490824">
        <w:rPr>
          <w:rFonts w:ascii="Times New Roman" w:eastAsia="Times New Roman" w:hAnsi="Times New Roman" w:cs="Times New Roman"/>
        </w:rPr>
        <w:t>Contaduría</w:t>
      </w:r>
      <w:r>
        <w:rPr>
          <w:rFonts w:ascii="Times New Roman" w:eastAsia="Times New Roman" w:hAnsi="Times New Roman" w:cs="Times New Roman"/>
        </w:rPr>
        <w:t xml:space="preserve"> </w:t>
      </w:r>
      <w:r w:rsidRPr="00585145">
        <w:rPr>
          <w:rFonts w:ascii="Times New Roman" w:eastAsia="Times New Roman" w:hAnsi="Times New Roman" w:cs="Times New Roman"/>
        </w:rPr>
        <w:t>se dividió en cuatro estratos correspondientes a las generaciones académicas activas, seleccionando de manera aleatoria a 122 informantes por cohorte hasta completar una muestra total de 488 estudiantes. Este diseño garantiza una representatividad uniforme entre los grupos</w:t>
      </w:r>
      <w:r w:rsidR="005E6F07">
        <w:rPr>
          <w:rFonts w:ascii="Times New Roman" w:eastAsia="Times New Roman" w:hAnsi="Times New Roman" w:cs="Times New Roman"/>
        </w:rPr>
        <w:t xml:space="preserve"> y se asegura de</w:t>
      </w:r>
      <w:r w:rsidR="005E6F07" w:rsidRPr="005E6F07">
        <w:rPr>
          <w:rFonts w:ascii="Times New Roman" w:eastAsia="Times New Roman" w:hAnsi="Times New Roman" w:cs="Times New Roman"/>
        </w:rPr>
        <w:t xml:space="preserve"> que los hallazgos reflejen con equidad la evolución del perfil del estudiante a lo largo de las diversas etapas del diseño curricular.</w:t>
      </w:r>
    </w:p>
    <w:p w14:paraId="1D774EAA" w14:textId="6FA624C8" w:rsidR="000A545E" w:rsidRDefault="000A545E" w:rsidP="000A545E">
      <w:pPr>
        <w:spacing w:after="0" w:line="360" w:lineRule="auto"/>
        <w:ind w:firstLine="708"/>
        <w:jc w:val="both"/>
        <w:rPr>
          <w:rFonts w:ascii="Times New Roman" w:eastAsia="Times New Roman" w:hAnsi="Times New Roman" w:cs="Times New Roman"/>
        </w:rPr>
      </w:pPr>
      <w:r w:rsidRPr="00B26B8F">
        <w:rPr>
          <w:rFonts w:ascii="Times New Roman" w:eastAsia="Times New Roman" w:hAnsi="Times New Roman" w:cs="Times New Roman"/>
        </w:rPr>
        <w:t>La encuesta se aplicó digitalmente mediante la plataforma Microsoft Forms durante el mes de octubre de 2023, lo que permitió recopilar la información de manera eficiente y garantizar la participación de los estudiantes desde sus propios dispositivos.</w:t>
      </w:r>
    </w:p>
    <w:p w14:paraId="724FDF54" w14:textId="77777777" w:rsidR="00697C4A" w:rsidRDefault="00697C4A" w:rsidP="000A545E">
      <w:pPr>
        <w:spacing w:after="0" w:line="360" w:lineRule="auto"/>
        <w:ind w:firstLine="708"/>
        <w:jc w:val="both"/>
        <w:rPr>
          <w:rFonts w:ascii="Times New Roman" w:eastAsia="Times New Roman" w:hAnsi="Times New Roman" w:cs="Times New Roman"/>
        </w:rPr>
      </w:pPr>
    </w:p>
    <w:p w14:paraId="05118D47" w14:textId="77777777"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Contexto educativo</w:t>
      </w:r>
    </w:p>
    <w:p w14:paraId="760D736F" w14:textId="4316E11B" w:rsidR="005E6F07" w:rsidRDefault="000A545E" w:rsidP="000A545E">
      <w:pPr>
        <w:spacing w:after="0" w:line="360" w:lineRule="auto"/>
        <w:ind w:firstLine="708"/>
        <w:jc w:val="both"/>
        <w:rPr>
          <w:rFonts w:ascii="Times New Roman" w:eastAsia="Times New Roman" w:hAnsi="Times New Roman" w:cs="Times New Roman"/>
        </w:rPr>
      </w:pPr>
      <w:r w:rsidRPr="009A2439">
        <w:rPr>
          <w:rFonts w:ascii="Times New Roman" w:eastAsia="Times New Roman" w:hAnsi="Times New Roman" w:cs="Times New Roman"/>
        </w:rPr>
        <w:t xml:space="preserve">En el contexto de la Licenciatura en </w:t>
      </w:r>
      <w:r w:rsidR="00490824">
        <w:rPr>
          <w:rFonts w:ascii="Times New Roman" w:eastAsia="Times New Roman" w:hAnsi="Times New Roman" w:cs="Times New Roman"/>
        </w:rPr>
        <w:t>Contaduría</w:t>
      </w:r>
      <w:r w:rsidRPr="009A2439">
        <w:rPr>
          <w:rFonts w:ascii="Times New Roman" w:eastAsia="Times New Roman" w:hAnsi="Times New Roman" w:cs="Times New Roman"/>
        </w:rPr>
        <w:t xml:space="preserve"> de la Universidad Veracruzana, cabe destacar que, si bien el plan de estudios no está directamente relacionado con la informática, incluye asignaturas que, según algunos autores, podrían incidir en el pensamiento computacional. </w:t>
      </w:r>
    </w:p>
    <w:p w14:paraId="6506540C" w14:textId="0531BB28" w:rsidR="005E6F07" w:rsidRDefault="005E6F07" w:rsidP="005E6F07">
      <w:pPr>
        <w:spacing w:after="0" w:line="360" w:lineRule="auto"/>
        <w:ind w:firstLine="708"/>
        <w:jc w:val="both"/>
        <w:rPr>
          <w:rFonts w:ascii="Times New Roman" w:eastAsia="Times New Roman" w:hAnsi="Times New Roman" w:cs="Times New Roman"/>
        </w:rPr>
      </w:pPr>
      <w:r w:rsidRPr="005E6F07">
        <w:rPr>
          <w:rFonts w:ascii="Times New Roman" w:eastAsia="Times New Roman" w:hAnsi="Times New Roman" w:cs="Times New Roman"/>
        </w:rPr>
        <w:t xml:space="preserve">La literatura identifica diversas áreas curriculares fundamentales para este propósito. En primer lugar, destacan las asignaturas vinculadas al razonamiento matemático, como matemáticas administrativas y estadística (Ersozlu et al., 2023; Kallia et al., 2021; Khoo et al., 2022; Wu &amp; Yang, 2022). En segundo lugar, se encuentran aquellas relacionadas con las </w:t>
      </w:r>
      <w:r w:rsidRPr="005E6F07">
        <w:rPr>
          <w:rFonts w:ascii="Times New Roman" w:eastAsia="Times New Roman" w:hAnsi="Times New Roman" w:cs="Times New Roman"/>
        </w:rPr>
        <w:lastRenderedPageBreak/>
        <w:t xml:space="preserve">ciencias de la computación, específicamente literacidad digital y soluciones tecnológicas aplicables a las organizaciones (Lee et al., 2020; Saad &amp; Zainudin, 2022). Finalmente, se subraya la importancia de experiencias educativas orientadas al </w:t>
      </w:r>
      <w:r w:rsidR="007F4F32">
        <w:rPr>
          <w:rFonts w:ascii="Times New Roman" w:eastAsia="Times New Roman" w:hAnsi="Times New Roman" w:cs="Times New Roman"/>
        </w:rPr>
        <w:t>pensamiento</w:t>
      </w:r>
      <w:r w:rsidRPr="005E6F07">
        <w:rPr>
          <w:rFonts w:ascii="Times New Roman" w:eastAsia="Times New Roman" w:hAnsi="Times New Roman" w:cs="Times New Roman"/>
        </w:rPr>
        <w:t xml:space="preserve"> crítico para la solución de problemas (Lyon &amp; J. Magana, 2020), como eje transversal en la formación profesional.</w:t>
      </w:r>
    </w:p>
    <w:p w14:paraId="58648159" w14:textId="77777777" w:rsidR="00697C4A" w:rsidRPr="005E6F07" w:rsidRDefault="00697C4A" w:rsidP="005E6F07">
      <w:pPr>
        <w:spacing w:after="0" w:line="360" w:lineRule="auto"/>
        <w:ind w:firstLine="708"/>
        <w:jc w:val="both"/>
        <w:rPr>
          <w:rFonts w:ascii="Times New Roman" w:eastAsia="Times New Roman" w:hAnsi="Times New Roman" w:cs="Times New Roman"/>
        </w:rPr>
      </w:pPr>
    </w:p>
    <w:p w14:paraId="0D175056" w14:textId="7A107931"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 xml:space="preserve">Instrumento </w:t>
      </w:r>
    </w:p>
    <w:p w14:paraId="75EEBB59" w14:textId="2B5C786A" w:rsidR="00430107" w:rsidRDefault="000A545E" w:rsidP="000A545E">
      <w:pPr>
        <w:spacing w:after="0" w:line="360" w:lineRule="auto"/>
        <w:ind w:firstLine="708"/>
        <w:jc w:val="both"/>
        <w:rPr>
          <w:rFonts w:ascii="Times New Roman" w:eastAsia="Times New Roman" w:hAnsi="Times New Roman" w:cs="Times New Roman"/>
        </w:rPr>
      </w:pPr>
      <w:r w:rsidRPr="00B26B8F">
        <w:rPr>
          <w:rFonts w:ascii="Times New Roman" w:eastAsia="Times New Roman" w:hAnsi="Times New Roman" w:cs="Times New Roman"/>
        </w:rPr>
        <w:t>Para la recolección de datos se utilizó el instrumento propuesto y validado por Korkmaz, Çakir y Özden (2017), conocido como Escalas de Pensamiento Computacional (CTS).</w:t>
      </w:r>
      <w:r w:rsidR="00364E12">
        <w:rPr>
          <w:rFonts w:ascii="Times New Roman" w:eastAsia="Times New Roman" w:hAnsi="Times New Roman" w:cs="Times New Roman"/>
        </w:rPr>
        <w:t xml:space="preserve"> </w:t>
      </w:r>
      <w:r w:rsidRPr="00B26B8F">
        <w:rPr>
          <w:rFonts w:ascii="Times New Roman" w:eastAsia="Times New Roman" w:hAnsi="Times New Roman" w:cs="Times New Roman"/>
        </w:rPr>
        <w:t>El instrumento está compuesto por 29 ítems agrupados en cinco dimensiones</w:t>
      </w:r>
      <w:r>
        <w:rPr>
          <w:rFonts w:ascii="Times New Roman" w:eastAsia="Times New Roman" w:hAnsi="Times New Roman" w:cs="Times New Roman"/>
        </w:rPr>
        <w:t>, l</w:t>
      </w:r>
      <w:r w:rsidRPr="00B26B8F">
        <w:rPr>
          <w:rFonts w:ascii="Times New Roman" w:eastAsia="Times New Roman" w:hAnsi="Times New Roman" w:cs="Times New Roman"/>
        </w:rPr>
        <w:t xml:space="preserve">as respuestas se midieron con una escala Likert de 5 puntos, con puntuaciones invertidas en la dimensión de </w:t>
      </w:r>
      <w:r w:rsidR="000E4ACE">
        <w:rPr>
          <w:rFonts w:ascii="Times New Roman" w:eastAsia="Times New Roman" w:hAnsi="Times New Roman" w:cs="Times New Roman"/>
        </w:rPr>
        <w:t>Resolución</w:t>
      </w:r>
      <w:r w:rsidRPr="00B26B8F">
        <w:rPr>
          <w:rFonts w:ascii="Times New Roman" w:eastAsia="Times New Roman" w:hAnsi="Times New Roman" w:cs="Times New Roman"/>
        </w:rPr>
        <w:t xml:space="preserve"> de problemas</w:t>
      </w:r>
      <w:r>
        <w:rPr>
          <w:rFonts w:ascii="Times New Roman" w:eastAsia="Times New Roman" w:hAnsi="Times New Roman" w:cs="Times New Roman"/>
        </w:rPr>
        <w:t>, como se detalla en la</w:t>
      </w:r>
      <w:r w:rsidRPr="009A2439">
        <w:rPr>
          <w:rFonts w:ascii="Times New Roman" w:eastAsia="Times New Roman" w:hAnsi="Times New Roman" w:cs="Times New Roman"/>
        </w:rPr>
        <w:t xml:space="preserve"> Tabla 3.</w:t>
      </w:r>
      <w:r>
        <w:rPr>
          <w:rFonts w:ascii="Times New Roman" w:eastAsia="Times New Roman" w:hAnsi="Times New Roman" w:cs="Times New Roman"/>
        </w:rPr>
        <w:t xml:space="preserve"> </w:t>
      </w:r>
    </w:p>
    <w:p w14:paraId="5271A6F1" w14:textId="621EC921" w:rsidR="000A545E" w:rsidRDefault="000A545E" w:rsidP="000A545E">
      <w:pPr>
        <w:spacing w:after="0" w:line="360" w:lineRule="auto"/>
        <w:ind w:firstLine="708"/>
        <w:jc w:val="both"/>
        <w:rPr>
          <w:rFonts w:ascii="Times New Roman" w:eastAsia="Times New Roman" w:hAnsi="Times New Roman" w:cs="Times New Roman"/>
        </w:rPr>
      </w:pPr>
      <w:r w:rsidRPr="00B26B8F">
        <w:rPr>
          <w:rFonts w:ascii="Times New Roman" w:eastAsia="Times New Roman" w:hAnsi="Times New Roman" w:cs="Times New Roman"/>
        </w:rPr>
        <w:t xml:space="preserve">La confiabilidad del </w:t>
      </w:r>
      <w:r w:rsidR="00430107" w:rsidRPr="00B26B8F">
        <w:rPr>
          <w:rFonts w:ascii="Times New Roman" w:eastAsia="Times New Roman" w:hAnsi="Times New Roman" w:cs="Times New Roman"/>
        </w:rPr>
        <w:t>instrumento</w:t>
      </w:r>
      <w:r w:rsidR="00430107">
        <w:rPr>
          <w:rFonts w:ascii="Times New Roman" w:eastAsia="Times New Roman" w:hAnsi="Times New Roman" w:cs="Times New Roman"/>
        </w:rPr>
        <w:t xml:space="preserve">, </w:t>
      </w:r>
      <w:r w:rsidRPr="00B26B8F">
        <w:rPr>
          <w:rFonts w:ascii="Times New Roman" w:eastAsia="Times New Roman" w:hAnsi="Times New Roman" w:cs="Times New Roman"/>
        </w:rPr>
        <w:t xml:space="preserve">determinada mediante el coeficiente Alfa de Cronbach, fue de 0.828, </w:t>
      </w:r>
      <w:r w:rsidR="00430107">
        <w:rPr>
          <w:rFonts w:ascii="Times New Roman" w:eastAsia="Times New Roman" w:hAnsi="Times New Roman" w:cs="Times New Roman"/>
        </w:rPr>
        <w:t>lo cual es considerado buena</w:t>
      </w:r>
      <w:r>
        <w:rPr>
          <w:rFonts w:ascii="Times New Roman" w:eastAsia="Times New Roman" w:hAnsi="Times New Roman" w:cs="Times New Roman"/>
        </w:rPr>
        <w:t>.</w:t>
      </w:r>
    </w:p>
    <w:p w14:paraId="71ACA0A2" w14:textId="77777777" w:rsidR="00AE7D56" w:rsidRDefault="00AE7D56" w:rsidP="000A545E">
      <w:pPr>
        <w:spacing w:after="0" w:line="360" w:lineRule="auto"/>
        <w:ind w:firstLine="708"/>
        <w:jc w:val="both"/>
        <w:rPr>
          <w:rFonts w:ascii="Times New Roman" w:eastAsia="Times New Roman" w:hAnsi="Times New Roman" w:cs="Times New Roman"/>
        </w:rPr>
      </w:pPr>
    </w:p>
    <w:p w14:paraId="0292AE9D" w14:textId="5181F618" w:rsidR="00707970" w:rsidRDefault="000A545E" w:rsidP="00707970">
      <w:pPr>
        <w:spacing w:after="0" w:line="360" w:lineRule="auto"/>
        <w:ind w:firstLine="708"/>
        <w:jc w:val="both"/>
        <w:rPr>
          <w:rFonts w:ascii="Times New Roman" w:eastAsia="Times New Roman" w:hAnsi="Times New Roman" w:cs="Times New Roman"/>
        </w:rPr>
      </w:pPr>
      <w:r w:rsidRPr="00AE7D56">
        <w:rPr>
          <w:rFonts w:ascii="Times New Roman" w:eastAsia="Times New Roman" w:hAnsi="Times New Roman" w:cs="Times New Roman"/>
          <w:b/>
          <w:bCs/>
        </w:rPr>
        <w:t>Tabla 3.</w:t>
      </w:r>
      <w:r w:rsidRPr="009A2439">
        <w:rPr>
          <w:rFonts w:ascii="Times New Roman" w:eastAsia="Times New Roman" w:hAnsi="Times New Roman" w:cs="Times New Roman"/>
        </w:rPr>
        <w:t xml:space="preserve"> Dimensiones e ítems de las Escalas de Pensamiento Computacional.</w:t>
      </w:r>
    </w:p>
    <w:tbl>
      <w:tblPr>
        <w:tblW w:w="7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0"/>
        <w:gridCol w:w="1420"/>
        <w:gridCol w:w="3146"/>
        <w:gridCol w:w="1300"/>
      </w:tblGrid>
      <w:tr w:rsidR="00707970" w:rsidRPr="00AE7D56" w14:paraId="1E3450AF" w14:textId="77777777" w:rsidTr="00AE7D56">
        <w:trPr>
          <w:trHeight w:val="340"/>
          <w:jc w:val="center"/>
        </w:trPr>
        <w:tc>
          <w:tcPr>
            <w:tcW w:w="1600" w:type="dxa"/>
            <w:vAlign w:val="center"/>
            <w:hideMark/>
          </w:tcPr>
          <w:p w14:paraId="46492298"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Dimensiones</w:t>
            </w:r>
          </w:p>
        </w:tc>
        <w:tc>
          <w:tcPr>
            <w:tcW w:w="1420" w:type="dxa"/>
            <w:vAlign w:val="center"/>
            <w:hideMark/>
          </w:tcPr>
          <w:p w14:paraId="7EC10911"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Ítems</w:t>
            </w:r>
          </w:p>
        </w:tc>
        <w:tc>
          <w:tcPr>
            <w:tcW w:w="3146" w:type="dxa"/>
            <w:vAlign w:val="center"/>
            <w:hideMark/>
          </w:tcPr>
          <w:p w14:paraId="4E85C7F0"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Escala</w:t>
            </w:r>
          </w:p>
        </w:tc>
        <w:tc>
          <w:tcPr>
            <w:tcW w:w="1300" w:type="dxa"/>
            <w:vAlign w:val="center"/>
            <w:hideMark/>
          </w:tcPr>
          <w:p w14:paraId="7D541847"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Puntuación</w:t>
            </w:r>
          </w:p>
        </w:tc>
      </w:tr>
      <w:tr w:rsidR="00707970" w:rsidRPr="00AE7D56" w14:paraId="5964ED34" w14:textId="77777777" w:rsidTr="00AE7D56">
        <w:trPr>
          <w:trHeight w:val="727"/>
          <w:jc w:val="center"/>
        </w:trPr>
        <w:tc>
          <w:tcPr>
            <w:tcW w:w="1600" w:type="dxa"/>
            <w:vAlign w:val="center"/>
            <w:hideMark/>
          </w:tcPr>
          <w:p w14:paraId="58080AD6" w14:textId="77777777" w:rsidR="00707970" w:rsidRPr="00AE7D56" w:rsidRDefault="00707970" w:rsidP="00707970">
            <w:pPr>
              <w:spacing w:after="0" w:line="240" w:lineRule="auto"/>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Creatividad</w:t>
            </w:r>
          </w:p>
        </w:tc>
        <w:tc>
          <w:tcPr>
            <w:tcW w:w="1420" w:type="dxa"/>
            <w:vAlign w:val="center"/>
            <w:hideMark/>
          </w:tcPr>
          <w:p w14:paraId="47949599"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8</w:t>
            </w:r>
          </w:p>
        </w:tc>
        <w:tc>
          <w:tcPr>
            <w:tcW w:w="3146" w:type="dxa"/>
            <w:vAlign w:val="center"/>
            <w:hideMark/>
          </w:tcPr>
          <w:p w14:paraId="2A3BF0F7"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Siempre, frecuentemente, a veces, casi nunca y nunca</w:t>
            </w:r>
          </w:p>
        </w:tc>
        <w:tc>
          <w:tcPr>
            <w:tcW w:w="1300" w:type="dxa"/>
            <w:vAlign w:val="center"/>
            <w:hideMark/>
          </w:tcPr>
          <w:p w14:paraId="5897FA29"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5 a 1</w:t>
            </w:r>
          </w:p>
        </w:tc>
      </w:tr>
      <w:tr w:rsidR="00707970" w:rsidRPr="00AE7D56" w14:paraId="3C8E9380" w14:textId="77777777" w:rsidTr="00AE7D56">
        <w:trPr>
          <w:trHeight w:val="832"/>
          <w:jc w:val="center"/>
        </w:trPr>
        <w:tc>
          <w:tcPr>
            <w:tcW w:w="1600" w:type="dxa"/>
            <w:vAlign w:val="center"/>
            <w:hideMark/>
          </w:tcPr>
          <w:p w14:paraId="0FECDCD4" w14:textId="77777777" w:rsidR="00707970" w:rsidRPr="00AE7D56" w:rsidRDefault="00707970" w:rsidP="00707970">
            <w:pPr>
              <w:spacing w:after="0" w:line="240" w:lineRule="auto"/>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Pensamiento algorítmico</w:t>
            </w:r>
          </w:p>
        </w:tc>
        <w:tc>
          <w:tcPr>
            <w:tcW w:w="1420" w:type="dxa"/>
            <w:vAlign w:val="center"/>
            <w:hideMark/>
          </w:tcPr>
          <w:p w14:paraId="0CE06AF0"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6</w:t>
            </w:r>
          </w:p>
        </w:tc>
        <w:tc>
          <w:tcPr>
            <w:tcW w:w="3146" w:type="dxa"/>
            <w:vAlign w:val="center"/>
            <w:hideMark/>
          </w:tcPr>
          <w:p w14:paraId="18733C53"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Totalmente de acuerdo, de acuerdo, indeciso, en desacuerdo y totalmente en desacuerdo</w:t>
            </w:r>
          </w:p>
        </w:tc>
        <w:tc>
          <w:tcPr>
            <w:tcW w:w="1300" w:type="dxa"/>
            <w:vAlign w:val="center"/>
            <w:hideMark/>
          </w:tcPr>
          <w:p w14:paraId="17DE0C67"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5 a 1</w:t>
            </w:r>
          </w:p>
        </w:tc>
      </w:tr>
      <w:tr w:rsidR="00707970" w:rsidRPr="00AE7D56" w14:paraId="3CF77A48" w14:textId="77777777" w:rsidTr="00AE7D56">
        <w:trPr>
          <w:trHeight w:val="831"/>
          <w:jc w:val="center"/>
        </w:trPr>
        <w:tc>
          <w:tcPr>
            <w:tcW w:w="1600" w:type="dxa"/>
            <w:vAlign w:val="center"/>
            <w:hideMark/>
          </w:tcPr>
          <w:p w14:paraId="44BD654C" w14:textId="77777777" w:rsidR="00707970" w:rsidRPr="00AE7D56" w:rsidRDefault="00707970" w:rsidP="00707970">
            <w:pPr>
              <w:spacing w:after="0" w:line="240" w:lineRule="auto"/>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Cooperatividad</w:t>
            </w:r>
          </w:p>
        </w:tc>
        <w:tc>
          <w:tcPr>
            <w:tcW w:w="1420" w:type="dxa"/>
            <w:vAlign w:val="center"/>
            <w:hideMark/>
          </w:tcPr>
          <w:p w14:paraId="30E3FF9C"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4</w:t>
            </w:r>
          </w:p>
        </w:tc>
        <w:tc>
          <w:tcPr>
            <w:tcW w:w="3146" w:type="dxa"/>
            <w:vAlign w:val="center"/>
            <w:hideMark/>
          </w:tcPr>
          <w:p w14:paraId="35D1C5D6"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Totalmente de acuerdo, de acuerdo, indeciso, en desacuerdo y totalmente en desacuerdo</w:t>
            </w:r>
          </w:p>
        </w:tc>
        <w:tc>
          <w:tcPr>
            <w:tcW w:w="1300" w:type="dxa"/>
            <w:vAlign w:val="center"/>
            <w:hideMark/>
          </w:tcPr>
          <w:p w14:paraId="4B9F6521"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5 a 1</w:t>
            </w:r>
          </w:p>
        </w:tc>
      </w:tr>
      <w:tr w:rsidR="00707970" w:rsidRPr="00AE7D56" w14:paraId="0AEFBC58" w14:textId="77777777" w:rsidTr="00AE7D56">
        <w:trPr>
          <w:trHeight w:val="970"/>
          <w:jc w:val="center"/>
        </w:trPr>
        <w:tc>
          <w:tcPr>
            <w:tcW w:w="1600" w:type="dxa"/>
            <w:vAlign w:val="center"/>
            <w:hideMark/>
          </w:tcPr>
          <w:p w14:paraId="7D1AE715"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rPr>
            </w:pPr>
            <w:r w:rsidRPr="00AE7D56">
              <w:rPr>
                <w:rFonts w:ascii="Times New Roman" w:eastAsia="Times New Roman" w:hAnsi="Times New Roman" w:cs="Times New Roman" w:hint="cs"/>
                <w:color w:val="000000"/>
                <w:sz w:val="20"/>
                <w:szCs w:val="20"/>
              </w:rPr>
              <w:t>Pensamiento crítico</w:t>
            </w:r>
          </w:p>
        </w:tc>
        <w:tc>
          <w:tcPr>
            <w:tcW w:w="1420" w:type="dxa"/>
            <w:vAlign w:val="center"/>
            <w:hideMark/>
          </w:tcPr>
          <w:p w14:paraId="0C20030C"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rPr>
            </w:pPr>
            <w:r w:rsidRPr="00AE7D56">
              <w:rPr>
                <w:rFonts w:ascii="Times New Roman" w:eastAsia="Times New Roman" w:hAnsi="Times New Roman" w:cs="Times New Roman" w:hint="cs"/>
                <w:color w:val="000000"/>
                <w:sz w:val="20"/>
                <w:szCs w:val="20"/>
              </w:rPr>
              <w:t>5</w:t>
            </w:r>
          </w:p>
        </w:tc>
        <w:tc>
          <w:tcPr>
            <w:tcW w:w="3146" w:type="dxa"/>
            <w:vAlign w:val="center"/>
            <w:hideMark/>
          </w:tcPr>
          <w:p w14:paraId="4321A4EC"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rPr>
            </w:pPr>
            <w:r w:rsidRPr="00AE7D56">
              <w:rPr>
                <w:rFonts w:ascii="Times New Roman" w:eastAsia="Times New Roman" w:hAnsi="Times New Roman" w:cs="Times New Roman" w:hint="cs"/>
                <w:color w:val="000000"/>
                <w:sz w:val="20"/>
                <w:szCs w:val="20"/>
              </w:rPr>
              <w:t>Totalmente de acuerdo, de acuerdo, indeciso, en desacuerdo y totalmente en desacuerdo</w:t>
            </w:r>
          </w:p>
        </w:tc>
        <w:tc>
          <w:tcPr>
            <w:tcW w:w="1300" w:type="dxa"/>
            <w:vAlign w:val="center"/>
            <w:hideMark/>
          </w:tcPr>
          <w:p w14:paraId="7CC0C919"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rPr>
            </w:pPr>
            <w:r w:rsidRPr="00AE7D56">
              <w:rPr>
                <w:rFonts w:ascii="Times New Roman" w:eastAsia="Times New Roman" w:hAnsi="Times New Roman" w:cs="Times New Roman" w:hint="cs"/>
                <w:color w:val="000000"/>
                <w:sz w:val="20"/>
                <w:szCs w:val="20"/>
              </w:rPr>
              <w:t>5 a 1</w:t>
            </w:r>
          </w:p>
        </w:tc>
      </w:tr>
      <w:tr w:rsidR="00707970" w:rsidRPr="00AE7D56" w14:paraId="10616BE0" w14:textId="77777777" w:rsidTr="00AE7D56">
        <w:trPr>
          <w:trHeight w:val="1140"/>
          <w:jc w:val="center"/>
        </w:trPr>
        <w:tc>
          <w:tcPr>
            <w:tcW w:w="1600" w:type="dxa"/>
            <w:vAlign w:val="center"/>
            <w:hideMark/>
          </w:tcPr>
          <w:p w14:paraId="2A1943FA" w14:textId="77777777" w:rsidR="00707970" w:rsidRPr="00AE7D56" w:rsidRDefault="00707970" w:rsidP="00707970">
            <w:pPr>
              <w:spacing w:after="0" w:line="240" w:lineRule="auto"/>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Resolución de problemas</w:t>
            </w:r>
          </w:p>
        </w:tc>
        <w:tc>
          <w:tcPr>
            <w:tcW w:w="1420" w:type="dxa"/>
            <w:vAlign w:val="center"/>
            <w:hideMark/>
          </w:tcPr>
          <w:p w14:paraId="265196A7"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6</w:t>
            </w:r>
          </w:p>
        </w:tc>
        <w:tc>
          <w:tcPr>
            <w:tcW w:w="3146" w:type="dxa"/>
            <w:vAlign w:val="center"/>
            <w:hideMark/>
          </w:tcPr>
          <w:p w14:paraId="230D4D6D"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Totalmente de acuerdo, de acuerdo, indeciso, en desacuerdo y totalmente en desacuerdo</w:t>
            </w:r>
          </w:p>
        </w:tc>
        <w:tc>
          <w:tcPr>
            <w:tcW w:w="1300" w:type="dxa"/>
            <w:vAlign w:val="center"/>
            <w:hideMark/>
          </w:tcPr>
          <w:p w14:paraId="50601062"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rPr>
              <w:t>1 a 5</w:t>
            </w:r>
          </w:p>
        </w:tc>
      </w:tr>
      <w:tr w:rsidR="00707970" w:rsidRPr="00AE7D56" w14:paraId="7944F4B2" w14:textId="77777777" w:rsidTr="00AE7D56">
        <w:trPr>
          <w:trHeight w:val="1080"/>
          <w:jc w:val="center"/>
        </w:trPr>
        <w:tc>
          <w:tcPr>
            <w:tcW w:w="7466" w:type="dxa"/>
            <w:gridSpan w:val="4"/>
            <w:vAlign w:val="center"/>
            <w:hideMark/>
          </w:tcPr>
          <w:p w14:paraId="047435EA" w14:textId="77777777" w:rsidR="00707970" w:rsidRPr="00AE7D56" w:rsidRDefault="00707970" w:rsidP="00707970">
            <w:pPr>
              <w:spacing w:after="0" w:line="240" w:lineRule="auto"/>
              <w:jc w:val="center"/>
              <w:rPr>
                <w:rFonts w:ascii="Times New Roman" w:eastAsia="Times New Roman" w:hAnsi="Times New Roman" w:cs="Times New Roman"/>
                <w:color w:val="000000"/>
                <w:sz w:val="20"/>
                <w:szCs w:val="20"/>
                <w:lang w:val="es-MX"/>
              </w:rPr>
            </w:pPr>
            <w:r w:rsidRPr="00AE7D56">
              <w:rPr>
                <w:rFonts w:ascii="Times New Roman" w:eastAsia="Times New Roman" w:hAnsi="Times New Roman" w:cs="Times New Roman" w:hint="cs"/>
                <w:color w:val="000000"/>
                <w:sz w:val="20"/>
                <w:szCs w:val="20"/>
                <w:lang w:val="es-MX"/>
              </w:rPr>
              <w:t>Nota: La dimensión 'Resolución de problemas' presenta una puntuación invertida (1 a 5) debido a que sus ítems fueron redactados en sentido inverso respecto a la escala de actitud, requiriendo un ajuste en el baremo para mantener la consistencia del análisis estadístico.</w:t>
            </w:r>
          </w:p>
        </w:tc>
      </w:tr>
    </w:tbl>
    <w:p w14:paraId="72344E89" w14:textId="77777777" w:rsidR="000A545E" w:rsidRDefault="000A545E" w:rsidP="00707970">
      <w:pPr>
        <w:spacing w:after="0" w:line="360" w:lineRule="auto"/>
        <w:jc w:val="center"/>
        <w:rPr>
          <w:rFonts w:ascii="Times New Roman" w:eastAsia="Times New Roman" w:hAnsi="Times New Roman" w:cs="Times New Roman"/>
        </w:rPr>
      </w:pPr>
      <w:r w:rsidRPr="009A2439">
        <w:rPr>
          <w:rFonts w:ascii="Times New Roman" w:eastAsia="Times New Roman" w:hAnsi="Times New Roman" w:cs="Times New Roman"/>
        </w:rPr>
        <w:t>Fuente: Elaboración propia a partir de Korkmaz, Çakir y Özden, 2017.</w:t>
      </w:r>
    </w:p>
    <w:p w14:paraId="5BB5DF18" w14:textId="77777777" w:rsidR="000A545E" w:rsidRPr="009A2439" w:rsidRDefault="000A545E" w:rsidP="000A545E">
      <w:pPr>
        <w:spacing w:after="0" w:line="360" w:lineRule="auto"/>
        <w:jc w:val="both"/>
        <w:rPr>
          <w:rFonts w:ascii="Times New Roman" w:eastAsia="Times New Roman" w:hAnsi="Times New Roman" w:cs="Times New Roman"/>
        </w:rPr>
      </w:pPr>
    </w:p>
    <w:p w14:paraId="0537369F" w14:textId="4E2E1564" w:rsidR="009D0AEB" w:rsidRDefault="00465EDC" w:rsidP="00465EDC">
      <w:pPr>
        <w:spacing w:after="0" w:line="360" w:lineRule="auto"/>
        <w:ind w:firstLine="720"/>
        <w:jc w:val="both"/>
        <w:rPr>
          <w:rFonts w:ascii="Times New Roman" w:eastAsia="Times New Roman" w:hAnsi="Times New Roman" w:cs="Times New Roman"/>
        </w:rPr>
      </w:pPr>
      <w:r w:rsidRPr="00465EDC">
        <w:rPr>
          <w:rFonts w:ascii="Times New Roman" w:eastAsia="Times New Roman" w:hAnsi="Times New Roman" w:cs="Times New Roman"/>
        </w:rPr>
        <w:lastRenderedPageBreak/>
        <w:t xml:space="preserve">Para la caracterización de la muestra, se definieron variables sociodemográficas (edad y género) y académicas (generación de ingreso y acreditación de cursos). En cuanto a estas últimas, se consultó a los informantes sobre la aprobación de las asignaturas de literacidad digital, </w:t>
      </w:r>
      <w:r w:rsidR="000E4ACE">
        <w:rPr>
          <w:rFonts w:ascii="Times New Roman" w:eastAsia="Times New Roman" w:hAnsi="Times New Roman" w:cs="Times New Roman"/>
        </w:rPr>
        <w:t>Pensamiento</w:t>
      </w:r>
      <w:r w:rsidRPr="00465EDC">
        <w:rPr>
          <w:rFonts w:ascii="Times New Roman" w:eastAsia="Times New Roman" w:hAnsi="Times New Roman" w:cs="Times New Roman"/>
        </w:rPr>
        <w:t xml:space="preserve"> crítico para la solución de problemas, matemáticas administrativas, estadística y soluciones tecnológicas para las organizaciones. </w:t>
      </w:r>
    </w:p>
    <w:p w14:paraId="40AE1CE0" w14:textId="2206C366" w:rsidR="00465EDC" w:rsidRDefault="00465EDC" w:rsidP="00465EDC">
      <w:pPr>
        <w:spacing w:after="0" w:line="360" w:lineRule="auto"/>
        <w:ind w:firstLine="720"/>
        <w:jc w:val="both"/>
        <w:rPr>
          <w:rFonts w:ascii="Times New Roman" w:eastAsia="Times New Roman" w:hAnsi="Times New Roman" w:cs="Times New Roman"/>
        </w:rPr>
      </w:pPr>
      <w:r w:rsidRPr="00465EDC">
        <w:rPr>
          <w:rFonts w:ascii="Times New Roman" w:eastAsia="Times New Roman" w:hAnsi="Times New Roman" w:cs="Times New Roman"/>
        </w:rPr>
        <w:t xml:space="preserve">Dichas experiencias educativas fueron seleccionadas de la matriz curricular de la Licenciatura en </w:t>
      </w:r>
      <w:r w:rsidR="00490824">
        <w:rPr>
          <w:rFonts w:ascii="Times New Roman" w:eastAsia="Times New Roman" w:hAnsi="Times New Roman" w:cs="Times New Roman"/>
        </w:rPr>
        <w:t>Contaduría</w:t>
      </w:r>
      <w:r w:rsidRPr="00465EDC">
        <w:rPr>
          <w:rFonts w:ascii="Times New Roman" w:eastAsia="Times New Roman" w:hAnsi="Times New Roman" w:cs="Times New Roman"/>
        </w:rPr>
        <w:t xml:space="preserve"> (Universidad Veracruzana, s.f.) mediante un criterio de asociación de contenidos. </w:t>
      </w:r>
      <w:r w:rsidR="009D0AEB">
        <w:rPr>
          <w:rFonts w:ascii="Times New Roman" w:eastAsia="Times New Roman" w:hAnsi="Times New Roman" w:cs="Times New Roman"/>
        </w:rPr>
        <w:t>É</w:t>
      </w:r>
      <w:r w:rsidRPr="00465EDC">
        <w:rPr>
          <w:rFonts w:ascii="Times New Roman" w:eastAsia="Times New Roman" w:hAnsi="Times New Roman" w:cs="Times New Roman"/>
        </w:rPr>
        <w:t xml:space="preserve">ste consistió en identificar aquellas materias cuyos programas teóricos incluyeran términos clave vinculados a las dimensiones del estudio, tales como </w:t>
      </w:r>
      <w:r w:rsidR="000E4ACE">
        <w:rPr>
          <w:rFonts w:ascii="Times New Roman" w:eastAsia="Times New Roman" w:hAnsi="Times New Roman" w:cs="Times New Roman"/>
        </w:rPr>
        <w:t>Creatividad</w:t>
      </w:r>
      <w:r w:rsidRPr="00465EDC">
        <w:rPr>
          <w:rFonts w:ascii="Times New Roman" w:eastAsia="Times New Roman" w:hAnsi="Times New Roman" w:cs="Times New Roman"/>
        </w:rPr>
        <w:t xml:space="preserve">, </w:t>
      </w:r>
      <w:r w:rsidR="000E4ACE">
        <w:rPr>
          <w:rFonts w:ascii="Times New Roman" w:eastAsia="Times New Roman" w:hAnsi="Times New Roman" w:cs="Times New Roman"/>
        </w:rPr>
        <w:t>Pensamiento</w:t>
      </w:r>
      <w:r w:rsidRPr="00465EDC">
        <w:rPr>
          <w:rFonts w:ascii="Times New Roman" w:eastAsia="Times New Roman" w:hAnsi="Times New Roman" w:cs="Times New Roman"/>
        </w:rPr>
        <w:t xml:space="preserve"> algorítmico, innovación, tecnología y </w:t>
      </w:r>
      <w:r w:rsidR="000E4ACE">
        <w:rPr>
          <w:rFonts w:ascii="Times New Roman" w:eastAsia="Times New Roman" w:hAnsi="Times New Roman" w:cs="Times New Roman"/>
        </w:rPr>
        <w:t>Resolución</w:t>
      </w:r>
      <w:r w:rsidRPr="00465EDC">
        <w:rPr>
          <w:rFonts w:ascii="Times New Roman" w:eastAsia="Times New Roman" w:hAnsi="Times New Roman" w:cs="Times New Roman"/>
        </w:rPr>
        <w:t xml:space="preserve"> de problemas.</w:t>
      </w:r>
    </w:p>
    <w:p w14:paraId="336979CA" w14:textId="77777777" w:rsidR="00697C4A" w:rsidRPr="00465EDC" w:rsidRDefault="00697C4A" w:rsidP="00465EDC">
      <w:pPr>
        <w:spacing w:after="0" w:line="360" w:lineRule="auto"/>
        <w:ind w:firstLine="720"/>
        <w:jc w:val="both"/>
        <w:rPr>
          <w:rFonts w:ascii="Times New Roman" w:eastAsia="Times New Roman" w:hAnsi="Times New Roman" w:cs="Times New Roman"/>
        </w:rPr>
      </w:pPr>
    </w:p>
    <w:p w14:paraId="0C6D9E7C" w14:textId="3BDDA274"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 xml:space="preserve">Procedimiento </w:t>
      </w:r>
    </w:p>
    <w:p w14:paraId="5290F797" w14:textId="6CC4C307" w:rsidR="009D0AEB" w:rsidRPr="009D0AEB" w:rsidRDefault="009D0AEB" w:rsidP="000A545E">
      <w:pPr>
        <w:spacing w:after="0" w:line="360" w:lineRule="auto"/>
        <w:ind w:firstLine="708"/>
        <w:jc w:val="both"/>
        <w:rPr>
          <w:rFonts w:ascii="Times New Roman" w:eastAsia="Times New Roman" w:hAnsi="Times New Roman" w:cs="Times New Roman"/>
        </w:rPr>
      </w:pPr>
      <w:r w:rsidRPr="009D0AEB">
        <w:rPr>
          <w:rFonts w:ascii="Times New Roman" w:eastAsia="Times New Roman" w:hAnsi="Times New Roman" w:cs="Times New Roman"/>
        </w:rPr>
        <w:t>El proceso de aplicación del instrumento se realizó en formato digital. Los estudiantes fueron invitados a participar voluntaria</w:t>
      </w:r>
      <w:r w:rsidR="007C58C2">
        <w:rPr>
          <w:rFonts w:ascii="Times New Roman" w:eastAsia="Times New Roman" w:hAnsi="Times New Roman" w:cs="Times New Roman"/>
        </w:rPr>
        <w:t>mente</w:t>
      </w:r>
      <w:r w:rsidRPr="009D0AEB">
        <w:rPr>
          <w:rFonts w:ascii="Times New Roman" w:eastAsia="Times New Roman" w:hAnsi="Times New Roman" w:cs="Times New Roman"/>
        </w:rPr>
        <w:t xml:space="preserve"> mediante un consentimiento informado, el cual garantizó el anonimato y la confidencialidad de sus respuestas en todo momento.</w:t>
      </w:r>
    </w:p>
    <w:p w14:paraId="29C8B4AB" w14:textId="0EE71804" w:rsidR="000A545E" w:rsidRDefault="000A545E" w:rsidP="000A545E">
      <w:pPr>
        <w:spacing w:after="0" w:line="360" w:lineRule="auto"/>
        <w:ind w:firstLine="708"/>
        <w:jc w:val="both"/>
        <w:rPr>
          <w:rFonts w:ascii="Times New Roman" w:eastAsia="Times New Roman" w:hAnsi="Times New Roman" w:cs="Times New Roman"/>
        </w:rPr>
      </w:pPr>
      <w:r w:rsidRPr="00B26B8F">
        <w:rPr>
          <w:rFonts w:ascii="Times New Roman" w:eastAsia="Times New Roman" w:hAnsi="Times New Roman" w:cs="Times New Roman"/>
        </w:rPr>
        <w:t>Para determinar la posible relación entre las variables sociodemográficas y académicas con las dimensiones del pensamiento computacional, se asignaron puntuaciones totales por dimensión y se clasificaron en tres niveles: por debajo de la media, en la media y por encima de la media.</w:t>
      </w:r>
    </w:p>
    <w:p w14:paraId="13C7BEA5" w14:textId="77777777" w:rsidR="000A545E" w:rsidRDefault="000A545E" w:rsidP="000A545E">
      <w:pPr>
        <w:spacing w:after="0" w:line="360" w:lineRule="auto"/>
        <w:jc w:val="both"/>
        <w:rPr>
          <w:rFonts w:ascii="Times New Roman" w:eastAsia="Times New Roman" w:hAnsi="Times New Roman" w:cs="Times New Roman"/>
        </w:rPr>
      </w:pPr>
    </w:p>
    <w:p w14:paraId="70E96E18" w14:textId="77777777"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Análisis de resultados</w:t>
      </w:r>
    </w:p>
    <w:p w14:paraId="4EB83DC3" w14:textId="01B15DB1" w:rsidR="00AB730A" w:rsidRPr="00AB730A" w:rsidRDefault="00AB730A" w:rsidP="00AB730A">
      <w:pPr>
        <w:spacing w:after="0" w:line="360" w:lineRule="auto"/>
        <w:ind w:firstLine="708"/>
        <w:jc w:val="both"/>
        <w:rPr>
          <w:rFonts w:ascii="Times New Roman" w:eastAsia="Times New Roman" w:hAnsi="Times New Roman" w:cs="Times New Roman"/>
          <w:lang w:val="es-MX"/>
        </w:rPr>
      </w:pPr>
      <w:r w:rsidRPr="00AB730A">
        <w:rPr>
          <w:rFonts w:ascii="Times New Roman" w:eastAsia="Times New Roman" w:hAnsi="Times New Roman" w:cs="Times New Roman"/>
          <w:lang w:val="es-MX"/>
        </w:rPr>
        <w:t xml:space="preserve">Para el análisis de los resultados, se tabularon las sumas de las dimensiones en Microsoft Excel y, posteriormente, los datos se procesaron en el software IBM SPSS Statistics. Se realizaron pruebas de normalidad mediante el método de Shapiro-Wilk y se aplicaron análisis descriptivos basados en medidas de tendencia central y dispersión. Debido a la naturaleza de las variables, se empleó la prueba Chi-cuadrado de Pearson para evaluar las asociaciones significativas entre el género y la puntuación de pensamiento computacional, así como entre la acreditación de asignaturas y la dimensión de </w:t>
      </w:r>
      <w:r w:rsidR="000E4ACE">
        <w:rPr>
          <w:rFonts w:ascii="Times New Roman" w:eastAsia="Times New Roman" w:hAnsi="Times New Roman" w:cs="Times New Roman"/>
          <w:lang w:val="es-MX"/>
        </w:rPr>
        <w:t>Pensamiento</w:t>
      </w:r>
      <w:r w:rsidRPr="00AB730A">
        <w:rPr>
          <w:rFonts w:ascii="Times New Roman" w:eastAsia="Times New Roman" w:hAnsi="Times New Roman" w:cs="Times New Roman"/>
          <w:lang w:val="es-MX"/>
        </w:rPr>
        <w:t xml:space="preserve"> crítico. Los resultados con valores de significancia (</w:t>
      </w:r>
      <w:r w:rsidRPr="00AB730A">
        <w:rPr>
          <w:rFonts w:ascii="Times New Roman" w:eastAsia="Times New Roman" w:hAnsi="Times New Roman" w:cs="Times New Roman"/>
          <w:i/>
          <w:iCs/>
          <w:lang w:val="es-MX"/>
        </w:rPr>
        <w:t xml:space="preserve">p </w:t>
      </w:r>
      <w:r w:rsidRPr="00AB730A">
        <w:rPr>
          <w:rFonts w:ascii="Times New Roman" w:eastAsia="Times New Roman" w:hAnsi="Times New Roman" w:cs="Times New Roman"/>
          <w:lang w:val="es-MX"/>
        </w:rPr>
        <w:t>&lt; 0.05) fueron interpretados como evidencia de asociaciones estadísticamente significativas, indicando una dependencia entre las variables analizadas.</w:t>
      </w:r>
    </w:p>
    <w:p w14:paraId="3D800816" w14:textId="77777777" w:rsidR="000A545E" w:rsidRPr="00AB730A" w:rsidRDefault="000A545E" w:rsidP="000A545E">
      <w:pPr>
        <w:spacing w:after="0" w:line="360" w:lineRule="auto"/>
        <w:ind w:firstLine="708"/>
        <w:jc w:val="both"/>
        <w:rPr>
          <w:rFonts w:ascii="Times New Roman" w:eastAsia="Times New Roman" w:hAnsi="Times New Roman" w:cs="Times New Roman"/>
          <w:lang w:val="es-MX"/>
        </w:rPr>
      </w:pPr>
    </w:p>
    <w:p w14:paraId="752DC03D" w14:textId="4014E22F" w:rsidR="00266FB2" w:rsidRPr="005529E6" w:rsidRDefault="000A545E" w:rsidP="00AE7D56">
      <w:pPr>
        <w:spacing w:after="0" w:line="360" w:lineRule="auto"/>
        <w:jc w:val="center"/>
        <w:rPr>
          <w:rFonts w:ascii="Times New Roman" w:eastAsia="Times New Roman" w:hAnsi="Times New Roman" w:cs="Times New Roman"/>
          <w:b/>
          <w:sz w:val="32"/>
          <w:szCs w:val="32"/>
        </w:rPr>
      </w:pPr>
      <w:r w:rsidRPr="005529E6">
        <w:rPr>
          <w:rFonts w:ascii="Times New Roman" w:eastAsia="Times New Roman" w:hAnsi="Times New Roman" w:cs="Times New Roman"/>
          <w:b/>
          <w:sz w:val="32"/>
          <w:szCs w:val="32"/>
        </w:rPr>
        <w:lastRenderedPageBreak/>
        <w:t>Resultados</w:t>
      </w:r>
    </w:p>
    <w:p w14:paraId="16BC70A4" w14:textId="77777777" w:rsidR="000A545E" w:rsidRPr="00D40A98" w:rsidRDefault="000A545E" w:rsidP="000A545E">
      <w:pPr>
        <w:spacing w:after="0" w:line="360" w:lineRule="auto"/>
        <w:jc w:val="center"/>
        <w:rPr>
          <w:rFonts w:ascii="Times New Roman" w:hAnsi="Times New Roman" w:cs="Times New Roman"/>
          <w:b/>
          <w:bCs/>
          <w:sz w:val="28"/>
          <w:szCs w:val="28"/>
        </w:rPr>
      </w:pPr>
      <w:r w:rsidRPr="00D40A98">
        <w:rPr>
          <w:rFonts w:ascii="Times New Roman" w:hAnsi="Times New Roman" w:cs="Times New Roman"/>
          <w:b/>
          <w:bCs/>
          <w:sz w:val="28"/>
          <w:szCs w:val="28"/>
        </w:rPr>
        <w:t>Análisis Descriptivo</w:t>
      </w:r>
    </w:p>
    <w:p w14:paraId="563A061D" w14:textId="1B011044" w:rsidR="000A545E" w:rsidRDefault="00417FB4"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S</w:t>
      </w:r>
      <w:r w:rsidR="000A545E" w:rsidRPr="009A2439">
        <w:rPr>
          <w:rFonts w:ascii="Times New Roman" w:eastAsia="Times New Roman" w:hAnsi="Times New Roman" w:cs="Times New Roman"/>
        </w:rPr>
        <w:t>e aplicó la prueba de normalidad de Shapiro-Wilk y el resultado muestra un valor significativo inferior a</w:t>
      </w:r>
      <w:r w:rsidR="000A545E" w:rsidRPr="00417FB4">
        <w:rPr>
          <w:rFonts w:ascii="Times New Roman" w:eastAsia="Times New Roman" w:hAnsi="Times New Roman" w:cs="Times New Roman"/>
        </w:rPr>
        <w:t xml:space="preserve"> </w:t>
      </w:r>
      <w:r w:rsidRPr="00417FB4">
        <w:rPr>
          <w:rFonts w:ascii="Times New Roman" w:eastAsia="Times New Roman" w:hAnsi="Times New Roman" w:cs="Times New Roman"/>
          <w:i/>
          <w:iCs/>
        </w:rPr>
        <w:t>p</w:t>
      </w:r>
      <w:r w:rsidRPr="00417FB4">
        <w:rPr>
          <w:rFonts w:ascii="Times New Roman" w:eastAsia="Times New Roman" w:hAnsi="Times New Roman" w:cs="Times New Roman"/>
        </w:rPr>
        <w:t xml:space="preserve"> &lt; .05</w:t>
      </w:r>
      <w:r w:rsidR="000A545E" w:rsidRPr="009A2439">
        <w:rPr>
          <w:rFonts w:ascii="Times New Roman" w:eastAsia="Times New Roman" w:hAnsi="Times New Roman" w:cs="Times New Roman"/>
        </w:rPr>
        <w:t>, lo que indica que los datos no siguen una distribución normal. En cuanto al análisis sociodemográfico por género, el 50</w:t>
      </w:r>
      <w:r w:rsidR="00AE15F0">
        <w:rPr>
          <w:rFonts w:ascii="Times New Roman" w:eastAsia="Times New Roman" w:hAnsi="Times New Roman" w:cs="Times New Roman"/>
        </w:rPr>
        <w:t>.</w:t>
      </w:r>
      <w:r w:rsidR="000A545E" w:rsidRPr="009A2439">
        <w:rPr>
          <w:rFonts w:ascii="Times New Roman" w:eastAsia="Times New Roman" w:hAnsi="Times New Roman" w:cs="Times New Roman"/>
        </w:rPr>
        <w:t>6 % de las respuestas fueron de mujeres, el 48</w:t>
      </w:r>
      <w:r w:rsidR="002E52A6">
        <w:rPr>
          <w:rFonts w:ascii="Times New Roman" w:eastAsia="Times New Roman" w:hAnsi="Times New Roman" w:cs="Times New Roman"/>
        </w:rPr>
        <w:t>.</w:t>
      </w:r>
      <w:r w:rsidR="000A545E" w:rsidRPr="009A2439">
        <w:rPr>
          <w:rFonts w:ascii="Times New Roman" w:eastAsia="Times New Roman" w:hAnsi="Times New Roman" w:cs="Times New Roman"/>
        </w:rPr>
        <w:t>8 % de hombres y el 0</w:t>
      </w:r>
      <w:r w:rsidR="002E52A6">
        <w:rPr>
          <w:rFonts w:ascii="Times New Roman" w:eastAsia="Times New Roman" w:hAnsi="Times New Roman" w:cs="Times New Roman"/>
        </w:rPr>
        <w:t>.</w:t>
      </w:r>
      <w:r>
        <w:rPr>
          <w:rFonts w:ascii="Times New Roman" w:eastAsia="Times New Roman" w:hAnsi="Times New Roman" w:cs="Times New Roman"/>
        </w:rPr>
        <w:t>6</w:t>
      </w:r>
      <w:r w:rsidR="000A545E" w:rsidRPr="009A2439">
        <w:rPr>
          <w:rFonts w:ascii="Times New Roman" w:eastAsia="Times New Roman" w:hAnsi="Times New Roman" w:cs="Times New Roman"/>
        </w:rPr>
        <w:t xml:space="preserve"> % prefirió no responder, como se muestra en la Figura 1.</w:t>
      </w:r>
    </w:p>
    <w:p w14:paraId="6CC3210A" w14:textId="77777777" w:rsidR="00AE7D56" w:rsidRPr="009A2439" w:rsidRDefault="00AE7D56" w:rsidP="000A545E">
      <w:pPr>
        <w:spacing w:after="0" w:line="360" w:lineRule="auto"/>
        <w:ind w:firstLine="708"/>
        <w:jc w:val="both"/>
        <w:rPr>
          <w:rFonts w:ascii="Times New Roman" w:eastAsia="Times New Roman" w:hAnsi="Times New Roman" w:cs="Times New Roman"/>
        </w:rPr>
      </w:pPr>
    </w:p>
    <w:p w14:paraId="0B096BC4" w14:textId="3F2B5ED6" w:rsidR="000A545E" w:rsidRPr="009E6266" w:rsidRDefault="000A545E" w:rsidP="00AE7D56">
      <w:pPr>
        <w:pStyle w:val="Descripcin"/>
        <w:keepNext/>
        <w:widowControl w:val="0"/>
        <w:jc w:val="center"/>
        <w:rPr>
          <w:rFonts w:ascii="Times New Roman" w:eastAsia="Times New Roman" w:hAnsi="Times New Roman" w:cs="Times New Roman"/>
          <w:i w:val="0"/>
          <w:iCs w:val="0"/>
          <w:color w:val="auto"/>
          <w:sz w:val="24"/>
          <w:szCs w:val="24"/>
          <w:lang w:val="es-MX"/>
        </w:rPr>
      </w:pPr>
      <w:r w:rsidRPr="009A2439">
        <w:rPr>
          <w:rFonts w:ascii="Times New Roman" w:eastAsia="Times New Roman" w:hAnsi="Times New Roman" w:cs="Times New Roman"/>
          <w:b/>
          <w:bCs/>
          <w:i w:val="0"/>
          <w:iCs w:val="0"/>
          <w:color w:val="auto"/>
          <w:sz w:val="24"/>
          <w:szCs w:val="24"/>
          <w:lang w:val="es-MX"/>
        </w:rPr>
        <w:t>Figura 1</w:t>
      </w:r>
      <w:r w:rsidRPr="009A2439">
        <w:rPr>
          <w:rFonts w:ascii="Times New Roman" w:eastAsia="Times New Roman" w:hAnsi="Times New Roman" w:cs="Times New Roman"/>
          <w:i w:val="0"/>
          <w:iCs w:val="0"/>
          <w:color w:val="auto"/>
          <w:sz w:val="24"/>
          <w:szCs w:val="24"/>
          <w:lang w:val="es-MX"/>
        </w:rPr>
        <w:t xml:space="preserve">. </w:t>
      </w:r>
      <w:r w:rsidR="00417FB4">
        <w:rPr>
          <w:rFonts w:ascii="Times New Roman" w:eastAsia="Times New Roman" w:hAnsi="Times New Roman" w:cs="Times New Roman"/>
          <w:i w:val="0"/>
          <w:iCs w:val="0"/>
          <w:color w:val="auto"/>
          <w:sz w:val="24"/>
          <w:szCs w:val="24"/>
          <w:lang w:val="es-MX"/>
        </w:rPr>
        <w:t>Distribución por g</w:t>
      </w:r>
      <w:r w:rsidRPr="009E6266">
        <w:rPr>
          <w:rFonts w:ascii="Times New Roman" w:eastAsia="Times New Roman" w:hAnsi="Times New Roman" w:cs="Times New Roman"/>
          <w:i w:val="0"/>
          <w:iCs w:val="0"/>
          <w:color w:val="auto"/>
          <w:sz w:val="24"/>
          <w:szCs w:val="24"/>
          <w:lang w:val="es-MX"/>
        </w:rPr>
        <w:t>énero.</w:t>
      </w:r>
    </w:p>
    <w:p w14:paraId="037800E5" w14:textId="77777777" w:rsidR="000A545E" w:rsidRPr="009E6266" w:rsidRDefault="000A545E" w:rsidP="00AE7D56">
      <w:pPr>
        <w:widowControl w:val="0"/>
        <w:tabs>
          <w:tab w:val="left" w:pos="281"/>
        </w:tabs>
        <w:spacing w:before="8" w:after="0" w:line="240" w:lineRule="auto"/>
        <w:jc w:val="center"/>
        <w:rPr>
          <w:rFonts w:ascii="Times New Roman" w:hAnsi="Times New Roman" w:cs="Times New Roman"/>
        </w:rPr>
      </w:pPr>
      <w:r w:rsidRPr="009E6266">
        <w:rPr>
          <w:rFonts w:ascii="Times New Roman" w:hAnsi="Times New Roman" w:cs="Times New Roman"/>
          <w:noProof/>
        </w:rPr>
        <w:drawing>
          <wp:inline distT="0" distB="0" distL="0" distR="0" wp14:anchorId="092CEAB7" wp14:editId="1B352688">
            <wp:extent cx="4013200" cy="2519680"/>
            <wp:effectExtent l="0" t="0" r="6350" b="13970"/>
            <wp:docPr id="102384886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C6F7A2" w14:textId="14D771AD" w:rsidR="000A545E" w:rsidRPr="009A2439" w:rsidRDefault="000A545E" w:rsidP="00AE7D56">
      <w:pPr>
        <w:pStyle w:val="Descripcin"/>
        <w:keepNext/>
        <w:widowControl w:val="0"/>
        <w:jc w:val="center"/>
        <w:rPr>
          <w:rFonts w:ascii="Times New Roman" w:eastAsia="Times New Roman" w:hAnsi="Times New Roman" w:cs="Times New Roman"/>
          <w:i w:val="0"/>
          <w:iCs w:val="0"/>
          <w:color w:val="auto"/>
          <w:sz w:val="24"/>
          <w:szCs w:val="24"/>
          <w:lang w:val="es-MX"/>
        </w:rPr>
      </w:pPr>
      <w:r w:rsidRPr="00AE7D56">
        <w:rPr>
          <w:rFonts w:ascii="Times New Roman" w:eastAsia="Times New Roman" w:hAnsi="Times New Roman" w:cs="Times New Roman"/>
          <w:i w:val="0"/>
          <w:iCs w:val="0"/>
          <w:color w:val="auto"/>
          <w:sz w:val="24"/>
          <w:szCs w:val="24"/>
          <w:lang w:val="es-MX"/>
        </w:rPr>
        <w:t>Fuente:</w:t>
      </w:r>
      <w:r w:rsidRPr="009A2439">
        <w:rPr>
          <w:rFonts w:ascii="Times New Roman" w:eastAsia="Times New Roman" w:hAnsi="Times New Roman" w:cs="Times New Roman"/>
          <w:i w:val="0"/>
          <w:iCs w:val="0"/>
          <w:color w:val="auto"/>
          <w:sz w:val="24"/>
          <w:szCs w:val="24"/>
          <w:lang w:val="es-MX"/>
        </w:rPr>
        <w:t xml:space="preserve"> Elaboración propia</w:t>
      </w:r>
    </w:p>
    <w:p w14:paraId="7FDF45D6" w14:textId="1E48F233" w:rsidR="00C63EE9" w:rsidRPr="00226394" w:rsidRDefault="00C63EE9" w:rsidP="00226394">
      <w:pPr>
        <w:spacing w:after="0" w:line="360" w:lineRule="auto"/>
        <w:ind w:firstLine="708"/>
        <w:jc w:val="both"/>
        <w:rPr>
          <w:rFonts w:ascii="Times New Roman" w:eastAsia="Times New Roman" w:hAnsi="Times New Roman" w:cs="Times New Roman"/>
          <w:lang w:val="es-MX"/>
        </w:rPr>
      </w:pPr>
      <w:r w:rsidRPr="00226394">
        <w:rPr>
          <w:rFonts w:ascii="Times New Roman" w:eastAsia="Times New Roman" w:hAnsi="Times New Roman" w:cs="Times New Roman"/>
          <w:lang w:val="es-MX"/>
        </w:rPr>
        <w:t>Asimismo, se analizó la distribución por edades de los participantes (ver Figura 2). El grupo de 18 años o menos representó el 17% de la muestra, seguido por el de 19 años, que fue el más numeroso con un 29%. Los estudiantes de 20 y 21 años constituyeron el 20% cada uno, mientras que las categorías de 22, 23 y 24 años o más registraron participaciones del 8%, 2% y 4%, respectivamente.</w:t>
      </w:r>
    </w:p>
    <w:p w14:paraId="14427D2A" w14:textId="3E75BF5E" w:rsidR="000A545E" w:rsidRPr="00C63EE9" w:rsidRDefault="000A545E" w:rsidP="00AE7D56">
      <w:pPr>
        <w:pStyle w:val="Descripcin"/>
        <w:keepNext/>
        <w:widowControl w:val="0"/>
        <w:jc w:val="center"/>
        <w:rPr>
          <w:rFonts w:ascii="Times New Roman" w:eastAsia="Times New Roman" w:hAnsi="Times New Roman" w:cs="Times New Roman"/>
          <w:i w:val="0"/>
          <w:iCs w:val="0"/>
          <w:color w:val="auto"/>
          <w:sz w:val="24"/>
          <w:szCs w:val="24"/>
          <w:lang w:val="es-MX"/>
        </w:rPr>
      </w:pPr>
      <w:r w:rsidRPr="009E6266">
        <w:rPr>
          <w:rFonts w:ascii="Times New Roman" w:eastAsia="Times New Roman" w:hAnsi="Times New Roman" w:cs="Times New Roman"/>
          <w:b/>
          <w:bCs/>
          <w:i w:val="0"/>
          <w:iCs w:val="0"/>
          <w:color w:val="auto"/>
          <w:sz w:val="24"/>
          <w:szCs w:val="24"/>
          <w:lang w:val="es-MX"/>
        </w:rPr>
        <w:lastRenderedPageBreak/>
        <w:t xml:space="preserve">Figura 2. </w:t>
      </w:r>
      <w:r w:rsidR="00C63EE9" w:rsidRPr="00C63EE9">
        <w:rPr>
          <w:rFonts w:ascii="Times New Roman" w:eastAsia="Times New Roman" w:hAnsi="Times New Roman" w:cs="Times New Roman"/>
          <w:i w:val="0"/>
          <w:iCs w:val="0"/>
          <w:color w:val="auto"/>
          <w:sz w:val="24"/>
          <w:szCs w:val="24"/>
          <w:lang w:val="es-MX"/>
        </w:rPr>
        <w:t>Distribución por e</w:t>
      </w:r>
      <w:r w:rsidRPr="00C63EE9">
        <w:rPr>
          <w:rFonts w:ascii="Times New Roman" w:eastAsia="Times New Roman" w:hAnsi="Times New Roman" w:cs="Times New Roman"/>
          <w:i w:val="0"/>
          <w:iCs w:val="0"/>
          <w:color w:val="auto"/>
          <w:sz w:val="24"/>
          <w:szCs w:val="24"/>
          <w:lang w:val="es-MX"/>
        </w:rPr>
        <w:t>dad</w:t>
      </w:r>
    </w:p>
    <w:p w14:paraId="55C867A8" w14:textId="77777777" w:rsidR="000A545E" w:rsidRPr="009E6266" w:rsidRDefault="000A545E" w:rsidP="000A545E">
      <w:r w:rsidRPr="009E6266">
        <w:rPr>
          <w:noProof/>
        </w:rPr>
        <w:drawing>
          <wp:inline distT="0" distB="0" distL="0" distR="0" wp14:anchorId="6113DDC9" wp14:editId="2FE0D7E2">
            <wp:extent cx="5486400" cy="3200400"/>
            <wp:effectExtent l="0" t="0" r="0" b="0"/>
            <wp:docPr id="117810201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C16198" w14:textId="6E989945" w:rsidR="000A545E" w:rsidRPr="00AE7D56" w:rsidRDefault="000A545E" w:rsidP="00AE7D56">
      <w:pPr>
        <w:widowControl w:val="0"/>
        <w:tabs>
          <w:tab w:val="left" w:pos="281"/>
        </w:tabs>
        <w:spacing w:before="8" w:after="0" w:line="360" w:lineRule="auto"/>
        <w:jc w:val="center"/>
        <w:rPr>
          <w:rFonts w:ascii="Times New Roman" w:eastAsia="Times New Roman" w:hAnsi="Times New Roman" w:cs="Times New Roman"/>
          <w:color w:val="000000" w:themeColor="text1"/>
        </w:rPr>
      </w:pPr>
      <w:r w:rsidRPr="00AE7D56">
        <w:rPr>
          <w:rFonts w:ascii="Times New Roman" w:eastAsia="Times New Roman" w:hAnsi="Times New Roman" w:cs="Times New Roman"/>
          <w:color w:val="000000" w:themeColor="text1"/>
        </w:rPr>
        <w:t>Fuente:</w:t>
      </w:r>
      <w:r w:rsidRPr="00B26B8F">
        <w:rPr>
          <w:rFonts w:ascii="Times New Roman" w:eastAsia="Times New Roman" w:hAnsi="Times New Roman" w:cs="Times New Roman"/>
          <w:b/>
          <w:bCs/>
          <w:color w:val="000000" w:themeColor="text1"/>
        </w:rPr>
        <w:t xml:space="preserve"> </w:t>
      </w:r>
      <w:r w:rsidRPr="00B26B8F">
        <w:rPr>
          <w:rFonts w:ascii="Times New Roman" w:eastAsia="Times New Roman" w:hAnsi="Times New Roman" w:cs="Times New Roman"/>
          <w:color w:val="000000" w:themeColor="text1"/>
        </w:rPr>
        <w:t>Elaboración propia</w:t>
      </w:r>
    </w:p>
    <w:p w14:paraId="6DF06E57" w14:textId="560A4064" w:rsidR="003C6EFB" w:rsidRDefault="000A545E"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La </w:t>
      </w:r>
      <w:r w:rsidR="002E52A6">
        <w:rPr>
          <w:rFonts w:ascii="Times New Roman" w:eastAsia="Times New Roman" w:hAnsi="Times New Roman" w:cs="Times New Roman"/>
        </w:rPr>
        <w:t>T</w:t>
      </w:r>
      <w:r>
        <w:rPr>
          <w:rFonts w:ascii="Times New Roman" w:eastAsia="Times New Roman" w:hAnsi="Times New Roman" w:cs="Times New Roman"/>
        </w:rPr>
        <w:t xml:space="preserve">abla 4 </w:t>
      </w:r>
      <w:r w:rsidRPr="00173C7A">
        <w:rPr>
          <w:rFonts w:ascii="Times New Roman" w:eastAsia="Times New Roman" w:hAnsi="Times New Roman" w:cs="Times New Roman"/>
        </w:rPr>
        <w:t>muestra la distribución de las puntuaciones de pensamiento computacional según el género de los participantes. Este análisis permite explorar si existen diferencias entre hombres y mujeres en la autopercepción de las habilidades evaluadas, así como identificar posibles patrones de desempeño asociados al género.</w:t>
      </w:r>
      <w:r w:rsidRPr="009A2439">
        <w:rPr>
          <w:rFonts w:ascii="Times New Roman" w:eastAsia="Times New Roman" w:hAnsi="Times New Roman" w:cs="Times New Roman"/>
        </w:rPr>
        <w:t xml:space="preserve"> </w:t>
      </w:r>
    </w:p>
    <w:p w14:paraId="5DD1E836" w14:textId="0A8BDBB8" w:rsidR="00A90C52" w:rsidRDefault="000A545E" w:rsidP="000A545E">
      <w:pPr>
        <w:spacing w:after="0" w:line="360" w:lineRule="auto"/>
        <w:ind w:firstLine="708"/>
        <w:jc w:val="both"/>
        <w:rPr>
          <w:rFonts w:ascii="Times New Roman" w:eastAsia="Times New Roman" w:hAnsi="Times New Roman" w:cs="Times New Roman"/>
        </w:rPr>
      </w:pPr>
      <w:r w:rsidRPr="009A2439">
        <w:rPr>
          <w:rFonts w:ascii="Times New Roman" w:eastAsia="Times New Roman" w:hAnsi="Times New Roman" w:cs="Times New Roman"/>
        </w:rPr>
        <w:t>En primer lugar, de las personas que se identifican con el género femenino, el 26</w:t>
      </w:r>
      <w:r w:rsidR="001F043A">
        <w:rPr>
          <w:rFonts w:ascii="Times New Roman" w:eastAsia="Times New Roman" w:hAnsi="Times New Roman" w:cs="Times New Roman"/>
        </w:rPr>
        <w:t>.</w:t>
      </w:r>
      <w:r w:rsidRPr="009A2439">
        <w:rPr>
          <w:rFonts w:ascii="Times New Roman" w:eastAsia="Times New Roman" w:hAnsi="Times New Roman" w:cs="Times New Roman"/>
        </w:rPr>
        <w:t>4 % se encuentra por debajo de la media, el 21</w:t>
      </w:r>
      <w:r w:rsidR="00A8615A">
        <w:rPr>
          <w:rFonts w:ascii="Times New Roman" w:eastAsia="Times New Roman" w:hAnsi="Times New Roman" w:cs="Times New Roman"/>
        </w:rPr>
        <w:t>.</w:t>
      </w:r>
      <w:r w:rsidRPr="009A2439">
        <w:rPr>
          <w:rFonts w:ascii="Times New Roman" w:eastAsia="Times New Roman" w:hAnsi="Times New Roman" w:cs="Times New Roman"/>
        </w:rPr>
        <w:t>9 % por encima de la media y el 2</w:t>
      </w:r>
      <w:r w:rsidR="003D3B2D">
        <w:rPr>
          <w:rFonts w:ascii="Times New Roman" w:eastAsia="Times New Roman" w:hAnsi="Times New Roman" w:cs="Times New Roman"/>
        </w:rPr>
        <w:t>.</w:t>
      </w:r>
      <w:r w:rsidRPr="009A2439">
        <w:rPr>
          <w:rFonts w:ascii="Times New Roman" w:eastAsia="Times New Roman" w:hAnsi="Times New Roman" w:cs="Times New Roman"/>
        </w:rPr>
        <w:t xml:space="preserve">3 % se encuentra en la media. Respecto a las personas identificadas con el género masculino, el 27 % obtuvo una </w:t>
      </w:r>
      <w:r w:rsidR="00EB6715">
        <w:rPr>
          <w:rFonts w:ascii="Times New Roman" w:eastAsia="Times New Roman" w:hAnsi="Times New Roman" w:cs="Times New Roman"/>
        </w:rPr>
        <w:t>frecuencia</w:t>
      </w:r>
      <w:r w:rsidRPr="009A2439">
        <w:rPr>
          <w:rFonts w:ascii="Times New Roman" w:eastAsia="Times New Roman" w:hAnsi="Times New Roman" w:cs="Times New Roman"/>
        </w:rPr>
        <w:t xml:space="preserve"> por encima de la media, el 20</w:t>
      </w:r>
      <w:r w:rsidR="00CC7A33">
        <w:rPr>
          <w:rFonts w:ascii="Times New Roman" w:eastAsia="Times New Roman" w:hAnsi="Times New Roman" w:cs="Times New Roman"/>
        </w:rPr>
        <w:t>.</w:t>
      </w:r>
      <w:r w:rsidRPr="009A2439">
        <w:rPr>
          <w:rFonts w:ascii="Times New Roman" w:eastAsia="Times New Roman" w:hAnsi="Times New Roman" w:cs="Times New Roman"/>
        </w:rPr>
        <w:t>7 % por debajo de la media y s</w:t>
      </w:r>
      <w:r w:rsidR="003C6EFB">
        <w:rPr>
          <w:rFonts w:ascii="Times New Roman" w:eastAsia="Times New Roman" w:hAnsi="Times New Roman" w:cs="Times New Roman"/>
        </w:rPr>
        <w:t>ó</w:t>
      </w:r>
      <w:r w:rsidRPr="009A2439">
        <w:rPr>
          <w:rFonts w:ascii="Times New Roman" w:eastAsia="Times New Roman" w:hAnsi="Times New Roman" w:cs="Times New Roman"/>
        </w:rPr>
        <w:t>lo el 1 % en la media. En cuanto a quienes prefirieron no responder sobre el género, el 0</w:t>
      </w:r>
      <w:r w:rsidR="00CC7A33">
        <w:rPr>
          <w:rFonts w:ascii="Times New Roman" w:eastAsia="Times New Roman" w:hAnsi="Times New Roman" w:cs="Times New Roman"/>
        </w:rPr>
        <w:t>.</w:t>
      </w:r>
      <w:r w:rsidRPr="009A2439">
        <w:rPr>
          <w:rFonts w:ascii="Times New Roman" w:eastAsia="Times New Roman" w:hAnsi="Times New Roman" w:cs="Times New Roman"/>
        </w:rPr>
        <w:t xml:space="preserve">6 % se encontraba por debajo de la media. </w:t>
      </w:r>
    </w:p>
    <w:p w14:paraId="60C9D211" w14:textId="0E549482" w:rsidR="000A545E" w:rsidRDefault="000A545E" w:rsidP="000A545E">
      <w:pPr>
        <w:spacing w:after="0" w:line="360" w:lineRule="auto"/>
        <w:ind w:firstLine="708"/>
        <w:jc w:val="both"/>
        <w:rPr>
          <w:rFonts w:ascii="Times New Roman" w:eastAsia="Times New Roman" w:hAnsi="Times New Roman" w:cs="Times New Roman"/>
        </w:rPr>
      </w:pPr>
      <w:r w:rsidRPr="009A2439">
        <w:rPr>
          <w:rFonts w:ascii="Times New Roman" w:eastAsia="Times New Roman" w:hAnsi="Times New Roman" w:cs="Times New Roman"/>
        </w:rPr>
        <w:t>De las personas que respondieron a la encuesta, el 49 % se encontraba por encima de la media, el 47</w:t>
      </w:r>
      <w:r w:rsidR="00CC7A33">
        <w:rPr>
          <w:rFonts w:ascii="Times New Roman" w:eastAsia="Times New Roman" w:hAnsi="Times New Roman" w:cs="Times New Roman"/>
        </w:rPr>
        <w:t>.</w:t>
      </w:r>
      <w:r w:rsidRPr="009A2439">
        <w:rPr>
          <w:rFonts w:ascii="Times New Roman" w:eastAsia="Times New Roman" w:hAnsi="Times New Roman" w:cs="Times New Roman"/>
        </w:rPr>
        <w:t>7 % por debajo de la media y el 3</w:t>
      </w:r>
      <w:r w:rsidR="00A5200F">
        <w:rPr>
          <w:rFonts w:ascii="Times New Roman" w:eastAsia="Times New Roman" w:hAnsi="Times New Roman" w:cs="Times New Roman"/>
        </w:rPr>
        <w:t>.</w:t>
      </w:r>
      <w:r w:rsidRPr="009A2439">
        <w:rPr>
          <w:rFonts w:ascii="Times New Roman" w:eastAsia="Times New Roman" w:hAnsi="Times New Roman" w:cs="Times New Roman"/>
        </w:rPr>
        <w:t>3 % en la media en la puntuación de pensamiento computacional.</w:t>
      </w:r>
    </w:p>
    <w:p w14:paraId="35F7230E" w14:textId="77777777" w:rsidR="00AE7D56" w:rsidRDefault="00AE7D56" w:rsidP="000A545E">
      <w:pPr>
        <w:spacing w:after="0" w:line="360" w:lineRule="auto"/>
        <w:ind w:firstLine="708"/>
        <w:jc w:val="both"/>
        <w:rPr>
          <w:rFonts w:ascii="Times New Roman" w:eastAsia="Times New Roman" w:hAnsi="Times New Roman" w:cs="Times New Roman"/>
        </w:rPr>
      </w:pPr>
    </w:p>
    <w:p w14:paraId="199F4CEF" w14:textId="77777777" w:rsidR="00AE7D56" w:rsidRDefault="00AE7D56" w:rsidP="000A545E">
      <w:pPr>
        <w:spacing w:after="0" w:line="360" w:lineRule="auto"/>
        <w:ind w:firstLine="708"/>
        <w:jc w:val="both"/>
        <w:rPr>
          <w:rFonts w:ascii="Times New Roman" w:eastAsia="Times New Roman" w:hAnsi="Times New Roman" w:cs="Times New Roman"/>
        </w:rPr>
      </w:pPr>
    </w:p>
    <w:p w14:paraId="1F563AED" w14:textId="77777777" w:rsidR="00AE7D56" w:rsidRDefault="00AE7D56" w:rsidP="000A545E">
      <w:pPr>
        <w:spacing w:after="0" w:line="360" w:lineRule="auto"/>
        <w:ind w:firstLine="708"/>
        <w:jc w:val="both"/>
        <w:rPr>
          <w:rFonts w:ascii="Times New Roman" w:eastAsia="Times New Roman" w:hAnsi="Times New Roman" w:cs="Times New Roman"/>
        </w:rPr>
      </w:pPr>
    </w:p>
    <w:p w14:paraId="31FF4868" w14:textId="77777777" w:rsidR="00AE7D56" w:rsidRDefault="00AE7D56" w:rsidP="000A545E">
      <w:pPr>
        <w:spacing w:after="0" w:line="360" w:lineRule="auto"/>
        <w:ind w:firstLine="708"/>
        <w:jc w:val="both"/>
        <w:rPr>
          <w:rFonts w:ascii="Times New Roman" w:eastAsia="Times New Roman" w:hAnsi="Times New Roman" w:cs="Times New Roman"/>
        </w:rPr>
      </w:pPr>
    </w:p>
    <w:p w14:paraId="1B23879F" w14:textId="77777777" w:rsidR="00AE7D56" w:rsidRPr="009A2439" w:rsidRDefault="00AE7D56" w:rsidP="000A545E">
      <w:pPr>
        <w:spacing w:after="0" w:line="360" w:lineRule="auto"/>
        <w:ind w:firstLine="708"/>
        <w:jc w:val="both"/>
        <w:rPr>
          <w:rFonts w:ascii="Times New Roman" w:eastAsia="Times New Roman" w:hAnsi="Times New Roman" w:cs="Times New Roman"/>
        </w:rPr>
      </w:pPr>
    </w:p>
    <w:p w14:paraId="6973CB25" w14:textId="3D16A6D8" w:rsidR="000A545E" w:rsidRPr="00AE7D56" w:rsidRDefault="000A545E" w:rsidP="00AE7D56">
      <w:pPr>
        <w:pStyle w:val="Descripcin"/>
        <w:keepNext/>
        <w:widowControl w:val="0"/>
        <w:jc w:val="center"/>
        <w:rPr>
          <w:rFonts w:ascii="Times New Roman" w:eastAsia="Times New Roman" w:hAnsi="Times New Roman" w:cs="Times New Roman"/>
          <w:i w:val="0"/>
          <w:iCs w:val="0"/>
          <w:color w:val="auto"/>
          <w:sz w:val="24"/>
          <w:szCs w:val="24"/>
          <w:lang w:val="es-MX"/>
        </w:rPr>
      </w:pPr>
      <w:r w:rsidRPr="00AE7D56">
        <w:rPr>
          <w:rFonts w:ascii="Times New Roman" w:eastAsia="Times New Roman" w:hAnsi="Times New Roman" w:cs="Times New Roman"/>
          <w:b/>
          <w:bCs/>
          <w:i w:val="0"/>
          <w:iCs w:val="0"/>
          <w:color w:val="auto"/>
          <w:sz w:val="24"/>
          <w:szCs w:val="24"/>
          <w:lang w:val="es-MX"/>
        </w:rPr>
        <w:lastRenderedPageBreak/>
        <w:t>Tabla 4.</w:t>
      </w:r>
      <w:r w:rsidRPr="009A2439">
        <w:rPr>
          <w:rFonts w:ascii="Times New Roman" w:eastAsia="Times New Roman" w:hAnsi="Times New Roman" w:cs="Times New Roman"/>
          <w:i w:val="0"/>
          <w:iCs w:val="0"/>
          <w:color w:val="auto"/>
          <w:sz w:val="24"/>
          <w:szCs w:val="24"/>
          <w:lang w:val="es-MX"/>
        </w:rPr>
        <w:t xml:space="preserve"> Tabla de contingencia de género y pensamiento computacional.</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1280"/>
        <w:gridCol w:w="1280"/>
        <w:gridCol w:w="1280"/>
        <w:gridCol w:w="1280"/>
        <w:gridCol w:w="1280"/>
        <w:gridCol w:w="1280"/>
      </w:tblGrid>
      <w:tr w:rsidR="000A545E" w:rsidRPr="00AE7D56" w14:paraId="08C8CF00" w14:textId="77777777" w:rsidTr="00AE7D56">
        <w:trPr>
          <w:trHeight w:val="324"/>
        </w:trPr>
        <w:tc>
          <w:tcPr>
            <w:tcW w:w="3500" w:type="dxa"/>
            <w:gridSpan w:val="3"/>
            <w:vMerge w:val="restart"/>
            <w:vAlign w:val="center"/>
            <w:hideMark/>
          </w:tcPr>
          <w:p w14:paraId="1A452974" w14:textId="77777777" w:rsidR="000A545E" w:rsidRPr="00AE7D56" w:rsidRDefault="000A545E" w:rsidP="0002088C">
            <w:pPr>
              <w:spacing w:after="0" w:line="240" w:lineRule="auto"/>
              <w:rPr>
                <w:rFonts w:ascii="Times New Roman" w:eastAsia="Times New Roman" w:hAnsi="Times New Roman" w:cs="Times New Roman"/>
                <w:sz w:val="22"/>
                <w:szCs w:val="22"/>
              </w:rPr>
            </w:pPr>
          </w:p>
        </w:tc>
        <w:tc>
          <w:tcPr>
            <w:tcW w:w="3840" w:type="dxa"/>
            <w:gridSpan w:val="3"/>
            <w:vAlign w:val="center"/>
            <w:hideMark/>
          </w:tcPr>
          <w:p w14:paraId="6A5406E7" w14:textId="464B29C3" w:rsidR="000A545E" w:rsidRPr="00AE7D56" w:rsidRDefault="000A545E" w:rsidP="0002088C">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 xml:space="preserve">Pensamiento </w:t>
            </w:r>
            <w:r w:rsidR="007C58C2" w:rsidRPr="00AE7D56">
              <w:rPr>
                <w:rFonts w:ascii="Times New Roman" w:eastAsia="Times New Roman" w:hAnsi="Times New Roman" w:cs="Times New Roman"/>
                <w:color w:val="000000"/>
                <w:sz w:val="22"/>
                <w:szCs w:val="22"/>
              </w:rPr>
              <w:t>c</w:t>
            </w:r>
            <w:r w:rsidRPr="00AE7D56">
              <w:rPr>
                <w:rFonts w:ascii="Times New Roman" w:eastAsia="Times New Roman" w:hAnsi="Times New Roman" w:cs="Times New Roman"/>
                <w:color w:val="000000"/>
                <w:sz w:val="22"/>
                <w:szCs w:val="22"/>
              </w:rPr>
              <w:t>omputacional</w:t>
            </w:r>
          </w:p>
        </w:tc>
        <w:tc>
          <w:tcPr>
            <w:tcW w:w="1280" w:type="dxa"/>
            <w:vMerge w:val="restart"/>
            <w:vAlign w:val="center"/>
            <w:hideMark/>
          </w:tcPr>
          <w:p w14:paraId="3499BBDD" w14:textId="77777777" w:rsidR="000A545E" w:rsidRPr="00AE7D56" w:rsidRDefault="000A545E" w:rsidP="0002088C">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Total</w:t>
            </w:r>
          </w:p>
        </w:tc>
      </w:tr>
      <w:tr w:rsidR="000A545E" w:rsidRPr="00AE7D56" w14:paraId="06C1E8A4" w14:textId="77777777" w:rsidTr="00AE7D56">
        <w:trPr>
          <w:trHeight w:val="804"/>
        </w:trPr>
        <w:tc>
          <w:tcPr>
            <w:tcW w:w="3500" w:type="dxa"/>
            <w:gridSpan w:val="3"/>
            <w:vMerge/>
            <w:vAlign w:val="center"/>
            <w:hideMark/>
          </w:tcPr>
          <w:p w14:paraId="1AB9F1F1" w14:textId="77777777" w:rsidR="000A545E" w:rsidRPr="00AE7D56" w:rsidRDefault="000A545E" w:rsidP="0002088C">
            <w:pPr>
              <w:spacing w:after="0" w:line="240" w:lineRule="auto"/>
              <w:rPr>
                <w:rFonts w:ascii="Times New Roman" w:eastAsia="Times New Roman" w:hAnsi="Times New Roman" w:cs="Times New Roman"/>
                <w:sz w:val="22"/>
                <w:szCs w:val="22"/>
              </w:rPr>
            </w:pPr>
          </w:p>
        </w:tc>
        <w:tc>
          <w:tcPr>
            <w:tcW w:w="1280" w:type="dxa"/>
            <w:vAlign w:val="center"/>
            <w:hideMark/>
          </w:tcPr>
          <w:p w14:paraId="6A837434" w14:textId="70060E16" w:rsidR="000A545E" w:rsidRPr="00AE7D56" w:rsidRDefault="000A545E" w:rsidP="0002088C">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Por debajo de</w:t>
            </w:r>
            <w:r w:rsidR="00A90C52" w:rsidRPr="00AE7D56">
              <w:rPr>
                <w:rFonts w:ascii="Times New Roman" w:eastAsia="Times New Roman" w:hAnsi="Times New Roman" w:cs="Times New Roman"/>
                <w:color w:val="000000"/>
                <w:sz w:val="22"/>
                <w:szCs w:val="22"/>
              </w:rPr>
              <w:t xml:space="preserve"> </w:t>
            </w:r>
            <w:r w:rsidRPr="00AE7D56">
              <w:rPr>
                <w:rFonts w:ascii="Times New Roman" w:eastAsia="Times New Roman" w:hAnsi="Times New Roman" w:cs="Times New Roman"/>
                <w:color w:val="000000"/>
                <w:sz w:val="22"/>
                <w:szCs w:val="22"/>
              </w:rPr>
              <w:t>l</w:t>
            </w:r>
            <w:r w:rsidR="00A90C52" w:rsidRPr="00AE7D56">
              <w:rPr>
                <w:rFonts w:ascii="Times New Roman" w:eastAsia="Times New Roman" w:hAnsi="Times New Roman" w:cs="Times New Roman"/>
                <w:color w:val="000000"/>
                <w:sz w:val="22"/>
                <w:szCs w:val="22"/>
              </w:rPr>
              <w:t xml:space="preserve">a </w:t>
            </w:r>
            <w:r w:rsidRPr="00AE7D56">
              <w:rPr>
                <w:rFonts w:ascii="Times New Roman" w:eastAsia="Times New Roman" w:hAnsi="Times New Roman" w:cs="Times New Roman"/>
                <w:color w:val="000000"/>
                <w:sz w:val="22"/>
                <w:szCs w:val="22"/>
              </w:rPr>
              <w:t>medi</w:t>
            </w:r>
            <w:r w:rsidR="00A90C52" w:rsidRPr="00AE7D56">
              <w:rPr>
                <w:rFonts w:ascii="Times New Roman" w:eastAsia="Times New Roman" w:hAnsi="Times New Roman" w:cs="Times New Roman"/>
                <w:color w:val="000000"/>
                <w:sz w:val="22"/>
                <w:szCs w:val="22"/>
              </w:rPr>
              <w:t>a</w:t>
            </w:r>
            <w:r w:rsidRPr="00AE7D56">
              <w:rPr>
                <w:rFonts w:ascii="Times New Roman" w:eastAsia="Times New Roman" w:hAnsi="Times New Roman" w:cs="Times New Roman"/>
                <w:color w:val="000000"/>
                <w:sz w:val="22"/>
                <w:szCs w:val="22"/>
              </w:rPr>
              <w:t xml:space="preserve"> </w:t>
            </w:r>
          </w:p>
        </w:tc>
        <w:tc>
          <w:tcPr>
            <w:tcW w:w="1280" w:type="dxa"/>
            <w:vAlign w:val="center"/>
            <w:hideMark/>
          </w:tcPr>
          <w:p w14:paraId="500DDDEF" w14:textId="642EB947" w:rsidR="000A545E" w:rsidRPr="00AE7D56" w:rsidRDefault="000A545E" w:rsidP="0002088C">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 xml:space="preserve">En </w:t>
            </w:r>
            <w:r w:rsidR="00A90C52" w:rsidRPr="00AE7D56">
              <w:rPr>
                <w:rFonts w:ascii="Times New Roman" w:eastAsia="Times New Roman" w:hAnsi="Times New Roman" w:cs="Times New Roman"/>
                <w:color w:val="000000"/>
                <w:sz w:val="22"/>
                <w:szCs w:val="22"/>
              </w:rPr>
              <w:t>la</w:t>
            </w:r>
            <w:r w:rsidRPr="00AE7D56">
              <w:rPr>
                <w:rFonts w:ascii="Times New Roman" w:eastAsia="Times New Roman" w:hAnsi="Times New Roman" w:cs="Times New Roman"/>
                <w:color w:val="000000"/>
                <w:sz w:val="22"/>
                <w:szCs w:val="22"/>
              </w:rPr>
              <w:t xml:space="preserve"> medi</w:t>
            </w:r>
            <w:r w:rsidR="00A90C52" w:rsidRPr="00AE7D56">
              <w:rPr>
                <w:rFonts w:ascii="Times New Roman" w:eastAsia="Times New Roman" w:hAnsi="Times New Roman" w:cs="Times New Roman"/>
                <w:color w:val="000000"/>
                <w:sz w:val="22"/>
                <w:szCs w:val="22"/>
              </w:rPr>
              <w:t>a</w:t>
            </w:r>
          </w:p>
        </w:tc>
        <w:tc>
          <w:tcPr>
            <w:tcW w:w="1280" w:type="dxa"/>
            <w:vAlign w:val="center"/>
            <w:hideMark/>
          </w:tcPr>
          <w:p w14:paraId="3F07FB02" w14:textId="2FA7266B" w:rsidR="000A545E" w:rsidRPr="00AE7D56" w:rsidRDefault="000A545E" w:rsidP="0002088C">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Por encima de</w:t>
            </w:r>
            <w:r w:rsidR="00A90C52" w:rsidRPr="00AE7D56">
              <w:rPr>
                <w:rFonts w:ascii="Times New Roman" w:eastAsia="Times New Roman" w:hAnsi="Times New Roman" w:cs="Times New Roman"/>
                <w:color w:val="000000"/>
                <w:sz w:val="22"/>
                <w:szCs w:val="22"/>
              </w:rPr>
              <w:t xml:space="preserve"> </w:t>
            </w:r>
            <w:r w:rsidRPr="00AE7D56">
              <w:rPr>
                <w:rFonts w:ascii="Times New Roman" w:eastAsia="Times New Roman" w:hAnsi="Times New Roman" w:cs="Times New Roman"/>
                <w:color w:val="000000"/>
                <w:sz w:val="22"/>
                <w:szCs w:val="22"/>
              </w:rPr>
              <w:t>l</w:t>
            </w:r>
            <w:r w:rsidR="00A90C52" w:rsidRPr="00AE7D56">
              <w:rPr>
                <w:rFonts w:ascii="Times New Roman" w:eastAsia="Times New Roman" w:hAnsi="Times New Roman" w:cs="Times New Roman"/>
                <w:color w:val="000000"/>
                <w:sz w:val="22"/>
                <w:szCs w:val="22"/>
              </w:rPr>
              <w:t xml:space="preserve">a </w:t>
            </w:r>
            <w:r w:rsidRPr="00AE7D56">
              <w:rPr>
                <w:rFonts w:ascii="Times New Roman" w:eastAsia="Times New Roman" w:hAnsi="Times New Roman" w:cs="Times New Roman"/>
                <w:color w:val="000000"/>
                <w:sz w:val="22"/>
                <w:szCs w:val="22"/>
              </w:rPr>
              <w:t>medi</w:t>
            </w:r>
            <w:r w:rsidR="00A90C52" w:rsidRPr="00AE7D56">
              <w:rPr>
                <w:rFonts w:ascii="Times New Roman" w:eastAsia="Times New Roman" w:hAnsi="Times New Roman" w:cs="Times New Roman"/>
                <w:color w:val="000000"/>
                <w:sz w:val="22"/>
                <w:szCs w:val="22"/>
              </w:rPr>
              <w:t>a</w:t>
            </w:r>
          </w:p>
        </w:tc>
        <w:tc>
          <w:tcPr>
            <w:tcW w:w="1280" w:type="dxa"/>
            <w:vMerge/>
            <w:vAlign w:val="center"/>
            <w:hideMark/>
          </w:tcPr>
          <w:p w14:paraId="303545C2" w14:textId="77777777" w:rsidR="000A545E" w:rsidRPr="00AE7D56" w:rsidRDefault="000A545E" w:rsidP="0002088C">
            <w:pPr>
              <w:spacing w:after="0" w:line="240" w:lineRule="auto"/>
              <w:rPr>
                <w:rFonts w:ascii="Times New Roman" w:eastAsia="Times New Roman" w:hAnsi="Times New Roman" w:cs="Times New Roman"/>
                <w:color w:val="000000"/>
                <w:sz w:val="22"/>
                <w:szCs w:val="22"/>
              </w:rPr>
            </w:pPr>
          </w:p>
        </w:tc>
      </w:tr>
      <w:tr w:rsidR="000A545E" w:rsidRPr="00AE7D56" w14:paraId="54557FF2" w14:textId="77777777" w:rsidTr="00AE7D56">
        <w:trPr>
          <w:trHeight w:val="336"/>
        </w:trPr>
        <w:tc>
          <w:tcPr>
            <w:tcW w:w="940" w:type="dxa"/>
            <w:vMerge w:val="restart"/>
            <w:vAlign w:val="center"/>
            <w:hideMark/>
          </w:tcPr>
          <w:p w14:paraId="580681CA"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Género</w:t>
            </w:r>
          </w:p>
        </w:tc>
        <w:tc>
          <w:tcPr>
            <w:tcW w:w="1280" w:type="dxa"/>
            <w:vMerge w:val="restart"/>
            <w:vAlign w:val="center"/>
            <w:hideMark/>
          </w:tcPr>
          <w:p w14:paraId="0CAE14A7"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Femenino</w:t>
            </w:r>
          </w:p>
        </w:tc>
        <w:tc>
          <w:tcPr>
            <w:tcW w:w="1280" w:type="dxa"/>
            <w:vAlign w:val="center"/>
            <w:hideMark/>
          </w:tcPr>
          <w:p w14:paraId="0D5AFE39"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Recuento</w:t>
            </w:r>
          </w:p>
        </w:tc>
        <w:tc>
          <w:tcPr>
            <w:tcW w:w="1280" w:type="dxa"/>
            <w:vAlign w:val="center"/>
            <w:hideMark/>
          </w:tcPr>
          <w:p w14:paraId="76D782FB"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129</w:t>
            </w:r>
          </w:p>
        </w:tc>
        <w:tc>
          <w:tcPr>
            <w:tcW w:w="1280" w:type="dxa"/>
            <w:vAlign w:val="center"/>
            <w:hideMark/>
          </w:tcPr>
          <w:p w14:paraId="44C8D2D1"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11</w:t>
            </w:r>
          </w:p>
        </w:tc>
        <w:tc>
          <w:tcPr>
            <w:tcW w:w="1280" w:type="dxa"/>
            <w:vAlign w:val="center"/>
            <w:hideMark/>
          </w:tcPr>
          <w:p w14:paraId="674C6AAC"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107</w:t>
            </w:r>
          </w:p>
        </w:tc>
        <w:tc>
          <w:tcPr>
            <w:tcW w:w="1280" w:type="dxa"/>
            <w:vAlign w:val="center"/>
            <w:hideMark/>
          </w:tcPr>
          <w:p w14:paraId="79A54503"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247</w:t>
            </w:r>
          </w:p>
        </w:tc>
      </w:tr>
      <w:tr w:rsidR="000A545E" w:rsidRPr="00AE7D56" w14:paraId="7888DC3D" w14:textId="77777777" w:rsidTr="00AE7D56">
        <w:trPr>
          <w:trHeight w:val="324"/>
        </w:trPr>
        <w:tc>
          <w:tcPr>
            <w:tcW w:w="940" w:type="dxa"/>
            <w:vMerge/>
            <w:vAlign w:val="center"/>
            <w:hideMark/>
          </w:tcPr>
          <w:p w14:paraId="6F1A4A7E"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Merge/>
            <w:vAlign w:val="center"/>
            <w:hideMark/>
          </w:tcPr>
          <w:p w14:paraId="5EA8ACF9"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Align w:val="center"/>
            <w:hideMark/>
          </w:tcPr>
          <w:p w14:paraId="0800A733"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 del total</w:t>
            </w:r>
          </w:p>
        </w:tc>
        <w:tc>
          <w:tcPr>
            <w:tcW w:w="1280" w:type="dxa"/>
            <w:vAlign w:val="center"/>
            <w:hideMark/>
          </w:tcPr>
          <w:p w14:paraId="1C1B01BB" w14:textId="14E4F776"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26.4%</w:t>
            </w:r>
          </w:p>
        </w:tc>
        <w:tc>
          <w:tcPr>
            <w:tcW w:w="1280" w:type="dxa"/>
            <w:vAlign w:val="center"/>
            <w:hideMark/>
          </w:tcPr>
          <w:p w14:paraId="531E313C" w14:textId="772B408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2.3%</w:t>
            </w:r>
          </w:p>
        </w:tc>
        <w:tc>
          <w:tcPr>
            <w:tcW w:w="1280" w:type="dxa"/>
            <w:vAlign w:val="center"/>
            <w:hideMark/>
          </w:tcPr>
          <w:p w14:paraId="48539D84" w14:textId="694B38BE"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21.9%</w:t>
            </w:r>
          </w:p>
        </w:tc>
        <w:tc>
          <w:tcPr>
            <w:tcW w:w="1280" w:type="dxa"/>
            <w:vAlign w:val="center"/>
            <w:hideMark/>
          </w:tcPr>
          <w:p w14:paraId="4ACEBF2C" w14:textId="72CF3FA6"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50.6%</w:t>
            </w:r>
          </w:p>
        </w:tc>
      </w:tr>
      <w:tr w:rsidR="000A545E" w:rsidRPr="00AE7D56" w14:paraId="21074344" w14:textId="77777777" w:rsidTr="00AE7D56">
        <w:trPr>
          <w:trHeight w:val="324"/>
        </w:trPr>
        <w:tc>
          <w:tcPr>
            <w:tcW w:w="940" w:type="dxa"/>
            <w:vMerge/>
            <w:vAlign w:val="center"/>
            <w:hideMark/>
          </w:tcPr>
          <w:p w14:paraId="35760786"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Merge w:val="restart"/>
            <w:vAlign w:val="center"/>
            <w:hideMark/>
          </w:tcPr>
          <w:p w14:paraId="0C0B60CC"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Masculino</w:t>
            </w:r>
          </w:p>
        </w:tc>
        <w:tc>
          <w:tcPr>
            <w:tcW w:w="1280" w:type="dxa"/>
            <w:vAlign w:val="center"/>
            <w:hideMark/>
          </w:tcPr>
          <w:p w14:paraId="2B8D1FAB"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Recuento</w:t>
            </w:r>
          </w:p>
        </w:tc>
        <w:tc>
          <w:tcPr>
            <w:tcW w:w="1280" w:type="dxa"/>
            <w:vAlign w:val="center"/>
            <w:hideMark/>
          </w:tcPr>
          <w:p w14:paraId="6004A761"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101</w:t>
            </w:r>
          </w:p>
        </w:tc>
        <w:tc>
          <w:tcPr>
            <w:tcW w:w="1280" w:type="dxa"/>
            <w:vAlign w:val="center"/>
            <w:hideMark/>
          </w:tcPr>
          <w:p w14:paraId="2D962049"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5</w:t>
            </w:r>
          </w:p>
        </w:tc>
        <w:tc>
          <w:tcPr>
            <w:tcW w:w="1280" w:type="dxa"/>
            <w:vAlign w:val="center"/>
            <w:hideMark/>
          </w:tcPr>
          <w:p w14:paraId="73616782"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132</w:t>
            </w:r>
          </w:p>
        </w:tc>
        <w:tc>
          <w:tcPr>
            <w:tcW w:w="1280" w:type="dxa"/>
            <w:vAlign w:val="center"/>
            <w:hideMark/>
          </w:tcPr>
          <w:p w14:paraId="7ACCE201"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238</w:t>
            </w:r>
          </w:p>
        </w:tc>
      </w:tr>
      <w:tr w:rsidR="000A545E" w:rsidRPr="00AE7D56" w14:paraId="0B9DB557" w14:textId="77777777" w:rsidTr="00AE7D56">
        <w:trPr>
          <w:trHeight w:val="324"/>
        </w:trPr>
        <w:tc>
          <w:tcPr>
            <w:tcW w:w="940" w:type="dxa"/>
            <w:vMerge/>
            <w:vAlign w:val="center"/>
            <w:hideMark/>
          </w:tcPr>
          <w:p w14:paraId="2EAC47C5"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Merge/>
            <w:vAlign w:val="center"/>
            <w:hideMark/>
          </w:tcPr>
          <w:p w14:paraId="224A0FA8"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Align w:val="center"/>
            <w:hideMark/>
          </w:tcPr>
          <w:p w14:paraId="0E4777A0"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 del total</w:t>
            </w:r>
          </w:p>
        </w:tc>
        <w:tc>
          <w:tcPr>
            <w:tcW w:w="1280" w:type="dxa"/>
            <w:vAlign w:val="center"/>
            <w:hideMark/>
          </w:tcPr>
          <w:p w14:paraId="66C4F590" w14:textId="2EF61840"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20.7%</w:t>
            </w:r>
          </w:p>
        </w:tc>
        <w:tc>
          <w:tcPr>
            <w:tcW w:w="1280" w:type="dxa"/>
            <w:vAlign w:val="center"/>
            <w:hideMark/>
          </w:tcPr>
          <w:p w14:paraId="2D0D773F" w14:textId="51577673"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1.0%</w:t>
            </w:r>
          </w:p>
        </w:tc>
        <w:tc>
          <w:tcPr>
            <w:tcW w:w="1280" w:type="dxa"/>
            <w:vAlign w:val="center"/>
            <w:hideMark/>
          </w:tcPr>
          <w:p w14:paraId="78A46EDF" w14:textId="05CCBEB9"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27.0%</w:t>
            </w:r>
          </w:p>
        </w:tc>
        <w:tc>
          <w:tcPr>
            <w:tcW w:w="1280" w:type="dxa"/>
            <w:vAlign w:val="center"/>
            <w:hideMark/>
          </w:tcPr>
          <w:p w14:paraId="573E49AF" w14:textId="13C9A8FC"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48.8%</w:t>
            </w:r>
          </w:p>
        </w:tc>
      </w:tr>
      <w:tr w:rsidR="000A545E" w:rsidRPr="00AE7D56" w14:paraId="43AD8D0D" w14:textId="77777777" w:rsidTr="00AE7D56">
        <w:trPr>
          <w:trHeight w:val="324"/>
        </w:trPr>
        <w:tc>
          <w:tcPr>
            <w:tcW w:w="940" w:type="dxa"/>
            <w:vMerge/>
            <w:vAlign w:val="center"/>
            <w:hideMark/>
          </w:tcPr>
          <w:p w14:paraId="3C427A43"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Merge w:val="restart"/>
            <w:vAlign w:val="center"/>
            <w:hideMark/>
          </w:tcPr>
          <w:p w14:paraId="5D5923E5"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Prefiero no responder</w:t>
            </w:r>
          </w:p>
        </w:tc>
        <w:tc>
          <w:tcPr>
            <w:tcW w:w="1280" w:type="dxa"/>
            <w:vAlign w:val="center"/>
            <w:hideMark/>
          </w:tcPr>
          <w:p w14:paraId="3FC2F3F0"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Recuento</w:t>
            </w:r>
          </w:p>
        </w:tc>
        <w:tc>
          <w:tcPr>
            <w:tcW w:w="1280" w:type="dxa"/>
            <w:vAlign w:val="center"/>
            <w:hideMark/>
          </w:tcPr>
          <w:p w14:paraId="35151FAC"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3</w:t>
            </w:r>
          </w:p>
        </w:tc>
        <w:tc>
          <w:tcPr>
            <w:tcW w:w="1280" w:type="dxa"/>
            <w:vAlign w:val="center"/>
            <w:hideMark/>
          </w:tcPr>
          <w:p w14:paraId="066CC907"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0</w:t>
            </w:r>
          </w:p>
        </w:tc>
        <w:tc>
          <w:tcPr>
            <w:tcW w:w="1280" w:type="dxa"/>
            <w:vAlign w:val="center"/>
            <w:hideMark/>
          </w:tcPr>
          <w:p w14:paraId="1668C638"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0</w:t>
            </w:r>
          </w:p>
        </w:tc>
        <w:tc>
          <w:tcPr>
            <w:tcW w:w="1280" w:type="dxa"/>
            <w:vAlign w:val="center"/>
            <w:hideMark/>
          </w:tcPr>
          <w:p w14:paraId="4C89206B"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3</w:t>
            </w:r>
          </w:p>
        </w:tc>
      </w:tr>
      <w:tr w:rsidR="000A545E" w:rsidRPr="00AE7D56" w14:paraId="4A33ABE4" w14:textId="77777777" w:rsidTr="00AE7D56">
        <w:trPr>
          <w:trHeight w:val="324"/>
        </w:trPr>
        <w:tc>
          <w:tcPr>
            <w:tcW w:w="940" w:type="dxa"/>
            <w:vMerge/>
            <w:vAlign w:val="center"/>
            <w:hideMark/>
          </w:tcPr>
          <w:p w14:paraId="7408FFF0"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Merge/>
            <w:vAlign w:val="center"/>
            <w:hideMark/>
          </w:tcPr>
          <w:p w14:paraId="184FA0B0"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Align w:val="center"/>
            <w:hideMark/>
          </w:tcPr>
          <w:p w14:paraId="41D43536"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 del total</w:t>
            </w:r>
          </w:p>
        </w:tc>
        <w:tc>
          <w:tcPr>
            <w:tcW w:w="1280" w:type="dxa"/>
            <w:vAlign w:val="center"/>
            <w:hideMark/>
          </w:tcPr>
          <w:p w14:paraId="050A3814" w14:textId="320D1370"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0.6%</w:t>
            </w:r>
          </w:p>
        </w:tc>
        <w:tc>
          <w:tcPr>
            <w:tcW w:w="1280" w:type="dxa"/>
            <w:vAlign w:val="center"/>
            <w:hideMark/>
          </w:tcPr>
          <w:p w14:paraId="74161A79" w14:textId="2367F9EA"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0.0%</w:t>
            </w:r>
          </w:p>
        </w:tc>
        <w:tc>
          <w:tcPr>
            <w:tcW w:w="1280" w:type="dxa"/>
            <w:vAlign w:val="center"/>
            <w:hideMark/>
          </w:tcPr>
          <w:p w14:paraId="0F02918A" w14:textId="1ABD6FB0"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0.0%</w:t>
            </w:r>
          </w:p>
        </w:tc>
        <w:tc>
          <w:tcPr>
            <w:tcW w:w="1280" w:type="dxa"/>
            <w:vAlign w:val="center"/>
            <w:hideMark/>
          </w:tcPr>
          <w:p w14:paraId="70961F17" w14:textId="3A6491C1"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0.6%</w:t>
            </w:r>
          </w:p>
        </w:tc>
      </w:tr>
      <w:tr w:rsidR="000A545E" w:rsidRPr="00AE7D56" w14:paraId="3A44E091" w14:textId="77777777" w:rsidTr="00AE7D56">
        <w:trPr>
          <w:trHeight w:val="324"/>
        </w:trPr>
        <w:tc>
          <w:tcPr>
            <w:tcW w:w="2220" w:type="dxa"/>
            <w:gridSpan w:val="2"/>
            <w:vMerge w:val="restart"/>
            <w:vAlign w:val="center"/>
            <w:hideMark/>
          </w:tcPr>
          <w:p w14:paraId="3B563174"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Total</w:t>
            </w:r>
          </w:p>
        </w:tc>
        <w:tc>
          <w:tcPr>
            <w:tcW w:w="1280" w:type="dxa"/>
            <w:vAlign w:val="center"/>
            <w:hideMark/>
          </w:tcPr>
          <w:p w14:paraId="74B410FE"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Recuento</w:t>
            </w:r>
          </w:p>
        </w:tc>
        <w:tc>
          <w:tcPr>
            <w:tcW w:w="1280" w:type="dxa"/>
            <w:vAlign w:val="center"/>
            <w:hideMark/>
          </w:tcPr>
          <w:p w14:paraId="3AFCE905"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233</w:t>
            </w:r>
          </w:p>
        </w:tc>
        <w:tc>
          <w:tcPr>
            <w:tcW w:w="1280" w:type="dxa"/>
            <w:vAlign w:val="center"/>
            <w:hideMark/>
          </w:tcPr>
          <w:p w14:paraId="13842B54"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16</w:t>
            </w:r>
          </w:p>
        </w:tc>
        <w:tc>
          <w:tcPr>
            <w:tcW w:w="1280" w:type="dxa"/>
            <w:vAlign w:val="center"/>
            <w:hideMark/>
          </w:tcPr>
          <w:p w14:paraId="507EE612"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239</w:t>
            </w:r>
          </w:p>
        </w:tc>
        <w:tc>
          <w:tcPr>
            <w:tcW w:w="1280" w:type="dxa"/>
            <w:vAlign w:val="center"/>
            <w:hideMark/>
          </w:tcPr>
          <w:p w14:paraId="2F4D0EFE"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488</w:t>
            </w:r>
          </w:p>
        </w:tc>
      </w:tr>
      <w:tr w:rsidR="000A545E" w:rsidRPr="00AE7D56" w14:paraId="2F5AC229" w14:textId="77777777" w:rsidTr="00AE7D56">
        <w:trPr>
          <w:trHeight w:val="324"/>
        </w:trPr>
        <w:tc>
          <w:tcPr>
            <w:tcW w:w="2220" w:type="dxa"/>
            <w:gridSpan w:val="2"/>
            <w:vMerge/>
            <w:vAlign w:val="center"/>
            <w:hideMark/>
          </w:tcPr>
          <w:p w14:paraId="7F6800A6" w14:textId="7777777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p>
        </w:tc>
        <w:tc>
          <w:tcPr>
            <w:tcW w:w="1280" w:type="dxa"/>
            <w:vAlign w:val="center"/>
            <w:hideMark/>
          </w:tcPr>
          <w:p w14:paraId="53EDE8AC" w14:textId="3E8F5D14"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 de</w:t>
            </w:r>
            <w:r w:rsidR="00A90C52" w:rsidRPr="00AE7D56">
              <w:rPr>
                <w:rFonts w:ascii="Times New Roman" w:eastAsia="Times New Roman" w:hAnsi="Times New Roman" w:cs="Times New Roman"/>
                <w:color w:val="000000"/>
                <w:sz w:val="22"/>
                <w:szCs w:val="22"/>
              </w:rPr>
              <w:t>l</w:t>
            </w:r>
            <w:r w:rsidRPr="00AE7D56">
              <w:rPr>
                <w:rFonts w:ascii="Times New Roman" w:eastAsia="Times New Roman" w:hAnsi="Times New Roman" w:cs="Times New Roman"/>
                <w:color w:val="000000"/>
                <w:sz w:val="22"/>
                <w:szCs w:val="22"/>
              </w:rPr>
              <w:t xml:space="preserve"> total</w:t>
            </w:r>
          </w:p>
        </w:tc>
        <w:tc>
          <w:tcPr>
            <w:tcW w:w="1280" w:type="dxa"/>
            <w:vAlign w:val="center"/>
            <w:hideMark/>
          </w:tcPr>
          <w:p w14:paraId="6903FECD" w14:textId="3AAF6E67"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47.7%</w:t>
            </w:r>
          </w:p>
        </w:tc>
        <w:tc>
          <w:tcPr>
            <w:tcW w:w="1280" w:type="dxa"/>
            <w:vAlign w:val="center"/>
            <w:hideMark/>
          </w:tcPr>
          <w:p w14:paraId="5952E306" w14:textId="66EB3B34"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3.3%</w:t>
            </w:r>
          </w:p>
        </w:tc>
        <w:tc>
          <w:tcPr>
            <w:tcW w:w="1280" w:type="dxa"/>
            <w:vAlign w:val="center"/>
            <w:hideMark/>
          </w:tcPr>
          <w:p w14:paraId="5BDC543D" w14:textId="70727A6B"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49.0%</w:t>
            </w:r>
          </w:p>
        </w:tc>
        <w:tc>
          <w:tcPr>
            <w:tcW w:w="1280" w:type="dxa"/>
            <w:vAlign w:val="center"/>
            <w:hideMark/>
          </w:tcPr>
          <w:p w14:paraId="2E989A0D" w14:textId="3F387A85" w:rsidR="000A545E" w:rsidRPr="00AE7D56" w:rsidRDefault="000A545E" w:rsidP="00702C7B">
            <w:pPr>
              <w:spacing w:after="0" w:line="240" w:lineRule="auto"/>
              <w:jc w:val="center"/>
              <w:rPr>
                <w:rFonts w:ascii="Times New Roman" w:eastAsia="Times New Roman" w:hAnsi="Times New Roman" w:cs="Times New Roman"/>
                <w:color w:val="000000"/>
                <w:sz w:val="22"/>
                <w:szCs w:val="22"/>
              </w:rPr>
            </w:pPr>
            <w:r w:rsidRPr="00AE7D56">
              <w:rPr>
                <w:rFonts w:ascii="Times New Roman" w:eastAsia="Times New Roman" w:hAnsi="Times New Roman" w:cs="Times New Roman"/>
                <w:color w:val="000000"/>
                <w:sz w:val="22"/>
                <w:szCs w:val="22"/>
              </w:rPr>
              <w:t>100.0%</w:t>
            </w:r>
          </w:p>
        </w:tc>
      </w:tr>
    </w:tbl>
    <w:p w14:paraId="2D6856B1" w14:textId="38AB27B4" w:rsidR="000A545E" w:rsidRPr="00AE7D56" w:rsidRDefault="000A545E" w:rsidP="00AE7D56">
      <w:pPr>
        <w:widowControl w:val="0"/>
        <w:tabs>
          <w:tab w:val="left" w:pos="281"/>
        </w:tabs>
        <w:spacing w:before="8" w:after="0" w:line="360" w:lineRule="auto"/>
        <w:jc w:val="center"/>
        <w:rPr>
          <w:rFonts w:ascii="Times New Roman" w:eastAsia="Times New Roman" w:hAnsi="Times New Roman" w:cs="Times New Roman"/>
          <w:color w:val="000000" w:themeColor="text1"/>
        </w:rPr>
      </w:pPr>
      <w:r w:rsidRPr="009A2439">
        <w:rPr>
          <w:rFonts w:ascii="Times New Roman" w:eastAsia="Times New Roman" w:hAnsi="Times New Roman" w:cs="Times New Roman"/>
          <w:color w:val="000000" w:themeColor="text1"/>
        </w:rPr>
        <w:t>Fuente: Elaboración propia con el software IBM SPSS</w:t>
      </w:r>
    </w:p>
    <w:p w14:paraId="6E8AEC75" w14:textId="77777777" w:rsidR="00134869" w:rsidRDefault="00134869" w:rsidP="000A545E">
      <w:pPr>
        <w:spacing w:after="0" w:line="360" w:lineRule="auto"/>
        <w:ind w:firstLine="708"/>
        <w:jc w:val="both"/>
        <w:rPr>
          <w:rFonts w:ascii="Times New Roman" w:eastAsiaTheme="minorEastAsia" w:hAnsi="Times New Roman" w:cs="Times New Roman"/>
        </w:rPr>
      </w:pPr>
      <w:r w:rsidRPr="00134869">
        <w:rPr>
          <w:rFonts w:ascii="Times New Roman" w:eastAsiaTheme="minorEastAsia" w:hAnsi="Times New Roman" w:cs="Times New Roman"/>
        </w:rPr>
        <w:t>La Tabla 5 detalla los resultados del pensamiento computacional mediante el recuento de estudiantes (n) y su distribución porcentual, segmentados por generación de ingreso. El análisis tiene como objetivo determinar si el avance en la trayectoria académica se asocia con un mayor desarrollo de las competencias computacionales, clasificando a los participantes en tres categorías según su posición respecto a la media aritmética: debajo, en, y por encima de la media.</w:t>
      </w:r>
    </w:p>
    <w:p w14:paraId="6CE930D9" w14:textId="77777777" w:rsidR="00134869" w:rsidRDefault="00134869" w:rsidP="000A545E">
      <w:pPr>
        <w:spacing w:after="0" w:line="360" w:lineRule="auto"/>
        <w:ind w:firstLine="708"/>
        <w:jc w:val="both"/>
        <w:rPr>
          <w:rFonts w:ascii="Times New Roman" w:eastAsiaTheme="minorEastAsia" w:hAnsi="Times New Roman" w:cs="Times New Roman"/>
        </w:rPr>
      </w:pPr>
      <w:r w:rsidRPr="00134869">
        <w:rPr>
          <w:rFonts w:ascii="Times New Roman" w:eastAsiaTheme="minorEastAsia" w:hAnsi="Times New Roman" w:cs="Times New Roman"/>
        </w:rPr>
        <w:t>En cuanto a la distribución por dimensiones, se observan los siguientes hallazgos basados en la frecuencia de estudiantes (n):</w:t>
      </w:r>
    </w:p>
    <w:p w14:paraId="0F54C983" w14:textId="77777777" w:rsidR="00134869" w:rsidRPr="00134869" w:rsidRDefault="00134869" w:rsidP="00134869">
      <w:pPr>
        <w:spacing w:after="0" w:line="360" w:lineRule="auto"/>
        <w:ind w:firstLine="708"/>
        <w:jc w:val="both"/>
        <w:rPr>
          <w:rFonts w:ascii="Times New Roman" w:eastAsia="Times New Roman" w:hAnsi="Times New Roman" w:cs="Times New Roman"/>
        </w:rPr>
      </w:pPr>
      <w:r w:rsidRPr="00134869">
        <w:rPr>
          <w:rFonts w:ascii="Times New Roman" w:eastAsiaTheme="minorEastAsia" w:hAnsi="Times New Roman" w:cs="Times New Roman"/>
        </w:rPr>
        <w:t>Creatividad: El mayor recuento de estudiantes por encima de la media se localiza en la generación 2021 (n = 69), mientras que la frecuencia más alta por debajo de la media pertenece a la generación 2020 (n = 55).</w:t>
      </w:r>
    </w:p>
    <w:p w14:paraId="72933310" w14:textId="77777777" w:rsidR="00134869" w:rsidRPr="00134869" w:rsidRDefault="00134869" w:rsidP="00134869">
      <w:pPr>
        <w:spacing w:after="0" w:line="360" w:lineRule="auto"/>
        <w:ind w:firstLine="708"/>
        <w:jc w:val="both"/>
        <w:rPr>
          <w:rFonts w:ascii="Times New Roman" w:eastAsia="Times New Roman" w:hAnsi="Times New Roman" w:cs="Times New Roman"/>
        </w:rPr>
      </w:pPr>
      <w:r w:rsidRPr="00134869">
        <w:rPr>
          <w:rFonts w:ascii="Times New Roman" w:eastAsiaTheme="minorEastAsia" w:hAnsi="Times New Roman" w:cs="Times New Roman"/>
        </w:rPr>
        <w:t>Pensamiento algorítmico: La generación 2021 registra el mayor número de alumnos por encima de la media (n = 60). En contraste, el grupo con mayor cantidad de estudiantes por debajo de la media es la generación 2022 (n = 54).</w:t>
      </w:r>
    </w:p>
    <w:p w14:paraId="3FE475D8" w14:textId="77777777" w:rsidR="00134869" w:rsidRPr="00134869" w:rsidRDefault="00134869" w:rsidP="00134869">
      <w:pPr>
        <w:spacing w:after="0" w:line="360" w:lineRule="auto"/>
        <w:ind w:firstLine="708"/>
        <w:jc w:val="both"/>
        <w:rPr>
          <w:rFonts w:ascii="Times New Roman" w:eastAsia="Times New Roman" w:hAnsi="Times New Roman" w:cs="Times New Roman"/>
        </w:rPr>
      </w:pPr>
      <w:r w:rsidRPr="00134869">
        <w:rPr>
          <w:rFonts w:ascii="Times New Roman" w:eastAsiaTheme="minorEastAsia" w:hAnsi="Times New Roman" w:cs="Times New Roman"/>
        </w:rPr>
        <w:t>Cooperatividad: La frecuencia más alta por encima de la media se presenta en la generación 2021 (n = 48), mientras que el recuento más elevado por debajo de la media se observa en la generación 2022 (n = 70).</w:t>
      </w:r>
    </w:p>
    <w:p w14:paraId="020EF2DC" w14:textId="77777777" w:rsidR="00134869" w:rsidRPr="00134869" w:rsidRDefault="00134869" w:rsidP="00134869">
      <w:pPr>
        <w:spacing w:after="0" w:line="360" w:lineRule="auto"/>
        <w:ind w:firstLine="708"/>
        <w:jc w:val="both"/>
        <w:rPr>
          <w:rFonts w:ascii="Times New Roman" w:eastAsia="Times New Roman" w:hAnsi="Times New Roman" w:cs="Times New Roman"/>
        </w:rPr>
      </w:pPr>
      <w:r w:rsidRPr="00134869">
        <w:rPr>
          <w:rFonts w:ascii="Times New Roman" w:eastAsiaTheme="minorEastAsia" w:hAnsi="Times New Roman" w:cs="Times New Roman"/>
        </w:rPr>
        <w:t>Pensamiento crítico: La generación 2021 destaca con el mayor número de estudiantes por encima de la media (n = 72). El recuento superior por debajo de la media corresponde a la generación 2022 (n = 49).</w:t>
      </w:r>
    </w:p>
    <w:p w14:paraId="432DAAB5" w14:textId="77777777" w:rsidR="00134869" w:rsidRPr="00134869" w:rsidRDefault="00134869" w:rsidP="00134869">
      <w:pPr>
        <w:spacing w:after="0" w:line="360" w:lineRule="auto"/>
        <w:ind w:firstLine="708"/>
        <w:jc w:val="both"/>
        <w:rPr>
          <w:rFonts w:ascii="Times New Roman" w:eastAsia="Times New Roman" w:hAnsi="Times New Roman" w:cs="Times New Roman"/>
        </w:rPr>
      </w:pPr>
      <w:r w:rsidRPr="00134869">
        <w:rPr>
          <w:rFonts w:ascii="Times New Roman" w:eastAsiaTheme="minorEastAsia" w:hAnsi="Times New Roman" w:cs="Times New Roman"/>
        </w:rPr>
        <w:lastRenderedPageBreak/>
        <w:t>Resolución de problemas: Las generaciones 2022 y 2023 presentan la mayor frecuencia por encima de la media (n = 59 cada una), mientras que el recuento más alto por debajo de la media se sitúa en la generación 2020 (n = 62).</w:t>
      </w:r>
    </w:p>
    <w:p w14:paraId="1D5A7EFC" w14:textId="2648DA1B" w:rsidR="00134869" w:rsidRDefault="00134869" w:rsidP="00134869">
      <w:pPr>
        <w:spacing w:after="0" w:line="360" w:lineRule="auto"/>
        <w:ind w:firstLine="720"/>
        <w:jc w:val="both"/>
        <w:rPr>
          <w:rFonts w:ascii="Times New Roman" w:eastAsiaTheme="minorEastAsia" w:hAnsi="Times New Roman" w:cs="Times New Roman"/>
        </w:rPr>
      </w:pPr>
      <w:r w:rsidRPr="00134869">
        <w:rPr>
          <w:rFonts w:ascii="Times New Roman" w:eastAsiaTheme="minorEastAsia" w:hAnsi="Times New Roman" w:cs="Times New Roman"/>
        </w:rPr>
        <w:t>Finalmente, en la total suma de Pensamiento computacional, la generación 2021 muestra el mayor recuento de estudiantes por encima de la media (n = 67), mientras que la generación 2020 registra la frecuencia más significativa por debajo de la media (n = 68)</w:t>
      </w:r>
      <w:r>
        <w:rPr>
          <w:rFonts w:ascii="Times New Roman" w:eastAsiaTheme="minorEastAsia" w:hAnsi="Times New Roman" w:cs="Times New Roman"/>
        </w:rPr>
        <w:t>.</w:t>
      </w:r>
    </w:p>
    <w:p w14:paraId="051A0515" w14:textId="77777777" w:rsidR="00AE7D56" w:rsidRPr="00134869" w:rsidRDefault="00AE7D56" w:rsidP="00134869">
      <w:pPr>
        <w:spacing w:after="0" w:line="360" w:lineRule="auto"/>
        <w:ind w:firstLine="720"/>
        <w:jc w:val="both"/>
        <w:rPr>
          <w:rFonts w:ascii="Times New Roman" w:eastAsiaTheme="minorEastAsia" w:hAnsi="Times New Roman" w:cs="Times New Roman"/>
        </w:rPr>
      </w:pPr>
    </w:p>
    <w:p w14:paraId="2820AB88" w14:textId="77777777" w:rsidR="000A545E" w:rsidRPr="007B3DCA" w:rsidRDefault="000A545E" w:rsidP="000A545E">
      <w:pPr>
        <w:pStyle w:val="Descripcin"/>
        <w:keepNext/>
        <w:widowControl w:val="0"/>
        <w:jc w:val="both"/>
        <w:rPr>
          <w:rFonts w:ascii="Times New Roman" w:eastAsia="Times New Roman" w:hAnsi="Times New Roman" w:cs="Times New Roman"/>
          <w:i w:val="0"/>
          <w:iCs w:val="0"/>
          <w:color w:val="auto"/>
          <w:sz w:val="24"/>
          <w:szCs w:val="24"/>
          <w:lang w:val="es-MX"/>
        </w:rPr>
      </w:pPr>
      <w:r w:rsidRPr="009E6266">
        <w:rPr>
          <w:rFonts w:ascii="Times New Roman" w:eastAsia="Times New Roman" w:hAnsi="Times New Roman" w:cs="Times New Roman"/>
          <w:b/>
          <w:bCs/>
          <w:i w:val="0"/>
          <w:iCs w:val="0"/>
          <w:color w:val="auto"/>
          <w:sz w:val="24"/>
          <w:szCs w:val="24"/>
          <w:lang w:val="es-MX"/>
        </w:rPr>
        <w:t xml:space="preserve">Tabla 5. </w:t>
      </w:r>
      <w:r w:rsidRPr="009E6266">
        <w:rPr>
          <w:rFonts w:ascii="Times New Roman" w:eastAsia="Times New Roman" w:hAnsi="Times New Roman" w:cs="Times New Roman"/>
          <w:i w:val="0"/>
          <w:iCs w:val="0"/>
          <w:color w:val="auto"/>
          <w:sz w:val="24"/>
          <w:szCs w:val="24"/>
          <w:lang w:val="es-MX"/>
        </w:rPr>
        <w:t>Dimensiones del pensamiento computacional y tabla de contingencia de generación.</w:t>
      </w:r>
      <w:bookmarkStart w:id="1" w:name="_Hlk195879591"/>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
        <w:gridCol w:w="1497"/>
        <w:gridCol w:w="1241"/>
        <w:gridCol w:w="1367"/>
        <w:gridCol w:w="1233"/>
        <w:gridCol w:w="1233"/>
        <w:gridCol w:w="1233"/>
        <w:gridCol w:w="1235"/>
      </w:tblGrid>
      <w:tr w:rsidR="000A545E" w:rsidRPr="001E7EA1" w14:paraId="42F41D77" w14:textId="77777777" w:rsidTr="00AE7D56">
        <w:trPr>
          <w:trHeight w:val="300"/>
          <w:jc w:val="center"/>
        </w:trPr>
        <w:tc>
          <w:tcPr>
            <w:tcW w:w="4820" w:type="dxa"/>
            <w:gridSpan w:val="4"/>
            <w:vMerge w:val="restart"/>
            <w:vAlign w:val="center"/>
            <w:hideMark/>
          </w:tcPr>
          <w:p w14:paraId="08613EC0" w14:textId="77777777" w:rsidR="000A545E" w:rsidRPr="001E7EA1" w:rsidRDefault="000A545E" w:rsidP="0002088C">
            <w:pPr>
              <w:spacing w:after="0" w:line="240" w:lineRule="auto"/>
              <w:rPr>
                <w:rFonts w:ascii="Times New Roman" w:eastAsia="Times New Roman" w:hAnsi="Times New Roman" w:cs="Times New Roman"/>
                <w:sz w:val="22"/>
                <w:szCs w:val="22"/>
              </w:rPr>
            </w:pPr>
          </w:p>
        </w:tc>
        <w:tc>
          <w:tcPr>
            <w:tcW w:w="4934" w:type="dxa"/>
            <w:gridSpan w:val="4"/>
            <w:vAlign w:val="center"/>
            <w:hideMark/>
          </w:tcPr>
          <w:p w14:paraId="15B10406"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Generación</w:t>
            </w:r>
          </w:p>
        </w:tc>
      </w:tr>
      <w:tr w:rsidR="000A545E" w:rsidRPr="001E7EA1" w14:paraId="5969A822" w14:textId="77777777" w:rsidTr="00AE7D56">
        <w:trPr>
          <w:trHeight w:val="300"/>
          <w:jc w:val="center"/>
        </w:trPr>
        <w:tc>
          <w:tcPr>
            <w:tcW w:w="4820" w:type="dxa"/>
            <w:gridSpan w:val="4"/>
            <w:vMerge/>
            <w:vAlign w:val="center"/>
            <w:hideMark/>
          </w:tcPr>
          <w:p w14:paraId="2A1B3C6B" w14:textId="77777777" w:rsidR="000A545E" w:rsidRPr="001E7EA1" w:rsidRDefault="000A545E" w:rsidP="0002088C">
            <w:pPr>
              <w:spacing w:after="0" w:line="240" w:lineRule="auto"/>
              <w:rPr>
                <w:rFonts w:ascii="Times New Roman" w:eastAsia="Times New Roman" w:hAnsi="Times New Roman" w:cs="Times New Roman"/>
                <w:sz w:val="22"/>
                <w:szCs w:val="22"/>
              </w:rPr>
            </w:pPr>
          </w:p>
        </w:tc>
        <w:tc>
          <w:tcPr>
            <w:tcW w:w="1233" w:type="dxa"/>
            <w:vAlign w:val="center"/>
            <w:hideMark/>
          </w:tcPr>
          <w:p w14:paraId="71E994B5"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2020</w:t>
            </w:r>
          </w:p>
        </w:tc>
        <w:tc>
          <w:tcPr>
            <w:tcW w:w="1233" w:type="dxa"/>
            <w:vAlign w:val="center"/>
            <w:hideMark/>
          </w:tcPr>
          <w:p w14:paraId="28FADAAB"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2021</w:t>
            </w:r>
          </w:p>
        </w:tc>
        <w:tc>
          <w:tcPr>
            <w:tcW w:w="1233" w:type="dxa"/>
            <w:vAlign w:val="center"/>
            <w:hideMark/>
          </w:tcPr>
          <w:p w14:paraId="3AA38FCA"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2022</w:t>
            </w:r>
          </w:p>
        </w:tc>
        <w:tc>
          <w:tcPr>
            <w:tcW w:w="1235" w:type="dxa"/>
            <w:vAlign w:val="center"/>
            <w:hideMark/>
          </w:tcPr>
          <w:p w14:paraId="2FCFFEAB"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2023</w:t>
            </w:r>
          </w:p>
        </w:tc>
      </w:tr>
      <w:tr w:rsidR="00134869" w:rsidRPr="001E7EA1" w14:paraId="13C520B1" w14:textId="77777777" w:rsidTr="00AE7D56">
        <w:trPr>
          <w:trHeight w:val="312"/>
          <w:jc w:val="center"/>
        </w:trPr>
        <w:tc>
          <w:tcPr>
            <w:tcW w:w="715" w:type="dxa"/>
            <w:vMerge w:val="restart"/>
            <w:textDirection w:val="tbLrV"/>
            <w:vAlign w:val="center"/>
            <w:hideMark/>
          </w:tcPr>
          <w:p w14:paraId="4563FB2A"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Dimensiones</w:t>
            </w:r>
          </w:p>
        </w:tc>
        <w:tc>
          <w:tcPr>
            <w:tcW w:w="1497" w:type="dxa"/>
            <w:vMerge w:val="restart"/>
            <w:vAlign w:val="center"/>
            <w:hideMark/>
          </w:tcPr>
          <w:p w14:paraId="27A759CB"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Creatividad</w:t>
            </w:r>
          </w:p>
        </w:tc>
        <w:tc>
          <w:tcPr>
            <w:tcW w:w="1241" w:type="dxa"/>
            <w:vMerge w:val="restart"/>
            <w:vAlign w:val="center"/>
            <w:hideMark/>
          </w:tcPr>
          <w:p w14:paraId="5A2C8AED" w14:textId="2CD26752"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debajo de</w:t>
            </w:r>
            <w:r w:rsidR="00FB79AC">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sidR="00FB79AC">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sidR="00FB79AC">
              <w:rPr>
                <w:rFonts w:ascii="Times New Roman" w:eastAsia="Times New Roman" w:hAnsi="Times New Roman" w:cs="Times New Roman"/>
                <w:color w:val="000000"/>
                <w:sz w:val="22"/>
                <w:szCs w:val="22"/>
              </w:rPr>
              <w:t>a</w:t>
            </w:r>
          </w:p>
        </w:tc>
        <w:tc>
          <w:tcPr>
            <w:tcW w:w="1367" w:type="dxa"/>
            <w:vAlign w:val="center"/>
            <w:hideMark/>
          </w:tcPr>
          <w:p w14:paraId="79DA7931" w14:textId="5F4EAE6B" w:rsidR="000A545E" w:rsidRPr="001E7EA1" w:rsidRDefault="00134869"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4D683780"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55</w:t>
            </w:r>
          </w:p>
        </w:tc>
        <w:tc>
          <w:tcPr>
            <w:tcW w:w="1233" w:type="dxa"/>
            <w:vAlign w:val="center"/>
            <w:hideMark/>
          </w:tcPr>
          <w:p w14:paraId="3225F627"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38</w:t>
            </w:r>
          </w:p>
        </w:tc>
        <w:tc>
          <w:tcPr>
            <w:tcW w:w="1233" w:type="dxa"/>
            <w:vAlign w:val="center"/>
            <w:hideMark/>
          </w:tcPr>
          <w:p w14:paraId="75610909"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53</w:t>
            </w:r>
          </w:p>
        </w:tc>
        <w:tc>
          <w:tcPr>
            <w:tcW w:w="1235" w:type="dxa"/>
            <w:vAlign w:val="center"/>
            <w:hideMark/>
          </w:tcPr>
          <w:p w14:paraId="26A49A6D"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48</w:t>
            </w:r>
          </w:p>
        </w:tc>
      </w:tr>
      <w:tr w:rsidR="00134869" w:rsidRPr="001E7EA1" w14:paraId="6E742B9B" w14:textId="77777777" w:rsidTr="00AE7D56">
        <w:trPr>
          <w:trHeight w:val="300"/>
          <w:jc w:val="center"/>
        </w:trPr>
        <w:tc>
          <w:tcPr>
            <w:tcW w:w="715" w:type="dxa"/>
            <w:vMerge/>
            <w:vAlign w:val="center"/>
            <w:hideMark/>
          </w:tcPr>
          <w:p w14:paraId="0C83D8A8"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391B5AE8"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697B40C2"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38704172"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458B8CA1" w14:textId="47B3898A"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11.3%</w:t>
            </w:r>
          </w:p>
        </w:tc>
        <w:tc>
          <w:tcPr>
            <w:tcW w:w="1233" w:type="dxa"/>
            <w:vAlign w:val="center"/>
            <w:hideMark/>
          </w:tcPr>
          <w:p w14:paraId="159ECAA4" w14:textId="35A7AFE6"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7.8%</w:t>
            </w:r>
          </w:p>
        </w:tc>
        <w:tc>
          <w:tcPr>
            <w:tcW w:w="1233" w:type="dxa"/>
            <w:vAlign w:val="center"/>
            <w:hideMark/>
          </w:tcPr>
          <w:p w14:paraId="07D0BA5E" w14:textId="0087F210"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10.9%</w:t>
            </w:r>
          </w:p>
        </w:tc>
        <w:tc>
          <w:tcPr>
            <w:tcW w:w="1235" w:type="dxa"/>
            <w:vAlign w:val="center"/>
            <w:hideMark/>
          </w:tcPr>
          <w:p w14:paraId="6D8A51E2" w14:textId="3038CDD8"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9.8%</w:t>
            </w:r>
          </w:p>
        </w:tc>
      </w:tr>
      <w:tr w:rsidR="00134869" w:rsidRPr="001E7EA1" w14:paraId="47B949F1" w14:textId="77777777" w:rsidTr="00AE7D56">
        <w:trPr>
          <w:trHeight w:val="300"/>
          <w:jc w:val="center"/>
        </w:trPr>
        <w:tc>
          <w:tcPr>
            <w:tcW w:w="715" w:type="dxa"/>
            <w:vMerge/>
            <w:vAlign w:val="center"/>
            <w:hideMark/>
          </w:tcPr>
          <w:p w14:paraId="79B9D7B6"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69954B70"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1F7BFE4D" w14:textId="0CC40E06"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En </w:t>
            </w:r>
            <w:r w:rsidR="00FB79AC">
              <w:rPr>
                <w:rFonts w:ascii="Times New Roman" w:eastAsia="Times New Roman" w:hAnsi="Times New Roman" w:cs="Times New Roman"/>
                <w:color w:val="000000"/>
                <w:sz w:val="22"/>
                <w:szCs w:val="22"/>
              </w:rPr>
              <w:t>la</w:t>
            </w:r>
            <w:r w:rsidRPr="001E7EA1">
              <w:rPr>
                <w:rFonts w:ascii="Times New Roman" w:eastAsia="Times New Roman" w:hAnsi="Times New Roman" w:cs="Times New Roman"/>
                <w:color w:val="000000"/>
                <w:sz w:val="22"/>
                <w:szCs w:val="22"/>
              </w:rPr>
              <w:t xml:space="preserve"> medi</w:t>
            </w:r>
            <w:r w:rsidR="00FB79AC">
              <w:rPr>
                <w:rFonts w:ascii="Times New Roman" w:eastAsia="Times New Roman" w:hAnsi="Times New Roman" w:cs="Times New Roman"/>
                <w:color w:val="000000"/>
                <w:sz w:val="22"/>
                <w:szCs w:val="22"/>
              </w:rPr>
              <w:t>a</w:t>
            </w:r>
          </w:p>
        </w:tc>
        <w:tc>
          <w:tcPr>
            <w:tcW w:w="1367" w:type="dxa"/>
            <w:vAlign w:val="center"/>
            <w:hideMark/>
          </w:tcPr>
          <w:p w14:paraId="72D7980D" w14:textId="23A5DD0A" w:rsidR="000A545E" w:rsidRPr="001E7EA1" w:rsidRDefault="00134869"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53F120E2"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13</w:t>
            </w:r>
          </w:p>
        </w:tc>
        <w:tc>
          <w:tcPr>
            <w:tcW w:w="1233" w:type="dxa"/>
            <w:vAlign w:val="center"/>
            <w:hideMark/>
          </w:tcPr>
          <w:p w14:paraId="6487692C"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15</w:t>
            </w:r>
          </w:p>
        </w:tc>
        <w:tc>
          <w:tcPr>
            <w:tcW w:w="1233" w:type="dxa"/>
            <w:vAlign w:val="center"/>
            <w:hideMark/>
          </w:tcPr>
          <w:p w14:paraId="39DAAC7A"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w:t>
            </w:r>
          </w:p>
        </w:tc>
        <w:tc>
          <w:tcPr>
            <w:tcW w:w="1235" w:type="dxa"/>
            <w:vAlign w:val="center"/>
            <w:hideMark/>
          </w:tcPr>
          <w:p w14:paraId="1517A8F4"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w:t>
            </w:r>
          </w:p>
        </w:tc>
      </w:tr>
      <w:tr w:rsidR="00134869" w:rsidRPr="001E7EA1" w14:paraId="32AE258A" w14:textId="77777777" w:rsidTr="00AE7D56">
        <w:trPr>
          <w:trHeight w:val="300"/>
          <w:jc w:val="center"/>
        </w:trPr>
        <w:tc>
          <w:tcPr>
            <w:tcW w:w="715" w:type="dxa"/>
            <w:vMerge/>
            <w:vAlign w:val="center"/>
            <w:hideMark/>
          </w:tcPr>
          <w:p w14:paraId="2A569053"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55EB7799"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4558124E"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5EC31F7D"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7E9BE07D" w14:textId="0BC369F2"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2.7%</w:t>
            </w:r>
          </w:p>
        </w:tc>
        <w:tc>
          <w:tcPr>
            <w:tcW w:w="1233" w:type="dxa"/>
            <w:vAlign w:val="center"/>
            <w:hideMark/>
          </w:tcPr>
          <w:p w14:paraId="3D0012B2" w14:textId="7D13E870"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3.1%</w:t>
            </w:r>
          </w:p>
        </w:tc>
        <w:tc>
          <w:tcPr>
            <w:tcW w:w="1233" w:type="dxa"/>
            <w:vAlign w:val="center"/>
            <w:hideMark/>
          </w:tcPr>
          <w:p w14:paraId="46DA1719" w14:textId="7A5DFFFD"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2.5%</w:t>
            </w:r>
          </w:p>
        </w:tc>
        <w:tc>
          <w:tcPr>
            <w:tcW w:w="1235" w:type="dxa"/>
            <w:vAlign w:val="center"/>
            <w:hideMark/>
          </w:tcPr>
          <w:p w14:paraId="37B4EB28" w14:textId="0E3D9254"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2.5%</w:t>
            </w:r>
          </w:p>
        </w:tc>
      </w:tr>
      <w:tr w:rsidR="00134869" w:rsidRPr="001E7EA1" w14:paraId="20F9D47D" w14:textId="77777777" w:rsidTr="00AE7D56">
        <w:trPr>
          <w:trHeight w:val="300"/>
          <w:jc w:val="center"/>
        </w:trPr>
        <w:tc>
          <w:tcPr>
            <w:tcW w:w="715" w:type="dxa"/>
            <w:vMerge/>
            <w:vAlign w:val="center"/>
            <w:hideMark/>
          </w:tcPr>
          <w:p w14:paraId="5DE2E7F6"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64E9B77C"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7530F832" w14:textId="7FBD2083"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encima de</w:t>
            </w:r>
            <w:r w:rsidR="00FB79AC">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sidR="00FB79AC">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sidR="00FB79AC">
              <w:rPr>
                <w:rFonts w:ascii="Times New Roman" w:eastAsia="Times New Roman" w:hAnsi="Times New Roman" w:cs="Times New Roman"/>
                <w:color w:val="000000"/>
                <w:sz w:val="22"/>
                <w:szCs w:val="22"/>
              </w:rPr>
              <w:t>a</w:t>
            </w:r>
          </w:p>
        </w:tc>
        <w:tc>
          <w:tcPr>
            <w:tcW w:w="1367" w:type="dxa"/>
            <w:vAlign w:val="center"/>
            <w:hideMark/>
          </w:tcPr>
          <w:p w14:paraId="72AE826F" w14:textId="6E62791C" w:rsidR="000A545E" w:rsidRPr="001E7EA1" w:rsidRDefault="00134869"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2BCEC84C"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54</w:t>
            </w:r>
          </w:p>
        </w:tc>
        <w:tc>
          <w:tcPr>
            <w:tcW w:w="1233" w:type="dxa"/>
            <w:vAlign w:val="center"/>
            <w:hideMark/>
          </w:tcPr>
          <w:p w14:paraId="36E6DBB5"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69</w:t>
            </w:r>
          </w:p>
        </w:tc>
        <w:tc>
          <w:tcPr>
            <w:tcW w:w="1233" w:type="dxa"/>
            <w:vAlign w:val="center"/>
            <w:hideMark/>
          </w:tcPr>
          <w:p w14:paraId="51878F43"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57</w:t>
            </w:r>
          </w:p>
        </w:tc>
        <w:tc>
          <w:tcPr>
            <w:tcW w:w="1235" w:type="dxa"/>
            <w:vAlign w:val="center"/>
            <w:hideMark/>
          </w:tcPr>
          <w:p w14:paraId="588FD561"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62</w:t>
            </w:r>
          </w:p>
        </w:tc>
      </w:tr>
      <w:tr w:rsidR="00134869" w:rsidRPr="001E7EA1" w14:paraId="3EA76D3E" w14:textId="77777777" w:rsidTr="00AE7D56">
        <w:trPr>
          <w:trHeight w:val="300"/>
          <w:jc w:val="center"/>
        </w:trPr>
        <w:tc>
          <w:tcPr>
            <w:tcW w:w="715" w:type="dxa"/>
            <w:vMerge/>
            <w:vAlign w:val="center"/>
            <w:hideMark/>
          </w:tcPr>
          <w:p w14:paraId="2B59889E"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24DADAA2"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7B024C65"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2239ACD7"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19A8682F" w14:textId="62C41498"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11.1%</w:t>
            </w:r>
          </w:p>
        </w:tc>
        <w:tc>
          <w:tcPr>
            <w:tcW w:w="1233" w:type="dxa"/>
            <w:vAlign w:val="center"/>
            <w:hideMark/>
          </w:tcPr>
          <w:p w14:paraId="6CB18FC4" w14:textId="7FC90160"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14.1%</w:t>
            </w:r>
          </w:p>
        </w:tc>
        <w:tc>
          <w:tcPr>
            <w:tcW w:w="1233" w:type="dxa"/>
            <w:vAlign w:val="center"/>
            <w:hideMark/>
          </w:tcPr>
          <w:p w14:paraId="72E530FC" w14:textId="03328540"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11.7%</w:t>
            </w:r>
          </w:p>
        </w:tc>
        <w:tc>
          <w:tcPr>
            <w:tcW w:w="1235" w:type="dxa"/>
            <w:vAlign w:val="center"/>
            <w:hideMark/>
          </w:tcPr>
          <w:p w14:paraId="5D952B35" w14:textId="6B235AD8"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12.7%</w:t>
            </w:r>
          </w:p>
        </w:tc>
      </w:tr>
      <w:tr w:rsidR="00134869" w:rsidRPr="001E7EA1" w14:paraId="0E93C5BC" w14:textId="77777777" w:rsidTr="00AE7D56">
        <w:trPr>
          <w:trHeight w:val="300"/>
          <w:jc w:val="center"/>
        </w:trPr>
        <w:tc>
          <w:tcPr>
            <w:tcW w:w="715" w:type="dxa"/>
            <w:vMerge/>
            <w:vAlign w:val="center"/>
            <w:hideMark/>
          </w:tcPr>
          <w:p w14:paraId="3816A6F6"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restart"/>
            <w:vAlign w:val="center"/>
            <w:hideMark/>
          </w:tcPr>
          <w:p w14:paraId="580FF120"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Pensamiento algorítmico</w:t>
            </w:r>
          </w:p>
        </w:tc>
        <w:tc>
          <w:tcPr>
            <w:tcW w:w="1241" w:type="dxa"/>
            <w:vMerge w:val="restart"/>
            <w:vAlign w:val="center"/>
            <w:hideMark/>
          </w:tcPr>
          <w:p w14:paraId="76A23695" w14:textId="6567030D"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debajo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4814E9CA" w14:textId="6DB90B31"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6559C75E"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52</w:t>
            </w:r>
          </w:p>
        </w:tc>
        <w:tc>
          <w:tcPr>
            <w:tcW w:w="1233" w:type="dxa"/>
            <w:vAlign w:val="center"/>
            <w:hideMark/>
          </w:tcPr>
          <w:p w14:paraId="40424AF3"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49</w:t>
            </w:r>
          </w:p>
        </w:tc>
        <w:tc>
          <w:tcPr>
            <w:tcW w:w="1233" w:type="dxa"/>
            <w:vAlign w:val="center"/>
            <w:hideMark/>
          </w:tcPr>
          <w:p w14:paraId="4A421209"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54</w:t>
            </w:r>
          </w:p>
        </w:tc>
        <w:tc>
          <w:tcPr>
            <w:tcW w:w="1235" w:type="dxa"/>
            <w:vAlign w:val="center"/>
            <w:hideMark/>
          </w:tcPr>
          <w:p w14:paraId="63BAC13A"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57</w:t>
            </w:r>
          </w:p>
        </w:tc>
      </w:tr>
      <w:tr w:rsidR="00134869" w:rsidRPr="001E7EA1" w14:paraId="45056608" w14:textId="77777777" w:rsidTr="00AE7D56">
        <w:trPr>
          <w:trHeight w:val="300"/>
          <w:jc w:val="center"/>
        </w:trPr>
        <w:tc>
          <w:tcPr>
            <w:tcW w:w="715" w:type="dxa"/>
            <w:vMerge/>
            <w:vAlign w:val="center"/>
            <w:hideMark/>
          </w:tcPr>
          <w:p w14:paraId="561573D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100A084D"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6BED3BD9"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071DF7C9"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23B7888D" w14:textId="17570774"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10.7%</w:t>
            </w:r>
          </w:p>
        </w:tc>
        <w:tc>
          <w:tcPr>
            <w:tcW w:w="1233" w:type="dxa"/>
            <w:vAlign w:val="center"/>
            <w:hideMark/>
          </w:tcPr>
          <w:p w14:paraId="52FE5B58" w14:textId="5D46C745"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10.0%</w:t>
            </w:r>
          </w:p>
        </w:tc>
        <w:tc>
          <w:tcPr>
            <w:tcW w:w="1233" w:type="dxa"/>
            <w:vAlign w:val="center"/>
            <w:hideMark/>
          </w:tcPr>
          <w:p w14:paraId="03031BCF" w14:textId="442E9C53"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11.1%</w:t>
            </w:r>
          </w:p>
        </w:tc>
        <w:tc>
          <w:tcPr>
            <w:tcW w:w="1235" w:type="dxa"/>
            <w:vAlign w:val="center"/>
            <w:hideMark/>
          </w:tcPr>
          <w:p w14:paraId="294E89B3" w14:textId="46610D1D"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11.7%</w:t>
            </w:r>
          </w:p>
        </w:tc>
      </w:tr>
      <w:tr w:rsidR="00134869" w:rsidRPr="001E7EA1" w14:paraId="20C69BA4" w14:textId="77777777" w:rsidTr="00AE7D56">
        <w:trPr>
          <w:trHeight w:val="300"/>
          <w:jc w:val="center"/>
        </w:trPr>
        <w:tc>
          <w:tcPr>
            <w:tcW w:w="715" w:type="dxa"/>
            <w:vMerge/>
            <w:vAlign w:val="center"/>
            <w:hideMark/>
          </w:tcPr>
          <w:p w14:paraId="7B280EC1"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4ACAF7C0"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678F617B" w14:textId="0BBA47C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En </w:t>
            </w:r>
            <w:r>
              <w:rPr>
                <w:rFonts w:ascii="Times New Roman" w:eastAsia="Times New Roman" w:hAnsi="Times New Roman" w:cs="Times New Roman"/>
                <w:color w:val="000000"/>
                <w:sz w:val="22"/>
                <w:szCs w:val="22"/>
              </w:rPr>
              <w:t>la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029B98A2" w14:textId="4BC6FAA3"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263B3660"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21</w:t>
            </w:r>
          </w:p>
        </w:tc>
        <w:tc>
          <w:tcPr>
            <w:tcW w:w="1233" w:type="dxa"/>
            <w:vAlign w:val="center"/>
            <w:hideMark/>
          </w:tcPr>
          <w:p w14:paraId="48A1CB35"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13</w:t>
            </w:r>
          </w:p>
        </w:tc>
        <w:tc>
          <w:tcPr>
            <w:tcW w:w="1233" w:type="dxa"/>
            <w:vAlign w:val="center"/>
            <w:hideMark/>
          </w:tcPr>
          <w:p w14:paraId="01FD81EE"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17</w:t>
            </w:r>
          </w:p>
        </w:tc>
        <w:tc>
          <w:tcPr>
            <w:tcW w:w="1235" w:type="dxa"/>
            <w:vAlign w:val="center"/>
            <w:hideMark/>
          </w:tcPr>
          <w:p w14:paraId="756E3A7C"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15</w:t>
            </w:r>
          </w:p>
        </w:tc>
      </w:tr>
      <w:tr w:rsidR="00134869" w:rsidRPr="001E7EA1" w14:paraId="04E77190" w14:textId="77777777" w:rsidTr="00AE7D56">
        <w:trPr>
          <w:trHeight w:val="300"/>
          <w:jc w:val="center"/>
        </w:trPr>
        <w:tc>
          <w:tcPr>
            <w:tcW w:w="715" w:type="dxa"/>
            <w:vMerge/>
            <w:vAlign w:val="center"/>
            <w:hideMark/>
          </w:tcPr>
          <w:p w14:paraId="7E4D9F0B"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2DB593E"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33FB56E6"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4C4171F3"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05BD5132" w14:textId="00C5A6C4"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4.3%</w:t>
            </w:r>
          </w:p>
        </w:tc>
        <w:tc>
          <w:tcPr>
            <w:tcW w:w="1233" w:type="dxa"/>
            <w:vAlign w:val="center"/>
            <w:hideMark/>
          </w:tcPr>
          <w:p w14:paraId="4AE09D71" w14:textId="7F578498"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2.7%</w:t>
            </w:r>
          </w:p>
        </w:tc>
        <w:tc>
          <w:tcPr>
            <w:tcW w:w="1233" w:type="dxa"/>
            <w:vAlign w:val="center"/>
            <w:hideMark/>
          </w:tcPr>
          <w:p w14:paraId="2604CD52" w14:textId="4B2FFF36"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3.5%</w:t>
            </w:r>
          </w:p>
        </w:tc>
        <w:tc>
          <w:tcPr>
            <w:tcW w:w="1235" w:type="dxa"/>
            <w:vAlign w:val="center"/>
            <w:hideMark/>
          </w:tcPr>
          <w:p w14:paraId="21459164" w14:textId="1440DE57"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3.1%</w:t>
            </w:r>
          </w:p>
        </w:tc>
      </w:tr>
      <w:tr w:rsidR="00134869" w:rsidRPr="001E7EA1" w14:paraId="345F34F4" w14:textId="77777777" w:rsidTr="00AE7D56">
        <w:trPr>
          <w:trHeight w:val="300"/>
          <w:jc w:val="center"/>
        </w:trPr>
        <w:tc>
          <w:tcPr>
            <w:tcW w:w="715" w:type="dxa"/>
            <w:vMerge/>
            <w:vAlign w:val="center"/>
            <w:hideMark/>
          </w:tcPr>
          <w:p w14:paraId="3DFC58AF"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14E31455"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668FC3CA" w14:textId="00298EAC"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encima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3456FE17" w14:textId="61AF2831"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085E8CCE"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49</w:t>
            </w:r>
          </w:p>
        </w:tc>
        <w:tc>
          <w:tcPr>
            <w:tcW w:w="1233" w:type="dxa"/>
            <w:vAlign w:val="center"/>
            <w:hideMark/>
          </w:tcPr>
          <w:p w14:paraId="2E4C6326"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60</w:t>
            </w:r>
          </w:p>
        </w:tc>
        <w:tc>
          <w:tcPr>
            <w:tcW w:w="1233" w:type="dxa"/>
            <w:vAlign w:val="center"/>
            <w:hideMark/>
          </w:tcPr>
          <w:p w14:paraId="43847801"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51</w:t>
            </w:r>
          </w:p>
        </w:tc>
        <w:tc>
          <w:tcPr>
            <w:tcW w:w="1235" w:type="dxa"/>
            <w:vAlign w:val="center"/>
            <w:hideMark/>
          </w:tcPr>
          <w:p w14:paraId="4BFC97FA"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50</w:t>
            </w:r>
          </w:p>
        </w:tc>
      </w:tr>
      <w:tr w:rsidR="00134869" w:rsidRPr="001E7EA1" w14:paraId="53DF4F6D" w14:textId="77777777" w:rsidTr="00AE7D56">
        <w:trPr>
          <w:trHeight w:val="300"/>
          <w:jc w:val="center"/>
        </w:trPr>
        <w:tc>
          <w:tcPr>
            <w:tcW w:w="715" w:type="dxa"/>
            <w:vMerge/>
            <w:vAlign w:val="center"/>
            <w:hideMark/>
          </w:tcPr>
          <w:p w14:paraId="437F3408"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1FBE403"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3766F70B"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0420446F"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64EDFBDD" w14:textId="399B5477"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10.0%</w:t>
            </w:r>
          </w:p>
        </w:tc>
        <w:tc>
          <w:tcPr>
            <w:tcW w:w="1233" w:type="dxa"/>
            <w:vAlign w:val="center"/>
            <w:hideMark/>
          </w:tcPr>
          <w:p w14:paraId="18E42734" w14:textId="5B86B5F3"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12.3%</w:t>
            </w:r>
          </w:p>
        </w:tc>
        <w:tc>
          <w:tcPr>
            <w:tcW w:w="1233" w:type="dxa"/>
            <w:vAlign w:val="center"/>
            <w:hideMark/>
          </w:tcPr>
          <w:p w14:paraId="03C0A82C" w14:textId="0B5E8A0B"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10.5%</w:t>
            </w:r>
          </w:p>
        </w:tc>
        <w:tc>
          <w:tcPr>
            <w:tcW w:w="1235" w:type="dxa"/>
            <w:vAlign w:val="center"/>
            <w:hideMark/>
          </w:tcPr>
          <w:p w14:paraId="11004EE5" w14:textId="179E6A0D"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10.2%</w:t>
            </w:r>
          </w:p>
        </w:tc>
      </w:tr>
      <w:tr w:rsidR="00134869" w:rsidRPr="001E7EA1" w14:paraId="469ED8C0" w14:textId="77777777" w:rsidTr="00AE7D56">
        <w:trPr>
          <w:trHeight w:val="300"/>
          <w:jc w:val="center"/>
        </w:trPr>
        <w:tc>
          <w:tcPr>
            <w:tcW w:w="715" w:type="dxa"/>
            <w:vMerge/>
            <w:vAlign w:val="center"/>
            <w:hideMark/>
          </w:tcPr>
          <w:p w14:paraId="38F6F731"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restart"/>
            <w:vAlign w:val="center"/>
            <w:hideMark/>
          </w:tcPr>
          <w:p w14:paraId="7575F08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Cooperatividad</w:t>
            </w:r>
          </w:p>
        </w:tc>
        <w:tc>
          <w:tcPr>
            <w:tcW w:w="1241" w:type="dxa"/>
            <w:vMerge w:val="restart"/>
            <w:vAlign w:val="center"/>
            <w:hideMark/>
          </w:tcPr>
          <w:p w14:paraId="48999A86" w14:textId="792ACE25"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debajo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47C9F01B" w14:textId="59D8137C"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290D0517"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63</w:t>
            </w:r>
          </w:p>
        </w:tc>
        <w:tc>
          <w:tcPr>
            <w:tcW w:w="1233" w:type="dxa"/>
            <w:vAlign w:val="center"/>
            <w:hideMark/>
          </w:tcPr>
          <w:p w14:paraId="73890F8E"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59</w:t>
            </w:r>
          </w:p>
        </w:tc>
        <w:tc>
          <w:tcPr>
            <w:tcW w:w="1233" w:type="dxa"/>
            <w:vAlign w:val="center"/>
            <w:hideMark/>
          </w:tcPr>
          <w:p w14:paraId="6C26B05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70</w:t>
            </w:r>
          </w:p>
        </w:tc>
        <w:tc>
          <w:tcPr>
            <w:tcW w:w="1235" w:type="dxa"/>
            <w:vAlign w:val="center"/>
            <w:hideMark/>
          </w:tcPr>
          <w:p w14:paraId="23491B08"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57</w:t>
            </w:r>
          </w:p>
        </w:tc>
      </w:tr>
      <w:tr w:rsidR="00134869" w:rsidRPr="001E7EA1" w14:paraId="178C7FD1" w14:textId="77777777" w:rsidTr="00AE7D56">
        <w:trPr>
          <w:trHeight w:val="300"/>
          <w:jc w:val="center"/>
        </w:trPr>
        <w:tc>
          <w:tcPr>
            <w:tcW w:w="715" w:type="dxa"/>
            <w:vMerge/>
            <w:vAlign w:val="center"/>
            <w:hideMark/>
          </w:tcPr>
          <w:p w14:paraId="56EE053B"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44B8D37"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6175363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68ADE7DF"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72A53492" w14:textId="170439F8"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12.9%</w:t>
            </w:r>
          </w:p>
        </w:tc>
        <w:tc>
          <w:tcPr>
            <w:tcW w:w="1233" w:type="dxa"/>
            <w:vAlign w:val="center"/>
            <w:hideMark/>
          </w:tcPr>
          <w:p w14:paraId="46DEA7B8" w14:textId="59FF197F"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12.1%</w:t>
            </w:r>
          </w:p>
        </w:tc>
        <w:tc>
          <w:tcPr>
            <w:tcW w:w="1233" w:type="dxa"/>
            <w:vAlign w:val="center"/>
            <w:hideMark/>
          </w:tcPr>
          <w:p w14:paraId="66D52039" w14:textId="44E29027"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14.3%</w:t>
            </w:r>
          </w:p>
        </w:tc>
        <w:tc>
          <w:tcPr>
            <w:tcW w:w="1235" w:type="dxa"/>
            <w:vAlign w:val="center"/>
            <w:hideMark/>
          </w:tcPr>
          <w:p w14:paraId="19421781" w14:textId="33574246"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11.7%</w:t>
            </w:r>
          </w:p>
        </w:tc>
      </w:tr>
      <w:tr w:rsidR="00134869" w:rsidRPr="001E7EA1" w14:paraId="6E7FA337" w14:textId="77777777" w:rsidTr="00AE7D56">
        <w:trPr>
          <w:trHeight w:val="300"/>
          <w:jc w:val="center"/>
        </w:trPr>
        <w:tc>
          <w:tcPr>
            <w:tcW w:w="715" w:type="dxa"/>
            <w:vMerge/>
            <w:vAlign w:val="center"/>
            <w:hideMark/>
          </w:tcPr>
          <w:p w14:paraId="04102123"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79D3F5A2"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5383315A" w14:textId="1D89A778"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En </w:t>
            </w:r>
            <w:r>
              <w:rPr>
                <w:rFonts w:ascii="Times New Roman" w:eastAsia="Times New Roman" w:hAnsi="Times New Roman" w:cs="Times New Roman"/>
                <w:color w:val="000000"/>
                <w:sz w:val="22"/>
                <w:szCs w:val="22"/>
              </w:rPr>
              <w:t>la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6B0919F1" w14:textId="6F0AACFA"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573520FE"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15</w:t>
            </w:r>
          </w:p>
        </w:tc>
        <w:tc>
          <w:tcPr>
            <w:tcW w:w="1233" w:type="dxa"/>
            <w:vAlign w:val="center"/>
            <w:hideMark/>
          </w:tcPr>
          <w:p w14:paraId="2C3FA696"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15</w:t>
            </w:r>
          </w:p>
        </w:tc>
        <w:tc>
          <w:tcPr>
            <w:tcW w:w="1233" w:type="dxa"/>
            <w:vAlign w:val="center"/>
            <w:hideMark/>
          </w:tcPr>
          <w:p w14:paraId="20E69B11"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13</w:t>
            </w:r>
          </w:p>
        </w:tc>
        <w:tc>
          <w:tcPr>
            <w:tcW w:w="1235" w:type="dxa"/>
            <w:vAlign w:val="center"/>
            <w:hideMark/>
          </w:tcPr>
          <w:p w14:paraId="49D79518"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w:t>
            </w:r>
          </w:p>
        </w:tc>
      </w:tr>
      <w:tr w:rsidR="00134869" w:rsidRPr="001E7EA1" w14:paraId="4CECE5C9" w14:textId="77777777" w:rsidTr="00AE7D56">
        <w:trPr>
          <w:trHeight w:val="300"/>
          <w:jc w:val="center"/>
        </w:trPr>
        <w:tc>
          <w:tcPr>
            <w:tcW w:w="715" w:type="dxa"/>
            <w:vMerge/>
            <w:vAlign w:val="center"/>
            <w:hideMark/>
          </w:tcPr>
          <w:p w14:paraId="31A56B9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321D6E60"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2E202FA5"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23D08D75"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12CF840B" w14:textId="18308AC8"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3.1%</w:t>
            </w:r>
          </w:p>
        </w:tc>
        <w:tc>
          <w:tcPr>
            <w:tcW w:w="1233" w:type="dxa"/>
            <w:vAlign w:val="center"/>
            <w:hideMark/>
          </w:tcPr>
          <w:p w14:paraId="3E0958DD" w14:textId="2A81FE65"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3.1%</w:t>
            </w:r>
          </w:p>
        </w:tc>
        <w:tc>
          <w:tcPr>
            <w:tcW w:w="1233" w:type="dxa"/>
            <w:vAlign w:val="center"/>
            <w:hideMark/>
          </w:tcPr>
          <w:p w14:paraId="07A2D8FA" w14:textId="42C0FEEF"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2.7%</w:t>
            </w:r>
          </w:p>
        </w:tc>
        <w:tc>
          <w:tcPr>
            <w:tcW w:w="1235" w:type="dxa"/>
            <w:vAlign w:val="center"/>
            <w:hideMark/>
          </w:tcPr>
          <w:p w14:paraId="0D6A9543" w14:textId="35965132"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4.1%</w:t>
            </w:r>
          </w:p>
        </w:tc>
      </w:tr>
      <w:tr w:rsidR="00134869" w:rsidRPr="001E7EA1" w14:paraId="6A0DC3EB" w14:textId="77777777" w:rsidTr="00AE7D56">
        <w:trPr>
          <w:trHeight w:val="300"/>
          <w:jc w:val="center"/>
        </w:trPr>
        <w:tc>
          <w:tcPr>
            <w:tcW w:w="715" w:type="dxa"/>
            <w:vMerge/>
            <w:vAlign w:val="center"/>
            <w:hideMark/>
          </w:tcPr>
          <w:p w14:paraId="37381D92"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7ED343CD"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09DD008B" w14:textId="71CCC553"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encima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7E6A8BB7" w14:textId="0DECD060"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587EE6A9"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44</w:t>
            </w:r>
          </w:p>
        </w:tc>
        <w:tc>
          <w:tcPr>
            <w:tcW w:w="1233" w:type="dxa"/>
            <w:vAlign w:val="center"/>
            <w:hideMark/>
          </w:tcPr>
          <w:p w14:paraId="1763D2EA"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48</w:t>
            </w:r>
          </w:p>
        </w:tc>
        <w:tc>
          <w:tcPr>
            <w:tcW w:w="1233" w:type="dxa"/>
            <w:vAlign w:val="center"/>
            <w:hideMark/>
          </w:tcPr>
          <w:p w14:paraId="6B9F1599"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39</w:t>
            </w:r>
          </w:p>
        </w:tc>
        <w:tc>
          <w:tcPr>
            <w:tcW w:w="1235" w:type="dxa"/>
            <w:vAlign w:val="center"/>
            <w:hideMark/>
          </w:tcPr>
          <w:p w14:paraId="510C906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45</w:t>
            </w:r>
          </w:p>
        </w:tc>
      </w:tr>
      <w:tr w:rsidR="00134869" w:rsidRPr="001E7EA1" w14:paraId="00A7E51B" w14:textId="77777777" w:rsidTr="00AE7D56">
        <w:trPr>
          <w:trHeight w:val="300"/>
          <w:jc w:val="center"/>
        </w:trPr>
        <w:tc>
          <w:tcPr>
            <w:tcW w:w="715" w:type="dxa"/>
            <w:vMerge/>
            <w:vAlign w:val="center"/>
            <w:hideMark/>
          </w:tcPr>
          <w:p w14:paraId="2D220728"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D795BE1"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03C6921F"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73E05865"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00AC102F" w14:textId="1948CA2A"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9.0%</w:t>
            </w:r>
          </w:p>
        </w:tc>
        <w:tc>
          <w:tcPr>
            <w:tcW w:w="1233" w:type="dxa"/>
            <w:vAlign w:val="center"/>
            <w:hideMark/>
          </w:tcPr>
          <w:p w14:paraId="63F5875B" w14:textId="580939B0"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9.8%</w:t>
            </w:r>
          </w:p>
        </w:tc>
        <w:tc>
          <w:tcPr>
            <w:tcW w:w="1233" w:type="dxa"/>
            <w:vAlign w:val="center"/>
            <w:hideMark/>
          </w:tcPr>
          <w:p w14:paraId="5D56954F" w14:textId="0100FDB4"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8.0%</w:t>
            </w:r>
          </w:p>
        </w:tc>
        <w:tc>
          <w:tcPr>
            <w:tcW w:w="1235" w:type="dxa"/>
            <w:vAlign w:val="center"/>
            <w:hideMark/>
          </w:tcPr>
          <w:p w14:paraId="5DAAE88A" w14:textId="62B5B5DE"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9.2%</w:t>
            </w:r>
          </w:p>
        </w:tc>
      </w:tr>
      <w:tr w:rsidR="00134869" w:rsidRPr="001E7EA1" w14:paraId="0E83CEF5" w14:textId="77777777" w:rsidTr="00AE7D56">
        <w:trPr>
          <w:trHeight w:val="300"/>
          <w:jc w:val="center"/>
        </w:trPr>
        <w:tc>
          <w:tcPr>
            <w:tcW w:w="715" w:type="dxa"/>
            <w:vMerge/>
            <w:vAlign w:val="center"/>
            <w:hideMark/>
          </w:tcPr>
          <w:p w14:paraId="440CF0A9"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restart"/>
            <w:vAlign w:val="center"/>
            <w:hideMark/>
          </w:tcPr>
          <w:p w14:paraId="3F79518C" w14:textId="28A3301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Pensamiento cr</w:t>
            </w:r>
            <w:r>
              <w:rPr>
                <w:rFonts w:ascii="Times New Roman" w:eastAsia="Times New Roman" w:hAnsi="Times New Roman" w:cs="Times New Roman"/>
                <w:color w:val="000000"/>
                <w:sz w:val="22"/>
                <w:szCs w:val="22"/>
              </w:rPr>
              <w:t>í</w:t>
            </w:r>
            <w:r w:rsidRPr="001E7EA1">
              <w:rPr>
                <w:rFonts w:ascii="Times New Roman" w:eastAsia="Times New Roman" w:hAnsi="Times New Roman" w:cs="Times New Roman"/>
                <w:color w:val="000000"/>
                <w:sz w:val="22"/>
                <w:szCs w:val="22"/>
              </w:rPr>
              <w:t>tico</w:t>
            </w:r>
          </w:p>
        </w:tc>
        <w:tc>
          <w:tcPr>
            <w:tcW w:w="1241" w:type="dxa"/>
            <w:vMerge w:val="restart"/>
            <w:vAlign w:val="center"/>
            <w:hideMark/>
          </w:tcPr>
          <w:p w14:paraId="2C3A381C" w14:textId="00D7C89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debajo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50875241" w14:textId="10246394"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726B5769"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34</w:t>
            </w:r>
          </w:p>
        </w:tc>
        <w:tc>
          <w:tcPr>
            <w:tcW w:w="1233" w:type="dxa"/>
            <w:vAlign w:val="center"/>
            <w:hideMark/>
          </w:tcPr>
          <w:p w14:paraId="1B054225"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32</w:t>
            </w:r>
          </w:p>
        </w:tc>
        <w:tc>
          <w:tcPr>
            <w:tcW w:w="1233" w:type="dxa"/>
            <w:vAlign w:val="center"/>
            <w:hideMark/>
          </w:tcPr>
          <w:p w14:paraId="33C7479B"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49</w:t>
            </w:r>
          </w:p>
        </w:tc>
        <w:tc>
          <w:tcPr>
            <w:tcW w:w="1235" w:type="dxa"/>
            <w:vAlign w:val="center"/>
            <w:hideMark/>
          </w:tcPr>
          <w:p w14:paraId="7F12C7B1"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39</w:t>
            </w:r>
          </w:p>
        </w:tc>
      </w:tr>
      <w:tr w:rsidR="00134869" w:rsidRPr="001E7EA1" w14:paraId="3856F64C" w14:textId="77777777" w:rsidTr="00AE7D56">
        <w:trPr>
          <w:trHeight w:val="300"/>
          <w:jc w:val="center"/>
        </w:trPr>
        <w:tc>
          <w:tcPr>
            <w:tcW w:w="715" w:type="dxa"/>
            <w:vMerge/>
            <w:vAlign w:val="center"/>
            <w:hideMark/>
          </w:tcPr>
          <w:p w14:paraId="71A75801"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3BE817BF"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51E3DE1E"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2DCCF5AC"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2AF999FB" w14:textId="188066E1"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7.0%</w:t>
            </w:r>
          </w:p>
        </w:tc>
        <w:tc>
          <w:tcPr>
            <w:tcW w:w="1233" w:type="dxa"/>
            <w:vAlign w:val="center"/>
            <w:hideMark/>
          </w:tcPr>
          <w:p w14:paraId="44950B80" w14:textId="74F6FC56"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6.6%</w:t>
            </w:r>
          </w:p>
        </w:tc>
        <w:tc>
          <w:tcPr>
            <w:tcW w:w="1233" w:type="dxa"/>
            <w:vAlign w:val="center"/>
            <w:hideMark/>
          </w:tcPr>
          <w:p w14:paraId="24E6F4C2" w14:textId="1E11A4EE"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10.0%</w:t>
            </w:r>
          </w:p>
        </w:tc>
        <w:tc>
          <w:tcPr>
            <w:tcW w:w="1235" w:type="dxa"/>
            <w:vAlign w:val="center"/>
            <w:hideMark/>
          </w:tcPr>
          <w:p w14:paraId="4B48865A" w14:textId="700EE328"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8.0%</w:t>
            </w:r>
          </w:p>
        </w:tc>
      </w:tr>
      <w:tr w:rsidR="00134869" w:rsidRPr="001E7EA1" w14:paraId="52E2E165" w14:textId="77777777" w:rsidTr="00AE7D56">
        <w:trPr>
          <w:trHeight w:val="300"/>
          <w:jc w:val="center"/>
        </w:trPr>
        <w:tc>
          <w:tcPr>
            <w:tcW w:w="715" w:type="dxa"/>
            <w:vMerge/>
            <w:vAlign w:val="center"/>
            <w:hideMark/>
          </w:tcPr>
          <w:p w14:paraId="7B33A603"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774AA3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21B2D3D4" w14:textId="628FBC2D"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En </w:t>
            </w:r>
            <w:r>
              <w:rPr>
                <w:rFonts w:ascii="Times New Roman" w:eastAsia="Times New Roman" w:hAnsi="Times New Roman" w:cs="Times New Roman"/>
                <w:color w:val="000000"/>
                <w:sz w:val="22"/>
                <w:szCs w:val="22"/>
              </w:rPr>
              <w:t>la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6475294E" w14:textId="44D63621"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7DBE8580"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23</w:t>
            </w:r>
          </w:p>
        </w:tc>
        <w:tc>
          <w:tcPr>
            <w:tcW w:w="1233" w:type="dxa"/>
            <w:vAlign w:val="center"/>
            <w:hideMark/>
          </w:tcPr>
          <w:p w14:paraId="11147C7C"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18</w:t>
            </w:r>
          </w:p>
        </w:tc>
        <w:tc>
          <w:tcPr>
            <w:tcW w:w="1233" w:type="dxa"/>
            <w:vAlign w:val="center"/>
            <w:hideMark/>
          </w:tcPr>
          <w:p w14:paraId="59F8539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15</w:t>
            </w:r>
          </w:p>
        </w:tc>
        <w:tc>
          <w:tcPr>
            <w:tcW w:w="1235" w:type="dxa"/>
            <w:vAlign w:val="center"/>
            <w:hideMark/>
          </w:tcPr>
          <w:p w14:paraId="26ACEBE8"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22</w:t>
            </w:r>
          </w:p>
        </w:tc>
      </w:tr>
      <w:tr w:rsidR="00134869" w:rsidRPr="001E7EA1" w14:paraId="3825E3EA" w14:textId="77777777" w:rsidTr="00AE7D56">
        <w:trPr>
          <w:trHeight w:val="300"/>
          <w:jc w:val="center"/>
        </w:trPr>
        <w:tc>
          <w:tcPr>
            <w:tcW w:w="715" w:type="dxa"/>
            <w:vMerge/>
            <w:vAlign w:val="center"/>
            <w:hideMark/>
          </w:tcPr>
          <w:p w14:paraId="64EDCFC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124921AC"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1A9D7A2F"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2665277B"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11A85B53" w14:textId="10F7935E"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4.7%</w:t>
            </w:r>
          </w:p>
        </w:tc>
        <w:tc>
          <w:tcPr>
            <w:tcW w:w="1233" w:type="dxa"/>
            <w:vAlign w:val="center"/>
            <w:hideMark/>
          </w:tcPr>
          <w:p w14:paraId="02C43721" w14:textId="423B628F"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3.7%</w:t>
            </w:r>
          </w:p>
        </w:tc>
        <w:tc>
          <w:tcPr>
            <w:tcW w:w="1233" w:type="dxa"/>
            <w:vAlign w:val="center"/>
            <w:hideMark/>
          </w:tcPr>
          <w:p w14:paraId="3C839467" w14:textId="25F0FD54"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3.1%</w:t>
            </w:r>
          </w:p>
        </w:tc>
        <w:tc>
          <w:tcPr>
            <w:tcW w:w="1235" w:type="dxa"/>
            <w:vAlign w:val="center"/>
            <w:hideMark/>
          </w:tcPr>
          <w:p w14:paraId="1EE0FBBA" w14:textId="062D69C0"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4.5%</w:t>
            </w:r>
          </w:p>
        </w:tc>
      </w:tr>
      <w:tr w:rsidR="00134869" w:rsidRPr="001E7EA1" w14:paraId="524081B4" w14:textId="77777777" w:rsidTr="00AE7D56">
        <w:trPr>
          <w:trHeight w:val="300"/>
          <w:jc w:val="center"/>
        </w:trPr>
        <w:tc>
          <w:tcPr>
            <w:tcW w:w="715" w:type="dxa"/>
            <w:vMerge/>
            <w:vAlign w:val="center"/>
            <w:hideMark/>
          </w:tcPr>
          <w:p w14:paraId="20A55D94"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303BAE1"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4125017C" w14:textId="1FAAC8A1"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encima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43B6D148" w14:textId="2BF8DD23"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5787A2D4"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65</w:t>
            </w:r>
          </w:p>
        </w:tc>
        <w:tc>
          <w:tcPr>
            <w:tcW w:w="1233" w:type="dxa"/>
            <w:vAlign w:val="center"/>
            <w:hideMark/>
          </w:tcPr>
          <w:p w14:paraId="097E7988"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72</w:t>
            </w:r>
          </w:p>
        </w:tc>
        <w:tc>
          <w:tcPr>
            <w:tcW w:w="1233" w:type="dxa"/>
            <w:vAlign w:val="center"/>
            <w:hideMark/>
          </w:tcPr>
          <w:p w14:paraId="54091A11"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58</w:t>
            </w:r>
          </w:p>
        </w:tc>
        <w:tc>
          <w:tcPr>
            <w:tcW w:w="1235" w:type="dxa"/>
            <w:vAlign w:val="center"/>
            <w:hideMark/>
          </w:tcPr>
          <w:p w14:paraId="7C39D8D6"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61</w:t>
            </w:r>
          </w:p>
        </w:tc>
      </w:tr>
      <w:tr w:rsidR="00134869" w:rsidRPr="001E7EA1" w14:paraId="2B9C1815" w14:textId="77777777" w:rsidTr="00AE7D56">
        <w:trPr>
          <w:trHeight w:val="300"/>
          <w:jc w:val="center"/>
        </w:trPr>
        <w:tc>
          <w:tcPr>
            <w:tcW w:w="715" w:type="dxa"/>
            <w:vMerge/>
            <w:vAlign w:val="center"/>
            <w:hideMark/>
          </w:tcPr>
          <w:p w14:paraId="0FBCA8E4"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53A7E5C7"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6B26F0E9"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4FF510E1"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079579DC" w14:textId="04DD3786"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13.3%</w:t>
            </w:r>
          </w:p>
        </w:tc>
        <w:tc>
          <w:tcPr>
            <w:tcW w:w="1233" w:type="dxa"/>
            <w:vAlign w:val="center"/>
            <w:hideMark/>
          </w:tcPr>
          <w:p w14:paraId="0C70928A" w14:textId="7B40D067"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14.8%</w:t>
            </w:r>
          </w:p>
        </w:tc>
        <w:tc>
          <w:tcPr>
            <w:tcW w:w="1233" w:type="dxa"/>
            <w:vAlign w:val="center"/>
            <w:hideMark/>
          </w:tcPr>
          <w:p w14:paraId="55B272A7" w14:textId="29334DB4"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11.9%</w:t>
            </w:r>
          </w:p>
        </w:tc>
        <w:tc>
          <w:tcPr>
            <w:tcW w:w="1235" w:type="dxa"/>
            <w:vAlign w:val="center"/>
            <w:hideMark/>
          </w:tcPr>
          <w:p w14:paraId="39E54530" w14:textId="173E93BD"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12.5%</w:t>
            </w:r>
          </w:p>
        </w:tc>
      </w:tr>
      <w:tr w:rsidR="00134869" w:rsidRPr="001E7EA1" w14:paraId="13F33121" w14:textId="77777777" w:rsidTr="00AE7D56">
        <w:trPr>
          <w:trHeight w:val="300"/>
          <w:jc w:val="center"/>
        </w:trPr>
        <w:tc>
          <w:tcPr>
            <w:tcW w:w="715" w:type="dxa"/>
            <w:vMerge/>
            <w:vAlign w:val="center"/>
            <w:hideMark/>
          </w:tcPr>
          <w:p w14:paraId="1E54A8B6"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restart"/>
            <w:vAlign w:val="center"/>
            <w:hideMark/>
          </w:tcPr>
          <w:p w14:paraId="30D901BE" w14:textId="15B6BA4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Resolución d</w:t>
            </w:r>
            <w:r>
              <w:rPr>
                <w:rFonts w:ascii="Times New Roman" w:eastAsia="Times New Roman" w:hAnsi="Times New Roman" w:cs="Times New Roman"/>
                <w:color w:val="000000"/>
                <w:sz w:val="22"/>
                <w:szCs w:val="22"/>
              </w:rPr>
              <w:t>e p</w:t>
            </w:r>
            <w:r w:rsidRPr="001E7EA1">
              <w:rPr>
                <w:rFonts w:ascii="Times New Roman" w:eastAsia="Times New Roman" w:hAnsi="Times New Roman" w:cs="Times New Roman"/>
                <w:color w:val="000000"/>
                <w:sz w:val="22"/>
                <w:szCs w:val="22"/>
              </w:rPr>
              <w:t>roblemas</w:t>
            </w:r>
          </w:p>
        </w:tc>
        <w:tc>
          <w:tcPr>
            <w:tcW w:w="1241" w:type="dxa"/>
            <w:vMerge w:val="restart"/>
            <w:vAlign w:val="center"/>
            <w:hideMark/>
          </w:tcPr>
          <w:p w14:paraId="1024B5A3" w14:textId="24D7B191"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debajo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6B58D8FF" w14:textId="499FE7B8"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4A89A3F9"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62</w:t>
            </w:r>
          </w:p>
        </w:tc>
        <w:tc>
          <w:tcPr>
            <w:tcW w:w="1233" w:type="dxa"/>
            <w:vAlign w:val="center"/>
            <w:hideMark/>
          </w:tcPr>
          <w:p w14:paraId="1D6472A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55</w:t>
            </w:r>
          </w:p>
        </w:tc>
        <w:tc>
          <w:tcPr>
            <w:tcW w:w="1233" w:type="dxa"/>
            <w:vAlign w:val="center"/>
            <w:hideMark/>
          </w:tcPr>
          <w:p w14:paraId="31905447"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53</w:t>
            </w:r>
          </w:p>
        </w:tc>
        <w:tc>
          <w:tcPr>
            <w:tcW w:w="1235" w:type="dxa"/>
            <w:vAlign w:val="center"/>
            <w:hideMark/>
          </w:tcPr>
          <w:p w14:paraId="08FE042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45</w:t>
            </w:r>
          </w:p>
        </w:tc>
      </w:tr>
      <w:tr w:rsidR="00134869" w:rsidRPr="001E7EA1" w14:paraId="198A0ECD" w14:textId="77777777" w:rsidTr="00AE7D56">
        <w:trPr>
          <w:trHeight w:val="300"/>
          <w:jc w:val="center"/>
        </w:trPr>
        <w:tc>
          <w:tcPr>
            <w:tcW w:w="715" w:type="dxa"/>
            <w:vMerge/>
            <w:vAlign w:val="center"/>
            <w:hideMark/>
          </w:tcPr>
          <w:p w14:paraId="73B07F59"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55127AA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40F86CA7"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156D128B"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146D2A1A" w14:textId="3D186B10"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12.7%</w:t>
            </w:r>
          </w:p>
        </w:tc>
        <w:tc>
          <w:tcPr>
            <w:tcW w:w="1233" w:type="dxa"/>
            <w:vAlign w:val="center"/>
            <w:hideMark/>
          </w:tcPr>
          <w:p w14:paraId="3AF4E57D" w14:textId="2B251E29"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11.3%</w:t>
            </w:r>
          </w:p>
        </w:tc>
        <w:tc>
          <w:tcPr>
            <w:tcW w:w="1233" w:type="dxa"/>
            <w:vAlign w:val="center"/>
            <w:hideMark/>
          </w:tcPr>
          <w:p w14:paraId="6014AF2B" w14:textId="31F9BBED"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10.9%</w:t>
            </w:r>
          </w:p>
        </w:tc>
        <w:tc>
          <w:tcPr>
            <w:tcW w:w="1235" w:type="dxa"/>
            <w:vAlign w:val="center"/>
            <w:hideMark/>
          </w:tcPr>
          <w:p w14:paraId="1490FEC2" w14:textId="106CD25D"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9.2%</w:t>
            </w:r>
          </w:p>
        </w:tc>
      </w:tr>
      <w:tr w:rsidR="00134869" w:rsidRPr="001E7EA1" w14:paraId="455C3C40" w14:textId="77777777" w:rsidTr="00AE7D56">
        <w:trPr>
          <w:trHeight w:val="300"/>
          <w:jc w:val="center"/>
        </w:trPr>
        <w:tc>
          <w:tcPr>
            <w:tcW w:w="715" w:type="dxa"/>
            <w:vMerge/>
            <w:vAlign w:val="center"/>
            <w:hideMark/>
          </w:tcPr>
          <w:p w14:paraId="60669C65"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5B8ACB4C"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76A5FF11" w14:textId="4E87C67A"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En </w:t>
            </w:r>
            <w:r>
              <w:rPr>
                <w:rFonts w:ascii="Times New Roman" w:eastAsia="Times New Roman" w:hAnsi="Times New Roman" w:cs="Times New Roman"/>
                <w:color w:val="000000"/>
                <w:sz w:val="22"/>
                <w:szCs w:val="22"/>
              </w:rPr>
              <w:t>la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593734EC" w14:textId="3C3EE7EF"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35F6246A"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w:t>
            </w:r>
          </w:p>
        </w:tc>
        <w:tc>
          <w:tcPr>
            <w:tcW w:w="1233" w:type="dxa"/>
            <w:vAlign w:val="center"/>
            <w:hideMark/>
          </w:tcPr>
          <w:p w14:paraId="3EDFD8D0"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w:t>
            </w:r>
          </w:p>
        </w:tc>
        <w:tc>
          <w:tcPr>
            <w:tcW w:w="1233" w:type="dxa"/>
            <w:vAlign w:val="center"/>
            <w:hideMark/>
          </w:tcPr>
          <w:p w14:paraId="2C8D8964"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w:t>
            </w:r>
          </w:p>
        </w:tc>
        <w:tc>
          <w:tcPr>
            <w:tcW w:w="1235" w:type="dxa"/>
            <w:vAlign w:val="center"/>
            <w:hideMark/>
          </w:tcPr>
          <w:p w14:paraId="4CDC9566"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18</w:t>
            </w:r>
          </w:p>
        </w:tc>
      </w:tr>
      <w:tr w:rsidR="00134869" w:rsidRPr="001E7EA1" w14:paraId="5993BB27" w14:textId="77777777" w:rsidTr="00AE7D56">
        <w:trPr>
          <w:trHeight w:val="300"/>
          <w:jc w:val="center"/>
        </w:trPr>
        <w:tc>
          <w:tcPr>
            <w:tcW w:w="715" w:type="dxa"/>
            <w:vMerge/>
            <w:vAlign w:val="center"/>
            <w:hideMark/>
          </w:tcPr>
          <w:p w14:paraId="7E80470D"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1A32BBD4"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275C8278"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2305EFE4"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35D0BD71" w14:textId="6CD01F2C"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w:t>
            </w:r>
          </w:p>
        </w:tc>
        <w:tc>
          <w:tcPr>
            <w:tcW w:w="1233" w:type="dxa"/>
            <w:vAlign w:val="center"/>
            <w:hideMark/>
          </w:tcPr>
          <w:p w14:paraId="24007A0F" w14:textId="4A02CF01"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w:t>
            </w:r>
          </w:p>
        </w:tc>
        <w:tc>
          <w:tcPr>
            <w:tcW w:w="1233" w:type="dxa"/>
            <w:vAlign w:val="center"/>
            <w:hideMark/>
          </w:tcPr>
          <w:p w14:paraId="41575B67" w14:textId="54AB4598"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2.0%</w:t>
            </w:r>
          </w:p>
        </w:tc>
        <w:tc>
          <w:tcPr>
            <w:tcW w:w="1235" w:type="dxa"/>
            <w:vAlign w:val="center"/>
            <w:hideMark/>
          </w:tcPr>
          <w:p w14:paraId="4F5A62F9" w14:textId="39CEFC8C"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3.7%</w:t>
            </w:r>
          </w:p>
        </w:tc>
      </w:tr>
      <w:tr w:rsidR="00134869" w:rsidRPr="001E7EA1" w14:paraId="2556DBC9" w14:textId="77777777" w:rsidTr="00AE7D56">
        <w:trPr>
          <w:trHeight w:val="300"/>
          <w:jc w:val="center"/>
        </w:trPr>
        <w:tc>
          <w:tcPr>
            <w:tcW w:w="715" w:type="dxa"/>
            <w:vMerge/>
            <w:vAlign w:val="center"/>
            <w:hideMark/>
          </w:tcPr>
          <w:p w14:paraId="137FB910"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25EB51E3"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4FB13859" w14:textId="32AFEF29"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encima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5CCB81BA" w14:textId="06F5EC3B"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063C9CC8"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55</w:t>
            </w:r>
          </w:p>
        </w:tc>
        <w:tc>
          <w:tcPr>
            <w:tcW w:w="1233" w:type="dxa"/>
            <w:vAlign w:val="center"/>
            <w:hideMark/>
          </w:tcPr>
          <w:p w14:paraId="5E5760D2"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57</w:t>
            </w:r>
          </w:p>
        </w:tc>
        <w:tc>
          <w:tcPr>
            <w:tcW w:w="1233" w:type="dxa"/>
            <w:vAlign w:val="center"/>
            <w:hideMark/>
          </w:tcPr>
          <w:p w14:paraId="592A5305"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59</w:t>
            </w:r>
          </w:p>
        </w:tc>
        <w:tc>
          <w:tcPr>
            <w:tcW w:w="1235" w:type="dxa"/>
            <w:vAlign w:val="center"/>
            <w:hideMark/>
          </w:tcPr>
          <w:p w14:paraId="47BFD4E3"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59</w:t>
            </w:r>
          </w:p>
        </w:tc>
      </w:tr>
      <w:tr w:rsidR="00134869" w:rsidRPr="001E7EA1" w14:paraId="252F8995" w14:textId="77777777" w:rsidTr="00AE7D56">
        <w:trPr>
          <w:trHeight w:val="300"/>
          <w:jc w:val="center"/>
        </w:trPr>
        <w:tc>
          <w:tcPr>
            <w:tcW w:w="715" w:type="dxa"/>
            <w:vMerge/>
            <w:vAlign w:val="center"/>
            <w:hideMark/>
          </w:tcPr>
          <w:p w14:paraId="103A8743"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3063D5A1"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0107557D"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11674147"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4140025B" w14:textId="0748DD70"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11.3%</w:t>
            </w:r>
          </w:p>
        </w:tc>
        <w:tc>
          <w:tcPr>
            <w:tcW w:w="1233" w:type="dxa"/>
            <w:vAlign w:val="center"/>
            <w:hideMark/>
          </w:tcPr>
          <w:p w14:paraId="4FA73FED" w14:textId="68CC3779"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11.7%</w:t>
            </w:r>
          </w:p>
        </w:tc>
        <w:tc>
          <w:tcPr>
            <w:tcW w:w="1233" w:type="dxa"/>
            <w:vAlign w:val="center"/>
            <w:hideMark/>
          </w:tcPr>
          <w:p w14:paraId="5E4C479B" w14:textId="4999B188"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12.1%</w:t>
            </w:r>
          </w:p>
        </w:tc>
        <w:tc>
          <w:tcPr>
            <w:tcW w:w="1235" w:type="dxa"/>
            <w:vAlign w:val="center"/>
            <w:hideMark/>
          </w:tcPr>
          <w:p w14:paraId="2F63DD5A" w14:textId="54BB5AA1"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12.1%</w:t>
            </w:r>
          </w:p>
        </w:tc>
      </w:tr>
      <w:tr w:rsidR="00134869" w:rsidRPr="001E7EA1" w14:paraId="152A8B47" w14:textId="77777777" w:rsidTr="00AE7D56">
        <w:trPr>
          <w:trHeight w:val="300"/>
          <w:jc w:val="center"/>
        </w:trPr>
        <w:tc>
          <w:tcPr>
            <w:tcW w:w="715" w:type="dxa"/>
            <w:vMerge w:val="restart"/>
            <w:textDirection w:val="tbLrV"/>
            <w:vAlign w:val="center"/>
            <w:hideMark/>
          </w:tcPr>
          <w:p w14:paraId="2BBDE256"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Total Suma</w:t>
            </w:r>
          </w:p>
        </w:tc>
        <w:tc>
          <w:tcPr>
            <w:tcW w:w="1497" w:type="dxa"/>
            <w:vMerge w:val="restart"/>
            <w:vAlign w:val="center"/>
            <w:hideMark/>
          </w:tcPr>
          <w:p w14:paraId="2EA0C27A" w14:textId="268D27FA"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Pensamiento </w:t>
            </w:r>
            <w:r>
              <w:rPr>
                <w:rFonts w:ascii="Times New Roman" w:eastAsia="Times New Roman" w:hAnsi="Times New Roman" w:cs="Times New Roman"/>
                <w:color w:val="000000"/>
                <w:sz w:val="22"/>
                <w:szCs w:val="22"/>
              </w:rPr>
              <w:t>c</w:t>
            </w:r>
            <w:r w:rsidRPr="001E7EA1">
              <w:rPr>
                <w:rFonts w:ascii="Times New Roman" w:eastAsia="Times New Roman" w:hAnsi="Times New Roman" w:cs="Times New Roman"/>
                <w:color w:val="000000"/>
                <w:sz w:val="22"/>
                <w:szCs w:val="22"/>
              </w:rPr>
              <w:t>omputacional</w:t>
            </w:r>
          </w:p>
        </w:tc>
        <w:tc>
          <w:tcPr>
            <w:tcW w:w="1241" w:type="dxa"/>
            <w:vMerge w:val="restart"/>
            <w:vAlign w:val="center"/>
            <w:hideMark/>
          </w:tcPr>
          <w:p w14:paraId="685195DD" w14:textId="6CFC2E03"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debajo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1CEF2D6F" w14:textId="71E0346D"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1EAEAF40"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68</w:t>
            </w:r>
          </w:p>
        </w:tc>
        <w:tc>
          <w:tcPr>
            <w:tcW w:w="1233" w:type="dxa"/>
            <w:vAlign w:val="center"/>
            <w:hideMark/>
          </w:tcPr>
          <w:p w14:paraId="2E85FF5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49</w:t>
            </w:r>
          </w:p>
        </w:tc>
        <w:tc>
          <w:tcPr>
            <w:tcW w:w="1233" w:type="dxa"/>
            <w:vAlign w:val="center"/>
            <w:hideMark/>
          </w:tcPr>
          <w:p w14:paraId="65A2A02C"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62</w:t>
            </w:r>
          </w:p>
        </w:tc>
        <w:tc>
          <w:tcPr>
            <w:tcW w:w="1235" w:type="dxa"/>
            <w:vAlign w:val="center"/>
            <w:hideMark/>
          </w:tcPr>
          <w:p w14:paraId="2AE7AED2"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54</w:t>
            </w:r>
          </w:p>
        </w:tc>
      </w:tr>
      <w:tr w:rsidR="00134869" w:rsidRPr="001E7EA1" w14:paraId="603771A6" w14:textId="77777777" w:rsidTr="00AE7D56">
        <w:trPr>
          <w:trHeight w:val="300"/>
          <w:jc w:val="center"/>
        </w:trPr>
        <w:tc>
          <w:tcPr>
            <w:tcW w:w="715" w:type="dxa"/>
            <w:vMerge/>
            <w:vAlign w:val="center"/>
            <w:hideMark/>
          </w:tcPr>
          <w:p w14:paraId="1C2DE63B"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27E62B32"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4413D4C3"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47D60E23"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79E9319F" w14:textId="1163CE4F"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13.9%</w:t>
            </w:r>
          </w:p>
        </w:tc>
        <w:tc>
          <w:tcPr>
            <w:tcW w:w="1233" w:type="dxa"/>
            <w:vAlign w:val="center"/>
            <w:hideMark/>
          </w:tcPr>
          <w:p w14:paraId="0221A9F6" w14:textId="7D78FC30"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10.0%</w:t>
            </w:r>
          </w:p>
        </w:tc>
        <w:tc>
          <w:tcPr>
            <w:tcW w:w="1233" w:type="dxa"/>
            <w:vAlign w:val="center"/>
            <w:hideMark/>
          </w:tcPr>
          <w:p w14:paraId="6081E5F5" w14:textId="283C9C07"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12.7%</w:t>
            </w:r>
          </w:p>
        </w:tc>
        <w:tc>
          <w:tcPr>
            <w:tcW w:w="1235" w:type="dxa"/>
            <w:vAlign w:val="center"/>
            <w:hideMark/>
          </w:tcPr>
          <w:p w14:paraId="725FCC8F" w14:textId="3290AF2D"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11.1%</w:t>
            </w:r>
          </w:p>
        </w:tc>
      </w:tr>
      <w:tr w:rsidR="00134869" w:rsidRPr="001E7EA1" w14:paraId="116EC243" w14:textId="77777777" w:rsidTr="00AE7D56">
        <w:trPr>
          <w:trHeight w:val="300"/>
          <w:jc w:val="center"/>
        </w:trPr>
        <w:tc>
          <w:tcPr>
            <w:tcW w:w="715" w:type="dxa"/>
            <w:vMerge/>
            <w:vAlign w:val="center"/>
            <w:hideMark/>
          </w:tcPr>
          <w:p w14:paraId="4A0FD621"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5C968E3F"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16DBF40F" w14:textId="7CD298B8"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En </w:t>
            </w:r>
            <w:r>
              <w:rPr>
                <w:rFonts w:ascii="Times New Roman" w:eastAsia="Times New Roman" w:hAnsi="Times New Roman" w:cs="Times New Roman"/>
                <w:color w:val="000000"/>
                <w:sz w:val="22"/>
                <w:szCs w:val="22"/>
              </w:rPr>
              <w:t>la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0F2EAFE1" w14:textId="035773FB" w:rsidR="00FB79AC" w:rsidRPr="001E7EA1" w:rsidRDefault="00134869"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Pr>
                <w:rFonts w:ascii="Times New Roman" w:eastAsia="Times New Roman" w:hAnsi="Times New Roman" w:cs="Times New Roman"/>
                <w:color w:val="000000"/>
                <w:sz w:val="22"/>
                <w:szCs w:val="22"/>
              </w:rPr>
              <w:t xml:space="preserve"> (n)</w:t>
            </w:r>
          </w:p>
        </w:tc>
        <w:tc>
          <w:tcPr>
            <w:tcW w:w="1233" w:type="dxa"/>
            <w:vAlign w:val="center"/>
            <w:hideMark/>
          </w:tcPr>
          <w:p w14:paraId="0D1E08B5"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w:t>
            </w:r>
          </w:p>
        </w:tc>
        <w:tc>
          <w:tcPr>
            <w:tcW w:w="1233" w:type="dxa"/>
            <w:vAlign w:val="center"/>
            <w:hideMark/>
          </w:tcPr>
          <w:p w14:paraId="5440C38C"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w:t>
            </w:r>
          </w:p>
        </w:tc>
        <w:tc>
          <w:tcPr>
            <w:tcW w:w="1233" w:type="dxa"/>
            <w:vAlign w:val="center"/>
            <w:hideMark/>
          </w:tcPr>
          <w:p w14:paraId="539AA9C0"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2</w:t>
            </w:r>
          </w:p>
        </w:tc>
        <w:tc>
          <w:tcPr>
            <w:tcW w:w="1235" w:type="dxa"/>
            <w:vAlign w:val="center"/>
            <w:hideMark/>
          </w:tcPr>
          <w:p w14:paraId="6F6F070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w:t>
            </w:r>
          </w:p>
        </w:tc>
      </w:tr>
      <w:tr w:rsidR="00134869" w:rsidRPr="001E7EA1" w14:paraId="432AE0C5" w14:textId="77777777" w:rsidTr="00AE7D56">
        <w:trPr>
          <w:trHeight w:val="300"/>
          <w:jc w:val="center"/>
        </w:trPr>
        <w:tc>
          <w:tcPr>
            <w:tcW w:w="715" w:type="dxa"/>
            <w:vMerge/>
            <w:vAlign w:val="center"/>
            <w:hideMark/>
          </w:tcPr>
          <w:p w14:paraId="611F48E6"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083C811D"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1431FC0C"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5C9F08E9"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5C25C775" w14:textId="1F90F3E1" w:rsidR="00FB79AC" w:rsidRPr="001E7EA1" w:rsidRDefault="00134869" w:rsidP="00FB79AC">
            <w:pPr>
              <w:spacing w:after="0" w:line="240"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FB79AC" w:rsidRPr="001E7EA1">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4</w:t>
            </w:r>
            <w:r w:rsidR="00FB79AC" w:rsidRPr="001E7EA1">
              <w:rPr>
                <w:rFonts w:ascii="Times New Roman" w:eastAsia="Times New Roman" w:hAnsi="Times New Roman" w:cs="Times New Roman"/>
                <w:color w:val="000000"/>
                <w:sz w:val="22"/>
                <w:szCs w:val="22"/>
              </w:rPr>
              <w:t>%</w:t>
            </w:r>
          </w:p>
        </w:tc>
        <w:tc>
          <w:tcPr>
            <w:tcW w:w="1233" w:type="dxa"/>
            <w:vAlign w:val="center"/>
            <w:hideMark/>
          </w:tcPr>
          <w:p w14:paraId="3061B42A" w14:textId="256FB879"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w:t>
            </w:r>
          </w:p>
        </w:tc>
        <w:tc>
          <w:tcPr>
            <w:tcW w:w="1233" w:type="dxa"/>
            <w:vAlign w:val="center"/>
            <w:hideMark/>
          </w:tcPr>
          <w:p w14:paraId="2F496EE0" w14:textId="34BBF492" w:rsidR="00FB79AC" w:rsidRPr="001E7EA1" w:rsidRDefault="00134869" w:rsidP="00FB79AC">
            <w:pPr>
              <w:spacing w:after="0" w:line="240"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FB79AC" w:rsidRPr="001E7EA1">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4</w:t>
            </w:r>
            <w:r w:rsidR="00FB79AC" w:rsidRPr="001E7EA1">
              <w:rPr>
                <w:rFonts w:ascii="Times New Roman" w:eastAsia="Times New Roman" w:hAnsi="Times New Roman" w:cs="Times New Roman"/>
                <w:color w:val="000000"/>
                <w:sz w:val="22"/>
                <w:szCs w:val="22"/>
              </w:rPr>
              <w:t>%</w:t>
            </w:r>
          </w:p>
        </w:tc>
        <w:tc>
          <w:tcPr>
            <w:tcW w:w="1235" w:type="dxa"/>
            <w:vAlign w:val="center"/>
            <w:hideMark/>
          </w:tcPr>
          <w:p w14:paraId="2F2F4305" w14:textId="4E733BD8" w:rsidR="00FB79AC" w:rsidRPr="001E7EA1" w:rsidRDefault="00FB79AC" w:rsidP="00FB79A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w:t>
            </w:r>
          </w:p>
        </w:tc>
      </w:tr>
      <w:tr w:rsidR="00134869" w:rsidRPr="001E7EA1" w14:paraId="042C41ED" w14:textId="77777777" w:rsidTr="00AE7D56">
        <w:trPr>
          <w:trHeight w:val="300"/>
          <w:jc w:val="center"/>
        </w:trPr>
        <w:tc>
          <w:tcPr>
            <w:tcW w:w="715" w:type="dxa"/>
            <w:vMerge/>
            <w:vAlign w:val="center"/>
            <w:hideMark/>
          </w:tcPr>
          <w:p w14:paraId="5EFDCA1E"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493FD7F6" w14:textId="77777777" w:rsidR="00FB79AC" w:rsidRPr="001E7EA1" w:rsidRDefault="00FB79AC" w:rsidP="00FB79AC">
            <w:pPr>
              <w:spacing w:after="0" w:line="240" w:lineRule="auto"/>
              <w:rPr>
                <w:rFonts w:ascii="Times New Roman" w:eastAsia="Times New Roman" w:hAnsi="Times New Roman" w:cs="Times New Roman"/>
                <w:color w:val="000000"/>
                <w:sz w:val="22"/>
                <w:szCs w:val="22"/>
              </w:rPr>
            </w:pPr>
          </w:p>
        </w:tc>
        <w:tc>
          <w:tcPr>
            <w:tcW w:w="1241" w:type="dxa"/>
            <w:vMerge w:val="restart"/>
            <w:vAlign w:val="center"/>
            <w:hideMark/>
          </w:tcPr>
          <w:p w14:paraId="314CC3E5" w14:textId="60551285"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Por encima de</w:t>
            </w:r>
            <w:r>
              <w:rPr>
                <w:rFonts w:ascii="Times New Roman" w:eastAsia="Times New Roman" w:hAnsi="Times New Roman" w:cs="Times New Roman"/>
                <w:color w:val="000000"/>
                <w:sz w:val="22"/>
                <w:szCs w:val="22"/>
              </w:rPr>
              <w:t xml:space="preserve"> </w:t>
            </w:r>
            <w:r w:rsidRPr="001E7EA1">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rPr>
              <w:t>a</w:t>
            </w:r>
            <w:r w:rsidRPr="001E7EA1">
              <w:rPr>
                <w:rFonts w:ascii="Times New Roman" w:eastAsia="Times New Roman" w:hAnsi="Times New Roman" w:cs="Times New Roman"/>
                <w:color w:val="000000"/>
                <w:sz w:val="22"/>
                <w:szCs w:val="22"/>
              </w:rPr>
              <w:t xml:space="preserve"> medi</w:t>
            </w:r>
            <w:r>
              <w:rPr>
                <w:rFonts w:ascii="Times New Roman" w:eastAsia="Times New Roman" w:hAnsi="Times New Roman" w:cs="Times New Roman"/>
                <w:color w:val="000000"/>
                <w:sz w:val="22"/>
                <w:szCs w:val="22"/>
              </w:rPr>
              <w:t>a</w:t>
            </w:r>
          </w:p>
        </w:tc>
        <w:tc>
          <w:tcPr>
            <w:tcW w:w="1367" w:type="dxa"/>
            <w:vAlign w:val="center"/>
            <w:hideMark/>
          </w:tcPr>
          <w:p w14:paraId="690405A0" w14:textId="4248DA85" w:rsidR="00FB79AC" w:rsidRPr="001E7EA1" w:rsidRDefault="00FB79AC" w:rsidP="00FB79A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Recuento</w:t>
            </w:r>
            <w:r w:rsidR="00134869">
              <w:rPr>
                <w:rFonts w:ascii="Times New Roman" w:eastAsia="Times New Roman" w:hAnsi="Times New Roman" w:cs="Times New Roman"/>
                <w:color w:val="000000"/>
                <w:sz w:val="22"/>
                <w:szCs w:val="22"/>
              </w:rPr>
              <w:t xml:space="preserve"> (n)</w:t>
            </w:r>
          </w:p>
        </w:tc>
        <w:tc>
          <w:tcPr>
            <w:tcW w:w="1233" w:type="dxa"/>
            <w:vAlign w:val="center"/>
            <w:hideMark/>
          </w:tcPr>
          <w:p w14:paraId="5A58B85F"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52</w:t>
            </w:r>
          </w:p>
        </w:tc>
        <w:tc>
          <w:tcPr>
            <w:tcW w:w="1233" w:type="dxa"/>
            <w:vAlign w:val="center"/>
            <w:hideMark/>
          </w:tcPr>
          <w:p w14:paraId="18A5E7E9"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67</w:t>
            </w:r>
          </w:p>
        </w:tc>
        <w:tc>
          <w:tcPr>
            <w:tcW w:w="1233" w:type="dxa"/>
            <w:vAlign w:val="center"/>
            <w:hideMark/>
          </w:tcPr>
          <w:p w14:paraId="2FBE8F7E"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58</w:t>
            </w:r>
          </w:p>
        </w:tc>
        <w:tc>
          <w:tcPr>
            <w:tcW w:w="1235" w:type="dxa"/>
            <w:vAlign w:val="center"/>
            <w:hideMark/>
          </w:tcPr>
          <w:p w14:paraId="3C9390F1" w14:textId="77777777" w:rsidR="00FB79AC" w:rsidRPr="001E7EA1" w:rsidRDefault="00FB79AC" w:rsidP="00FB79A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62</w:t>
            </w:r>
          </w:p>
        </w:tc>
      </w:tr>
      <w:tr w:rsidR="00134869" w:rsidRPr="001E7EA1" w14:paraId="2C0B9201" w14:textId="77777777" w:rsidTr="00AE7D56">
        <w:trPr>
          <w:trHeight w:val="300"/>
          <w:jc w:val="center"/>
        </w:trPr>
        <w:tc>
          <w:tcPr>
            <w:tcW w:w="715" w:type="dxa"/>
            <w:vMerge/>
            <w:vAlign w:val="center"/>
            <w:hideMark/>
          </w:tcPr>
          <w:p w14:paraId="30E9C271"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497" w:type="dxa"/>
            <w:vMerge/>
            <w:vAlign w:val="center"/>
            <w:hideMark/>
          </w:tcPr>
          <w:p w14:paraId="12D53C60"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241" w:type="dxa"/>
            <w:vMerge/>
            <w:vAlign w:val="center"/>
            <w:hideMark/>
          </w:tcPr>
          <w:p w14:paraId="1979E1C1"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1367" w:type="dxa"/>
            <w:vAlign w:val="center"/>
            <w:hideMark/>
          </w:tcPr>
          <w:p w14:paraId="73D66966"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del total</w:t>
            </w:r>
          </w:p>
        </w:tc>
        <w:tc>
          <w:tcPr>
            <w:tcW w:w="1233" w:type="dxa"/>
            <w:vAlign w:val="center"/>
            <w:hideMark/>
          </w:tcPr>
          <w:p w14:paraId="0396686B" w14:textId="1F9ED383"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10.7%</w:t>
            </w:r>
          </w:p>
        </w:tc>
        <w:tc>
          <w:tcPr>
            <w:tcW w:w="1233" w:type="dxa"/>
            <w:vAlign w:val="center"/>
            <w:hideMark/>
          </w:tcPr>
          <w:p w14:paraId="3C3075D0" w14:textId="4A04B753"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13.7%</w:t>
            </w:r>
          </w:p>
        </w:tc>
        <w:tc>
          <w:tcPr>
            <w:tcW w:w="1233" w:type="dxa"/>
            <w:vAlign w:val="center"/>
            <w:hideMark/>
          </w:tcPr>
          <w:p w14:paraId="2A247518" w14:textId="38903C79"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11.9%</w:t>
            </w:r>
          </w:p>
        </w:tc>
        <w:tc>
          <w:tcPr>
            <w:tcW w:w="1235" w:type="dxa"/>
            <w:vAlign w:val="center"/>
            <w:hideMark/>
          </w:tcPr>
          <w:p w14:paraId="53ACECF7" w14:textId="35CBB6E5" w:rsidR="000A545E" w:rsidRPr="001E7EA1" w:rsidRDefault="000A545E" w:rsidP="0002088C">
            <w:pPr>
              <w:spacing w:after="0" w:line="240" w:lineRule="auto"/>
              <w:jc w:val="right"/>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12.7%</w:t>
            </w:r>
          </w:p>
        </w:tc>
      </w:tr>
    </w:tbl>
    <w:p w14:paraId="52ECF4C6" w14:textId="77777777" w:rsidR="000A545E" w:rsidRDefault="000A545E" w:rsidP="000A545E">
      <w:pPr>
        <w:widowControl w:val="0"/>
        <w:tabs>
          <w:tab w:val="left" w:pos="281"/>
        </w:tabs>
        <w:spacing w:before="8" w:after="0" w:line="240" w:lineRule="auto"/>
        <w:jc w:val="both"/>
        <w:rPr>
          <w:rFonts w:ascii="Times New Roman" w:eastAsia="Times New Roman" w:hAnsi="Times New Roman" w:cs="Times New Roman"/>
          <w:b/>
          <w:bCs/>
          <w:color w:val="000000" w:themeColor="text1"/>
        </w:rPr>
      </w:pPr>
    </w:p>
    <w:p w14:paraId="609BA6F8" w14:textId="4BEB650F" w:rsidR="000A545E" w:rsidRPr="00AE7D56" w:rsidRDefault="000A545E" w:rsidP="00AE7D56">
      <w:pPr>
        <w:widowControl w:val="0"/>
        <w:tabs>
          <w:tab w:val="left" w:pos="281"/>
        </w:tabs>
        <w:spacing w:before="8" w:after="0" w:line="360" w:lineRule="auto"/>
        <w:jc w:val="center"/>
        <w:rPr>
          <w:rFonts w:ascii="Times New Roman" w:eastAsia="Times New Roman" w:hAnsi="Times New Roman" w:cs="Times New Roman"/>
          <w:b/>
          <w:bCs/>
          <w:color w:val="000000" w:themeColor="text1"/>
        </w:rPr>
      </w:pPr>
      <w:r w:rsidRPr="003118C3">
        <w:rPr>
          <w:rFonts w:ascii="Times New Roman" w:eastAsia="Times New Roman" w:hAnsi="Times New Roman" w:cs="Times New Roman"/>
          <w:color w:val="000000" w:themeColor="text1"/>
        </w:rPr>
        <w:t>Fuente:</w:t>
      </w:r>
      <w:r w:rsidRPr="009A2439">
        <w:rPr>
          <w:rFonts w:ascii="Times New Roman" w:eastAsia="Times New Roman" w:hAnsi="Times New Roman" w:cs="Times New Roman"/>
          <w:b/>
          <w:bCs/>
          <w:color w:val="000000" w:themeColor="text1"/>
        </w:rPr>
        <w:t xml:space="preserve"> </w:t>
      </w:r>
      <w:r w:rsidRPr="00B14347">
        <w:rPr>
          <w:rFonts w:ascii="Times New Roman" w:eastAsia="Times New Roman" w:hAnsi="Times New Roman" w:cs="Times New Roman"/>
          <w:color w:val="000000" w:themeColor="text1"/>
        </w:rPr>
        <w:t>E</w:t>
      </w:r>
      <w:r w:rsidRPr="009A2439">
        <w:rPr>
          <w:rFonts w:ascii="Times New Roman" w:eastAsia="Times New Roman" w:hAnsi="Times New Roman" w:cs="Times New Roman"/>
          <w:color w:val="000000" w:themeColor="text1"/>
        </w:rPr>
        <w:t>laboración propia con el software IBM SPSS</w:t>
      </w:r>
      <w:bookmarkEnd w:id="1"/>
    </w:p>
    <w:p w14:paraId="4810837E" w14:textId="0DC7B9BF" w:rsidR="00134869" w:rsidRPr="00134869" w:rsidRDefault="00134869" w:rsidP="00134869">
      <w:pPr>
        <w:spacing w:after="0" w:line="360" w:lineRule="auto"/>
        <w:ind w:firstLine="720"/>
        <w:jc w:val="both"/>
        <w:rPr>
          <w:rFonts w:ascii="Times New Roman" w:eastAsiaTheme="minorEastAsia" w:hAnsi="Times New Roman" w:cs="Times New Roman"/>
        </w:rPr>
      </w:pPr>
      <w:r w:rsidRPr="00134869">
        <w:rPr>
          <w:rFonts w:ascii="Times New Roman" w:eastAsiaTheme="minorEastAsia" w:hAnsi="Times New Roman" w:cs="Times New Roman"/>
        </w:rPr>
        <w:t>La Tabla 6 detalla la relación entre las dimensiones del pensamiento computacional y la acreditación de asignaturas vinculadas con competencias analíticas, tecnológicas y críticas. El análisis busca identificar si la aprobación de experiencias educativas específicas se asocia con la distribución de los estudiantes en los niveles de desempeño (debajo, en o por encima de la media).</w:t>
      </w:r>
    </w:p>
    <w:p w14:paraId="0BC3F39F" w14:textId="70E14958" w:rsidR="000A545E" w:rsidRDefault="00134869" w:rsidP="00134869">
      <w:pPr>
        <w:spacing w:after="0" w:line="360" w:lineRule="auto"/>
        <w:ind w:firstLine="720"/>
        <w:jc w:val="both"/>
        <w:rPr>
          <w:rFonts w:ascii="Times New Roman" w:eastAsiaTheme="minorEastAsia" w:hAnsi="Times New Roman" w:cs="Times New Roman"/>
        </w:rPr>
      </w:pPr>
      <w:r w:rsidRPr="00134869">
        <w:rPr>
          <w:rFonts w:ascii="Times New Roman" w:eastAsiaTheme="minorEastAsia" w:hAnsi="Times New Roman" w:cs="Times New Roman"/>
        </w:rPr>
        <w:t>Los hallazgos indican que, entre los estudiantes que acreditaron las asignaturas analizadas (columna 'Sí'), existe una frecuencia porcentual predominante de participantes situados por encima de la media en la dimensión de Pensamiento crítico, con valores que alcanzan el 40.2% del total de la muestra en la mayoría de las materias. Por el contrario, en la dimensión de Cooperatividad, se observa que la mayor concentración de alumnos que aprobaron dichas experiencias educativas se ubica por debajo de la media, representando aproximadamente el 39.3% de la muestra global.</w:t>
      </w:r>
    </w:p>
    <w:p w14:paraId="58238BA5" w14:textId="77777777" w:rsidR="003118C3" w:rsidRPr="00134869" w:rsidRDefault="003118C3" w:rsidP="00134869">
      <w:pPr>
        <w:spacing w:after="0" w:line="360" w:lineRule="auto"/>
        <w:ind w:firstLine="720"/>
        <w:jc w:val="both"/>
        <w:rPr>
          <w:rFonts w:ascii="Times New Roman" w:eastAsiaTheme="minorEastAsia" w:hAnsi="Times New Roman" w:cs="Times New Roman"/>
        </w:rPr>
      </w:pPr>
    </w:p>
    <w:p w14:paraId="7765D7E6" w14:textId="3A72DD38" w:rsidR="000A545E" w:rsidRPr="001E7EA1" w:rsidRDefault="000A545E" w:rsidP="003118C3">
      <w:pPr>
        <w:pStyle w:val="Descripcin"/>
        <w:keepNext/>
        <w:widowControl w:val="0"/>
        <w:jc w:val="center"/>
        <w:rPr>
          <w:rFonts w:ascii="Times New Roman" w:eastAsia="Times New Roman" w:hAnsi="Times New Roman" w:cs="Times New Roman"/>
          <w:i w:val="0"/>
          <w:iCs w:val="0"/>
          <w:color w:val="auto"/>
          <w:sz w:val="24"/>
          <w:szCs w:val="24"/>
          <w:lang w:val="es-MX"/>
        </w:rPr>
      </w:pPr>
      <w:r w:rsidRPr="009E6266">
        <w:rPr>
          <w:rFonts w:ascii="Times New Roman" w:eastAsia="Times New Roman" w:hAnsi="Times New Roman" w:cs="Times New Roman"/>
          <w:b/>
          <w:bCs/>
          <w:i w:val="0"/>
          <w:iCs w:val="0"/>
          <w:color w:val="auto"/>
          <w:sz w:val="24"/>
          <w:szCs w:val="24"/>
          <w:lang w:val="es-MX"/>
        </w:rPr>
        <w:t xml:space="preserve">Tabla 6. </w:t>
      </w:r>
      <w:r w:rsidRPr="009E6266">
        <w:rPr>
          <w:rFonts w:ascii="Times New Roman" w:eastAsia="Times New Roman" w:hAnsi="Times New Roman" w:cs="Times New Roman"/>
          <w:i w:val="0"/>
          <w:iCs w:val="0"/>
          <w:color w:val="auto"/>
          <w:sz w:val="24"/>
          <w:szCs w:val="24"/>
          <w:lang w:val="es-MX"/>
        </w:rPr>
        <w:t>D</w:t>
      </w:r>
      <w:r w:rsidR="00226394">
        <w:rPr>
          <w:rFonts w:ascii="Times New Roman" w:eastAsia="Times New Roman" w:hAnsi="Times New Roman" w:cs="Times New Roman"/>
          <w:i w:val="0"/>
          <w:iCs w:val="0"/>
          <w:color w:val="auto"/>
          <w:sz w:val="24"/>
          <w:szCs w:val="24"/>
          <w:lang w:val="es-MX"/>
        </w:rPr>
        <w:t>istribución porcentual por acreditación de asignaturas y nivel de dimensión</w:t>
      </w:r>
      <w:r w:rsidRPr="009E6266">
        <w:rPr>
          <w:rFonts w:ascii="Times New Roman" w:eastAsia="Times New Roman" w:hAnsi="Times New Roman" w:cs="Times New Roman"/>
          <w:i w:val="0"/>
          <w:iCs w:val="0"/>
          <w:color w:val="auto"/>
          <w:sz w:val="24"/>
          <w:szCs w:val="24"/>
          <w:lang w:val="es-MX"/>
        </w:rPr>
        <w:t>.</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8"/>
        <w:gridCol w:w="1089"/>
        <w:gridCol w:w="834"/>
        <w:gridCol w:w="634"/>
        <w:gridCol w:w="839"/>
        <w:gridCol w:w="689"/>
        <w:gridCol w:w="830"/>
        <w:gridCol w:w="761"/>
        <w:gridCol w:w="709"/>
        <w:gridCol w:w="709"/>
        <w:gridCol w:w="238"/>
        <w:gridCol w:w="471"/>
        <w:gridCol w:w="708"/>
        <w:gridCol w:w="60"/>
        <w:gridCol w:w="130"/>
      </w:tblGrid>
      <w:tr w:rsidR="00134869" w:rsidRPr="00134869" w14:paraId="618B907B" w14:textId="77777777" w:rsidTr="003118C3">
        <w:trPr>
          <w:trHeight w:val="440"/>
        </w:trPr>
        <w:tc>
          <w:tcPr>
            <w:tcW w:w="2217" w:type="dxa"/>
            <w:gridSpan w:val="2"/>
            <w:vMerge w:val="restart"/>
            <w:vAlign w:val="center"/>
            <w:hideMark/>
          </w:tcPr>
          <w:p w14:paraId="1823BAB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p>
        </w:tc>
        <w:tc>
          <w:tcPr>
            <w:tcW w:w="1468" w:type="dxa"/>
            <w:gridSpan w:val="2"/>
            <w:vAlign w:val="center"/>
            <w:hideMark/>
          </w:tcPr>
          <w:p w14:paraId="2DBEE4A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Literacidad digital</w:t>
            </w:r>
          </w:p>
        </w:tc>
        <w:tc>
          <w:tcPr>
            <w:tcW w:w="1528" w:type="dxa"/>
            <w:gridSpan w:val="2"/>
            <w:vAlign w:val="center"/>
            <w:hideMark/>
          </w:tcPr>
          <w:p w14:paraId="0F57DE2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Pensamiento crítico</w:t>
            </w:r>
          </w:p>
        </w:tc>
        <w:tc>
          <w:tcPr>
            <w:tcW w:w="1591" w:type="dxa"/>
            <w:gridSpan w:val="2"/>
            <w:vAlign w:val="center"/>
            <w:hideMark/>
          </w:tcPr>
          <w:p w14:paraId="38F12F3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Matemáticas administrativas</w:t>
            </w:r>
          </w:p>
        </w:tc>
        <w:tc>
          <w:tcPr>
            <w:tcW w:w="1656" w:type="dxa"/>
            <w:gridSpan w:val="3"/>
            <w:vAlign w:val="center"/>
            <w:hideMark/>
          </w:tcPr>
          <w:p w14:paraId="17AD36A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 xml:space="preserve">Soluciones tecnológicas para organizaciones </w:t>
            </w:r>
          </w:p>
        </w:tc>
        <w:tc>
          <w:tcPr>
            <w:tcW w:w="1369" w:type="dxa"/>
            <w:gridSpan w:val="4"/>
            <w:vAlign w:val="center"/>
            <w:hideMark/>
          </w:tcPr>
          <w:p w14:paraId="6B16B786"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Estadística</w:t>
            </w:r>
          </w:p>
        </w:tc>
      </w:tr>
      <w:tr w:rsidR="00134869" w:rsidRPr="00134869" w14:paraId="03593DF4" w14:textId="77777777" w:rsidTr="003118C3">
        <w:trPr>
          <w:gridAfter w:val="2"/>
          <w:wAfter w:w="190" w:type="dxa"/>
          <w:trHeight w:val="340"/>
        </w:trPr>
        <w:tc>
          <w:tcPr>
            <w:tcW w:w="2217" w:type="dxa"/>
            <w:gridSpan w:val="2"/>
            <w:vMerge/>
            <w:vAlign w:val="center"/>
            <w:hideMark/>
          </w:tcPr>
          <w:p w14:paraId="4232A1D0"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834" w:type="dxa"/>
            <w:vAlign w:val="center"/>
            <w:hideMark/>
          </w:tcPr>
          <w:p w14:paraId="479AEDDA" w14:textId="77777777" w:rsidR="00134869" w:rsidRDefault="00134869" w:rsidP="00134869">
            <w:pPr>
              <w:spacing w:after="0" w:line="240" w:lineRule="auto"/>
              <w:jc w:val="center"/>
              <w:rPr>
                <w:rFonts w:ascii="Times New Roman" w:eastAsia="Times New Roman" w:hAnsi="Times New Roman" w:cs="Times New Roman"/>
                <w:color w:val="000000"/>
                <w:sz w:val="16"/>
                <w:szCs w:val="16"/>
              </w:rPr>
            </w:pPr>
            <w:r w:rsidRPr="00134869">
              <w:rPr>
                <w:rFonts w:ascii="Times New Roman" w:eastAsia="Times New Roman" w:hAnsi="Times New Roman" w:cs="Times New Roman" w:hint="cs"/>
                <w:color w:val="000000"/>
                <w:sz w:val="16"/>
                <w:szCs w:val="16"/>
              </w:rPr>
              <w:t>Sí</w:t>
            </w:r>
            <w:r>
              <w:rPr>
                <w:rFonts w:ascii="Times New Roman" w:eastAsia="Times New Roman" w:hAnsi="Times New Roman" w:cs="Times New Roman"/>
                <w:color w:val="000000"/>
                <w:sz w:val="16"/>
                <w:szCs w:val="16"/>
              </w:rPr>
              <w:t xml:space="preserve"> </w:t>
            </w:r>
          </w:p>
          <w:p w14:paraId="2B768E51" w14:textId="7843442A"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Pr>
                <w:rFonts w:ascii="Times New Roman" w:eastAsia="Times New Roman" w:hAnsi="Times New Roman" w:cs="Times New Roman"/>
                <w:color w:val="000000"/>
                <w:sz w:val="16"/>
                <w:szCs w:val="16"/>
              </w:rPr>
              <w:t>(n,%)</w:t>
            </w:r>
          </w:p>
        </w:tc>
        <w:tc>
          <w:tcPr>
            <w:tcW w:w="634" w:type="dxa"/>
            <w:vAlign w:val="center"/>
            <w:hideMark/>
          </w:tcPr>
          <w:p w14:paraId="7E3E8686" w14:textId="506EDE96"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No</w:t>
            </w:r>
            <w:r>
              <w:rPr>
                <w:rFonts w:ascii="Times New Roman" w:eastAsia="Times New Roman" w:hAnsi="Times New Roman" w:cs="Times New Roman"/>
                <w:color w:val="000000"/>
                <w:sz w:val="16"/>
                <w:szCs w:val="16"/>
              </w:rPr>
              <w:t xml:space="preserve"> (n,%)</w:t>
            </w:r>
          </w:p>
        </w:tc>
        <w:tc>
          <w:tcPr>
            <w:tcW w:w="839" w:type="dxa"/>
            <w:vAlign w:val="center"/>
            <w:hideMark/>
          </w:tcPr>
          <w:p w14:paraId="494A6554" w14:textId="77777777" w:rsidR="00134869" w:rsidRDefault="00134869" w:rsidP="00134869">
            <w:pPr>
              <w:spacing w:after="0" w:line="240" w:lineRule="auto"/>
              <w:jc w:val="center"/>
              <w:rPr>
                <w:rFonts w:ascii="Times New Roman" w:eastAsia="Times New Roman" w:hAnsi="Times New Roman" w:cs="Times New Roman"/>
                <w:color w:val="000000"/>
                <w:sz w:val="16"/>
                <w:szCs w:val="16"/>
              </w:rPr>
            </w:pPr>
            <w:r w:rsidRPr="00134869">
              <w:rPr>
                <w:rFonts w:ascii="Times New Roman" w:eastAsia="Times New Roman" w:hAnsi="Times New Roman" w:cs="Times New Roman" w:hint="cs"/>
                <w:color w:val="000000"/>
                <w:sz w:val="16"/>
                <w:szCs w:val="16"/>
              </w:rPr>
              <w:t>Sí</w:t>
            </w:r>
            <w:r>
              <w:rPr>
                <w:rFonts w:ascii="Times New Roman" w:eastAsia="Times New Roman" w:hAnsi="Times New Roman" w:cs="Times New Roman"/>
                <w:color w:val="000000"/>
                <w:sz w:val="16"/>
                <w:szCs w:val="16"/>
              </w:rPr>
              <w:t xml:space="preserve"> </w:t>
            </w:r>
          </w:p>
          <w:p w14:paraId="3FBBBF5C" w14:textId="461E35F6"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Pr>
                <w:rFonts w:ascii="Times New Roman" w:eastAsia="Times New Roman" w:hAnsi="Times New Roman" w:cs="Times New Roman"/>
                <w:color w:val="000000"/>
                <w:sz w:val="16"/>
                <w:szCs w:val="16"/>
              </w:rPr>
              <w:t>(n,%)</w:t>
            </w:r>
          </w:p>
        </w:tc>
        <w:tc>
          <w:tcPr>
            <w:tcW w:w="689" w:type="dxa"/>
            <w:vAlign w:val="center"/>
            <w:hideMark/>
          </w:tcPr>
          <w:p w14:paraId="20A90FDB" w14:textId="74738985"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No</w:t>
            </w:r>
            <w:r>
              <w:rPr>
                <w:rFonts w:ascii="Times New Roman" w:eastAsia="Times New Roman" w:hAnsi="Times New Roman" w:cs="Times New Roman"/>
                <w:color w:val="000000"/>
                <w:sz w:val="16"/>
                <w:szCs w:val="16"/>
              </w:rPr>
              <w:t xml:space="preserve"> (n,%)</w:t>
            </w:r>
          </w:p>
        </w:tc>
        <w:tc>
          <w:tcPr>
            <w:tcW w:w="830" w:type="dxa"/>
            <w:vAlign w:val="center"/>
            <w:hideMark/>
          </w:tcPr>
          <w:p w14:paraId="6C7267B2" w14:textId="77777777" w:rsidR="00134869" w:rsidRDefault="00134869" w:rsidP="00134869">
            <w:pPr>
              <w:spacing w:after="0" w:line="240" w:lineRule="auto"/>
              <w:jc w:val="center"/>
              <w:rPr>
                <w:rFonts w:ascii="Times New Roman" w:eastAsia="Times New Roman" w:hAnsi="Times New Roman" w:cs="Times New Roman"/>
                <w:color w:val="000000"/>
                <w:sz w:val="16"/>
                <w:szCs w:val="16"/>
              </w:rPr>
            </w:pPr>
            <w:r w:rsidRPr="00134869">
              <w:rPr>
                <w:rFonts w:ascii="Times New Roman" w:eastAsia="Times New Roman" w:hAnsi="Times New Roman" w:cs="Times New Roman" w:hint="cs"/>
                <w:color w:val="000000"/>
                <w:sz w:val="16"/>
                <w:szCs w:val="16"/>
              </w:rPr>
              <w:t>Sí</w:t>
            </w:r>
            <w:r>
              <w:rPr>
                <w:rFonts w:ascii="Times New Roman" w:eastAsia="Times New Roman" w:hAnsi="Times New Roman" w:cs="Times New Roman"/>
                <w:color w:val="000000"/>
                <w:sz w:val="16"/>
                <w:szCs w:val="16"/>
              </w:rPr>
              <w:t xml:space="preserve"> </w:t>
            </w:r>
          </w:p>
          <w:p w14:paraId="10D1F976" w14:textId="7C011996"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Pr>
                <w:rFonts w:ascii="Times New Roman" w:eastAsia="Times New Roman" w:hAnsi="Times New Roman" w:cs="Times New Roman"/>
                <w:color w:val="000000"/>
                <w:sz w:val="16"/>
                <w:szCs w:val="16"/>
              </w:rPr>
              <w:t>(n,%)</w:t>
            </w:r>
          </w:p>
        </w:tc>
        <w:tc>
          <w:tcPr>
            <w:tcW w:w="761" w:type="dxa"/>
            <w:vAlign w:val="center"/>
            <w:hideMark/>
          </w:tcPr>
          <w:p w14:paraId="463C5E0A" w14:textId="77777777" w:rsidR="00134869" w:rsidRDefault="00134869" w:rsidP="00134869">
            <w:pPr>
              <w:spacing w:after="0" w:line="240" w:lineRule="auto"/>
              <w:jc w:val="center"/>
              <w:rPr>
                <w:rFonts w:ascii="Times New Roman" w:eastAsia="Times New Roman" w:hAnsi="Times New Roman" w:cs="Times New Roman"/>
                <w:color w:val="000000"/>
                <w:sz w:val="16"/>
                <w:szCs w:val="16"/>
              </w:rPr>
            </w:pPr>
            <w:r w:rsidRPr="00134869">
              <w:rPr>
                <w:rFonts w:ascii="Times New Roman" w:eastAsia="Times New Roman" w:hAnsi="Times New Roman" w:cs="Times New Roman" w:hint="cs"/>
                <w:color w:val="000000"/>
                <w:sz w:val="16"/>
                <w:szCs w:val="16"/>
              </w:rPr>
              <w:t>No</w:t>
            </w:r>
            <w:r>
              <w:rPr>
                <w:rFonts w:ascii="Times New Roman" w:eastAsia="Times New Roman" w:hAnsi="Times New Roman" w:cs="Times New Roman"/>
                <w:color w:val="000000"/>
                <w:sz w:val="16"/>
                <w:szCs w:val="16"/>
              </w:rPr>
              <w:t xml:space="preserve"> </w:t>
            </w:r>
          </w:p>
          <w:p w14:paraId="625BE07B" w14:textId="2F72127F"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Pr>
                <w:rFonts w:ascii="Times New Roman" w:eastAsia="Times New Roman" w:hAnsi="Times New Roman" w:cs="Times New Roman"/>
                <w:color w:val="000000"/>
                <w:sz w:val="16"/>
                <w:szCs w:val="16"/>
              </w:rPr>
              <w:t>(n,%)</w:t>
            </w:r>
          </w:p>
        </w:tc>
        <w:tc>
          <w:tcPr>
            <w:tcW w:w="709" w:type="dxa"/>
            <w:vAlign w:val="center"/>
            <w:hideMark/>
          </w:tcPr>
          <w:p w14:paraId="69C887D1" w14:textId="77777777" w:rsidR="00134869" w:rsidRDefault="00134869" w:rsidP="00134869">
            <w:pPr>
              <w:spacing w:after="0" w:line="240" w:lineRule="auto"/>
              <w:jc w:val="center"/>
              <w:rPr>
                <w:rFonts w:ascii="Times New Roman" w:eastAsia="Times New Roman" w:hAnsi="Times New Roman" w:cs="Times New Roman"/>
                <w:color w:val="000000"/>
                <w:sz w:val="16"/>
                <w:szCs w:val="16"/>
              </w:rPr>
            </w:pPr>
            <w:r w:rsidRPr="00134869">
              <w:rPr>
                <w:rFonts w:ascii="Times New Roman" w:eastAsia="Times New Roman" w:hAnsi="Times New Roman" w:cs="Times New Roman" w:hint="cs"/>
                <w:color w:val="000000"/>
                <w:sz w:val="16"/>
                <w:szCs w:val="16"/>
              </w:rPr>
              <w:t>Sí</w:t>
            </w:r>
            <w:r>
              <w:rPr>
                <w:rFonts w:ascii="Times New Roman" w:eastAsia="Times New Roman" w:hAnsi="Times New Roman" w:cs="Times New Roman"/>
                <w:color w:val="000000"/>
                <w:sz w:val="16"/>
                <w:szCs w:val="16"/>
              </w:rPr>
              <w:t xml:space="preserve"> </w:t>
            </w:r>
          </w:p>
          <w:p w14:paraId="79BFCCDC" w14:textId="4D0F4DB1"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Pr>
                <w:rFonts w:ascii="Times New Roman" w:eastAsia="Times New Roman" w:hAnsi="Times New Roman" w:cs="Times New Roman"/>
                <w:color w:val="000000"/>
                <w:sz w:val="16"/>
                <w:szCs w:val="16"/>
              </w:rPr>
              <w:t>(n,%)</w:t>
            </w:r>
          </w:p>
        </w:tc>
        <w:tc>
          <w:tcPr>
            <w:tcW w:w="709" w:type="dxa"/>
            <w:vAlign w:val="center"/>
            <w:hideMark/>
          </w:tcPr>
          <w:p w14:paraId="4E230FA1" w14:textId="681D91E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No</w:t>
            </w:r>
            <w:r>
              <w:rPr>
                <w:rFonts w:ascii="Times New Roman" w:eastAsia="Times New Roman" w:hAnsi="Times New Roman" w:cs="Times New Roman"/>
                <w:color w:val="000000"/>
                <w:sz w:val="16"/>
                <w:szCs w:val="16"/>
              </w:rPr>
              <w:t xml:space="preserve"> (n,%)</w:t>
            </w:r>
          </w:p>
        </w:tc>
        <w:tc>
          <w:tcPr>
            <w:tcW w:w="709" w:type="dxa"/>
            <w:gridSpan w:val="2"/>
            <w:vAlign w:val="center"/>
            <w:hideMark/>
          </w:tcPr>
          <w:p w14:paraId="25A7C6F7" w14:textId="77777777" w:rsidR="00134869" w:rsidRDefault="00134869" w:rsidP="00134869">
            <w:pPr>
              <w:spacing w:after="0" w:line="240" w:lineRule="auto"/>
              <w:jc w:val="center"/>
              <w:rPr>
                <w:rFonts w:ascii="Times New Roman" w:eastAsia="Times New Roman" w:hAnsi="Times New Roman" w:cs="Times New Roman"/>
                <w:color w:val="000000"/>
                <w:sz w:val="16"/>
                <w:szCs w:val="16"/>
              </w:rPr>
            </w:pPr>
            <w:r w:rsidRPr="00134869">
              <w:rPr>
                <w:rFonts w:ascii="Times New Roman" w:eastAsia="Times New Roman" w:hAnsi="Times New Roman" w:cs="Times New Roman" w:hint="cs"/>
                <w:color w:val="000000"/>
                <w:sz w:val="16"/>
                <w:szCs w:val="16"/>
              </w:rPr>
              <w:t>Sí</w:t>
            </w:r>
            <w:r>
              <w:rPr>
                <w:rFonts w:ascii="Times New Roman" w:eastAsia="Times New Roman" w:hAnsi="Times New Roman" w:cs="Times New Roman"/>
                <w:color w:val="000000"/>
                <w:sz w:val="16"/>
                <w:szCs w:val="16"/>
              </w:rPr>
              <w:t xml:space="preserve"> </w:t>
            </w:r>
          </w:p>
          <w:p w14:paraId="321B6922" w14:textId="3088BB9C"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Pr>
                <w:rFonts w:ascii="Times New Roman" w:eastAsia="Times New Roman" w:hAnsi="Times New Roman" w:cs="Times New Roman"/>
                <w:color w:val="000000"/>
                <w:sz w:val="16"/>
                <w:szCs w:val="16"/>
              </w:rPr>
              <w:t>(n,%)</w:t>
            </w:r>
          </w:p>
        </w:tc>
        <w:tc>
          <w:tcPr>
            <w:tcW w:w="708" w:type="dxa"/>
            <w:vAlign w:val="center"/>
            <w:hideMark/>
          </w:tcPr>
          <w:p w14:paraId="609D086E" w14:textId="73A8D7F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No</w:t>
            </w:r>
            <w:r>
              <w:rPr>
                <w:rFonts w:ascii="Times New Roman" w:eastAsia="Times New Roman" w:hAnsi="Times New Roman" w:cs="Times New Roman"/>
                <w:color w:val="000000"/>
                <w:sz w:val="16"/>
                <w:szCs w:val="16"/>
              </w:rPr>
              <w:t xml:space="preserve"> (n,%)</w:t>
            </w:r>
          </w:p>
        </w:tc>
      </w:tr>
      <w:tr w:rsidR="00134869" w:rsidRPr="00134869" w14:paraId="6F7FB500" w14:textId="77777777" w:rsidTr="003118C3">
        <w:trPr>
          <w:gridAfter w:val="2"/>
          <w:wAfter w:w="190" w:type="dxa"/>
          <w:trHeight w:val="520"/>
        </w:trPr>
        <w:tc>
          <w:tcPr>
            <w:tcW w:w="1128" w:type="dxa"/>
            <w:vMerge w:val="restart"/>
            <w:vAlign w:val="center"/>
            <w:hideMark/>
          </w:tcPr>
          <w:p w14:paraId="11AA72E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Creatividad</w:t>
            </w:r>
          </w:p>
        </w:tc>
        <w:tc>
          <w:tcPr>
            <w:tcW w:w="1089" w:type="dxa"/>
            <w:vAlign w:val="center"/>
            <w:hideMark/>
          </w:tcPr>
          <w:p w14:paraId="53063F9D"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Por debajo de la media</w:t>
            </w:r>
          </w:p>
        </w:tc>
        <w:tc>
          <w:tcPr>
            <w:tcW w:w="834" w:type="dxa"/>
            <w:vAlign w:val="center"/>
            <w:hideMark/>
          </w:tcPr>
          <w:p w14:paraId="31C3390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29.90%</w:t>
            </w:r>
          </w:p>
        </w:tc>
        <w:tc>
          <w:tcPr>
            <w:tcW w:w="634" w:type="dxa"/>
            <w:vAlign w:val="center"/>
            <w:hideMark/>
          </w:tcPr>
          <w:p w14:paraId="296EECC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9.80%</w:t>
            </w:r>
          </w:p>
        </w:tc>
        <w:tc>
          <w:tcPr>
            <w:tcW w:w="839" w:type="dxa"/>
            <w:vAlign w:val="center"/>
            <w:hideMark/>
          </w:tcPr>
          <w:p w14:paraId="1F7F3D9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29.90%</w:t>
            </w:r>
          </w:p>
        </w:tc>
        <w:tc>
          <w:tcPr>
            <w:tcW w:w="689" w:type="dxa"/>
            <w:vAlign w:val="center"/>
            <w:hideMark/>
          </w:tcPr>
          <w:p w14:paraId="6F6B219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9.80%</w:t>
            </w:r>
          </w:p>
        </w:tc>
        <w:tc>
          <w:tcPr>
            <w:tcW w:w="830" w:type="dxa"/>
            <w:vAlign w:val="center"/>
            <w:hideMark/>
          </w:tcPr>
          <w:p w14:paraId="7BF3DC1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29.90%</w:t>
            </w:r>
          </w:p>
        </w:tc>
        <w:tc>
          <w:tcPr>
            <w:tcW w:w="761" w:type="dxa"/>
            <w:vAlign w:val="center"/>
            <w:hideMark/>
          </w:tcPr>
          <w:p w14:paraId="554E661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9.80%</w:t>
            </w:r>
          </w:p>
        </w:tc>
        <w:tc>
          <w:tcPr>
            <w:tcW w:w="709" w:type="dxa"/>
            <w:vAlign w:val="center"/>
            <w:hideMark/>
          </w:tcPr>
          <w:p w14:paraId="3BAF928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19.10%</w:t>
            </w:r>
          </w:p>
        </w:tc>
        <w:tc>
          <w:tcPr>
            <w:tcW w:w="709" w:type="dxa"/>
            <w:vAlign w:val="center"/>
            <w:hideMark/>
          </w:tcPr>
          <w:p w14:paraId="5995A09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20.70%</w:t>
            </w:r>
          </w:p>
        </w:tc>
        <w:tc>
          <w:tcPr>
            <w:tcW w:w="709" w:type="dxa"/>
            <w:gridSpan w:val="2"/>
            <w:vAlign w:val="center"/>
            <w:hideMark/>
          </w:tcPr>
          <w:p w14:paraId="5C3E55E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29.90%</w:t>
            </w:r>
          </w:p>
        </w:tc>
        <w:tc>
          <w:tcPr>
            <w:tcW w:w="708" w:type="dxa"/>
            <w:vAlign w:val="center"/>
            <w:hideMark/>
          </w:tcPr>
          <w:p w14:paraId="5E72A70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9.80%</w:t>
            </w:r>
          </w:p>
        </w:tc>
      </w:tr>
      <w:tr w:rsidR="00134869" w:rsidRPr="00134869" w14:paraId="11071AEF" w14:textId="77777777" w:rsidTr="003118C3">
        <w:trPr>
          <w:gridAfter w:val="2"/>
          <w:wAfter w:w="190" w:type="dxa"/>
          <w:trHeight w:val="340"/>
        </w:trPr>
        <w:tc>
          <w:tcPr>
            <w:tcW w:w="1128" w:type="dxa"/>
            <w:vMerge/>
            <w:vAlign w:val="center"/>
            <w:hideMark/>
          </w:tcPr>
          <w:p w14:paraId="114FB6F1"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3A29EB6E"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el medio</w:t>
            </w:r>
          </w:p>
        </w:tc>
        <w:tc>
          <w:tcPr>
            <w:tcW w:w="834" w:type="dxa"/>
            <w:vAlign w:val="center"/>
            <w:hideMark/>
          </w:tcPr>
          <w:p w14:paraId="7539B76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8.20%</w:t>
            </w:r>
          </w:p>
        </w:tc>
        <w:tc>
          <w:tcPr>
            <w:tcW w:w="634" w:type="dxa"/>
            <w:vAlign w:val="center"/>
            <w:hideMark/>
          </w:tcPr>
          <w:p w14:paraId="423E899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2.50%</w:t>
            </w:r>
          </w:p>
        </w:tc>
        <w:tc>
          <w:tcPr>
            <w:tcW w:w="839" w:type="dxa"/>
            <w:vAlign w:val="center"/>
            <w:hideMark/>
          </w:tcPr>
          <w:p w14:paraId="7432551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8.20%</w:t>
            </w:r>
          </w:p>
        </w:tc>
        <w:tc>
          <w:tcPr>
            <w:tcW w:w="689" w:type="dxa"/>
            <w:vAlign w:val="center"/>
            <w:hideMark/>
          </w:tcPr>
          <w:p w14:paraId="49F6C29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2.50%</w:t>
            </w:r>
          </w:p>
        </w:tc>
        <w:tc>
          <w:tcPr>
            <w:tcW w:w="830" w:type="dxa"/>
            <w:vAlign w:val="center"/>
            <w:hideMark/>
          </w:tcPr>
          <w:p w14:paraId="1A9340D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8.20%</w:t>
            </w:r>
          </w:p>
        </w:tc>
        <w:tc>
          <w:tcPr>
            <w:tcW w:w="761" w:type="dxa"/>
            <w:vAlign w:val="center"/>
            <w:hideMark/>
          </w:tcPr>
          <w:p w14:paraId="1E2C58B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2.50%</w:t>
            </w:r>
          </w:p>
        </w:tc>
        <w:tc>
          <w:tcPr>
            <w:tcW w:w="709" w:type="dxa"/>
            <w:vAlign w:val="center"/>
            <w:hideMark/>
          </w:tcPr>
          <w:p w14:paraId="26545D0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5.70%</w:t>
            </w:r>
          </w:p>
        </w:tc>
        <w:tc>
          <w:tcPr>
            <w:tcW w:w="709" w:type="dxa"/>
            <w:vAlign w:val="center"/>
            <w:hideMark/>
          </w:tcPr>
          <w:p w14:paraId="0D822C7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4.90%</w:t>
            </w:r>
          </w:p>
        </w:tc>
        <w:tc>
          <w:tcPr>
            <w:tcW w:w="709" w:type="dxa"/>
            <w:gridSpan w:val="2"/>
            <w:vAlign w:val="center"/>
            <w:hideMark/>
          </w:tcPr>
          <w:p w14:paraId="55EF9C6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8.20%</w:t>
            </w:r>
          </w:p>
        </w:tc>
        <w:tc>
          <w:tcPr>
            <w:tcW w:w="708" w:type="dxa"/>
            <w:vAlign w:val="center"/>
            <w:hideMark/>
          </w:tcPr>
          <w:p w14:paraId="6450F656"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2.50%</w:t>
            </w:r>
          </w:p>
        </w:tc>
      </w:tr>
      <w:tr w:rsidR="00134869" w:rsidRPr="00134869" w14:paraId="202B7798" w14:textId="77777777" w:rsidTr="003118C3">
        <w:trPr>
          <w:gridAfter w:val="2"/>
          <w:wAfter w:w="190" w:type="dxa"/>
          <w:trHeight w:val="340"/>
        </w:trPr>
        <w:tc>
          <w:tcPr>
            <w:tcW w:w="1128" w:type="dxa"/>
            <w:vMerge/>
            <w:vAlign w:val="center"/>
            <w:hideMark/>
          </w:tcPr>
          <w:p w14:paraId="58A1068F"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34857D95"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la media</w:t>
            </w:r>
          </w:p>
        </w:tc>
        <w:tc>
          <w:tcPr>
            <w:tcW w:w="834" w:type="dxa"/>
            <w:vAlign w:val="center"/>
            <w:hideMark/>
          </w:tcPr>
          <w:p w14:paraId="002F8A9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37.10%</w:t>
            </w:r>
          </w:p>
        </w:tc>
        <w:tc>
          <w:tcPr>
            <w:tcW w:w="634" w:type="dxa"/>
            <w:vAlign w:val="center"/>
            <w:hideMark/>
          </w:tcPr>
          <w:p w14:paraId="3AE52F1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12.50%</w:t>
            </w:r>
          </w:p>
        </w:tc>
        <w:tc>
          <w:tcPr>
            <w:tcW w:w="839" w:type="dxa"/>
            <w:vAlign w:val="center"/>
            <w:hideMark/>
          </w:tcPr>
          <w:p w14:paraId="054CEDA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37.10%</w:t>
            </w:r>
          </w:p>
        </w:tc>
        <w:tc>
          <w:tcPr>
            <w:tcW w:w="689" w:type="dxa"/>
            <w:vAlign w:val="center"/>
            <w:hideMark/>
          </w:tcPr>
          <w:p w14:paraId="73454B5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12.50%</w:t>
            </w:r>
          </w:p>
        </w:tc>
        <w:tc>
          <w:tcPr>
            <w:tcW w:w="830" w:type="dxa"/>
            <w:vAlign w:val="center"/>
            <w:hideMark/>
          </w:tcPr>
          <w:p w14:paraId="44696E7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37.10%</w:t>
            </w:r>
          </w:p>
        </w:tc>
        <w:tc>
          <w:tcPr>
            <w:tcW w:w="761" w:type="dxa"/>
            <w:vAlign w:val="center"/>
            <w:hideMark/>
          </w:tcPr>
          <w:p w14:paraId="1BBF243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12.50%</w:t>
            </w:r>
          </w:p>
        </w:tc>
        <w:tc>
          <w:tcPr>
            <w:tcW w:w="709" w:type="dxa"/>
            <w:vAlign w:val="center"/>
            <w:hideMark/>
          </w:tcPr>
          <w:p w14:paraId="0EDC53A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25.20%</w:t>
            </w:r>
          </w:p>
        </w:tc>
        <w:tc>
          <w:tcPr>
            <w:tcW w:w="709" w:type="dxa"/>
            <w:vAlign w:val="center"/>
            <w:hideMark/>
          </w:tcPr>
          <w:p w14:paraId="3581FE1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24.40%</w:t>
            </w:r>
          </w:p>
        </w:tc>
        <w:tc>
          <w:tcPr>
            <w:tcW w:w="709" w:type="dxa"/>
            <w:gridSpan w:val="2"/>
            <w:vAlign w:val="center"/>
            <w:hideMark/>
          </w:tcPr>
          <w:p w14:paraId="56FCA83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37.10%</w:t>
            </w:r>
          </w:p>
        </w:tc>
        <w:tc>
          <w:tcPr>
            <w:tcW w:w="708" w:type="dxa"/>
            <w:vAlign w:val="center"/>
            <w:hideMark/>
          </w:tcPr>
          <w:p w14:paraId="35CD4DB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12.50%</w:t>
            </w:r>
          </w:p>
        </w:tc>
      </w:tr>
      <w:tr w:rsidR="00134869" w:rsidRPr="00134869" w14:paraId="31BAAFFC" w14:textId="77777777" w:rsidTr="003118C3">
        <w:trPr>
          <w:gridAfter w:val="2"/>
          <w:wAfter w:w="190" w:type="dxa"/>
          <w:trHeight w:val="500"/>
        </w:trPr>
        <w:tc>
          <w:tcPr>
            <w:tcW w:w="1128" w:type="dxa"/>
            <w:vMerge w:val="restart"/>
            <w:vAlign w:val="center"/>
            <w:hideMark/>
          </w:tcPr>
          <w:p w14:paraId="3E97BD56"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Pensamiento algorítmico</w:t>
            </w:r>
          </w:p>
        </w:tc>
        <w:tc>
          <w:tcPr>
            <w:tcW w:w="1089" w:type="dxa"/>
            <w:vAlign w:val="center"/>
            <w:hideMark/>
          </w:tcPr>
          <w:p w14:paraId="5E477225"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Por debajo de la media</w:t>
            </w:r>
          </w:p>
        </w:tc>
        <w:tc>
          <w:tcPr>
            <w:tcW w:w="834" w:type="dxa"/>
            <w:vAlign w:val="center"/>
            <w:hideMark/>
          </w:tcPr>
          <w:p w14:paraId="75F2D07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31.80%</w:t>
            </w:r>
          </w:p>
        </w:tc>
        <w:tc>
          <w:tcPr>
            <w:tcW w:w="634" w:type="dxa"/>
            <w:vAlign w:val="center"/>
            <w:hideMark/>
          </w:tcPr>
          <w:p w14:paraId="7F34CCC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c>
          <w:tcPr>
            <w:tcW w:w="839" w:type="dxa"/>
            <w:vAlign w:val="center"/>
            <w:hideMark/>
          </w:tcPr>
          <w:p w14:paraId="27A012C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31.80%</w:t>
            </w:r>
          </w:p>
        </w:tc>
        <w:tc>
          <w:tcPr>
            <w:tcW w:w="689" w:type="dxa"/>
            <w:vAlign w:val="center"/>
            <w:hideMark/>
          </w:tcPr>
          <w:p w14:paraId="42FE4B1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c>
          <w:tcPr>
            <w:tcW w:w="830" w:type="dxa"/>
            <w:vAlign w:val="center"/>
            <w:hideMark/>
          </w:tcPr>
          <w:p w14:paraId="3092AA0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31.80%</w:t>
            </w:r>
          </w:p>
        </w:tc>
        <w:tc>
          <w:tcPr>
            <w:tcW w:w="761" w:type="dxa"/>
            <w:vAlign w:val="center"/>
            <w:hideMark/>
          </w:tcPr>
          <w:p w14:paraId="0591F377"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c>
          <w:tcPr>
            <w:tcW w:w="709" w:type="dxa"/>
            <w:vAlign w:val="center"/>
            <w:hideMark/>
          </w:tcPr>
          <w:p w14:paraId="4B35C7B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20.70%</w:t>
            </w:r>
          </w:p>
        </w:tc>
        <w:tc>
          <w:tcPr>
            <w:tcW w:w="709" w:type="dxa"/>
            <w:vAlign w:val="center"/>
            <w:hideMark/>
          </w:tcPr>
          <w:p w14:paraId="693A924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22.70%</w:t>
            </w:r>
          </w:p>
        </w:tc>
        <w:tc>
          <w:tcPr>
            <w:tcW w:w="709" w:type="dxa"/>
            <w:gridSpan w:val="2"/>
            <w:vAlign w:val="center"/>
            <w:hideMark/>
          </w:tcPr>
          <w:p w14:paraId="070A00B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31.80%</w:t>
            </w:r>
          </w:p>
        </w:tc>
        <w:tc>
          <w:tcPr>
            <w:tcW w:w="708" w:type="dxa"/>
            <w:vAlign w:val="center"/>
            <w:hideMark/>
          </w:tcPr>
          <w:p w14:paraId="25C92C7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r>
      <w:tr w:rsidR="00134869" w:rsidRPr="00134869" w14:paraId="159C9EE7" w14:textId="77777777" w:rsidTr="003118C3">
        <w:trPr>
          <w:gridAfter w:val="2"/>
          <w:wAfter w:w="190" w:type="dxa"/>
          <w:trHeight w:val="340"/>
        </w:trPr>
        <w:tc>
          <w:tcPr>
            <w:tcW w:w="1128" w:type="dxa"/>
            <w:vMerge/>
            <w:vAlign w:val="center"/>
            <w:hideMark/>
          </w:tcPr>
          <w:p w14:paraId="61FE3495"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70341064"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el medio</w:t>
            </w:r>
          </w:p>
        </w:tc>
        <w:tc>
          <w:tcPr>
            <w:tcW w:w="834" w:type="dxa"/>
            <w:vAlign w:val="center"/>
            <w:hideMark/>
          </w:tcPr>
          <w:p w14:paraId="1865CB7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10.50%</w:t>
            </w:r>
          </w:p>
        </w:tc>
        <w:tc>
          <w:tcPr>
            <w:tcW w:w="634" w:type="dxa"/>
            <w:vAlign w:val="center"/>
            <w:hideMark/>
          </w:tcPr>
          <w:p w14:paraId="143C10F7"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3.10%</w:t>
            </w:r>
          </w:p>
        </w:tc>
        <w:tc>
          <w:tcPr>
            <w:tcW w:w="839" w:type="dxa"/>
            <w:vAlign w:val="center"/>
            <w:hideMark/>
          </w:tcPr>
          <w:p w14:paraId="5F63A10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10.50%</w:t>
            </w:r>
          </w:p>
        </w:tc>
        <w:tc>
          <w:tcPr>
            <w:tcW w:w="689" w:type="dxa"/>
            <w:vAlign w:val="center"/>
            <w:hideMark/>
          </w:tcPr>
          <w:p w14:paraId="0C26815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3.10%</w:t>
            </w:r>
          </w:p>
        </w:tc>
        <w:tc>
          <w:tcPr>
            <w:tcW w:w="830" w:type="dxa"/>
            <w:vAlign w:val="center"/>
            <w:hideMark/>
          </w:tcPr>
          <w:p w14:paraId="3C3B8AC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10.50%</w:t>
            </w:r>
          </w:p>
        </w:tc>
        <w:tc>
          <w:tcPr>
            <w:tcW w:w="761" w:type="dxa"/>
            <w:vAlign w:val="center"/>
            <w:hideMark/>
          </w:tcPr>
          <w:p w14:paraId="53475D97"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3.10%</w:t>
            </w:r>
          </w:p>
        </w:tc>
        <w:tc>
          <w:tcPr>
            <w:tcW w:w="709" w:type="dxa"/>
            <w:vAlign w:val="center"/>
            <w:hideMark/>
          </w:tcPr>
          <w:p w14:paraId="73DE424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7.00%</w:t>
            </w:r>
          </w:p>
        </w:tc>
        <w:tc>
          <w:tcPr>
            <w:tcW w:w="709" w:type="dxa"/>
            <w:vAlign w:val="center"/>
            <w:hideMark/>
          </w:tcPr>
          <w:p w14:paraId="30A137C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6.60%</w:t>
            </w:r>
          </w:p>
        </w:tc>
        <w:tc>
          <w:tcPr>
            <w:tcW w:w="709" w:type="dxa"/>
            <w:gridSpan w:val="2"/>
            <w:vAlign w:val="center"/>
            <w:hideMark/>
          </w:tcPr>
          <w:p w14:paraId="33E641C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10.50%</w:t>
            </w:r>
          </w:p>
        </w:tc>
        <w:tc>
          <w:tcPr>
            <w:tcW w:w="708" w:type="dxa"/>
            <w:vAlign w:val="center"/>
            <w:hideMark/>
          </w:tcPr>
          <w:p w14:paraId="23768A1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3.10%</w:t>
            </w:r>
          </w:p>
        </w:tc>
      </w:tr>
      <w:tr w:rsidR="00134869" w:rsidRPr="00134869" w14:paraId="63BB3FD1" w14:textId="77777777" w:rsidTr="003118C3">
        <w:trPr>
          <w:gridAfter w:val="2"/>
          <w:wAfter w:w="190" w:type="dxa"/>
          <w:trHeight w:val="340"/>
        </w:trPr>
        <w:tc>
          <w:tcPr>
            <w:tcW w:w="1128" w:type="dxa"/>
            <w:vMerge/>
            <w:vAlign w:val="center"/>
            <w:hideMark/>
          </w:tcPr>
          <w:p w14:paraId="3488B1C6"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7B18D90F"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la media</w:t>
            </w:r>
          </w:p>
        </w:tc>
        <w:tc>
          <w:tcPr>
            <w:tcW w:w="834" w:type="dxa"/>
            <w:vAlign w:val="center"/>
            <w:hideMark/>
          </w:tcPr>
          <w:p w14:paraId="034C166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33.00%</w:t>
            </w:r>
          </w:p>
        </w:tc>
        <w:tc>
          <w:tcPr>
            <w:tcW w:w="634" w:type="dxa"/>
            <w:vAlign w:val="center"/>
            <w:hideMark/>
          </w:tcPr>
          <w:p w14:paraId="1903398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10.00%</w:t>
            </w:r>
          </w:p>
        </w:tc>
        <w:tc>
          <w:tcPr>
            <w:tcW w:w="839" w:type="dxa"/>
            <w:vAlign w:val="center"/>
            <w:hideMark/>
          </w:tcPr>
          <w:p w14:paraId="2BC2523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33.00%</w:t>
            </w:r>
          </w:p>
        </w:tc>
        <w:tc>
          <w:tcPr>
            <w:tcW w:w="689" w:type="dxa"/>
            <w:vAlign w:val="center"/>
            <w:hideMark/>
          </w:tcPr>
          <w:p w14:paraId="58D93A4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10.00%</w:t>
            </w:r>
          </w:p>
        </w:tc>
        <w:tc>
          <w:tcPr>
            <w:tcW w:w="830" w:type="dxa"/>
            <w:vAlign w:val="center"/>
            <w:hideMark/>
          </w:tcPr>
          <w:p w14:paraId="209ECE3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33.00%</w:t>
            </w:r>
          </w:p>
        </w:tc>
        <w:tc>
          <w:tcPr>
            <w:tcW w:w="761" w:type="dxa"/>
            <w:vAlign w:val="center"/>
            <w:hideMark/>
          </w:tcPr>
          <w:p w14:paraId="075A65A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10.00%</w:t>
            </w:r>
          </w:p>
        </w:tc>
        <w:tc>
          <w:tcPr>
            <w:tcW w:w="709" w:type="dxa"/>
            <w:vAlign w:val="center"/>
            <w:hideMark/>
          </w:tcPr>
          <w:p w14:paraId="31F9B42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22.30%</w:t>
            </w:r>
          </w:p>
        </w:tc>
        <w:tc>
          <w:tcPr>
            <w:tcW w:w="709" w:type="dxa"/>
            <w:vAlign w:val="center"/>
            <w:hideMark/>
          </w:tcPr>
          <w:p w14:paraId="5381B7E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20.70%</w:t>
            </w:r>
          </w:p>
        </w:tc>
        <w:tc>
          <w:tcPr>
            <w:tcW w:w="709" w:type="dxa"/>
            <w:gridSpan w:val="2"/>
            <w:vAlign w:val="center"/>
            <w:hideMark/>
          </w:tcPr>
          <w:p w14:paraId="3279E4E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33.00%</w:t>
            </w:r>
          </w:p>
        </w:tc>
        <w:tc>
          <w:tcPr>
            <w:tcW w:w="708" w:type="dxa"/>
            <w:vAlign w:val="center"/>
            <w:hideMark/>
          </w:tcPr>
          <w:p w14:paraId="09502C2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10.00%</w:t>
            </w:r>
          </w:p>
        </w:tc>
      </w:tr>
      <w:tr w:rsidR="00134869" w:rsidRPr="00134869" w14:paraId="60793015" w14:textId="77777777" w:rsidTr="003118C3">
        <w:trPr>
          <w:gridAfter w:val="2"/>
          <w:wAfter w:w="190" w:type="dxa"/>
          <w:trHeight w:val="500"/>
        </w:trPr>
        <w:tc>
          <w:tcPr>
            <w:tcW w:w="1128" w:type="dxa"/>
            <w:vMerge w:val="restart"/>
            <w:vAlign w:val="center"/>
            <w:hideMark/>
          </w:tcPr>
          <w:p w14:paraId="218C18B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Cooperatividad</w:t>
            </w:r>
          </w:p>
        </w:tc>
        <w:tc>
          <w:tcPr>
            <w:tcW w:w="1089" w:type="dxa"/>
            <w:vAlign w:val="center"/>
            <w:hideMark/>
          </w:tcPr>
          <w:p w14:paraId="169D95AD"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Por debajo de la media</w:t>
            </w:r>
          </w:p>
        </w:tc>
        <w:tc>
          <w:tcPr>
            <w:tcW w:w="834" w:type="dxa"/>
            <w:vAlign w:val="center"/>
            <w:hideMark/>
          </w:tcPr>
          <w:p w14:paraId="3683DC3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39.30%</w:t>
            </w:r>
          </w:p>
        </w:tc>
        <w:tc>
          <w:tcPr>
            <w:tcW w:w="634" w:type="dxa"/>
            <w:vAlign w:val="center"/>
            <w:hideMark/>
          </w:tcPr>
          <w:p w14:paraId="7BA4506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c>
          <w:tcPr>
            <w:tcW w:w="839" w:type="dxa"/>
            <w:vAlign w:val="center"/>
            <w:hideMark/>
          </w:tcPr>
          <w:p w14:paraId="69AD1CC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39.30%</w:t>
            </w:r>
          </w:p>
        </w:tc>
        <w:tc>
          <w:tcPr>
            <w:tcW w:w="689" w:type="dxa"/>
            <w:vAlign w:val="center"/>
            <w:hideMark/>
          </w:tcPr>
          <w:p w14:paraId="3136530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c>
          <w:tcPr>
            <w:tcW w:w="830" w:type="dxa"/>
            <w:vAlign w:val="center"/>
            <w:hideMark/>
          </w:tcPr>
          <w:p w14:paraId="0C1B8DE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39.30%</w:t>
            </w:r>
          </w:p>
        </w:tc>
        <w:tc>
          <w:tcPr>
            <w:tcW w:w="761" w:type="dxa"/>
            <w:vAlign w:val="center"/>
            <w:hideMark/>
          </w:tcPr>
          <w:p w14:paraId="1820B64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c>
          <w:tcPr>
            <w:tcW w:w="709" w:type="dxa"/>
            <w:vAlign w:val="center"/>
            <w:hideMark/>
          </w:tcPr>
          <w:p w14:paraId="39FCD0C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25.00%</w:t>
            </w:r>
          </w:p>
        </w:tc>
        <w:tc>
          <w:tcPr>
            <w:tcW w:w="709" w:type="dxa"/>
            <w:vAlign w:val="center"/>
            <w:hideMark/>
          </w:tcPr>
          <w:p w14:paraId="32E3259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26.00%</w:t>
            </w:r>
          </w:p>
        </w:tc>
        <w:tc>
          <w:tcPr>
            <w:tcW w:w="709" w:type="dxa"/>
            <w:gridSpan w:val="2"/>
            <w:vAlign w:val="center"/>
            <w:hideMark/>
          </w:tcPr>
          <w:p w14:paraId="4F26A30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39.30%</w:t>
            </w:r>
          </w:p>
        </w:tc>
        <w:tc>
          <w:tcPr>
            <w:tcW w:w="708" w:type="dxa"/>
            <w:vAlign w:val="center"/>
            <w:hideMark/>
          </w:tcPr>
          <w:p w14:paraId="1849C0E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11.70%</w:t>
            </w:r>
          </w:p>
        </w:tc>
      </w:tr>
      <w:tr w:rsidR="00134869" w:rsidRPr="00134869" w14:paraId="686D551B" w14:textId="77777777" w:rsidTr="003118C3">
        <w:trPr>
          <w:gridAfter w:val="2"/>
          <w:wAfter w:w="190" w:type="dxa"/>
          <w:trHeight w:val="340"/>
        </w:trPr>
        <w:tc>
          <w:tcPr>
            <w:tcW w:w="1128" w:type="dxa"/>
            <w:vMerge/>
            <w:vAlign w:val="center"/>
            <w:hideMark/>
          </w:tcPr>
          <w:p w14:paraId="24368640"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5AC8F8F3"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el medio</w:t>
            </w:r>
          </w:p>
        </w:tc>
        <w:tc>
          <w:tcPr>
            <w:tcW w:w="834" w:type="dxa"/>
            <w:vAlign w:val="center"/>
            <w:hideMark/>
          </w:tcPr>
          <w:p w14:paraId="6B0368D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9.00%</w:t>
            </w:r>
          </w:p>
        </w:tc>
        <w:tc>
          <w:tcPr>
            <w:tcW w:w="634" w:type="dxa"/>
            <w:vAlign w:val="center"/>
            <w:hideMark/>
          </w:tcPr>
          <w:p w14:paraId="7CDA669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3.90%</w:t>
            </w:r>
          </w:p>
        </w:tc>
        <w:tc>
          <w:tcPr>
            <w:tcW w:w="839" w:type="dxa"/>
            <w:vAlign w:val="center"/>
            <w:hideMark/>
          </w:tcPr>
          <w:p w14:paraId="619E57D7"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9.00%</w:t>
            </w:r>
          </w:p>
        </w:tc>
        <w:tc>
          <w:tcPr>
            <w:tcW w:w="689" w:type="dxa"/>
            <w:vAlign w:val="center"/>
            <w:hideMark/>
          </w:tcPr>
          <w:p w14:paraId="129CBAB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3.90%</w:t>
            </w:r>
          </w:p>
        </w:tc>
        <w:tc>
          <w:tcPr>
            <w:tcW w:w="830" w:type="dxa"/>
            <w:vAlign w:val="center"/>
            <w:hideMark/>
          </w:tcPr>
          <w:p w14:paraId="21B479C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9.00%</w:t>
            </w:r>
          </w:p>
        </w:tc>
        <w:tc>
          <w:tcPr>
            <w:tcW w:w="761" w:type="dxa"/>
            <w:vAlign w:val="center"/>
            <w:hideMark/>
          </w:tcPr>
          <w:p w14:paraId="23B11CC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3.90%</w:t>
            </w:r>
          </w:p>
        </w:tc>
        <w:tc>
          <w:tcPr>
            <w:tcW w:w="709" w:type="dxa"/>
            <w:vAlign w:val="center"/>
            <w:hideMark/>
          </w:tcPr>
          <w:p w14:paraId="5CA951A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6.10%</w:t>
            </w:r>
          </w:p>
        </w:tc>
        <w:tc>
          <w:tcPr>
            <w:tcW w:w="709" w:type="dxa"/>
            <w:vAlign w:val="center"/>
            <w:hideMark/>
          </w:tcPr>
          <w:p w14:paraId="66ADAA2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6.80%</w:t>
            </w:r>
          </w:p>
        </w:tc>
        <w:tc>
          <w:tcPr>
            <w:tcW w:w="709" w:type="dxa"/>
            <w:gridSpan w:val="2"/>
            <w:vAlign w:val="center"/>
            <w:hideMark/>
          </w:tcPr>
          <w:p w14:paraId="2F65DFD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9.00%</w:t>
            </w:r>
          </w:p>
        </w:tc>
        <w:tc>
          <w:tcPr>
            <w:tcW w:w="708" w:type="dxa"/>
            <w:vAlign w:val="center"/>
            <w:hideMark/>
          </w:tcPr>
          <w:p w14:paraId="7248A84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3.90%</w:t>
            </w:r>
          </w:p>
        </w:tc>
      </w:tr>
      <w:tr w:rsidR="00134869" w:rsidRPr="00134869" w14:paraId="58FEB3D3" w14:textId="77777777" w:rsidTr="003118C3">
        <w:trPr>
          <w:gridAfter w:val="2"/>
          <w:wAfter w:w="190" w:type="dxa"/>
          <w:trHeight w:val="340"/>
        </w:trPr>
        <w:tc>
          <w:tcPr>
            <w:tcW w:w="1128" w:type="dxa"/>
            <w:vMerge/>
            <w:vAlign w:val="center"/>
            <w:hideMark/>
          </w:tcPr>
          <w:p w14:paraId="4566E36C"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172F6E51"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la media</w:t>
            </w:r>
          </w:p>
        </w:tc>
        <w:tc>
          <w:tcPr>
            <w:tcW w:w="834" w:type="dxa"/>
            <w:vAlign w:val="center"/>
            <w:hideMark/>
          </w:tcPr>
          <w:p w14:paraId="11A7E93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26.80%</w:t>
            </w:r>
          </w:p>
        </w:tc>
        <w:tc>
          <w:tcPr>
            <w:tcW w:w="634" w:type="dxa"/>
            <w:vAlign w:val="center"/>
            <w:hideMark/>
          </w:tcPr>
          <w:p w14:paraId="71AB1AB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c>
          <w:tcPr>
            <w:tcW w:w="839" w:type="dxa"/>
            <w:vAlign w:val="center"/>
            <w:hideMark/>
          </w:tcPr>
          <w:p w14:paraId="4C2C53E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26.80%</w:t>
            </w:r>
          </w:p>
        </w:tc>
        <w:tc>
          <w:tcPr>
            <w:tcW w:w="689" w:type="dxa"/>
            <w:vAlign w:val="center"/>
            <w:hideMark/>
          </w:tcPr>
          <w:p w14:paraId="5B9C20D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c>
          <w:tcPr>
            <w:tcW w:w="830" w:type="dxa"/>
            <w:vAlign w:val="center"/>
            <w:hideMark/>
          </w:tcPr>
          <w:p w14:paraId="0FA469A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26.80%</w:t>
            </w:r>
          </w:p>
        </w:tc>
        <w:tc>
          <w:tcPr>
            <w:tcW w:w="761" w:type="dxa"/>
            <w:vAlign w:val="center"/>
            <w:hideMark/>
          </w:tcPr>
          <w:p w14:paraId="31757F6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c>
          <w:tcPr>
            <w:tcW w:w="709" w:type="dxa"/>
            <w:vAlign w:val="center"/>
            <w:hideMark/>
          </w:tcPr>
          <w:p w14:paraId="03A4C56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18.90%</w:t>
            </w:r>
          </w:p>
        </w:tc>
        <w:tc>
          <w:tcPr>
            <w:tcW w:w="709" w:type="dxa"/>
            <w:vAlign w:val="center"/>
            <w:hideMark/>
          </w:tcPr>
          <w:p w14:paraId="633571A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17.20%</w:t>
            </w:r>
          </w:p>
        </w:tc>
        <w:tc>
          <w:tcPr>
            <w:tcW w:w="709" w:type="dxa"/>
            <w:gridSpan w:val="2"/>
            <w:vAlign w:val="center"/>
            <w:hideMark/>
          </w:tcPr>
          <w:p w14:paraId="14561C3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26.80%</w:t>
            </w:r>
          </w:p>
        </w:tc>
        <w:tc>
          <w:tcPr>
            <w:tcW w:w="708" w:type="dxa"/>
            <w:vAlign w:val="center"/>
            <w:hideMark/>
          </w:tcPr>
          <w:p w14:paraId="4684355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r>
      <w:tr w:rsidR="00134869" w:rsidRPr="00134869" w14:paraId="79F48973" w14:textId="77777777" w:rsidTr="003118C3">
        <w:trPr>
          <w:gridAfter w:val="2"/>
          <w:wAfter w:w="190" w:type="dxa"/>
          <w:trHeight w:val="500"/>
        </w:trPr>
        <w:tc>
          <w:tcPr>
            <w:tcW w:w="1128" w:type="dxa"/>
            <w:vMerge w:val="restart"/>
            <w:vAlign w:val="center"/>
            <w:hideMark/>
          </w:tcPr>
          <w:p w14:paraId="3E459D77"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Pensamiento crítico</w:t>
            </w:r>
          </w:p>
        </w:tc>
        <w:tc>
          <w:tcPr>
            <w:tcW w:w="1089" w:type="dxa"/>
            <w:vAlign w:val="center"/>
            <w:hideMark/>
          </w:tcPr>
          <w:p w14:paraId="0FB6A2B8"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Por debajo de la media</w:t>
            </w:r>
          </w:p>
        </w:tc>
        <w:tc>
          <w:tcPr>
            <w:tcW w:w="834" w:type="dxa"/>
            <w:vAlign w:val="center"/>
            <w:hideMark/>
          </w:tcPr>
          <w:p w14:paraId="6C8D211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23.60%</w:t>
            </w:r>
          </w:p>
        </w:tc>
        <w:tc>
          <w:tcPr>
            <w:tcW w:w="634" w:type="dxa"/>
            <w:vAlign w:val="center"/>
            <w:hideMark/>
          </w:tcPr>
          <w:p w14:paraId="7D3A7A2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8.00%</w:t>
            </w:r>
          </w:p>
        </w:tc>
        <w:tc>
          <w:tcPr>
            <w:tcW w:w="839" w:type="dxa"/>
            <w:vAlign w:val="center"/>
            <w:hideMark/>
          </w:tcPr>
          <w:p w14:paraId="476D9A2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23.60%</w:t>
            </w:r>
          </w:p>
        </w:tc>
        <w:tc>
          <w:tcPr>
            <w:tcW w:w="689" w:type="dxa"/>
            <w:vAlign w:val="center"/>
            <w:hideMark/>
          </w:tcPr>
          <w:p w14:paraId="52C00F4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8.00%</w:t>
            </w:r>
          </w:p>
        </w:tc>
        <w:tc>
          <w:tcPr>
            <w:tcW w:w="830" w:type="dxa"/>
            <w:vAlign w:val="center"/>
            <w:hideMark/>
          </w:tcPr>
          <w:p w14:paraId="2D17F93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23.60%</w:t>
            </w:r>
          </w:p>
        </w:tc>
        <w:tc>
          <w:tcPr>
            <w:tcW w:w="761" w:type="dxa"/>
            <w:vAlign w:val="center"/>
            <w:hideMark/>
          </w:tcPr>
          <w:p w14:paraId="0BC01FE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8.00%</w:t>
            </w:r>
          </w:p>
        </w:tc>
        <w:tc>
          <w:tcPr>
            <w:tcW w:w="709" w:type="dxa"/>
            <w:vAlign w:val="center"/>
            <w:hideMark/>
          </w:tcPr>
          <w:p w14:paraId="6493A20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13.50%</w:t>
            </w:r>
          </w:p>
        </w:tc>
        <w:tc>
          <w:tcPr>
            <w:tcW w:w="709" w:type="dxa"/>
            <w:vAlign w:val="center"/>
            <w:hideMark/>
          </w:tcPr>
          <w:p w14:paraId="0EBABAB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18.00%</w:t>
            </w:r>
          </w:p>
        </w:tc>
        <w:tc>
          <w:tcPr>
            <w:tcW w:w="709" w:type="dxa"/>
            <w:gridSpan w:val="2"/>
            <w:vAlign w:val="center"/>
            <w:hideMark/>
          </w:tcPr>
          <w:p w14:paraId="2C9A84E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23.60%</w:t>
            </w:r>
          </w:p>
        </w:tc>
        <w:tc>
          <w:tcPr>
            <w:tcW w:w="708" w:type="dxa"/>
            <w:vAlign w:val="center"/>
            <w:hideMark/>
          </w:tcPr>
          <w:p w14:paraId="3EE889A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8.00%</w:t>
            </w:r>
          </w:p>
        </w:tc>
      </w:tr>
      <w:tr w:rsidR="00134869" w:rsidRPr="00134869" w14:paraId="52BD70A1" w14:textId="77777777" w:rsidTr="003118C3">
        <w:trPr>
          <w:gridAfter w:val="2"/>
          <w:wAfter w:w="190" w:type="dxa"/>
          <w:trHeight w:val="340"/>
        </w:trPr>
        <w:tc>
          <w:tcPr>
            <w:tcW w:w="1128" w:type="dxa"/>
            <w:vMerge/>
            <w:vAlign w:val="center"/>
            <w:hideMark/>
          </w:tcPr>
          <w:p w14:paraId="354A082C"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74286283"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el medio</w:t>
            </w:r>
          </w:p>
        </w:tc>
        <w:tc>
          <w:tcPr>
            <w:tcW w:w="834" w:type="dxa"/>
            <w:vAlign w:val="center"/>
            <w:hideMark/>
          </w:tcPr>
          <w:p w14:paraId="4C58365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11.50%</w:t>
            </w:r>
          </w:p>
        </w:tc>
        <w:tc>
          <w:tcPr>
            <w:tcW w:w="634" w:type="dxa"/>
            <w:vAlign w:val="center"/>
            <w:hideMark/>
          </w:tcPr>
          <w:p w14:paraId="6F28D60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4.50%</w:t>
            </w:r>
          </w:p>
        </w:tc>
        <w:tc>
          <w:tcPr>
            <w:tcW w:w="839" w:type="dxa"/>
            <w:vAlign w:val="center"/>
            <w:hideMark/>
          </w:tcPr>
          <w:p w14:paraId="0CA6EBF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11.50%</w:t>
            </w:r>
          </w:p>
        </w:tc>
        <w:tc>
          <w:tcPr>
            <w:tcW w:w="689" w:type="dxa"/>
            <w:vAlign w:val="center"/>
            <w:hideMark/>
          </w:tcPr>
          <w:p w14:paraId="7AB7F3B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4.50%</w:t>
            </w:r>
          </w:p>
        </w:tc>
        <w:tc>
          <w:tcPr>
            <w:tcW w:w="830" w:type="dxa"/>
            <w:vAlign w:val="center"/>
            <w:hideMark/>
          </w:tcPr>
          <w:p w14:paraId="7E0CC2A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11.50%</w:t>
            </w:r>
          </w:p>
        </w:tc>
        <w:tc>
          <w:tcPr>
            <w:tcW w:w="761" w:type="dxa"/>
            <w:vAlign w:val="center"/>
            <w:hideMark/>
          </w:tcPr>
          <w:p w14:paraId="4A93D27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4.50%</w:t>
            </w:r>
          </w:p>
        </w:tc>
        <w:tc>
          <w:tcPr>
            <w:tcW w:w="709" w:type="dxa"/>
            <w:vAlign w:val="center"/>
            <w:hideMark/>
          </w:tcPr>
          <w:p w14:paraId="23FCE9D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8.40%</w:t>
            </w:r>
          </w:p>
        </w:tc>
        <w:tc>
          <w:tcPr>
            <w:tcW w:w="709" w:type="dxa"/>
            <w:vAlign w:val="center"/>
            <w:hideMark/>
          </w:tcPr>
          <w:p w14:paraId="38A34D5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7.60%</w:t>
            </w:r>
          </w:p>
        </w:tc>
        <w:tc>
          <w:tcPr>
            <w:tcW w:w="709" w:type="dxa"/>
            <w:gridSpan w:val="2"/>
            <w:vAlign w:val="center"/>
            <w:hideMark/>
          </w:tcPr>
          <w:p w14:paraId="6BDC09C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11.50%</w:t>
            </w:r>
          </w:p>
        </w:tc>
        <w:tc>
          <w:tcPr>
            <w:tcW w:w="708" w:type="dxa"/>
            <w:vAlign w:val="center"/>
            <w:hideMark/>
          </w:tcPr>
          <w:p w14:paraId="73710AE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4.50%</w:t>
            </w:r>
          </w:p>
        </w:tc>
      </w:tr>
      <w:tr w:rsidR="00134869" w:rsidRPr="00134869" w14:paraId="5F4BF523" w14:textId="77777777" w:rsidTr="003118C3">
        <w:trPr>
          <w:gridAfter w:val="2"/>
          <w:wAfter w:w="190" w:type="dxa"/>
          <w:trHeight w:val="340"/>
        </w:trPr>
        <w:tc>
          <w:tcPr>
            <w:tcW w:w="1128" w:type="dxa"/>
            <w:vMerge/>
            <w:vAlign w:val="center"/>
            <w:hideMark/>
          </w:tcPr>
          <w:p w14:paraId="4896A96E"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56EEABBD"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la media</w:t>
            </w:r>
          </w:p>
        </w:tc>
        <w:tc>
          <w:tcPr>
            <w:tcW w:w="834" w:type="dxa"/>
            <w:vAlign w:val="center"/>
            <w:hideMark/>
          </w:tcPr>
          <w:p w14:paraId="1D3F562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40.20%</w:t>
            </w:r>
          </w:p>
        </w:tc>
        <w:tc>
          <w:tcPr>
            <w:tcW w:w="634" w:type="dxa"/>
            <w:vAlign w:val="center"/>
            <w:hideMark/>
          </w:tcPr>
          <w:p w14:paraId="21D86CC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12.30%</w:t>
            </w:r>
          </w:p>
        </w:tc>
        <w:tc>
          <w:tcPr>
            <w:tcW w:w="839" w:type="dxa"/>
            <w:vAlign w:val="center"/>
            <w:hideMark/>
          </w:tcPr>
          <w:p w14:paraId="06D310D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40.20%</w:t>
            </w:r>
          </w:p>
        </w:tc>
        <w:tc>
          <w:tcPr>
            <w:tcW w:w="689" w:type="dxa"/>
            <w:vAlign w:val="center"/>
            <w:hideMark/>
          </w:tcPr>
          <w:p w14:paraId="6A3A31E4"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12.30%</w:t>
            </w:r>
          </w:p>
        </w:tc>
        <w:tc>
          <w:tcPr>
            <w:tcW w:w="830" w:type="dxa"/>
            <w:vAlign w:val="center"/>
            <w:hideMark/>
          </w:tcPr>
          <w:p w14:paraId="5598E89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40.20%</w:t>
            </w:r>
          </w:p>
        </w:tc>
        <w:tc>
          <w:tcPr>
            <w:tcW w:w="761" w:type="dxa"/>
            <w:vAlign w:val="center"/>
            <w:hideMark/>
          </w:tcPr>
          <w:p w14:paraId="661FF73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12.30%</w:t>
            </w:r>
          </w:p>
        </w:tc>
        <w:tc>
          <w:tcPr>
            <w:tcW w:w="709" w:type="dxa"/>
            <w:vAlign w:val="center"/>
            <w:hideMark/>
          </w:tcPr>
          <w:p w14:paraId="735BFDA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28.10%</w:t>
            </w:r>
          </w:p>
        </w:tc>
        <w:tc>
          <w:tcPr>
            <w:tcW w:w="709" w:type="dxa"/>
            <w:vAlign w:val="center"/>
            <w:hideMark/>
          </w:tcPr>
          <w:p w14:paraId="2B1FC9F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24.40%</w:t>
            </w:r>
          </w:p>
        </w:tc>
        <w:tc>
          <w:tcPr>
            <w:tcW w:w="709" w:type="dxa"/>
            <w:gridSpan w:val="2"/>
            <w:vAlign w:val="center"/>
            <w:hideMark/>
          </w:tcPr>
          <w:p w14:paraId="7D94B75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40.20%</w:t>
            </w:r>
          </w:p>
        </w:tc>
        <w:tc>
          <w:tcPr>
            <w:tcW w:w="708" w:type="dxa"/>
            <w:vAlign w:val="center"/>
            <w:hideMark/>
          </w:tcPr>
          <w:p w14:paraId="4D4B5D6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12.30%</w:t>
            </w:r>
          </w:p>
        </w:tc>
      </w:tr>
      <w:tr w:rsidR="00134869" w:rsidRPr="00134869" w14:paraId="7BC4805D" w14:textId="77777777" w:rsidTr="003118C3">
        <w:trPr>
          <w:gridAfter w:val="2"/>
          <w:wAfter w:w="190" w:type="dxa"/>
          <w:trHeight w:val="500"/>
        </w:trPr>
        <w:tc>
          <w:tcPr>
            <w:tcW w:w="1128" w:type="dxa"/>
            <w:vMerge w:val="restart"/>
            <w:vAlign w:val="center"/>
            <w:hideMark/>
          </w:tcPr>
          <w:p w14:paraId="0008380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Resolución de problemas</w:t>
            </w:r>
          </w:p>
        </w:tc>
        <w:tc>
          <w:tcPr>
            <w:tcW w:w="1089" w:type="dxa"/>
            <w:vAlign w:val="center"/>
            <w:hideMark/>
          </w:tcPr>
          <w:p w14:paraId="565B199F"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Por debajo de la media</w:t>
            </w:r>
          </w:p>
        </w:tc>
        <w:tc>
          <w:tcPr>
            <w:tcW w:w="834" w:type="dxa"/>
            <w:vAlign w:val="center"/>
            <w:hideMark/>
          </w:tcPr>
          <w:p w14:paraId="7FF2CCD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34.80%</w:t>
            </w:r>
          </w:p>
        </w:tc>
        <w:tc>
          <w:tcPr>
            <w:tcW w:w="634" w:type="dxa"/>
            <w:vAlign w:val="center"/>
            <w:hideMark/>
          </w:tcPr>
          <w:p w14:paraId="20AA3B8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c>
          <w:tcPr>
            <w:tcW w:w="839" w:type="dxa"/>
            <w:vAlign w:val="center"/>
            <w:hideMark/>
          </w:tcPr>
          <w:p w14:paraId="3DBADD5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34.80%</w:t>
            </w:r>
          </w:p>
        </w:tc>
        <w:tc>
          <w:tcPr>
            <w:tcW w:w="689" w:type="dxa"/>
            <w:vAlign w:val="center"/>
            <w:hideMark/>
          </w:tcPr>
          <w:p w14:paraId="44CA6C5C"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c>
          <w:tcPr>
            <w:tcW w:w="830" w:type="dxa"/>
            <w:vAlign w:val="center"/>
            <w:hideMark/>
          </w:tcPr>
          <w:p w14:paraId="24ABD4C6"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34.80%</w:t>
            </w:r>
          </w:p>
        </w:tc>
        <w:tc>
          <w:tcPr>
            <w:tcW w:w="761" w:type="dxa"/>
            <w:vAlign w:val="center"/>
            <w:hideMark/>
          </w:tcPr>
          <w:p w14:paraId="6F0E711D"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c>
          <w:tcPr>
            <w:tcW w:w="709" w:type="dxa"/>
            <w:vAlign w:val="center"/>
            <w:hideMark/>
          </w:tcPr>
          <w:p w14:paraId="181666C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24.00%</w:t>
            </w:r>
          </w:p>
        </w:tc>
        <w:tc>
          <w:tcPr>
            <w:tcW w:w="709" w:type="dxa"/>
            <w:vAlign w:val="center"/>
            <w:hideMark/>
          </w:tcPr>
          <w:p w14:paraId="2E72139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20.10%</w:t>
            </w:r>
          </w:p>
        </w:tc>
        <w:tc>
          <w:tcPr>
            <w:tcW w:w="709" w:type="dxa"/>
            <w:gridSpan w:val="2"/>
            <w:vAlign w:val="center"/>
            <w:hideMark/>
          </w:tcPr>
          <w:p w14:paraId="6966A19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34.80%</w:t>
            </w:r>
          </w:p>
        </w:tc>
        <w:tc>
          <w:tcPr>
            <w:tcW w:w="708" w:type="dxa"/>
            <w:vAlign w:val="center"/>
            <w:hideMark/>
          </w:tcPr>
          <w:p w14:paraId="2152AD06"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9.20%</w:t>
            </w:r>
          </w:p>
        </w:tc>
      </w:tr>
      <w:tr w:rsidR="00134869" w:rsidRPr="00134869" w14:paraId="1EF9D122" w14:textId="77777777" w:rsidTr="003118C3">
        <w:trPr>
          <w:gridAfter w:val="2"/>
          <w:wAfter w:w="190" w:type="dxa"/>
          <w:trHeight w:val="340"/>
        </w:trPr>
        <w:tc>
          <w:tcPr>
            <w:tcW w:w="1128" w:type="dxa"/>
            <w:vMerge/>
            <w:vAlign w:val="center"/>
            <w:hideMark/>
          </w:tcPr>
          <w:p w14:paraId="3C7D7109"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33664CD9"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el medio</w:t>
            </w:r>
          </w:p>
        </w:tc>
        <w:tc>
          <w:tcPr>
            <w:tcW w:w="834" w:type="dxa"/>
            <w:vAlign w:val="center"/>
            <w:hideMark/>
          </w:tcPr>
          <w:p w14:paraId="769EEDD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5.10%</w:t>
            </w:r>
          </w:p>
        </w:tc>
        <w:tc>
          <w:tcPr>
            <w:tcW w:w="634" w:type="dxa"/>
            <w:vAlign w:val="center"/>
            <w:hideMark/>
          </w:tcPr>
          <w:p w14:paraId="4A17E04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3.70%</w:t>
            </w:r>
          </w:p>
        </w:tc>
        <w:tc>
          <w:tcPr>
            <w:tcW w:w="839" w:type="dxa"/>
            <w:vAlign w:val="center"/>
            <w:hideMark/>
          </w:tcPr>
          <w:p w14:paraId="11039EB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5.10%</w:t>
            </w:r>
          </w:p>
        </w:tc>
        <w:tc>
          <w:tcPr>
            <w:tcW w:w="689" w:type="dxa"/>
            <w:vAlign w:val="center"/>
            <w:hideMark/>
          </w:tcPr>
          <w:p w14:paraId="52EBCE28"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3.70%</w:t>
            </w:r>
          </w:p>
        </w:tc>
        <w:tc>
          <w:tcPr>
            <w:tcW w:w="830" w:type="dxa"/>
            <w:vAlign w:val="center"/>
            <w:hideMark/>
          </w:tcPr>
          <w:p w14:paraId="3B50B6E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5.10%</w:t>
            </w:r>
          </w:p>
        </w:tc>
        <w:tc>
          <w:tcPr>
            <w:tcW w:w="761" w:type="dxa"/>
            <w:vAlign w:val="center"/>
            <w:hideMark/>
          </w:tcPr>
          <w:p w14:paraId="2285F57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3.70%</w:t>
            </w:r>
          </w:p>
        </w:tc>
        <w:tc>
          <w:tcPr>
            <w:tcW w:w="709" w:type="dxa"/>
            <w:vAlign w:val="center"/>
            <w:hideMark/>
          </w:tcPr>
          <w:p w14:paraId="0825C001"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3.10%</w:t>
            </w:r>
          </w:p>
        </w:tc>
        <w:tc>
          <w:tcPr>
            <w:tcW w:w="709" w:type="dxa"/>
            <w:vAlign w:val="center"/>
            <w:hideMark/>
          </w:tcPr>
          <w:p w14:paraId="2B43929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5.70%</w:t>
            </w:r>
          </w:p>
        </w:tc>
        <w:tc>
          <w:tcPr>
            <w:tcW w:w="709" w:type="dxa"/>
            <w:gridSpan w:val="2"/>
            <w:vAlign w:val="center"/>
            <w:hideMark/>
          </w:tcPr>
          <w:p w14:paraId="5A5ACB52"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5.10%</w:t>
            </w:r>
          </w:p>
        </w:tc>
        <w:tc>
          <w:tcPr>
            <w:tcW w:w="708" w:type="dxa"/>
            <w:vAlign w:val="center"/>
            <w:hideMark/>
          </w:tcPr>
          <w:p w14:paraId="6836F249"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3.70%</w:t>
            </w:r>
          </w:p>
        </w:tc>
      </w:tr>
      <w:tr w:rsidR="00134869" w:rsidRPr="00134869" w14:paraId="1B0C08EA" w14:textId="77777777" w:rsidTr="003118C3">
        <w:trPr>
          <w:gridAfter w:val="2"/>
          <w:wAfter w:w="190" w:type="dxa"/>
          <w:trHeight w:val="340"/>
        </w:trPr>
        <w:tc>
          <w:tcPr>
            <w:tcW w:w="1128" w:type="dxa"/>
            <w:vMerge/>
            <w:vAlign w:val="center"/>
            <w:hideMark/>
          </w:tcPr>
          <w:p w14:paraId="70D8CD6E"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p>
        </w:tc>
        <w:tc>
          <w:tcPr>
            <w:tcW w:w="1089" w:type="dxa"/>
            <w:vAlign w:val="center"/>
            <w:hideMark/>
          </w:tcPr>
          <w:p w14:paraId="484DEB1F" w14:textId="77777777" w:rsidR="00134869" w:rsidRPr="00134869" w:rsidRDefault="00134869" w:rsidP="00134869">
            <w:pPr>
              <w:spacing w:after="0" w:line="240" w:lineRule="auto"/>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En la media</w:t>
            </w:r>
          </w:p>
        </w:tc>
        <w:tc>
          <w:tcPr>
            <w:tcW w:w="834" w:type="dxa"/>
            <w:vAlign w:val="center"/>
            <w:hideMark/>
          </w:tcPr>
          <w:p w14:paraId="7041EF55"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35.20%</w:t>
            </w:r>
          </w:p>
        </w:tc>
        <w:tc>
          <w:tcPr>
            <w:tcW w:w="634" w:type="dxa"/>
            <w:vAlign w:val="center"/>
            <w:hideMark/>
          </w:tcPr>
          <w:p w14:paraId="2C877F60"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11.90%</w:t>
            </w:r>
          </w:p>
        </w:tc>
        <w:tc>
          <w:tcPr>
            <w:tcW w:w="839" w:type="dxa"/>
            <w:vAlign w:val="center"/>
            <w:hideMark/>
          </w:tcPr>
          <w:p w14:paraId="652E4423"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35.20%</w:t>
            </w:r>
          </w:p>
        </w:tc>
        <w:tc>
          <w:tcPr>
            <w:tcW w:w="689" w:type="dxa"/>
            <w:vAlign w:val="center"/>
            <w:hideMark/>
          </w:tcPr>
          <w:p w14:paraId="3AF8F0B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11.90%</w:t>
            </w:r>
          </w:p>
        </w:tc>
        <w:tc>
          <w:tcPr>
            <w:tcW w:w="830" w:type="dxa"/>
            <w:vAlign w:val="center"/>
            <w:hideMark/>
          </w:tcPr>
          <w:p w14:paraId="7B3896CA"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35.20%</w:t>
            </w:r>
          </w:p>
        </w:tc>
        <w:tc>
          <w:tcPr>
            <w:tcW w:w="761" w:type="dxa"/>
            <w:vAlign w:val="center"/>
            <w:hideMark/>
          </w:tcPr>
          <w:p w14:paraId="44FDC78E"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11.90%</w:t>
            </w:r>
          </w:p>
        </w:tc>
        <w:tc>
          <w:tcPr>
            <w:tcW w:w="709" w:type="dxa"/>
            <w:vAlign w:val="center"/>
            <w:hideMark/>
          </w:tcPr>
          <w:p w14:paraId="56DD7C4F"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23.00%</w:t>
            </w:r>
          </w:p>
        </w:tc>
        <w:tc>
          <w:tcPr>
            <w:tcW w:w="709" w:type="dxa"/>
            <w:vAlign w:val="center"/>
            <w:hideMark/>
          </w:tcPr>
          <w:p w14:paraId="09F6C7DB"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24.20%</w:t>
            </w:r>
          </w:p>
        </w:tc>
        <w:tc>
          <w:tcPr>
            <w:tcW w:w="709" w:type="dxa"/>
            <w:gridSpan w:val="2"/>
            <w:vAlign w:val="center"/>
            <w:hideMark/>
          </w:tcPr>
          <w:p w14:paraId="5B5DD846"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35.20%</w:t>
            </w:r>
          </w:p>
        </w:tc>
        <w:tc>
          <w:tcPr>
            <w:tcW w:w="708" w:type="dxa"/>
            <w:vAlign w:val="center"/>
            <w:hideMark/>
          </w:tcPr>
          <w:p w14:paraId="3A3EECB7" w14:textId="77777777" w:rsidR="00134869" w:rsidRPr="00134869" w:rsidRDefault="00134869" w:rsidP="00134869">
            <w:pPr>
              <w:spacing w:after="0" w:line="240" w:lineRule="auto"/>
              <w:jc w:val="center"/>
              <w:rPr>
                <w:rFonts w:ascii="Times New Roman" w:eastAsia="Times New Roman" w:hAnsi="Times New Roman" w:cs="Times New Roman"/>
                <w:color w:val="000000"/>
                <w:sz w:val="16"/>
                <w:szCs w:val="16"/>
                <w:lang w:val="es-MX"/>
              </w:rPr>
            </w:pPr>
            <w:r w:rsidRPr="00134869">
              <w:rPr>
                <w:rFonts w:ascii="Times New Roman" w:eastAsia="Times New Roman" w:hAnsi="Times New Roman" w:cs="Times New Roman" w:hint="cs"/>
                <w:color w:val="000000"/>
                <w:sz w:val="16"/>
                <w:szCs w:val="16"/>
              </w:rPr>
              <w:t>11.90%</w:t>
            </w:r>
          </w:p>
        </w:tc>
      </w:tr>
      <w:tr w:rsidR="00134869" w:rsidRPr="00134869" w14:paraId="2D5B4FA3" w14:textId="77777777" w:rsidTr="003118C3">
        <w:trPr>
          <w:gridAfter w:val="1"/>
          <w:wAfter w:w="130" w:type="dxa"/>
          <w:trHeight w:val="1060"/>
        </w:trPr>
        <w:tc>
          <w:tcPr>
            <w:tcW w:w="9699" w:type="dxa"/>
            <w:gridSpan w:val="14"/>
            <w:vAlign w:val="center"/>
            <w:hideMark/>
          </w:tcPr>
          <w:p w14:paraId="37BECA15" w14:textId="77777777" w:rsidR="00134869" w:rsidRPr="00134869" w:rsidRDefault="00134869" w:rsidP="00134869">
            <w:pPr>
              <w:spacing w:after="0" w:line="240" w:lineRule="auto"/>
              <w:jc w:val="center"/>
              <w:rPr>
                <w:rFonts w:ascii="Times New Roman" w:eastAsia="Times New Roman" w:hAnsi="Times New Roman" w:cs="Times New Roman"/>
                <w:color w:val="000000"/>
                <w:sz w:val="20"/>
                <w:szCs w:val="20"/>
                <w:lang w:val="es-MX"/>
              </w:rPr>
            </w:pPr>
            <w:r w:rsidRPr="00134869">
              <w:rPr>
                <w:rFonts w:ascii="Times New Roman" w:eastAsia="Times New Roman" w:hAnsi="Times New Roman" w:cs="Times New Roman" w:hint="cs"/>
                <w:color w:val="000000"/>
                <w:sz w:val="20"/>
                <w:szCs w:val="20"/>
                <w:lang w:val="es-MX"/>
              </w:rPr>
              <w:t>Nota: La Tabla 6 detalla la relación entre las dimensiones del pensamiento computacional y la acreditación de asignaturas vinculadas con competencias analíticas, tecnológicas y críticas. El análisis busca identificar si la aprobación de experiencias educativas específicas se asocia con la distribución de los estudiantes en los niveles de desempeño (debajo, en o por encima de la media)</w:t>
            </w:r>
          </w:p>
        </w:tc>
      </w:tr>
    </w:tbl>
    <w:p w14:paraId="1EBB97BF" w14:textId="01C8B535" w:rsidR="000A545E" w:rsidRPr="009A2439" w:rsidRDefault="000A545E" w:rsidP="003118C3">
      <w:pPr>
        <w:jc w:val="center"/>
      </w:pPr>
      <w:r w:rsidRPr="003118C3">
        <w:rPr>
          <w:rFonts w:ascii="Times New Roman" w:eastAsia="Times New Roman" w:hAnsi="Times New Roman" w:cs="Times New Roman"/>
          <w:color w:val="000000" w:themeColor="text1"/>
        </w:rPr>
        <w:t>Fuente:</w:t>
      </w:r>
      <w:r w:rsidRPr="009A2439">
        <w:rPr>
          <w:rFonts w:ascii="Times New Roman" w:eastAsia="Times New Roman" w:hAnsi="Times New Roman" w:cs="Times New Roman"/>
          <w:b/>
          <w:bCs/>
          <w:color w:val="000000" w:themeColor="text1"/>
        </w:rPr>
        <w:t xml:space="preserve"> </w:t>
      </w:r>
      <w:r w:rsidRPr="00936EB7">
        <w:rPr>
          <w:rFonts w:ascii="Times New Roman" w:eastAsia="Times New Roman" w:hAnsi="Times New Roman" w:cs="Times New Roman"/>
          <w:color w:val="000000" w:themeColor="text1"/>
        </w:rPr>
        <w:t>E</w:t>
      </w:r>
      <w:r w:rsidRPr="009A2439">
        <w:rPr>
          <w:rFonts w:ascii="Times New Roman" w:eastAsia="Times New Roman" w:hAnsi="Times New Roman" w:cs="Times New Roman"/>
          <w:color w:val="000000" w:themeColor="text1"/>
        </w:rPr>
        <w:t>laboración propia con el software IBM SPSS.</w:t>
      </w:r>
    </w:p>
    <w:p w14:paraId="1DB93535" w14:textId="77777777" w:rsidR="000A545E" w:rsidRPr="009A2439" w:rsidRDefault="000A545E" w:rsidP="000A545E">
      <w:pPr>
        <w:widowControl w:val="0"/>
        <w:tabs>
          <w:tab w:val="left" w:pos="281"/>
        </w:tabs>
        <w:spacing w:before="8" w:after="0" w:line="240" w:lineRule="auto"/>
        <w:jc w:val="both"/>
        <w:rPr>
          <w:rFonts w:ascii="Times New Roman" w:hAnsi="Times New Roman" w:cs="Times New Roman"/>
        </w:rPr>
      </w:pPr>
    </w:p>
    <w:p w14:paraId="023ACE4D" w14:textId="06722949" w:rsidR="000A545E" w:rsidRPr="00D40A98" w:rsidRDefault="00375120" w:rsidP="000A545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Asociaciones estadísticas </w:t>
      </w:r>
    </w:p>
    <w:p w14:paraId="61ADC276" w14:textId="77777777" w:rsidR="00375120" w:rsidRDefault="00375120" w:rsidP="000A545E">
      <w:pPr>
        <w:pStyle w:val="Descripcin"/>
        <w:keepNext/>
        <w:spacing w:after="0" w:line="360" w:lineRule="auto"/>
        <w:ind w:firstLine="708"/>
        <w:jc w:val="both"/>
        <w:rPr>
          <w:rFonts w:ascii="Times New Roman" w:eastAsia="Times New Roman" w:hAnsi="Times New Roman" w:cs="Times New Roman"/>
          <w:i w:val="0"/>
          <w:iCs w:val="0"/>
          <w:color w:val="auto"/>
          <w:sz w:val="24"/>
          <w:szCs w:val="24"/>
          <w:lang w:val="es-MX"/>
        </w:rPr>
      </w:pPr>
      <w:r w:rsidRPr="00375120">
        <w:rPr>
          <w:rFonts w:ascii="Times New Roman" w:eastAsia="Times New Roman" w:hAnsi="Times New Roman" w:cs="Times New Roman"/>
          <w:i w:val="0"/>
          <w:iCs w:val="0"/>
          <w:color w:val="auto"/>
          <w:sz w:val="24"/>
          <w:szCs w:val="24"/>
          <w:lang w:val="es-MX"/>
        </w:rPr>
        <w:t xml:space="preserve">Las asociaciones muestran la relación de dependencia entre las variables categóricas del estudio. Se utilizó la prueba de Chi-cuadrado de Pearson para determinar la existencia de asociación estadística significativa entre los factores sociodemográficos, académicos y los niveles de desempeño en pensamiento computacional. </w:t>
      </w:r>
    </w:p>
    <w:p w14:paraId="66AC666D" w14:textId="57673499" w:rsidR="000A545E" w:rsidRDefault="000A545E" w:rsidP="000A545E">
      <w:pPr>
        <w:pStyle w:val="Descripcin"/>
        <w:keepNext/>
        <w:spacing w:after="0" w:line="360" w:lineRule="auto"/>
        <w:ind w:firstLine="708"/>
        <w:jc w:val="both"/>
        <w:rPr>
          <w:rFonts w:ascii="Times New Roman" w:eastAsia="Times New Roman" w:hAnsi="Times New Roman" w:cs="Times New Roman"/>
          <w:i w:val="0"/>
          <w:iCs w:val="0"/>
          <w:color w:val="auto"/>
          <w:sz w:val="24"/>
          <w:szCs w:val="24"/>
          <w:lang w:val="es-MX"/>
        </w:rPr>
      </w:pPr>
      <w:r w:rsidRPr="009A2439">
        <w:rPr>
          <w:rFonts w:ascii="Times New Roman" w:eastAsia="Times New Roman" w:hAnsi="Times New Roman" w:cs="Times New Roman"/>
          <w:i w:val="0"/>
          <w:iCs w:val="0"/>
          <w:color w:val="auto"/>
          <w:sz w:val="24"/>
          <w:szCs w:val="24"/>
          <w:lang w:val="es-MX"/>
        </w:rPr>
        <w:t xml:space="preserve">La Tabla 7 muestra los elementos incluidos: las variables de género y la puntuación total en pensamiento computacional. </w:t>
      </w:r>
      <w:r w:rsidRPr="00173C7A">
        <w:rPr>
          <w:rFonts w:ascii="Times New Roman" w:eastAsia="Times New Roman" w:hAnsi="Times New Roman" w:cs="Times New Roman"/>
          <w:i w:val="0"/>
          <w:iCs w:val="0"/>
          <w:color w:val="auto"/>
          <w:sz w:val="24"/>
          <w:szCs w:val="24"/>
          <w:lang w:val="es-MX"/>
        </w:rPr>
        <w:t>E</w:t>
      </w:r>
      <w:r>
        <w:rPr>
          <w:rFonts w:ascii="Times New Roman" w:eastAsia="Times New Roman" w:hAnsi="Times New Roman" w:cs="Times New Roman"/>
          <w:i w:val="0"/>
          <w:iCs w:val="0"/>
          <w:color w:val="auto"/>
          <w:sz w:val="24"/>
          <w:szCs w:val="24"/>
          <w:lang w:val="es-MX"/>
        </w:rPr>
        <w:t>l</w:t>
      </w:r>
      <w:r w:rsidRPr="00173C7A">
        <w:rPr>
          <w:rFonts w:ascii="Times New Roman" w:eastAsia="Times New Roman" w:hAnsi="Times New Roman" w:cs="Times New Roman"/>
          <w:i w:val="0"/>
          <w:iCs w:val="0"/>
          <w:color w:val="auto"/>
          <w:sz w:val="24"/>
          <w:szCs w:val="24"/>
          <w:lang w:val="es-MX"/>
        </w:rPr>
        <w:t xml:space="preserve"> análisis permite identificar los factores con mayor incidencia en el desarrollo de las habilidades del siglo XXI entre los estudiantes de </w:t>
      </w:r>
      <w:r w:rsidR="00490824">
        <w:rPr>
          <w:rFonts w:ascii="Times New Roman" w:eastAsia="Times New Roman" w:hAnsi="Times New Roman" w:cs="Times New Roman"/>
          <w:i w:val="0"/>
          <w:iCs w:val="0"/>
          <w:color w:val="auto"/>
          <w:sz w:val="24"/>
          <w:szCs w:val="24"/>
          <w:lang w:val="es-MX"/>
        </w:rPr>
        <w:t>Contaduría</w:t>
      </w:r>
      <w:r w:rsidRPr="00173C7A">
        <w:rPr>
          <w:rFonts w:ascii="Times New Roman" w:eastAsia="Times New Roman" w:hAnsi="Times New Roman" w:cs="Times New Roman"/>
          <w:i w:val="0"/>
          <w:iCs w:val="0"/>
          <w:color w:val="auto"/>
          <w:sz w:val="24"/>
          <w:szCs w:val="24"/>
          <w:lang w:val="es-MX"/>
        </w:rPr>
        <w:t>.</w:t>
      </w:r>
      <w:r>
        <w:rPr>
          <w:rFonts w:ascii="Times New Roman" w:eastAsia="Times New Roman" w:hAnsi="Times New Roman" w:cs="Times New Roman"/>
          <w:i w:val="0"/>
          <w:iCs w:val="0"/>
          <w:color w:val="auto"/>
          <w:sz w:val="24"/>
          <w:szCs w:val="24"/>
          <w:lang w:val="es-MX"/>
        </w:rPr>
        <w:t xml:space="preserve"> </w:t>
      </w:r>
      <w:r w:rsidRPr="009A2439">
        <w:rPr>
          <w:rFonts w:ascii="Times New Roman" w:eastAsia="Times New Roman" w:hAnsi="Times New Roman" w:cs="Times New Roman"/>
          <w:i w:val="0"/>
          <w:iCs w:val="0"/>
          <w:color w:val="auto"/>
          <w:sz w:val="24"/>
          <w:szCs w:val="24"/>
          <w:lang w:val="es-MX"/>
        </w:rPr>
        <w:t xml:space="preserve">Al aplicar la prueba esta arrojó un valor significativo de 0.022, menor a 0.05, lo que determinaría la existencia de una </w:t>
      </w:r>
      <w:r w:rsidR="00375120">
        <w:rPr>
          <w:rFonts w:ascii="Times New Roman" w:eastAsia="Times New Roman" w:hAnsi="Times New Roman" w:cs="Times New Roman"/>
          <w:i w:val="0"/>
          <w:iCs w:val="0"/>
          <w:color w:val="auto"/>
          <w:sz w:val="24"/>
          <w:szCs w:val="24"/>
          <w:lang w:val="es-MX"/>
        </w:rPr>
        <w:t>dependencia</w:t>
      </w:r>
      <w:r w:rsidRPr="009A2439">
        <w:rPr>
          <w:rFonts w:ascii="Times New Roman" w:eastAsia="Times New Roman" w:hAnsi="Times New Roman" w:cs="Times New Roman"/>
          <w:i w:val="0"/>
          <w:iCs w:val="0"/>
          <w:color w:val="auto"/>
          <w:sz w:val="24"/>
          <w:szCs w:val="24"/>
          <w:lang w:val="es-MX"/>
        </w:rPr>
        <w:t xml:space="preserve"> entre ambas variables. Por otro lado, aprobar la asignatura de </w:t>
      </w:r>
      <w:r w:rsidR="00A952BB">
        <w:rPr>
          <w:rFonts w:ascii="Times New Roman" w:eastAsia="Times New Roman" w:hAnsi="Times New Roman" w:cs="Times New Roman"/>
          <w:i w:val="0"/>
          <w:iCs w:val="0"/>
          <w:color w:val="auto"/>
          <w:sz w:val="24"/>
          <w:szCs w:val="24"/>
          <w:lang w:val="es-MX"/>
        </w:rPr>
        <w:t>literacidad</w:t>
      </w:r>
      <w:r w:rsidRPr="009A2439">
        <w:rPr>
          <w:rFonts w:ascii="Times New Roman" w:eastAsia="Times New Roman" w:hAnsi="Times New Roman" w:cs="Times New Roman"/>
          <w:i w:val="0"/>
          <w:iCs w:val="0"/>
          <w:color w:val="auto"/>
          <w:sz w:val="24"/>
          <w:szCs w:val="24"/>
          <w:lang w:val="es-MX"/>
        </w:rPr>
        <w:t xml:space="preserve"> digital y la puntuación en la dimensión de </w:t>
      </w:r>
      <w:r w:rsidR="000E4ACE">
        <w:rPr>
          <w:rFonts w:ascii="Times New Roman" w:eastAsia="Times New Roman" w:hAnsi="Times New Roman" w:cs="Times New Roman"/>
          <w:i w:val="0"/>
          <w:iCs w:val="0"/>
          <w:color w:val="auto"/>
          <w:sz w:val="24"/>
          <w:szCs w:val="24"/>
          <w:lang w:val="es-MX"/>
        </w:rPr>
        <w:t>Pensamiento</w:t>
      </w:r>
      <w:r w:rsidRPr="009A2439">
        <w:rPr>
          <w:rFonts w:ascii="Times New Roman" w:eastAsia="Times New Roman" w:hAnsi="Times New Roman" w:cs="Times New Roman"/>
          <w:i w:val="0"/>
          <w:iCs w:val="0"/>
          <w:color w:val="auto"/>
          <w:sz w:val="24"/>
          <w:szCs w:val="24"/>
          <w:lang w:val="es-MX"/>
        </w:rPr>
        <w:t xml:space="preserve"> crítico se </w:t>
      </w:r>
      <w:r w:rsidR="00375120">
        <w:rPr>
          <w:rFonts w:ascii="Times New Roman" w:eastAsia="Times New Roman" w:hAnsi="Times New Roman" w:cs="Times New Roman"/>
          <w:i w:val="0"/>
          <w:iCs w:val="0"/>
          <w:color w:val="auto"/>
          <w:sz w:val="24"/>
          <w:szCs w:val="24"/>
          <w:lang w:val="es-MX"/>
        </w:rPr>
        <w:t>asociaron</w:t>
      </w:r>
      <w:r w:rsidRPr="009A2439">
        <w:rPr>
          <w:rFonts w:ascii="Times New Roman" w:eastAsia="Times New Roman" w:hAnsi="Times New Roman" w:cs="Times New Roman"/>
          <w:i w:val="0"/>
          <w:iCs w:val="0"/>
          <w:color w:val="auto"/>
          <w:sz w:val="24"/>
          <w:szCs w:val="24"/>
          <w:lang w:val="es-MX"/>
        </w:rPr>
        <w:t xml:space="preserve"> positivamente con un valor significativo menor a 0.05, al igual que acreditar las asignaturas de </w:t>
      </w:r>
      <w:r w:rsidR="000E4ACE">
        <w:rPr>
          <w:rFonts w:ascii="Times New Roman" w:eastAsia="Times New Roman" w:hAnsi="Times New Roman" w:cs="Times New Roman"/>
          <w:i w:val="0"/>
          <w:iCs w:val="0"/>
          <w:color w:val="auto"/>
          <w:sz w:val="24"/>
          <w:szCs w:val="24"/>
          <w:lang w:val="es-MX"/>
        </w:rPr>
        <w:t>Pensamiento</w:t>
      </w:r>
      <w:r w:rsidRPr="009A2439">
        <w:rPr>
          <w:rFonts w:ascii="Times New Roman" w:eastAsia="Times New Roman" w:hAnsi="Times New Roman" w:cs="Times New Roman"/>
          <w:i w:val="0"/>
          <w:iCs w:val="0"/>
          <w:color w:val="auto"/>
          <w:sz w:val="24"/>
          <w:szCs w:val="24"/>
          <w:lang w:val="es-MX"/>
        </w:rPr>
        <w:t xml:space="preserve"> crítico, matemáticas administrativas y estadística con </w:t>
      </w:r>
      <w:r w:rsidR="00375120">
        <w:rPr>
          <w:rFonts w:ascii="Times New Roman" w:eastAsia="Times New Roman" w:hAnsi="Times New Roman" w:cs="Times New Roman"/>
          <w:i w:val="0"/>
          <w:iCs w:val="0"/>
          <w:color w:val="auto"/>
          <w:sz w:val="24"/>
          <w:szCs w:val="24"/>
          <w:lang w:val="es-MX"/>
        </w:rPr>
        <w:t>el resultado</w:t>
      </w:r>
      <w:r w:rsidRPr="009A2439">
        <w:rPr>
          <w:rFonts w:ascii="Times New Roman" w:eastAsia="Times New Roman" w:hAnsi="Times New Roman" w:cs="Times New Roman"/>
          <w:i w:val="0"/>
          <w:iCs w:val="0"/>
          <w:color w:val="auto"/>
          <w:sz w:val="24"/>
          <w:szCs w:val="24"/>
          <w:lang w:val="es-MX"/>
        </w:rPr>
        <w:t xml:space="preserve"> obtenid</w:t>
      </w:r>
      <w:r w:rsidR="00375120">
        <w:rPr>
          <w:rFonts w:ascii="Times New Roman" w:eastAsia="Times New Roman" w:hAnsi="Times New Roman" w:cs="Times New Roman"/>
          <w:i w:val="0"/>
          <w:iCs w:val="0"/>
          <w:color w:val="auto"/>
          <w:sz w:val="24"/>
          <w:szCs w:val="24"/>
          <w:lang w:val="es-MX"/>
        </w:rPr>
        <w:t>o</w:t>
      </w:r>
      <w:r w:rsidRPr="009A2439">
        <w:rPr>
          <w:rFonts w:ascii="Times New Roman" w:eastAsia="Times New Roman" w:hAnsi="Times New Roman" w:cs="Times New Roman"/>
          <w:i w:val="0"/>
          <w:iCs w:val="0"/>
          <w:color w:val="auto"/>
          <w:sz w:val="24"/>
          <w:szCs w:val="24"/>
          <w:lang w:val="es-MX"/>
        </w:rPr>
        <w:t xml:space="preserve"> en la dimensión de </w:t>
      </w:r>
      <w:r w:rsidR="000E4ACE">
        <w:rPr>
          <w:rFonts w:ascii="Times New Roman" w:eastAsia="Times New Roman" w:hAnsi="Times New Roman" w:cs="Times New Roman"/>
          <w:i w:val="0"/>
          <w:iCs w:val="0"/>
          <w:color w:val="auto"/>
          <w:sz w:val="24"/>
          <w:szCs w:val="24"/>
          <w:lang w:val="es-MX"/>
        </w:rPr>
        <w:t>Pensamiento</w:t>
      </w:r>
      <w:r w:rsidRPr="009A2439">
        <w:rPr>
          <w:rFonts w:ascii="Times New Roman" w:eastAsia="Times New Roman" w:hAnsi="Times New Roman" w:cs="Times New Roman"/>
          <w:i w:val="0"/>
          <w:iCs w:val="0"/>
          <w:color w:val="auto"/>
          <w:sz w:val="24"/>
          <w:szCs w:val="24"/>
          <w:lang w:val="es-MX"/>
        </w:rPr>
        <w:t xml:space="preserve"> crítico con un valor significativo de 0.023. </w:t>
      </w:r>
    </w:p>
    <w:p w14:paraId="4B5860F5" w14:textId="6414E056" w:rsidR="000A545E" w:rsidRDefault="000A545E" w:rsidP="000A545E">
      <w:pPr>
        <w:pStyle w:val="Descripcin"/>
        <w:keepNext/>
        <w:spacing w:after="0" w:line="360" w:lineRule="auto"/>
        <w:ind w:firstLine="708"/>
        <w:jc w:val="both"/>
        <w:rPr>
          <w:rFonts w:ascii="Times New Roman" w:eastAsia="Times New Roman" w:hAnsi="Times New Roman" w:cs="Times New Roman"/>
          <w:i w:val="0"/>
          <w:iCs w:val="0"/>
          <w:color w:val="auto"/>
          <w:sz w:val="24"/>
          <w:szCs w:val="24"/>
          <w:lang w:val="es-MX"/>
        </w:rPr>
      </w:pPr>
      <w:r w:rsidRPr="009A2439">
        <w:rPr>
          <w:rFonts w:ascii="Times New Roman" w:eastAsia="Times New Roman" w:hAnsi="Times New Roman" w:cs="Times New Roman"/>
          <w:i w:val="0"/>
          <w:iCs w:val="0"/>
          <w:color w:val="auto"/>
          <w:sz w:val="24"/>
          <w:szCs w:val="24"/>
          <w:lang w:val="es-MX"/>
        </w:rPr>
        <w:t xml:space="preserve">Respecto al elemento edad y puntuación total de pensamiento computacional, la prueba muestra un valor </w:t>
      </w:r>
      <w:r w:rsidR="005529E6">
        <w:rPr>
          <w:rFonts w:ascii="Times New Roman" w:eastAsia="Times New Roman" w:hAnsi="Times New Roman" w:cs="Times New Roman"/>
          <w:i w:val="0"/>
          <w:iCs w:val="0"/>
          <w:color w:val="auto"/>
          <w:sz w:val="24"/>
          <w:szCs w:val="24"/>
          <w:lang w:val="es-MX"/>
        </w:rPr>
        <w:t xml:space="preserve">de </w:t>
      </w:r>
      <w:r w:rsidRPr="009A2439">
        <w:rPr>
          <w:rFonts w:ascii="Times New Roman" w:eastAsia="Times New Roman" w:hAnsi="Times New Roman" w:cs="Times New Roman"/>
          <w:i w:val="0"/>
          <w:iCs w:val="0"/>
          <w:color w:val="auto"/>
          <w:sz w:val="24"/>
          <w:szCs w:val="24"/>
          <w:lang w:val="es-MX"/>
        </w:rPr>
        <w:t>sig</w:t>
      </w:r>
      <w:r w:rsidR="005529E6">
        <w:rPr>
          <w:rFonts w:ascii="Times New Roman" w:eastAsia="Times New Roman" w:hAnsi="Times New Roman" w:cs="Times New Roman"/>
          <w:i w:val="0"/>
          <w:iCs w:val="0"/>
          <w:color w:val="auto"/>
          <w:sz w:val="24"/>
          <w:szCs w:val="24"/>
          <w:lang w:val="es-MX"/>
        </w:rPr>
        <w:t>nificancia</w:t>
      </w:r>
      <w:r w:rsidRPr="009A2439">
        <w:rPr>
          <w:rFonts w:ascii="Times New Roman" w:eastAsia="Times New Roman" w:hAnsi="Times New Roman" w:cs="Times New Roman"/>
          <w:i w:val="0"/>
          <w:iCs w:val="0"/>
          <w:color w:val="auto"/>
          <w:sz w:val="24"/>
          <w:szCs w:val="24"/>
          <w:lang w:val="es-MX"/>
        </w:rPr>
        <w:t xml:space="preserve"> asintótic</w:t>
      </w:r>
      <w:r w:rsidR="005529E6">
        <w:rPr>
          <w:rFonts w:ascii="Times New Roman" w:eastAsia="Times New Roman" w:hAnsi="Times New Roman" w:cs="Times New Roman"/>
          <w:i w:val="0"/>
          <w:iCs w:val="0"/>
          <w:color w:val="auto"/>
          <w:sz w:val="24"/>
          <w:szCs w:val="24"/>
          <w:lang w:val="es-MX"/>
        </w:rPr>
        <w:t>a</w:t>
      </w:r>
      <w:r w:rsidRPr="009A2439">
        <w:rPr>
          <w:rFonts w:ascii="Times New Roman" w:eastAsia="Times New Roman" w:hAnsi="Times New Roman" w:cs="Times New Roman"/>
          <w:i w:val="0"/>
          <w:iCs w:val="0"/>
          <w:color w:val="auto"/>
          <w:sz w:val="24"/>
          <w:szCs w:val="24"/>
          <w:lang w:val="es-MX"/>
        </w:rPr>
        <w:t xml:space="preserve"> de 0</w:t>
      </w:r>
      <w:r w:rsidR="00A952BB">
        <w:rPr>
          <w:rFonts w:ascii="Times New Roman" w:eastAsia="Times New Roman" w:hAnsi="Times New Roman" w:cs="Times New Roman"/>
          <w:i w:val="0"/>
          <w:iCs w:val="0"/>
          <w:color w:val="auto"/>
          <w:sz w:val="24"/>
          <w:szCs w:val="24"/>
          <w:lang w:val="es-MX"/>
        </w:rPr>
        <w:t>.</w:t>
      </w:r>
      <w:r w:rsidRPr="009A2439">
        <w:rPr>
          <w:rFonts w:ascii="Times New Roman" w:eastAsia="Times New Roman" w:hAnsi="Times New Roman" w:cs="Times New Roman"/>
          <w:i w:val="0"/>
          <w:iCs w:val="0"/>
          <w:color w:val="auto"/>
          <w:sz w:val="24"/>
          <w:szCs w:val="24"/>
          <w:lang w:val="es-MX"/>
        </w:rPr>
        <w:t>104, mayor que 0</w:t>
      </w:r>
      <w:r w:rsidR="00A952BB">
        <w:rPr>
          <w:rFonts w:ascii="Times New Roman" w:eastAsia="Times New Roman" w:hAnsi="Times New Roman" w:cs="Times New Roman"/>
          <w:i w:val="0"/>
          <w:iCs w:val="0"/>
          <w:color w:val="auto"/>
          <w:sz w:val="24"/>
          <w:szCs w:val="24"/>
          <w:lang w:val="es-MX"/>
        </w:rPr>
        <w:t>.</w:t>
      </w:r>
      <w:r w:rsidRPr="009A2439">
        <w:rPr>
          <w:rFonts w:ascii="Times New Roman" w:eastAsia="Times New Roman" w:hAnsi="Times New Roman" w:cs="Times New Roman"/>
          <w:i w:val="0"/>
          <w:iCs w:val="0"/>
          <w:color w:val="auto"/>
          <w:sz w:val="24"/>
          <w:szCs w:val="24"/>
          <w:lang w:val="es-MX"/>
        </w:rPr>
        <w:t xml:space="preserve">05, </w:t>
      </w:r>
      <w:r w:rsidR="005529E6">
        <w:rPr>
          <w:rFonts w:ascii="Times New Roman" w:eastAsia="Times New Roman" w:hAnsi="Times New Roman" w:cs="Times New Roman"/>
          <w:i w:val="0"/>
          <w:iCs w:val="0"/>
          <w:color w:val="auto"/>
          <w:sz w:val="24"/>
          <w:szCs w:val="24"/>
          <w:lang w:val="es-MX"/>
        </w:rPr>
        <w:t xml:space="preserve">por lo que </w:t>
      </w:r>
      <w:r w:rsidR="005529E6" w:rsidRPr="005529E6">
        <w:rPr>
          <w:rFonts w:ascii="Times New Roman" w:eastAsia="Times New Roman" w:hAnsi="Times New Roman" w:cs="Times New Roman"/>
          <w:i w:val="0"/>
          <w:iCs w:val="0"/>
          <w:color w:val="auto"/>
          <w:sz w:val="24"/>
          <w:szCs w:val="24"/>
          <w:lang w:val="es-MX"/>
        </w:rPr>
        <w:t>no se observó asociación estadísticamente significativa</w:t>
      </w:r>
      <w:r w:rsidRPr="009A2439">
        <w:rPr>
          <w:rFonts w:ascii="Times New Roman" w:eastAsia="Times New Roman" w:hAnsi="Times New Roman" w:cs="Times New Roman"/>
          <w:i w:val="0"/>
          <w:iCs w:val="0"/>
          <w:color w:val="auto"/>
          <w:sz w:val="24"/>
          <w:szCs w:val="24"/>
          <w:lang w:val="es-MX"/>
        </w:rPr>
        <w:t>.</w:t>
      </w:r>
    </w:p>
    <w:p w14:paraId="188C80BB" w14:textId="77777777" w:rsidR="000A545E" w:rsidRDefault="000A545E" w:rsidP="000A545E">
      <w:pPr>
        <w:widowControl w:val="0"/>
        <w:tabs>
          <w:tab w:val="left" w:pos="281"/>
        </w:tabs>
        <w:spacing w:after="0" w:line="240" w:lineRule="auto"/>
        <w:jc w:val="both"/>
        <w:rPr>
          <w:rFonts w:ascii="Times New Roman" w:hAnsi="Times New Roman" w:cs="Times New Roman"/>
        </w:rPr>
      </w:pPr>
    </w:p>
    <w:p w14:paraId="1023799E" w14:textId="77777777" w:rsidR="003118C3" w:rsidRDefault="003118C3" w:rsidP="000A545E">
      <w:pPr>
        <w:widowControl w:val="0"/>
        <w:tabs>
          <w:tab w:val="left" w:pos="281"/>
        </w:tabs>
        <w:spacing w:after="0" w:line="240" w:lineRule="auto"/>
        <w:jc w:val="both"/>
        <w:rPr>
          <w:rFonts w:ascii="Times New Roman" w:hAnsi="Times New Roman" w:cs="Times New Roman"/>
        </w:rPr>
      </w:pPr>
    </w:p>
    <w:p w14:paraId="0275114C" w14:textId="77777777" w:rsidR="003118C3" w:rsidRDefault="003118C3" w:rsidP="000A545E">
      <w:pPr>
        <w:widowControl w:val="0"/>
        <w:tabs>
          <w:tab w:val="left" w:pos="281"/>
        </w:tabs>
        <w:spacing w:after="0" w:line="240" w:lineRule="auto"/>
        <w:jc w:val="both"/>
        <w:rPr>
          <w:rFonts w:ascii="Times New Roman" w:hAnsi="Times New Roman" w:cs="Times New Roman"/>
        </w:rPr>
      </w:pPr>
    </w:p>
    <w:p w14:paraId="13105662" w14:textId="77777777" w:rsidR="003118C3" w:rsidRDefault="003118C3" w:rsidP="000A545E">
      <w:pPr>
        <w:widowControl w:val="0"/>
        <w:tabs>
          <w:tab w:val="left" w:pos="281"/>
        </w:tabs>
        <w:spacing w:after="0" w:line="240" w:lineRule="auto"/>
        <w:jc w:val="both"/>
        <w:rPr>
          <w:rFonts w:ascii="Times New Roman" w:hAnsi="Times New Roman" w:cs="Times New Roman"/>
        </w:rPr>
      </w:pPr>
    </w:p>
    <w:p w14:paraId="3593531D" w14:textId="77777777" w:rsidR="003118C3" w:rsidRDefault="003118C3" w:rsidP="000A545E">
      <w:pPr>
        <w:widowControl w:val="0"/>
        <w:tabs>
          <w:tab w:val="left" w:pos="281"/>
        </w:tabs>
        <w:spacing w:after="0" w:line="240" w:lineRule="auto"/>
        <w:jc w:val="both"/>
        <w:rPr>
          <w:rFonts w:ascii="Times New Roman" w:hAnsi="Times New Roman" w:cs="Times New Roman"/>
        </w:rPr>
      </w:pPr>
    </w:p>
    <w:p w14:paraId="3BA3389F" w14:textId="77777777" w:rsidR="003118C3" w:rsidRDefault="003118C3" w:rsidP="000A545E">
      <w:pPr>
        <w:widowControl w:val="0"/>
        <w:tabs>
          <w:tab w:val="left" w:pos="281"/>
        </w:tabs>
        <w:spacing w:after="0" w:line="240" w:lineRule="auto"/>
        <w:jc w:val="both"/>
        <w:rPr>
          <w:rFonts w:ascii="Times New Roman" w:hAnsi="Times New Roman" w:cs="Times New Roman"/>
        </w:rPr>
      </w:pPr>
    </w:p>
    <w:p w14:paraId="052DB06A" w14:textId="77777777" w:rsidR="003118C3" w:rsidRPr="00B26B8F" w:rsidRDefault="003118C3" w:rsidP="000A545E">
      <w:pPr>
        <w:widowControl w:val="0"/>
        <w:tabs>
          <w:tab w:val="left" w:pos="281"/>
        </w:tabs>
        <w:spacing w:after="0" w:line="240" w:lineRule="auto"/>
        <w:jc w:val="both"/>
        <w:rPr>
          <w:rFonts w:ascii="Times New Roman" w:hAnsi="Times New Roman" w:cs="Times New Roman"/>
        </w:rPr>
      </w:pPr>
    </w:p>
    <w:p w14:paraId="613344B9" w14:textId="7050C692" w:rsidR="000A545E" w:rsidRPr="001E7EA1" w:rsidRDefault="000A545E" w:rsidP="003118C3">
      <w:pPr>
        <w:pStyle w:val="Descripcin"/>
        <w:keepNext/>
        <w:widowControl w:val="0"/>
        <w:jc w:val="center"/>
        <w:rPr>
          <w:rFonts w:ascii="Times New Roman" w:eastAsia="Times New Roman" w:hAnsi="Times New Roman" w:cs="Times New Roman"/>
          <w:i w:val="0"/>
          <w:iCs w:val="0"/>
          <w:color w:val="auto"/>
          <w:sz w:val="24"/>
          <w:szCs w:val="24"/>
          <w:lang w:val="es-MX"/>
        </w:rPr>
      </w:pPr>
      <w:r w:rsidRPr="009E6266">
        <w:rPr>
          <w:rFonts w:ascii="Times New Roman" w:eastAsia="Times New Roman" w:hAnsi="Times New Roman" w:cs="Times New Roman"/>
          <w:b/>
          <w:bCs/>
          <w:i w:val="0"/>
          <w:iCs w:val="0"/>
          <w:color w:val="auto"/>
          <w:sz w:val="24"/>
          <w:szCs w:val="24"/>
          <w:lang w:val="es-MX"/>
        </w:rPr>
        <w:lastRenderedPageBreak/>
        <w:t xml:space="preserve">Tabla 7. </w:t>
      </w:r>
      <w:r w:rsidR="0062661E">
        <w:rPr>
          <w:rFonts w:ascii="Times New Roman" w:eastAsia="Times New Roman" w:hAnsi="Times New Roman" w:cs="Times New Roman"/>
          <w:i w:val="0"/>
          <w:iCs w:val="0"/>
          <w:color w:val="auto"/>
          <w:sz w:val="24"/>
          <w:szCs w:val="24"/>
          <w:lang w:val="es-MX"/>
        </w:rPr>
        <w:t>Asociacione</w:t>
      </w:r>
      <w:r w:rsidRPr="009E6266">
        <w:rPr>
          <w:rFonts w:ascii="Times New Roman" w:eastAsia="Times New Roman" w:hAnsi="Times New Roman" w:cs="Times New Roman"/>
          <w:i w:val="0"/>
          <w:iCs w:val="0"/>
          <w:color w:val="auto"/>
          <w:sz w:val="24"/>
          <w:szCs w:val="24"/>
          <w:lang w:val="es-MX"/>
        </w:rPr>
        <w:t xml:space="preserve">s entre </w:t>
      </w:r>
      <w:r w:rsidR="0062661E">
        <w:rPr>
          <w:rFonts w:ascii="Times New Roman" w:eastAsia="Times New Roman" w:hAnsi="Times New Roman" w:cs="Times New Roman"/>
          <w:i w:val="0"/>
          <w:iCs w:val="0"/>
          <w:color w:val="auto"/>
          <w:sz w:val="24"/>
          <w:szCs w:val="24"/>
          <w:lang w:val="es-MX"/>
        </w:rPr>
        <w:t>variables y el nivel de pensamiento computacional.</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6"/>
        <w:gridCol w:w="2018"/>
        <w:gridCol w:w="146"/>
      </w:tblGrid>
      <w:tr w:rsidR="000A545E" w:rsidRPr="00FA7B01" w14:paraId="7095B144" w14:textId="77777777" w:rsidTr="003118C3">
        <w:trPr>
          <w:gridAfter w:val="1"/>
          <w:wAfter w:w="36" w:type="dxa"/>
          <w:trHeight w:val="499"/>
          <w:jc w:val="center"/>
        </w:trPr>
        <w:tc>
          <w:tcPr>
            <w:tcW w:w="6091" w:type="dxa"/>
            <w:vMerge w:val="restart"/>
            <w:vAlign w:val="center"/>
            <w:hideMark/>
          </w:tcPr>
          <w:p w14:paraId="06E04F4B"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Elemento</w:t>
            </w:r>
          </w:p>
        </w:tc>
        <w:tc>
          <w:tcPr>
            <w:tcW w:w="2033" w:type="dxa"/>
            <w:vMerge w:val="restart"/>
            <w:vAlign w:val="center"/>
            <w:hideMark/>
          </w:tcPr>
          <w:p w14:paraId="664E9ACE" w14:textId="7F5ACDCA"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 </w:t>
            </w:r>
            <w:r w:rsidR="0062661E">
              <w:rPr>
                <w:rFonts w:ascii="Times New Roman" w:eastAsia="Times New Roman" w:hAnsi="Times New Roman" w:cs="Times New Roman"/>
                <w:color w:val="000000"/>
                <w:sz w:val="22"/>
                <w:szCs w:val="22"/>
              </w:rPr>
              <w:t>S</w:t>
            </w:r>
            <w:r w:rsidR="005529E6">
              <w:rPr>
                <w:rFonts w:ascii="Times New Roman" w:eastAsia="Times New Roman" w:hAnsi="Times New Roman" w:cs="Times New Roman"/>
                <w:color w:val="000000"/>
                <w:sz w:val="22"/>
                <w:szCs w:val="22"/>
              </w:rPr>
              <w:t xml:space="preserve">ignificancia </w:t>
            </w:r>
            <w:r w:rsidRPr="001E7EA1">
              <w:rPr>
                <w:rFonts w:ascii="Times New Roman" w:eastAsia="Times New Roman" w:hAnsi="Times New Roman" w:cs="Times New Roman"/>
                <w:color w:val="000000"/>
                <w:sz w:val="22"/>
                <w:szCs w:val="22"/>
              </w:rPr>
              <w:t>asintótica</w:t>
            </w:r>
          </w:p>
        </w:tc>
      </w:tr>
      <w:tr w:rsidR="000A545E" w:rsidRPr="00FA7B01" w14:paraId="4A271D30" w14:textId="77777777" w:rsidTr="003118C3">
        <w:trPr>
          <w:trHeight w:val="420"/>
          <w:jc w:val="center"/>
        </w:trPr>
        <w:tc>
          <w:tcPr>
            <w:tcW w:w="6091" w:type="dxa"/>
            <w:vMerge/>
            <w:vAlign w:val="center"/>
            <w:hideMark/>
          </w:tcPr>
          <w:p w14:paraId="39BE7524"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2033" w:type="dxa"/>
            <w:vMerge/>
            <w:vAlign w:val="center"/>
            <w:hideMark/>
          </w:tcPr>
          <w:p w14:paraId="5AA0AE3C"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p>
        </w:tc>
        <w:tc>
          <w:tcPr>
            <w:tcW w:w="36" w:type="dxa"/>
            <w:noWrap/>
            <w:vAlign w:val="bottom"/>
            <w:hideMark/>
          </w:tcPr>
          <w:p w14:paraId="61490A90"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p>
        </w:tc>
      </w:tr>
      <w:tr w:rsidR="000A545E" w:rsidRPr="001E7EA1" w14:paraId="236A91BF" w14:textId="77777777" w:rsidTr="003118C3">
        <w:trPr>
          <w:trHeight w:val="408"/>
          <w:jc w:val="center"/>
        </w:trPr>
        <w:tc>
          <w:tcPr>
            <w:tcW w:w="6091" w:type="dxa"/>
            <w:vAlign w:val="center"/>
            <w:hideMark/>
          </w:tcPr>
          <w:p w14:paraId="5997A356"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7B3DCA">
              <w:rPr>
                <w:rFonts w:ascii="Times New Roman" w:eastAsia="Times New Roman" w:hAnsi="Times New Roman" w:cs="Times New Roman"/>
                <w:color w:val="000000"/>
                <w:sz w:val="22"/>
                <w:szCs w:val="22"/>
              </w:rPr>
              <w:t>Género</w:t>
            </w:r>
            <w:r w:rsidRPr="001E7EA1">
              <w:rPr>
                <w:rFonts w:ascii="Times New Roman" w:eastAsia="Times New Roman" w:hAnsi="Times New Roman" w:cs="Times New Roman"/>
                <w:color w:val="000000"/>
                <w:sz w:val="22"/>
                <w:szCs w:val="22"/>
              </w:rPr>
              <w:t xml:space="preserve"> y puntuación total de pensamiento computacional</w:t>
            </w:r>
          </w:p>
        </w:tc>
        <w:tc>
          <w:tcPr>
            <w:tcW w:w="2033" w:type="dxa"/>
            <w:vAlign w:val="center"/>
            <w:hideMark/>
          </w:tcPr>
          <w:p w14:paraId="2961FF79"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0.022</w:t>
            </w:r>
          </w:p>
        </w:tc>
        <w:tc>
          <w:tcPr>
            <w:tcW w:w="36" w:type="dxa"/>
            <w:vAlign w:val="center"/>
            <w:hideMark/>
          </w:tcPr>
          <w:p w14:paraId="2F9287A5" w14:textId="77777777" w:rsidR="000A545E" w:rsidRPr="001E7EA1" w:rsidRDefault="000A545E" w:rsidP="0002088C">
            <w:pPr>
              <w:spacing w:after="0" w:line="240" w:lineRule="auto"/>
              <w:rPr>
                <w:rFonts w:ascii="Times New Roman" w:eastAsia="Times New Roman" w:hAnsi="Times New Roman" w:cs="Times New Roman"/>
                <w:sz w:val="22"/>
                <w:szCs w:val="22"/>
              </w:rPr>
            </w:pPr>
          </w:p>
        </w:tc>
      </w:tr>
      <w:tr w:rsidR="000A545E" w:rsidRPr="001E7EA1" w14:paraId="6BF005C5" w14:textId="77777777" w:rsidTr="003118C3">
        <w:trPr>
          <w:trHeight w:val="408"/>
          <w:jc w:val="center"/>
        </w:trPr>
        <w:tc>
          <w:tcPr>
            <w:tcW w:w="6091" w:type="dxa"/>
            <w:vAlign w:val="center"/>
            <w:hideMark/>
          </w:tcPr>
          <w:p w14:paraId="4A6606D5" w14:textId="77777777"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Edad y puntuación total de pensamiento computacional</w:t>
            </w:r>
          </w:p>
        </w:tc>
        <w:tc>
          <w:tcPr>
            <w:tcW w:w="2033" w:type="dxa"/>
            <w:vAlign w:val="center"/>
            <w:hideMark/>
          </w:tcPr>
          <w:p w14:paraId="4720E6EE"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0.104</w:t>
            </w:r>
          </w:p>
        </w:tc>
        <w:tc>
          <w:tcPr>
            <w:tcW w:w="36" w:type="dxa"/>
            <w:vAlign w:val="center"/>
            <w:hideMark/>
          </w:tcPr>
          <w:p w14:paraId="54481239" w14:textId="77777777" w:rsidR="000A545E" w:rsidRPr="001E7EA1" w:rsidRDefault="000A545E" w:rsidP="0002088C">
            <w:pPr>
              <w:spacing w:after="0" w:line="240" w:lineRule="auto"/>
              <w:rPr>
                <w:rFonts w:ascii="Times New Roman" w:eastAsia="Times New Roman" w:hAnsi="Times New Roman" w:cs="Times New Roman"/>
                <w:sz w:val="22"/>
                <w:szCs w:val="22"/>
              </w:rPr>
            </w:pPr>
          </w:p>
        </w:tc>
      </w:tr>
      <w:tr w:rsidR="000A545E" w:rsidRPr="001E7EA1" w14:paraId="06780F55" w14:textId="77777777" w:rsidTr="003118C3">
        <w:trPr>
          <w:trHeight w:val="600"/>
          <w:jc w:val="center"/>
        </w:trPr>
        <w:tc>
          <w:tcPr>
            <w:tcW w:w="6091" w:type="dxa"/>
            <w:vAlign w:val="center"/>
            <w:hideMark/>
          </w:tcPr>
          <w:p w14:paraId="721A5A70" w14:textId="71E21662"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Asignatura de </w:t>
            </w:r>
            <w:r w:rsidR="005529E6">
              <w:rPr>
                <w:rFonts w:ascii="Times New Roman" w:eastAsia="Times New Roman" w:hAnsi="Times New Roman" w:cs="Times New Roman"/>
                <w:color w:val="000000"/>
                <w:sz w:val="22"/>
                <w:szCs w:val="22"/>
              </w:rPr>
              <w:t>literacidad</w:t>
            </w:r>
            <w:r w:rsidRPr="001E7EA1">
              <w:rPr>
                <w:rFonts w:ascii="Times New Roman" w:eastAsia="Times New Roman" w:hAnsi="Times New Roman" w:cs="Times New Roman"/>
                <w:color w:val="000000"/>
                <w:sz w:val="22"/>
                <w:szCs w:val="22"/>
              </w:rPr>
              <w:t xml:space="preserve"> digital completada y puntuación en la dimensión </w:t>
            </w:r>
            <w:r w:rsidR="000E4ACE">
              <w:rPr>
                <w:rFonts w:ascii="Times New Roman" w:eastAsia="Times New Roman" w:hAnsi="Times New Roman" w:cs="Times New Roman"/>
                <w:color w:val="000000"/>
                <w:sz w:val="22"/>
                <w:szCs w:val="22"/>
              </w:rPr>
              <w:t>Pensamiento</w:t>
            </w:r>
            <w:r w:rsidRPr="001E7EA1">
              <w:rPr>
                <w:rFonts w:ascii="Times New Roman" w:eastAsia="Times New Roman" w:hAnsi="Times New Roman" w:cs="Times New Roman"/>
                <w:color w:val="000000"/>
                <w:sz w:val="22"/>
                <w:szCs w:val="22"/>
              </w:rPr>
              <w:t xml:space="preserve"> crítico</w:t>
            </w:r>
          </w:p>
        </w:tc>
        <w:tc>
          <w:tcPr>
            <w:tcW w:w="2033" w:type="dxa"/>
            <w:vAlign w:val="center"/>
            <w:hideMark/>
          </w:tcPr>
          <w:p w14:paraId="780C6EE6"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0.023</w:t>
            </w:r>
          </w:p>
        </w:tc>
        <w:tc>
          <w:tcPr>
            <w:tcW w:w="36" w:type="dxa"/>
            <w:vAlign w:val="center"/>
            <w:hideMark/>
          </w:tcPr>
          <w:p w14:paraId="10076345" w14:textId="77777777" w:rsidR="000A545E" w:rsidRPr="001E7EA1" w:rsidRDefault="000A545E" w:rsidP="0002088C">
            <w:pPr>
              <w:spacing w:after="0" w:line="240" w:lineRule="auto"/>
              <w:rPr>
                <w:rFonts w:ascii="Times New Roman" w:eastAsia="Times New Roman" w:hAnsi="Times New Roman" w:cs="Times New Roman"/>
                <w:sz w:val="22"/>
                <w:szCs w:val="22"/>
              </w:rPr>
            </w:pPr>
          </w:p>
        </w:tc>
      </w:tr>
      <w:tr w:rsidR="000A545E" w:rsidRPr="001E7EA1" w14:paraId="73674A12" w14:textId="77777777" w:rsidTr="003118C3">
        <w:trPr>
          <w:trHeight w:val="600"/>
          <w:jc w:val="center"/>
        </w:trPr>
        <w:tc>
          <w:tcPr>
            <w:tcW w:w="6091" w:type="dxa"/>
            <w:vAlign w:val="center"/>
            <w:hideMark/>
          </w:tcPr>
          <w:p w14:paraId="46F0EB5F" w14:textId="08E3557A"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Asignatura de </w:t>
            </w:r>
            <w:r w:rsidR="000E4ACE">
              <w:rPr>
                <w:rFonts w:ascii="Times New Roman" w:eastAsia="Times New Roman" w:hAnsi="Times New Roman" w:cs="Times New Roman"/>
                <w:color w:val="000000"/>
                <w:sz w:val="22"/>
                <w:szCs w:val="22"/>
              </w:rPr>
              <w:t>Pensamiento</w:t>
            </w:r>
            <w:r w:rsidRPr="001E7EA1">
              <w:rPr>
                <w:rFonts w:ascii="Times New Roman" w:eastAsia="Times New Roman" w:hAnsi="Times New Roman" w:cs="Times New Roman"/>
                <w:color w:val="000000"/>
                <w:sz w:val="22"/>
                <w:szCs w:val="22"/>
              </w:rPr>
              <w:t xml:space="preserve"> crítico completada y puntuación en la dimensión </w:t>
            </w:r>
            <w:r w:rsidR="000E4ACE">
              <w:rPr>
                <w:rFonts w:ascii="Times New Roman" w:eastAsia="Times New Roman" w:hAnsi="Times New Roman" w:cs="Times New Roman"/>
                <w:color w:val="000000"/>
                <w:sz w:val="22"/>
                <w:szCs w:val="22"/>
              </w:rPr>
              <w:t>Pensamiento</w:t>
            </w:r>
            <w:r w:rsidR="005529E6">
              <w:rPr>
                <w:rFonts w:ascii="Times New Roman" w:eastAsia="Times New Roman" w:hAnsi="Times New Roman" w:cs="Times New Roman"/>
                <w:color w:val="000000"/>
                <w:sz w:val="22"/>
                <w:szCs w:val="22"/>
              </w:rPr>
              <w:t xml:space="preserve"> crítico</w:t>
            </w:r>
          </w:p>
        </w:tc>
        <w:tc>
          <w:tcPr>
            <w:tcW w:w="2033" w:type="dxa"/>
            <w:vAlign w:val="center"/>
            <w:hideMark/>
          </w:tcPr>
          <w:p w14:paraId="23827DE5"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0.023</w:t>
            </w:r>
          </w:p>
        </w:tc>
        <w:tc>
          <w:tcPr>
            <w:tcW w:w="36" w:type="dxa"/>
            <w:vAlign w:val="center"/>
            <w:hideMark/>
          </w:tcPr>
          <w:p w14:paraId="6024809F" w14:textId="77777777" w:rsidR="000A545E" w:rsidRPr="001E7EA1" w:rsidRDefault="000A545E" w:rsidP="0002088C">
            <w:pPr>
              <w:spacing w:after="0" w:line="240" w:lineRule="auto"/>
              <w:rPr>
                <w:rFonts w:ascii="Times New Roman" w:eastAsia="Times New Roman" w:hAnsi="Times New Roman" w:cs="Times New Roman"/>
                <w:sz w:val="22"/>
                <w:szCs w:val="22"/>
              </w:rPr>
            </w:pPr>
          </w:p>
        </w:tc>
      </w:tr>
      <w:tr w:rsidR="000A545E" w:rsidRPr="001E7EA1" w14:paraId="7E76036C" w14:textId="77777777" w:rsidTr="003118C3">
        <w:trPr>
          <w:trHeight w:val="600"/>
          <w:jc w:val="center"/>
        </w:trPr>
        <w:tc>
          <w:tcPr>
            <w:tcW w:w="6091" w:type="dxa"/>
            <w:vAlign w:val="center"/>
            <w:hideMark/>
          </w:tcPr>
          <w:p w14:paraId="5C918D79" w14:textId="4818C4DC"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Asignatura de matemáticas administrativas completada y puntuación en la dimensión </w:t>
            </w:r>
            <w:r w:rsidR="000E4ACE">
              <w:rPr>
                <w:rFonts w:ascii="Times New Roman" w:eastAsia="Times New Roman" w:hAnsi="Times New Roman" w:cs="Times New Roman"/>
                <w:color w:val="000000"/>
                <w:sz w:val="22"/>
                <w:szCs w:val="22"/>
              </w:rPr>
              <w:t>Pensamiento</w:t>
            </w:r>
            <w:r w:rsidRPr="001E7EA1">
              <w:rPr>
                <w:rFonts w:ascii="Times New Roman" w:eastAsia="Times New Roman" w:hAnsi="Times New Roman" w:cs="Times New Roman"/>
                <w:color w:val="000000"/>
                <w:sz w:val="22"/>
                <w:szCs w:val="22"/>
              </w:rPr>
              <w:t xml:space="preserve"> crítico</w:t>
            </w:r>
          </w:p>
        </w:tc>
        <w:tc>
          <w:tcPr>
            <w:tcW w:w="2033" w:type="dxa"/>
            <w:vAlign w:val="center"/>
            <w:hideMark/>
          </w:tcPr>
          <w:p w14:paraId="56ED3B63"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0.023</w:t>
            </w:r>
          </w:p>
        </w:tc>
        <w:tc>
          <w:tcPr>
            <w:tcW w:w="36" w:type="dxa"/>
            <w:vAlign w:val="center"/>
            <w:hideMark/>
          </w:tcPr>
          <w:p w14:paraId="660C3C66" w14:textId="77777777" w:rsidR="000A545E" w:rsidRPr="001E7EA1" w:rsidRDefault="000A545E" w:rsidP="0002088C">
            <w:pPr>
              <w:spacing w:after="0" w:line="240" w:lineRule="auto"/>
              <w:rPr>
                <w:rFonts w:ascii="Times New Roman" w:eastAsia="Times New Roman" w:hAnsi="Times New Roman" w:cs="Times New Roman"/>
                <w:sz w:val="22"/>
                <w:szCs w:val="22"/>
              </w:rPr>
            </w:pPr>
          </w:p>
        </w:tc>
      </w:tr>
      <w:tr w:rsidR="000A545E" w:rsidRPr="001E7EA1" w14:paraId="3100FDE9" w14:textId="77777777" w:rsidTr="003118C3">
        <w:trPr>
          <w:trHeight w:val="600"/>
          <w:jc w:val="center"/>
        </w:trPr>
        <w:tc>
          <w:tcPr>
            <w:tcW w:w="6091" w:type="dxa"/>
            <w:vAlign w:val="center"/>
            <w:hideMark/>
          </w:tcPr>
          <w:p w14:paraId="106E356E" w14:textId="6AD7DA88" w:rsidR="000A545E" w:rsidRPr="001E7EA1" w:rsidRDefault="000A545E" w:rsidP="0002088C">
            <w:pPr>
              <w:spacing w:after="0" w:line="240" w:lineRule="auto"/>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 xml:space="preserve">Asignatura de estadística completada y puntuación en la dimensión </w:t>
            </w:r>
            <w:r w:rsidR="000E4ACE">
              <w:rPr>
                <w:rFonts w:ascii="Times New Roman" w:eastAsia="Times New Roman" w:hAnsi="Times New Roman" w:cs="Times New Roman"/>
                <w:color w:val="000000"/>
                <w:sz w:val="22"/>
                <w:szCs w:val="22"/>
              </w:rPr>
              <w:t>Pensamiento</w:t>
            </w:r>
            <w:r w:rsidRPr="001E7EA1">
              <w:rPr>
                <w:rFonts w:ascii="Times New Roman" w:eastAsia="Times New Roman" w:hAnsi="Times New Roman" w:cs="Times New Roman"/>
                <w:color w:val="000000"/>
                <w:sz w:val="22"/>
                <w:szCs w:val="22"/>
              </w:rPr>
              <w:t xml:space="preserve"> crítico</w:t>
            </w:r>
          </w:p>
        </w:tc>
        <w:tc>
          <w:tcPr>
            <w:tcW w:w="2033" w:type="dxa"/>
            <w:vAlign w:val="center"/>
            <w:hideMark/>
          </w:tcPr>
          <w:p w14:paraId="6F0485B7" w14:textId="77777777" w:rsidR="000A545E" w:rsidRPr="001E7EA1" w:rsidRDefault="000A545E" w:rsidP="0002088C">
            <w:pPr>
              <w:spacing w:after="0" w:line="240" w:lineRule="auto"/>
              <w:jc w:val="center"/>
              <w:rPr>
                <w:rFonts w:ascii="Times New Roman" w:eastAsia="Times New Roman" w:hAnsi="Times New Roman" w:cs="Times New Roman"/>
                <w:color w:val="000000"/>
                <w:sz w:val="22"/>
                <w:szCs w:val="22"/>
              </w:rPr>
            </w:pPr>
            <w:r w:rsidRPr="001E7EA1">
              <w:rPr>
                <w:rFonts w:ascii="Times New Roman" w:eastAsia="Times New Roman" w:hAnsi="Times New Roman" w:cs="Times New Roman"/>
                <w:color w:val="000000"/>
                <w:sz w:val="22"/>
                <w:szCs w:val="22"/>
              </w:rPr>
              <w:t>0.023</w:t>
            </w:r>
          </w:p>
        </w:tc>
        <w:tc>
          <w:tcPr>
            <w:tcW w:w="36" w:type="dxa"/>
            <w:vAlign w:val="center"/>
            <w:hideMark/>
          </w:tcPr>
          <w:p w14:paraId="1B8AA5A2" w14:textId="77777777" w:rsidR="000A545E" w:rsidRPr="001E7EA1" w:rsidRDefault="000A545E" w:rsidP="0002088C">
            <w:pPr>
              <w:spacing w:after="0" w:line="240" w:lineRule="auto"/>
              <w:rPr>
                <w:rFonts w:ascii="Times New Roman" w:eastAsia="Times New Roman" w:hAnsi="Times New Roman" w:cs="Times New Roman"/>
                <w:sz w:val="22"/>
                <w:szCs w:val="22"/>
              </w:rPr>
            </w:pPr>
          </w:p>
        </w:tc>
      </w:tr>
    </w:tbl>
    <w:p w14:paraId="0E19A71E" w14:textId="44D57FB1" w:rsidR="000A545E" w:rsidRPr="009A2439" w:rsidRDefault="000A545E" w:rsidP="003118C3">
      <w:pPr>
        <w:spacing w:after="0" w:line="360" w:lineRule="auto"/>
        <w:jc w:val="center"/>
      </w:pPr>
      <w:r w:rsidRPr="003118C3">
        <w:rPr>
          <w:rFonts w:ascii="Times New Roman" w:eastAsia="Times New Roman" w:hAnsi="Times New Roman" w:cs="Times New Roman"/>
          <w:color w:val="000000" w:themeColor="text1"/>
        </w:rPr>
        <w:t>Fuente:</w:t>
      </w:r>
      <w:r w:rsidRPr="009A2439">
        <w:rPr>
          <w:rFonts w:ascii="Times New Roman" w:eastAsia="Times New Roman" w:hAnsi="Times New Roman" w:cs="Times New Roman"/>
          <w:b/>
          <w:bCs/>
          <w:color w:val="000000" w:themeColor="text1"/>
        </w:rPr>
        <w:t xml:space="preserve"> </w:t>
      </w:r>
      <w:r w:rsidRPr="005529E6">
        <w:rPr>
          <w:rFonts w:ascii="Times New Roman" w:eastAsia="Times New Roman" w:hAnsi="Times New Roman" w:cs="Times New Roman"/>
          <w:color w:val="000000" w:themeColor="text1"/>
        </w:rPr>
        <w:t>E</w:t>
      </w:r>
      <w:r w:rsidRPr="009A2439">
        <w:rPr>
          <w:rFonts w:ascii="Times New Roman" w:eastAsia="Times New Roman" w:hAnsi="Times New Roman" w:cs="Times New Roman"/>
          <w:color w:val="000000" w:themeColor="text1"/>
        </w:rPr>
        <w:t>laboración propia con el software IBM SPSS</w:t>
      </w:r>
    </w:p>
    <w:p w14:paraId="536DFE6E" w14:textId="77777777" w:rsidR="003118C3" w:rsidRPr="003118C3" w:rsidRDefault="003118C3" w:rsidP="003118C3">
      <w:pPr>
        <w:spacing w:after="0" w:line="360" w:lineRule="auto"/>
        <w:jc w:val="center"/>
        <w:rPr>
          <w:rFonts w:ascii="Times New Roman" w:eastAsia="Times New Roman" w:hAnsi="Times New Roman" w:cs="Times New Roman"/>
          <w:b/>
        </w:rPr>
      </w:pPr>
    </w:p>
    <w:p w14:paraId="1014EFD2" w14:textId="74E0140C" w:rsidR="001C465C" w:rsidRDefault="00B1315D" w:rsidP="003118C3">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w:t>
      </w:r>
      <w:r w:rsidR="005529E6">
        <w:rPr>
          <w:rFonts w:ascii="Times New Roman" w:eastAsia="Times New Roman" w:hAnsi="Times New Roman" w:cs="Times New Roman"/>
          <w:b/>
          <w:sz w:val="32"/>
          <w:szCs w:val="32"/>
        </w:rPr>
        <w:t>ón</w:t>
      </w:r>
    </w:p>
    <w:p w14:paraId="75BC3C36" w14:textId="77777777" w:rsidR="000C2DC1" w:rsidRDefault="000C2DC1"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0C2DC1">
        <w:rPr>
          <w:rFonts w:ascii="Times New Roman" w:eastAsia="Times New Roman" w:hAnsi="Times New Roman" w:cs="Times New Roman"/>
        </w:rPr>
        <w:t>Los hallazgos deben analizarse a la luz de la premisa de que un modelo educativo basado en el desarrollo del pensamiento computacional permite a los estudiantes desplegar habilidades para el siglo XXI (Buitrago-Flórez et al. 2021; Gretter &amp; Yadav 2016; Yadav et al. 2016).</w:t>
      </w:r>
    </w:p>
    <w:p w14:paraId="5C221D5B" w14:textId="13944D12"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 xml:space="preserve">De acuerdo con los resultados del estudio de caso, </w:t>
      </w:r>
      <w:r w:rsidR="0062661E">
        <w:rPr>
          <w:rFonts w:ascii="Times New Roman" w:eastAsia="Times New Roman" w:hAnsi="Times New Roman" w:cs="Times New Roman"/>
          <w:color w:val="000000"/>
        </w:rPr>
        <w:t>el nivel</w:t>
      </w:r>
      <w:r w:rsidRPr="001C465C">
        <w:rPr>
          <w:rFonts w:ascii="Times New Roman" w:eastAsia="Times New Roman" w:hAnsi="Times New Roman" w:cs="Times New Roman"/>
          <w:color w:val="000000"/>
        </w:rPr>
        <w:t xml:space="preserve"> en pensamiento computacional se </w:t>
      </w:r>
      <w:r w:rsidR="000C2DC1">
        <w:rPr>
          <w:rFonts w:ascii="Times New Roman" w:eastAsia="Times New Roman" w:hAnsi="Times New Roman" w:cs="Times New Roman"/>
          <w:color w:val="000000"/>
        </w:rPr>
        <w:t>asocia con</w:t>
      </w:r>
      <w:r w:rsidRPr="001C465C">
        <w:rPr>
          <w:rFonts w:ascii="Times New Roman" w:eastAsia="Times New Roman" w:hAnsi="Times New Roman" w:cs="Times New Roman"/>
          <w:color w:val="000000"/>
        </w:rPr>
        <w:t xml:space="preserve"> diversos aspectos, como las asignaturas </w:t>
      </w:r>
      <w:r w:rsidR="0062661E" w:rsidRPr="001C465C">
        <w:rPr>
          <w:rFonts w:ascii="Times New Roman" w:eastAsia="Times New Roman" w:hAnsi="Times New Roman" w:cs="Times New Roman"/>
          <w:color w:val="000000"/>
        </w:rPr>
        <w:t>acreditadas</w:t>
      </w:r>
      <w:r w:rsidR="0062661E">
        <w:rPr>
          <w:rFonts w:ascii="Times New Roman" w:eastAsia="Times New Roman" w:hAnsi="Times New Roman" w:cs="Times New Roman"/>
          <w:color w:val="000000"/>
        </w:rPr>
        <w:t xml:space="preserve"> </w:t>
      </w:r>
      <w:r w:rsidR="0062661E" w:rsidRPr="001C465C">
        <w:rPr>
          <w:rFonts w:ascii="Times New Roman" w:eastAsia="Times New Roman" w:hAnsi="Times New Roman" w:cs="Times New Roman"/>
          <w:color w:val="000000"/>
        </w:rPr>
        <w:t>y</w:t>
      </w:r>
      <w:r w:rsidRPr="001C465C">
        <w:rPr>
          <w:rFonts w:ascii="Times New Roman" w:eastAsia="Times New Roman" w:hAnsi="Times New Roman" w:cs="Times New Roman"/>
          <w:color w:val="000000"/>
        </w:rPr>
        <w:t xml:space="preserve"> el género. También se observa que existen elementos </w:t>
      </w:r>
      <w:r w:rsidR="000C2DC1">
        <w:rPr>
          <w:rFonts w:ascii="Times New Roman" w:eastAsia="Times New Roman" w:hAnsi="Times New Roman" w:cs="Times New Roman"/>
          <w:color w:val="000000"/>
        </w:rPr>
        <w:t>en los que no se observó asociación estadísticamente significativa</w:t>
      </w:r>
      <w:r w:rsidRPr="001C465C">
        <w:rPr>
          <w:rFonts w:ascii="Times New Roman" w:eastAsia="Times New Roman" w:hAnsi="Times New Roman" w:cs="Times New Roman"/>
          <w:color w:val="000000"/>
        </w:rPr>
        <w:t xml:space="preserve"> con el resultado, como la edad y la generación de origen de</w:t>
      </w:r>
      <w:r w:rsidR="008572BC">
        <w:rPr>
          <w:rFonts w:ascii="Times New Roman" w:eastAsia="Times New Roman" w:hAnsi="Times New Roman" w:cs="Times New Roman"/>
          <w:color w:val="000000"/>
        </w:rPr>
        <w:t xml:space="preserve"> </w:t>
      </w:r>
      <w:r w:rsidRPr="001C465C">
        <w:rPr>
          <w:rFonts w:ascii="Times New Roman" w:eastAsia="Times New Roman" w:hAnsi="Times New Roman" w:cs="Times New Roman"/>
          <w:color w:val="000000"/>
        </w:rPr>
        <w:t>l</w:t>
      </w:r>
      <w:r w:rsidR="008572BC">
        <w:rPr>
          <w:rFonts w:ascii="Times New Roman" w:eastAsia="Times New Roman" w:hAnsi="Times New Roman" w:cs="Times New Roman"/>
          <w:color w:val="000000"/>
        </w:rPr>
        <w:t>os</w:t>
      </w:r>
      <w:r w:rsidRPr="001C465C">
        <w:rPr>
          <w:rFonts w:ascii="Times New Roman" w:eastAsia="Times New Roman" w:hAnsi="Times New Roman" w:cs="Times New Roman"/>
          <w:color w:val="000000"/>
        </w:rPr>
        <w:t xml:space="preserve"> estudiante</w:t>
      </w:r>
      <w:r w:rsidR="008572BC">
        <w:rPr>
          <w:rFonts w:ascii="Times New Roman" w:eastAsia="Times New Roman" w:hAnsi="Times New Roman" w:cs="Times New Roman"/>
          <w:color w:val="000000"/>
        </w:rPr>
        <w:t>s</w:t>
      </w:r>
      <w:r w:rsidRPr="001C465C">
        <w:rPr>
          <w:rFonts w:ascii="Times New Roman" w:eastAsia="Times New Roman" w:hAnsi="Times New Roman" w:cs="Times New Roman"/>
          <w:color w:val="000000"/>
        </w:rPr>
        <w:t xml:space="preserve">, lo que influye únicamente en el período académico en que se encuentran actualmente. Por ejemplo, al analizar la Tabla </w:t>
      </w:r>
      <w:r w:rsidR="008572BC">
        <w:rPr>
          <w:rFonts w:ascii="Times New Roman" w:eastAsia="Times New Roman" w:hAnsi="Times New Roman" w:cs="Times New Roman"/>
          <w:color w:val="000000"/>
        </w:rPr>
        <w:t>5</w:t>
      </w:r>
      <w:r w:rsidRPr="001C465C">
        <w:rPr>
          <w:rFonts w:ascii="Times New Roman" w:eastAsia="Times New Roman" w:hAnsi="Times New Roman" w:cs="Times New Roman"/>
          <w:color w:val="000000"/>
        </w:rPr>
        <w:t xml:space="preserve">, no se observan variaciones significativas entre los porcentajes de </w:t>
      </w:r>
      <w:r w:rsidR="0062661E">
        <w:rPr>
          <w:rFonts w:ascii="Times New Roman" w:eastAsia="Times New Roman" w:hAnsi="Times New Roman" w:cs="Times New Roman"/>
          <w:color w:val="000000"/>
        </w:rPr>
        <w:t xml:space="preserve">los niveles </w:t>
      </w:r>
      <w:r w:rsidRPr="001C465C">
        <w:rPr>
          <w:rFonts w:ascii="Times New Roman" w:eastAsia="Times New Roman" w:hAnsi="Times New Roman" w:cs="Times New Roman"/>
          <w:color w:val="000000"/>
        </w:rPr>
        <w:t>por encima o por debajo de la media; el número de estudiantes con puntuación final de todas las generaciones varía apenas entre un 10,7% y un 13,7%.</w:t>
      </w:r>
    </w:p>
    <w:p w14:paraId="23CD1B41" w14:textId="7198C955"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 xml:space="preserve">En cuanto al género, las pruebas </w:t>
      </w:r>
      <w:r w:rsidR="005E4844">
        <w:rPr>
          <w:rFonts w:ascii="Times New Roman" w:eastAsia="Times New Roman" w:hAnsi="Times New Roman" w:cs="Times New Roman"/>
          <w:color w:val="000000"/>
        </w:rPr>
        <w:t>realizadas muestran una asociación</w:t>
      </w:r>
      <w:r w:rsidRPr="001C465C">
        <w:rPr>
          <w:rFonts w:ascii="Times New Roman" w:eastAsia="Times New Roman" w:hAnsi="Times New Roman" w:cs="Times New Roman"/>
          <w:color w:val="000000"/>
        </w:rPr>
        <w:t xml:space="preserve"> </w:t>
      </w:r>
      <w:r w:rsidR="005E4844">
        <w:rPr>
          <w:rFonts w:ascii="Times New Roman" w:eastAsia="Times New Roman" w:hAnsi="Times New Roman" w:cs="Times New Roman"/>
          <w:color w:val="000000"/>
        </w:rPr>
        <w:t>significativa</w:t>
      </w:r>
      <w:r w:rsidRPr="001C465C">
        <w:rPr>
          <w:rFonts w:ascii="Times New Roman" w:eastAsia="Times New Roman" w:hAnsi="Times New Roman" w:cs="Times New Roman"/>
          <w:color w:val="000000"/>
        </w:rPr>
        <w:t xml:space="preserve">, ya que quienes se identifican con el género masculino </w:t>
      </w:r>
      <w:r w:rsidR="005E4844">
        <w:rPr>
          <w:rFonts w:ascii="Times New Roman" w:eastAsia="Times New Roman" w:hAnsi="Times New Roman" w:cs="Times New Roman"/>
          <w:color w:val="000000"/>
        </w:rPr>
        <w:t>reportaron</w:t>
      </w:r>
      <w:r w:rsidRPr="001C465C">
        <w:rPr>
          <w:rFonts w:ascii="Times New Roman" w:eastAsia="Times New Roman" w:hAnsi="Times New Roman" w:cs="Times New Roman"/>
          <w:color w:val="000000"/>
        </w:rPr>
        <w:t xml:space="preserve"> un 27% de puntuaciones por encima de la media frente al 21</w:t>
      </w:r>
      <w:r w:rsidR="008572BC">
        <w:rPr>
          <w:rFonts w:ascii="Times New Roman" w:eastAsia="Times New Roman" w:hAnsi="Times New Roman" w:cs="Times New Roman"/>
          <w:color w:val="000000"/>
        </w:rPr>
        <w:t>.9</w:t>
      </w:r>
      <w:r w:rsidRPr="001C465C">
        <w:rPr>
          <w:rFonts w:ascii="Times New Roman" w:eastAsia="Times New Roman" w:hAnsi="Times New Roman" w:cs="Times New Roman"/>
          <w:color w:val="000000"/>
        </w:rPr>
        <w:t>% de las mujeres; además, hay menos hombres por debajo de la media (20</w:t>
      </w:r>
      <w:r w:rsidR="008572BC">
        <w:rPr>
          <w:rFonts w:ascii="Times New Roman" w:eastAsia="Times New Roman" w:hAnsi="Times New Roman" w:cs="Times New Roman"/>
          <w:color w:val="000000"/>
        </w:rPr>
        <w:t>.7</w:t>
      </w:r>
      <w:r w:rsidRPr="001C465C">
        <w:rPr>
          <w:rFonts w:ascii="Times New Roman" w:eastAsia="Times New Roman" w:hAnsi="Times New Roman" w:cs="Times New Roman"/>
          <w:color w:val="000000"/>
        </w:rPr>
        <w:t>%) que mujeres (26</w:t>
      </w:r>
      <w:r w:rsidR="008572BC">
        <w:rPr>
          <w:rFonts w:ascii="Times New Roman" w:eastAsia="Times New Roman" w:hAnsi="Times New Roman" w:cs="Times New Roman"/>
          <w:color w:val="000000"/>
        </w:rPr>
        <w:t>.4</w:t>
      </w:r>
      <w:r w:rsidRPr="001C465C">
        <w:rPr>
          <w:rFonts w:ascii="Times New Roman" w:eastAsia="Times New Roman" w:hAnsi="Times New Roman" w:cs="Times New Roman"/>
          <w:color w:val="000000"/>
        </w:rPr>
        <w:t xml:space="preserve">%). </w:t>
      </w:r>
      <w:r w:rsidR="001C01C4" w:rsidRPr="001C01C4">
        <w:rPr>
          <w:rFonts w:ascii="Times New Roman" w:eastAsia="Times New Roman" w:hAnsi="Times New Roman" w:cs="Times New Roman"/>
          <w:color w:val="000000"/>
        </w:rPr>
        <w:t xml:space="preserve">El contraste con Rodríguez-Abitia et al. (2021) muestra coincidencias en la heterogeneidad de los resultados, atribuible al perfil similar de </w:t>
      </w:r>
      <w:r w:rsidR="001C01C4" w:rsidRPr="001C01C4">
        <w:rPr>
          <w:rFonts w:ascii="Times New Roman" w:eastAsia="Times New Roman" w:hAnsi="Times New Roman" w:cs="Times New Roman"/>
          <w:color w:val="000000"/>
        </w:rPr>
        <w:lastRenderedPageBreak/>
        <w:t>estudiantes no-STEM</w:t>
      </w:r>
      <w:r w:rsidR="001C01C4">
        <w:rPr>
          <w:rFonts w:ascii="Times New Roman" w:eastAsia="Times New Roman" w:hAnsi="Times New Roman" w:cs="Times New Roman"/>
          <w:color w:val="000000"/>
        </w:rPr>
        <w:t xml:space="preserve">. </w:t>
      </w:r>
      <w:r w:rsidR="001C01C4" w:rsidRPr="001C01C4">
        <w:rPr>
          <w:rFonts w:ascii="Times New Roman" w:eastAsia="Times New Roman" w:hAnsi="Times New Roman" w:cs="Times New Roman"/>
          <w:color w:val="000000"/>
        </w:rPr>
        <w:t>No obstante, las diferencias en género y el entorno familiar sugieren variaciones en el contexto institucional o socioeconómico</w:t>
      </w:r>
      <w:r w:rsidR="001C01C4">
        <w:rPr>
          <w:rFonts w:ascii="Times New Roman" w:eastAsia="Times New Roman" w:hAnsi="Times New Roman" w:cs="Times New Roman"/>
          <w:color w:val="000000"/>
        </w:rPr>
        <w:t xml:space="preserve">. </w:t>
      </w:r>
      <w:r w:rsidR="001C01C4" w:rsidRPr="001C01C4">
        <w:rPr>
          <w:rFonts w:ascii="Times New Roman" w:eastAsia="Times New Roman" w:hAnsi="Times New Roman" w:cs="Times New Roman"/>
          <w:color w:val="000000"/>
        </w:rPr>
        <w:t>Asimismo, la falta de asociación con la edad indica que, sin una intervención pedagógica específica, el avance en la carrera no garantiza estas habilidades</w:t>
      </w:r>
      <w:r w:rsidR="001C01C4">
        <w:rPr>
          <w:rFonts w:ascii="Times New Roman" w:eastAsia="Times New Roman" w:hAnsi="Times New Roman" w:cs="Times New Roman"/>
          <w:color w:val="000000"/>
        </w:rPr>
        <w:t>.</w:t>
      </w:r>
    </w:p>
    <w:p w14:paraId="0E9B555F" w14:textId="1BDBF286"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 xml:space="preserve">Asimismo, es </w:t>
      </w:r>
      <w:r w:rsidR="005E4844">
        <w:rPr>
          <w:rFonts w:ascii="Times New Roman" w:eastAsia="Times New Roman" w:hAnsi="Times New Roman" w:cs="Times New Roman"/>
          <w:color w:val="000000"/>
        </w:rPr>
        <w:t xml:space="preserve">pertinente subrayar </w:t>
      </w:r>
      <w:r w:rsidRPr="001C465C">
        <w:rPr>
          <w:rFonts w:ascii="Times New Roman" w:eastAsia="Times New Roman" w:hAnsi="Times New Roman" w:cs="Times New Roman"/>
          <w:color w:val="000000"/>
        </w:rPr>
        <w:t xml:space="preserve">que la mayoría de los trabajos publicados sobre la percepción o el desarrollo del pensamiento computacional en contextos no STEM </w:t>
      </w:r>
      <w:r w:rsidR="005E4844">
        <w:rPr>
          <w:rFonts w:ascii="Times New Roman" w:eastAsia="Times New Roman" w:hAnsi="Times New Roman" w:cs="Times New Roman"/>
          <w:color w:val="000000"/>
        </w:rPr>
        <w:t xml:space="preserve">que </w:t>
      </w:r>
      <w:r w:rsidR="004F4CED">
        <w:rPr>
          <w:rFonts w:ascii="Times New Roman" w:eastAsia="Times New Roman" w:hAnsi="Times New Roman" w:cs="Times New Roman"/>
          <w:color w:val="000000"/>
        </w:rPr>
        <w:t>fueron</w:t>
      </w:r>
      <w:r w:rsidR="005E4844">
        <w:rPr>
          <w:rFonts w:ascii="Times New Roman" w:eastAsia="Times New Roman" w:hAnsi="Times New Roman" w:cs="Times New Roman"/>
          <w:color w:val="000000"/>
        </w:rPr>
        <w:t xml:space="preserve"> revisa</w:t>
      </w:r>
      <w:r w:rsidR="004F4CED">
        <w:rPr>
          <w:rFonts w:ascii="Times New Roman" w:eastAsia="Times New Roman" w:hAnsi="Times New Roman" w:cs="Times New Roman"/>
          <w:color w:val="000000"/>
        </w:rPr>
        <w:t>dos</w:t>
      </w:r>
      <w:r w:rsidR="005E4844">
        <w:rPr>
          <w:rFonts w:ascii="Times New Roman" w:eastAsia="Times New Roman" w:hAnsi="Times New Roman" w:cs="Times New Roman"/>
          <w:color w:val="000000"/>
        </w:rPr>
        <w:t xml:space="preserve"> </w:t>
      </w:r>
      <w:r w:rsidRPr="001C465C">
        <w:rPr>
          <w:rFonts w:ascii="Times New Roman" w:eastAsia="Times New Roman" w:hAnsi="Times New Roman" w:cs="Times New Roman"/>
          <w:color w:val="000000"/>
        </w:rPr>
        <w:t xml:space="preserve">primero instruyen a los estudiantes a través de cursos y luego miden su desarrollo (De Santo et al., 2022; Jang et al., 2023; Liao et al., 2022; Prado Ortega et al., 2023). </w:t>
      </w:r>
      <w:r w:rsidR="005E4844">
        <w:rPr>
          <w:rFonts w:ascii="Times New Roman" w:eastAsia="Times New Roman" w:hAnsi="Times New Roman" w:cs="Times New Roman"/>
          <w:color w:val="000000"/>
        </w:rPr>
        <w:t>A</w:t>
      </w:r>
      <w:r w:rsidRPr="001C465C">
        <w:rPr>
          <w:rFonts w:ascii="Times New Roman" w:eastAsia="Times New Roman" w:hAnsi="Times New Roman" w:cs="Times New Roman"/>
          <w:color w:val="000000"/>
        </w:rPr>
        <w:t>lgunos</w:t>
      </w:r>
      <w:r w:rsidR="004F4CED">
        <w:rPr>
          <w:rFonts w:ascii="Times New Roman" w:eastAsia="Times New Roman" w:hAnsi="Times New Roman" w:cs="Times New Roman"/>
          <w:color w:val="000000"/>
        </w:rPr>
        <w:t xml:space="preserve"> de los</w:t>
      </w:r>
      <w:r w:rsidRPr="001C465C">
        <w:rPr>
          <w:rFonts w:ascii="Times New Roman" w:eastAsia="Times New Roman" w:hAnsi="Times New Roman" w:cs="Times New Roman"/>
          <w:color w:val="000000"/>
        </w:rPr>
        <w:t xml:space="preserve"> trabajos </w:t>
      </w:r>
      <w:r w:rsidR="004F4CED">
        <w:rPr>
          <w:rFonts w:ascii="Times New Roman" w:eastAsia="Times New Roman" w:hAnsi="Times New Roman" w:cs="Times New Roman"/>
          <w:color w:val="000000"/>
        </w:rPr>
        <w:t xml:space="preserve">revisados </w:t>
      </w:r>
      <w:r w:rsidRPr="001C465C">
        <w:rPr>
          <w:rFonts w:ascii="Times New Roman" w:eastAsia="Times New Roman" w:hAnsi="Times New Roman" w:cs="Times New Roman"/>
          <w:color w:val="000000"/>
        </w:rPr>
        <w:t xml:space="preserve">consideran directamente las asignaturas cursadas y su impacto en el desarrollo de esta competencia (Camargo Pérez &amp; Munar Ladino, 2021; Kang et al., 2023; Rodríguez-Abitia et al., 2021). En este sentido, el presente estudio se diferencia al evaluar la relación entre </w:t>
      </w:r>
      <w:r w:rsidR="004F4CED">
        <w:rPr>
          <w:rFonts w:ascii="Times New Roman" w:eastAsia="Times New Roman" w:hAnsi="Times New Roman" w:cs="Times New Roman"/>
          <w:color w:val="000000"/>
        </w:rPr>
        <w:t>las experiencias educativas</w:t>
      </w:r>
      <w:r w:rsidRPr="001C465C">
        <w:rPr>
          <w:rFonts w:ascii="Times New Roman" w:eastAsia="Times New Roman" w:hAnsi="Times New Roman" w:cs="Times New Roman"/>
          <w:color w:val="000000"/>
        </w:rPr>
        <w:t xml:space="preserve"> </w:t>
      </w:r>
      <w:r w:rsidR="004F4CED">
        <w:rPr>
          <w:rFonts w:ascii="Times New Roman" w:eastAsia="Times New Roman" w:hAnsi="Times New Roman" w:cs="Times New Roman"/>
          <w:color w:val="000000"/>
        </w:rPr>
        <w:t xml:space="preserve">propias del plan de estudios </w:t>
      </w:r>
      <w:r w:rsidRPr="001C465C">
        <w:rPr>
          <w:rFonts w:ascii="Times New Roman" w:eastAsia="Times New Roman" w:hAnsi="Times New Roman" w:cs="Times New Roman"/>
          <w:color w:val="000000"/>
        </w:rPr>
        <w:t xml:space="preserve">de </w:t>
      </w:r>
      <w:r w:rsidR="00490824">
        <w:rPr>
          <w:rFonts w:ascii="Times New Roman" w:eastAsia="Times New Roman" w:hAnsi="Times New Roman" w:cs="Times New Roman"/>
          <w:color w:val="000000"/>
        </w:rPr>
        <w:t>Contaduría</w:t>
      </w:r>
      <w:r w:rsidRPr="001C465C">
        <w:rPr>
          <w:rFonts w:ascii="Times New Roman" w:eastAsia="Times New Roman" w:hAnsi="Times New Roman" w:cs="Times New Roman"/>
          <w:color w:val="000000"/>
        </w:rPr>
        <w:t xml:space="preserve"> y el pensamiento computacional.</w:t>
      </w:r>
    </w:p>
    <w:p w14:paraId="7826DF4C" w14:textId="43490C61"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 xml:space="preserve">Adicionalmente, las </w:t>
      </w:r>
      <w:r w:rsidR="004F4CED">
        <w:rPr>
          <w:rFonts w:ascii="Times New Roman" w:eastAsia="Times New Roman" w:hAnsi="Times New Roman" w:cs="Times New Roman"/>
          <w:color w:val="000000"/>
        </w:rPr>
        <w:t>asociacione</w:t>
      </w:r>
      <w:r w:rsidRPr="001C465C">
        <w:rPr>
          <w:rFonts w:ascii="Times New Roman" w:eastAsia="Times New Roman" w:hAnsi="Times New Roman" w:cs="Times New Roman"/>
          <w:color w:val="000000"/>
        </w:rPr>
        <w:t xml:space="preserve">s obtenidas refuerzan la relevancia de ciertas experiencias educativas: la dimensión de </w:t>
      </w:r>
      <w:r w:rsidR="000E4ACE">
        <w:rPr>
          <w:rFonts w:ascii="Times New Roman" w:eastAsia="Times New Roman" w:hAnsi="Times New Roman" w:cs="Times New Roman"/>
          <w:color w:val="000000"/>
        </w:rPr>
        <w:t>Pensamiento</w:t>
      </w:r>
      <w:r w:rsidRPr="001C465C">
        <w:rPr>
          <w:rFonts w:ascii="Times New Roman" w:eastAsia="Times New Roman" w:hAnsi="Times New Roman" w:cs="Times New Roman"/>
          <w:color w:val="000000"/>
        </w:rPr>
        <w:t xml:space="preserve"> crítico mostró una </w:t>
      </w:r>
      <w:r w:rsidR="001C01C4">
        <w:rPr>
          <w:rFonts w:ascii="Times New Roman" w:eastAsia="Times New Roman" w:hAnsi="Times New Roman" w:cs="Times New Roman"/>
          <w:color w:val="000000"/>
        </w:rPr>
        <w:t>asociación estadísticamente</w:t>
      </w:r>
      <w:r w:rsidRPr="001C465C">
        <w:rPr>
          <w:rFonts w:ascii="Times New Roman" w:eastAsia="Times New Roman" w:hAnsi="Times New Roman" w:cs="Times New Roman"/>
          <w:color w:val="000000"/>
        </w:rPr>
        <w:t xml:space="preserve"> positiva con las asignaturas de </w:t>
      </w:r>
      <w:r w:rsidR="008C32DC">
        <w:rPr>
          <w:rFonts w:ascii="Times New Roman" w:eastAsia="Times New Roman" w:hAnsi="Times New Roman" w:cs="Times New Roman"/>
          <w:color w:val="000000"/>
        </w:rPr>
        <w:t>literacidad</w:t>
      </w:r>
      <w:r w:rsidRPr="001C465C">
        <w:rPr>
          <w:rFonts w:ascii="Times New Roman" w:eastAsia="Times New Roman" w:hAnsi="Times New Roman" w:cs="Times New Roman"/>
          <w:color w:val="000000"/>
        </w:rPr>
        <w:t xml:space="preserve"> digital, </w:t>
      </w:r>
      <w:r w:rsidR="000E4ACE">
        <w:rPr>
          <w:rFonts w:ascii="Times New Roman" w:eastAsia="Times New Roman" w:hAnsi="Times New Roman" w:cs="Times New Roman"/>
          <w:color w:val="000000"/>
        </w:rPr>
        <w:t>Pensamiento</w:t>
      </w:r>
      <w:r w:rsidRPr="001C465C">
        <w:rPr>
          <w:rFonts w:ascii="Times New Roman" w:eastAsia="Times New Roman" w:hAnsi="Times New Roman" w:cs="Times New Roman"/>
          <w:color w:val="000000"/>
        </w:rPr>
        <w:t xml:space="preserve"> crítico, matemáticas administrativas y estadística (valor sig. </w:t>
      </w:r>
      <w:r w:rsidR="004F4CED" w:rsidRPr="004F4CED">
        <w:rPr>
          <w:rFonts w:ascii="Times New Roman" w:eastAsia="Times New Roman" w:hAnsi="Times New Roman" w:cs="Times New Roman"/>
          <w:color w:val="000000"/>
        </w:rPr>
        <w:t>p = .023</w:t>
      </w:r>
      <w:r w:rsidRPr="001C465C">
        <w:rPr>
          <w:rFonts w:ascii="Times New Roman" w:eastAsia="Times New Roman" w:hAnsi="Times New Roman" w:cs="Times New Roman"/>
          <w:color w:val="000000"/>
        </w:rPr>
        <w:t>), siendo además la dimensión con mayor número de estudiantes por encima de la media (más del 40%). Esto coincide con lo reportado por Rahman (2019</w:t>
      </w:r>
      <w:r w:rsidR="001C01C4" w:rsidRPr="001C01C4">
        <w:t xml:space="preserve"> </w:t>
      </w:r>
      <w:r w:rsidR="001C01C4">
        <w:t>q</w:t>
      </w:r>
      <w:r w:rsidR="001C01C4" w:rsidRPr="001C01C4">
        <w:rPr>
          <w:rFonts w:ascii="Times New Roman" w:eastAsia="Times New Roman" w:hAnsi="Times New Roman" w:cs="Times New Roman"/>
          <w:color w:val="000000"/>
        </w:rPr>
        <w:t>uien destaca que la resolución de problemas</w:t>
      </w:r>
      <w:r w:rsidR="001C01C4">
        <w:rPr>
          <w:rFonts w:ascii="Times New Roman" w:eastAsia="Times New Roman" w:hAnsi="Times New Roman" w:cs="Times New Roman"/>
          <w:color w:val="000000"/>
        </w:rPr>
        <w:t xml:space="preserve">, </w:t>
      </w:r>
      <w:r w:rsidR="001C01C4" w:rsidRPr="001C01C4">
        <w:rPr>
          <w:rFonts w:ascii="Times New Roman" w:eastAsia="Times New Roman" w:hAnsi="Times New Roman" w:cs="Times New Roman"/>
          <w:color w:val="000000"/>
        </w:rPr>
        <w:t>habilidad estrechamente vinculada al pensamiento crítico analizado</w:t>
      </w:r>
      <w:r w:rsidR="001C01C4">
        <w:rPr>
          <w:rFonts w:ascii="Times New Roman" w:eastAsia="Times New Roman" w:hAnsi="Times New Roman" w:cs="Times New Roman"/>
          <w:color w:val="000000"/>
        </w:rPr>
        <w:t>,</w:t>
      </w:r>
      <w:r w:rsidR="001C01C4" w:rsidRPr="001C01C4">
        <w:rPr>
          <w:rFonts w:ascii="Times New Roman" w:eastAsia="Times New Roman" w:hAnsi="Times New Roman" w:cs="Times New Roman"/>
          <w:color w:val="000000"/>
        </w:rPr>
        <w:t xml:space="preserve"> implica seleccionar procedimientos innovadores y analizar objetivamente la información</w:t>
      </w:r>
      <w:r w:rsidR="001C01C4">
        <w:rPr>
          <w:rFonts w:ascii="Times New Roman" w:eastAsia="Times New Roman" w:hAnsi="Times New Roman" w:cs="Times New Roman"/>
          <w:color w:val="000000"/>
        </w:rPr>
        <w:t>.</w:t>
      </w:r>
    </w:p>
    <w:p w14:paraId="065152E2" w14:textId="09191CFE" w:rsidR="001C465C" w:rsidRDefault="00BC7533"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490824">
        <w:rPr>
          <w:rFonts w:ascii="Times New Roman" w:eastAsia="Times New Roman" w:hAnsi="Times New Roman" w:cs="Times New Roman"/>
          <w:color w:val="000000"/>
        </w:rPr>
        <w:t xml:space="preserve">Las experiencias educativas analizadas presentan </w:t>
      </w:r>
      <w:r w:rsidR="001C01C4">
        <w:rPr>
          <w:rFonts w:ascii="Times New Roman" w:eastAsia="Times New Roman" w:hAnsi="Times New Roman" w:cs="Times New Roman"/>
          <w:color w:val="000000"/>
        </w:rPr>
        <w:t>tendencias descriptivas</w:t>
      </w:r>
      <w:r w:rsidRPr="00490824">
        <w:rPr>
          <w:rFonts w:ascii="Times New Roman" w:eastAsia="Times New Roman" w:hAnsi="Times New Roman" w:cs="Times New Roman"/>
          <w:color w:val="000000"/>
        </w:rPr>
        <w:t xml:space="preserve"> con las dimensiones del estudio.</w:t>
      </w:r>
      <w:r w:rsidR="001C465C" w:rsidRPr="00490824">
        <w:rPr>
          <w:rFonts w:ascii="Times New Roman" w:eastAsia="Times New Roman" w:hAnsi="Times New Roman" w:cs="Times New Roman"/>
          <w:color w:val="000000"/>
        </w:rPr>
        <w:t xml:space="preserve"> </w:t>
      </w:r>
      <w:r w:rsidRPr="00490824">
        <w:rPr>
          <w:rFonts w:ascii="Times New Roman" w:eastAsia="Times New Roman" w:hAnsi="Times New Roman" w:cs="Times New Roman"/>
          <w:color w:val="000000"/>
        </w:rPr>
        <w:t xml:space="preserve">En primer lugar, </w:t>
      </w:r>
      <w:r w:rsidR="001C465C" w:rsidRPr="00490824">
        <w:rPr>
          <w:rFonts w:ascii="Times New Roman" w:eastAsia="Times New Roman" w:hAnsi="Times New Roman" w:cs="Times New Roman"/>
          <w:color w:val="000000"/>
        </w:rPr>
        <w:t xml:space="preserve">la </w:t>
      </w:r>
      <w:r w:rsidR="000E4ACE">
        <w:rPr>
          <w:rFonts w:ascii="Times New Roman" w:eastAsia="Times New Roman" w:hAnsi="Times New Roman" w:cs="Times New Roman"/>
          <w:color w:val="000000"/>
        </w:rPr>
        <w:t>Creatividad</w:t>
      </w:r>
      <w:r w:rsidR="001C465C" w:rsidRPr="00490824">
        <w:rPr>
          <w:rFonts w:ascii="Times New Roman" w:eastAsia="Times New Roman" w:hAnsi="Times New Roman" w:cs="Times New Roman"/>
          <w:color w:val="000000"/>
        </w:rPr>
        <w:t xml:space="preserve"> se vincula con soluciones tecnológicas aplicadas a organizaciones y matemáticas administrativas</w:t>
      </w:r>
      <w:r w:rsidRPr="00490824">
        <w:rPr>
          <w:rFonts w:ascii="Times New Roman" w:eastAsia="Times New Roman" w:hAnsi="Times New Roman" w:cs="Times New Roman"/>
          <w:color w:val="000000"/>
        </w:rPr>
        <w:t xml:space="preserve">, lo que fomenta la generación de propuestas innovadoras en las organizaciones. En segundo lugar, </w:t>
      </w:r>
      <w:r w:rsidR="001C465C" w:rsidRPr="00490824">
        <w:rPr>
          <w:rFonts w:ascii="Times New Roman" w:eastAsia="Times New Roman" w:hAnsi="Times New Roman" w:cs="Times New Roman"/>
          <w:color w:val="000000"/>
        </w:rPr>
        <w:t xml:space="preserve">el </w:t>
      </w:r>
      <w:r w:rsidR="000E4ACE">
        <w:rPr>
          <w:rFonts w:ascii="Times New Roman" w:eastAsia="Times New Roman" w:hAnsi="Times New Roman" w:cs="Times New Roman"/>
          <w:color w:val="000000"/>
        </w:rPr>
        <w:t>Pensamiento</w:t>
      </w:r>
      <w:r w:rsidR="001C465C" w:rsidRPr="00490824">
        <w:rPr>
          <w:rFonts w:ascii="Times New Roman" w:eastAsia="Times New Roman" w:hAnsi="Times New Roman" w:cs="Times New Roman"/>
          <w:color w:val="000000"/>
        </w:rPr>
        <w:t xml:space="preserve"> crítico para la resolución de problemas </w:t>
      </w:r>
      <w:r w:rsidRPr="00490824">
        <w:rPr>
          <w:rFonts w:ascii="Times New Roman" w:eastAsia="Times New Roman" w:hAnsi="Times New Roman" w:cs="Times New Roman"/>
          <w:color w:val="000000"/>
        </w:rPr>
        <w:t xml:space="preserve">permite la evaluación efectiva de alternativas para la resolución de problemas. En tercer lugar, la materia de estadística se asocia con la </w:t>
      </w:r>
      <w:r w:rsidR="000E4ACE">
        <w:rPr>
          <w:rFonts w:ascii="Times New Roman" w:eastAsia="Times New Roman" w:hAnsi="Times New Roman" w:cs="Times New Roman"/>
          <w:color w:val="000000"/>
        </w:rPr>
        <w:t>Resolución</w:t>
      </w:r>
      <w:r w:rsidRPr="00490824">
        <w:rPr>
          <w:rFonts w:ascii="Times New Roman" w:eastAsia="Times New Roman" w:hAnsi="Times New Roman" w:cs="Times New Roman"/>
          <w:color w:val="000000"/>
        </w:rPr>
        <w:t xml:space="preserve"> de problemas, proporcionando herramientas cuantitativas para la toma de decisiones. Finalmente, e</w:t>
      </w:r>
      <w:r w:rsidR="001C465C" w:rsidRPr="00490824">
        <w:rPr>
          <w:rFonts w:ascii="Times New Roman" w:eastAsia="Times New Roman" w:hAnsi="Times New Roman" w:cs="Times New Roman"/>
          <w:color w:val="000000"/>
        </w:rPr>
        <w:t xml:space="preserve">n </w:t>
      </w:r>
      <w:r w:rsidR="00490824" w:rsidRPr="00490824">
        <w:rPr>
          <w:rFonts w:ascii="Times New Roman" w:eastAsia="Times New Roman" w:hAnsi="Times New Roman" w:cs="Times New Roman"/>
          <w:color w:val="000000"/>
        </w:rPr>
        <w:t>literacidad digital</w:t>
      </w:r>
      <w:r w:rsidR="001C465C" w:rsidRPr="00490824">
        <w:rPr>
          <w:rFonts w:ascii="Times New Roman" w:eastAsia="Times New Roman" w:hAnsi="Times New Roman" w:cs="Times New Roman"/>
          <w:color w:val="000000"/>
        </w:rPr>
        <w:t xml:space="preserve">, el uso de software fortalece tanto el </w:t>
      </w:r>
      <w:r w:rsidR="000E4ACE">
        <w:rPr>
          <w:rFonts w:ascii="Times New Roman" w:eastAsia="Times New Roman" w:hAnsi="Times New Roman" w:cs="Times New Roman"/>
          <w:color w:val="000000"/>
        </w:rPr>
        <w:t>Pensamiento</w:t>
      </w:r>
      <w:r w:rsidR="001C465C" w:rsidRPr="00490824">
        <w:rPr>
          <w:rFonts w:ascii="Times New Roman" w:eastAsia="Times New Roman" w:hAnsi="Times New Roman" w:cs="Times New Roman"/>
          <w:color w:val="000000"/>
        </w:rPr>
        <w:t xml:space="preserve"> crítico como el </w:t>
      </w:r>
      <w:r w:rsidR="000E4ACE">
        <w:rPr>
          <w:rFonts w:ascii="Times New Roman" w:eastAsia="Times New Roman" w:hAnsi="Times New Roman" w:cs="Times New Roman"/>
          <w:color w:val="000000"/>
        </w:rPr>
        <w:t>Pensamiento</w:t>
      </w:r>
      <w:r w:rsidRPr="00490824">
        <w:rPr>
          <w:rFonts w:ascii="Times New Roman" w:eastAsia="Times New Roman" w:hAnsi="Times New Roman" w:cs="Times New Roman"/>
          <w:color w:val="000000"/>
        </w:rPr>
        <w:t xml:space="preserve"> </w:t>
      </w:r>
      <w:r w:rsidR="001C465C" w:rsidRPr="00490824">
        <w:rPr>
          <w:rFonts w:ascii="Times New Roman" w:eastAsia="Times New Roman" w:hAnsi="Times New Roman" w:cs="Times New Roman"/>
          <w:color w:val="000000"/>
        </w:rPr>
        <w:t xml:space="preserve">algorítmico, lo que coincide con lo señalado por </w:t>
      </w:r>
      <w:r w:rsidR="001C465C" w:rsidRPr="00490824">
        <w:rPr>
          <w:rFonts w:ascii="Times New Roman" w:eastAsia="Times New Roman" w:hAnsi="Times New Roman" w:cs="Times New Roman"/>
          <w:color w:val="000000"/>
        </w:rPr>
        <w:lastRenderedPageBreak/>
        <w:t>Rahman (2019) respecto al papel de estas competencias en el fortalecimiento de habilidades del siglo XXI.</w:t>
      </w:r>
    </w:p>
    <w:p w14:paraId="46C25C90" w14:textId="77777777" w:rsidR="00490824" w:rsidRPr="00490824" w:rsidRDefault="00490824" w:rsidP="003118C3">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p>
    <w:p w14:paraId="0D7D1221" w14:textId="68D51252" w:rsidR="001C465C" w:rsidRPr="005529E6" w:rsidRDefault="001C465C" w:rsidP="003118C3">
      <w:pPr>
        <w:spacing w:after="0" w:line="360" w:lineRule="auto"/>
        <w:jc w:val="center"/>
        <w:rPr>
          <w:rFonts w:ascii="Times New Roman" w:eastAsia="Times New Roman" w:hAnsi="Times New Roman" w:cs="Times New Roman"/>
          <w:b/>
          <w:sz w:val="32"/>
          <w:szCs w:val="32"/>
        </w:rPr>
      </w:pPr>
      <w:r w:rsidRPr="005529E6">
        <w:rPr>
          <w:rFonts w:ascii="Times New Roman" w:eastAsia="Times New Roman" w:hAnsi="Times New Roman" w:cs="Times New Roman"/>
          <w:b/>
          <w:sz w:val="32"/>
          <w:szCs w:val="32"/>
        </w:rPr>
        <w:t>Conclusiones</w:t>
      </w:r>
    </w:p>
    <w:p w14:paraId="6131CA63" w14:textId="48D7A56B"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De acuerdo con los resultados y la discusión</w:t>
      </w:r>
      <w:r w:rsidR="00490824">
        <w:rPr>
          <w:rFonts w:ascii="Times New Roman" w:eastAsia="Times New Roman" w:hAnsi="Times New Roman" w:cs="Times New Roman"/>
          <w:color w:val="000000"/>
        </w:rPr>
        <w:t>,</w:t>
      </w:r>
      <w:r w:rsidRPr="001C465C">
        <w:rPr>
          <w:rFonts w:ascii="Times New Roman" w:eastAsia="Times New Roman" w:hAnsi="Times New Roman" w:cs="Times New Roman"/>
          <w:color w:val="000000"/>
        </w:rPr>
        <w:t xml:space="preserve"> el estudio permite concluir que el pensamiento computacional en estudiantes de </w:t>
      </w:r>
      <w:r w:rsidR="00490824">
        <w:rPr>
          <w:rFonts w:ascii="Times New Roman" w:eastAsia="Times New Roman" w:hAnsi="Times New Roman" w:cs="Times New Roman"/>
          <w:color w:val="000000"/>
        </w:rPr>
        <w:t>Contaduría</w:t>
      </w:r>
      <w:r w:rsidRPr="001C465C">
        <w:rPr>
          <w:rFonts w:ascii="Times New Roman" w:eastAsia="Times New Roman" w:hAnsi="Times New Roman" w:cs="Times New Roman"/>
          <w:color w:val="000000"/>
        </w:rPr>
        <w:t xml:space="preserve"> </w:t>
      </w:r>
      <w:r w:rsidR="00490824">
        <w:rPr>
          <w:rFonts w:ascii="Times New Roman" w:eastAsia="Times New Roman" w:hAnsi="Times New Roman" w:cs="Times New Roman"/>
          <w:color w:val="000000"/>
        </w:rPr>
        <w:t xml:space="preserve">se asocia con </w:t>
      </w:r>
      <w:r w:rsidRPr="001C465C">
        <w:rPr>
          <w:rFonts w:ascii="Times New Roman" w:eastAsia="Times New Roman" w:hAnsi="Times New Roman" w:cs="Times New Roman"/>
          <w:color w:val="000000"/>
        </w:rPr>
        <w:t xml:space="preserve">el género y las asignaturas acreditadas, mientras que </w:t>
      </w:r>
      <w:r w:rsidR="008C32DC">
        <w:rPr>
          <w:rFonts w:ascii="Times New Roman" w:eastAsia="Times New Roman" w:hAnsi="Times New Roman" w:cs="Times New Roman"/>
          <w:color w:val="000000"/>
        </w:rPr>
        <w:t xml:space="preserve">con </w:t>
      </w:r>
      <w:r w:rsidRPr="001C465C">
        <w:rPr>
          <w:rFonts w:ascii="Times New Roman" w:eastAsia="Times New Roman" w:hAnsi="Times New Roman" w:cs="Times New Roman"/>
          <w:color w:val="000000"/>
        </w:rPr>
        <w:t xml:space="preserve">la edad y la generación no </w:t>
      </w:r>
      <w:r w:rsidR="008C32DC">
        <w:rPr>
          <w:rFonts w:ascii="Times New Roman" w:eastAsia="Times New Roman" w:hAnsi="Times New Roman" w:cs="Times New Roman"/>
          <w:color w:val="000000"/>
        </w:rPr>
        <w:t>se observó asociación estadísticamente significativa</w:t>
      </w:r>
      <w:r w:rsidRPr="001C465C">
        <w:rPr>
          <w:rFonts w:ascii="Times New Roman" w:eastAsia="Times New Roman" w:hAnsi="Times New Roman" w:cs="Times New Roman"/>
          <w:color w:val="000000"/>
        </w:rPr>
        <w:t>.</w:t>
      </w:r>
    </w:p>
    <w:p w14:paraId="4E2E2655" w14:textId="52E7BE55"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A</w:t>
      </w:r>
      <w:r w:rsidR="008C32DC">
        <w:rPr>
          <w:rFonts w:ascii="Times New Roman" w:eastAsia="Times New Roman" w:hAnsi="Times New Roman" w:cs="Times New Roman"/>
          <w:color w:val="000000"/>
        </w:rPr>
        <w:t>si</w:t>
      </w:r>
      <w:r w:rsidRPr="001C465C">
        <w:rPr>
          <w:rFonts w:ascii="Times New Roman" w:eastAsia="Times New Roman" w:hAnsi="Times New Roman" w:cs="Times New Roman"/>
          <w:color w:val="000000"/>
        </w:rPr>
        <w:t>mismo, los resultados obtenidos sugiere</w:t>
      </w:r>
      <w:r w:rsidR="00942731">
        <w:rPr>
          <w:rFonts w:ascii="Times New Roman" w:eastAsia="Times New Roman" w:hAnsi="Times New Roman" w:cs="Times New Roman"/>
          <w:color w:val="000000"/>
        </w:rPr>
        <w:t>n</w:t>
      </w:r>
      <w:r w:rsidRPr="001C465C">
        <w:rPr>
          <w:rFonts w:ascii="Times New Roman" w:eastAsia="Times New Roman" w:hAnsi="Times New Roman" w:cs="Times New Roman"/>
          <w:color w:val="000000"/>
        </w:rPr>
        <w:t xml:space="preserve"> que las </w:t>
      </w:r>
      <w:r w:rsidR="008C32DC">
        <w:rPr>
          <w:rFonts w:ascii="Times New Roman" w:eastAsia="Times New Roman" w:hAnsi="Times New Roman" w:cs="Times New Roman"/>
          <w:color w:val="000000"/>
        </w:rPr>
        <w:t xml:space="preserve">experiencias educativas del plan de estudios se vinculan con </w:t>
      </w:r>
      <w:r w:rsidR="00942731">
        <w:rPr>
          <w:rFonts w:ascii="Times New Roman" w:eastAsia="Times New Roman" w:hAnsi="Times New Roman" w:cs="Times New Roman"/>
          <w:color w:val="000000"/>
        </w:rPr>
        <w:t>el desarrollo del pensamiento computacional</w:t>
      </w:r>
      <w:r w:rsidRPr="001C465C">
        <w:rPr>
          <w:rFonts w:ascii="Times New Roman" w:eastAsia="Times New Roman" w:hAnsi="Times New Roman" w:cs="Times New Roman"/>
          <w:color w:val="000000"/>
        </w:rPr>
        <w:t>.</w:t>
      </w:r>
    </w:p>
    <w:p w14:paraId="5D5AF769" w14:textId="4E1E5026" w:rsidR="001C465C" w:rsidRPr="001C465C" w:rsidRDefault="008C32D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L</w:t>
      </w:r>
      <w:r w:rsidR="001C465C" w:rsidRPr="001C465C">
        <w:rPr>
          <w:rFonts w:ascii="Times New Roman" w:eastAsia="Times New Roman" w:hAnsi="Times New Roman" w:cs="Times New Roman"/>
          <w:color w:val="000000"/>
        </w:rPr>
        <w:t xml:space="preserve">a dimensión de </w:t>
      </w:r>
      <w:r w:rsidR="000E4ACE">
        <w:rPr>
          <w:rFonts w:ascii="Times New Roman" w:eastAsia="Times New Roman" w:hAnsi="Times New Roman" w:cs="Times New Roman"/>
          <w:color w:val="000000"/>
        </w:rPr>
        <w:t>Pensamiento</w:t>
      </w:r>
      <w:r w:rsidR="001C465C" w:rsidRPr="001C465C">
        <w:rPr>
          <w:rFonts w:ascii="Times New Roman" w:eastAsia="Times New Roman" w:hAnsi="Times New Roman" w:cs="Times New Roman"/>
          <w:color w:val="000000"/>
        </w:rPr>
        <w:t xml:space="preserve"> crítico resultó </w:t>
      </w:r>
      <w:r w:rsidR="00E97796">
        <w:rPr>
          <w:rFonts w:ascii="Times New Roman" w:eastAsia="Times New Roman" w:hAnsi="Times New Roman" w:cs="Times New Roman"/>
          <w:color w:val="000000"/>
        </w:rPr>
        <w:t>el área con mayor nivel de desempeño</w:t>
      </w:r>
      <w:r w:rsidR="001C465C" w:rsidRPr="001C465C">
        <w:rPr>
          <w:rFonts w:ascii="Times New Roman" w:eastAsia="Times New Roman" w:hAnsi="Times New Roman" w:cs="Times New Roman"/>
          <w:color w:val="000000"/>
        </w:rPr>
        <w:t>, con más del 40% de estudiantes</w:t>
      </w:r>
      <w:r w:rsidR="00E97796">
        <w:rPr>
          <w:rFonts w:ascii="Times New Roman" w:eastAsia="Times New Roman" w:hAnsi="Times New Roman" w:cs="Times New Roman"/>
          <w:color w:val="000000"/>
        </w:rPr>
        <w:t xml:space="preserve"> de la muestra total (N=488)</w:t>
      </w:r>
      <w:r w:rsidR="001C465C" w:rsidRPr="001C465C">
        <w:rPr>
          <w:rFonts w:ascii="Times New Roman" w:eastAsia="Times New Roman" w:hAnsi="Times New Roman" w:cs="Times New Roman"/>
          <w:color w:val="000000"/>
        </w:rPr>
        <w:t xml:space="preserve"> por encima de la media, lo que resalta su valor estratégico en la formación profesional. Las </w:t>
      </w:r>
      <w:r w:rsidR="006442B6">
        <w:rPr>
          <w:rFonts w:ascii="Times New Roman" w:eastAsia="Times New Roman" w:hAnsi="Times New Roman" w:cs="Times New Roman"/>
          <w:color w:val="000000"/>
        </w:rPr>
        <w:t>a</w:t>
      </w:r>
      <w:r w:rsidR="001C465C" w:rsidRPr="001C465C">
        <w:rPr>
          <w:rFonts w:ascii="Times New Roman" w:eastAsia="Times New Roman" w:hAnsi="Times New Roman" w:cs="Times New Roman"/>
          <w:color w:val="000000"/>
        </w:rPr>
        <w:t xml:space="preserve">signaturas como </w:t>
      </w:r>
      <w:r w:rsidR="007B5617">
        <w:rPr>
          <w:rFonts w:ascii="Times New Roman" w:eastAsia="Times New Roman" w:hAnsi="Times New Roman" w:cs="Times New Roman"/>
          <w:color w:val="000000"/>
        </w:rPr>
        <w:t>literacidad</w:t>
      </w:r>
      <w:r w:rsidR="001C465C" w:rsidRPr="001C465C">
        <w:rPr>
          <w:rFonts w:ascii="Times New Roman" w:eastAsia="Times New Roman" w:hAnsi="Times New Roman" w:cs="Times New Roman"/>
          <w:color w:val="000000"/>
        </w:rPr>
        <w:t xml:space="preserve"> digital, </w:t>
      </w:r>
      <w:r w:rsidR="000E4ACE">
        <w:rPr>
          <w:rFonts w:ascii="Times New Roman" w:eastAsia="Times New Roman" w:hAnsi="Times New Roman" w:cs="Times New Roman"/>
          <w:color w:val="000000"/>
        </w:rPr>
        <w:t>Pensamiento</w:t>
      </w:r>
      <w:r w:rsidR="001C465C" w:rsidRPr="001C465C">
        <w:rPr>
          <w:rFonts w:ascii="Times New Roman" w:eastAsia="Times New Roman" w:hAnsi="Times New Roman" w:cs="Times New Roman"/>
          <w:color w:val="000000"/>
        </w:rPr>
        <w:t xml:space="preserve"> crítico</w:t>
      </w:r>
      <w:r w:rsidR="007B5617">
        <w:rPr>
          <w:rFonts w:ascii="Times New Roman" w:eastAsia="Times New Roman" w:hAnsi="Times New Roman" w:cs="Times New Roman"/>
          <w:color w:val="000000"/>
        </w:rPr>
        <w:t xml:space="preserve"> para la solución de problemas</w:t>
      </w:r>
      <w:r w:rsidR="001C465C" w:rsidRPr="001C465C">
        <w:rPr>
          <w:rFonts w:ascii="Times New Roman" w:eastAsia="Times New Roman" w:hAnsi="Times New Roman" w:cs="Times New Roman"/>
          <w:color w:val="000000"/>
        </w:rPr>
        <w:t xml:space="preserve">, matemáticas administrativas y estadística </w:t>
      </w:r>
      <w:r w:rsidR="00940146">
        <w:rPr>
          <w:rFonts w:ascii="Times New Roman" w:eastAsia="Times New Roman" w:hAnsi="Times New Roman" w:cs="Times New Roman"/>
          <w:color w:val="000000"/>
        </w:rPr>
        <w:t>se asocian con el</w:t>
      </w:r>
      <w:r w:rsidR="001C465C" w:rsidRPr="001C465C">
        <w:rPr>
          <w:rFonts w:ascii="Times New Roman" w:eastAsia="Times New Roman" w:hAnsi="Times New Roman" w:cs="Times New Roman"/>
          <w:color w:val="000000"/>
        </w:rPr>
        <w:t xml:space="preserve"> desarrollo del pensamiento computacional, confirmando la relevancia de su incorporación en programas académicos no STEM.</w:t>
      </w:r>
    </w:p>
    <w:p w14:paraId="35DC5183" w14:textId="76967330" w:rsidR="000A545E" w:rsidRDefault="000A545E" w:rsidP="000A545E">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Los resultados obtenidos permitieron que se cumpla el objetivo de la investigación de </w:t>
      </w:r>
    </w:p>
    <w:p w14:paraId="1333C5F7" w14:textId="4437E8EF" w:rsidR="00097D84" w:rsidRDefault="00097D84" w:rsidP="000A545E">
      <w:pPr>
        <w:spacing w:after="0" w:line="360" w:lineRule="auto"/>
        <w:ind w:firstLine="708"/>
        <w:jc w:val="both"/>
        <w:rPr>
          <w:rFonts w:ascii="Times New Roman" w:eastAsia="Times New Roman" w:hAnsi="Times New Roman" w:cs="Times New Roman"/>
        </w:rPr>
      </w:pPr>
      <w:r w:rsidRPr="00097D84">
        <w:rPr>
          <w:rFonts w:ascii="Times New Roman" w:eastAsia="Times New Roman" w:hAnsi="Times New Roman" w:cs="Times New Roman"/>
        </w:rPr>
        <w:t xml:space="preserve">El estudio cumplió su objetivo al demostrar que factores demográficos y académicos influyen en la percepción del pensamiento computacional en estudiantes de Contaduría. Los hallazgos revelaron diferencias significativas por género en las puntuaciones globales, así como una asociación directa entre la acreditación de asignaturas específicas y las dimensiones de </w:t>
      </w:r>
      <w:r w:rsidR="000E4ACE">
        <w:rPr>
          <w:rFonts w:ascii="Times New Roman" w:eastAsia="Times New Roman" w:hAnsi="Times New Roman" w:cs="Times New Roman"/>
        </w:rPr>
        <w:t>Pensamiento</w:t>
      </w:r>
      <w:r w:rsidRPr="00097D84">
        <w:rPr>
          <w:rFonts w:ascii="Times New Roman" w:eastAsia="Times New Roman" w:hAnsi="Times New Roman" w:cs="Times New Roman"/>
        </w:rPr>
        <w:t xml:space="preserve"> crítico y </w:t>
      </w:r>
      <w:r w:rsidR="000E4ACE">
        <w:rPr>
          <w:rFonts w:ascii="Times New Roman" w:eastAsia="Times New Roman" w:hAnsi="Times New Roman" w:cs="Times New Roman"/>
        </w:rPr>
        <w:t>Resolución</w:t>
      </w:r>
      <w:r w:rsidRPr="00097D84">
        <w:rPr>
          <w:rFonts w:ascii="Times New Roman" w:eastAsia="Times New Roman" w:hAnsi="Times New Roman" w:cs="Times New Roman"/>
        </w:rPr>
        <w:t xml:space="preserve"> de problemas. Estos resultados confirman que el diseño curricular en áreas de negocios (contextos no STEM) es determinante para el fortalecimiento de las competencias esenciales del siglo XXI.</w:t>
      </w:r>
    </w:p>
    <w:p w14:paraId="5C72A978" w14:textId="77777777" w:rsidR="000A545E" w:rsidRPr="003118C3" w:rsidRDefault="000A545E" w:rsidP="003118C3">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2"/>
          <w:szCs w:val="22"/>
        </w:rPr>
      </w:pPr>
    </w:p>
    <w:p w14:paraId="3BE64F51" w14:textId="1B43869B" w:rsidR="001C465C" w:rsidRPr="005529E6" w:rsidRDefault="001C465C" w:rsidP="003118C3">
      <w:pPr>
        <w:spacing w:after="0" w:line="360" w:lineRule="auto"/>
        <w:jc w:val="center"/>
        <w:rPr>
          <w:rFonts w:ascii="Times New Roman" w:eastAsia="Times New Roman" w:hAnsi="Times New Roman" w:cs="Times New Roman"/>
          <w:b/>
          <w:sz w:val="32"/>
          <w:szCs w:val="32"/>
        </w:rPr>
      </w:pPr>
      <w:r w:rsidRPr="003118C3">
        <w:rPr>
          <w:rFonts w:ascii="Times New Roman" w:eastAsia="Times New Roman" w:hAnsi="Times New Roman" w:cs="Times New Roman"/>
          <w:b/>
          <w:sz w:val="28"/>
          <w:szCs w:val="28"/>
        </w:rPr>
        <w:t xml:space="preserve">Futuras </w:t>
      </w:r>
      <w:r w:rsidRPr="005529E6">
        <w:rPr>
          <w:rFonts w:ascii="Times New Roman" w:eastAsia="Times New Roman" w:hAnsi="Times New Roman" w:cs="Times New Roman"/>
          <w:b/>
          <w:sz w:val="32"/>
          <w:szCs w:val="32"/>
        </w:rPr>
        <w:t xml:space="preserve">líneas de </w:t>
      </w:r>
      <w:r w:rsidR="005529E6">
        <w:rPr>
          <w:rFonts w:ascii="Times New Roman" w:eastAsia="Times New Roman" w:hAnsi="Times New Roman" w:cs="Times New Roman"/>
          <w:b/>
          <w:sz w:val="32"/>
          <w:szCs w:val="32"/>
        </w:rPr>
        <w:t>i</w:t>
      </w:r>
      <w:r w:rsidRPr="005529E6">
        <w:rPr>
          <w:rFonts w:ascii="Times New Roman" w:eastAsia="Times New Roman" w:hAnsi="Times New Roman" w:cs="Times New Roman"/>
          <w:b/>
          <w:sz w:val="32"/>
          <w:szCs w:val="32"/>
        </w:rPr>
        <w:t>nvestigación</w:t>
      </w:r>
    </w:p>
    <w:p w14:paraId="5CECE4A9" w14:textId="2292F421" w:rsidR="001C465C" w:rsidRPr="001C465C" w:rsidRDefault="001C465C" w:rsidP="001C465C">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1C465C">
        <w:rPr>
          <w:rFonts w:ascii="Times New Roman" w:eastAsia="Times New Roman" w:hAnsi="Times New Roman" w:cs="Times New Roman"/>
          <w:color w:val="000000"/>
        </w:rPr>
        <w:t xml:space="preserve">Derivado de los hallazgos, se plantean las siguientes líneas de investigación: </w:t>
      </w:r>
      <w:r w:rsidR="004726EE">
        <w:rPr>
          <w:rFonts w:ascii="Times New Roman" w:eastAsia="Times New Roman" w:hAnsi="Times New Roman" w:cs="Times New Roman"/>
          <w:color w:val="000000"/>
        </w:rPr>
        <w:t>e</w:t>
      </w:r>
      <w:r w:rsidRPr="001C465C">
        <w:rPr>
          <w:rFonts w:ascii="Times New Roman" w:eastAsia="Times New Roman" w:hAnsi="Times New Roman" w:cs="Times New Roman"/>
          <w:color w:val="000000"/>
        </w:rPr>
        <w:t xml:space="preserve">n primer lugar, aplicar los instrumentos en otras carreras no STEM para explorar </w:t>
      </w:r>
      <w:r w:rsidR="004726EE">
        <w:rPr>
          <w:rFonts w:ascii="Times New Roman" w:eastAsia="Times New Roman" w:hAnsi="Times New Roman" w:cs="Times New Roman"/>
          <w:color w:val="000000"/>
        </w:rPr>
        <w:t xml:space="preserve">la relación </w:t>
      </w:r>
      <w:r w:rsidRPr="001C465C">
        <w:rPr>
          <w:rFonts w:ascii="Times New Roman" w:eastAsia="Times New Roman" w:hAnsi="Times New Roman" w:cs="Times New Roman"/>
          <w:color w:val="000000"/>
        </w:rPr>
        <w:t xml:space="preserve">del currículo en el </w:t>
      </w:r>
      <w:r w:rsidR="004726EE">
        <w:rPr>
          <w:rFonts w:ascii="Times New Roman" w:eastAsia="Times New Roman" w:hAnsi="Times New Roman" w:cs="Times New Roman"/>
          <w:color w:val="000000"/>
        </w:rPr>
        <w:t>p</w:t>
      </w:r>
      <w:r w:rsidR="00097D84">
        <w:rPr>
          <w:rFonts w:ascii="Times New Roman" w:eastAsia="Times New Roman" w:hAnsi="Times New Roman" w:cs="Times New Roman"/>
          <w:color w:val="000000"/>
        </w:rPr>
        <w:t>ensamiento</w:t>
      </w:r>
      <w:r w:rsidRPr="001C465C">
        <w:rPr>
          <w:rFonts w:ascii="Times New Roman" w:eastAsia="Times New Roman" w:hAnsi="Times New Roman" w:cs="Times New Roman"/>
          <w:color w:val="000000"/>
        </w:rPr>
        <w:t xml:space="preserve"> computacional.  Por otro lado, es conveniente también realizar estudios comparativos y longitudinales que permitan observar la evolución de las competencias a lo largo de la trayectoria académica. Por último, se considera diseñar </w:t>
      </w:r>
      <w:r w:rsidRPr="001C465C">
        <w:rPr>
          <w:rFonts w:ascii="Times New Roman" w:eastAsia="Times New Roman" w:hAnsi="Times New Roman" w:cs="Times New Roman"/>
          <w:color w:val="000000"/>
        </w:rPr>
        <w:lastRenderedPageBreak/>
        <w:t>intervenciones o cursos de apoyo enfocados en fortalecer habilidades del siglo XXI</w:t>
      </w:r>
      <w:r w:rsidR="004726EE">
        <w:rPr>
          <w:rFonts w:ascii="Times New Roman" w:eastAsia="Times New Roman" w:hAnsi="Times New Roman" w:cs="Times New Roman"/>
          <w:color w:val="000000"/>
        </w:rPr>
        <w:t xml:space="preserve"> </w:t>
      </w:r>
      <w:r w:rsidRPr="001C465C">
        <w:rPr>
          <w:rFonts w:ascii="Times New Roman" w:eastAsia="Times New Roman" w:hAnsi="Times New Roman" w:cs="Times New Roman"/>
          <w:color w:val="000000"/>
        </w:rPr>
        <w:t>para posteriormente evaluar su efectividad.</w:t>
      </w:r>
    </w:p>
    <w:p w14:paraId="08389A0C" w14:textId="77777777" w:rsidR="001C465C" w:rsidRDefault="001C465C" w:rsidP="001C465C">
      <w:pPr>
        <w:spacing w:after="0" w:line="360" w:lineRule="auto"/>
        <w:ind w:firstLine="708"/>
        <w:jc w:val="both"/>
        <w:rPr>
          <w:rFonts w:ascii="Times New Roman" w:eastAsia="Times New Roman" w:hAnsi="Times New Roman" w:cs="Times New Roman"/>
        </w:rPr>
      </w:pPr>
    </w:p>
    <w:p w14:paraId="40BBFFC2" w14:textId="77777777" w:rsidR="00266FB2" w:rsidRPr="003118C3" w:rsidRDefault="00B1315D" w:rsidP="003118C3">
      <w:pPr>
        <w:spacing w:after="0" w:line="360" w:lineRule="auto"/>
        <w:rPr>
          <w:rFonts w:asciiTheme="majorHAnsi" w:eastAsia="Times New Roman" w:hAnsiTheme="majorHAnsi" w:cstheme="majorHAnsi"/>
          <w:b/>
          <w:sz w:val="28"/>
          <w:szCs w:val="28"/>
        </w:rPr>
      </w:pPr>
      <w:r w:rsidRPr="003118C3">
        <w:rPr>
          <w:rFonts w:asciiTheme="majorHAnsi" w:eastAsia="Times New Roman" w:hAnsiTheme="majorHAnsi" w:cstheme="majorHAnsi"/>
          <w:b/>
          <w:sz w:val="28"/>
          <w:szCs w:val="28"/>
        </w:rPr>
        <w:t>Referencias</w:t>
      </w:r>
    </w:p>
    <w:p w14:paraId="40564AF5"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bookmarkStart w:id="2" w:name="_Hlk219972580"/>
      <w:r w:rsidRPr="009A2439">
        <w:rPr>
          <w:rFonts w:ascii="Times New Roman" w:eastAsia="Times New Roman" w:hAnsi="Times New Roman" w:cs="Times New Roman"/>
        </w:rPr>
        <w:t xml:space="preserve">Al Khateeb, A. A., Aldosemani, T. I., Abu-Dawood, S., y Algarni, S. (2024). Alineación de las competencias universitarias con las medidas de habilidades globales. </w:t>
      </w:r>
      <w:r w:rsidRPr="004726EE">
        <w:rPr>
          <w:rFonts w:ascii="Times New Roman" w:eastAsia="Times New Roman" w:hAnsi="Times New Roman" w:cs="Times New Roman"/>
          <w:i/>
          <w:iCs/>
        </w:rPr>
        <w:t>Revista Internacional de Educación en Tecnologías de la Información y la Comunicación</w:t>
      </w:r>
      <w:r w:rsidRPr="009A2439">
        <w:rPr>
          <w:rFonts w:ascii="Times New Roman" w:eastAsia="Times New Roman" w:hAnsi="Times New Roman" w:cs="Times New Roman"/>
        </w:rPr>
        <w:t xml:space="preserve">, 20(1), 1–16. </w:t>
      </w:r>
      <w:hyperlink r:id="rId10" w:history="1">
        <w:r w:rsidRPr="009A2439">
          <w:rPr>
            <w:rFonts w:ascii="Times New Roman" w:eastAsia="Times New Roman" w:hAnsi="Times New Roman" w:cs="Times New Roman"/>
          </w:rPr>
          <w:t>https://doi.org/10.4018/IJICTE.336559</w:t>
        </w:r>
      </w:hyperlink>
      <w:r w:rsidRPr="009A2439">
        <w:rPr>
          <w:rFonts w:ascii="Times New Roman" w:eastAsia="Times New Roman" w:hAnsi="Times New Roman" w:cs="Times New Roman"/>
        </w:rPr>
        <w:t xml:space="preserve"> </w:t>
      </w:r>
    </w:p>
    <w:p w14:paraId="498673F7"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Bartolomé, J., y Garaizar, P. (2022). Diseño y validación de una nueva herramienta para evaluar la netiqueta y la alfabetización en información y datos de los ciudadanos mediante simulaciones interactivas. </w:t>
      </w:r>
      <w:r w:rsidRPr="004726EE">
        <w:rPr>
          <w:rFonts w:ascii="Times New Roman" w:eastAsia="Times New Roman" w:hAnsi="Times New Roman" w:cs="Times New Roman"/>
          <w:i/>
          <w:iCs/>
        </w:rPr>
        <w:t>Sostenibilidad</w:t>
      </w:r>
      <w:r w:rsidRPr="009A2439">
        <w:rPr>
          <w:rFonts w:ascii="Times New Roman" w:eastAsia="Times New Roman" w:hAnsi="Times New Roman" w:cs="Times New Roman"/>
        </w:rPr>
        <w:t xml:space="preserve">, 14(6), 3392. </w:t>
      </w:r>
      <w:hyperlink r:id="rId11" w:history="1">
        <w:r w:rsidRPr="009A2439">
          <w:rPr>
            <w:rFonts w:ascii="Times New Roman" w:eastAsia="Times New Roman" w:hAnsi="Times New Roman" w:cs="Times New Roman"/>
          </w:rPr>
          <w:t>https://doi.org/10.3390/su14063392</w:t>
        </w:r>
      </w:hyperlink>
      <w:r w:rsidRPr="009A2439">
        <w:rPr>
          <w:rFonts w:ascii="Times New Roman" w:eastAsia="Times New Roman" w:hAnsi="Times New Roman" w:cs="Times New Roman"/>
        </w:rPr>
        <w:t xml:space="preserve"> </w:t>
      </w:r>
    </w:p>
    <w:p w14:paraId="461BB833"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Budai, B. B., Csuhai, S., y Tózsa, I. (2023). Desarrollo de competencias digitales en la educación superior en administración pública. </w:t>
      </w:r>
      <w:r w:rsidRPr="004726EE">
        <w:rPr>
          <w:rFonts w:ascii="Times New Roman" w:eastAsia="Times New Roman" w:hAnsi="Times New Roman" w:cs="Times New Roman"/>
          <w:i/>
          <w:iCs/>
        </w:rPr>
        <w:t>Sostenibilidad,</w:t>
      </w:r>
      <w:r w:rsidRPr="009A2439">
        <w:rPr>
          <w:rFonts w:ascii="Times New Roman" w:eastAsia="Times New Roman" w:hAnsi="Times New Roman" w:cs="Times New Roman"/>
        </w:rPr>
        <w:t xml:space="preserve"> 15(16), 12462. </w:t>
      </w:r>
      <w:hyperlink r:id="rId12" w:history="1">
        <w:r w:rsidRPr="009A2439">
          <w:rPr>
            <w:rFonts w:ascii="Times New Roman" w:eastAsia="Times New Roman" w:hAnsi="Times New Roman" w:cs="Times New Roman"/>
          </w:rPr>
          <w:t>https://doi.org/10.3390/su151612462</w:t>
        </w:r>
      </w:hyperlink>
      <w:r w:rsidRPr="009A2439">
        <w:rPr>
          <w:rFonts w:ascii="Times New Roman" w:eastAsia="Times New Roman" w:hAnsi="Times New Roman" w:cs="Times New Roman"/>
        </w:rPr>
        <w:t xml:space="preserve"> </w:t>
      </w:r>
    </w:p>
    <w:p w14:paraId="307664D4"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Buitrago-Flórez, F., Danies, G., Restrepo, S., &amp; Hernández, C. (2021). Fomento de las competencias del siglo XXI mediante el pensamiento computacional y el aprendizaje activo: un estudio de métodos mixtos. </w:t>
      </w:r>
      <w:r w:rsidRPr="004726EE">
        <w:rPr>
          <w:rFonts w:ascii="Times New Roman" w:eastAsia="Times New Roman" w:hAnsi="Times New Roman" w:cs="Times New Roman"/>
          <w:i/>
          <w:iCs/>
        </w:rPr>
        <w:t>Revista Internacional de Instrucción,</w:t>
      </w:r>
      <w:r w:rsidRPr="009A2439">
        <w:rPr>
          <w:rFonts w:ascii="Times New Roman" w:eastAsia="Times New Roman" w:hAnsi="Times New Roman" w:cs="Times New Roman"/>
        </w:rPr>
        <w:t xml:space="preserve"> 14(3), 737–754. </w:t>
      </w:r>
      <w:hyperlink r:id="rId13" w:history="1">
        <w:r w:rsidRPr="009A2439">
          <w:rPr>
            <w:rFonts w:ascii="Times New Roman" w:eastAsia="Times New Roman" w:hAnsi="Times New Roman" w:cs="Times New Roman"/>
          </w:rPr>
          <w:t>https://doi.org/10.29333/iji.2021.14343a</w:t>
        </w:r>
      </w:hyperlink>
      <w:r w:rsidRPr="009A2439">
        <w:rPr>
          <w:rFonts w:ascii="Times New Roman" w:eastAsia="Times New Roman" w:hAnsi="Times New Roman" w:cs="Times New Roman"/>
        </w:rPr>
        <w:t xml:space="preserve"> </w:t>
      </w:r>
    </w:p>
    <w:p w14:paraId="4906ECDC"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Camargo Pérez, A. J., &amp; Munar Ladino, J. A. (2021). Habilidades del pensamiento computacional en docentes en formación de la universidad La Gran Colombia. </w:t>
      </w:r>
      <w:r w:rsidRPr="004726EE">
        <w:rPr>
          <w:rFonts w:ascii="Times New Roman" w:eastAsia="Times New Roman" w:hAnsi="Times New Roman" w:cs="Times New Roman"/>
          <w:i/>
          <w:iCs/>
        </w:rPr>
        <w:t>Revista Científica UISRAEL</w:t>
      </w:r>
      <w:r w:rsidRPr="009A2439">
        <w:rPr>
          <w:rFonts w:ascii="Times New Roman" w:eastAsia="Times New Roman" w:hAnsi="Times New Roman" w:cs="Times New Roman"/>
        </w:rPr>
        <w:t xml:space="preserve">, 8(2), 135–149. </w:t>
      </w:r>
      <w:hyperlink r:id="rId14" w:history="1">
        <w:r w:rsidRPr="009A2439">
          <w:rPr>
            <w:rFonts w:ascii="Times New Roman" w:eastAsia="Times New Roman" w:hAnsi="Times New Roman" w:cs="Times New Roman"/>
          </w:rPr>
          <w:t>https://doi.org/10.35290/rcui.v8n2.2021.441</w:t>
        </w:r>
      </w:hyperlink>
      <w:r w:rsidRPr="009A2439">
        <w:rPr>
          <w:rFonts w:ascii="Times New Roman" w:eastAsia="Times New Roman" w:hAnsi="Times New Roman" w:cs="Times New Roman"/>
        </w:rPr>
        <w:t xml:space="preserve"> </w:t>
      </w:r>
    </w:p>
    <w:p w14:paraId="29B99794" w14:textId="77777777" w:rsidR="000A545E" w:rsidRPr="009A2439" w:rsidRDefault="000A545E" w:rsidP="000A545E">
      <w:pPr>
        <w:spacing w:after="0" w:line="360" w:lineRule="auto"/>
        <w:ind w:left="708" w:hanging="708"/>
        <w:jc w:val="both"/>
        <w:rPr>
          <w:rFonts w:ascii="Times New Roman" w:eastAsia="Times New Roman" w:hAnsi="Times New Roman" w:cs="Times New Roman"/>
          <w:lang w:val="en-US"/>
        </w:rPr>
      </w:pPr>
      <w:r w:rsidRPr="009A2439">
        <w:rPr>
          <w:rFonts w:ascii="Times New Roman" w:eastAsia="Times New Roman" w:hAnsi="Times New Roman" w:cs="Times New Roman"/>
        </w:rPr>
        <w:t xml:space="preserve">Christy, N. N. A., y Lyau, N.-M. (2022). Identificación de las competencias futuras requeridas para estudiantes de educación empresarial. </w:t>
      </w:r>
      <w:r w:rsidRPr="004726EE">
        <w:rPr>
          <w:rFonts w:ascii="Times New Roman" w:eastAsia="Times New Roman" w:hAnsi="Times New Roman" w:cs="Times New Roman"/>
          <w:i/>
          <w:iCs/>
          <w:lang w:val="en-US"/>
        </w:rPr>
        <w:t>ICVEAST</w:t>
      </w:r>
      <w:r w:rsidRPr="009A2439">
        <w:rPr>
          <w:rFonts w:ascii="Times New Roman" w:eastAsia="Times New Roman" w:hAnsi="Times New Roman" w:cs="Times New Roman"/>
          <w:lang w:val="en-US"/>
        </w:rPr>
        <w:t xml:space="preserve">, 10. </w:t>
      </w:r>
      <w:hyperlink r:id="rId15" w:history="1">
        <w:r w:rsidRPr="009A2439">
          <w:rPr>
            <w:rFonts w:ascii="Times New Roman" w:eastAsia="Times New Roman" w:hAnsi="Times New Roman" w:cs="Times New Roman"/>
            <w:lang w:val="en-US"/>
          </w:rPr>
          <w:t>https://doi.org/10.3390/proceedings2022083010</w:t>
        </w:r>
      </w:hyperlink>
      <w:r w:rsidRPr="009A2439">
        <w:rPr>
          <w:rFonts w:ascii="Times New Roman" w:eastAsia="Times New Roman" w:hAnsi="Times New Roman" w:cs="Times New Roman"/>
          <w:lang w:val="en-US"/>
        </w:rPr>
        <w:t xml:space="preserve"> </w:t>
      </w:r>
    </w:p>
    <w:p w14:paraId="4FF8D292" w14:textId="6D47FEDA" w:rsidR="000A545E" w:rsidRPr="009A2439" w:rsidRDefault="000A545E" w:rsidP="000A545E">
      <w:pPr>
        <w:spacing w:after="0" w:line="360" w:lineRule="auto"/>
        <w:ind w:left="708" w:hanging="708"/>
        <w:jc w:val="both"/>
        <w:rPr>
          <w:rFonts w:ascii="Times New Roman" w:eastAsia="Times New Roman" w:hAnsi="Times New Roman" w:cs="Times New Roman"/>
          <w:lang w:val="en-US"/>
        </w:rPr>
      </w:pPr>
      <w:r w:rsidRPr="009A2439">
        <w:rPr>
          <w:rFonts w:ascii="Times New Roman" w:eastAsia="Times New Roman" w:hAnsi="Times New Roman" w:cs="Times New Roman"/>
          <w:lang w:val="en-US"/>
        </w:rPr>
        <w:t xml:space="preserve">Cyphert, D., Holke-Farnam, C., Dodge, E. N., Lee, W. E., y Rosol, S. (2019). </w:t>
      </w:r>
      <w:r w:rsidRPr="009A2439">
        <w:rPr>
          <w:rFonts w:ascii="Times New Roman" w:eastAsia="Times New Roman" w:hAnsi="Times New Roman" w:cs="Times New Roman"/>
        </w:rPr>
        <w:t xml:space="preserve">Actividades de comunicación en el entorno empresarial del siglo XXI. </w:t>
      </w:r>
      <w:r w:rsidRPr="004726EE">
        <w:rPr>
          <w:rFonts w:ascii="Times New Roman" w:eastAsia="Times New Roman" w:hAnsi="Times New Roman" w:cs="Times New Roman"/>
          <w:i/>
          <w:iCs/>
          <w:lang w:val="en-US"/>
        </w:rPr>
        <w:t>Business and Professional Communication Quarterly,</w:t>
      </w:r>
      <w:r w:rsidRPr="009A2439">
        <w:rPr>
          <w:rFonts w:ascii="Times New Roman" w:eastAsia="Times New Roman" w:hAnsi="Times New Roman" w:cs="Times New Roman"/>
          <w:lang w:val="en-US"/>
        </w:rPr>
        <w:t xml:space="preserve"> 82(2), 169–201. </w:t>
      </w:r>
      <w:hyperlink r:id="rId16" w:history="1">
        <w:r w:rsidRPr="009A2439">
          <w:rPr>
            <w:rFonts w:ascii="Times New Roman" w:eastAsia="Times New Roman" w:hAnsi="Times New Roman" w:cs="Times New Roman"/>
            <w:lang w:val="en-US"/>
          </w:rPr>
          <w:t>https://doi.org/10.1177/2329490619831279</w:t>
        </w:r>
      </w:hyperlink>
      <w:r w:rsidRPr="009A2439">
        <w:rPr>
          <w:rFonts w:ascii="Times New Roman" w:eastAsia="Times New Roman" w:hAnsi="Times New Roman" w:cs="Times New Roman"/>
          <w:lang w:val="en-US"/>
        </w:rPr>
        <w:t xml:space="preserve"> </w:t>
      </w:r>
    </w:p>
    <w:p w14:paraId="17B301A9" w14:textId="77777777" w:rsidR="000A545E" w:rsidRPr="009A2439" w:rsidRDefault="000A545E" w:rsidP="000A545E">
      <w:pPr>
        <w:spacing w:after="0" w:line="360" w:lineRule="auto"/>
        <w:ind w:left="708" w:hanging="708"/>
        <w:jc w:val="both"/>
        <w:rPr>
          <w:rFonts w:ascii="Times New Roman" w:eastAsia="Times New Roman" w:hAnsi="Times New Roman" w:cs="Times New Roman"/>
          <w:lang w:val="en-US"/>
        </w:rPr>
      </w:pPr>
      <w:r w:rsidRPr="009A2439">
        <w:rPr>
          <w:rFonts w:ascii="Times New Roman" w:eastAsia="Times New Roman" w:hAnsi="Times New Roman" w:cs="Times New Roman"/>
          <w:lang w:val="en-US"/>
        </w:rPr>
        <w:t xml:space="preserve">De Santo, A., Farah, J. C., Martinez, M. L., Moro, A., Bergram, K., Purohit, A. K., Felber, P., Gillet, D., y Holzer, A. (2022). </w:t>
      </w:r>
      <w:r w:rsidRPr="009A2439">
        <w:rPr>
          <w:rFonts w:ascii="Times New Roman" w:eastAsia="Times New Roman" w:hAnsi="Times New Roman" w:cs="Times New Roman"/>
        </w:rPr>
        <w:t xml:space="preserve">Promoción de habilidades de pensamiento computacional en estudiantes no informáticos: Gamificación de cuadernos </w:t>
      </w:r>
      <w:r w:rsidRPr="009A2439">
        <w:rPr>
          <w:rFonts w:ascii="Times New Roman" w:eastAsia="Times New Roman" w:hAnsi="Times New Roman" w:cs="Times New Roman"/>
        </w:rPr>
        <w:lastRenderedPageBreak/>
        <w:t xml:space="preserve">computacionales para aumentar la participación estudiantil. </w:t>
      </w:r>
      <w:r w:rsidRPr="004726EE">
        <w:rPr>
          <w:rFonts w:ascii="Times New Roman" w:eastAsia="Times New Roman" w:hAnsi="Times New Roman" w:cs="Times New Roman"/>
          <w:i/>
          <w:iCs/>
          <w:lang w:val="en-US"/>
        </w:rPr>
        <w:t>IEEE Transactions on Learning Technologies</w:t>
      </w:r>
      <w:r w:rsidRPr="009A2439">
        <w:rPr>
          <w:rFonts w:ascii="Times New Roman" w:eastAsia="Times New Roman" w:hAnsi="Times New Roman" w:cs="Times New Roman"/>
          <w:lang w:val="en-US"/>
        </w:rPr>
        <w:t xml:space="preserve">, 15(3), 392–405. </w:t>
      </w:r>
      <w:hyperlink r:id="rId17" w:history="1">
        <w:r w:rsidRPr="009A2439">
          <w:rPr>
            <w:rFonts w:ascii="Times New Roman" w:eastAsia="Times New Roman" w:hAnsi="Times New Roman" w:cs="Times New Roman"/>
            <w:lang w:val="en-US"/>
          </w:rPr>
          <w:t>https://doi.org/10.1109/TLT.2022.3180588</w:t>
        </w:r>
      </w:hyperlink>
      <w:r w:rsidRPr="009A2439">
        <w:rPr>
          <w:rFonts w:ascii="Times New Roman" w:eastAsia="Times New Roman" w:hAnsi="Times New Roman" w:cs="Times New Roman"/>
          <w:lang w:val="en-US"/>
        </w:rPr>
        <w:t xml:space="preserve"> </w:t>
      </w:r>
    </w:p>
    <w:p w14:paraId="495362F9"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Engelhardt, L., Goldhammer, F., Lüdtke, O., Köller, O., Baumert, J., y Carstensen, C. H. (2021). </w:t>
      </w:r>
      <w:r w:rsidRPr="009A2439">
        <w:rPr>
          <w:rFonts w:ascii="Times New Roman" w:eastAsia="Times New Roman" w:hAnsi="Times New Roman" w:cs="Times New Roman"/>
        </w:rPr>
        <w:t xml:space="preserve">Separación de las competencias PIAAC de las habilidades cognitivas generales: Un análisis de dimensionalidad y explicativo. </w:t>
      </w:r>
      <w:r w:rsidRPr="004726EE">
        <w:rPr>
          <w:rFonts w:ascii="Times New Roman" w:eastAsia="Times New Roman" w:hAnsi="Times New Roman" w:cs="Times New Roman"/>
          <w:i/>
          <w:iCs/>
        </w:rPr>
        <w:t>Estudios en Evaluación Educativa,</w:t>
      </w:r>
      <w:r w:rsidRPr="009A2439">
        <w:rPr>
          <w:rFonts w:ascii="Times New Roman" w:eastAsia="Times New Roman" w:hAnsi="Times New Roman" w:cs="Times New Roman"/>
        </w:rPr>
        <w:t xml:space="preserve"> 71, 101069. </w:t>
      </w:r>
      <w:hyperlink r:id="rId18" w:history="1">
        <w:r w:rsidRPr="009A2439">
          <w:rPr>
            <w:rFonts w:ascii="Times New Roman" w:eastAsia="Times New Roman" w:hAnsi="Times New Roman" w:cs="Times New Roman"/>
          </w:rPr>
          <w:t>https://doi.org/10.1016/j.stueduc.2021.101069</w:t>
        </w:r>
      </w:hyperlink>
      <w:r w:rsidRPr="009A2439">
        <w:rPr>
          <w:rFonts w:ascii="Times New Roman" w:eastAsia="Times New Roman" w:hAnsi="Times New Roman" w:cs="Times New Roman"/>
        </w:rPr>
        <w:t xml:space="preserve"> </w:t>
      </w:r>
    </w:p>
    <w:p w14:paraId="1F08B53D"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Ersozlu, Z., Swartz, M. y Skourdoumbis, A. (2023). Desarrollo del pensamiento computacional a través de las matemáticas: Un mapeo científico evaluativo. </w:t>
      </w:r>
      <w:r w:rsidRPr="004726EE">
        <w:rPr>
          <w:rFonts w:ascii="Times New Roman" w:eastAsia="Times New Roman" w:hAnsi="Times New Roman" w:cs="Times New Roman"/>
          <w:i/>
          <w:iCs/>
        </w:rPr>
        <w:t>Ciencias de la Educación,</w:t>
      </w:r>
      <w:r w:rsidRPr="009A2439">
        <w:rPr>
          <w:rFonts w:ascii="Times New Roman" w:eastAsia="Times New Roman" w:hAnsi="Times New Roman" w:cs="Times New Roman"/>
        </w:rPr>
        <w:t xml:space="preserve"> 13(4), 422. </w:t>
      </w:r>
      <w:hyperlink r:id="rId19" w:history="1">
        <w:r w:rsidRPr="009A2439">
          <w:rPr>
            <w:rFonts w:ascii="Times New Roman" w:eastAsia="Times New Roman" w:hAnsi="Times New Roman" w:cs="Times New Roman"/>
          </w:rPr>
          <w:t>https://doi.org/10.3390/educsci13040422</w:t>
        </w:r>
      </w:hyperlink>
      <w:r w:rsidRPr="009A2439">
        <w:rPr>
          <w:rFonts w:ascii="Times New Roman" w:eastAsia="Times New Roman" w:hAnsi="Times New Roman" w:cs="Times New Roman"/>
        </w:rPr>
        <w:t xml:space="preserve"> </w:t>
      </w:r>
    </w:p>
    <w:p w14:paraId="2C1DA347"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Gachino, G. G. y Worku, G. B. (2019). Aprendizaje en la educación superior: hacia la adquisición de conocimientos, habilidades y competencias. </w:t>
      </w:r>
      <w:r w:rsidRPr="004726EE">
        <w:rPr>
          <w:rFonts w:ascii="Times New Roman" w:eastAsia="Times New Roman" w:hAnsi="Times New Roman" w:cs="Times New Roman"/>
          <w:i/>
          <w:iCs/>
        </w:rPr>
        <w:t>Revista Internacional de Gestión Educativa,</w:t>
      </w:r>
      <w:r w:rsidRPr="009A2439">
        <w:rPr>
          <w:rFonts w:ascii="Times New Roman" w:eastAsia="Times New Roman" w:hAnsi="Times New Roman" w:cs="Times New Roman"/>
        </w:rPr>
        <w:t xml:space="preserve"> 33(7), 1746–1770. </w:t>
      </w:r>
      <w:hyperlink r:id="rId20" w:history="1">
        <w:r w:rsidRPr="009A2439">
          <w:rPr>
            <w:rFonts w:ascii="Times New Roman" w:eastAsia="Times New Roman" w:hAnsi="Times New Roman" w:cs="Times New Roman"/>
          </w:rPr>
          <w:t>https://doi.org/10.1108/IJEM-10-2018-0303</w:t>
        </w:r>
      </w:hyperlink>
      <w:r w:rsidRPr="009A2439">
        <w:rPr>
          <w:rFonts w:ascii="Times New Roman" w:eastAsia="Times New Roman" w:hAnsi="Times New Roman" w:cs="Times New Roman"/>
        </w:rPr>
        <w:t xml:space="preserve"> </w:t>
      </w:r>
    </w:p>
    <w:p w14:paraId="080DA487" w14:textId="77777777" w:rsidR="000A545E"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Giménez, C. G., Aranha, F., Rolim, H. V. y Neves, L. Q. das. (2020). Inovação nos Cursos de Administração no Brasil: uma Análise do Alinhamento às Competências do Século XXI. </w:t>
      </w:r>
      <w:r w:rsidRPr="004726EE">
        <w:rPr>
          <w:rFonts w:ascii="Times New Roman" w:eastAsia="Times New Roman" w:hAnsi="Times New Roman" w:cs="Times New Roman"/>
          <w:i/>
          <w:iCs/>
        </w:rPr>
        <w:t>Administração: Ensino e Pesquisa,</w:t>
      </w:r>
      <w:r w:rsidRPr="009A2439">
        <w:rPr>
          <w:rFonts w:ascii="Times New Roman" w:eastAsia="Times New Roman" w:hAnsi="Times New Roman" w:cs="Times New Roman"/>
        </w:rPr>
        <w:t xml:space="preserve"> 21(1), 181–213. </w:t>
      </w:r>
      <w:hyperlink r:id="rId21" w:history="1">
        <w:r w:rsidRPr="009A2439">
          <w:rPr>
            <w:rFonts w:ascii="Times New Roman" w:eastAsia="Times New Roman" w:hAnsi="Times New Roman" w:cs="Times New Roman"/>
          </w:rPr>
          <w:t>https://doi.org/10.13058/raep.2020.v21n1.1738</w:t>
        </w:r>
      </w:hyperlink>
      <w:r w:rsidRPr="009A2439">
        <w:rPr>
          <w:rFonts w:ascii="Times New Roman" w:eastAsia="Times New Roman" w:hAnsi="Times New Roman" w:cs="Times New Roman"/>
        </w:rPr>
        <w:t xml:space="preserve"> </w:t>
      </w:r>
    </w:p>
    <w:p w14:paraId="0E6D7855"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862652">
        <w:rPr>
          <w:rFonts w:ascii="Times New Roman" w:eastAsia="Times New Roman" w:hAnsi="Times New Roman" w:cs="Times New Roman"/>
        </w:rPr>
        <w:t xml:space="preserve">Gómez-Escalonilla, G. (2021). Métodos y técnicas de investigación utilizados en los estudios sobre comunicación en España. </w:t>
      </w:r>
      <w:r w:rsidRPr="004726EE">
        <w:rPr>
          <w:rFonts w:ascii="Times New Roman" w:eastAsia="Times New Roman" w:hAnsi="Times New Roman" w:cs="Times New Roman"/>
          <w:i/>
          <w:iCs/>
        </w:rPr>
        <w:t>Revista Mediterránea de Comunicación: Mediterranean Journal of Communication,</w:t>
      </w:r>
      <w:r w:rsidRPr="00862652">
        <w:rPr>
          <w:rFonts w:ascii="Times New Roman" w:eastAsia="Times New Roman" w:hAnsi="Times New Roman" w:cs="Times New Roman"/>
        </w:rPr>
        <w:t xml:space="preserve"> 12, 115-127. https://doi.org/10.14198/medcom000018.</w:t>
      </w:r>
    </w:p>
    <w:p w14:paraId="18AE0B94"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González-Pérez, L. I., &amp; Ramírez-Montoya, M. S. (2022). Componentes de la Educación 4.0 en los marcos de habilidades del siglo XXI: revisión sistemática. </w:t>
      </w:r>
      <w:r w:rsidRPr="004726EE">
        <w:rPr>
          <w:rFonts w:ascii="Times New Roman" w:eastAsia="Times New Roman" w:hAnsi="Times New Roman" w:cs="Times New Roman"/>
          <w:i/>
          <w:iCs/>
        </w:rPr>
        <w:t>Sostenibilidad,</w:t>
      </w:r>
      <w:r w:rsidRPr="009A2439">
        <w:rPr>
          <w:rFonts w:ascii="Times New Roman" w:eastAsia="Times New Roman" w:hAnsi="Times New Roman" w:cs="Times New Roman"/>
        </w:rPr>
        <w:t xml:space="preserve"> 14(3), 1493. </w:t>
      </w:r>
      <w:hyperlink r:id="rId22" w:history="1">
        <w:r w:rsidRPr="009A2439">
          <w:rPr>
            <w:rFonts w:ascii="Times New Roman" w:eastAsia="Times New Roman" w:hAnsi="Times New Roman" w:cs="Times New Roman"/>
          </w:rPr>
          <w:t>https://doi.org/10.3390/su14031493</w:t>
        </w:r>
      </w:hyperlink>
      <w:r w:rsidRPr="009A2439">
        <w:rPr>
          <w:rFonts w:ascii="Times New Roman" w:eastAsia="Times New Roman" w:hAnsi="Times New Roman" w:cs="Times New Roman"/>
        </w:rPr>
        <w:t xml:space="preserve"> </w:t>
      </w:r>
    </w:p>
    <w:p w14:paraId="67FEF72B" w14:textId="77777777" w:rsidR="000A545E" w:rsidRPr="009A2439" w:rsidRDefault="000A545E" w:rsidP="000A545E">
      <w:pPr>
        <w:spacing w:after="0" w:line="360" w:lineRule="auto"/>
        <w:ind w:left="708" w:hanging="708"/>
        <w:jc w:val="both"/>
        <w:rPr>
          <w:rFonts w:ascii="Times New Roman" w:eastAsia="Times New Roman" w:hAnsi="Times New Roman" w:cs="Times New Roman"/>
          <w:lang w:val="en-US"/>
        </w:rPr>
      </w:pPr>
      <w:r w:rsidRPr="009A2439">
        <w:rPr>
          <w:rFonts w:ascii="Times New Roman" w:eastAsia="Times New Roman" w:hAnsi="Times New Roman" w:cs="Times New Roman"/>
        </w:rPr>
        <w:t xml:space="preserve">Gretter, S. y Yadav, A. (2016). Pensamiento computacional y alfabetización mediática e informacional: un enfoque integrado para la enseñanza de habilidades del siglo XXI. </w:t>
      </w:r>
      <w:r w:rsidRPr="004726EE">
        <w:rPr>
          <w:rFonts w:ascii="Times New Roman" w:eastAsia="Times New Roman" w:hAnsi="Times New Roman" w:cs="Times New Roman"/>
          <w:i/>
          <w:iCs/>
          <w:lang w:val="en-US"/>
        </w:rPr>
        <w:t>TechTrends,</w:t>
      </w:r>
      <w:r w:rsidRPr="009A2439">
        <w:rPr>
          <w:rFonts w:ascii="Times New Roman" w:eastAsia="Times New Roman" w:hAnsi="Times New Roman" w:cs="Times New Roman"/>
          <w:lang w:val="en-US"/>
        </w:rPr>
        <w:t xml:space="preserve"> 60(5), 510–516. </w:t>
      </w:r>
      <w:hyperlink r:id="rId23" w:history="1">
        <w:r w:rsidRPr="009A2439">
          <w:rPr>
            <w:rFonts w:ascii="Times New Roman" w:eastAsia="Times New Roman" w:hAnsi="Times New Roman" w:cs="Times New Roman"/>
            <w:lang w:val="en-US"/>
          </w:rPr>
          <w:t>https://doi.org/10.1007/s11528-016-0098-4</w:t>
        </w:r>
      </w:hyperlink>
      <w:r w:rsidRPr="009A2439">
        <w:rPr>
          <w:rFonts w:ascii="Times New Roman" w:eastAsia="Times New Roman" w:hAnsi="Times New Roman" w:cs="Times New Roman"/>
          <w:lang w:val="en-US"/>
        </w:rPr>
        <w:t xml:space="preserve"> </w:t>
      </w:r>
    </w:p>
    <w:p w14:paraId="3B5D149F"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Jang, Y., Choi, S., Kim, S. y Kim, H. (2023). </w:t>
      </w:r>
      <w:r w:rsidRPr="009A2439">
        <w:rPr>
          <w:rFonts w:ascii="Times New Roman" w:eastAsia="Times New Roman" w:hAnsi="Times New Roman" w:cs="Times New Roman"/>
        </w:rPr>
        <w:t xml:space="preserve">Mentoría electrónica basada en redes sociales y desarrollo del pensamiento computacional para estudiantes de pregrado en un curso en línea. </w:t>
      </w:r>
      <w:r w:rsidRPr="004726EE">
        <w:rPr>
          <w:rFonts w:ascii="Times New Roman" w:eastAsia="Times New Roman" w:hAnsi="Times New Roman" w:cs="Times New Roman"/>
          <w:i/>
          <w:iCs/>
        </w:rPr>
        <w:t>Tecnología Educativa y Sociedad,</w:t>
      </w:r>
      <w:r w:rsidRPr="009A2439">
        <w:rPr>
          <w:rFonts w:ascii="Times New Roman" w:eastAsia="Times New Roman" w:hAnsi="Times New Roman" w:cs="Times New Roman"/>
        </w:rPr>
        <w:t xml:space="preserve"> 26(2), 147–164. </w:t>
      </w:r>
      <w:hyperlink r:id="rId24" w:history="1">
        <w:r w:rsidRPr="009A2439">
          <w:rPr>
            <w:rFonts w:ascii="Times New Roman" w:eastAsia="Times New Roman" w:hAnsi="Times New Roman" w:cs="Times New Roman"/>
          </w:rPr>
          <w:t>https://www.jstor.org/stable/48721002</w:t>
        </w:r>
      </w:hyperlink>
      <w:r w:rsidRPr="009A2439">
        <w:rPr>
          <w:rFonts w:ascii="Times New Roman" w:eastAsia="Times New Roman" w:hAnsi="Times New Roman" w:cs="Times New Roman"/>
        </w:rPr>
        <w:t xml:space="preserve"> </w:t>
      </w:r>
    </w:p>
    <w:p w14:paraId="7CECF618"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Kallia, M., van Borkulo, S. P., Drijvers, P., Barendsen, E. y Tolboom, J. (2021). Caracterización del pensamiento computacional en la educación matemática: un </w:t>
      </w:r>
      <w:r w:rsidRPr="009A2439">
        <w:rPr>
          <w:rFonts w:ascii="Times New Roman" w:eastAsia="Times New Roman" w:hAnsi="Times New Roman" w:cs="Times New Roman"/>
        </w:rPr>
        <w:lastRenderedPageBreak/>
        <w:t xml:space="preserve">estudio Delphi basado en la literatura. </w:t>
      </w:r>
      <w:r w:rsidRPr="004726EE">
        <w:rPr>
          <w:rFonts w:ascii="Times New Roman" w:eastAsia="Times New Roman" w:hAnsi="Times New Roman" w:cs="Times New Roman"/>
          <w:i/>
          <w:iCs/>
        </w:rPr>
        <w:t>Investigación en Educación Matemática,</w:t>
      </w:r>
      <w:r w:rsidRPr="009A2439">
        <w:rPr>
          <w:rFonts w:ascii="Times New Roman" w:eastAsia="Times New Roman" w:hAnsi="Times New Roman" w:cs="Times New Roman"/>
        </w:rPr>
        <w:t xml:space="preserve"> 23(2), 159–187. </w:t>
      </w:r>
      <w:hyperlink r:id="rId25" w:history="1">
        <w:r w:rsidRPr="009A2439">
          <w:rPr>
            <w:rFonts w:ascii="Times New Roman" w:eastAsia="Times New Roman" w:hAnsi="Times New Roman" w:cs="Times New Roman"/>
          </w:rPr>
          <w:t>https://doi.org/10.1080/14794802.2020.1852104</w:t>
        </w:r>
      </w:hyperlink>
      <w:r w:rsidRPr="009A2439">
        <w:rPr>
          <w:rFonts w:ascii="Times New Roman" w:eastAsia="Times New Roman" w:hAnsi="Times New Roman" w:cs="Times New Roman"/>
        </w:rPr>
        <w:t xml:space="preserve"> </w:t>
      </w:r>
    </w:p>
    <w:p w14:paraId="29A9EADC"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Kang, C., Liu, N., Zhu, Y., Li, F. y Zeng, P. (2023). Desarrollo de una prueba multidimensional de pensamiento computacional para estudiantes universitarios basada en situaciones de historias de vida. </w:t>
      </w:r>
      <w:r w:rsidRPr="004726EE">
        <w:rPr>
          <w:rFonts w:ascii="Times New Roman" w:eastAsia="Times New Roman" w:hAnsi="Times New Roman" w:cs="Times New Roman"/>
          <w:i/>
          <w:iCs/>
        </w:rPr>
        <w:t>Educación y Tecnologías de la Información,</w:t>
      </w:r>
      <w:r w:rsidRPr="009A2439">
        <w:rPr>
          <w:rFonts w:ascii="Times New Roman" w:eastAsia="Times New Roman" w:hAnsi="Times New Roman" w:cs="Times New Roman"/>
        </w:rPr>
        <w:t xml:space="preserve"> 28(3), 2661–2679. </w:t>
      </w:r>
      <w:hyperlink r:id="rId26" w:history="1">
        <w:r w:rsidRPr="009A2439">
          <w:rPr>
            <w:rFonts w:ascii="Times New Roman" w:eastAsia="Times New Roman" w:hAnsi="Times New Roman" w:cs="Times New Roman"/>
          </w:rPr>
          <w:t>https://doi.org/10.1007/s10639-022-11189-z</w:t>
        </w:r>
      </w:hyperlink>
      <w:r w:rsidRPr="009A2439">
        <w:rPr>
          <w:rFonts w:ascii="Times New Roman" w:eastAsia="Times New Roman" w:hAnsi="Times New Roman" w:cs="Times New Roman"/>
        </w:rPr>
        <w:t xml:space="preserve"> </w:t>
      </w:r>
    </w:p>
    <w:p w14:paraId="76A3C260" w14:textId="77777777" w:rsidR="000A545E" w:rsidRPr="009A2439" w:rsidRDefault="000A545E" w:rsidP="000A545E">
      <w:pPr>
        <w:spacing w:after="0" w:line="360" w:lineRule="auto"/>
        <w:ind w:left="708" w:hanging="708"/>
        <w:jc w:val="both"/>
        <w:rPr>
          <w:rFonts w:ascii="Times New Roman" w:eastAsia="Times New Roman" w:hAnsi="Times New Roman" w:cs="Times New Roman"/>
          <w:lang w:val="en-US"/>
        </w:rPr>
      </w:pPr>
      <w:r w:rsidRPr="009A2439">
        <w:rPr>
          <w:rFonts w:ascii="Times New Roman" w:eastAsia="Times New Roman" w:hAnsi="Times New Roman" w:cs="Times New Roman"/>
        </w:rPr>
        <w:t xml:space="preserve">Kawaguchi, D. y Toriyabe, T. (2022). Mediciones de habilidades y uso de habilidades mediante PIAAC. </w:t>
      </w:r>
      <w:r w:rsidRPr="004726EE">
        <w:rPr>
          <w:rFonts w:ascii="Times New Roman" w:eastAsia="Times New Roman" w:hAnsi="Times New Roman" w:cs="Times New Roman"/>
          <w:i/>
          <w:iCs/>
          <w:lang w:val="en-US"/>
        </w:rPr>
        <w:t>Labour Economics,</w:t>
      </w:r>
      <w:r w:rsidRPr="009A2439">
        <w:rPr>
          <w:rFonts w:ascii="Times New Roman" w:eastAsia="Times New Roman" w:hAnsi="Times New Roman" w:cs="Times New Roman"/>
          <w:lang w:val="en-US"/>
        </w:rPr>
        <w:t xml:space="preserve"> 78, 102197. </w:t>
      </w:r>
      <w:hyperlink r:id="rId27" w:history="1">
        <w:r w:rsidRPr="009A2439">
          <w:rPr>
            <w:rFonts w:ascii="Times New Roman" w:eastAsia="Times New Roman" w:hAnsi="Times New Roman" w:cs="Times New Roman"/>
            <w:lang w:val="en-US"/>
          </w:rPr>
          <w:t>https://doi.org/10.1016/j.labeco.2022.102197</w:t>
        </w:r>
      </w:hyperlink>
      <w:r w:rsidRPr="009A2439">
        <w:rPr>
          <w:rFonts w:ascii="Times New Roman" w:eastAsia="Times New Roman" w:hAnsi="Times New Roman" w:cs="Times New Roman"/>
          <w:lang w:val="en-US"/>
        </w:rPr>
        <w:t xml:space="preserve"> </w:t>
      </w:r>
    </w:p>
    <w:p w14:paraId="0364CF85" w14:textId="78ED8B39"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Khoo, N. A. K. A. F., Ishak, N. A. H. N., Osman, S., Ismail, N. y Kurniati, D. (2022). </w:t>
      </w:r>
      <w:r w:rsidRPr="009A2439">
        <w:rPr>
          <w:rFonts w:ascii="Times New Roman" w:eastAsia="Times New Roman" w:hAnsi="Times New Roman" w:cs="Times New Roman"/>
        </w:rPr>
        <w:t xml:space="preserve">Pensamiento computacional en la educación matemática: Una revisión sistemática. 030043. </w:t>
      </w:r>
      <w:r w:rsidR="00313FEF" w:rsidRPr="00C64932">
        <w:rPr>
          <w:rFonts w:ascii="Times New Roman" w:eastAsia="Times New Roman" w:hAnsi="Times New Roman" w:cs="Times New Roman"/>
          <w:i/>
          <w:iCs/>
        </w:rPr>
        <w:t>Mathematics Educatio</w:t>
      </w:r>
      <w:r w:rsidR="00C64932" w:rsidRPr="00C64932">
        <w:rPr>
          <w:rFonts w:ascii="Times New Roman" w:eastAsia="Times New Roman" w:hAnsi="Times New Roman" w:cs="Times New Roman"/>
          <w:i/>
          <w:iCs/>
        </w:rPr>
        <w:t>n</w:t>
      </w:r>
      <w:r w:rsidR="00313FEF" w:rsidRPr="00C64932">
        <w:rPr>
          <w:rFonts w:ascii="Times New Roman" w:eastAsia="Times New Roman" w:hAnsi="Times New Roman" w:cs="Times New Roman"/>
          <w:i/>
          <w:iCs/>
        </w:rPr>
        <w:t xml:space="preserve"> and learning,</w:t>
      </w:r>
      <w:r w:rsidR="00313FEF">
        <w:rPr>
          <w:rFonts w:ascii="Times New Roman" w:eastAsia="Times New Roman" w:hAnsi="Times New Roman" w:cs="Times New Roman"/>
        </w:rPr>
        <w:t xml:space="preserve"> 2633(1), </w:t>
      </w:r>
      <w:hyperlink r:id="rId28" w:history="1">
        <w:r w:rsidRPr="009A2439">
          <w:rPr>
            <w:rFonts w:ascii="Times New Roman" w:eastAsia="Times New Roman" w:hAnsi="Times New Roman" w:cs="Times New Roman"/>
          </w:rPr>
          <w:t>https://doi.org/10.1063/5.0102618</w:t>
        </w:r>
      </w:hyperlink>
      <w:r w:rsidRPr="009A2439">
        <w:rPr>
          <w:rFonts w:ascii="Times New Roman" w:eastAsia="Times New Roman" w:hAnsi="Times New Roman" w:cs="Times New Roman"/>
        </w:rPr>
        <w:t xml:space="preserve"> </w:t>
      </w:r>
    </w:p>
    <w:p w14:paraId="4D79D17F" w14:textId="380E2410" w:rsidR="000A545E" w:rsidRPr="009A2439" w:rsidRDefault="000A545E" w:rsidP="000A545E">
      <w:pPr>
        <w:spacing w:after="0" w:line="360" w:lineRule="auto"/>
        <w:ind w:left="708" w:hanging="708"/>
        <w:jc w:val="both"/>
        <w:rPr>
          <w:rFonts w:ascii="Times New Roman" w:eastAsia="Times New Roman" w:hAnsi="Times New Roman" w:cs="Times New Roman"/>
          <w:lang w:val="en-US"/>
        </w:rPr>
      </w:pPr>
      <w:r w:rsidRPr="009A2439">
        <w:rPr>
          <w:rFonts w:ascii="Times New Roman" w:eastAsia="Times New Roman" w:hAnsi="Times New Roman" w:cs="Times New Roman"/>
        </w:rPr>
        <w:t xml:space="preserve">Korkmaz, Ö., Çakir, R. y Özden, M. Y. (2017). Estudio de validez y fiabilidad de las </w:t>
      </w:r>
      <w:r w:rsidR="00430107">
        <w:rPr>
          <w:rFonts w:ascii="Times New Roman" w:eastAsia="Times New Roman" w:hAnsi="Times New Roman" w:cs="Times New Roman"/>
        </w:rPr>
        <w:t>E</w:t>
      </w:r>
      <w:r w:rsidRPr="009A2439">
        <w:rPr>
          <w:rFonts w:ascii="Times New Roman" w:eastAsia="Times New Roman" w:hAnsi="Times New Roman" w:cs="Times New Roman"/>
        </w:rPr>
        <w:t xml:space="preserve">scalas de </w:t>
      </w:r>
      <w:r w:rsidR="00430107">
        <w:rPr>
          <w:rFonts w:ascii="Times New Roman" w:eastAsia="Times New Roman" w:hAnsi="Times New Roman" w:cs="Times New Roman"/>
        </w:rPr>
        <w:t>P</w:t>
      </w:r>
      <w:r w:rsidRPr="009A2439">
        <w:rPr>
          <w:rFonts w:ascii="Times New Roman" w:eastAsia="Times New Roman" w:hAnsi="Times New Roman" w:cs="Times New Roman"/>
        </w:rPr>
        <w:t xml:space="preserve">ensamiento </w:t>
      </w:r>
      <w:r w:rsidR="00430107">
        <w:rPr>
          <w:rFonts w:ascii="Times New Roman" w:eastAsia="Times New Roman" w:hAnsi="Times New Roman" w:cs="Times New Roman"/>
        </w:rPr>
        <w:t>C</w:t>
      </w:r>
      <w:r w:rsidRPr="009A2439">
        <w:rPr>
          <w:rFonts w:ascii="Times New Roman" w:eastAsia="Times New Roman" w:hAnsi="Times New Roman" w:cs="Times New Roman"/>
        </w:rPr>
        <w:t xml:space="preserve">omputacional (CTS). </w:t>
      </w:r>
      <w:r w:rsidRPr="00C64932">
        <w:rPr>
          <w:rFonts w:ascii="Times New Roman" w:eastAsia="Times New Roman" w:hAnsi="Times New Roman" w:cs="Times New Roman"/>
          <w:i/>
          <w:iCs/>
          <w:lang w:val="en-US"/>
        </w:rPr>
        <w:t>Computers in Human Behavior,</w:t>
      </w:r>
      <w:r w:rsidRPr="009A2439">
        <w:rPr>
          <w:rFonts w:ascii="Times New Roman" w:eastAsia="Times New Roman" w:hAnsi="Times New Roman" w:cs="Times New Roman"/>
          <w:lang w:val="en-US"/>
        </w:rPr>
        <w:t xml:space="preserve"> 72, 558–569. </w:t>
      </w:r>
      <w:hyperlink r:id="rId29" w:history="1">
        <w:r w:rsidRPr="009A2439">
          <w:rPr>
            <w:rFonts w:ascii="Times New Roman" w:eastAsia="Times New Roman" w:hAnsi="Times New Roman" w:cs="Times New Roman"/>
            <w:lang w:val="en-US"/>
          </w:rPr>
          <w:t>https://doi.org/10.1016/j.chb.2017.01.005</w:t>
        </w:r>
      </w:hyperlink>
    </w:p>
    <w:p w14:paraId="5566C71B"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Laura-Ochoa, L., y Bedregal-Alpaca, N. (2021). </w:t>
      </w:r>
      <w:r w:rsidRPr="009A2439">
        <w:rPr>
          <w:rFonts w:ascii="Times New Roman" w:eastAsia="Times New Roman" w:hAnsi="Times New Roman" w:cs="Times New Roman"/>
        </w:rPr>
        <w:t xml:space="preserve">Desarrollo de habilidades de pensamiento computacional: Una experiencia con estudiantes de pregrado. </w:t>
      </w:r>
      <w:r w:rsidRPr="00C64932">
        <w:rPr>
          <w:rFonts w:ascii="Times New Roman" w:eastAsia="Times New Roman" w:hAnsi="Times New Roman" w:cs="Times New Roman"/>
          <w:i/>
          <w:iCs/>
        </w:rPr>
        <w:t xml:space="preserve">XVI Conferencia Latinoamericana de Tecnologías para el Aprendizaje (LACLO) </w:t>
      </w:r>
      <w:r w:rsidRPr="009A2439">
        <w:rPr>
          <w:rFonts w:ascii="Times New Roman" w:eastAsia="Times New Roman" w:hAnsi="Times New Roman" w:cs="Times New Roman"/>
        </w:rPr>
        <w:t>2021, 112–117. https://doi.org/10.1109/LACLO54177.2021.00070</w:t>
      </w:r>
    </w:p>
    <w:p w14:paraId="62F14C12"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Lee, I., Grover, S., Martin, F., Pillai, S., y Malyn-Smith, J. (2020). </w:t>
      </w:r>
      <w:r w:rsidRPr="009A2439">
        <w:rPr>
          <w:rFonts w:ascii="Times New Roman" w:eastAsia="Times New Roman" w:hAnsi="Times New Roman" w:cs="Times New Roman"/>
        </w:rPr>
        <w:t xml:space="preserve">Pensamiento computacional desde una perspectiva disciplinaria: Integrando el pensamiento computacional en la educación en ciencias, tecnología, ingeniería y matemáticas desde preescolar hasta bachillerato. </w:t>
      </w:r>
      <w:r w:rsidRPr="00C64932">
        <w:rPr>
          <w:rFonts w:ascii="Times New Roman" w:eastAsia="Times New Roman" w:hAnsi="Times New Roman" w:cs="Times New Roman"/>
          <w:i/>
          <w:iCs/>
        </w:rPr>
        <w:t xml:space="preserve">Revista de Educación Científica y Tecnología, </w:t>
      </w:r>
      <w:r w:rsidRPr="009A2439">
        <w:rPr>
          <w:rFonts w:ascii="Times New Roman" w:eastAsia="Times New Roman" w:hAnsi="Times New Roman" w:cs="Times New Roman"/>
        </w:rPr>
        <w:t xml:space="preserve">29(1), 1–8. Español: </w:t>
      </w:r>
      <w:hyperlink r:id="rId30" w:history="1">
        <w:r w:rsidRPr="009A2439">
          <w:rPr>
            <w:rFonts w:ascii="Times New Roman" w:eastAsia="Times New Roman" w:hAnsi="Times New Roman" w:cs="Times New Roman"/>
          </w:rPr>
          <w:t>https://doi.org/10.1007/s10956-019-09803-w</w:t>
        </w:r>
      </w:hyperlink>
      <w:r w:rsidRPr="009A2439">
        <w:rPr>
          <w:rFonts w:ascii="Times New Roman" w:eastAsia="Times New Roman" w:hAnsi="Times New Roman" w:cs="Times New Roman"/>
        </w:rPr>
        <w:t xml:space="preserve"> </w:t>
      </w:r>
    </w:p>
    <w:p w14:paraId="04A44091" w14:textId="77777777" w:rsidR="000C1D61" w:rsidRPr="000C1D61" w:rsidRDefault="000C1D61" w:rsidP="000C1D61">
      <w:pPr>
        <w:spacing w:after="0" w:line="360" w:lineRule="auto"/>
        <w:ind w:left="708" w:hanging="708"/>
        <w:jc w:val="both"/>
        <w:rPr>
          <w:rFonts w:ascii="Times New Roman" w:eastAsia="Times New Roman" w:hAnsi="Times New Roman" w:cs="Times New Roman"/>
          <w:lang w:val="en-US"/>
        </w:rPr>
      </w:pPr>
      <w:r w:rsidRPr="000C1D61">
        <w:rPr>
          <w:rFonts w:ascii="Times New Roman" w:eastAsia="Times New Roman" w:hAnsi="Times New Roman" w:cs="Times New Roman"/>
          <w:lang w:val="en-US"/>
        </w:rPr>
        <w:t xml:space="preserve">Li, Z., Xu, X., Bai, Q., Chen, C., Wang, H. y Xia, P. (2023). </w:t>
      </w:r>
      <w:r w:rsidRPr="000C1D61">
        <w:rPr>
          <w:rFonts w:ascii="Times New Roman" w:eastAsia="Times New Roman" w:hAnsi="Times New Roman" w:cs="Times New Roman"/>
        </w:rPr>
        <w:t xml:space="preserve">Implicaciones del intercambio de información en la adopción de blockchain para la reducción de emisiones de carbono: Un análisis de media-varianza. </w:t>
      </w:r>
      <w:r w:rsidRPr="000C1D61">
        <w:rPr>
          <w:rFonts w:ascii="Times New Roman" w:eastAsia="Times New Roman" w:hAnsi="Times New Roman" w:cs="Times New Roman"/>
          <w:lang w:val="en-US"/>
        </w:rPr>
        <w:t xml:space="preserve">Transportation Research Part E: Logistics and Transportation Review, 178, 103254. </w:t>
      </w:r>
      <w:hyperlink r:id="rId31" w:history="1">
        <w:r w:rsidRPr="000C1D61">
          <w:rPr>
            <w:rStyle w:val="Hipervnculo"/>
            <w:rFonts w:ascii="Times New Roman" w:eastAsia="Times New Roman" w:hAnsi="Times New Roman" w:cs="Times New Roman"/>
            <w:lang w:val="en-US"/>
          </w:rPr>
          <w:t>https://doi.org/10.1016/j.tre.2023.103254</w:t>
        </w:r>
      </w:hyperlink>
      <w:r w:rsidRPr="000C1D61">
        <w:rPr>
          <w:rFonts w:ascii="Times New Roman" w:eastAsia="Times New Roman" w:hAnsi="Times New Roman" w:cs="Times New Roman"/>
          <w:lang w:val="en-US"/>
        </w:rPr>
        <w:t xml:space="preserve"> </w:t>
      </w:r>
    </w:p>
    <w:p w14:paraId="48A3B131"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Liao, C. H., Chiang, C.-T., Chen, I.-C. y Parker, K. R. (2022a). </w:t>
      </w:r>
      <w:r w:rsidRPr="009A2439">
        <w:rPr>
          <w:rFonts w:ascii="Times New Roman" w:eastAsia="Times New Roman" w:hAnsi="Times New Roman" w:cs="Times New Roman"/>
        </w:rPr>
        <w:t xml:space="preserve">Explorando la relación entre el pensamiento computacional y la satisfacción de aprendizaje para estudiantes universitarios no STEM. </w:t>
      </w:r>
      <w:r w:rsidRPr="00C64932">
        <w:rPr>
          <w:rFonts w:ascii="Times New Roman" w:eastAsia="Times New Roman" w:hAnsi="Times New Roman" w:cs="Times New Roman"/>
          <w:i/>
          <w:iCs/>
        </w:rPr>
        <w:t>Revista Internacional de Tecnología Educativa en la Educación Superior,</w:t>
      </w:r>
      <w:r w:rsidRPr="009A2439">
        <w:rPr>
          <w:rFonts w:ascii="Times New Roman" w:eastAsia="Times New Roman" w:hAnsi="Times New Roman" w:cs="Times New Roman"/>
        </w:rPr>
        <w:t xml:space="preserve"> 19(1), 43. </w:t>
      </w:r>
      <w:hyperlink r:id="rId32" w:history="1">
        <w:r w:rsidRPr="009A2439">
          <w:rPr>
            <w:rFonts w:ascii="Times New Roman" w:eastAsia="Times New Roman" w:hAnsi="Times New Roman" w:cs="Times New Roman"/>
          </w:rPr>
          <w:t>https://doi.org/10.1186/s41239-022-00347-5</w:t>
        </w:r>
      </w:hyperlink>
      <w:r w:rsidRPr="009A2439">
        <w:rPr>
          <w:rFonts w:ascii="Times New Roman" w:eastAsia="Times New Roman" w:hAnsi="Times New Roman" w:cs="Times New Roman"/>
        </w:rPr>
        <w:t xml:space="preserve"> </w:t>
      </w:r>
    </w:p>
    <w:p w14:paraId="4AD1890E"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lastRenderedPageBreak/>
        <w:t xml:space="preserve">Liao, C. H., Chiang, C.-T., Chen, I.-C. y Parker, K. R. (2022b). </w:t>
      </w:r>
      <w:r w:rsidRPr="009A2439">
        <w:rPr>
          <w:rFonts w:ascii="Times New Roman" w:eastAsia="Times New Roman" w:hAnsi="Times New Roman" w:cs="Times New Roman"/>
        </w:rPr>
        <w:t xml:space="preserve">Explorando la relación entre el pensamiento computacional y la satisfacción de aprendizaje para estudiantes universitarios no STEM. </w:t>
      </w:r>
      <w:r w:rsidRPr="00C64932">
        <w:rPr>
          <w:rFonts w:ascii="Times New Roman" w:eastAsia="Times New Roman" w:hAnsi="Times New Roman" w:cs="Times New Roman"/>
          <w:i/>
          <w:iCs/>
        </w:rPr>
        <w:t xml:space="preserve">Revista Internacional de Tecnología Educativa en la Educación Superior, </w:t>
      </w:r>
      <w:r w:rsidRPr="009A2439">
        <w:rPr>
          <w:rFonts w:ascii="Times New Roman" w:eastAsia="Times New Roman" w:hAnsi="Times New Roman" w:cs="Times New Roman"/>
        </w:rPr>
        <w:t xml:space="preserve">19(1), 43. </w:t>
      </w:r>
      <w:hyperlink r:id="rId33" w:history="1">
        <w:r w:rsidRPr="009A2439">
          <w:rPr>
            <w:rFonts w:ascii="Times New Roman" w:eastAsia="Times New Roman" w:hAnsi="Times New Roman" w:cs="Times New Roman"/>
          </w:rPr>
          <w:t>https://doi.org/10.1186/s41239-022-00347-5</w:t>
        </w:r>
      </w:hyperlink>
      <w:r w:rsidRPr="009A2439">
        <w:rPr>
          <w:rFonts w:ascii="Times New Roman" w:eastAsia="Times New Roman" w:hAnsi="Times New Roman" w:cs="Times New Roman"/>
        </w:rPr>
        <w:t xml:space="preserve"> </w:t>
      </w:r>
    </w:p>
    <w:p w14:paraId="6383B946"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Longmore, A.-L., Grant, G. y Golnaraghi, G. (2018). </w:t>
      </w:r>
      <w:r w:rsidRPr="009A2439">
        <w:rPr>
          <w:rFonts w:ascii="Times New Roman" w:eastAsia="Times New Roman" w:hAnsi="Times New Roman" w:cs="Times New Roman"/>
        </w:rPr>
        <w:t xml:space="preserve">Cerrando la brecha de conocimiento del siglo XXI. </w:t>
      </w:r>
      <w:r w:rsidRPr="00C64932">
        <w:rPr>
          <w:rFonts w:ascii="Times New Roman" w:eastAsia="Times New Roman" w:hAnsi="Times New Roman" w:cs="Times New Roman"/>
          <w:i/>
          <w:iCs/>
        </w:rPr>
        <w:t xml:space="preserve">Revista de Educación Transformadora, </w:t>
      </w:r>
      <w:r w:rsidRPr="009A2439">
        <w:rPr>
          <w:rFonts w:ascii="Times New Roman" w:eastAsia="Times New Roman" w:hAnsi="Times New Roman" w:cs="Times New Roman"/>
        </w:rPr>
        <w:t xml:space="preserve">16(3), 197–219. </w:t>
      </w:r>
      <w:hyperlink r:id="rId34" w:history="1">
        <w:r w:rsidRPr="009A2439">
          <w:rPr>
            <w:rFonts w:ascii="Times New Roman" w:eastAsia="Times New Roman" w:hAnsi="Times New Roman" w:cs="Times New Roman"/>
          </w:rPr>
          <w:t>https://doi.org/10.1177/1541344617738514</w:t>
        </w:r>
      </w:hyperlink>
      <w:r w:rsidRPr="009A2439">
        <w:rPr>
          <w:rFonts w:ascii="Times New Roman" w:eastAsia="Times New Roman" w:hAnsi="Times New Roman" w:cs="Times New Roman"/>
        </w:rPr>
        <w:t xml:space="preserve"> </w:t>
      </w:r>
    </w:p>
    <w:p w14:paraId="4F678E71"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López Simó, V., Couso Lagarón, D., &amp; Simarro Rodríguez, C. (2020). Educación STEM en y para el mundo digital. Revista de Educación a Distancia (RED), 20(62). </w:t>
      </w:r>
      <w:hyperlink r:id="rId35" w:history="1">
        <w:r w:rsidRPr="009A2439">
          <w:rPr>
            <w:rFonts w:ascii="Times New Roman" w:eastAsia="Times New Roman" w:hAnsi="Times New Roman" w:cs="Times New Roman"/>
          </w:rPr>
          <w:t>https://doi.org/10.6018/red.410011</w:t>
        </w:r>
      </w:hyperlink>
      <w:r w:rsidRPr="009A2439">
        <w:rPr>
          <w:rFonts w:ascii="Times New Roman" w:eastAsia="Times New Roman" w:hAnsi="Times New Roman" w:cs="Times New Roman"/>
        </w:rPr>
        <w:t xml:space="preserve"> </w:t>
      </w:r>
    </w:p>
    <w:p w14:paraId="52D060FD"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Lyon, J. A. y J. Magaña, A. (2020). Pensamiento computacional en la educación superior: una revisión de la literatura. </w:t>
      </w:r>
      <w:r w:rsidRPr="00C64932">
        <w:rPr>
          <w:rFonts w:ascii="Times New Roman" w:eastAsia="Times New Roman" w:hAnsi="Times New Roman" w:cs="Times New Roman"/>
          <w:i/>
          <w:iCs/>
        </w:rPr>
        <w:t xml:space="preserve">Aplicaciones informáticas en la enseñanza de la ingeniería, </w:t>
      </w:r>
      <w:r w:rsidRPr="009A2439">
        <w:rPr>
          <w:rFonts w:ascii="Times New Roman" w:eastAsia="Times New Roman" w:hAnsi="Times New Roman" w:cs="Times New Roman"/>
        </w:rPr>
        <w:t xml:space="preserve">28 (5), 1174–1189. </w:t>
      </w:r>
      <w:hyperlink r:id="rId36" w:history="1">
        <w:r w:rsidRPr="009A2439">
          <w:rPr>
            <w:rFonts w:ascii="Times New Roman" w:eastAsia="Times New Roman" w:hAnsi="Times New Roman" w:cs="Times New Roman"/>
          </w:rPr>
          <w:t>https://doi.org/10.1002/cae.22295</w:t>
        </w:r>
      </w:hyperlink>
      <w:r w:rsidRPr="009A2439">
        <w:rPr>
          <w:rFonts w:ascii="Times New Roman" w:eastAsia="Times New Roman" w:hAnsi="Times New Roman" w:cs="Times New Roman"/>
        </w:rPr>
        <w:t xml:space="preserve"> </w:t>
      </w:r>
    </w:p>
    <w:p w14:paraId="1F259EE2"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Maslov, A. y Zhong, J. (2022). Desajuste de habilidades de los pueblos indígenas en Canadá: hallazgos de PIAAC. </w:t>
      </w:r>
      <w:r w:rsidRPr="00C64932">
        <w:rPr>
          <w:rFonts w:ascii="Times New Roman" w:eastAsia="Times New Roman" w:hAnsi="Times New Roman" w:cs="Times New Roman"/>
          <w:i/>
          <w:iCs/>
        </w:rPr>
        <w:t>Políticas Públicas Canadienses,</w:t>
      </w:r>
      <w:r w:rsidRPr="009A2439">
        <w:rPr>
          <w:rFonts w:ascii="Times New Roman" w:eastAsia="Times New Roman" w:hAnsi="Times New Roman" w:cs="Times New Roman"/>
        </w:rPr>
        <w:t xml:space="preserve"> 48(1), 91–107. </w:t>
      </w:r>
      <w:hyperlink r:id="rId37" w:history="1">
        <w:r w:rsidRPr="009A2439">
          <w:rPr>
            <w:rFonts w:ascii="Times New Roman" w:eastAsia="Times New Roman" w:hAnsi="Times New Roman" w:cs="Times New Roman"/>
          </w:rPr>
          <w:t>https://doi.org/10.3138/cpp.2020-100</w:t>
        </w:r>
      </w:hyperlink>
      <w:r w:rsidRPr="009A2439">
        <w:rPr>
          <w:rFonts w:ascii="Times New Roman" w:eastAsia="Times New Roman" w:hAnsi="Times New Roman" w:cs="Times New Roman"/>
        </w:rPr>
        <w:t xml:space="preserve"> </w:t>
      </w:r>
    </w:p>
    <w:p w14:paraId="014CF6D5"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Ngayo Fotso, G. M. (2021). Competencias de liderazgo para el siglo XXI: una revisión de la literatura mundial occidental. </w:t>
      </w:r>
      <w:r w:rsidRPr="00C64932">
        <w:rPr>
          <w:rFonts w:ascii="Times New Roman" w:eastAsia="Times New Roman" w:hAnsi="Times New Roman" w:cs="Times New Roman"/>
          <w:i/>
          <w:iCs/>
        </w:rPr>
        <w:t xml:space="preserve">Revista Europea de Formación y Desarrollo, </w:t>
      </w:r>
      <w:r w:rsidRPr="009A2439">
        <w:rPr>
          <w:rFonts w:ascii="Times New Roman" w:eastAsia="Times New Roman" w:hAnsi="Times New Roman" w:cs="Times New Roman"/>
        </w:rPr>
        <w:t xml:space="preserve">45(6/7), 566–587. </w:t>
      </w:r>
      <w:hyperlink r:id="rId38" w:history="1">
        <w:r w:rsidRPr="009A2439">
          <w:rPr>
            <w:rFonts w:ascii="Times New Roman" w:eastAsia="Times New Roman" w:hAnsi="Times New Roman" w:cs="Times New Roman"/>
          </w:rPr>
          <w:t>https://doi.org/10.1108/EJTD-04-2020-0078</w:t>
        </w:r>
      </w:hyperlink>
      <w:r w:rsidRPr="009A2439">
        <w:rPr>
          <w:rFonts w:ascii="Times New Roman" w:eastAsia="Times New Roman" w:hAnsi="Times New Roman" w:cs="Times New Roman"/>
        </w:rPr>
        <w:t xml:space="preserve"> </w:t>
      </w:r>
    </w:p>
    <w:p w14:paraId="00A5FBBC"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Nguyen, T. Q., Ngoc, P. T. A., Phuong, H. A., Duy, D. P. T., Hiep, P. C., McClelland, R. y Noroozi, O. (2024). Competencia digital de los ciudadanos vietnamitas: Una aplicación del marco digcomp y el papel de los factores individuales. </w:t>
      </w:r>
      <w:r w:rsidRPr="00C64932">
        <w:rPr>
          <w:rFonts w:ascii="Times New Roman" w:eastAsia="Times New Roman" w:hAnsi="Times New Roman" w:cs="Times New Roman"/>
          <w:i/>
          <w:iCs/>
        </w:rPr>
        <w:t>Tecnologías de la Educación y la Información.</w:t>
      </w:r>
      <w:r w:rsidRPr="009A2439">
        <w:rPr>
          <w:rFonts w:ascii="Times New Roman" w:eastAsia="Times New Roman" w:hAnsi="Times New Roman" w:cs="Times New Roman"/>
        </w:rPr>
        <w:t xml:space="preserve"> </w:t>
      </w:r>
      <w:hyperlink r:id="rId39" w:history="1">
        <w:r w:rsidRPr="009A2439">
          <w:rPr>
            <w:rFonts w:ascii="Times New Roman" w:eastAsia="Times New Roman" w:hAnsi="Times New Roman" w:cs="Times New Roman"/>
          </w:rPr>
          <w:t>https://doi.org/10.1007/s10639-024-12585-3</w:t>
        </w:r>
      </w:hyperlink>
      <w:r w:rsidRPr="009A2439">
        <w:rPr>
          <w:rFonts w:ascii="Times New Roman" w:eastAsia="Times New Roman" w:hAnsi="Times New Roman" w:cs="Times New Roman"/>
        </w:rPr>
        <w:t xml:space="preserve"> </w:t>
      </w:r>
    </w:p>
    <w:p w14:paraId="7AB7112B"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Ozturk, OT (2022). Examen de Habilidades y Competencias Tecnológicas del Siglo XXI de Estudiantes de la Facultad de Bellas Artes. </w:t>
      </w:r>
      <w:r w:rsidRPr="00C64932">
        <w:rPr>
          <w:rFonts w:ascii="Times New Roman" w:eastAsia="Times New Roman" w:hAnsi="Times New Roman" w:cs="Times New Roman"/>
          <w:i/>
          <w:iCs/>
        </w:rPr>
        <w:t>Revista Internacional de Educación en Matemáticas, Ciencia y Tecnología,</w:t>
      </w:r>
      <w:r w:rsidRPr="009A2439">
        <w:rPr>
          <w:rFonts w:ascii="Times New Roman" w:eastAsia="Times New Roman" w:hAnsi="Times New Roman" w:cs="Times New Roman"/>
        </w:rPr>
        <w:t xml:space="preserve"> 11(1), 115–132. </w:t>
      </w:r>
      <w:hyperlink r:id="rId40" w:history="1">
        <w:r w:rsidRPr="009A2439">
          <w:rPr>
            <w:rFonts w:ascii="Times New Roman" w:eastAsia="Times New Roman" w:hAnsi="Times New Roman" w:cs="Times New Roman"/>
          </w:rPr>
          <w:t>https://doi.org/10.46328/ijemst.2931</w:t>
        </w:r>
      </w:hyperlink>
      <w:r w:rsidRPr="009A2439">
        <w:rPr>
          <w:rFonts w:ascii="Times New Roman" w:eastAsia="Times New Roman" w:hAnsi="Times New Roman" w:cs="Times New Roman"/>
        </w:rPr>
        <w:t xml:space="preserve"> </w:t>
      </w:r>
    </w:p>
    <w:p w14:paraId="5C1A9AF6"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Pennetta, S., Anglani, F. y Mathews, S. (2023). </w:t>
      </w:r>
      <w:r w:rsidRPr="009A2439">
        <w:rPr>
          <w:rFonts w:ascii="Times New Roman" w:eastAsia="Times New Roman" w:hAnsi="Times New Roman" w:cs="Times New Roman"/>
        </w:rPr>
        <w:t xml:space="preserve">Navegando a través de habilidades, competencias y capacidades emprendedoras: una revisión sistemática de la literatura y el desarrollo del modelo de capacidad emprendedora. </w:t>
      </w:r>
      <w:r w:rsidRPr="00C64932">
        <w:rPr>
          <w:rFonts w:ascii="Times New Roman" w:eastAsia="Times New Roman" w:hAnsi="Times New Roman" w:cs="Times New Roman"/>
          <w:i/>
          <w:iCs/>
        </w:rPr>
        <w:t xml:space="preserve">Revista de Emprendimiento en Economías Emergentes. </w:t>
      </w:r>
      <w:hyperlink r:id="rId41" w:history="1">
        <w:r w:rsidRPr="009A2439">
          <w:rPr>
            <w:rFonts w:ascii="Times New Roman" w:eastAsia="Times New Roman" w:hAnsi="Times New Roman" w:cs="Times New Roman"/>
          </w:rPr>
          <w:t>https://doi.org/10.1108/JEEE-09-2022-0257</w:t>
        </w:r>
      </w:hyperlink>
      <w:r w:rsidRPr="009A2439">
        <w:rPr>
          <w:rFonts w:ascii="Times New Roman" w:eastAsia="Times New Roman" w:hAnsi="Times New Roman" w:cs="Times New Roman"/>
        </w:rPr>
        <w:t xml:space="preserve"> </w:t>
      </w:r>
    </w:p>
    <w:p w14:paraId="03B7B619"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lastRenderedPageBreak/>
        <w:t xml:space="preserve">Peschl, H., Deng, C. y Larson, N. (2021). Pensamiento emprendedor: Una pedagogía distintiva para un siglo XXI incierto. </w:t>
      </w:r>
      <w:r w:rsidRPr="00C64932">
        <w:rPr>
          <w:rFonts w:ascii="Times New Roman" w:eastAsia="Times New Roman" w:hAnsi="Times New Roman" w:cs="Times New Roman"/>
          <w:i/>
          <w:iCs/>
        </w:rPr>
        <w:t xml:space="preserve">Revista Internacional de Educación en Gestión, </w:t>
      </w:r>
      <w:r w:rsidRPr="009A2439">
        <w:rPr>
          <w:rFonts w:ascii="Times New Roman" w:eastAsia="Times New Roman" w:hAnsi="Times New Roman" w:cs="Times New Roman"/>
        </w:rPr>
        <w:t xml:space="preserve">19(1), 100427. </w:t>
      </w:r>
      <w:hyperlink r:id="rId42" w:history="1">
        <w:r w:rsidRPr="009A2439">
          <w:rPr>
            <w:rFonts w:ascii="Times New Roman" w:eastAsia="Times New Roman" w:hAnsi="Times New Roman" w:cs="Times New Roman"/>
          </w:rPr>
          <w:t>https://doi.org/10.1016/j.ijme.2020.100427</w:t>
        </w:r>
      </w:hyperlink>
      <w:r w:rsidRPr="009A2439">
        <w:rPr>
          <w:rFonts w:ascii="Times New Roman" w:eastAsia="Times New Roman" w:hAnsi="Times New Roman" w:cs="Times New Roman"/>
        </w:rPr>
        <w:t xml:space="preserve"> </w:t>
      </w:r>
    </w:p>
    <w:p w14:paraId="39D191AF"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Prado Ortega, M. X., Paucar Córdova, R. J., Valarezo Castro, J. W., Acosta Yela, M. T. y Guaicha Soriano, K. M. (2023). Beneficios de la programación por bloques utilizando Sphero mini mediante aprendizaje móvil en la educación superior. </w:t>
      </w:r>
      <w:r w:rsidRPr="00C64932">
        <w:rPr>
          <w:rFonts w:ascii="Times New Roman" w:eastAsia="Times New Roman" w:hAnsi="Times New Roman" w:cs="Times New Roman"/>
          <w:i/>
          <w:iCs/>
        </w:rPr>
        <w:t xml:space="preserve">E-Ciencias de La Información. </w:t>
      </w:r>
      <w:hyperlink r:id="rId43" w:history="1">
        <w:r w:rsidRPr="009A2439">
          <w:rPr>
            <w:rFonts w:ascii="Times New Roman" w:eastAsia="Times New Roman" w:hAnsi="Times New Roman" w:cs="Times New Roman"/>
          </w:rPr>
          <w:t>https://doi.org/10.15517/eci.v13i2.54814</w:t>
        </w:r>
      </w:hyperlink>
      <w:r w:rsidRPr="009A2439">
        <w:rPr>
          <w:rFonts w:ascii="Times New Roman" w:eastAsia="Times New Roman" w:hAnsi="Times New Roman" w:cs="Times New Roman"/>
        </w:rPr>
        <w:t xml:space="preserve"> </w:t>
      </w:r>
    </w:p>
    <w:p w14:paraId="37CEADAF"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Rahman, M. (2019). Habilidad del siglo XXI “Resolución de problemas”: definición del concepto. </w:t>
      </w:r>
      <w:r w:rsidRPr="00C64932">
        <w:rPr>
          <w:rFonts w:ascii="Times New Roman" w:eastAsia="Times New Roman" w:hAnsi="Times New Roman" w:cs="Times New Roman"/>
          <w:i/>
          <w:iCs/>
        </w:rPr>
        <w:t>Revista asiática de investigación interdisciplinaria,</w:t>
      </w:r>
      <w:r w:rsidRPr="009A2439">
        <w:rPr>
          <w:rFonts w:ascii="Times New Roman" w:eastAsia="Times New Roman" w:hAnsi="Times New Roman" w:cs="Times New Roman"/>
        </w:rPr>
        <w:t xml:space="preserve"> 64–74. </w:t>
      </w:r>
      <w:hyperlink r:id="rId44" w:history="1">
        <w:r w:rsidRPr="009A2439">
          <w:rPr>
            <w:rFonts w:ascii="Times New Roman" w:eastAsia="Times New Roman" w:hAnsi="Times New Roman" w:cs="Times New Roman"/>
          </w:rPr>
          <w:t>https://doi.org/10.34256/ajir1917</w:t>
        </w:r>
      </w:hyperlink>
      <w:r w:rsidRPr="009A2439">
        <w:rPr>
          <w:rFonts w:ascii="Times New Roman" w:eastAsia="Times New Roman" w:hAnsi="Times New Roman" w:cs="Times New Roman"/>
        </w:rPr>
        <w:t xml:space="preserve"> </w:t>
      </w:r>
    </w:p>
    <w:p w14:paraId="0EE9D484"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Raitskaya, L. y Tikhonova, E. (2019). Habilidades y competencias en la educación superior y más allá. Revista de Lengua y Educación, 5(4), 4–8. Ranta, M., Kruskopf, M., Kortesalmi, M., Kalmi, P. y Lonka, K. (2022a). El emprendimiento como un obstáculo desatendido en la preparación de los futuros docentes finlandeses para enseñar competencias del siglo XXI y educación financiera: Expectativas, valores y capacidades. </w:t>
      </w:r>
      <w:r w:rsidRPr="00C64932">
        <w:rPr>
          <w:rFonts w:ascii="Times New Roman" w:eastAsia="Times New Roman" w:hAnsi="Times New Roman" w:cs="Times New Roman"/>
          <w:i/>
          <w:iCs/>
        </w:rPr>
        <w:t>Ciencias de la Educación,</w:t>
      </w:r>
      <w:r w:rsidRPr="009A2439">
        <w:rPr>
          <w:rFonts w:ascii="Times New Roman" w:eastAsia="Times New Roman" w:hAnsi="Times New Roman" w:cs="Times New Roman"/>
        </w:rPr>
        <w:t xml:space="preserve"> 12(7), 463. </w:t>
      </w:r>
      <w:hyperlink r:id="rId45" w:history="1">
        <w:r w:rsidRPr="009A2439">
          <w:rPr>
            <w:rFonts w:ascii="Times New Roman" w:eastAsia="Times New Roman" w:hAnsi="Times New Roman" w:cs="Times New Roman"/>
          </w:rPr>
          <w:t>https://doi.org/10.3390/educsci12070463</w:t>
        </w:r>
      </w:hyperlink>
      <w:r w:rsidRPr="009A2439">
        <w:rPr>
          <w:rFonts w:ascii="Times New Roman" w:eastAsia="Times New Roman" w:hAnsi="Times New Roman" w:cs="Times New Roman"/>
        </w:rPr>
        <w:t xml:space="preserve"> </w:t>
      </w:r>
    </w:p>
    <w:p w14:paraId="3B8A796F"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Ranta, M., Kruskopf, M., Kortesalmi, M., Kalmi, P. y Lonka, K. (2022b). El emprendimiento como una trampa descuidada en la preparación de los futuros docentes finlandeses para enseñar competencias del siglo XXI y educación financiera: expectativas, valores y capacidades. </w:t>
      </w:r>
      <w:r w:rsidRPr="00C64932">
        <w:rPr>
          <w:rFonts w:ascii="Times New Roman" w:eastAsia="Times New Roman" w:hAnsi="Times New Roman" w:cs="Times New Roman"/>
          <w:i/>
          <w:iCs/>
        </w:rPr>
        <w:t>Ciencias de la Educación,</w:t>
      </w:r>
      <w:r w:rsidRPr="009A2439">
        <w:rPr>
          <w:rFonts w:ascii="Times New Roman" w:eastAsia="Times New Roman" w:hAnsi="Times New Roman" w:cs="Times New Roman"/>
        </w:rPr>
        <w:t xml:space="preserve"> 12(7), 463. </w:t>
      </w:r>
      <w:hyperlink r:id="rId46" w:history="1">
        <w:r w:rsidRPr="009A2439">
          <w:rPr>
            <w:rFonts w:ascii="Times New Roman" w:eastAsia="Times New Roman" w:hAnsi="Times New Roman" w:cs="Times New Roman"/>
          </w:rPr>
          <w:t>https://doi.org/10.3390/educsci12070463</w:t>
        </w:r>
      </w:hyperlink>
      <w:r w:rsidRPr="009A2439">
        <w:rPr>
          <w:rFonts w:ascii="Times New Roman" w:eastAsia="Times New Roman" w:hAnsi="Times New Roman" w:cs="Times New Roman"/>
        </w:rPr>
        <w:t xml:space="preserve"> </w:t>
      </w:r>
    </w:p>
    <w:p w14:paraId="4A617AFB"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Rodríguez-Abitia, G., Ramírez-Montoya, M. S., López-Caudana, E. O., &amp; Rosemary-Rodríguez, J. M. (2021). Factores para el desarrollo del pensamiento computacional en estudiantes de pregrado. </w:t>
      </w:r>
      <w:r w:rsidRPr="00C64932">
        <w:rPr>
          <w:rFonts w:ascii="Times New Roman" w:eastAsia="Times New Roman" w:hAnsi="Times New Roman" w:cs="Times New Roman"/>
          <w:i/>
          <w:iCs/>
        </w:rPr>
        <w:t>Campus Virtuales,</w:t>
      </w:r>
      <w:r w:rsidRPr="009A2439">
        <w:rPr>
          <w:rFonts w:ascii="Times New Roman" w:eastAsia="Times New Roman" w:hAnsi="Times New Roman" w:cs="Times New Roman"/>
        </w:rPr>
        <w:t xml:space="preserve"> 10(2), 153–164. </w:t>
      </w:r>
      <w:hyperlink r:id="rId47" w:history="1">
        <w:r w:rsidRPr="009A2439">
          <w:rPr>
            <w:rFonts w:ascii="Times New Roman" w:eastAsia="Times New Roman" w:hAnsi="Times New Roman" w:cs="Times New Roman"/>
          </w:rPr>
          <w:t>www.virtualcampusmagazine.com</w:t>
        </w:r>
      </w:hyperlink>
      <w:r w:rsidRPr="009A2439">
        <w:rPr>
          <w:rFonts w:ascii="Times New Roman" w:eastAsia="Times New Roman" w:hAnsi="Times New Roman" w:cs="Times New Roman"/>
        </w:rPr>
        <w:t xml:space="preserve"> </w:t>
      </w:r>
    </w:p>
    <w:p w14:paraId="18B7B8FE"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Rony, ZT, Lestari, TS, Ismaniah, Yasin, M. y Lubis, FM (2023). La complejidad de la competencia de liderazgo en las universidades del siglo XXI. </w:t>
      </w:r>
      <w:r w:rsidRPr="00C64932">
        <w:rPr>
          <w:rFonts w:ascii="Times New Roman" w:eastAsia="Times New Roman" w:hAnsi="Times New Roman" w:cs="Times New Roman"/>
          <w:i/>
          <w:iCs/>
        </w:rPr>
        <w:t>Ciencias Sociales Cogent,</w:t>
      </w:r>
      <w:r w:rsidRPr="009A2439">
        <w:rPr>
          <w:rFonts w:ascii="Times New Roman" w:eastAsia="Times New Roman" w:hAnsi="Times New Roman" w:cs="Times New Roman"/>
        </w:rPr>
        <w:t xml:space="preserve"> 9(2). </w:t>
      </w:r>
      <w:hyperlink r:id="rId48" w:history="1">
        <w:r w:rsidRPr="009A2439">
          <w:rPr>
            <w:rFonts w:ascii="Times New Roman" w:eastAsia="Times New Roman" w:hAnsi="Times New Roman" w:cs="Times New Roman"/>
          </w:rPr>
          <w:t>https://doi.org/10.1080/23311886.2023.2276986</w:t>
        </w:r>
      </w:hyperlink>
      <w:r w:rsidRPr="009A2439">
        <w:rPr>
          <w:rFonts w:ascii="Times New Roman" w:eastAsia="Times New Roman" w:hAnsi="Times New Roman" w:cs="Times New Roman"/>
        </w:rPr>
        <w:t xml:space="preserve"> </w:t>
      </w:r>
    </w:p>
    <w:p w14:paraId="5B409887"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Saad, A. y Zainudin, S. (2022). Una revisión del aprendizaje basado en proyectos (ABP) y el pensamiento computacional (PC) en la enseñanza y el aprendizaje. </w:t>
      </w:r>
      <w:r w:rsidRPr="00C64932">
        <w:rPr>
          <w:rFonts w:ascii="Times New Roman" w:eastAsia="Times New Roman" w:hAnsi="Times New Roman" w:cs="Times New Roman"/>
          <w:i/>
          <w:iCs/>
        </w:rPr>
        <w:t>Aprendizaje y motivación,</w:t>
      </w:r>
      <w:r w:rsidRPr="009A2439">
        <w:rPr>
          <w:rFonts w:ascii="Times New Roman" w:eastAsia="Times New Roman" w:hAnsi="Times New Roman" w:cs="Times New Roman"/>
        </w:rPr>
        <w:t xml:space="preserve"> 78, 101802 </w:t>
      </w:r>
    </w:p>
    <w:p w14:paraId="58284BFB" w14:textId="35C2637B" w:rsidR="000A545E" w:rsidRPr="009A2439" w:rsidRDefault="00E97796" w:rsidP="000A545E">
      <w:pPr>
        <w:spacing w:after="0" w:line="360" w:lineRule="auto"/>
        <w:ind w:left="708" w:hanging="708"/>
        <w:jc w:val="both"/>
        <w:rPr>
          <w:rFonts w:ascii="Times New Roman" w:eastAsia="Times New Roman" w:hAnsi="Times New Roman" w:cs="Times New Roman"/>
        </w:rPr>
      </w:pPr>
      <w:r w:rsidRPr="00E97796">
        <w:rPr>
          <w:rFonts w:ascii="Times New Roman" w:eastAsia="Times New Roman" w:hAnsi="Times New Roman" w:cs="Times New Roman"/>
        </w:rPr>
        <w:lastRenderedPageBreak/>
        <w:t xml:space="preserve">Universidad Veracruzana. (s.f.). Mapa curricular – Contaduría – Facultad de Contaduría y Administración – Xalapa. Recuperado el </w:t>
      </w:r>
      <w:r>
        <w:rPr>
          <w:rFonts w:ascii="Times New Roman" w:eastAsia="Times New Roman" w:hAnsi="Times New Roman" w:cs="Times New Roman"/>
        </w:rPr>
        <w:t>22</w:t>
      </w:r>
      <w:r w:rsidRPr="00E97796">
        <w:rPr>
          <w:rFonts w:ascii="Times New Roman" w:eastAsia="Times New Roman" w:hAnsi="Times New Roman" w:cs="Times New Roman"/>
        </w:rPr>
        <w:t xml:space="preserve"> de </w:t>
      </w:r>
      <w:r>
        <w:rPr>
          <w:rFonts w:ascii="Times New Roman" w:eastAsia="Times New Roman" w:hAnsi="Times New Roman" w:cs="Times New Roman"/>
        </w:rPr>
        <w:t>agosto</w:t>
      </w:r>
      <w:r w:rsidRPr="00E97796">
        <w:rPr>
          <w:rFonts w:ascii="Times New Roman" w:eastAsia="Times New Roman" w:hAnsi="Times New Roman" w:cs="Times New Roman"/>
        </w:rPr>
        <w:t xml:space="preserve"> de 202</w:t>
      </w:r>
      <w:r>
        <w:rPr>
          <w:rFonts w:ascii="Times New Roman" w:eastAsia="Times New Roman" w:hAnsi="Times New Roman" w:cs="Times New Roman"/>
        </w:rPr>
        <w:t>3</w:t>
      </w:r>
      <w:r w:rsidRPr="00E97796">
        <w:rPr>
          <w:rFonts w:ascii="Times New Roman" w:eastAsia="Times New Roman" w:hAnsi="Times New Roman" w:cs="Times New Roman"/>
        </w:rPr>
        <w:t>, de https://www.uv.mx/fca/general/mapa-curricular-de-contabilidad/</w:t>
      </w:r>
    </w:p>
    <w:p w14:paraId="1CF7CD54"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Van Audenhove, L., Vermeire, L., Van den Broeck, W. y Demeulenaere, A. (2024). Alfabetización de datos en el nuevo marco DigComp 2.2 de la UE: cómo DigComp define las competencias en inteligencia artificial, Internet de las cosas y datos. </w:t>
      </w:r>
      <w:r w:rsidRPr="00C64932">
        <w:rPr>
          <w:rFonts w:ascii="Times New Roman" w:eastAsia="Times New Roman" w:hAnsi="Times New Roman" w:cs="Times New Roman"/>
          <w:i/>
          <w:iCs/>
        </w:rPr>
        <w:t xml:space="preserve">Ciencias de la Información y el Aprendizaje. </w:t>
      </w:r>
      <w:hyperlink r:id="rId49" w:history="1">
        <w:r w:rsidRPr="009A2439">
          <w:rPr>
            <w:rFonts w:ascii="Times New Roman" w:eastAsia="Times New Roman" w:hAnsi="Times New Roman" w:cs="Times New Roman"/>
          </w:rPr>
          <w:t>https://doi.org/10.1108/ILS-06-2023-0072</w:t>
        </w:r>
      </w:hyperlink>
      <w:r w:rsidRPr="009A2439">
        <w:rPr>
          <w:rFonts w:ascii="Times New Roman" w:eastAsia="Times New Roman" w:hAnsi="Times New Roman" w:cs="Times New Roman"/>
        </w:rPr>
        <w:t xml:space="preserve"> </w:t>
      </w:r>
    </w:p>
    <w:p w14:paraId="698CCDA1"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lang w:val="en-US"/>
        </w:rPr>
        <w:t xml:space="preserve">Wang, C.-J. , Zhong , H.-X. , Chiu , P.-S. , Chang, J.-H. , y Wu, P.-H. (2022). </w:t>
      </w:r>
      <w:r w:rsidRPr="009A2439">
        <w:rPr>
          <w:rFonts w:ascii="Times New Roman" w:eastAsia="Times New Roman" w:hAnsi="Times New Roman" w:cs="Times New Roman"/>
        </w:rPr>
        <w:t xml:space="preserve">Investigación sobre los impactos del estilo cognitivo y el pensamiento computacional en estudiantes universitarios en un curso de inteligencia artificial visual. </w:t>
      </w:r>
      <w:r w:rsidRPr="00C64932">
        <w:rPr>
          <w:rFonts w:ascii="Times New Roman" w:eastAsia="Times New Roman" w:hAnsi="Times New Roman" w:cs="Times New Roman"/>
          <w:i/>
          <w:iCs/>
        </w:rPr>
        <w:t xml:space="preserve">Fronteras en Psicología, </w:t>
      </w:r>
      <w:r w:rsidRPr="009A2439">
        <w:rPr>
          <w:rFonts w:ascii="Times New Roman" w:eastAsia="Times New Roman" w:hAnsi="Times New Roman" w:cs="Times New Roman"/>
        </w:rPr>
        <w:t xml:space="preserve">13. </w:t>
      </w:r>
      <w:hyperlink r:id="rId50" w:history="1">
        <w:r w:rsidRPr="009A2439">
          <w:rPr>
            <w:rFonts w:ascii="Times New Roman" w:eastAsia="Times New Roman" w:hAnsi="Times New Roman" w:cs="Times New Roman"/>
          </w:rPr>
          <w:t>https://doi.org/10.3389/fpsyg.2022.864416</w:t>
        </w:r>
      </w:hyperlink>
      <w:r w:rsidRPr="009A2439">
        <w:rPr>
          <w:rFonts w:ascii="Times New Roman" w:eastAsia="Times New Roman" w:hAnsi="Times New Roman" w:cs="Times New Roman"/>
        </w:rPr>
        <w:t xml:space="preserve"> </w:t>
      </w:r>
    </w:p>
    <w:p w14:paraId="59B98994"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Wing, J. M. (2006). Pensamiento computacional. </w:t>
      </w:r>
      <w:r w:rsidRPr="00C64932">
        <w:rPr>
          <w:rFonts w:ascii="Times New Roman" w:eastAsia="Times New Roman" w:hAnsi="Times New Roman" w:cs="Times New Roman"/>
          <w:i/>
          <w:iCs/>
        </w:rPr>
        <w:t>Comunicaciones de la ACM,</w:t>
      </w:r>
      <w:r w:rsidRPr="009A2439">
        <w:rPr>
          <w:rFonts w:ascii="Times New Roman" w:eastAsia="Times New Roman" w:hAnsi="Times New Roman" w:cs="Times New Roman"/>
        </w:rPr>
        <w:t xml:space="preserve"> 49(3), 33–35. </w:t>
      </w:r>
      <w:hyperlink r:id="rId51" w:history="1">
        <w:r w:rsidRPr="009A2439">
          <w:rPr>
            <w:rFonts w:ascii="Times New Roman" w:eastAsia="Times New Roman" w:hAnsi="Times New Roman" w:cs="Times New Roman"/>
          </w:rPr>
          <w:t>https://doi.org/10.1145/1118178.1118215</w:t>
        </w:r>
      </w:hyperlink>
      <w:r w:rsidRPr="009A2439">
        <w:rPr>
          <w:rFonts w:ascii="Times New Roman" w:eastAsia="Times New Roman" w:hAnsi="Times New Roman" w:cs="Times New Roman"/>
        </w:rPr>
        <w:t xml:space="preserve"> </w:t>
      </w:r>
    </w:p>
    <w:p w14:paraId="3DDFE8C7" w14:textId="77777777" w:rsidR="000A545E" w:rsidRPr="009A2439" w:rsidRDefault="000A545E" w:rsidP="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Wu, W.-R. , y Yang, K.-L. (2022). Las relaciones entre el pensamiento computacional y matemático: un estudio de revisión sobre tareas. </w:t>
      </w:r>
      <w:r w:rsidRPr="00C64932">
        <w:rPr>
          <w:rFonts w:ascii="Times New Roman" w:eastAsia="Times New Roman" w:hAnsi="Times New Roman" w:cs="Times New Roman"/>
          <w:i/>
          <w:iCs/>
        </w:rPr>
        <w:t xml:space="preserve">Educación Cogent, </w:t>
      </w:r>
      <w:r w:rsidRPr="009A2439">
        <w:rPr>
          <w:rFonts w:ascii="Times New Roman" w:eastAsia="Times New Roman" w:hAnsi="Times New Roman" w:cs="Times New Roman"/>
        </w:rPr>
        <w:t xml:space="preserve">9(1). </w:t>
      </w:r>
      <w:hyperlink r:id="rId52" w:history="1">
        <w:r w:rsidRPr="009A2439">
          <w:rPr>
            <w:rFonts w:ascii="Times New Roman" w:eastAsia="Times New Roman" w:hAnsi="Times New Roman" w:cs="Times New Roman"/>
          </w:rPr>
          <w:t>https://doi.org/10.1080/2331186X.2022.2098929</w:t>
        </w:r>
      </w:hyperlink>
      <w:r w:rsidRPr="009A2439">
        <w:rPr>
          <w:rFonts w:ascii="Times New Roman" w:eastAsia="Times New Roman" w:hAnsi="Times New Roman" w:cs="Times New Roman"/>
        </w:rPr>
        <w:t xml:space="preserve"> </w:t>
      </w:r>
    </w:p>
    <w:p w14:paraId="5FEF6FB1" w14:textId="360B3903" w:rsidR="00266FB2" w:rsidRDefault="000A545E">
      <w:pPr>
        <w:spacing w:after="0" w:line="360" w:lineRule="auto"/>
        <w:ind w:left="708" w:hanging="708"/>
        <w:jc w:val="both"/>
        <w:rPr>
          <w:rFonts w:ascii="Times New Roman" w:eastAsia="Times New Roman" w:hAnsi="Times New Roman" w:cs="Times New Roman"/>
        </w:rPr>
      </w:pPr>
      <w:r w:rsidRPr="009A2439">
        <w:rPr>
          <w:rFonts w:ascii="Times New Roman" w:eastAsia="Times New Roman" w:hAnsi="Times New Roman" w:cs="Times New Roman"/>
        </w:rPr>
        <w:t xml:space="preserve">Yadav, A., Hong, H. y Stephenson, C. (2016). Pensamiento computacional para todos: enfoques pedagógicos para incorporar la resolución de problemas del siglo XXI en las aulas de primaria y secundaria. </w:t>
      </w:r>
      <w:r w:rsidRPr="00C64932">
        <w:rPr>
          <w:rFonts w:ascii="Times New Roman" w:eastAsia="Times New Roman" w:hAnsi="Times New Roman" w:cs="Times New Roman"/>
          <w:i/>
          <w:iCs/>
        </w:rPr>
        <w:t xml:space="preserve">Tendencias tecnológicas, </w:t>
      </w:r>
      <w:r w:rsidRPr="009A2439">
        <w:rPr>
          <w:rFonts w:ascii="Times New Roman" w:eastAsia="Times New Roman" w:hAnsi="Times New Roman" w:cs="Times New Roman"/>
        </w:rPr>
        <w:t xml:space="preserve">60(6), 565–568. </w:t>
      </w:r>
      <w:hyperlink r:id="rId53" w:history="1">
        <w:r w:rsidRPr="009A2439">
          <w:rPr>
            <w:rFonts w:ascii="Times New Roman" w:eastAsia="Times New Roman" w:hAnsi="Times New Roman" w:cs="Times New Roman"/>
          </w:rPr>
          <w:t>https://doi.org/10.1007/s11528-016-0087-7</w:t>
        </w:r>
      </w:hyperlink>
      <w:bookmarkEnd w:id="2"/>
      <w:r w:rsidRPr="009A2439">
        <w:rPr>
          <w:rFonts w:ascii="Times New Roman" w:eastAsia="Times New Roman" w:hAnsi="Times New Roman" w:cs="Times New Roman"/>
        </w:rPr>
        <w:t xml:space="preserve"> </w:t>
      </w:r>
    </w:p>
    <w:p w14:paraId="14A545C5" w14:textId="77777777" w:rsidR="0055544B" w:rsidRPr="0055544B" w:rsidRDefault="0055544B" w:rsidP="0055544B">
      <w:pPr>
        <w:rPr>
          <w:rFonts w:ascii="Times New Roman" w:eastAsia="Times New Roman" w:hAnsi="Times New Roman" w:cs="Times New Roman"/>
        </w:rPr>
      </w:pPr>
    </w:p>
    <w:p w14:paraId="7501FD79" w14:textId="77777777" w:rsidR="0055544B" w:rsidRPr="0055544B" w:rsidRDefault="0055544B" w:rsidP="0055544B">
      <w:pPr>
        <w:rPr>
          <w:rFonts w:ascii="Times New Roman" w:eastAsia="Times New Roman" w:hAnsi="Times New Roman" w:cs="Times New Roman"/>
        </w:rPr>
      </w:pPr>
    </w:p>
    <w:p w14:paraId="2B4E9218" w14:textId="77777777" w:rsidR="0055544B" w:rsidRPr="0055544B" w:rsidRDefault="0055544B" w:rsidP="0055544B">
      <w:pPr>
        <w:rPr>
          <w:rFonts w:ascii="Times New Roman" w:eastAsia="Times New Roman" w:hAnsi="Times New Roman" w:cs="Times New Roman"/>
        </w:rPr>
      </w:pPr>
    </w:p>
    <w:p w14:paraId="505FF8AF" w14:textId="77777777" w:rsidR="0055544B" w:rsidRDefault="0055544B" w:rsidP="0055544B">
      <w:pPr>
        <w:rPr>
          <w:rFonts w:ascii="Times New Roman" w:eastAsia="Times New Roman" w:hAnsi="Times New Roman" w:cs="Times New Roman"/>
        </w:rPr>
      </w:pPr>
    </w:p>
    <w:p w14:paraId="41A3CC4D" w14:textId="43E17758" w:rsidR="0055544B" w:rsidRDefault="0055544B" w:rsidP="0055544B">
      <w:pPr>
        <w:tabs>
          <w:tab w:val="left" w:pos="2370"/>
        </w:tabs>
        <w:rPr>
          <w:rFonts w:ascii="Times New Roman" w:eastAsia="Times New Roman" w:hAnsi="Times New Roman" w:cs="Times New Roman"/>
        </w:rPr>
      </w:pPr>
      <w:r>
        <w:rPr>
          <w:rFonts w:ascii="Times New Roman" w:eastAsia="Times New Roman" w:hAnsi="Times New Roman" w:cs="Times New Roman"/>
        </w:rPr>
        <w:tab/>
      </w:r>
    </w:p>
    <w:p w14:paraId="5C59B98A" w14:textId="77777777" w:rsidR="0055544B" w:rsidRDefault="0055544B" w:rsidP="0055544B">
      <w:pPr>
        <w:tabs>
          <w:tab w:val="left" w:pos="2370"/>
        </w:tabs>
        <w:rPr>
          <w:rFonts w:ascii="Times New Roman" w:eastAsia="Times New Roman" w:hAnsi="Times New Roman" w:cs="Times New Roman"/>
        </w:rPr>
      </w:pPr>
    </w:p>
    <w:p w14:paraId="3ADB46D1" w14:textId="77777777" w:rsidR="0055544B" w:rsidRDefault="0055544B" w:rsidP="0055544B">
      <w:pPr>
        <w:tabs>
          <w:tab w:val="left" w:pos="2370"/>
        </w:tabs>
        <w:rPr>
          <w:rFonts w:ascii="Times New Roman" w:eastAsia="Times New Roman" w:hAnsi="Times New Roman" w:cs="Times New Roman"/>
        </w:rPr>
      </w:pPr>
    </w:p>
    <w:p w14:paraId="579E71D8" w14:textId="77777777" w:rsidR="0055544B" w:rsidRDefault="0055544B" w:rsidP="0055544B">
      <w:pPr>
        <w:tabs>
          <w:tab w:val="left" w:pos="2370"/>
        </w:tabs>
        <w:rPr>
          <w:rFonts w:ascii="Times New Roman" w:eastAsia="Times New Roman" w:hAnsi="Times New Roman" w:cs="Times New Roman"/>
        </w:rPr>
      </w:pPr>
    </w:p>
    <w:p w14:paraId="28369CA1" w14:textId="77777777" w:rsidR="0055544B" w:rsidRDefault="0055544B" w:rsidP="0055544B">
      <w:pPr>
        <w:tabs>
          <w:tab w:val="left" w:pos="2370"/>
        </w:tabs>
        <w:rPr>
          <w:rFonts w:ascii="Times New Roman" w:eastAsia="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5544B" w:rsidRPr="0055544B" w14:paraId="004D60E5" w14:textId="77777777" w:rsidTr="0055544B">
        <w:trPr>
          <w:jc w:val="center"/>
        </w:trPr>
        <w:tc>
          <w:tcPr>
            <w:tcW w:w="3045" w:type="dxa"/>
            <w:tcMar>
              <w:top w:w="100" w:type="dxa"/>
              <w:left w:w="100" w:type="dxa"/>
              <w:bottom w:w="100" w:type="dxa"/>
              <w:right w:w="100" w:type="dxa"/>
            </w:tcMar>
          </w:tcPr>
          <w:p w14:paraId="4AE9FB51" w14:textId="77777777" w:rsidR="0055544B" w:rsidRPr="0055544B" w:rsidRDefault="0055544B" w:rsidP="00B64FA2">
            <w:pPr>
              <w:pStyle w:val="Ttulo3"/>
              <w:widowControl w:val="0"/>
              <w:spacing w:before="0" w:line="240" w:lineRule="auto"/>
              <w:rPr>
                <w:rFonts w:ascii="Times New Roman" w:hAnsi="Times New Roman" w:cs="Times New Roman"/>
                <w:color w:val="000000" w:themeColor="text1"/>
                <w:sz w:val="24"/>
                <w:szCs w:val="24"/>
                <w:lang w:val="es-MX"/>
              </w:rPr>
            </w:pPr>
            <w:r w:rsidRPr="0055544B">
              <w:rPr>
                <w:rFonts w:ascii="Times New Roman" w:hAnsi="Times New Roman" w:cs="Times New Roman"/>
                <w:color w:val="000000" w:themeColor="text1"/>
                <w:sz w:val="24"/>
                <w:szCs w:val="24"/>
                <w:lang w:val="es-MX"/>
              </w:rPr>
              <w:lastRenderedPageBreak/>
              <w:t>Rol de Contribución</w:t>
            </w:r>
          </w:p>
        </w:tc>
        <w:tc>
          <w:tcPr>
            <w:tcW w:w="6315" w:type="dxa"/>
            <w:tcMar>
              <w:top w:w="100" w:type="dxa"/>
              <w:left w:w="100" w:type="dxa"/>
              <w:bottom w:w="100" w:type="dxa"/>
              <w:right w:w="100" w:type="dxa"/>
            </w:tcMar>
          </w:tcPr>
          <w:p w14:paraId="0D5B3D5A" w14:textId="1CF9B1A7" w:rsidR="0055544B" w:rsidRPr="0055544B" w:rsidRDefault="0055544B" w:rsidP="00B64FA2">
            <w:pPr>
              <w:pStyle w:val="Ttulo3"/>
              <w:widowControl w:val="0"/>
              <w:spacing w:before="0" w:line="240" w:lineRule="auto"/>
              <w:rPr>
                <w:rFonts w:ascii="Times New Roman" w:hAnsi="Times New Roman" w:cs="Times New Roman"/>
                <w:color w:val="000000" w:themeColor="text1"/>
                <w:sz w:val="24"/>
                <w:szCs w:val="24"/>
                <w:lang w:val="es-MX"/>
              </w:rPr>
            </w:pPr>
            <w:bookmarkStart w:id="3" w:name="_btsjgdfgjwkr" w:colFirst="0" w:colLast="0"/>
            <w:bookmarkEnd w:id="3"/>
            <w:r>
              <w:rPr>
                <w:rFonts w:ascii="Times New Roman" w:hAnsi="Times New Roman" w:cs="Times New Roman"/>
                <w:color w:val="000000" w:themeColor="text1"/>
                <w:sz w:val="24"/>
                <w:szCs w:val="24"/>
                <w:lang w:val="es-MX"/>
              </w:rPr>
              <w:t>Autor (es)</w:t>
            </w:r>
          </w:p>
        </w:tc>
      </w:tr>
      <w:tr w:rsidR="0055544B" w:rsidRPr="0055544B" w14:paraId="2852ACBC" w14:textId="77777777" w:rsidTr="0055544B">
        <w:trPr>
          <w:jc w:val="center"/>
        </w:trPr>
        <w:tc>
          <w:tcPr>
            <w:tcW w:w="3045" w:type="dxa"/>
            <w:tcMar>
              <w:top w:w="100" w:type="dxa"/>
              <w:left w:w="100" w:type="dxa"/>
              <w:bottom w:w="100" w:type="dxa"/>
              <w:right w:w="100" w:type="dxa"/>
            </w:tcMar>
          </w:tcPr>
          <w:p w14:paraId="338AD156"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Conceptualización</w:t>
            </w:r>
          </w:p>
        </w:tc>
        <w:tc>
          <w:tcPr>
            <w:tcW w:w="6315" w:type="dxa"/>
            <w:tcMar>
              <w:top w:w="100" w:type="dxa"/>
              <w:left w:w="100" w:type="dxa"/>
              <w:bottom w:w="100" w:type="dxa"/>
              <w:right w:w="100" w:type="dxa"/>
            </w:tcMar>
          </w:tcPr>
          <w:p w14:paraId="6F8DA728"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y Vicente Josué Aguilera Rueda «igual»</w:t>
            </w:r>
          </w:p>
        </w:tc>
      </w:tr>
      <w:tr w:rsidR="0055544B" w:rsidRPr="0055544B" w14:paraId="5C8C5E46" w14:textId="77777777" w:rsidTr="0055544B">
        <w:trPr>
          <w:jc w:val="center"/>
        </w:trPr>
        <w:tc>
          <w:tcPr>
            <w:tcW w:w="3045" w:type="dxa"/>
            <w:tcMar>
              <w:top w:w="100" w:type="dxa"/>
              <w:left w:w="100" w:type="dxa"/>
              <w:bottom w:w="100" w:type="dxa"/>
              <w:right w:w="100" w:type="dxa"/>
            </w:tcMar>
          </w:tcPr>
          <w:p w14:paraId="06B95DE0"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Metodología</w:t>
            </w:r>
          </w:p>
        </w:tc>
        <w:tc>
          <w:tcPr>
            <w:tcW w:w="6315" w:type="dxa"/>
            <w:tcMar>
              <w:top w:w="100" w:type="dxa"/>
              <w:left w:w="100" w:type="dxa"/>
              <w:bottom w:w="100" w:type="dxa"/>
              <w:right w:w="100" w:type="dxa"/>
            </w:tcMar>
          </w:tcPr>
          <w:p w14:paraId="105308FC"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y Vicente Josué Aguilera Rueda «igual»</w:t>
            </w:r>
          </w:p>
        </w:tc>
      </w:tr>
      <w:tr w:rsidR="0055544B" w:rsidRPr="0055544B" w14:paraId="481EA4B1" w14:textId="77777777" w:rsidTr="0055544B">
        <w:trPr>
          <w:jc w:val="center"/>
        </w:trPr>
        <w:tc>
          <w:tcPr>
            <w:tcW w:w="3045" w:type="dxa"/>
            <w:tcMar>
              <w:top w:w="100" w:type="dxa"/>
              <w:left w:w="100" w:type="dxa"/>
              <w:bottom w:w="100" w:type="dxa"/>
              <w:right w:w="100" w:type="dxa"/>
            </w:tcMar>
          </w:tcPr>
          <w:p w14:paraId="10097C26"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Software</w:t>
            </w:r>
          </w:p>
        </w:tc>
        <w:tc>
          <w:tcPr>
            <w:tcW w:w="6315" w:type="dxa"/>
            <w:tcMar>
              <w:top w:w="100" w:type="dxa"/>
              <w:left w:w="100" w:type="dxa"/>
              <w:bottom w:w="100" w:type="dxa"/>
              <w:right w:w="100" w:type="dxa"/>
            </w:tcMar>
          </w:tcPr>
          <w:p w14:paraId="56EC73AD"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w:t>
            </w:r>
          </w:p>
        </w:tc>
      </w:tr>
      <w:tr w:rsidR="0055544B" w:rsidRPr="0055544B" w14:paraId="1A0BAE4A" w14:textId="77777777" w:rsidTr="0055544B">
        <w:trPr>
          <w:jc w:val="center"/>
        </w:trPr>
        <w:tc>
          <w:tcPr>
            <w:tcW w:w="3045" w:type="dxa"/>
            <w:tcMar>
              <w:top w:w="100" w:type="dxa"/>
              <w:left w:w="100" w:type="dxa"/>
              <w:bottom w:w="100" w:type="dxa"/>
              <w:right w:w="100" w:type="dxa"/>
            </w:tcMar>
          </w:tcPr>
          <w:p w14:paraId="5AA0E2E8"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Validación</w:t>
            </w:r>
          </w:p>
        </w:tc>
        <w:tc>
          <w:tcPr>
            <w:tcW w:w="6315" w:type="dxa"/>
            <w:tcMar>
              <w:top w:w="100" w:type="dxa"/>
              <w:left w:w="100" w:type="dxa"/>
              <w:bottom w:w="100" w:type="dxa"/>
              <w:right w:w="100" w:type="dxa"/>
            </w:tcMar>
          </w:tcPr>
          <w:p w14:paraId="692DB87E"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y Vicente Josué Aguilera Rueda «igual»</w:t>
            </w:r>
          </w:p>
        </w:tc>
      </w:tr>
      <w:tr w:rsidR="0055544B" w:rsidRPr="0055544B" w14:paraId="00404DDB" w14:textId="77777777" w:rsidTr="0055544B">
        <w:trPr>
          <w:jc w:val="center"/>
        </w:trPr>
        <w:tc>
          <w:tcPr>
            <w:tcW w:w="3045" w:type="dxa"/>
            <w:tcMar>
              <w:top w:w="100" w:type="dxa"/>
              <w:left w:w="100" w:type="dxa"/>
              <w:bottom w:w="100" w:type="dxa"/>
              <w:right w:w="100" w:type="dxa"/>
            </w:tcMar>
          </w:tcPr>
          <w:p w14:paraId="4D2A11AB"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Análisis Formal</w:t>
            </w:r>
          </w:p>
        </w:tc>
        <w:tc>
          <w:tcPr>
            <w:tcW w:w="6315" w:type="dxa"/>
            <w:tcMar>
              <w:top w:w="100" w:type="dxa"/>
              <w:left w:w="100" w:type="dxa"/>
              <w:bottom w:w="100" w:type="dxa"/>
              <w:right w:w="100" w:type="dxa"/>
            </w:tcMar>
          </w:tcPr>
          <w:p w14:paraId="61F49D38"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y Vicente Josué Aguilera Rueda «igual»</w:t>
            </w:r>
          </w:p>
        </w:tc>
      </w:tr>
      <w:tr w:rsidR="0055544B" w:rsidRPr="0055544B" w14:paraId="145047F4" w14:textId="77777777" w:rsidTr="0055544B">
        <w:trPr>
          <w:jc w:val="center"/>
        </w:trPr>
        <w:tc>
          <w:tcPr>
            <w:tcW w:w="3045" w:type="dxa"/>
            <w:tcMar>
              <w:top w:w="100" w:type="dxa"/>
              <w:left w:w="100" w:type="dxa"/>
              <w:bottom w:w="100" w:type="dxa"/>
              <w:right w:w="100" w:type="dxa"/>
            </w:tcMar>
          </w:tcPr>
          <w:p w14:paraId="3DF77C3D"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Investigación</w:t>
            </w:r>
          </w:p>
        </w:tc>
        <w:tc>
          <w:tcPr>
            <w:tcW w:w="6315" w:type="dxa"/>
            <w:tcMar>
              <w:top w:w="100" w:type="dxa"/>
              <w:left w:w="100" w:type="dxa"/>
              <w:bottom w:w="100" w:type="dxa"/>
              <w:right w:w="100" w:type="dxa"/>
            </w:tcMar>
          </w:tcPr>
          <w:p w14:paraId="5A65F40C"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Vicente Josué Aguilera Rueda, Leticia Murcia López, José Vicente Díaz Martínez y Jerónimo Domingo Ricárdez Jiménez «igual»</w:t>
            </w:r>
          </w:p>
        </w:tc>
      </w:tr>
      <w:tr w:rsidR="0055544B" w:rsidRPr="0055544B" w14:paraId="1ECE2084" w14:textId="77777777" w:rsidTr="0055544B">
        <w:trPr>
          <w:jc w:val="center"/>
        </w:trPr>
        <w:tc>
          <w:tcPr>
            <w:tcW w:w="3045" w:type="dxa"/>
            <w:tcMar>
              <w:top w:w="100" w:type="dxa"/>
              <w:left w:w="100" w:type="dxa"/>
              <w:bottom w:w="100" w:type="dxa"/>
              <w:right w:w="100" w:type="dxa"/>
            </w:tcMar>
          </w:tcPr>
          <w:p w14:paraId="66E51C14"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Recursos</w:t>
            </w:r>
          </w:p>
        </w:tc>
        <w:tc>
          <w:tcPr>
            <w:tcW w:w="6315" w:type="dxa"/>
            <w:tcMar>
              <w:top w:w="100" w:type="dxa"/>
              <w:left w:w="100" w:type="dxa"/>
              <w:bottom w:w="100" w:type="dxa"/>
              <w:right w:w="100" w:type="dxa"/>
            </w:tcMar>
          </w:tcPr>
          <w:p w14:paraId="7E730D32"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Vicente Josué Aguilera Rueda y Leticia Murcia López «igual»</w:t>
            </w:r>
          </w:p>
        </w:tc>
      </w:tr>
      <w:tr w:rsidR="0055544B" w:rsidRPr="0055544B" w14:paraId="04910661" w14:textId="77777777" w:rsidTr="0055544B">
        <w:trPr>
          <w:jc w:val="center"/>
        </w:trPr>
        <w:tc>
          <w:tcPr>
            <w:tcW w:w="3045" w:type="dxa"/>
            <w:tcMar>
              <w:top w:w="100" w:type="dxa"/>
              <w:left w:w="100" w:type="dxa"/>
              <w:bottom w:w="100" w:type="dxa"/>
              <w:right w:w="100" w:type="dxa"/>
            </w:tcMar>
          </w:tcPr>
          <w:p w14:paraId="64C22A6A"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Curación de datos</w:t>
            </w:r>
          </w:p>
        </w:tc>
        <w:tc>
          <w:tcPr>
            <w:tcW w:w="6315" w:type="dxa"/>
            <w:tcMar>
              <w:top w:w="100" w:type="dxa"/>
              <w:left w:w="100" w:type="dxa"/>
              <w:bottom w:w="100" w:type="dxa"/>
              <w:right w:w="100" w:type="dxa"/>
            </w:tcMar>
          </w:tcPr>
          <w:p w14:paraId="07E202C5"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y Vicente Josué Aguilera Rueda «igual»</w:t>
            </w:r>
          </w:p>
        </w:tc>
      </w:tr>
      <w:tr w:rsidR="0055544B" w:rsidRPr="0055544B" w14:paraId="53DC6721" w14:textId="77777777" w:rsidTr="0055544B">
        <w:trPr>
          <w:jc w:val="center"/>
        </w:trPr>
        <w:tc>
          <w:tcPr>
            <w:tcW w:w="3045" w:type="dxa"/>
            <w:tcMar>
              <w:top w:w="100" w:type="dxa"/>
              <w:left w:w="100" w:type="dxa"/>
              <w:bottom w:w="100" w:type="dxa"/>
              <w:right w:w="100" w:type="dxa"/>
            </w:tcMar>
          </w:tcPr>
          <w:p w14:paraId="4AAE5D4D"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Escritura - Preparación del borrador original</w:t>
            </w:r>
          </w:p>
        </w:tc>
        <w:tc>
          <w:tcPr>
            <w:tcW w:w="6315" w:type="dxa"/>
            <w:tcMar>
              <w:top w:w="100" w:type="dxa"/>
              <w:left w:w="100" w:type="dxa"/>
              <w:bottom w:w="100" w:type="dxa"/>
              <w:right w:w="100" w:type="dxa"/>
            </w:tcMar>
          </w:tcPr>
          <w:p w14:paraId="1E3E374E" w14:textId="77777777" w:rsidR="0055544B" w:rsidRPr="0055544B" w:rsidRDefault="0055544B" w:rsidP="00B64FA2">
            <w:pPr>
              <w:widowControl w:val="0"/>
              <w:spacing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Vicente Josué Aguilera Rueda, Leticia Murcia López, José Vicente Díaz Martínez y Jerónimo Domingo Ricárdez Jiménez «igual»</w:t>
            </w:r>
          </w:p>
        </w:tc>
      </w:tr>
      <w:tr w:rsidR="0055544B" w:rsidRPr="0055544B" w14:paraId="77145C2B" w14:textId="77777777" w:rsidTr="0055544B">
        <w:trPr>
          <w:jc w:val="center"/>
        </w:trPr>
        <w:tc>
          <w:tcPr>
            <w:tcW w:w="3045" w:type="dxa"/>
            <w:tcMar>
              <w:top w:w="100" w:type="dxa"/>
              <w:left w:w="100" w:type="dxa"/>
              <w:bottom w:w="100" w:type="dxa"/>
              <w:right w:w="100" w:type="dxa"/>
            </w:tcMar>
          </w:tcPr>
          <w:p w14:paraId="496D34E1"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Escritura - Revisión y edición</w:t>
            </w:r>
          </w:p>
        </w:tc>
        <w:tc>
          <w:tcPr>
            <w:tcW w:w="6315" w:type="dxa"/>
            <w:tcMar>
              <w:top w:w="100" w:type="dxa"/>
              <w:left w:w="100" w:type="dxa"/>
              <w:bottom w:w="100" w:type="dxa"/>
              <w:right w:w="100" w:type="dxa"/>
            </w:tcMar>
          </w:tcPr>
          <w:p w14:paraId="7D92780C"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Vicente Josué Aguilera Rueda, Leticia Murcia López, José Vicente Díaz Martínez y Jerónimo Domingo Ricárdez Jiménez «igual»</w:t>
            </w:r>
          </w:p>
        </w:tc>
      </w:tr>
      <w:tr w:rsidR="0055544B" w:rsidRPr="0055544B" w14:paraId="37B9E577" w14:textId="77777777" w:rsidTr="0055544B">
        <w:trPr>
          <w:jc w:val="center"/>
        </w:trPr>
        <w:tc>
          <w:tcPr>
            <w:tcW w:w="3045" w:type="dxa"/>
            <w:tcMar>
              <w:top w:w="100" w:type="dxa"/>
              <w:left w:w="100" w:type="dxa"/>
              <w:bottom w:w="100" w:type="dxa"/>
              <w:right w:w="100" w:type="dxa"/>
            </w:tcMar>
          </w:tcPr>
          <w:p w14:paraId="6320C88B"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Visualización</w:t>
            </w:r>
          </w:p>
        </w:tc>
        <w:tc>
          <w:tcPr>
            <w:tcW w:w="6315" w:type="dxa"/>
            <w:tcMar>
              <w:top w:w="100" w:type="dxa"/>
              <w:left w:w="100" w:type="dxa"/>
              <w:bottom w:w="100" w:type="dxa"/>
              <w:right w:w="100" w:type="dxa"/>
            </w:tcMar>
          </w:tcPr>
          <w:p w14:paraId="7BBA5E20"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 Vicente Josué Aguilera Rueda, Leticia Murcia López, José Vicente Díaz Martínez y Jerónimo Domingo Ricárdez Jiménez «igual»</w:t>
            </w:r>
          </w:p>
        </w:tc>
      </w:tr>
      <w:tr w:rsidR="0055544B" w:rsidRPr="0055544B" w14:paraId="2FD5B738" w14:textId="77777777" w:rsidTr="0055544B">
        <w:trPr>
          <w:jc w:val="center"/>
        </w:trPr>
        <w:tc>
          <w:tcPr>
            <w:tcW w:w="3045" w:type="dxa"/>
            <w:tcMar>
              <w:top w:w="100" w:type="dxa"/>
              <w:left w:w="100" w:type="dxa"/>
              <w:bottom w:w="100" w:type="dxa"/>
              <w:right w:w="100" w:type="dxa"/>
            </w:tcMar>
          </w:tcPr>
          <w:p w14:paraId="71A4D92C"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Supervisión</w:t>
            </w:r>
          </w:p>
        </w:tc>
        <w:tc>
          <w:tcPr>
            <w:tcW w:w="6315" w:type="dxa"/>
            <w:tcMar>
              <w:top w:w="100" w:type="dxa"/>
              <w:left w:w="100" w:type="dxa"/>
              <w:bottom w:w="100" w:type="dxa"/>
              <w:right w:w="100" w:type="dxa"/>
            </w:tcMar>
          </w:tcPr>
          <w:p w14:paraId="5C2C701C"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w:t>
            </w:r>
          </w:p>
        </w:tc>
      </w:tr>
      <w:tr w:rsidR="0055544B" w:rsidRPr="0055544B" w14:paraId="07A132AF" w14:textId="77777777" w:rsidTr="0055544B">
        <w:trPr>
          <w:jc w:val="center"/>
        </w:trPr>
        <w:tc>
          <w:tcPr>
            <w:tcW w:w="3045" w:type="dxa"/>
            <w:tcMar>
              <w:top w:w="100" w:type="dxa"/>
              <w:left w:w="100" w:type="dxa"/>
              <w:bottom w:w="100" w:type="dxa"/>
              <w:right w:w="100" w:type="dxa"/>
            </w:tcMar>
          </w:tcPr>
          <w:p w14:paraId="34E2990A"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Administración de Proyectos</w:t>
            </w:r>
          </w:p>
        </w:tc>
        <w:tc>
          <w:tcPr>
            <w:tcW w:w="6315" w:type="dxa"/>
            <w:tcMar>
              <w:top w:w="100" w:type="dxa"/>
              <w:left w:w="100" w:type="dxa"/>
              <w:bottom w:w="100" w:type="dxa"/>
              <w:right w:w="100" w:type="dxa"/>
            </w:tcMar>
          </w:tcPr>
          <w:p w14:paraId="7415E939"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w:t>
            </w:r>
          </w:p>
        </w:tc>
      </w:tr>
      <w:tr w:rsidR="0055544B" w:rsidRPr="0055544B" w14:paraId="4CD3CAA7" w14:textId="77777777" w:rsidTr="0055544B">
        <w:trPr>
          <w:jc w:val="center"/>
        </w:trPr>
        <w:tc>
          <w:tcPr>
            <w:tcW w:w="3045" w:type="dxa"/>
            <w:tcMar>
              <w:top w:w="100" w:type="dxa"/>
              <w:left w:w="100" w:type="dxa"/>
              <w:bottom w:w="100" w:type="dxa"/>
              <w:right w:w="100" w:type="dxa"/>
            </w:tcMar>
          </w:tcPr>
          <w:p w14:paraId="4E222A88"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Adquisición de fondos</w:t>
            </w:r>
          </w:p>
        </w:tc>
        <w:tc>
          <w:tcPr>
            <w:tcW w:w="6315" w:type="dxa"/>
            <w:tcMar>
              <w:top w:w="100" w:type="dxa"/>
              <w:left w:w="100" w:type="dxa"/>
              <w:bottom w:w="100" w:type="dxa"/>
              <w:right w:w="100" w:type="dxa"/>
            </w:tcMar>
          </w:tcPr>
          <w:p w14:paraId="0FC67DC6" w14:textId="77777777" w:rsidR="0055544B" w:rsidRPr="0055544B" w:rsidRDefault="0055544B" w:rsidP="0055544B">
            <w:pPr>
              <w:widowControl w:val="0"/>
              <w:spacing w:after="0" w:line="240" w:lineRule="auto"/>
              <w:rPr>
                <w:rFonts w:ascii="Times New Roman" w:hAnsi="Times New Roman" w:cs="Times New Roman"/>
                <w:color w:val="000000" w:themeColor="text1"/>
                <w:lang w:val="es-MX"/>
              </w:rPr>
            </w:pPr>
            <w:r w:rsidRPr="0055544B">
              <w:rPr>
                <w:rFonts w:ascii="Times New Roman" w:hAnsi="Times New Roman" w:cs="Times New Roman"/>
                <w:color w:val="000000" w:themeColor="text1"/>
                <w:lang w:val="es-MX"/>
              </w:rPr>
              <w:t>César Augusto Mejía Gracia</w:t>
            </w:r>
          </w:p>
        </w:tc>
      </w:tr>
    </w:tbl>
    <w:p w14:paraId="3C8E37BD" w14:textId="77777777" w:rsidR="0055544B" w:rsidRPr="0055544B" w:rsidRDefault="0055544B" w:rsidP="0055544B">
      <w:pPr>
        <w:tabs>
          <w:tab w:val="left" w:pos="2370"/>
        </w:tabs>
        <w:rPr>
          <w:rFonts w:ascii="Times New Roman" w:eastAsia="Times New Roman" w:hAnsi="Times New Roman" w:cs="Times New Roman"/>
        </w:rPr>
      </w:pPr>
    </w:p>
    <w:sectPr w:rsidR="0055544B" w:rsidRPr="0055544B">
      <w:headerReference w:type="even" r:id="rId54"/>
      <w:headerReference w:type="default" r:id="rId55"/>
      <w:footerReference w:type="even" r:id="rId56"/>
      <w:footerReference w:type="default" r:id="rId57"/>
      <w:headerReference w:type="first" r:id="rId58"/>
      <w:footerReference w:type="first" r:id="rId59"/>
      <w:pgSz w:w="12240" w:h="15840"/>
      <w:pgMar w:top="1134" w:right="1701" w:bottom="993"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FFF7" w14:textId="77777777" w:rsidR="003F0C23" w:rsidRDefault="003F0C23">
      <w:pPr>
        <w:spacing w:after="0" w:line="240" w:lineRule="auto"/>
      </w:pPr>
      <w:r>
        <w:separator/>
      </w:r>
    </w:p>
  </w:endnote>
  <w:endnote w:type="continuationSeparator" w:id="0">
    <w:p w14:paraId="3D8CC9EF" w14:textId="77777777" w:rsidR="003F0C23" w:rsidRDefault="003F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E9D9" w14:textId="77777777" w:rsidR="007435B6" w:rsidRDefault="007435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79BC" w14:textId="387194F6" w:rsidR="00266FB2" w:rsidRDefault="00B1315D">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Pr>
        <w:noProof/>
      </w:rPr>
      <w:drawing>
        <wp:inline distT="0" distB="0" distL="0" distR="0" wp14:anchorId="318F2B2C" wp14:editId="5C7813F8">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Num. 3</w:t>
    </w:r>
    <w:r>
      <w:rPr>
        <w:rFonts w:ascii="Calibri" w:hAnsi="Calibri" w:cs="Calibri"/>
        <w:b/>
        <w:sz w:val="22"/>
        <w:szCs w:val="22"/>
      </w:rPr>
      <w:t>2</w:t>
    </w:r>
    <w:r w:rsidRPr="00590B82">
      <w:rPr>
        <w:rFonts w:ascii="Calibri" w:hAnsi="Calibri" w:cs="Calibri"/>
        <w:b/>
        <w:sz w:val="22"/>
        <w:szCs w:val="22"/>
      </w:rPr>
      <w:t xml:space="preserve"> Enero – Junio 202</w:t>
    </w:r>
    <w:r w:rsidR="00DD60AB">
      <w:rPr>
        <w:rFonts w:ascii="Calibri" w:hAnsi="Calibri" w:cs="Calibri"/>
        <w:b/>
        <w:sz w:val="22"/>
        <w:szCs w:val="22"/>
      </w:rPr>
      <w:t>6</w:t>
    </w:r>
    <w:r w:rsidRPr="00590B82">
      <w:rPr>
        <w:rFonts w:ascii="Calibri" w:hAnsi="Calibri" w:cs="Calibri"/>
        <w:b/>
        <w:sz w:val="22"/>
        <w:szCs w:val="22"/>
      </w:rPr>
      <w:t>, e</w:t>
    </w:r>
    <w:r w:rsidR="00DD60AB">
      <w:rPr>
        <w:rFonts w:ascii="Calibri" w:hAnsi="Calibri" w:cs="Calibri"/>
        <w:b/>
        <w:sz w:val="22"/>
        <w:szCs w:val="22"/>
      </w:rPr>
      <w:t>103</w:t>
    </w:r>
    <w:r w:rsidR="007435B6">
      <w:rPr>
        <w:rFonts w:ascii="Calibri" w:hAnsi="Calibri" w:cs="Calibri"/>
        <w:b/>
        <w:sz w:val="22"/>
        <w:szCs w:val="22"/>
      </w:rPr>
      <w:t>7</w:t>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9CC" w14:textId="77777777" w:rsidR="007435B6" w:rsidRDefault="007435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E0A4" w14:textId="77777777" w:rsidR="003F0C23" w:rsidRDefault="003F0C23">
      <w:pPr>
        <w:spacing w:after="0" w:line="240" w:lineRule="auto"/>
      </w:pPr>
      <w:r>
        <w:separator/>
      </w:r>
    </w:p>
  </w:footnote>
  <w:footnote w:type="continuationSeparator" w:id="0">
    <w:p w14:paraId="1CBA4C3F" w14:textId="77777777" w:rsidR="003F0C23" w:rsidRDefault="003F0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2A1F" w14:textId="77777777" w:rsidR="007435B6" w:rsidRDefault="007435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8917" w14:textId="77777777" w:rsidR="00266FB2" w:rsidRDefault="00B1315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130A760" wp14:editId="3291DE0D">
          <wp:extent cx="5397500" cy="635000"/>
          <wp:effectExtent l="0" t="0" r="0" b="0"/>
          <wp:docPr id="5" name="image3.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AF0B" w14:textId="77777777" w:rsidR="007435B6" w:rsidRDefault="007435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300"/>
    <w:multiLevelType w:val="multilevel"/>
    <w:tmpl w:val="AE0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2431"/>
    <w:multiLevelType w:val="hybridMultilevel"/>
    <w:tmpl w:val="5CA2243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4CD84E3B"/>
    <w:multiLevelType w:val="multilevel"/>
    <w:tmpl w:val="DF32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255371">
    <w:abstractNumId w:val="2"/>
  </w:num>
  <w:num w:numId="2" w16cid:durableId="2005090711">
    <w:abstractNumId w:val="0"/>
  </w:num>
  <w:num w:numId="3" w16cid:durableId="103824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B2"/>
    <w:rsid w:val="0007734E"/>
    <w:rsid w:val="000911E2"/>
    <w:rsid w:val="00097D84"/>
    <w:rsid w:val="000A3788"/>
    <w:rsid w:val="000A545E"/>
    <w:rsid w:val="000C1D61"/>
    <w:rsid w:val="000C2DC1"/>
    <w:rsid w:val="000C3C16"/>
    <w:rsid w:val="000E4ACE"/>
    <w:rsid w:val="0012370B"/>
    <w:rsid w:val="00134869"/>
    <w:rsid w:val="00151DE7"/>
    <w:rsid w:val="001B3F5C"/>
    <w:rsid w:val="001C01C4"/>
    <w:rsid w:val="001C465C"/>
    <w:rsid w:val="001F043A"/>
    <w:rsid w:val="00226394"/>
    <w:rsid w:val="00227544"/>
    <w:rsid w:val="0023374C"/>
    <w:rsid w:val="0026103D"/>
    <w:rsid w:val="00266FB2"/>
    <w:rsid w:val="002D12D5"/>
    <w:rsid w:val="002D629A"/>
    <w:rsid w:val="002E4DAB"/>
    <w:rsid w:val="002E52A6"/>
    <w:rsid w:val="003118C3"/>
    <w:rsid w:val="00313FEF"/>
    <w:rsid w:val="00347CA7"/>
    <w:rsid w:val="0036348C"/>
    <w:rsid w:val="00364E12"/>
    <w:rsid w:val="003731BE"/>
    <w:rsid w:val="00375120"/>
    <w:rsid w:val="0039784A"/>
    <w:rsid w:val="003C6EFB"/>
    <w:rsid w:val="003D3B2D"/>
    <w:rsid w:val="003F0C23"/>
    <w:rsid w:val="00417FB4"/>
    <w:rsid w:val="00430107"/>
    <w:rsid w:val="00432545"/>
    <w:rsid w:val="0045173B"/>
    <w:rsid w:val="00465EDC"/>
    <w:rsid w:val="004726EE"/>
    <w:rsid w:val="0048593D"/>
    <w:rsid w:val="00490824"/>
    <w:rsid w:val="004A5441"/>
    <w:rsid w:val="004B2169"/>
    <w:rsid w:val="004B756F"/>
    <w:rsid w:val="004F4CED"/>
    <w:rsid w:val="004F6485"/>
    <w:rsid w:val="005029E4"/>
    <w:rsid w:val="005212A3"/>
    <w:rsid w:val="0054317E"/>
    <w:rsid w:val="00544B79"/>
    <w:rsid w:val="00551859"/>
    <w:rsid w:val="005529E6"/>
    <w:rsid w:val="0055544B"/>
    <w:rsid w:val="00585145"/>
    <w:rsid w:val="005A04BA"/>
    <w:rsid w:val="005E4844"/>
    <w:rsid w:val="005E6F07"/>
    <w:rsid w:val="00605008"/>
    <w:rsid w:val="00616779"/>
    <w:rsid w:val="006240CA"/>
    <w:rsid w:val="0062661E"/>
    <w:rsid w:val="00640182"/>
    <w:rsid w:val="006442B6"/>
    <w:rsid w:val="00677CD5"/>
    <w:rsid w:val="00697C4A"/>
    <w:rsid w:val="006A60E1"/>
    <w:rsid w:val="006A69D8"/>
    <w:rsid w:val="006C33EE"/>
    <w:rsid w:val="006D2539"/>
    <w:rsid w:val="006D43D9"/>
    <w:rsid w:val="006F6F04"/>
    <w:rsid w:val="00702C7B"/>
    <w:rsid w:val="00703DF3"/>
    <w:rsid w:val="00707970"/>
    <w:rsid w:val="00713487"/>
    <w:rsid w:val="00732F7E"/>
    <w:rsid w:val="007435B6"/>
    <w:rsid w:val="0074549E"/>
    <w:rsid w:val="007B5617"/>
    <w:rsid w:val="007C58C2"/>
    <w:rsid w:val="007D00EB"/>
    <w:rsid w:val="007F4F32"/>
    <w:rsid w:val="0081494F"/>
    <w:rsid w:val="008572BC"/>
    <w:rsid w:val="008A2DF9"/>
    <w:rsid w:val="008C32DC"/>
    <w:rsid w:val="008C4F10"/>
    <w:rsid w:val="00936EB7"/>
    <w:rsid w:val="00940146"/>
    <w:rsid w:val="00942731"/>
    <w:rsid w:val="00945A05"/>
    <w:rsid w:val="009C729F"/>
    <w:rsid w:val="009D0AEB"/>
    <w:rsid w:val="009F64A3"/>
    <w:rsid w:val="00A5200F"/>
    <w:rsid w:val="00A75934"/>
    <w:rsid w:val="00A8615A"/>
    <w:rsid w:val="00A90C52"/>
    <w:rsid w:val="00A952BB"/>
    <w:rsid w:val="00AB730A"/>
    <w:rsid w:val="00AE15F0"/>
    <w:rsid w:val="00AE259B"/>
    <w:rsid w:val="00AE5A10"/>
    <w:rsid w:val="00AE7BB4"/>
    <w:rsid w:val="00AE7D56"/>
    <w:rsid w:val="00B10502"/>
    <w:rsid w:val="00B1315D"/>
    <w:rsid w:val="00B14347"/>
    <w:rsid w:val="00B37CAB"/>
    <w:rsid w:val="00B46F14"/>
    <w:rsid w:val="00B709EE"/>
    <w:rsid w:val="00B72CBB"/>
    <w:rsid w:val="00B77764"/>
    <w:rsid w:val="00B8586E"/>
    <w:rsid w:val="00BC7533"/>
    <w:rsid w:val="00BD219F"/>
    <w:rsid w:val="00C13E97"/>
    <w:rsid w:val="00C23822"/>
    <w:rsid w:val="00C27C58"/>
    <w:rsid w:val="00C63EE9"/>
    <w:rsid w:val="00C64932"/>
    <w:rsid w:val="00C6561C"/>
    <w:rsid w:val="00CC7A33"/>
    <w:rsid w:val="00CD70DF"/>
    <w:rsid w:val="00CF3F6E"/>
    <w:rsid w:val="00D011C8"/>
    <w:rsid w:val="00D156D8"/>
    <w:rsid w:val="00D22220"/>
    <w:rsid w:val="00D358DF"/>
    <w:rsid w:val="00D36BCC"/>
    <w:rsid w:val="00D40A98"/>
    <w:rsid w:val="00D66FD7"/>
    <w:rsid w:val="00D76FA9"/>
    <w:rsid w:val="00DA2C25"/>
    <w:rsid w:val="00DA6C1C"/>
    <w:rsid w:val="00DD0D0C"/>
    <w:rsid w:val="00DD11A8"/>
    <w:rsid w:val="00DD60AB"/>
    <w:rsid w:val="00DE6FF4"/>
    <w:rsid w:val="00E25488"/>
    <w:rsid w:val="00E97796"/>
    <w:rsid w:val="00EB6715"/>
    <w:rsid w:val="00F02130"/>
    <w:rsid w:val="00F1555B"/>
    <w:rsid w:val="00F16EEB"/>
    <w:rsid w:val="00F32019"/>
    <w:rsid w:val="00F5509A"/>
    <w:rsid w:val="00FB79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D217"/>
  <w15:docId w15:val="{952BAD20-02C6-9041-896F-47EFD3CD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1C465C"/>
    <w:rPr>
      <w:color w:val="666666"/>
    </w:rPr>
  </w:style>
  <w:style w:type="paragraph" w:styleId="NormalWeb">
    <w:name w:val="Normal (Web)"/>
    <w:basedOn w:val="Normal"/>
    <w:uiPriority w:val="99"/>
    <w:semiHidden/>
    <w:unhideWhenUsed/>
    <w:rsid w:val="001C465C"/>
    <w:pPr>
      <w:spacing w:before="100" w:beforeAutospacing="1" w:after="100" w:afterAutospacing="1" w:line="240" w:lineRule="auto"/>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0A545E"/>
    <w:rPr>
      <w:sz w:val="16"/>
      <w:szCs w:val="16"/>
    </w:rPr>
  </w:style>
  <w:style w:type="paragraph" w:customStyle="1" w:styleId="AuthorName">
    <w:name w:val="Author Name"/>
    <w:basedOn w:val="Normal"/>
    <w:next w:val="Normal"/>
    <w:uiPriority w:val="99"/>
    <w:rsid w:val="000A545E"/>
    <w:pPr>
      <w:spacing w:after="0" w:line="240" w:lineRule="auto"/>
      <w:jc w:val="both"/>
    </w:pPr>
    <w:rPr>
      <w:rFonts w:ascii="Times New Roman" w:eastAsia="Times New Roman" w:hAnsi="Times New Roman" w:cs="Times New Roman"/>
      <w:color w:val="000000"/>
      <w:sz w:val="22"/>
      <w:szCs w:val="22"/>
      <w:lang w:val="en-US" w:eastAsia="en-US"/>
    </w:rPr>
  </w:style>
  <w:style w:type="paragraph" w:styleId="Descripcin">
    <w:name w:val="caption"/>
    <w:basedOn w:val="Normal"/>
    <w:next w:val="Normal"/>
    <w:uiPriority w:val="35"/>
    <w:unhideWhenUsed/>
    <w:qFormat/>
    <w:rsid w:val="000A545E"/>
    <w:pPr>
      <w:spacing w:after="200" w:line="240" w:lineRule="auto"/>
    </w:pPr>
    <w:rPr>
      <w:rFonts w:asciiTheme="minorHAnsi" w:eastAsiaTheme="minorHAnsi" w:hAnsiTheme="minorHAnsi" w:cstheme="minorBidi"/>
      <w:i/>
      <w:iCs/>
      <w:color w:val="1F497D" w:themeColor="text2"/>
      <w:kern w:val="2"/>
      <w:sz w:val="18"/>
      <w:szCs w:val="18"/>
      <w:lang w:val="en" w:eastAsia="en-US"/>
      <w14:ligatures w14:val="standardContextual"/>
    </w:rPr>
  </w:style>
  <w:style w:type="paragraph" w:styleId="Textocomentario">
    <w:name w:val="annotation text"/>
    <w:basedOn w:val="Normal"/>
    <w:link w:val="TextocomentarioCar"/>
    <w:uiPriority w:val="99"/>
    <w:unhideWhenUsed/>
    <w:rsid w:val="000A545E"/>
    <w:pPr>
      <w:spacing w:line="240" w:lineRule="auto"/>
    </w:pPr>
    <w:rPr>
      <w:sz w:val="20"/>
      <w:szCs w:val="20"/>
    </w:rPr>
  </w:style>
  <w:style w:type="character" w:customStyle="1" w:styleId="TextocomentarioCar">
    <w:name w:val="Texto comentario Car"/>
    <w:basedOn w:val="Fuentedeprrafopredeter"/>
    <w:link w:val="Textocomentario"/>
    <w:uiPriority w:val="99"/>
    <w:rsid w:val="000A545E"/>
    <w:rPr>
      <w:sz w:val="20"/>
      <w:szCs w:val="20"/>
    </w:rPr>
  </w:style>
  <w:style w:type="paragraph" w:styleId="Asuntodelcomentario">
    <w:name w:val="annotation subject"/>
    <w:basedOn w:val="Textocomentario"/>
    <w:next w:val="Textocomentario"/>
    <w:link w:val="AsuntodelcomentarioCar"/>
    <w:uiPriority w:val="99"/>
    <w:semiHidden/>
    <w:unhideWhenUsed/>
    <w:rsid w:val="000A545E"/>
    <w:rPr>
      <w:b/>
      <w:bCs/>
    </w:rPr>
  </w:style>
  <w:style w:type="character" w:customStyle="1" w:styleId="AsuntodelcomentarioCar">
    <w:name w:val="Asunto del comentario Car"/>
    <w:basedOn w:val="TextocomentarioCar"/>
    <w:link w:val="Asuntodelcomentario"/>
    <w:uiPriority w:val="99"/>
    <w:semiHidden/>
    <w:rsid w:val="000A545E"/>
    <w:rPr>
      <w:b/>
      <w:bCs/>
      <w:sz w:val="20"/>
      <w:szCs w:val="20"/>
    </w:rPr>
  </w:style>
  <w:style w:type="character" w:styleId="Hipervnculo">
    <w:name w:val="Hyperlink"/>
    <w:basedOn w:val="Fuentedeprrafopredeter"/>
    <w:uiPriority w:val="99"/>
    <w:unhideWhenUsed/>
    <w:rsid w:val="00313FEF"/>
    <w:rPr>
      <w:color w:val="0000FF" w:themeColor="hyperlink"/>
      <w:u w:val="single"/>
    </w:rPr>
  </w:style>
  <w:style w:type="character" w:styleId="Mencinsinresolver">
    <w:name w:val="Unresolved Mention"/>
    <w:basedOn w:val="Fuentedeprrafopredeter"/>
    <w:uiPriority w:val="99"/>
    <w:semiHidden/>
    <w:unhideWhenUsed/>
    <w:rsid w:val="00313FEF"/>
    <w:rPr>
      <w:color w:val="605E5C"/>
      <w:shd w:val="clear" w:color="auto" w:fill="E1DFDD"/>
    </w:rPr>
  </w:style>
  <w:style w:type="character" w:styleId="Hipervnculovisitado">
    <w:name w:val="FollowedHyperlink"/>
    <w:basedOn w:val="Fuentedeprrafopredeter"/>
    <w:uiPriority w:val="99"/>
    <w:semiHidden/>
    <w:unhideWhenUsed/>
    <w:rsid w:val="00D40A98"/>
    <w:rPr>
      <w:color w:val="800080" w:themeColor="followedHyperlink"/>
      <w:u w:val="single"/>
    </w:rPr>
  </w:style>
  <w:style w:type="paragraph" w:styleId="Prrafodelista">
    <w:name w:val="List Paragraph"/>
    <w:basedOn w:val="Normal"/>
    <w:uiPriority w:val="34"/>
    <w:qFormat/>
    <w:rsid w:val="00134869"/>
    <w:pPr>
      <w:ind w:left="720"/>
      <w:contextualSpacing/>
    </w:pPr>
  </w:style>
  <w:style w:type="paragraph" w:styleId="Encabezado">
    <w:name w:val="header"/>
    <w:basedOn w:val="Normal"/>
    <w:link w:val="EncabezadoCar"/>
    <w:uiPriority w:val="99"/>
    <w:unhideWhenUsed/>
    <w:rsid w:val="00B131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315D"/>
    <w:rPr>
      <w:lang w:val="es-ES_tradnl"/>
    </w:rPr>
  </w:style>
  <w:style w:type="paragraph" w:styleId="Piedepgina">
    <w:name w:val="footer"/>
    <w:basedOn w:val="Normal"/>
    <w:link w:val="PiedepginaCar"/>
    <w:uiPriority w:val="99"/>
    <w:unhideWhenUsed/>
    <w:rsid w:val="00B131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15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950">
      <w:bodyDiv w:val="1"/>
      <w:marLeft w:val="0"/>
      <w:marRight w:val="0"/>
      <w:marTop w:val="0"/>
      <w:marBottom w:val="0"/>
      <w:divBdr>
        <w:top w:val="none" w:sz="0" w:space="0" w:color="auto"/>
        <w:left w:val="none" w:sz="0" w:space="0" w:color="auto"/>
        <w:bottom w:val="none" w:sz="0" w:space="0" w:color="auto"/>
        <w:right w:val="none" w:sz="0" w:space="0" w:color="auto"/>
      </w:divBdr>
    </w:div>
    <w:div w:id="622424627">
      <w:bodyDiv w:val="1"/>
      <w:marLeft w:val="0"/>
      <w:marRight w:val="0"/>
      <w:marTop w:val="0"/>
      <w:marBottom w:val="0"/>
      <w:divBdr>
        <w:top w:val="none" w:sz="0" w:space="0" w:color="auto"/>
        <w:left w:val="none" w:sz="0" w:space="0" w:color="auto"/>
        <w:bottom w:val="none" w:sz="0" w:space="0" w:color="auto"/>
        <w:right w:val="none" w:sz="0" w:space="0" w:color="auto"/>
      </w:divBdr>
    </w:div>
    <w:div w:id="2007394219">
      <w:bodyDiv w:val="1"/>
      <w:marLeft w:val="0"/>
      <w:marRight w:val="0"/>
      <w:marTop w:val="0"/>
      <w:marBottom w:val="0"/>
      <w:divBdr>
        <w:top w:val="none" w:sz="0" w:space="0" w:color="auto"/>
        <w:left w:val="none" w:sz="0" w:space="0" w:color="auto"/>
        <w:bottom w:val="none" w:sz="0" w:space="0" w:color="auto"/>
        <w:right w:val="none" w:sz="0" w:space="0" w:color="auto"/>
      </w:divBdr>
    </w:div>
    <w:div w:id="211289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9333/iji.2021.14343a" TargetMode="External"/><Relationship Id="rId18" Type="http://schemas.openxmlformats.org/officeDocument/2006/relationships/hyperlink" Target="https://doi.org/10.1016/j.stueduc.2021.101069" TargetMode="External"/><Relationship Id="rId26" Type="http://schemas.openxmlformats.org/officeDocument/2006/relationships/hyperlink" Target="https://doi.org/10.1007/s10639-022-11189-z" TargetMode="External"/><Relationship Id="rId39" Type="http://schemas.openxmlformats.org/officeDocument/2006/relationships/hyperlink" Target="https://doi.org/10.1007/s10639-024-12585-3" TargetMode="External"/><Relationship Id="rId21" Type="http://schemas.openxmlformats.org/officeDocument/2006/relationships/hyperlink" Target="https://doi.org/10.13058/raep.2020.v21n1.1738" TargetMode="External"/><Relationship Id="rId34" Type="http://schemas.openxmlformats.org/officeDocument/2006/relationships/hyperlink" Target="https://doi.org/10.1177/1541344617738514" TargetMode="External"/><Relationship Id="rId42" Type="http://schemas.openxmlformats.org/officeDocument/2006/relationships/hyperlink" Target="https://doi.org/10.1016/j.ijme.2020.100427" TargetMode="External"/><Relationship Id="rId47" Type="http://schemas.openxmlformats.org/officeDocument/2006/relationships/hyperlink" Target="http://www.virtualcampusmagazine.com" TargetMode="External"/><Relationship Id="rId50" Type="http://schemas.openxmlformats.org/officeDocument/2006/relationships/hyperlink" Target="https://doi.org/10.3389/fpsyg.2022.864416" TargetMode="External"/><Relationship Id="rId55" Type="http://schemas.openxmlformats.org/officeDocument/2006/relationships/header" Target="head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177/2329490619831279" TargetMode="External"/><Relationship Id="rId29" Type="http://schemas.openxmlformats.org/officeDocument/2006/relationships/hyperlink" Target="https://doi.org/10.1016/j.chb.2017.01.005" TargetMode="External"/><Relationship Id="rId11" Type="http://schemas.openxmlformats.org/officeDocument/2006/relationships/hyperlink" Target="https://doi.org/10.3390/su14063392" TargetMode="External"/><Relationship Id="rId24" Type="http://schemas.openxmlformats.org/officeDocument/2006/relationships/hyperlink" Target="https://www.jstor.org/stable/48721002" TargetMode="External"/><Relationship Id="rId32" Type="http://schemas.openxmlformats.org/officeDocument/2006/relationships/hyperlink" Target="https://doi.org/10.1186/s41239-022-00347-5" TargetMode="External"/><Relationship Id="rId37" Type="http://schemas.openxmlformats.org/officeDocument/2006/relationships/hyperlink" Target="https://doi.org/10.3138/cpp.2020-100" TargetMode="External"/><Relationship Id="rId40" Type="http://schemas.openxmlformats.org/officeDocument/2006/relationships/hyperlink" Target="https://doi.org/10.46328/ijemst.2931" TargetMode="External"/><Relationship Id="rId45" Type="http://schemas.openxmlformats.org/officeDocument/2006/relationships/hyperlink" Target="https://doi.org/10.3390/educsci12070463" TargetMode="External"/><Relationship Id="rId53" Type="http://schemas.openxmlformats.org/officeDocument/2006/relationships/hyperlink" Target="https://doi.org/10.1007/s11528-016-0087-7"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3390/educsci13040422" TargetMode="External"/><Relationship Id="rId14" Type="http://schemas.openxmlformats.org/officeDocument/2006/relationships/hyperlink" Target="https://doi.org/10.35290/rcui.v8n2.2021.441" TargetMode="External"/><Relationship Id="rId22" Type="http://schemas.openxmlformats.org/officeDocument/2006/relationships/hyperlink" Target="https://doi.org/10.3390/su14031493" TargetMode="External"/><Relationship Id="rId27" Type="http://schemas.openxmlformats.org/officeDocument/2006/relationships/hyperlink" Target="https://doi.org/10.1016/j.labeco.2022.102197" TargetMode="External"/><Relationship Id="rId30" Type="http://schemas.openxmlformats.org/officeDocument/2006/relationships/hyperlink" Target="https://doi.org/10.1007/s10956-019-09803-w" TargetMode="External"/><Relationship Id="rId35" Type="http://schemas.openxmlformats.org/officeDocument/2006/relationships/hyperlink" Target="https://doi.org/10.6018/red.410011" TargetMode="External"/><Relationship Id="rId43" Type="http://schemas.openxmlformats.org/officeDocument/2006/relationships/hyperlink" Target="https://doi.org/10.15517/eci.v13i2.54814" TargetMode="External"/><Relationship Id="rId48" Type="http://schemas.openxmlformats.org/officeDocument/2006/relationships/hyperlink" Target="https://doi.org/10.1080/23311886.2023.2276986" TargetMode="External"/><Relationship Id="rId56"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hyperlink" Target="https://doi.org/10.1145/1118178.1118215" TargetMode="External"/><Relationship Id="rId3" Type="http://schemas.openxmlformats.org/officeDocument/2006/relationships/settings" Target="settings.xml"/><Relationship Id="rId12" Type="http://schemas.openxmlformats.org/officeDocument/2006/relationships/hyperlink" Target="https://doi.org/10.3390/su151612462" TargetMode="External"/><Relationship Id="rId17" Type="http://schemas.openxmlformats.org/officeDocument/2006/relationships/hyperlink" Target="https://doi.org/10.1109/TLT.2022.3180588" TargetMode="External"/><Relationship Id="rId25" Type="http://schemas.openxmlformats.org/officeDocument/2006/relationships/hyperlink" Target="https://doi.org/10.1080/14794802.2020.1852104" TargetMode="External"/><Relationship Id="rId33" Type="http://schemas.openxmlformats.org/officeDocument/2006/relationships/hyperlink" Target="https://doi.org/10.1186/s41239-022-00347-5" TargetMode="External"/><Relationship Id="rId38" Type="http://schemas.openxmlformats.org/officeDocument/2006/relationships/hyperlink" Target="https://doi.org/10.1108/EJTD-04-2020-0078" TargetMode="External"/><Relationship Id="rId46" Type="http://schemas.openxmlformats.org/officeDocument/2006/relationships/hyperlink" Target="https://doi.org/10.3390/educsci12070463" TargetMode="External"/><Relationship Id="rId59" Type="http://schemas.openxmlformats.org/officeDocument/2006/relationships/footer" Target="footer3.xml"/><Relationship Id="rId20" Type="http://schemas.openxmlformats.org/officeDocument/2006/relationships/hyperlink" Target="https://doi.org/10.1108/IJEM-10-2018-0303" TargetMode="External"/><Relationship Id="rId41" Type="http://schemas.openxmlformats.org/officeDocument/2006/relationships/hyperlink" Target="https://doi.org/10.1108/JEEE-09-2022-0257"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proceedings2022083010" TargetMode="External"/><Relationship Id="rId23" Type="http://schemas.openxmlformats.org/officeDocument/2006/relationships/hyperlink" Target="https://doi.org/10.1007/s11528-016-0098-4" TargetMode="External"/><Relationship Id="rId28" Type="http://schemas.openxmlformats.org/officeDocument/2006/relationships/hyperlink" Target="https://doi.org/10.1063/5.0102618" TargetMode="External"/><Relationship Id="rId36" Type="http://schemas.openxmlformats.org/officeDocument/2006/relationships/hyperlink" Target="https://doi.org/10.1002/cae.22295" TargetMode="External"/><Relationship Id="rId49" Type="http://schemas.openxmlformats.org/officeDocument/2006/relationships/hyperlink" Target="https://doi.org/10.1108/ILS-06-2023-0072" TargetMode="External"/><Relationship Id="rId57" Type="http://schemas.openxmlformats.org/officeDocument/2006/relationships/footer" Target="footer2.xml"/><Relationship Id="rId10" Type="http://schemas.openxmlformats.org/officeDocument/2006/relationships/hyperlink" Target="https://doi.org/10.4018/IJICTE.336559" TargetMode="External"/><Relationship Id="rId31" Type="http://schemas.openxmlformats.org/officeDocument/2006/relationships/hyperlink" Target="https://doi.org/10.1016/j.tre.2023.103254" TargetMode="External"/><Relationship Id="rId44" Type="http://schemas.openxmlformats.org/officeDocument/2006/relationships/hyperlink" Target="https://doi.org/10.34256/ajir1917" TargetMode="External"/><Relationship Id="rId52" Type="http://schemas.openxmlformats.org/officeDocument/2006/relationships/hyperlink" Target="https://doi.org/10.1080/2331186X.2022.2098929"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s-MX"/>
        </a:p>
      </c:txPr>
    </c:title>
    <c:autoTitleDeleted val="0"/>
    <c:plotArea>
      <c:layout/>
      <c:doughnutChart>
        <c:varyColors val="1"/>
        <c:ser>
          <c:idx val="0"/>
          <c:order val="0"/>
          <c:tx>
            <c:strRef>
              <c:f>Hoja1!$B$1</c:f>
              <c:strCache>
                <c:ptCount val="1"/>
                <c:pt idx="0">
                  <c:v>Género</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82A-6A4E-A402-34B3EFFCE424}"/>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82A-6A4E-A402-34B3EFFCE424}"/>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82A-6A4E-A402-34B3EFFCE424}"/>
              </c:ext>
            </c:extLst>
          </c:dPt>
          <c:dLbls>
            <c:dLbl>
              <c:idx val="0"/>
              <c:tx>
                <c:rich>
                  <a:bodyPr/>
                  <a:lstStyle/>
                  <a:p>
                    <a:fld id="{3A55F459-D0F9-4522-B4E6-53B1D34E2FE5}" type="VALUE">
                      <a:rPr lang="en-US"/>
                      <a:pPr/>
                      <a:t>[VALOR]</a:t>
                    </a:fld>
                    <a:r>
                      <a:rPr lang="en-US"/>
                      <a:t>%</a:t>
                    </a:r>
                  </a:p>
                </c:rich>
              </c:tx>
              <c:showLegendKey val="0"/>
              <c:showVal val="0"/>
              <c:showCatName val="0"/>
              <c:showSerName val="0"/>
              <c:showPercent val="1"/>
              <c:showBubbleSize val="0"/>
              <c:extLst>
                <c:ext xmlns:c15="http://schemas.microsoft.com/office/drawing/2012/chart" uri="{CE6537A1-D6FC-4f65-9D91-7224C49458BB}">
                  <c15:layout>
                    <c:manualLayout>
                      <c:w val="9.930379746835441E-2"/>
                      <c:h val="7.0489109728219451E-2"/>
                    </c:manualLayout>
                  </c15:layout>
                  <c15:dlblFieldTable/>
                  <c15:showDataLabelsRange val="0"/>
                </c:ext>
                <c:ext xmlns:c16="http://schemas.microsoft.com/office/drawing/2014/chart" uri="{C3380CC4-5D6E-409C-BE32-E72D297353CC}">
                  <c16:uniqueId val="{00000001-482A-6A4E-A402-34B3EFFCE424}"/>
                </c:ext>
              </c:extLst>
            </c:dLbl>
            <c:dLbl>
              <c:idx val="1"/>
              <c:tx>
                <c:rich>
                  <a:bodyPr/>
                  <a:lstStyle/>
                  <a:p>
                    <a:fld id="{0999327E-7C3D-4BD0-AB80-364DB1C70943}" type="VALUE">
                      <a:rPr lang="en-US"/>
                      <a:pPr/>
                      <a:t>[VALOR]</a:t>
                    </a:fld>
                    <a:r>
                      <a:rPr lang="en-US"/>
                      <a:t>%</a:t>
                    </a:r>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82A-6A4E-A402-34B3EFFCE424}"/>
                </c:ext>
              </c:extLst>
            </c:dLbl>
            <c:dLbl>
              <c:idx val="2"/>
              <c:tx>
                <c:rich>
                  <a:bodyPr/>
                  <a:lstStyle/>
                  <a:p>
                    <a:r>
                      <a:rPr lang="en-US"/>
                      <a:t>50.60%</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82A-6A4E-A402-34B3EFFCE42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Prefiere no responder</c:v>
                </c:pt>
                <c:pt idx="1">
                  <c:v>Masculino</c:v>
                </c:pt>
                <c:pt idx="2">
                  <c:v>Femenino</c:v>
                </c:pt>
              </c:strCache>
            </c:strRef>
          </c:cat>
          <c:val>
            <c:numRef>
              <c:f>Hoja1!$B$2:$B$4</c:f>
              <c:numCache>
                <c:formatCode>General</c:formatCode>
                <c:ptCount val="3"/>
                <c:pt idx="0">
                  <c:v>0.6</c:v>
                </c:pt>
                <c:pt idx="1">
                  <c:v>48.8</c:v>
                </c:pt>
                <c:pt idx="2">
                  <c:v>50.6</c:v>
                </c:pt>
              </c:numCache>
            </c:numRef>
          </c:val>
          <c:extLst>
            <c:ext xmlns:c16="http://schemas.microsoft.com/office/drawing/2014/chart" uri="{C3380CC4-5D6E-409C-BE32-E72D297353CC}">
              <c16:uniqueId val="{00000006-482A-6A4E-A402-34B3EFFCE42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Edad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Frecuencia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Hoja1!$A$2:$A$8</c:f>
              <c:strCache>
                <c:ptCount val="7"/>
                <c:pt idx="0">
                  <c:v>18 años o menos</c:v>
                </c:pt>
                <c:pt idx="1">
                  <c:v>19 años</c:v>
                </c:pt>
                <c:pt idx="2">
                  <c:v>20 años</c:v>
                </c:pt>
                <c:pt idx="3">
                  <c:v>21 años</c:v>
                </c:pt>
                <c:pt idx="4">
                  <c:v>22 años</c:v>
                </c:pt>
                <c:pt idx="5">
                  <c:v>23 años</c:v>
                </c:pt>
                <c:pt idx="6">
                  <c:v>24 años o más</c:v>
                </c:pt>
              </c:strCache>
            </c:strRef>
          </c:cat>
          <c:val>
            <c:numRef>
              <c:f>Hoja1!$B$2:$B$8</c:f>
              <c:numCache>
                <c:formatCode>General</c:formatCode>
                <c:ptCount val="7"/>
                <c:pt idx="0">
                  <c:v>17</c:v>
                </c:pt>
                <c:pt idx="1">
                  <c:v>29</c:v>
                </c:pt>
                <c:pt idx="2">
                  <c:v>20</c:v>
                </c:pt>
                <c:pt idx="3">
                  <c:v>20</c:v>
                </c:pt>
                <c:pt idx="4">
                  <c:v>8</c:v>
                </c:pt>
                <c:pt idx="5">
                  <c:v>2</c:v>
                </c:pt>
                <c:pt idx="6">
                  <c:v>4</c:v>
                </c:pt>
              </c:numCache>
            </c:numRef>
          </c:val>
          <c:extLst>
            <c:ext xmlns:c16="http://schemas.microsoft.com/office/drawing/2014/chart" uri="{C3380CC4-5D6E-409C-BE32-E72D297353CC}">
              <c16:uniqueId val="{00000000-6385-204D-AD05-117D61392AFC}"/>
            </c:ext>
          </c:extLst>
        </c:ser>
        <c:dLbls>
          <c:showLegendKey val="0"/>
          <c:showVal val="0"/>
          <c:showCatName val="0"/>
          <c:showSerName val="0"/>
          <c:showPercent val="0"/>
          <c:showBubbleSize val="0"/>
        </c:dLbls>
        <c:gapWidth val="115"/>
        <c:overlap val="-20"/>
        <c:axId val="1111410527"/>
        <c:axId val="1111411967"/>
      </c:barChart>
      <c:catAx>
        <c:axId val="1111410527"/>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1411967"/>
        <c:crosses val="autoZero"/>
        <c:auto val="1"/>
        <c:lblAlgn val="ctr"/>
        <c:lblOffset val="100"/>
        <c:noMultiLvlLbl val="0"/>
      </c:catAx>
      <c:valAx>
        <c:axId val="1111411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1410527"/>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26</Pages>
  <Words>8445</Words>
  <Characters>46451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Santillán</cp:lastModifiedBy>
  <cp:revision>14</cp:revision>
  <dcterms:created xsi:type="dcterms:W3CDTF">2026-01-20T04:37:00Z</dcterms:created>
  <dcterms:modified xsi:type="dcterms:W3CDTF">2026-04-09T23:32:00Z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f339daa6-2025-4784-a75f-616ad7e2c3e4</vt:lpwstr>
  </property>
</Properties>
</file>