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C2E65" w14:textId="25661081" w:rsidR="00AC4363" w:rsidRPr="008E3143" w:rsidRDefault="008E3143" w:rsidP="00AC4363">
      <w:pPr>
        <w:spacing w:before="240" w:line="360" w:lineRule="auto"/>
        <w:jc w:val="right"/>
        <w:rPr>
          <w:rFonts w:eastAsiaTheme="minorHAnsi"/>
          <w:b/>
          <w:bCs/>
          <w:i/>
          <w:iCs/>
          <w:kern w:val="2"/>
          <w:lang w:eastAsia="en-US"/>
          <w14:ligatures w14:val="standardContextual"/>
        </w:rPr>
      </w:pPr>
      <w:r w:rsidRPr="008E3143">
        <w:rPr>
          <w:rFonts w:eastAsiaTheme="minorHAnsi"/>
          <w:b/>
          <w:bCs/>
          <w:i/>
          <w:iCs/>
          <w:kern w:val="2"/>
          <w:lang w:eastAsia="en-US"/>
          <w14:ligatures w14:val="standardContextual"/>
        </w:rPr>
        <w:t>https://doi.org/10.23913/ride.v16i31.2637</w:t>
      </w:r>
    </w:p>
    <w:p w14:paraId="250A7651" w14:textId="507F0A79" w:rsidR="00AC4363" w:rsidRDefault="00AC4363" w:rsidP="00AC4363">
      <w:pPr>
        <w:spacing w:before="240" w:line="360" w:lineRule="auto"/>
        <w:jc w:val="right"/>
        <w:rPr>
          <w:rFonts w:eastAsiaTheme="minorHAnsi"/>
          <w:b/>
          <w:bCs/>
          <w:kern w:val="2"/>
          <w:lang w:eastAsia="en-US"/>
          <w14:ligatures w14:val="standardContextual"/>
        </w:rPr>
      </w:pPr>
      <w:r w:rsidRPr="00693E3A">
        <w:rPr>
          <w:b/>
          <w:bCs/>
          <w:i/>
          <w:iCs/>
          <w:color w:val="000000" w:themeColor="text1"/>
        </w:rPr>
        <w:t>Artículos científicos</w:t>
      </w:r>
    </w:p>
    <w:p w14:paraId="13896A42" w14:textId="6B2C7ED4" w:rsidR="00132C22" w:rsidRPr="00AC4363" w:rsidRDefault="00D1447E" w:rsidP="00AC4363">
      <w:pPr>
        <w:spacing w:after="0" w:line="276" w:lineRule="auto"/>
        <w:jc w:val="right"/>
        <w:rPr>
          <w:rFonts w:asciiTheme="minorHAnsi" w:eastAsiaTheme="minorHAnsi" w:hAnsiTheme="minorHAnsi" w:cstheme="minorHAnsi"/>
          <w:b/>
          <w:bCs/>
          <w:kern w:val="2"/>
          <w:sz w:val="32"/>
          <w:szCs w:val="32"/>
          <w:lang w:eastAsia="en-US"/>
          <w14:ligatures w14:val="standardContextual"/>
        </w:rPr>
      </w:pPr>
      <w:r w:rsidRPr="00AC4363">
        <w:rPr>
          <w:rFonts w:asciiTheme="minorHAnsi" w:eastAsiaTheme="minorHAnsi" w:hAnsiTheme="minorHAnsi" w:cstheme="minorHAnsi"/>
          <w:b/>
          <w:bCs/>
          <w:kern w:val="2"/>
          <w:sz w:val="32"/>
          <w:szCs w:val="32"/>
          <w:lang w:eastAsia="en-US"/>
          <w14:ligatures w14:val="standardContextual"/>
        </w:rPr>
        <w:t xml:space="preserve">Diseño y Estandarización </w:t>
      </w:r>
      <w:r w:rsidR="0098348F" w:rsidRPr="00AC4363">
        <w:rPr>
          <w:rFonts w:asciiTheme="minorHAnsi" w:eastAsiaTheme="minorHAnsi" w:hAnsiTheme="minorHAnsi" w:cstheme="minorHAnsi"/>
          <w:b/>
          <w:bCs/>
          <w:kern w:val="2"/>
          <w:sz w:val="32"/>
          <w:szCs w:val="32"/>
          <w:lang w:eastAsia="en-US"/>
          <w14:ligatures w14:val="standardContextual"/>
        </w:rPr>
        <w:t xml:space="preserve">Estadística </w:t>
      </w:r>
      <w:r w:rsidRPr="00AC4363">
        <w:rPr>
          <w:rFonts w:asciiTheme="minorHAnsi" w:eastAsiaTheme="minorHAnsi" w:hAnsiTheme="minorHAnsi" w:cstheme="minorHAnsi"/>
          <w:b/>
          <w:bCs/>
          <w:kern w:val="2"/>
          <w:sz w:val="32"/>
          <w:szCs w:val="32"/>
          <w:lang w:eastAsia="en-US"/>
          <w14:ligatures w14:val="standardContextual"/>
        </w:rPr>
        <w:t>de un</w:t>
      </w:r>
      <w:r w:rsidR="007B5AD0" w:rsidRPr="00AC4363">
        <w:rPr>
          <w:rFonts w:asciiTheme="minorHAnsi" w:eastAsiaTheme="minorHAnsi" w:hAnsiTheme="minorHAnsi" w:cstheme="minorHAnsi"/>
          <w:b/>
          <w:bCs/>
          <w:kern w:val="2"/>
          <w:sz w:val="32"/>
          <w:szCs w:val="32"/>
          <w:lang w:eastAsia="en-US"/>
          <w14:ligatures w14:val="standardContextual"/>
        </w:rPr>
        <w:t xml:space="preserve"> </w:t>
      </w:r>
      <w:r w:rsidRPr="00AC4363">
        <w:rPr>
          <w:rFonts w:asciiTheme="minorHAnsi" w:eastAsiaTheme="minorHAnsi" w:hAnsiTheme="minorHAnsi" w:cstheme="minorHAnsi"/>
          <w:b/>
          <w:bCs/>
          <w:kern w:val="2"/>
          <w:sz w:val="32"/>
          <w:szCs w:val="32"/>
          <w:lang w:eastAsia="en-US"/>
          <w14:ligatures w14:val="standardContextual"/>
        </w:rPr>
        <w:t>Instrumento para la Evaluación de Competencias Profesionales</w:t>
      </w:r>
      <w:r w:rsidR="004623F5" w:rsidRPr="00AC4363">
        <w:rPr>
          <w:rFonts w:asciiTheme="minorHAnsi" w:eastAsiaTheme="minorHAnsi" w:hAnsiTheme="minorHAnsi" w:cstheme="minorHAnsi"/>
          <w:b/>
          <w:bCs/>
          <w:kern w:val="2"/>
          <w:sz w:val="32"/>
          <w:szCs w:val="32"/>
          <w:lang w:eastAsia="en-US"/>
          <w14:ligatures w14:val="standardContextual"/>
        </w:rPr>
        <w:t xml:space="preserve"> en Educación Superior</w:t>
      </w:r>
    </w:p>
    <w:p w14:paraId="7D20E8D8" w14:textId="394BAB6D" w:rsidR="003C3DD6" w:rsidRPr="00AC4363" w:rsidRDefault="00AC4363" w:rsidP="00AC4363">
      <w:pPr>
        <w:spacing w:after="0" w:line="276" w:lineRule="auto"/>
        <w:jc w:val="right"/>
        <w:rPr>
          <w:rFonts w:asciiTheme="minorHAnsi" w:eastAsiaTheme="minorHAnsi" w:hAnsiTheme="minorHAnsi" w:cstheme="minorHAnsi"/>
          <w:b/>
          <w:bCs/>
          <w:i/>
          <w:iCs/>
          <w:kern w:val="2"/>
          <w:sz w:val="28"/>
          <w:szCs w:val="28"/>
          <w:lang w:val="en-US" w:eastAsia="en-US"/>
          <w14:ligatures w14:val="standardContextual"/>
        </w:rPr>
      </w:pPr>
      <w:r w:rsidRPr="008E3143">
        <w:rPr>
          <w:rFonts w:asciiTheme="minorHAnsi" w:eastAsiaTheme="minorHAnsi" w:hAnsiTheme="minorHAnsi" w:cstheme="minorHAnsi"/>
          <w:b/>
          <w:bCs/>
          <w:i/>
          <w:iCs/>
          <w:kern w:val="2"/>
          <w:sz w:val="28"/>
          <w:szCs w:val="28"/>
          <w:lang w:val="en-US" w:eastAsia="en-US"/>
          <w14:ligatures w14:val="standardContextual"/>
        </w:rPr>
        <w:br/>
      </w:r>
      <w:r w:rsidR="003C3DD6" w:rsidRPr="00AC4363">
        <w:rPr>
          <w:rFonts w:asciiTheme="minorHAnsi" w:eastAsiaTheme="minorHAnsi" w:hAnsiTheme="minorHAnsi" w:cstheme="minorHAnsi"/>
          <w:b/>
          <w:bCs/>
          <w:i/>
          <w:iCs/>
          <w:kern w:val="2"/>
          <w:sz w:val="28"/>
          <w:szCs w:val="28"/>
          <w:lang w:val="en-US" w:eastAsia="en-US"/>
          <w14:ligatures w14:val="standardContextual"/>
        </w:rPr>
        <w:t>Design and Standardization of an Instrument for the Educational Assessment of Professional Competencies in Higher Education</w:t>
      </w:r>
    </w:p>
    <w:p w14:paraId="606299B6" w14:textId="26FC34F7" w:rsidR="00AC4363" w:rsidRPr="00AC4363" w:rsidRDefault="00AC4363" w:rsidP="00AC4363">
      <w:pPr>
        <w:spacing w:after="0" w:line="276" w:lineRule="auto"/>
        <w:jc w:val="right"/>
        <w:rPr>
          <w:rFonts w:asciiTheme="minorHAnsi" w:eastAsiaTheme="minorHAnsi" w:hAnsiTheme="minorHAnsi" w:cstheme="minorHAnsi"/>
          <w:b/>
          <w:bCs/>
          <w:i/>
          <w:iCs/>
          <w:kern w:val="2"/>
          <w:sz w:val="28"/>
          <w:szCs w:val="28"/>
          <w:lang w:eastAsia="en-US"/>
          <w14:ligatures w14:val="standardContextual"/>
        </w:rPr>
      </w:pPr>
      <w:r w:rsidRPr="008E3143">
        <w:rPr>
          <w:rFonts w:asciiTheme="minorHAnsi" w:eastAsiaTheme="minorHAnsi" w:hAnsiTheme="minorHAnsi" w:cstheme="minorHAnsi"/>
          <w:b/>
          <w:bCs/>
          <w:i/>
          <w:iCs/>
          <w:kern w:val="2"/>
          <w:sz w:val="28"/>
          <w:szCs w:val="28"/>
          <w:lang w:eastAsia="en-US"/>
          <w14:ligatures w14:val="standardContextual"/>
        </w:rPr>
        <w:br/>
      </w:r>
      <w:proofErr w:type="spellStart"/>
      <w:r w:rsidRPr="00AC4363">
        <w:rPr>
          <w:rFonts w:asciiTheme="minorHAnsi" w:eastAsiaTheme="minorHAnsi" w:hAnsiTheme="minorHAnsi" w:cstheme="minorHAnsi"/>
          <w:b/>
          <w:bCs/>
          <w:i/>
          <w:iCs/>
          <w:kern w:val="2"/>
          <w:sz w:val="28"/>
          <w:szCs w:val="28"/>
          <w:lang w:eastAsia="en-US"/>
          <w14:ligatures w14:val="standardContextual"/>
        </w:rPr>
        <w:t>Desenho</w:t>
      </w:r>
      <w:proofErr w:type="spellEnd"/>
      <w:r w:rsidRPr="00AC4363">
        <w:rPr>
          <w:rFonts w:asciiTheme="minorHAnsi" w:eastAsiaTheme="minorHAnsi" w:hAnsiTheme="minorHAnsi" w:cstheme="minorHAnsi"/>
          <w:b/>
          <w:bCs/>
          <w:i/>
          <w:iCs/>
          <w:kern w:val="2"/>
          <w:sz w:val="28"/>
          <w:szCs w:val="28"/>
          <w:lang w:eastAsia="en-US"/>
          <w14:ligatures w14:val="standardContextual"/>
        </w:rPr>
        <w:t xml:space="preserve"> e </w:t>
      </w:r>
      <w:proofErr w:type="spellStart"/>
      <w:r w:rsidRPr="00AC4363">
        <w:rPr>
          <w:rFonts w:asciiTheme="minorHAnsi" w:eastAsiaTheme="minorHAnsi" w:hAnsiTheme="minorHAnsi" w:cstheme="minorHAnsi"/>
          <w:b/>
          <w:bCs/>
          <w:i/>
          <w:iCs/>
          <w:kern w:val="2"/>
          <w:sz w:val="28"/>
          <w:szCs w:val="28"/>
          <w:lang w:eastAsia="en-US"/>
          <w14:ligatures w14:val="standardContextual"/>
        </w:rPr>
        <w:t>Padronização</w:t>
      </w:r>
      <w:proofErr w:type="spellEnd"/>
      <w:r w:rsidRPr="00AC4363">
        <w:rPr>
          <w:rFonts w:asciiTheme="minorHAnsi" w:eastAsiaTheme="minorHAnsi" w:hAnsiTheme="minorHAnsi" w:cstheme="minorHAnsi"/>
          <w:b/>
          <w:bCs/>
          <w:i/>
          <w:iCs/>
          <w:kern w:val="2"/>
          <w:sz w:val="28"/>
          <w:szCs w:val="28"/>
          <w:lang w:eastAsia="en-US"/>
          <w14:ligatures w14:val="standardContextual"/>
        </w:rPr>
        <w:t xml:space="preserve"> </w:t>
      </w:r>
      <w:proofErr w:type="spellStart"/>
      <w:r w:rsidRPr="00AC4363">
        <w:rPr>
          <w:rFonts w:asciiTheme="minorHAnsi" w:eastAsiaTheme="minorHAnsi" w:hAnsiTheme="minorHAnsi" w:cstheme="minorHAnsi"/>
          <w:b/>
          <w:bCs/>
          <w:i/>
          <w:iCs/>
          <w:kern w:val="2"/>
          <w:sz w:val="28"/>
          <w:szCs w:val="28"/>
          <w:lang w:eastAsia="en-US"/>
          <w14:ligatures w14:val="standardContextual"/>
        </w:rPr>
        <w:t>Estatística</w:t>
      </w:r>
      <w:proofErr w:type="spellEnd"/>
      <w:r w:rsidRPr="00AC4363">
        <w:rPr>
          <w:rFonts w:asciiTheme="minorHAnsi" w:eastAsiaTheme="minorHAnsi" w:hAnsiTheme="minorHAnsi" w:cstheme="minorHAnsi"/>
          <w:b/>
          <w:bCs/>
          <w:i/>
          <w:iCs/>
          <w:kern w:val="2"/>
          <w:sz w:val="28"/>
          <w:szCs w:val="28"/>
          <w:lang w:eastAsia="en-US"/>
          <w14:ligatures w14:val="standardContextual"/>
        </w:rPr>
        <w:t xml:space="preserve"> de </w:t>
      </w:r>
      <w:proofErr w:type="spellStart"/>
      <w:r w:rsidRPr="00AC4363">
        <w:rPr>
          <w:rFonts w:asciiTheme="minorHAnsi" w:eastAsiaTheme="minorHAnsi" w:hAnsiTheme="minorHAnsi" w:cstheme="minorHAnsi"/>
          <w:b/>
          <w:bCs/>
          <w:i/>
          <w:iCs/>
          <w:kern w:val="2"/>
          <w:sz w:val="28"/>
          <w:szCs w:val="28"/>
          <w:lang w:eastAsia="en-US"/>
          <w14:ligatures w14:val="standardContextual"/>
        </w:rPr>
        <w:t>um</w:t>
      </w:r>
      <w:proofErr w:type="spellEnd"/>
      <w:r w:rsidRPr="00AC4363">
        <w:rPr>
          <w:rFonts w:asciiTheme="minorHAnsi" w:eastAsiaTheme="minorHAnsi" w:hAnsiTheme="minorHAnsi" w:cstheme="minorHAnsi"/>
          <w:b/>
          <w:bCs/>
          <w:i/>
          <w:iCs/>
          <w:kern w:val="2"/>
          <w:sz w:val="28"/>
          <w:szCs w:val="28"/>
          <w:lang w:eastAsia="en-US"/>
          <w14:ligatures w14:val="standardContextual"/>
        </w:rPr>
        <w:t xml:space="preserve"> Instrumento para </w:t>
      </w:r>
      <w:proofErr w:type="spellStart"/>
      <w:r w:rsidRPr="00AC4363">
        <w:rPr>
          <w:rFonts w:asciiTheme="minorHAnsi" w:eastAsiaTheme="minorHAnsi" w:hAnsiTheme="minorHAnsi" w:cstheme="minorHAnsi"/>
          <w:b/>
          <w:bCs/>
          <w:i/>
          <w:iCs/>
          <w:kern w:val="2"/>
          <w:sz w:val="28"/>
          <w:szCs w:val="28"/>
          <w:lang w:eastAsia="en-US"/>
          <w14:ligatures w14:val="standardContextual"/>
        </w:rPr>
        <w:t>Avaliação</w:t>
      </w:r>
      <w:proofErr w:type="spellEnd"/>
      <w:r w:rsidRPr="00AC4363">
        <w:rPr>
          <w:rFonts w:asciiTheme="minorHAnsi" w:eastAsiaTheme="minorHAnsi" w:hAnsiTheme="minorHAnsi" w:cstheme="minorHAnsi"/>
          <w:b/>
          <w:bCs/>
          <w:i/>
          <w:iCs/>
          <w:kern w:val="2"/>
          <w:sz w:val="28"/>
          <w:szCs w:val="28"/>
          <w:lang w:eastAsia="en-US"/>
          <w14:ligatures w14:val="standardContextual"/>
        </w:rPr>
        <w:t xml:space="preserve"> de </w:t>
      </w:r>
      <w:proofErr w:type="spellStart"/>
      <w:r w:rsidRPr="00AC4363">
        <w:rPr>
          <w:rFonts w:asciiTheme="minorHAnsi" w:eastAsiaTheme="minorHAnsi" w:hAnsiTheme="minorHAnsi" w:cstheme="minorHAnsi"/>
          <w:b/>
          <w:bCs/>
          <w:i/>
          <w:iCs/>
          <w:kern w:val="2"/>
          <w:sz w:val="28"/>
          <w:szCs w:val="28"/>
          <w:lang w:eastAsia="en-US"/>
          <w14:ligatures w14:val="standardContextual"/>
        </w:rPr>
        <w:t>Competências</w:t>
      </w:r>
      <w:proofErr w:type="spellEnd"/>
      <w:r w:rsidRPr="00AC4363">
        <w:rPr>
          <w:rFonts w:asciiTheme="minorHAnsi" w:eastAsiaTheme="minorHAnsi" w:hAnsiTheme="minorHAnsi" w:cstheme="minorHAnsi"/>
          <w:b/>
          <w:bCs/>
          <w:i/>
          <w:iCs/>
          <w:kern w:val="2"/>
          <w:sz w:val="28"/>
          <w:szCs w:val="28"/>
          <w:lang w:eastAsia="en-US"/>
          <w14:ligatures w14:val="standardContextual"/>
        </w:rPr>
        <w:t xml:space="preserve"> </w:t>
      </w:r>
      <w:proofErr w:type="spellStart"/>
      <w:r w:rsidRPr="00AC4363">
        <w:rPr>
          <w:rFonts w:asciiTheme="minorHAnsi" w:eastAsiaTheme="minorHAnsi" w:hAnsiTheme="minorHAnsi" w:cstheme="minorHAnsi"/>
          <w:b/>
          <w:bCs/>
          <w:i/>
          <w:iCs/>
          <w:kern w:val="2"/>
          <w:sz w:val="28"/>
          <w:szCs w:val="28"/>
          <w:lang w:eastAsia="en-US"/>
          <w14:ligatures w14:val="standardContextual"/>
        </w:rPr>
        <w:t>Profissionais</w:t>
      </w:r>
      <w:proofErr w:type="spellEnd"/>
      <w:r w:rsidRPr="00AC4363">
        <w:rPr>
          <w:rFonts w:asciiTheme="minorHAnsi" w:eastAsiaTheme="minorHAnsi" w:hAnsiTheme="minorHAnsi" w:cstheme="minorHAnsi"/>
          <w:b/>
          <w:bCs/>
          <w:i/>
          <w:iCs/>
          <w:kern w:val="2"/>
          <w:sz w:val="28"/>
          <w:szCs w:val="28"/>
          <w:lang w:eastAsia="en-US"/>
          <w14:ligatures w14:val="standardContextual"/>
        </w:rPr>
        <w:t xml:space="preserve"> no </w:t>
      </w:r>
      <w:proofErr w:type="spellStart"/>
      <w:r w:rsidRPr="00AC4363">
        <w:rPr>
          <w:rFonts w:asciiTheme="minorHAnsi" w:eastAsiaTheme="minorHAnsi" w:hAnsiTheme="minorHAnsi" w:cstheme="minorHAnsi"/>
          <w:b/>
          <w:bCs/>
          <w:i/>
          <w:iCs/>
          <w:kern w:val="2"/>
          <w:sz w:val="28"/>
          <w:szCs w:val="28"/>
          <w:lang w:eastAsia="en-US"/>
          <w14:ligatures w14:val="standardContextual"/>
        </w:rPr>
        <w:t>Ensino</w:t>
      </w:r>
      <w:proofErr w:type="spellEnd"/>
      <w:r w:rsidRPr="00AC4363">
        <w:rPr>
          <w:rFonts w:asciiTheme="minorHAnsi" w:eastAsiaTheme="minorHAnsi" w:hAnsiTheme="minorHAnsi" w:cstheme="minorHAnsi"/>
          <w:b/>
          <w:bCs/>
          <w:i/>
          <w:iCs/>
          <w:kern w:val="2"/>
          <w:sz w:val="28"/>
          <w:szCs w:val="28"/>
          <w:lang w:eastAsia="en-US"/>
          <w14:ligatures w14:val="standardContextual"/>
        </w:rPr>
        <w:t xml:space="preserve"> Superior</w:t>
      </w:r>
    </w:p>
    <w:p w14:paraId="77E22FFC" w14:textId="77777777" w:rsidR="00AC4363" w:rsidRDefault="00AC4363" w:rsidP="00D1447E">
      <w:pPr>
        <w:spacing w:after="0" w:line="360" w:lineRule="auto"/>
        <w:jc w:val="right"/>
        <w:rPr>
          <w:rFonts w:eastAsiaTheme="minorHAnsi"/>
          <w:b/>
          <w:bCs/>
          <w:kern w:val="2"/>
          <w:lang w:eastAsia="en-US"/>
          <w14:ligatures w14:val="standardContextual"/>
        </w:rPr>
      </w:pPr>
    </w:p>
    <w:p w14:paraId="5E1680B1" w14:textId="34889C55" w:rsidR="00D1447E" w:rsidRPr="00AC4363" w:rsidRDefault="00D1447E" w:rsidP="00AC4363">
      <w:pPr>
        <w:spacing w:after="0" w:line="276" w:lineRule="auto"/>
        <w:jc w:val="right"/>
        <w:rPr>
          <w:rFonts w:asciiTheme="minorHAnsi" w:eastAsiaTheme="minorHAnsi" w:hAnsiTheme="minorHAnsi" w:cstheme="minorHAnsi"/>
          <w:b/>
          <w:bCs/>
          <w:kern w:val="2"/>
          <w:lang w:eastAsia="en-US"/>
          <w14:ligatures w14:val="standardContextual"/>
        </w:rPr>
      </w:pPr>
      <w:r w:rsidRPr="00AC4363">
        <w:rPr>
          <w:rFonts w:asciiTheme="minorHAnsi" w:eastAsiaTheme="minorHAnsi" w:hAnsiTheme="minorHAnsi" w:cstheme="minorHAnsi"/>
          <w:b/>
          <w:bCs/>
          <w:kern w:val="2"/>
          <w:lang w:eastAsia="en-US"/>
          <w14:ligatures w14:val="standardContextual"/>
        </w:rPr>
        <w:t>Albino Rodríguez-Díaz</w:t>
      </w:r>
    </w:p>
    <w:p w14:paraId="42EE150B" w14:textId="61B89F0F" w:rsidR="00D1447E" w:rsidRDefault="00D1447E" w:rsidP="00AC4363">
      <w:pPr>
        <w:spacing w:after="0" w:line="276" w:lineRule="auto"/>
        <w:jc w:val="right"/>
        <w:rPr>
          <w:rFonts w:eastAsiaTheme="minorHAnsi"/>
          <w:kern w:val="2"/>
          <w:lang w:eastAsia="en-US"/>
          <w14:ligatures w14:val="standardContextual"/>
        </w:rPr>
      </w:pPr>
      <w:r>
        <w:rPr>
          <w:rFonts w:eastAsiaTheme="minorHAnsi"/>
          <w:kern w:val="2"/>
          <w:lang w:eastAsia="en-US"/>
          <w14:ligatures w14:val="standardContextual"/>
        </w:rPr>
        <w:t>Tecnológico Nacional de México, Instituto Tecnológico de Tepic, México</w:t>
      </w:r>
    </w:p>
    <w:p w14:paraId="7D83E228" w14:textId="71A9F380" w:rsidR="00D1447E" w:rsidRPr="00AC4363" w:rsidRDefault="00D1447E" w:rsidP="00AC4363">
      <w:pPr>
        <w:spacing w:after="0" w:line="276" w:lineRule="auto"/>
        <w:jc w:val="right"/>
        <w:rPr>
          <w:rFonts w:asciiTheme="minorHAnsi" w:eastAsiaTheme="minorHAnsi" w:hAnsiTheme="minorHAnsi" w:cstheme="minorHAnsi"/>
          <w:color w:val="FF0000"/>
          <w:kern w:val="2"/>
          <w:lang w:eastAsia="en-US"/>
          <w14:ligatures w14:val="standardContextual"/>
        </w:rPr>
      </w:pPr>
      <w:r w:rsidRPr="00AC4363">
        <w:rPr>
          <w:rFonts w:asciiTheme="minorHAnsi" w:eastAsiaTheme="minorHAnsi" w:hAnsiTheme="minorHAnsi" w:cstheme="minorHAnsi"/>
          <w:color w:val="FF0000"/>
          <w:kern w:val="2"/>
          <w:lang w:eastAsia="en-US"/>
          <w14:ligatures w14:val="standardContextual"/>
        </w:rPr>
        <w:t>arodriguez@ittepic.edu.mx</w:t>
      </w:r>
    </w:p>
    <w:p w14:paraId="0D8B2B83" w14:textId="214896EB" w:rsidR="00D1447E" w:rsidRPr="00D1447E" w:rsidRDefault="00D1447E" w:rsidP="00AC4363">
      <w:pPr>
        <w:spacing w:after="0" w:line="276" w:lineRule="auto"/>
        <w:jc w:val="right"/>
        <w:rPr>
          <w:rFonts w:eastAsiaTheme="minorHAnsi"/>
          <w:kern w:val="2"/>
          <w:lang w:eastAsia="en-US"/>
          <w14:ligatures w14:val="standardContextual"/>
        </w:rPr>
      </w:pPr>
      <w:r w:rsidRPr="00D1447E">
        <w:rPr>
          <w:rFonts w:eastAsiaTheme="minorHAnsi"/>
          <w:lang w:eastAsia="en-US"/>
          <w14:ligatures w14:val="standardContextual"/>
        </w:rPr>
        <w:t>https://orcid.org/0000-0002-3257-8478</w:t>
      </w:r>
    </w:p>
    <w:p w14:paraId="55E9B152" w14:textId="77777777" w:rsidR="00D1447E" w:rsidRDefault="00D1447E" w:rsidP="00AC4363">
      <w:pPr>
        <w:spacing w:after="0" w:line="276" w:lineRule="auto"/>
        <w:jc w:val="right"/>
        <w:rPr>
          <w:rFonts w:eastAsiaTheme="minorHAnsi"/>
          <w:kern w:val="2"/>
          <w:lang w:eastAsia="en-US"/>
          <w14:ligatures w14:val="standardContextual"/>
        </w:rPr>
      </w:pPr>
    </w:p>
    <w:p w14:paraId="3B5F451E" w14:textId="179A6CFC" w:rsidR="00D1447E" w:rsidRPr="00AC4363" w:rsidRDefault="00D1447E" w:rsidP="00AC4363">
      <w:pPr>
        <w:spacing w:after="0" w:line="276" w:lineRule="auto"/>
        <w:jc w:val="right"/>
        <w:rPr>
          <w:rFonts w:asciiTheme="minorHAnsi" w:eastAsiaTheme="minorHAnsi" w:hAnsiTheme="minorHAnsi" w:cstheme="minorHAnsi"/>
          <w:b/>
          <w:bCs/>
          <w:kern w:val="2"/>
          <w:lang w:eastAsia="en-US"/>
          <w14:ligatures w14:val="standardContextual"/>
        </w:rPr>
      </w:pPr>
      <w:r w:rsidRPr="00AC4363">
        <w:rPr>
          <w:rFonts w:asciiTheme="minorHAnsi" w:eastAsiaTheme="minorHAnsi" w:hAnsiTheme="minorHAnsi" w:cstheme="minorHAnsi"/>
          <w:b/>
          <w:bCs/>
          <w:kern w:val="2"/>
          <w:lang w:eastAsia="en-US"/>
          <w14:ligatures w14:val="standardContextual"/>
        </w:rPr>
        <w:t>Jovita Romero-Islas</w:t>
      </w:r>
    </w:p>
    <w:p w14:paraId="01487EE3" w14:textId="77777777" w:rsidR="00D1447E" w:rsidRDefault="00D1447E" w:rsidP="00AC4363">
      <w:pPr>
        <w:spacing w:after="0" w:line="276" w:lineRule="auto"/>
        <w:jc w:val="right"/>
        <w:rPr>
          <w:rFonts w:eastAsiaTheme="minorHAnsi"/>
          <w:kern w:val="2"/>
          <w:lang w:eastAsia="en-US"/>
          <w14:ligatures w14:val="standardContextual"/>
        </w:rPr>
      </w:pPr>
      <w:r>
        <w:rPr>
          <w:rFonts w:eastAsiaTheme="minorHAnsi"/>
          <w:kern w:val="2"/>
          <w:lang w:eastAsia="en-US"/>
          <w14:ligatures w14:val="standardContextual"/>
        </w:rPr>
        <w:t>Tecnológico Nacional de México, Instituto Tecnológico de Tepic, México</w:t>
      </w:r>
    </w:p>
    <w:p w14:paraId="23E37808" w14:textId="5E42DBDF" w:rsidR="00D1447E" w:rsidRPr="00AC4363" w:rsidRDefault="00D1447E" w:rsidP="00AC4363">
      <w:pPr>
        <w:spacing w:after="0" w:line="276" w:lineRule="auto"/>
        <w:jc w:val="right"/>
        <w:rPr>
          <w:rFonts w:asciiTheme="minorHAnsi" w:eastAsiaTheme="minorHAnsi" w:hAnsiTheme="minorHAnsi" w:cstheme="minorHAnsi"/>
          <w:color w:val="FF0000"/>
          <w:kern w:val="2"/>
          <w:lang w:eastAsia="en-US"/>
          <w14:ligatures w14:val="standardContextual"/>
        </w:rPr>
      </w:pPr>
      <w:r w:rsidRPr="00AC4363">
        <w:rPr>
          <w:rFonts w:asciiTheme="minorHAnsi" w:eastAsiaTheme="minorHAnsi" w:hAnsiTheme="minorHAnsi" w:cstheme="minorHAnsi"/>
          <w:color w:val="FF0000"/>
        </w:rPr>
        <w:t>jromero@ittepic.edu.mx</w:t>
      </w:r>
    </w:p>
    <w:p w14:paraId="0CD505E4" w14:textId="598BD7FE" w:rsidR="00D1447E" w:rsidRDefault="00D1447E" w:rsidP="00AC4363">
      <w:pPr>
        <w:spacing w:after="0" w:line="276" w:lineRule="auto"/>
        <w:jc w:val="right"/>
        <w:rPr>
          <w:rFonts w:eastAsiaTheme="minorHAnsi"/>
          <w:kern w:val="2"/>
          <w:lang w:eastAsia="en-US"/>
          <w14:ligatures w14:val="standardContextual"/>
        </w:rPr>
      </w:pPr>
      <w:r w:rsidRPr="00D1447E">
        <w:rPr>
          <w:rFonts w:eastAsiaTheme="minorHAnsi"/>
          <w:lang w:eastAsia="en-US"/>
          <w14:ligatures w14:val="standardContextual"/>
        </w:rPr>
        <w:t>https://orcid.org/0000-0002-</w:t>
      </w:r>
      <w:r>
        <w:rPr>
          <w:rFonts w:eastAsiaTheme="minorHAnsi"/>
          <w:lang w:eastAsia="en-US"/>
          <w14:ligatures w14:val="standardContextual"/>
        </w:rPr>
        <w:t>6506</w:t>
      </w:r>
      <w:r w:rsidRPr="00D1447E">
        <w:rPr>
          <w:rFonts w:eastAsiaTheme="minorHAnsi"/>
          <w:lang w:eastAsia="en-US"/>
          <w14:ligatures w14:val="standardContextual"/>
        </w:rPr>
        <w:t>-</w:t>
      </w:r>
      <w:r>
        <w:rPr>
          <w:rFonts w:eastAsiaTheme="minorHAnsi"/>
          <w:lang w:eastAsia="en-US"/>
          <w14:ligatures w14:val="standardContextual"/>
        </w:rPr>
        <w:t>1651</w:t>
      </w:r>
    </w:p>
    <w:p w14:paraId="177DC510" w14:textId="754F60FB" w:rsidR="00D1447E" w:rsidRDefault="00D1447E" w:rsidP="00AC4363">
      <w:pPr>
        <w:spacing w:after="0" w:line="276" w:lineRule="auto"/>
        <w:jc w:val="right"/>
        <w:rPr>
          <w:rFonts w:eastAsiaTheme="minorHAnsi"/>
          <w:kern w:val="2"/>
          <w:lang w:eastAsia="en-US"/>
          <w14:ligatures w14:val="standardContextual"/>
        </w:rPr>
      </w:pPr>
    </w:p>
    <w:p w14:paraId="75B13C49" w14:textId="2176449E" w:rsidR="00D1447E" w:rsidRPr="00AC4363" w:rsidRDefault="00D1447E" w:rsidP="00AC4363">
      <w:pPr>
        <w:spacing w:after="0" w:line="276" w:lineRule="auto"/>
        <w:jc w:val="right"/>
        <w:rPr>
          <w:rFonts w:asciiTheme="minorHAnsi" w:eastAsiaTheme="minorHAnsi" w:hAnsiTheme="minorHAnsi" w:cstheme="minorHAnsi"/>
          <w:b/>
          <w:bCs/>
          <w:kern w:val="2"/>
          <w:lang w:eastAsia="en-US"/>
          <w14:ligatures w14:val="standardContextual"/>
        </w:rPr>
      </w:pPr>
      <w:r w:rsidRPr="00AC4363">
        <w:rPr>
          <w:rFonts w:asciiTheme="minorHAnsi" w:eastAsiaTheme="minorHAnsi" w:hAnsiTheme="minorHAnsi" w:cstheme="minorHAnsi"/>
          <w:b/>
          <w:bCs/>
          <w:kern w:val="2"/>
          <w:lang w:eastAsia="en-US"/>
          <w14:ligatures w14:val="standardContextual"/>
        </w:rPr>
        <w:t>Julián González Borrayo</w:t>
      </w:r>
    </w:p>
    <w:p w14:paraId="6AEC7BB0" w14:textId="77777777" w:rsidR="00D1447E" w:rsidRDefault="00D1447E" w:rsidP="00AC4363">
      <w:pPr>
        <w:spacing w:after="0" w:line="276" w:lineRule="auto"/>
        <w:jc w:val="right"/>
        <w:rPr>
          <w:rFonts w:eastAsiaTheme="minorHAnsi"/>
          <w:kern w:val="2"/>
          <w:lang w:eastAsia="en-US"/>
          <w14:ligatures w14:val="standardContextual"/>
        </w:rPr>
      </w:pPr>
      <w:r>
        <w:rPr>
          <w:rFonts w:eastAsiaTheme="minorHAnsi"/>
          <w:kern w:val="2"/>
          <w:lang w:eastAsia="en-US"/>
          <w14:ligatures w14:val="standardContextual"/>
        </w:rPr>
        <w:t>Tecnológico Nacional de México, Instituto Tecnológico de Tepic, México</w:t>
      </w:r>
    </w:p>
    <w:p w14:paraId="273DCDB3" w14:textId="0316FBA1" w:rsidR="00D1447E" w:rsidRPr="00AC4363" w:rsidRDefault="00D1447E" w:rsidP="00AC4363">
      <w:pPr>
        <w:spacing w:after="0" w:line="276" w:lineRule="auto"/>
        <w:jc w:val="right"/>
        <w:rPr>
          <w:rFonts w:asciiTheme="minorHAnsi" w:eastAsiaTheme="minorHAnsi" w:hAnsiTheme="minorHAnsi" w:cstheme="minorHAnsi"/>
          <w:color w:val="FF0000"/>
        </w:rPr>
      </w:pPr>
      <w:r w:rsidRPr="00AC4363">
        <w:rPr>
          <w:rFonts w:asciiTheme="minorHAnsi" w:eastAsiaTheme="minorHAnsi" w:hAnsiTheme="minorHAnsi" w:cstheme="minorHAnsi"/>
          <w:color w:val="FF0000"/>
        </w:rPr>
        <w:t>jgonzalez@ittepic.edu.mx</w:t>
      </w:r>
    </w:p>
    <w:p w14:paraId="490D6D5A" w14:textId="1C3E67B1" w:rsidR="00D1447E" w:rsidRDefault="00D1447E" w:rsidP="00AC4363">
      <w:pPr>
        <w:spacing w:after="0" w:line="276" w:lineRule="auto"/>
        <w:jc w:val="right"/>
        <w:rPr>
          <w:rFonts w:eastAsiaTheme="minorHAnsi"/>
          <w:kern w:val="2"/>
          <w:lang w:eastAsia="en-US"/>
          <w14:ligatures w14:val="standardContextual"/>
        </w:rPr>
      </w:pPr>
      <w:r w:rsidRPr="00D1447E">
        <w:rPr>
          <w:rFonts w:eastAsiaTheme="minorHAnsi"/>
          <w:lang w:eastAsia="en-US"/>
          <w14:ligatures w14:val="standardContextual"/>
        </w:rPr>
        <w:t>https://orcid.org/000</w:t>
      </w:r>
      <w:r w:rsidR="004623F5">
        <w:rPr>
          <w:rFonts w:eastAsiaTheme="minorHAnsi"/>
          <w:lang w:eastAsia="en-US"/>
          <w14:ligatures w14:val="standardContextual"/>
        </w:rPr>
        <w:t>9</w:t>
      </w:r>
      <w:r w:rsidRPr="00D1447E">
        <w:rPr>
          <w:rFonts w:eastAsiaTheme="minorHAnsi"/>
          <w:lang w:eastAsia="en-US"/>
          <w14:ligatures w14:val="standardContextual"/>
        </w:rPr>
        <w:t>-000</w:t>
      </w:r>
      <w:r w:rsidR="004623F5">
        <w:rPr>
          <w:rFonts w:eastAsiaTheme="minorHAnsi"/>
          <w:lang w:eastAsia="en-US"/>
          <w14:ligatures w14:val="standardContextual"/>
        </w:rPr>
        <w:t>7-9946-5471</w:t>
      </w:r>
    </w:p>
    <w:p w14:paraId="34F30AA7" w14:textId="77777777" w:rsidR="00D1447E" w:rsidRDefault="00D1447E" w:rsidP="00AC4363">
      <w:pPr>
        <w:spacing w:after="0" w:line="276" w:lineRule="auto"/>
        <w:jc w:val="right"/>
        <w:rPr>
          <w:rFonts w:eastAsiaTheme="minorHAnsi"/>
          <w:kern w:val="2"/>
          <w:lang w:eastAsia="en-US"/>
          <w14:ligatures w14:val="standardContextual"/>
        </w:rPr>
      </w:pPr>
    </w:p>
    <w:p w14:paraId="1BD75AF9" w14:textId="65FDD74D" w:rsidR="00D1447E" w:rsidRPr="00AC4363" w:rsidRDefault="00D1447E" w:rsidP="00AC4363">
      <w:pPr>
        <w:spacing w:after="0" w:line="276" w:lineRule="auto"/>
        <w:jc w:val="right"/>
        <w:rPr>
          <w:rFonts w:asciiTheme="minorHAnsi" w:eastAsiaTheme="minorHAnsi" w:hAnsiTheme="minorHAnsi" w:cstheme="minorHAnsi"/>
          <w:b/>
          <w:bCs/>
          <w:kern w:val="2"/>
          <w:lang w:eastAsia="en-US"/>
          <w14:ligatures w14:val="standardContextual"/>
        </w:rPr>
      </w:pPr>
      <w:r w:rsidRPr="00AC4363">
        <w:rPr>
          <w:rFonts w:asciiTheme="minorHAnsi" w:eastAsiaTheme="minorHAnsi" w:hAnsiTheme="minorHAnsi" w:cstheme="minorHAnsi"/>
          <w:b/>
          <w:bCs/>
          <w:kern w:val="2"/>
          <w:lang w:eastAsia="en-US"/>
          <w14:ligatures w14:val="standardContextual"/>
        </w:rPr>
        <w:t>Víctor Manuel Lamas Huízar</w:t>
      </w:r>
    </w:p>
    <w:p w14:paraId="699D031C" w14:textId="77777777" w:rsidR="00D1447E" w:rsidRDefault="00D1447E" w:rsidP="00AC4363">
      <w:pPr>
        <w:spacing w:after="0" w:line="276" w:lineRule="auto"/>
        <w:jc w:val="right"/>
        <w:rPr>
          <w:rFonts w:eastAsiaTheme="minorHAnsi"/>
          <w:kern w:val="2"/>
          <w:lang w:eastAsia="en-US"/>
          <w14:ligatures w14:val="standardContextual"/>
        </w:rPr>
      </w:pPr>
      <w:r>
        <w:rPr>
          <w:rFonts w:eastAsiaTheme="minorHAnsi"/>
          <w:kern w:val="2"/>
          <w:lang w:eastAsia="en-US"/>
          <w14:ligatures w14:val="standardContextual"/>
        </w:rPr>
        <w:t>Tecnológico Nacional de México, Instituto Tecnológico de Tepic, México</w:t>
      </w:r>
    </w:p>
    <w:p w14:paraId="006AD428" w14:textId="1E046F91" w:rsidR="004623F5" w:rsidRPr="00AC4363" w:rsidRDefault="004623F5" w:rsidP="00AC4363">
      <w:pPr>
        <w:spacing w:after="0" w:line="276" w:lineRule="auto"/>
        <w:jc w:val="right"/>
        <w:rPr>
          <w:rFonts w:asciiTheme="minorHAnsi" w:eastAsiaTheme="minorHAnsi" w:hAnsiTheme="minorHAnsi" w:cstheme="minorHAnsi"/>
          <w:color w:val="FF0000"/>
        </w:rPr>
      </w:pPr>
      <w:r w:rsidRPr="00AC4363">
        <w:rPr>
          <w:rFonts w:asciiTheme="minorHAnsi" w:eastAsiaTheme="minorHAnsi" w:hAnsiTheme="minorHAnsi" w:cstheme="minorHAnsi"/>
          <w:color w:val="FF0000"/>
        </w:rPr>
        <w:t>vlamas@ittepic.edu.mx</w:t>
      </w:r>
    </w:p>
    <w:p w14:paraId="44634E6C" w14:textId="45D3E587" w:rsidR="004623F5" w:rsidRPr="00D1447E" w:rsidRDefault="004623F5" w:rsidP="00AC4363">
      <w:pPr>
        <w:spacing w:after="0" w:line="276" w:lineRule="auto"/>
        <w:jc w:val="right"/>
        <w:rPr>
          <w:rFonts w:eastAsiaTheme="minorHAnsi"/>
          <w:kern w:val="2"/>
          <w:lang w:eastAsia="en-US"/>
          <w14:ligatures w14:val="standardContextual"/>
        </w:rPr>
      </w:pPr>
      <w:r w:rsidRPr="00D1447E">
        <w:rPr>
          <w:rFonts w:eastAsiaTheme="minorHAnsi"/>
          <w:lang w:eastAsia="en-US"/>
          <w14:ligatures w14:val="standardContextual"/>
        </w:rPr>
        <w:t>https://orcid.org/000</w:t>
      </w:r>
      <w:r>
        <w:rPr>
          <w:rFonts w:eastAsiaTheme="minorHAnsi"/>
          <w:lang w:eastAsia="en-US"/>
          <w14:ligatures w14:val="standardContextual"/>
        </w:rPr>
        <w:t>9</w:t>
      </w:r>
      <w:r w:rsidRPr="00D1447E">
        <w:rPr>
          <w:rFonts w:eastAsiaTheme="minorHAnsi"/>
          <w:lang w:eastAsia="en-US"/>
          <w14:ligatures w14:val="standardContextual"/>
        </w:rPr>
        <w:t>-000</w:t>
      </w:r>
      <w:r>
        <w:rPr>
          <w:rFonts w:eastAsiaTheme="minorHAnsi"/>
          <w:lang w:eastAsia="en-US"/>
          <w14:ligatures w14:val="standardContextual"/>
        </w:rPr>
        <w:t>4</w:t>
      </w:r>
      <w:r w:rsidRPr="00D1447E">
        <w:rPr>
          <w:rFonts w:eastAsiaTheme="minorHAnsi"/>
          <w:lang w:eastAsia="en-US"/>
          <w14:ligatures w14:val="standardContextual"/>
        </w:rPr>
        <w:t>-</w:t>
      </w:r>
      <w:r>
        <w:rPr>
          <w:rFonts w:eastAsiaTheme="minorHAnsi"/>
          <w:lang w:eastAsia="en-US"/>
          <w14:ligatures w14:val="standardContextual"/>
        </w:rPr>
        <w:t>8470</w:t>
      </w:r>
      <w:r w:rsidRPr="00D1447E">
        <w:rPr>
          <w:rFonts w:eastAsiaTheme="minorHAnsi"/>
          <w:lang w:eastAsia="en-US"/>
          <w14:ligatures w14:val="standardContextual"/>
        </w:rPr>
        <w:t>-</w:t>
      </w:r>
      <w:r>
        <w:rPr>
          <w:rFonts w:eastAsiaTheme="minorHAnsi"/>
          <w:lang w:eastAsia="en-US"/>
          <w14:ligatures w14:val="standardContextual"/>
        </w:rPr>
        <w:t>0257</w:t>
      </w:r>
    </w:p>
    <w:p w14:paraId="77B1587F" w14:textId="77777777" w:rsidR="00D1447E" w:rsidRDefault="00D1447E" w:rsidP="00AC4363">
      <w:pPr>
        <w:spacing w:after="0" w:line="276" w:lineRule="auto"/>
        <w:jc w:val="right"/>
        <w:rPr>
          <w:rFonts w:eastAsiaTheme="minorHAnsi"/>
          <w:kern w:val="2"/>
          <w:lang w:eastAsia="en-US"/>
          <w14:ligatures w14:val="standardContextual"/>
        </w:rPr>
      </w:pPr>
    </w:p>
    <w:p w14:paraId="0F705A24" w14:textId="3B9F7B26" w:rsidR="00D1447E" w:rsidRPr="00AC4363" w:rsidRDefault="00D1447E" w:rsidP="00AC4363">
      <w:pPr>
        <w:spacing w:after="0" w:line="276" w:lineRule="auto"/>
        <w:jc w:val="right"/>
        <w:rPr>
          <w:rFonts w:asciiTheme="minorHAnsi" w:eastAsiaTheme="minorHAnsi" w:hAnsiTheme="minorHAnsi" w:cstheme="minorHAnsi"/>
          <w:b/>
          <w:bCs/>
          <w:kern w:val="2"/>
          <w:lang w:eastAsia="en-US"/>
          <w14:ligatures w14:val="standardContextual"/>
        </w:rPr>
      </w:pPr>
      <w:r w:rsidRPr="00AC4363">
        <w:rPr>
          <w:rFonts w:asciiTheme="minorHAnsi" w:eastAsiaTheme="minorHAnsi" w:hAnsiTheme="minorHAnsi" w:cstheme="minorHAnsi"/>
          <w:b/>
          <w:bCs/>
          <w:kern w:val="2"/>
          <w:lang w:eastAsia="en-US"/>
          <w14:ligatures w14:val="standardContextual"/>
        </w:rPr>
        <w:t>Jorge Alberto Parra Mayorquín</w:t>
      </w:r>
    </w:p>
    <w:p w14:paraId="043DC338" w14:textId="77777777" w:rsidR="00D1447E" w:rsidRDefault="00D1447E" w:rsidP="00AC4363">
      <w:pPr>
        <w:spacing w:after="0" w:line="276" w:lineRule="auto"/>
        <w:jc w:val="right"/>
        <w:rPr>
          <w:rFonts w:eastAsiaTheme="minorHAnsi"/>
          <w:kern w:val="2"/>
          <w:lang w:eastAsia="en-US"/>
          <w14:ligatures w14:val="standardContextual"/>
        </w:rPr>
      </w:pPr>
      <w:r>
        <w:rPr>
          <w:rFonts w:eastAsiaTheme="minorHAnsi"/>
          <w:kern w:val="2"/>
          <w:lang w:eastAsia="en-US"/>
          <w14:ligatures w14:val="standardContextual"/>
        </w:rPr>
        <w:t>Tecnológico Nacional de México, Instituto Tecnológico de Tepic, México</w:t>
      </w:r>
    </w:p>
    <w:p w14:paraId="568E560C" w14:textId="31399593" w:rsidR="00307443" w:rsidRPr="00307443" w:rsidRDefault="00307443" w:rsidP="00AC4363">
      <w:pPr>
        <w:spacing w:after="0" w:line="276" w:lineRule="auto"/>
        <w:jc w:val="right"/>
        <w:rPr>
          <w:rFonts w:asciiTheme="minorHAnsi" w:eastAsiaTheme="minorHAnsi" w:hAnsiTheme="minorHAnsi" w:cstheme="minorHAnsi"/>
          <w:color w:val="FF0000"/>
        </w:rPr>
      </w:pPr>
      <w:r w:rsidRPr="00307443">
        <w:rPr>
          <w:rFonts w:asciiTheme="minorHAnsi" w:eastAsiaTheme="minorHAnsi" w:hAnsiTheme="minorHAnsi" w:cstheme="minorHAnsi"/>
          <w:color w:val="FF0000"/>
        </w:rPr>
        <w:t>jparra@ittepic.edu.mx</w:t>
      </w:r>
    </w:p>
    <w:p w14:paraId="78EF7B35" w14:textId="114AFD08" w:rsidR="004623F5" w:rsidRPr="00D1447E" w:rsidRDefault="004623F5" w:rsidP="00AC4363">
      <w:pPr>
        <w:spacing w:after="0" w:line="276" w:lineRule="auto"/>
        <w:jc w:val="right"/>
        <w:rPr>
          <w:rFonts w:eastAsiaTheme="minorHAnsi"/>
          <w:kern w:val="2"/>
          <w:lang w:eastAsia="en-US"/>
          <w14:ligatures w14:val="standardContextual"/>
        </w:rPr>
      </w:pPr>
      <w:r w:rsidRPr="00D1447E">
        <w:rPr>
          <w:rFonts w:eastAsiaTheme="minorHAnsi"/>
          <w:lang w:eastAsia="en-US"/>
          <w14:ligatures w14:val="standardContextual"/>
        </w:rPr>
        <w:t>https://orcid.org/000</w:t>
      </w:r>
      <w:r>
        <w:rPr>
          <w:rFonts w:eastAsiaTheme="minorHAnsi"/>
          <w:lang w:eastAsia="en-US"/>
          <w14:ligatures w14:val="standardContextual"/>
        </w:rPr>
        <w:t>9</w:t>
      </w:r>
      <w:r w:rsidRPr="00D1447E">
        <w:rPr>
          <w:rFonts w:eastAsiaTheme="minorHAnsi"/>
          <w:lang w:eastAsia="en-US"/>
          <w14:ligatures w14:val="standardContextual"/>
        </w:rPr>
        <w:t>-000</w:t>
      </w:r>
      <w:r>
        <w:rPr>
          <w:rFonts w:eastAsiaTheme="minorHAnsi"/>
          <w:lang w:eastAsia="en-US"/>
          <w14:ligatures w14:val="standardContextual"/>
        </w:rPr>
        <w:t>7</w:t>
      </w:r>
      <w:r w:rsidRPr="00D1447E">
        <w:rPr>
          <w:rFonts w:eastAsiaTheme="minorHAnsi"/>
          <w:lang w:eastAsia="en-US"/>
          <w14:ligatures w14:val="standardContextual"/>
        </w:rPr>
        <w:t>-</w:t>
      </w:r>
      <w:r>
        <w:rPr>
          <w:rFonts w:eastAsiaTheme="minorHAnsi"/>
          <w:lang w:eastAsia="en-US"/>
          <w14:ligatures w14:val="standardContextual"/>
        </w:rPr>
        <w:t>8570</w:t>
      </w:r>
      <w:r w:rsidRPr="00D1447E">
        <w:rPr>
          <w:rFonts w:eastAsiaTheme="minorHAnsi"/>
          <w:lang w:eastAsia="en-US"/>
          <w14:ligatures w14:val="standardContextual"/>
        </w:rPr>
        <w:t>-</w:t>
      </w:r>
      <w:r>
        <w:rPr>
          <w:rFonts w:eastAsiaTheme="minorHAnsi"/>
          <w:lang w:eastAsia="en-US"/>
          <w14:ligatures w14:val="standardContextual"/>
        </w:rPr>
        <w:t>4339</w:t>
      </w:r>
    </w:p>
    <w:p w14:paraId="4DB6CD51" w14:textId="77777777" w:rsidR="004623F5" w:rsidRDefault="004623F5" w:rsidP="00D1447E">
      <w:pPr>
        <w:spacing w:after="0" w:line="360" w:lineRule="auto"/>
        <w:jc w:val="right"/>
        <w:rPr>
          <w:rFonts w:eastAsiaTheme="minorHAnsi"/>
          <w:kern w:val="2"/>
          <w:lang w:eastAsia="en-US"/>
          <w14:ligatures w14:val="standardContextual"/>
        </w:rPr>
      </w:pPr>
    </w:p>
    <w:p w14:paraId="03886665" w14:textId="77777777" w:rsidR="00307443" w:rsidRDefault="00307443" w:rsidP="00D1447E">
      <w:pPr>
        <w:spacing w:after="0" w:line="360" w:lineRule="auto"/>
        <w:jc w:val="right"/>
        <w:rPr>
          <w:rFonts w:eastAsiaTheme="minorHAnsi"/>
          <w:kern w:val="2"/>
          <w:lang w:eastAsia="en-US"/>
          <w14:ligatures w14:val="standardContextual"/>
        </w:rPr>
      </w:pPr>
    </w:p>
    <w:p w14:paraId="4F5851F1" w14:textId="2FA08D77" w:rsidR="003C3DD6" w:rsidRPr="00AC4363" w:rsidRDefault="00860584" w:rsidP="00255542">
      <w:pPr>
        <w:spacing w:after="0" w:line="360" w:lineRule="auto"/>
        <w:rPr>
          <w:rFonts w:asciiTheme="minorHAnsi" w:eastAsiaTheme="minorHAnsi" w:hAnsiTheme="minorHAnsi" w:cstheme="minorHAnsi"/>
          <w:b/>
          <w:bCs/>
          <w:kern w:val="2"/>
          <w:sz w:val="28"/>
          <w:szCs w:val="28"/>
          <w:lang w:eastAsia="en-US"/>
          <w14:ligatures w14:val="standardContextual"/>
        </w:rPr>
      </w:pPr>
      <w:r w:rsidRPr="00AC4363">
        <w:rPr>
          <w:rFonts w:asciiTheme="minorHAnsi" w:eastAsiaTheme="minorHAnsi" w:hAnsiTheme="minorHAnsi" w:cstheme="minorHAnsi"/>
          <w:b/>
          <w:bCs/>
          <w:kern w:val="2"/>
          <w:sz w:val="28"/>
          <w:szCs w:val="28"/>
          <w:lang w:eastAsia="en-US"/>
          <w14:ligatures w14:val="standardContextual"/>
        </w:rPr>
        <w:lastRenderedPageBreak/>
        <w:t>Resumen</w:t>
      </w:r>
    </w:p>
    <w:p w14:paraId="166595DA" w14:textId="4EB2C775" w:rsidR="006914DB" w:rsidRDefault="00DF6D3A" w:rsidP="004030EF">
      <w:pPr>
        <w:spacing w:after="0" w:line="360" w:lineRule="auto"/>
        <w:jc w:val="both"/>
      </w:pPr>
      <w:bookmarkStart w:id="0" w:name="OLE_LINK1"/>
      <w:r>
        <w:t>La</w:t>
      </w:r>
      <w:r w:rsidR="004344B3" w:rsidRPr="004344B3">
        <w:t xml:space="preserve"> investigación </w:t>
      </w:r>
      <w:r>
        <w:t xml:space="preserve">de este trabajo </w:t>
      </w:r>
      <w:r w:rsidR="004344B3" w:rsidRPr="004344B3">
        <w:t>aborda la actualización y estandarización estadística de indicadores de alcance de un instrumento de evaluación del aprendizaje, según los atributos de egreso establecidos en el Acuerdo de Washington para la formación de ingenieros en el Tec</w:t>
      </w:r>
      <w:r w:rsidR="009C053A">
        <w:t xml:space="preserve">nológico </w:t>
      </w:r>
      <w:r w:rsidR="004344B3" w:rsidRPr="004344B3">
        <w:t>N</w:t>
      </w:r>
      <w:r w:rsidR="009C053A">
        <w:t xml:space="preserve">acional de </w:t>
      </w:r>
      <w:r w:rsidR="004344B3" w:rsidRPr="004344B3">
        <w:t>M</w:t>
      </w:r>
      <w:r w:rsidR="009C053A">
        <w:t>éxico, TecNM</w:t>
      </w:r>
      <w:r w:rsidR="004344B3" w:rsidRPr="004344B3">
        <w:t>. Mediante la aplicación de la técnica Delphi se obtuvieron once indicadores como variables latentes, con seis ítems</w:t>
      </w:r>
      <w:r>
        <w:t xml:space="preserve"> a los que se le determinó su </w:t>
      </w:r>
      <w:r w:rsidR="004344B3" w:rsidRPr="004344B3">
        <w:t>valid</w:t>
      </w:r>
      <w:r>
        <w:t>ez</w:t>
      </w:r>
      <w:r w:rsidR="004344B3" w:rsidRPr="004344B3">
        <w:t xml:space="preserve"> </w:t>
      </w:r>
      <w:r>
        <w:t>de</w:t>
      </w:r>
      <w:r w:rsidR="004344B3" w:rsidRPr="004344B3">
        <w:t xml:space="preserve"> contenido con un panel de 25 expertos. La validez de constructo se realizó con 337 estudiantes de asignaturas de ciencias básicas </w:t>
      </w:r>
      <w:r>
        <w:t xml:space="preserve">mediante </w:t>
      </w:r>
      <w:r w:rsidR="009C053A">
        <w:t>el análisis de ecuaciones estructurales (SEM)</w:t>
      </w:r>
      <w:r w:rsidR="004344B3" w:rsidRPr="004344B3">
        <w:t xml:space="preserve">. Se utilizaron las variables latentes obtenidas como indicadores del logro de las competencias profesionales definidas en el perfil de egreso de Ingeniería Bioquímica. </w:t>
      </w:r>
      <w:r w:rsidR="00416C87" w:rsidRPr="004C6E6F">
        <w:t xml:space="preserve">La reducción de dimensionalidad se realizó mediante un análisis factorial exploratorio y confirmatorio AFE/AFC, </w:t>
      </w:r>
      <w:r w:rsidR="004344B3" w:rsidRPr="004344B3">
        <w:t>bajo la hipótesis de ortogonalidad</w:t>
      </w:r>
      <w:r w:rsidR="00416C87">
        <w:t xml:space="preserve">, </w:t>
      </w:r>
      <w:r w:rsidR="004344B3" w:rsidRPr="004344B3">
        <w:t>análisis de componentes principales y rotación Varimax</w:t>
      </w:r>
      <w:r w:rsidR="004C6E6F">
        <w:t xml:space="preserve">. Se obtuvieron finalmente </w:t>
      </w:r>
      <w:r w:rsidR="004344B3" w:rsidRPr="004344B3">
        <w:t xml:space="preserve">ocho factores latentes </w:t>
      </w:r>
      <w:r w:rsidR="009C053A">
        <w:t>con</w:t>
      </w:r>
      <w:r w:rsidR="004344B3" w:rsidRPr="004344B3">
        <w:t xml:space="preserve"> un total de 52 ítems. </w:t>
      </w:r>
      <w:r w:rsidR="004C6E6F">
        <w:t>El</w:t>
      </w:r>
      <w:r w:rsidR="004344B3" w:rsidRPr="004344B3">
        <w:t xml:space="preserve"> </w:t>
      </w:r>
      <w:r w:rsidR="00D67FC1">
        <w:t>alfa</w:t>
      </w:r>
      <w:r w:rsidR="004344B3" w:rsidRPr="004344B3">
        <w:t xml:space="preserve"> de Cronbach </w:t>
      </w:r>
      <w:r w:rsidR="004C6E6F">
        <w:t xml:space="preserve">fue </w:t>
      </w:r>
      <w:r w:rsidR="004344B3" w:rsidRPr="004344B3">
        <w:t xml:space="preserve">igual a 0.937 y se confirmó la validez de contenido </w:t>
      </w:r>
      <w:r w:rsidR="00416C87">
        <w:t xml:space="preserve">(CVR) </w:t>
      </w:r>
      <w:r w:rsidR="004344B3" w:rsidRPr="004344B3">
        <w:t xml:space="preserve">y de constructo a través de las métricas de Lawshe y el modelo SEM, lo que </w:t>
      </w:r>
      <w:r w:rsidR="009C053A">
        <w:t>respald</w:t>
      </w:r>
      <w:r w:rsidR="004344B3" w:rsidRPr="004344B3">
        <w:t>ó la confiabilidad psicométrica del modelo teórico del instrumento. L</w:t>
      </w:r>
      <w:r w:rsidR="006914DB">
        <w:t>a</w:t>
      </w:r>
      <w:r w:rsidR="004344B3" w:rsidRPr="004344B3">
        <w:t xml:space="preserve">s </w:t>
      </w:r>
      <w:r w:rsidR="006914DB">
        <w:t>variables</w:t>
      </w:r>
      <w:r w:rsidR="004344B3" w:rsidRPr="004344B3">
        <w:t xml:space="preserve"> latentes y sus ítems correspondientes permiten evaluar de manera adecuada las competencias profesionales</w:t>
      </w:r>
      <w:r w:rsidR="009C053A">
        <w:t>;</w:t>
      </w:r>
      <w:r w:rsidR="004344B3" w:rsidRPr="004344B3">
        <w:t xml:space="preserve"> además</w:t>
      </w:r>
      <w:r w:rsidR="009C053A">
        <w:t>,</w:t>
      </w:r>
      <w:r w:rsidR="004344B3" w:rsidRPr="004344B3">
        <w:t xml:space="preserve"> </w:t>
      </w:r>
      <w:r w:rsidR="006914DB">
        <w:t>el</w:t>
      </w:r>
      <w:r w:rsidR="004344B3" w:rsidRPr="004344B3">
        <w:t xml:space="preserve"> análisis del </w:t>
      </w:r>
      <w:r w:rsidR="00D67FC1">
        <w:t>m</w:t>
      </w:r>
      <w:r w:rsidR="004344B3" w:rsidRPr="004344B3">
        <w:t>odelo SEM desarrollado permite aplicar</w:t>
      </w:r>
      <w:r w:rsidR="00AA077C">
        <w:t xml:space="preserve"> esta metodología</w:t>
      </w:r>
      <w:r w:rsidR="004344B3" w:rsidRPr="004344B3">
        <w:t xml:space="preserve"> para evaluar competencias profesionales de otras carreras.</w:t>
      </w:r>
    </w:p>
    <w:p w14:paraId="5CFB1325" w14:textId="7CAF52E5" w:rsidR="00E66E18" w:rsidRDefault="00891790" w:rsidP="004030EF">
      <w:pPr>
        <w:spacing w:after="0" w:line="360" w:lineRule="auto"/>
        <w:jc w:val="both"/>
      </w:pPr>
      <w:r w:rsidRPr="00AC4363">
        <w:rPr>
          <w:rFonts w:asciiTheme="minorHAnsi" w:eastAsiaTheme="minorHAnsi" w:hAnsiTheme="minorHAnsi" w:cstheme="minorHAnsi"/>
          <w:b/>
          <w:bCs/>
          <w:kern w:val="2"/>
          <w:sz w:val="28"/>
          <w:szCs w:val="28"/>
          <w:lang w:eastAsia="en-US"/>
          <w14:ligatures w14:val="standardContextual"/>
        </w:rPr>
        <w:t>Palabras clave:</w:t>
      </w:r>
      <w:r w:rsidRPr="001360A3">
        <w:t xml:space="preserve"> </w:t>
      </w:r>
      <w:r w:rsidR="004C6E6F">
        <w:t>i</w:t>
      </w:r>
      <w:r w:rsidR="00D67FC1">
        <w:t>nstrumentos de evaluación</w:t>
      </w:r>
      <w:r w:rsidR="004C6E6F">
        <w:t>;</w:t>
      </w:r>
      <w:r w:rsidRPr="001360A3">
        <w:t xml:space="preserve"> </w:t>
      </w:r>
      <w:r w:rsidR="004C6E6F">
        <w:t>a</w:t>
      </w:r>
      <w:r w:rsidR="007F29C2">
        <w:t xml:space="preserve">nálisis </w:t>
      </w:r>
      <w:r w:rsidR="004C6E6F">
        <w:t>f</w:t>
      </w:r>
      <w:r w:rsidR="007F29C2">
        <w:t>actorial</w:t>
      </w:r>
      <w:r w:rsidR="004C6E6F">
        <w:t>;</w:t>
      </w:r>
      <w:r w:rsidR="00F073E6" w:rsidRPr="001360A3">
        <w:t xml:space="preserve"> </w:t>
      </w:r>
      <w:r w:rsidR="004C6E6F">
        <w:t>p</w:t>
      </w:r>
      <w:r w:rsidR="00D67FC1">
        <w:t>sicometría /</w:t>
      </w:r>
      <w:r w:rsidR="00D67FC1" w:rsidRPr="001360A3">
        <w:t xml:space="preserve"> </w:t>
      </w:r>
      <w:r w:rsidR="004C6E6F">
        <w:t>e</w:t>
      </w:r>
      <w:r w:rsidRPr="001360A3">
        <w:t xml:space="preserve">valuación por </w:t>
      </w:r>
      <w:r w:rsidR="004C6E6F">
        <w:t>c</w:t>
      </w:r>
      <w:r w:rsidRPr="001360A3">
        <w:t xml:space="preserve">ompetencias, </w:t>
      </w:r>
      <w:r w:rsidR="004C6E6F">
        <w:t>a</w:t>
      </w:r>
      <w:r w:rsidRPr="001360A3">
        <w:t xml:space="preserve">nálisis de </w:t>
      </w:r>
      <w:r w:rsidR="004C6E6F">
        <w:t>c</w:t>
      </w:r>
      <w:r w:rsidRPr="001360A3">
        <w:t>ontenido</w:t>
      </w:r>
      <w:r w:rsidR="007534F0">
        <w:t>.</w:t>
      </w:r>
    </w:p>
    <w:p w14:paraId="23A9A795" w14:textId="77777777" w:rsidR="007B419C" w:rsidRDefault="007B419C" w:rsidP="004030EF">
      <w:pPr>
        <w:spacing w:after="0" w:line="360" w:lineRule="auto"/>
        <w:jc w:val="both"/>
      </w:pPr>
    </w:p>
    <w:p w14:paraId="4FA3E1F7" w14:textId="22ABDF0E" w:rsidR="007B419C" w:rsidRPr="00307443" w:rsidRDefault="007B419C" w:rsidP="00255542">
      <w:pPr>
        <w:spacing w:after="0" w:line="360" w:lineRule="auto"/>
        <w:rPr>
          <w:rFonts w:asciiTheme="minorHAnsi" w:eastAsiaTheme="minorHAnsi" w:hAnsiTheme="minorHAnsi" w:cstheme="minorHAnsi"/>
          <w:b/>
          <w:bCs/>
          <w:kern w:val="2"/>
          <w:sz w:val="28"/>
          <w:szCs w:val="28"/>
          <w:lang w:val="en-US" w:eastAsia="en-US"/>
          <w14:ligatures w14:val="standardContextual"/>
        </w:rPr>
      </w:pPr>
      <w:r w:rsidRPr="00307443">
        <w:rPr>
          <w:rFonts w:asciiTheme="minorHAnsi" w:eastAsiaTheme="minorHAnsi" w:hAnsiTheme="minorHAnsi" w:cstheme="minorHAnsi"/>
          <w:b/>
          <w:bCs/>
          <w:kern w:val="2"/>
          <w:sz w:val="28"/>
          <w:szCs w:val="28"/>
          <w:lang w:val="en-US" w:eastAsia="en-US"/>
          <w14:ligatures w14:val="standardContextual"/>
        </w:rPr>
        <w:t>Abstract</w:t>
      </w:r>
    </w:p>
    <w:bookmarkEnd w:id="0"/>
    <w:p w14:paraId="3C38BC7A" w14:textId="77777777" w:rsidR="007B419C" w:rsidRPr="007B419C" w:rsidRDefault="007B419C" w:rsidP="007B419C">
      <w:pPr>
        <w:spacing w:after="0" w:line="360" w:lineRule="auto"/>
        <w:jc w:val="both"/>
        <w:rPr>
          <w:lang w:val="en-US"/>
        </w:rPr>
      </w:pPr>
      <w:r w:rsidRPr="007B419C">
        <w:rPr>
          <w:lang w:val="en-US"/>
        </w:rPr>
        <w:t>This research addresses the updating and statistical standardization of indicators for a learning assessment tool, based on the graduate attributes established in the Washington Accord for the training of engineers at the National Technological Institute of Mexico (</w:t>
      </w:r>
      <w:proofErr w:type="spellStart"/>
      <w:r w:rsidRPr="007B419C">
        <w:rPr>
          <w:lang w:val="en-US"/>
        </w:rPr>
        <w:t>TecNM</w:t>
      </w:r>
      <w:proofErr w:type="spellEnd"/>
      <w:r w:rsidRPr="007B419C">
        <w:rPr>
          <w:lang w:val="en-US"/>
        </w:rPr>
        <w:t xml:space="preserve">). Using the Delphi method, eleven indicators were obtained as latent variables, with six items whose content validity was determined by a panel of 25 experts. Construct validity was assessed with 337 students of basic science subjects using structural equation modeling (SEM). The latent variables obtained were used as indicators of the achievement of the professional competencies defined in the Biochemical Engineering graduate profile. Dimensionality reduction was performed using exploratory and confirmatory factor analysis </w:t>
      </w:r>
      <w:r w:rsidRPr="007B419C">
        <w:rPr>
          <w:lang w:val="en-US"/>
        </w:rPr>
        <w:lastRenderedPageBreak/>
        <w:t>(EFA/CFA), under the hypothesis of orthogonality, principal component analysis, and Varimax rotation. Finally, eight latent factors with a total of 52 items were obtained. Cronbach's alpha was 0.937, and content validity (CVR) and construct validity were confirmed through Lawshe's metrics and the SEM model, which supported the psychometric reliability of the theoretical model of the instrument. Latent variables and their corresponding items allow for the adequate evaluation of professional competencies; furthermore, analysis of the SEM model developed allows this methodology to be applied to assess professional competencies in other engineering programs.</w:t>
      </w:r>
    </w:p>
    <w:p w14:paraId="67A3787F" w14:textId="77777777" w:rsidR="007B419C" w:rsidRDefault="007B419C" w:rsidP="007B419C">
      <w:pPr>
        <w:spacing w:after="0" w:line="360" w:lineRule="auto"/>
        <w:jc w:val="both"/>
        <w:rPr>
          <w:lang w:val="en-US"/>
        </w:rPr>
      </w:pPr>
      <w:r w:rsidRPr="00307443">
        <w:rPr>
          <w:rFonts w:asciiTheme="minorHAnsi" w:eastAsiaTheme="minorHAnsi" w:hAnsiTheme="minorHAnsi" w:cstheme="minorHAnsi"/>
          <w:b/>
          <w:bCs/>
          <w:kern w:val="2"/>
          <w:sz w:val="28"/>
          <w:szCs w:val="28"/>
          <w:lang w:val="en-US" w:eastAsia="en-US"/>
          <w14:ligatures w14:val="standardContextual"/>
        </w:rPr>
        <w:t>Keywords:</w:t>
      </w:r>
      <w:r w:rsidRPr="007B419C">
        <w:rPr>
          <w:lang w:val="en-US"/>
        </w:rPr>
        <w:t xml:space="preserve"> evaluation instruments; factor analysis; psychometrics / competency-based learning, content analysis.</w:t>
      </w:r>
    </w:p>
    <w:p w14:paraId="16551CB0" w14:textId="77777777" w:rsidR="00AC4363" w:rsidRDefault="00AC4363" w:rsidP="007B419C">
      <w:pPr>
        <w:spacing w:after="0" w:line="360" w:lineRule="auto"/>
        <w:jc w:val="both"/>
        <w:rPr>
          <w:lang w:val="en-US"/>
        </w:rPr>
      </w:pPr>
    </w:p>
    <w:p w14:paraId="08602E85" w14:textId="11AFA928" w:rsidR="00AC4363" w:rsidRPr="00AC4363" w:rsidRDefault="00AC4363" w:rsidP="007B419C">
      <w:pPr>
        <w:spacing w:after="0" w:line="360" w:lineRule="auto"/>
        <w:jc w:val="both"/>
        <w:rPr>
          <w:rFonts w:asciiTheme="minorHAnsi" w:eastAsiaTheme="minorHAnsi" w:hAnsiTheme="minorHAnsi" w:cstheme="minorHAnsi"/>
          <w:b/>
          <w:bCs/>
          <w:kern w:val="2"/>
          <w:sz w:val="28"/>
          <w:szCs w:val="28"/>
          <w:lang w:eastAsia="en-US"/>
          <w14:ligatures w14:val="standardContextual"/>
        </w:rPr>
      </w:pPr>
      <w:r w:rsidRPr="00AC4363">
        <w:rPr>
          <w:rFonts w:asciiTheme="minorHAnsi" w:eastAsiaTheme="minorHAnsi" w:hAnsiTheme="minorHAnsi" w:cstheme="minorHAnsi"/>
          <w:b/>
          <w:bCs/>
          <w:kern w:val="2"/>
          <w:sz w:val="28"/>
          <w:szCs w:val="28"/>
          <w:lang w:eastAsia="en-US"/>
          <w14:ligatures w14:val="standardContextual"/>
        </w:rPr>
        <w:t>Resumo</w:t>
      </w:r>
    </w:p>
    <w:p w14:paraId="2F49C3CE" w14:textId="77777777" w:rsidR="00AC4363" w:rsidRPr="00AC4363" w:rsidRDefault="00AC4363" w:rsidP="00AC4363">
      <w:pPr>
        <w:spacing w:after="0" w:line="360" w:lineRule="auto"/>
        <w:jc w:val="both"/>
      </w:pPr>
      <w:r w:rsidRPr="00AC4363">
        <w:t xml:space="preserve">Este artigo aborda a </w:t>
      </w:r>
      <w:proofErr w:type="spellStart"/>
      <w:r w:rsidRPr="00AC4363">
        <w:t>atualização</w:t>
      </w:r>
      <w:proofErr w:type="spellEnd"/>
      <w:r w:rsidRPr="00AC4363">
        <w:t xml:space="preserve"> e </w:t>
      </w:r>
      <w:proofErr w:type="spellStart"/>
      <w:r w:rsidRPr="00AC4363">
        <w:t>padronização</w:t>
      </w:r>
      <w:proofErr w:type="spellEnd"/>
      <w:r w:rsidRPr="00AC4363">
        <w:t xml:space="preserve"> </w:t>
      </w:r>
      <w:proofErr w:type="spellStart"/>
      <w:r w:rsidRPr="00AC4363">
        <w:t>estatística</w:t>
      </w:r>
      <w:proofErr w:type="spellEnd"/>
      <w:r w:rsidRPr="00AC4363">
        <w:t xml:space="preserve"> de indicadores de </w:t>
      </w:r>
      <w:proofErr w:type="spellStart"/>
      <w:r w:rsidRPr="00AC4363">
        <w:t>desempenho</w:t>
      </w:r>
      <w:proofErr w:type="spellEnd"/>
      <w:r w:rsidRPr="00AC4363">
        <w:t xml:space="preserve"> para </w:t>
      </w:r>
      <w:proofErr w:type="spellStart"/>
      <w:r w:rsidRPr="00AC4363">
        <w:t>um</w:t>
      </w:r>
      <w:proofErr w:type="spellEnd"/>
      <w:r w:rsidRPr="00AC4363">
        <w:t xml:space="preserve"> instrumento de </w:t>
      </w:r>
      <w:proofErr w:type="spellStart"/>
      <w:r w:rsidRPr="00AC4363">
        <w:t>avaliação</w:t>
      </w:r>
      <w:proofErr w:type="spellEnd"/>
      <w:r w:rsidRPr="00AC4363">
        <w:t xml:space="preserve"> da </w:t>
      </w:r>
      <w:proofErr w:type="spellStart"/>
      <w:r w:rsidRPr="00AC4363">
        <w:t>aprendizagem</w:t>
      </w:r>
      <w:proofErr w:type="spellEnd"/>
      <w:r w:rsidRPr="00AC4363">
        <w:t xml:space="preserve">, </w:t>
      </w:r>
      <w:proofErr w:type="spellStart"/>
      <w:r w:rsidRPr="00AC4363">
        <w:t>com</w:t>
      </w:r>
      <w:proofErr w:type="spellEnd"/>
      <w:r w:rsidRPr="00AC4363">
        <w:t xml:space="preserve"> base nos atributos de </w:t>
      </w:r>
      <w:proofErr w:type="spellStart"/>
      <w:r w:rsidRPr="00AC4363">
        <w:t>graduação</w:t>
      </w:r>
      <w:proofErr w:type="spellEnd"/>
      <w:r w:rsidRPr="00AC4363">
        <w:t xml:space="preserve"> </w:t>
      </w:r>
      <w:proofErr w:type="spellStart"/>
      <w:r w:rsidRPr="00AC4363">
        <w:t>estabelecidos</w:t>
      </w:r>
      <w:proofErr w:type="spellEnd"/>
      <w:r w:rsidRPr="00AC4363">
        <w:t xml:space="preserve"> no </w:t>
      </w:r>
      <w:proofErr w:type="spellStart"/>
      <w:r w:rsidRPr="00AC4363">
        <w:t>Acordo</w:t>
      </w:r>
      <w:proofErr w:type="spellEnd"/>
      <w:r w:rsidRPr="00AC4363">
        <w:t xml:space="preserve"> de Washington para a </w:t>
      </w:r>
      <w:proofErr w:type="spellStart"/>
      <w:r w:rsidRPr="00AC4363">
        <w:t>formação</w:t>
      </w:r>
      <w:proofErr w:type="spellEnd"/>
      <w:r w:rsidRPr="00AC4363">
        <w:t xml:space="preserve"> de </w:t>
      </w:r>
      <w:proofErr w:type="spellStart"/>
      <w:r w:rsidRPr="00AC4363">
        <w:t>engenheiros</w:t>
      </w:r>
      <w:proofErr w:type="spellEnd"/>
      <w:r w:rsidRPr="00AC4363">
        <w:t xml:space="preserve"> no Instituto Tecnológico Nacional do México (TecNM). </w:t>
      </w:r>
      <w:proofErr w:type="spellStart"/>
      <w:r w:rsidRPr="00AC4363">
        <w:t>Onze</w:t>
      </w:r>
      <w:proofErr w:type="spellEnd"/>
      <w:r w:rsidRPr="00AC4363">
        <w:t xml:space="preserve"> indicadores </w:t>
      </w:r>
      <w:proofErr w:type="spellStart"/>
      <w:r w:rsidRPr="00AC4363">
        <w:t>foram</w:t>
      </w:r>
      <w:proofErr w:type="spellEnd"/>
      <w:r w:rsidRPr="00AC4363">
        <w:t xml:space="preserve"> </w:t>
      </w:r>
      <w:proofErr w:type="spellStart"/>
      <w:r w:rsidRPr="00AC4363">
        <w:t>obtidos</w:t>
      </w:r>
      <w:proofErr w:type="spellEnd"/>
      <w:r w:rsidRPr="00AC4363">
        <w:t xml:space="preserve"> como </w:t>
      </w:r>
      <w:proofErr w:type="spellStart"/>
      <w:r w:rsidRPr="00AC4363">
        <w:t>variáveis</w:t>
      </w:r>
      <w:proofErr w:type="spellEnd"/>
      <w:r w:rsidRPr="00AC4363">
        <w:t xml:space="preserve"> ​​latentes usando a técnica Delphi, </w:t>
      </w:r>
      <w:proofErr w:type="spellStart"/>
      <w:r w:rsidRPr="00AC4363">
        <w:t>com</w:t>
      </w:r>
      <w:proofErr w:type="spellEnd"/>
      <w:r w:rsidRPr="00AC4363">
        <w:t xml:space="preserve"> seis </w:t>
      </w:r>
      <w:proofErr w:type="spellStart"/>
      <w:r w:rsidRPr="00AC4363">
        <w:t>itens</w:t>
      </w:r>
      <w:proofErr w:type="spellEnd"/>
      <w:r w:rsidRPr="00AC4363">
        <w:t xml:space="preserve"> cuja validade de </w:t>
      </w:r>
      <w:proofErr w:type="spellStart"/>
      <w:r w:rsidRPr="00AC4363">
        <w:t>conteúdo</w:t>
      </w:r>
      <w:proofErr w:type="spellEnd"/>
      <w:r w:rsidRPr="00AC4363">
        <w:t xml:space="preserve"> </w:t>
      </w:r>
      <w:proofErr w:type="spellStart"/>
      <w:r w:rsidRPr="00AC4363">
        <w:t>foi</w:t>
      </w:r>
      <w:proofErr w:type="spellEnd"/>
      <w:r w:rsidRPr="00AC4363">
        <w:t xml:space="preserve"> determinada por </w:t>
      </w:r>
      <w:proofErr w:type="spellStart"/>
      <w:r w:rsidRPr="00AC4363">
        <w:t>um</w:t>
      </w:r>
      <w:proofErr w:type="spellEnd"/>
      <w:r w:rsidRPr="00AC4363">
        <w:t xml:space="preserve"> painel de 25 especialistas. A validade de </w:t>
      </w:r>
      <w:proofErr w:type="spellStart"/>
      <w:r w:rsidRPr="00AC4363">
        <w:t>construto</w:t>
      </w:r>
      <w:proofErr w:type="spellEnd"/>
      <w:r w:rsidRPr="00AC4363">
        <w:t xml:space="preserve"> </w:t>
      </w:r>
      <w:proofErr w:type="spellStart"/>
      <w:r w:rsidRPr="00AC4363">
        <w:t>foi</w:t>
      </w:r>
      <w:proofErr w:type="spellEnd"/>
      <w:r w:rsidRPr="00AC4363">
        <w:t xml:space="preserve"> determinada </w:t>
      </w:r>
      <w:proofErr w:type="spellStart"/>
      <w:r w:rsidRPr="00AC4363">
        <w:t>com</w:t>
      </w:r>
      <w:proofErr w:type="spellEnd"/>
      <w:r w:rsidRPr="00AC4363">
        <w:t xml:space="preserve"> 337 </w:t>
      </w:r>
      <w:proofErr w:type="spellStart"/>
      <w:r w:rsidRPr="00AC4363">
        <w:t>alunos</w:t>
      </w:r>
      <w:proofErr w:type="spellEnd"/>
      <w:r w:rsidRPr="00AC4363">
        <w:t xml:space="preserve"> de cursos de </w:t>
      </w:r>
      <w:proofErr w:type="spellStart"/>
      <w:r w:rsidRPr="00AC4363">
        <w:t>ciências</w:t>
      </w:r>
      <w:proofErr w:type="spellEnd"/>
      <w:r w:rsidRPr="00AC4363">
        <w:t xml:space="preserve"> básicas usando </w:t>
      </w:r>
      <w:proofErr w:type="spellStart"/>
      <w:r w:rsidRPr="00AC4363">
        <w:t>análise</w:t>
      </w:r>
      <w:proofErr w:type="spellEnd"/>
      <w:r w:rsidRPr="00AC4363">
        <w:t xml:space="preserve"> de </w:t>
      </w:r>
      <w:proofErr w:type="spellStart"/>
      <w:r w:rsidRPr="00AC4363">
        <w:t>equações</w:t>
      </w:r>
      <w:proofErr w:type="spellEnd"/>
      <w:r w:rsidRPr="00AC4363">
        <w:t xml:space="preserve"> </w:t>
      </w:r>
      <w:proofErr w:type="spellStart"/>
      <w:r w:rsidRPr="00AC4363">
        <w:t>estruturais</w:t>
      </w:r>
      <w:proofErr w:type="spellEnd"/>
      <w:r w:rsidRPr="00AC4363">
        <w:t xml:space="preserve"> (MEE). As </w:t>
      </w:r>
      <w:proofErr w:type="spellStart"/>
      <w:r w:rsidRPr="00AC4363">
        <w:t>variáveis</w:t>
      </w:r>
      <w:proofErr w:type="spellEnd"/>
      <w:r w:rsidRPr="00AC4363">
        <w:t xml:space="preserve"> ​​latentes </w:t>
      </w:r>
      <w:proofErr w:type="spellStart"/>
      <w:r w:rsidRPr="00AC4363">
        <w:t>obtidas</w:t>
      </w:r>
      <w:proofErr w:type="spellEnd"/>
      <w:r w:rsidRPr="00AC4363">
        <w:t xml:space="preserve"> </w:t>
      </w:r>
      <w:proofErr w:type="spellStart"/>
      <w:r w:rsidRPr="00AC4363">
        <w:t>foram</w:t>
      </w:r>
      <w:proofErr w:type="spellEnd"/>
      <w:r w:rsidRPr="00AC4363">
        <w:t xml:space="preserve"> usadas como indicadores do alcance das </w:t>
      </w:r>
      <w:proofErr w:type="spellStart"/>
      <w:r w:rsidRPr="00AC4363">
        <w:t>competências</w:t>
      </w:r>
      <w:proofErr w:type="spellEnd"/>
      <w:r w:rsidRPr="00AC4363">
        <w:t xml:space="preserve"> </w:t>
      </w:r>
      <w:proofErr w:type="spellStart"/>
      <w:r w:rsidRPr="00AC4363">
        <w:t>profissionais</w:t>
      </w:r>
      <w:proofErr w:type="spellEnd"/>
      <w:r w:rsidRPr="00AC4363">
        <w:t xml:space="preserve"> definidas no perfil de </w:t>
      </w:r>
      <w:proofErr w:type="spellStart"/>
      <w:r w:rsidRPr="00AC4363">
        <w:t>graduação</w:t>
      </w:r>
      <w:proofErr w:type="spellEnd"/>
      <w:r w:rsidRPr="00AC4363">
        <w:t xml:space="preserve"> em </w:t>
      </w:r>
      <w:proofErr w:type="spellStart"/>
      <w:r w:rsidRPr="00AC4363">
        <w:t>Engenharia</w:t>
      </w:r>
      <w:proofErr w:type="spellEnd"/>
      <w:r w:rsidRPr="00AC4363">
        <w:t xml:space="preserve"> Bioquímica. A </w:t>
      </w:r>
      <w:proofErr w:type="spellStart"/>
      <w:r w:rsidRPr="00AC4363">
        <w:t>redução</w:t>
      </w:r>
      <w:proofErr w:type="spellEnd"/>
      <w:r w:rsidRPr="00AC4363">
        <w:t xml:space="preserve"> da </w:t>
      </w:r>
      <w:proofErr w:type="spellStart"/>
      <w:r w:rsidRPr="00AC4363">
        <w:t>dimensionalidade</w:t>
      </w:r>
      <w:proofErr w:type="spellEnd"/>
      <w:r w:rsidRPr="00AC4363">
        <w:t xml:space="preserve"> </w:t>
      </w:r>
      <w:proofErr w:type="spellStart"/>
      <w:r w:rsidRPr="00AC4363">
        <w:t>foi</w:t>
      </w:r>
      <w:proofErr w:type="spellEnd"/>
      <w:r w:rsidRPr="00AC4363">
        <w:t xml:space="preserve"> realizada usando </w:t>
      </w:r>
      <w:proofErr w:type="spellStart"/>
      <w:r w:rsidRPr="00AC4363">
        <w:t>análise</w:t>
      </w:r>
      <w:proofErr w:type="spellEnd"/>
      <w:r w:rsidRPr="00AC4363">
        <w:t xml:space="preserve"> </w:t>
      </w:r>
      <w:proofErr w:type="spellStart"/>
      <w:r w:rsidRPr="00AC4363">
        <w:t>fatorial</w:t>
      </w:r>
      <w:proofErr w:type="spellEnd"/>
      <w:r w:rsidRPr="00AC4363">
        <w:t xml:space="preserve"> </w:t>
      </w:r>
      <w:proofErr w:type="spellStart"/>
      <w:r w:rsidRPr="00AC4363">
        <w:t>exploratória</w:t>
      </w:r>
      <w:proofErr w:type="spellEnd"/>
      <w:r w:rsidRPr="00AC4363">
        <w:t xml:space="preserve"> e </w:t>
      </w:r>
      <w:proofErr w:type="spellStart"/>
      <w:r w:rsidRPr="00AC4363">
        <w:t>confirmatória</w:t>
      </w:r>
      <w:proofErr w:type="spellEnd"/>
      <w:r w:rsidRPr="00AC4363">
        <w:t xml:space="preserve"> (AFE/AFC), </w:t>
      </w:r>
      <w:proofErr w:type="spellStart"/>
      <w:r w:rsidRPr="00AC4363">
        <w:t>sob</w:t>
      </w:r>
      <w:proofErr w:type="spellEnd"/>
      <w:r w:rsidRPr="00AC4363">
        <w:t xml:space="preserve"> a </w:t>
      </w:r>
      <w:proofErr w:type="spellStart"/>
      <w:r w:rsidRPr="00AC4363">
        <w:t>hipótese</w:t>
      </w:r>
      <w:proofErr w:type="spellEnd"/>
      <w:r w:rsidRPr="00AC4363">
        <w:t xml:space="preserve"> de </w:t>
      </w:r>
      <w:proofErr w:type="spellStart"/>
      <w:r w:rsidRPr="00AC4363">
        <w:t>ortogonalidade</w:t>
      </w:r>
      <w:proofErr w:type="spellEnd"/>
      <w:r w:rsidRPr="00AC4363">
        <w:t xml:space="preserve">, </w:t>
      </w:r>
      <w:proofErr w:type="spellStart"/>
      <w:r w:rsidRPr="00AC4363">
        <w:t>análise</w:t>
      </w:r>
      <w:proofErr w:type="spellEnd"/>
      <w:r w:rsidRPr="00AC4363">
        <w:t xml:space="preserve"> de componentes </w:t>
      </w:r>
      <w:proofErr w:type="spellStart"/>
      <w:r w:rsidRPr="00AC4363">
        <w:t>principais</w:t>
      </w:r>
      <w:proofErr w:type="spellEnd"/>
      <w:r w:rsidRPr="00AC4363">
        <w:t xml:space="preserve"> e </w:t>
      </w:r>
      <w:proofErr w:type="spellStart"/>
      <w:r w:rsidRPr="00AC4363">
        <w:t>rotação</w:t>
      </w:r>
      <w:proofErr w:type="spellEnd"/>
      <w:r w:rsidRPr="00AC4363">
        <w:t xml:space="preserve"> </w:t>
      </w:r>
      <w:proofErr w:type="spellStart"/>
      <w:r w:rsidRPr="00AC4363">
        <w:t>Varimax</w:t>
      </w:r>
      <w:proofErr w:type="spellEnd"/>
      <w:r w:rsidRPr="00AC4363">
        <w:t xml:space="preserve">. </w:t>
      </w:r>
      <w:proofErr w:type="spellStart"/>
      <w:r w:rsidRPr="00AC4363">
        <w:t>Oito</w:t>
      </w:r>
      <w:proofErr w:type="spellEnd"/>
      <w:r w:rsidRPr="00AC4363">
        <w:t xml:space="preserve"> fatores latentes </w:t>
      </w:r>
      <w:proofErr w:type="spellStart"/>
      <w:r w:rsidRPr="00AC4363">
        <w:t>com</w:t>
      </w:r>
      <w:proofErr w:type="spellEnd"/>
      <w:r w:rsidRPr="00AC4363">
        <w:t xml:space="preserve"> </w:t>
      </w:r>
      <w:proofErr w:type="spellStart"/>
      <w:r w:rsidRPr="00AC4363">
        <w:t>um</w:t>
      </w:r>
      <w:proofErr w:type="spellEnd"/>
      <w:r w:rsidRPr="00AC4363">
        <w:t xml:space="preserve"> total de 52 </w:t>
      </w:r>
      <w:proofErr w:type="spellStart"/>
      <w:r w:rsidRPr="00AC4363">
        <w:t>itens</w:t>
      </w:r>
      <w:proofErr w:type="spellEnd"/>
      <w:r w:rsidRPr="00AC4363">
        <w:t xml:space="preserve"> </w:t>
      </w:r>
      <w:proofErr w:type="spellStart"/>
      <w:r w:rsidRPr="00AC4363">
        <w:t>foram</w:t>
      </w:r>
      <w:proofErr w:type="spellEnd"/>
      <w:r w:rsidRPr="00AC4363">
        <w:t xml:space="preserve"> finalmente </w:t>
      </w:r>
      <w:proofErr w:type="spellStart"/>
      <w:r w:rsidRPr="00AC4363">
        <w:t>obtidos</w:t>
      </w:r>
      <w:proofErr w:type="spellEnd"/>
      <w:r w:rsidRPr="00AC4363">
        <w:t xml:space="preserve">. O alfa de Cronbach </w:t>
      </w:r>
      <w:proofErr w:type="spellStart"/>
      <w:r w:rsidRPr="00AC4363">
        <w:t>foi</w:t>
      </w:r>
      <w:proofErr w:type="spellEnd"/>
      <w:r w:rsidRPr="00AC4363">
        <w:t xml:space="preserve"> de 0,937, e a validade de </w:t>
      </w:r>
      <w:proofErr w:type="spellStart"/>
      <w:r w:rsidRPr="00AC4363">
        <w:t>conteúdo</w:t>
      </w:r>
      <w:proofErr w:type="spellEnd"/>
      <w:r w:rsidRPr="00AC4363">
        <w:t xml:space="preserve"> (CVR) e de </w:t>
      </w:r>
      <w:proofErr w:type="spellStart"/>
      <w:r w:rsidRPr="00AC4363">
        <w:t>construto</w:t>
      </w:r>
      <w:proofErr w:type="spellEnd"/>
      <w:r w:rsidRPr="00AC4363">
        <w:t xml:space="preserve"> </w:t>
      </w:r>
      <w:proofErr w:type="spellStart"/>
      <w:r w:rsidRPr="00AC4363">
        <w:t>foram</w:t>
      </w:r>
      <w:proofErr w:type="spellEnd"/>
      <w:r w:rsidRPr="00AC4363">
        <w:t xml:space="preserve"> confirmadas usando </w:t>
      </w:r>
      <w:proofErr w:type="gramStart"/>
      <w:r w:rsidRPr="00AC4363">
        <w:t>as métricas</w:t>
      </w:r>
      <w:proofErr w:type="gramEnd"/>
      <w:r w:rsidRPr="00AC4363">
        <w:t xml:space="preserve"> de </w:t>
      </w:r>
      <w:proofErr w:type="spellStart"/>
      <w:r w:rsidRPr="00AC4363">
        <w:t>Lawshe</w:t>
      </w:r>
      <w:proofErr w:type="spellEnd"/>
      <w:r w:rsidRPr="00AC4363">
        <w:t xml:space="preserve"> e o modelo SEM, </w:t>
      </w:r>
      <w:proofErr w:type="spellStart"/>
      <w:r w:rsidRPr="00AC4363">
        <w:t>apoiando</w:t>
      </w:r>
      <w:proofErr w:type="spellEnd"/>
      <w:r w:rsidRPr="00AC4363">
        <w:t xml:space="preserve"> a </w:t>
      </w:r>
      <w:proofErr w:type="spellStart"/>
      <w:r w:rsidRPr="00AC4363">
        <w:t>confiabilidade</w:t>
      </w:r>
      <w:proofErr w:type="spellEnd"/>
      <w:r w:rsidRPr="00AC4363">
        <w:t xml:space="preserve"> psicométrica do modelo teórico do instrumento. As </w:t>
      </w:r>
      <w:proofErr w:type="spellStart"/>
      <w:r w:rsidRPr="00AC4363">
        <w:t>variáveis</w:t>
      </w:r>
      <w:proofErr w:type="spellEnd"/>
      <w:r w:rsidRPr="00AC4363">
        <w:t xml:space="preserve"> ​​latentes e </w:t>
      </w:r>
      <w:proofErr w:type="spellStart"/>
      <w:r w:rsidRPr="00AC4363">
        <w:t>seus</w:t>
      </w:r>
      <w:proofErr w:type="spellEnd"/>
      <w:r w:rsidRPr="00AC4363">
        <w:t xml:space="preserve"> </w:t>
      </w:r>
      <w:proofErr w:type="spellStart"/>
      <w:r w:rsidRPr="00AC4363">
        <w:t>itens</w:t>
      </w:r>
      <w:proofErr w:type="spellEnd"/>
      <w:r w:rsidRPr="00AC4363">
        <w:t xml:space="preserve"> </w:t>
      </w:r>
      <w:proofErr w:type="spellStart"/>
      <w:r w:rsidRPr="00AC4363">
        <w:t>correspondentes</w:t>
      </w:r>
      <w:proofErr w:type="spellEnd"/>
      <w:r w:rsidRPr="00AC4363">
        <w:t xml:space="preserve"> </w:t>
      </w:r>
      <w:proofErr w:type="spellStart"/>
      <w:r w:rsidRPr="00AC4363">
        <w:t>permitem</w:t>
      </w:r>
      <w:proofErr w:type="spellEnd"/>
      <w:r w:rsidRPr="00AC4363">
        <w:t xml:space="preserve"> </w:t>
      </w:r>
      <w:proofErr w:type="spellStart"/>
      <w:r w:rsidRPr="00AC4363">
        <w:t>uma</w:t>
      </w:r>
      <w:proofErr w:type="spellEnd"/>
      <w:r w:rsidRPr="00AC4363">
        <w:t xml:space="preserve"> </w:t>
      </w:r>
      <w:proofErr w:type="spellStart"/>
      <w:r w:rsidRPr="00AC4363">
        <w:t>avaliação</w:t>
      </w:r>
      <w:proofErr w:type="spellEnd"/>
      <w:r w:rsidRPr="00AC4363">
        <w:t xml:space="preserve"> </w:t>
      </w:r>
      <w:proofErr w:type="spellStart"/>
      <w:r w:rsidRPr="00AC4363">
        <w:t>adequada</w:t>
      </w:r>
      <w:proofErr w:type="spellEnd"/>
      <w:r w:rsidRPr="00AC4363">
        <w:t xml:space="preserve"> das </w:t>
      </w:r>
      <w:proofErr w:type="spellStart"/>
      <w:r w:rsidRPr="00AC4363">
        <w:t>competências</w:t>
      </w:r>
      <w:proofErr w:type="spellEnd"/>
      <w:r w:rsidRPr="00AC4363">
        <w:t xml:space="preserve"> </w:t>
      </w:r>
      <w:proofErr w:type="spellStart"/>
      <w:r w:rsidRPr="00AC4363">
        <w:t>profissionais</w:t>
      </w:r>
      <w:proofErr w:type="spellEnd"/>
      <w:r w:rsidRPr="00AC4363">
        <w:t xml:space="preserve">; </w:t>
      </w:r>
      <w:proofErr w:type="spellStart"/>
      <w:r w:rsidRPr="00AC4363">
        <w:t>além</w:t>
      </w:r>
      <w:proofErr w:type="spellEnd"/>
      <w:r w:rsidRPr="00AC4363">
        <w:t xml:space="preserve"> </w:t>
      </w:r>
      <w:proofErr w:type="spellStart"/>
      <w:r w:rsidRPr="00AC4363">
        <w:t>disso</w:t>
      </w:r>
      <w:proofErr w:type="spellEnd"/>
      <w:r w:rsidRPr="00AC4363">
        <w:t xml:space="preserve">, a </w:t>
      </w:r>
      <w:proofErr w:type="spellStart"/>
      <w:r w:rsidRPr="00AC4363">
        <w:t>análise</w:t>
      </w:r>
      <w:proofErr w:type="spellEnd"/>
      <w:r w:rsidRPr="00AC4363">
        <w:t xml:space="preserve"> do modelo SEM </w:t>
      </w:r>
      <w:proofErr w:type="spellStart"/>
      <w:r w:rsidRPr="00AC4363">
        <w:t>desenvolvido</w:t>
      </w:r>
      <w:proofErr w:type="spellEnd"/>
      <w:r w:rsidRPr="00AC4363">
        <w:t xml:space="preserve"> permite que esta </w:t>
      </w:r>
      <w:proofErr w:type="spellStart"/>
      <w:r w:rsidRPr="00AC4363">
        <w:t>metodologia</w:t>
      </w:r>
      <w:proofErr w:type="spellEnd"/>
      <w:r w:rsidRPr="00AC4363">
        <w:t xml:space="preserve"> </w:t>
      </w:r>
      <w:proofErr w:type="spellStart"/>
      <w:r w:rsidRPr="00AC4363">
        <w:t>seja</w:t>
      </w:r>
      <w:proofErr w:type="spellEnd"/>
      <w:r w:rsidRPr="00AC4363">
        <w:t xml:space="preserve"> aplicada para avaliar </w:t>
      </w:r>
      <w:proofErr w:type="spellStart"/>
      <w:r w:rsidRPr="00AC4363">
        <w:t>competências</w:t>
      </w:r>
      <w:proofErr w:type="spellEnd"/>
      <w:r w:rsidRPr="00AC4363">
        <w:t xml:space="preserve"> </w:t>
      </w:r>
      <w:proofErr w:type="spellStart"/>
      <w:r w:rsidRPr="00AC4363">
        <w:t>profissionais</w:t>
      </w:r>
      <w:proofErr w:type="spellEnd"/>
      <w:r w:rsidRPr="00AC4363">
        <w:t xml:space="preserve"> em </w:t>
      </w:r>
      <w:proofErr w:type="spellStart"/>
      <w:r w:rsidRPr="00AC4363">
        <w:t>outras</w:t>
      </w:r>
      <w:proofErr w:type="spellEnd"/>
      <w:r w:rsidRPr="00AC4363">
        <w:t xml:space="preserve"> </w:t>
      </w:r>
      <w:proofErr w:type="spellStart"/>
      <w:r w:rsidRPr="00AC4363">
        <w:t>carreiras</w:t>
      </w:r>
      <w:proofErr w:type="spellEnd"/>
      <w:r w:rsidRPr="00AC4363">
        <w:t>.</w:t>
      </w:r>
    </w:p>
    <w:p w14:paraId="217FEE45" w14:textId="3BE98470" w:rsidR="00AC4363" w:rsidRDefault="00AC4363" w:rsidP="00AC4363">
      <w:pPr>
        <w:spacing w:after="0" w:line="360" w:lineRule="auto"/>
        <w:jc w:val="both"/>
      </w:pPr>
      <w:proofErr w:type="spellStart"/>
      <w:r w:rsidRPr="00AC4363">
        <w:rPr>
          <w:rFonts w:asciiTheme="minorHAnsi" w:eastAsiaTheme="minorHAnsi" w:hAnsiTheme="minorHAnsi" w:cstheme="minorHAnsi"/>
          <w:b/>
          <w:bCs/>
          <w:kern w:val="2"/>
          <w:sz w:val="28"/>
          <w:szCs w:val="28"/>
          <w:lang w:eastAsia="en-US"/>
          <w14:ligatures w14:val="standardContextual"/>
        </w:rPr>
        <w:t>Palavras</w:t>
      </w:r>
      <w:proofErr w:type="spellEnd"/>
      <w:r w:rsidRPr="00AC4363">
        <w:rPr>
          <w:rFonts w:asciiTheme="minorHAnsi" w:eastAsiaTheme="minorHAnsi" w:hAnsiTheme="minorHAnsi" w:cstheme="minorHAnsi"/>
          <w:b/>
          <w:bCs/>
          <w:kern w:val="2"/>
          <w:sz w:val="28"/>
          <w:szCs w:val="28"/>
          <w:lang w:eastAsia="en-US"/>
          <w14:ligatures w14:val="standardContextual"/>
        </w:rPr>
        <w:t>-chave:</w:t>
      </w:r>
      <w:r w:rsidRPr="00AC4363">
        <w:t xml:space="preserve"> instrumentos de </w:t>
      </w:r>
      <w:proofErr w:type="spellStart"/>
      <w:r w:rsidRPr="00AC4363">
        <w:t>avaliação</w:t>
      </w:r>
      <w:proofErr w:type="spellEnd"/>
      <w:r w:rsidRPr="00AC4363">
        <w:t xml:space="preserve">; </w:t>
      </w:r>
      <w:proofErr w:type="spellStart"/>
      <w:r w:rsidRPr="00AC4363">
        <w:t>análise</w:t>
      </w:r>
      <w:proofErr w:type="spellEnd"/>
      <w:r w:rsidRPr="00AC4363">
        <w:t xml:space="preserve"> </w:t>
      </w:r>
      <w:proofErr w:type="spellStart"/>
      <w:r w:rsidRPr="00AC4363">
        <w:t>fatorial</w:t>
      </w:r>
      <w:proofErr w:type="spellEnd"/>
      <w:r w:rsidRPr="00AC4363">
        <w:t xml:space="preserve">; </w:t>
      </w:r>
      <w:proofErr w:type="spellStart"/>
      <w:r w:rsidRPr="00AC4363">
        <w:t>psicometria</w:t>
      </w:r>
      <w:proofErr w:type="spellEnd"/>
      <w:r w:rsidRPr="00AC4363">
        <w:t>/</w:t>
      </w:r>
      <w:proofErr w:type="spellStart"/>
      <w:r w:rsidRPr="00AC4363">
        <w:t>avaliação</w:t>
      </w:r>
      <w:proofErr w:type="spellEnd"/>
      <w:r w:rsidRPr="00AC4363">
        <w:t xml:space="preserve"> </w:t>
      </w:r>
      <w:proofErr w:type="spellStart"/>
      <w:r w:rsidRPr="00AC4363">
        <w:t>baseada</w:t>
      </w:r>
      <w:proofErr w:type="spellEnd"/>
      <w:r w:rsidRPr="00AC4363">
        <w:t xml:space="preserve"> em </w:t>
      </w:r>
      <w:proofErr w:type="spellStart"/>
      <w:r w:rsidRPr="00AC4363">
        <w:t>competências</w:t>
      </w:r>
      <w:proofErr w:type="spellEnd"/>
      <w:r w:rsidRPr="00AC4363">
        <w:t xml:space="preserve">; </w:t>
      </w:r>
      <w:proofErr w:type="spellStart"/>
      <w:r w:rsidRPr="00AC4363">
        <w:t>análise</w:t>
      </w:r>
      <w:proofErr w:type="spellEnd"/>
      <w:r w:rsidRPr="00AC4363">
        <w:t xml:space="preserve"> de </w:t>
      </w:r>
      <w:proofErr w:type="spellStart"/>
      <w:r w:rsidRPr="00AC4363">
        <w:t>conteúdo</w:t>
      </w:r>
      <w:proofErr w:type="spellEnd"/>
      <w:r w:rsidRPr="00AC4363">
        <w:t>.</w:t>
      </w:r>
    </w:p>
    <w:p w14:paraId="634B0EF5" w14:textId="3F379FC7" w:rsidR="00AC4363" w:rsidRPr="00AC4363" w:rsidRDefault="00AC4363" w:rsidP="00AC4363">
      <w:pPr>
        <w:shd w:val="clear" w:color="auto" w:fill="FFFFFF"/>
        <w:tabs>
          <w:tab w:val="left" w:pos="916"/>
          <w:tab w:val="left" w:pos="1832"/>
          <w:tab w:val="left" w:pos="2748"/>
          <w:tab w:val="left" w:pos="3664"/>
          <w:tab w:val="left" w:pos="4580"/>
          <w:tab w:val="left" w:pos="5496"/>
          <w:tab w:val="left" w:pos="6412"/>
          <w:tab w:val="left" w:pos="7328"/>
          <w:tab w:val="left" w:pos="8244"/>
          <w:tab w:val="left" w:pos="8647"/>
          <w:tab w:val="left" w:pos="9160"/>
          <w:tab w:val="left" w:pos="10076"/>
          <w:tab w:val="left" w:pos="10992"/>
          <w:tab w:val="left" w:pos="11908"/>
          <w:tab w:val="left" w:pos="12824"/>
          <w:tab w:val="left" w:pos="13740"/>
          <w:tab w:val="left" w:pos="14656"/>
        </w:tabs>
        <w:suppressAutoHyphens/>
        <w:autoSpaceDN w:val="0"/>
        <w:spacing w:after="0"/>
        <w:textAlignment w:val="baseline"/>
        <w:rPr>
          <w:rFonts w:cs="Courier New"/>
          <w:color w:val="000000"/>
          <w:kern w:val="3"/>
          <w:szCs w:val="20"/>
        </w:rPr>
      </w:pPr>
      <w:r w:rsidRPr="00AC4363">
        <w:rPr>
          <w:rFonts w:cs="Courier New"/>
          <w:b/>
          <w:color w:val="000000"/>
          <w:kern w:val="3"/>
          <w:szCs w:val="20"/>
        </w:rPr>
        <w:lastRenderedPageBreak/>
        <w:t xml:space="preserve">Fecha Recepción: </w:t>
      </w:r>
      <w:proofErr w:type="gramStart"/>
      <w:r>
        <w:rPr>
          <w:rFonts w:cs="Courier New"/>
          <w:color w:val="000000"/>
          <w:kern w:val="3"/>
          <w:szCs w:val="20"/>
        </w:rPr>
        <w:t>Abril</w:t>
      </w:r>
      <w:proofErr w:type="gramEnd"/>
      <w:r w:rsidRPr="00AC4363">
        <w:rPr>
          <w:rFonts w:cs="Courier New"/>
          <w:color w:val="000000"/>
          <w:kern w:val="3"/>
          <w:szCs w:val="20"/>
        </w:rPr>
        <w:t xml:space="preserve"> 2025                                      </w:t>
      </w:r>
      <w:r>
        <w:rPr>
          <w:rFonts w:cs="Courier New"/>
          <w:color w:val="000000"/>
          <w:kern w:val="3"/>
          <w:szCs w:val="20"/>
        </w:rPr>
        <w:t xml:space="preserve"> </w:t>
      </w:r>
      <w:r w:rsidRPr="00AC4363">
        <w:rPr>
          <w:rFonts w:cs="Courier New"/>
          <w:b/>
          <w:color w:val="000000"/>
          <w:kern w:val="3"/>
          <w:szCs w:val="20"/>
        </w:rPr>
        <w:t xml:space="preserve">Fecha Aceptación: </w:t>
      </w:r>
      <w:r>
        <w:rPr>
          <w:rFonts w:cs="Courier New"/>
          <w:color w:val="000000"/>
          <w:kern w:val="3"/>
          <w:szCs w:val="20"/>
        </w:rPr>
        <w:t>Septiembre</w:t>
      </w:r>
      <w:r w:rsidRPr="00AC4363">
        <w:rPr>
          <w:rFonts w:cs="Courier New"/>
          <w:color w:val="000000"/>
          <w:kern w:val="3"/>
          <w:szCs w:val="20"/>
        </w:rPr>
        <w:t xml:space="preserve"> 2025</w:t>
      </w:r>
    </w:p>
    <w:p w14:paraId="203D923E" w14:textId="5189B3BB" w:rsidR="00AC4363" w:rsidRPr="00AC4363" w:rsidRDefault="008E3143" w:rsidP="00AC4363">
      <w:pPr>
        <w:spacing w:after="0" w:line="360" w:lineRule="auto"/>
        <w:jc w:val="both"/>
      </w:pPr>
      <w:r>
        <w:rPr>
          <w:rFonts w:asciiTheme="minorHAnsi" w:hAnsiTheme="minorHAnsi"/>
          <w:noProof/>
          <w:kern w:val="2"/>
          <w:sz w:val="22"/>
          <w:szCs w:val="22"/>
          <w:lang w:eastAsia="en-US"/>
        </w:rPr>
        <w:pict w14:anchorId="59CB3207">
          <v:rect id="_x0000_i1025" style="width:441.9pt;height:.05pt" o:hralign="center" o:hrstd="t" o:hr="t" fillcolor="#a0a0a0" stroked="f"/>
        </w:pict>
      </w:r>
    </w:p>
    <w:p w14:paraId="652D28DF" w14:textId="24375BC4" w:rsidR="000D7582" w:rsidRPr="00D945F3" w:rsidRDefault="000D7582" w:rsidP="004030EF">
      <w:pPr>
        <w:spacing w:after="0" w:line="360" w:lineRule="auto"/>
        <w:jc w:val="center"/>
        <w:rPr>
          <w:b/>
          <w:bCs/>
          <w:sz w:val="32"/>
          <w:szCs w:val="32"/>
        </w:rPr>
      </w:pPr>
      <w:r w:rsidRPr="00D945F3">
        <w:rPr>
          <w:b/>
          <w:bCs/>
          <w:sz w:val="32"/>
          <w:szCs w:val="32"/>
        </w:rPr>
        <w:t>Introducción</w:t>
      </w:r>
    </w:p>
    <w:p w14:paraId="522829B9" w14:textId="06D19E2A" w:rsidR="005B299B" w:rsidRDefault="00C11E73" w:rsidP="0037717A">
      <w:pPr>
        <w:spacing w:after="0" w:line="360" w:lineRule="auto"/>
        <w:ind w:firstLine="709"/>
        <w:jc w:val="both"/>
      </w:pPr>
      <w:r w:rsidRPr="001360A3">
        <w:t>E</w:t>
      </w:r>
      <w:r w:rsidR="000D7582" w:rsidRPr="001360A3">
        <w:t xml:space="preserve">ste </w:t>
      </w:r>
      <w:r w:rsidR="001909DF">
        <w:t>estudio</w:t>
      </w:r>
      <w:r w:rsidR="000D7582" w:rsidRPr="001360A3">
        <w:t xml:space="preserve"> </w:t>
      </w:r>
      <w:r w:rsidR="005F3188">
        <w:t>se fundamenta en</w:t>
      </w:r>
      <w:r w:rsidR="000D7582" w:rsidRPr="001360A3">
        <w:t xml:space="preserve"> </w:t>
      </w:r>
      <w:r w:rsidR="00032D8A" w:rsidRPr="001360A3">
        <w:t>dos</w:t>
      </w:r>
      <w:r w:rsidR="000D7582" w:rsidRPr="001360A3">
        <w:t xml:space="preserve"> premisa</w:t>
      </w:r>
      <w:r w:rsidR="00032D8A" w:rsidRPr="001360A3">
        <w:t xml:space="preserve">s </w:t>
      </w:r>
      <w:r w:rsidRPr="001360A3">
        <w:t>clave</w:t>
      </w:r>
      <w:r w:rsidR="00032D8A" w:rsidRPr="001360A3">
        <w:t xml:space="preserve"> </w:t>
      </w:r>
      <w:r w:rsidR="00391943" w:rsidRPr="001360A3">
        <w:t>para</w:t>
      </w:r>
      <w:r w:rsidR="00032D8A" w:rsidRPr="001360A3">
        <w:t xml:space="preserve"> </w:t>
      </w:r>
      <w:r w:rsidR="005A0C73">
        <w:t>evaluar las competencias</w:t>
      </w:r>
      <w:r w:rsidR="00391943" w:rsidRPr="001360A3">
        <w:t>:</w:t>
      </w:r>
      <w:r w:rsidR="00C33466">
        <w:t xml:space="preserve"> </w:t>
      </w:r>
      <w:r w:rsidR="00F04D68">
        <w:t xml:space="preserve">la primera </w:t>
      </w:r>
      <w:r w:rsidR="00330DF5">
        <w:t>expresa</w:t>
      </w:r>
      <w:r w:rsidR="00F04D68">
        <w:t xml:space="preserve"> que el</w:t>
      </w:r>
      <w:r w:rsidR="005F3188">
        <w:t xml:space="preserve"> </w:t>
      </w:r>
      <w:r w:rsidR="00C32871" w:rsidRPr="001360A3">
        <w:t xml:space="preserve">ser humano </w:t>
      </w:r>
      <w:r w:rsidR="000D7582" w:rsidRPr="001360A3">
        <w:t>es</w:t>
      </w:r>
      <w:r w:rsidR="00C32871" w:rsidRPr="001360A3">
        <w:t>tá</w:t>
      </w:r>
      <w:r w:rsidR="000D7582" w:rsidRPr="001360A3">
        <w:t xml:space="preserve"> </w:t>
      </w:r>
      <w:r w:rsidR="00391943" w:rsidRPr="001360A3">
        <w:t xml:space="preserve">naturalmente predispuesto </w:t>
      </w:r>
      <w:r w:rsidR="005F3188">
        <w:t>hacia el</w:t>
      </w:r>
      <w:r w:rsidR="00391943" w:rsidRPr="001360A3">
        <w:t xml:space="preserve"> aprendizaje</w:t>
      </w:r>
      <w:r w:rsidR="00330DF5">
        <w:t>;</w:t>
      </w:r>
      <w:r w:rsidR="001909DF">
        <w:t xml:space="preserve"> </w:t>
      </w:r>
      <w:r w:rsidR="00F04D68">
        <w:t>la segunda parte de</w:t>
      </w:r>
      <w:r w:rsidR="00330DF5">
        <w:t>l supuesto de</w:t>
      </w:r>
      <w:r w:rsidR="00F04D68">
        <w:t xml:space="preserve"> </w:t>
      </w:r>
      <w:r w:rsidR="001909DF">
        <w:t>q</w:t>
      </w:r>
      <w:r w:rsidR="005A0C73">
        <w:t>ue</w:t>
      </w:r>
      <w:r w:rsidR="005F3188">
        <w:t xml:space="preserve"> </w:t>
      </w:r>
      <w:r w:rsidR="00D41E8B">
        <w:t xml:space="preserve">el compromiso </w:t>
      </w:r>
      <w:r w:rsidR="005A0C73">
        <w:t xml:space="preserve">mostrado </w:t>
      </w:r>
      <w:r w:rsidR="002A4DA6">
        <w:t>fomenta</w:t>
      </w:r>
      <w:r w:rsidR="00391943" w:rsidRPr="001360A3">
        <w:t xml:space="preserve"> el crecimiento</w:t>
      </w:r>
      <w:r w:rsidR="00C32871" w:rsidRPr="001360A3">
        <w:t xml:space="preserve">. </w:t>
      </w:r>
      <w:r w:rsidR="00391943" w:rsidRPr="001360A3">
        <w:t xml:space="preserve">Estas </w:t>
      </w:r>
      <w:r w:rsidR="00CA3BC9" w:rsidRPr="001360A3">
        <w:t>premisas</w:t>
      </w:r>
      <w:r w:rsidR="00391943" w:rsidRPr="001360A3">
        <w:t xml:space="preserve"> </w:t>
      </w:r>
      <w:r w:rsidR="00DC17E8">
        <w:t xml:space="preserve">sustentan el diseño del instrumento de </w:t>
      </w:r>
      <w:r w:rsidR="005B299B">
        <w:t>evaluación de competencias profesionales</w:t>
      </w:r>
      <w:r w:rsidR="00D41E8B">
        <w:t>.</w:t>
      </w:r>
      <w:r w:rsidR="005B299B">
        <w:t xml:space="preserve"> </w:t>
      </w:r>
      <w:r w:rsidR="006D6736">
        <w:t>Además</w:t>
      </w:r>
      <w:r w:rsidR="00F04D68">
        <w:t>, el trabajo de investigación considera que</w:t>
      </w:r>
      <w:r w:rsidR="005A0C73">
        <w:t xml:space="preserve"> a</w:t>
      </w:r>
      <w:r w:rsidR="00CA3BC9" w:rsidRPr="001360A3">
        <w:t xml:space="preserve">prender </w:t>
      </w:r>
      <w:r w:rsidR="00657EB0" w:rsidRPr="001360A3">
        <w:t xml:space="preserve">a </w:t>
      </w:r>
      <w:r w:rsidR="00CA3BC9" w:rsidRPr="001360A3">
        <w:t xml:space="preserve">diseñar </w:t>
      </w:r>
      <w:r w:rsidR="00486B88">
        <w:t>encuestas</w:t>
      </w:r>
      <w:r w:rsidR="00CA3BC9" w:rsidRPr="001360A3">
        <w:t xml:space="preserve"> </w:t>
      </w:r>
      <w:r w:rsidR="005B299B">
        <w:t>confiables y válidas</w:t>
      </w:r>
      <w:r w:rsidR="001909DF">
        <w:t xml:space="preserve"> </w:t>
      </w:r>
      <w:r w:rsidR="00E743C6">
        <w:t>requiere que la evaluación se base en la interacción docente–discente</w:t>
      </w:r>
      <w:r w:rsidR="005A0C73">
        <w:t>, así como</w:t>
      </w:r>
      <w:r w:rsidR="00E743C6">
        <w:t xml:space="preserve"> </w:t>
      </w:r>
      <w:r w:rsidR="005A0C73">
        <w:t>usar de manera</w:t>
      </w:r>
      <w:r w:rsidR="00E743C6">
        <w:t xml:space="preserve"> efectiv</w:t>
      </w:r>
      <w:r w:rsidR="005A0C73">
        <w:t>a</w:t>
      </w:r>
      <w:r w:rsidR="00E743C6">
        <w:t xml:space="preserve"> el lenguaje como herramienta superior</w:t>
      </w:r>
      <w:r w:rsidR="001909DF">
        <w:t>,</w:t>
      </w:r>
      <w:r w:rsidR="00E743C6">
        <w:t xml:space="preserve"> debido a que es un facilitador para el pensamiento crítico y un regulador interno de</w:t>
      </w:r>
      <w:r w:rsidR="00330DF5">
        <w:t xml:space="preserve"> la</w:t>
      </w:r>
      <w:r w:rsidR="00E743C6">
        <w:t xml:space="preserve"> conducta, características necesarias para</w:t>
      </w:r>
      <w:r w:rsidR="00486B88">
        <w:t xml:space="preserve"> </w:t>
      </w:r>
      <w:r w:rsidR="00E743C6">
        <w:t xml:space="preserve">el aprendizaje activo </w:t>
      </w:r>
      <w:r w:rsidR="000D7582" w:rsidRPr="001360A3">
        <w:fldChar w:fldCharType="begin"/>
      </w:r>
      <w:r w:rsidR="00162765" w:rsidRPr="001360A3">
        <w:instrText xml:space="preserve"> ADDIN EN.CITE &lt;EndNote&gt;&lt;Cite&gt;&lt;Author&gt;Freire&lt;/Author&gt;&lt;Year&gt;2004&lt;/Year&gt;&lt;IDText&gt;Pedagogía de la autonomía: Saberes necesarios para la práctica educativa&lt;/IDText&gt;&lt;DisplayText&gt;(Freire, 2004; Vygotsky, 2012)&lt;/DisplayText&gt;&lt;record&gt;&lt;titles&gt;&lt;title&gt;Pedagogía de la autonomía: Saberes necesarios para la práctica educativa&lt;/title&gt;&lt;/titles&gt;&lt;contributors&gt;&lt;authors&gt;&lt;author&gt;Freire, P.&lt;/author&gt;&lt;/authors&gt;&lt;/contributors&gt;&lt;edition&gt;1&lt;/edition&gt;&lt;added-date format="utc"&gt;1690689318&lt;/added-date&gt;&lt;ref-type name="Book"&gt;6&lt;/ref-type&gt;&lt;dates&gt;&lt;year&gt;2004&lt;/year&gt;&lt;/dates&gt;&lt;rec-number&gt;1114&lt;/rec-number&gt;&lt;publisher&gt;Paz e Terra&lt;/publisher&gt;&lt;last-updated-date format="utc"&gt;1690689431&lt;/last-updated-date&gt;&lt;/record&gt;&lt;/Cite&gt;&lt;Cite&gt;&lt;Author&gt;Vygotsky&lt;/Author&gt;&lt;Year&gt;2012&lt;/Year&gt;&lt;IDText&gt;Pensamiento y Lenguaje&lt;/IDText&gt;&lt;record&gt;&lt;titles&gt;&lt;title&gt;Pensamiento y Lenguaje&lt;/title&gt;&lt;/titles&gt;&lt;contributors&gt;&lt;authors&gt;&lt;author&gt;Vygotsky, L. S.&lt;/author&gt;&lt;/authors&gt;&lt;/contributors&gt;&lt;added-date format="utc"&gt;1410286003&lt;/added-date&gt;&lt;pub-location&gt;México, D. F.&lt;/pub-location&gt;&lt;ref-type name="Book"&gt;6&lt;/ref-type&gt;&lt;dates&gt;&lt;year&gt;2012&lt;/year&gt;&lt;/dates&gt;&lt;rec-number&gt;493&lt;/rec-number&gt;&lt;publisher&gt;Ediciones Quinto Sol&lt;/publisher&gt;&lt;last-updated-date format="utc"&gt;1597157281&lt;/last-updated-date&gt;&lt;/record&gt;&lt;/Cite&gt;&lt;/EndNote&gt;</w:instrText>
      </w:r>
      <w:r w:rsidR="000D7582" w:rsidRPr="001360A3">
        <w:fldChar w:fldCharType="separate"/>
      </w:r>
      <w:r w:rsidR="00162765" w:rsidRPr="001360A3">
        <w:rPr>
          <w:noProof/>
        </w:rPr>
        <w:t>(Freire, 2004; Vygotsky, 2012)</w:t>
      </w:r>
      <w:r w:rsidR="000D7582" w:rsidRPr="001360A3">
        <w:fldChar w:fldCharType="end"/>
      </w:r>
      <w:r w:rsidR="000D7582" w:rsidRPr="001360A3">
        <w:t>.</w:t>
      </w:r>
    </w:p>
    <w:p w14:paraId="7AD3B90D" w14:textId="30BE5994" w:rsidR="000D7582" w:rsidRPr="00E34E64" w:rsidRDefault="00E90365" w:rsidP="0037717A">
      <w:pPr>
        <w:spacing w:after="0" w:line="360" w:lineRule="auto"/>
        <w:ind w:firstLine="709"/>
        <w:jc w:val="both"/>
      </w:pPr>
      <w:r>
        <w:t>Adicionalmente</w:t>
      </w:r>
      <w:r w:rsidR="00CA3BC9" w:rsidRPr="001360A3">
        <w:t xml:space="preserve"> </w:t>
      </w:r>
      <w:r w:rsidR="00F04D68">
        <w:t xml:space="preserve">se sabe que </w:t>
      </w:r>
      <w:r w:rsidR="004F7288">
        <w:t>durante el aprendi</w:t>
      </w:r>
      <w:r w:rsidR="004C486B">
        <w:t>z</w:t>
      </w:r>
      <w:r w:rsidR="004F7288">
        <w:t>aje</w:t>
      </w:r>
      <w:r w:rsidR="00CA3BC9" w:rsidRPr="001360A3">
        <w:t xml:space="preserve"> </w:t>
      </w:r>
      <w:r w:rsidR="004C486B">
        <w:t>se implican diversos</w:t>
      </w:r>
      <w:r w:rsidR="004C486B" w:rsidRPr="001360A3">
        <w:t xml:space="preserve"> procesos cognitivos</w:t>
      </w:r>
      <w:r w:rsidR="00D77B8E">
        <w:t xml:space="preserve"> </w:t>
      </w:r>
      <w:r>
        <w:t>en</w:t>
      </w:r>
      <w:r w:rsidR="00032D8A" w:rsidRPr="001360A3">
        <w:t xml:space="preserve"> el</w:t>
      </w:r>
      <w:r w:rsidR="00B5690D" w:rsidRPr="001360A3">
        <w:t xml:space="preserve"> trabajo colaborativo</w:t>
      </w:r>
      <w:r w:rsidR="00D77B8E">
        <w:t xml:space="preserve">, así que </w:t>
      </w:r>
      <w:r w:rsidR="00AE170E">
        <w:t>el diseño</w:t>
      </w:r>
      <w:r w:rsidR="00983B0D">
        <w:t xml:space="preserve"> de </w:t>
      </w:r>
      <w:r w:rsidR="005A0C73">
        <w:t>un instrumento de evaluación</w:t>
      </w:r>
      <w:r w:rsidR="00983B0D">
        <w:t xml:space="preserve"> </w:t>
      </w:r>
      <w:r w:rsidR="00BF5F24">
        <w:t xml:space="preserve">bajo la estrategia del panel de expertos, así como su estandarización mediante el análisis factorial, </w:t>
      </w:r>
      <w:r w:rsidR="00D77B8E">
        <w:t xml:space="preserve">debe considerar </w:t>
      </w:r>
      <w:r w:rsidR="004E5389">
        <w:t>una metodología</w:t>
      </w:r>
      <w:r w:rsidR="000623D0">
        <w:t xml:space="preserve"> </w:t>
      </w:r>
      <w:r w:rsidR="004E5389">
        <w:t xml:space="preserve">rigurosa </w:t>
      </w:r>
      <w:r>
        <w:t>acerca de</w:t>
      </w:r>
      <w:r w:rsidR="004E5389">
        <w:t xml:space="preserve"> las formas </w:t>
      </w:r>
      <w:r>
        <w:t>en que</w:t>
      </w:r>
      <w:r w:rsidR="004E5389">
        <w:t xml:space="preserve"> se evalúa el aprendizaje,</w:t>
      </w:r>
      <w:r w:rsidR="00D77B8E">
        <w:t xml:space="preserve"> de manera individual y en </w:t>
      </w:r>
      <w:r w:rsidR="00FD4BB6">
        <w:t>e</w:t>
      </w:r>
      <w:r w:rsidR="00D77B8E">
        <w:t xml:space="preserve">quipo </w:t>
      </w:r>
      <w:r w:rsidR="00BF5F24">
        <w:fldChar w:fldCharType="begin"/>
      </w:r>
      <w:r w:rsidR="00595F5E">
        <w:instrText xml:space="preserve"> ADDIN EN.CITE &lt;EndNote&gt;&lt;Cite&gt;&lt;Author&gt;Tovakol&lt;/Author&gt;&lt;Year&gt;2020&lt;/Year&gt;&lt;IDText&gt;Factor Analysis: a means for theory and  instrument development in support of construct   validity&lt;/IDText&gt;&lt;DisplayText&gt;(López-Gómez, 2018; Tovakol &amp;amp; Wetzel, 2020)&lt;/DisplayText&gt;&lt;record&gt;&lt;titles&gt;&lt;title&gt;Factor Analysis: a means for theory and  instrument development in support of construct   validity&lt;/title&gt;&lt;secondary-title&gt;International Journal of Medical Education&lt;/secondary-title&gt;&lt;/titles&gt;&lt;pages&gt;245-247&lt;/pages&gt;&lt;contributors&gt;&lt;authors&gt;&lt;author&gt;Tovakol, M.&lt;/author&gt;&lt;author&gt;Wetzel, A.&lt;/author&gt;&lt;/authors&gt;&lt;/contributors&gt;&lt;added-date format="utc"&gt;1728395946&lt;/added-date&gt;&lt;ref-type name="Journal Article"&gt;17&lt;/ref-type&gt;&lt;dates&gt;&lt;year&gt;2020&lt;/year&gt;&lt;/dates&gt;&lt;rec-number&gt;1357&lt;/rec-number&gt;&lt;last-updated-date format="utc"&gt;1728396159&lt;/last-updated-date&gt;&lt;electronic-resource-num&gt;10.5116/ijme.5f96.0f4a&lt;/electronic-resource-num&gt;&lt;volume&gt;11&lt;/volume&gt;&lt;/record&gt;&lt;/Cite&gt;&lt;Cite&gt;&lt;Author&gt;López-Gómez&lt;/Author&gt;&lt;Year&gt;2018&lt;/Year&gt;&lt;IDText&gt;El Método Delphi en la Investigación Actual en Educación: Una Revisión Teórica y Metodológica&lt;/IDText&gt;&lt;record&gt;&lt;urls&gt;&lt;related-urls&gt;&lt;url&gt;http://www.redalyc.org/articulo.oa?id=70653466002&lt;/url&gt;&lt;/related-urls&gt;&lt;/urls&gt;&lt;titles&gt;&lt;title&gt;El Método Delphi en la Investigación Actual en Educación: Una Revisión Teórica y Metodológica&lt;/title&gt;&lt;secondary-title&gt;Educación XX1&lt;/secondary-title&gt;&lt;/titles&gt;&lt;pages&gt;17-40&lt;/pages&gt;&lt;number&gt;1&lt;/number&gt;&lt;contributors&gt;&lt;authors&gt;&lt;author&gt;López-Gómez, E.&lt;/author&gt;&lt;/authors&gt;&lt;/contributors&gt;&lt;added-date format="utc"&gt;1658937082&lt;/added-date&gt;&lt;pub-location&gt;Madrid, España&lt;/pub-location&gt;&lt;ref-type name="Magazine Article"&gt;19&lt;/ref-type&gt;&lt;dates&gt;&lt;year&gt;2018&lt;/year&gt;&lt;/dates&gt;&lt;rec-number&gt;1015&lt;/rec-number&gt;&lt;publisher&gt;Universidad Nacional de Educación a Distancia&lt;/publisher&gt;&lt;last-updated-date format="utc"&gt;1734094381&lt;/last-updated-date&gt;&lt;electronic-resource-num&gt;doi: 10.5944/educXX1.15536&lt;/electronic-resource-num&gt;&lt;volume&gt;21&lt;/volume&gt;&lt;/record&gt;&lt;/Cite&gt;&lt;/EndNote&gt;</w:instrText>
      </w:r>
      <w:r w:rsidR="00BF5F24">
        <w:fldChar w:fldCharType="separate"/>
      </w:r>
      <w:r w:rsidR="00595F5E">
        <w:rPr>
          <w:noProof/>
        </w:rPr>
        <w:t>(López-Gómez, 2018; Tovakol &amp; Wetzel, 2020)</w:t>
      </w:r>
      <w:r w:rsidR="00BF5F24">
        <w:fldChar w:fldCharType="end"/>
      </w:r>
      <w:r w:rsidR="00983B0D">
        <w:t>.</w:t>
      </w:r>
    </w:p>
    <w:p w14:paraId="1A6CEE50" w14:textId="66C23EA2" w:rsidR="007E5735" w:rsidRPr="001360A3" w:rsidRDefault="00131054" w:rsidP="0037717A">
      <w:pPr>
        <w:spacing w:after="0" w:line="360" w:lineRule="auto"/>
        <w:ind w:firstLine="709"/>
        <w:jc w:val="both"/>
      </w:pPr>
      <w:r>
        <w:t>Además</w:t>
      </w:r>
      <w:r w:rsidR="006C2D90" w:rsidRPr="001360A3">
        <w:t>, a</w:t>
      </w:r>
      <w:r w:rsidR="007E5735" w:rsidRPr="001360A3">
        <w:t>l considerar el valor de la enseñanza</w:t>
      </w:r>
      <w:r w:rsidR="000D7582" w:rsidRPr="00F217E3">
        <w:t xml:space="preserve">, </w:t>
      </w:r>
      <w:r w:rsidR="00B5690D" w:rsidRPr="00F217E3">
        <w:fldChar w:fldCharType="begin"/>
      </w:r>
      <w:r w:rsidR="00B5690D" w:rsidRPr="00F217E3">
        <w:instrText xml:space="preserve"> ADDIN EN.CITE &lt;EndNote&gt;&lt;Cite&gt;&lt;Author&gt;Freire&lt;/Author&gt;&lt;Year&gt;1972&lt;/Year&gt;&lt;IDText&gt;Pedagogía del oprimido&lt;/IDText&gt;&lt;DisplayText&gt;(Freire, 1972; Morín, 1999)&lt;/DisplayText&gt;&lt;record&gt;&lt;titles&gt;&lt;title&gt;Pedagogía del oprimido&lt;/title&gt;&lt;/titles&gt;&lt;contributors&gt;&lt;authors&gt;&lt;author&gt;Freire, P.&lt;/author&gt;&lt;/authors&gt;&lt;/contributors&gt;&lt;added-date format="utc"&gt;1706356624&lt;/added-date&gt;&lt;ref-type name="Book"&gt;6&lt;/ref-type&gt;&lt;dates&gt;&lt;year&gt;1972&lt;/year&gt;&lt;/dates&gt;&lt;rec-number&gt;1180&lt;/rec-number&gt;&lt;publisher&gt;Siglo XXi Editores&lt;/publisher&gt;&lt;last-updated-date format="utc"&gt;1706356721&lt;/last-updated-date&gt;&lt;/record&gt;&lt;/Cite&gt;&lt;Cite&gt;&lt;Author&gt;Morín&lt;/Author&gt;&lt;Year&gt;1999&lt;/Year&gt;&lt;IDText&gt;Los siete saberes necesarios para la educación del futuro&lt;/IDText&gt;&lt;record&gt;&lt;titles&gt;&lt;title&gt;Los siete saberes necesarios para la educación del futuro&lt;/title&gt;&lt;/titles&gt;&lt;contributors&gt;&lt;authors&gt;&lt;author&gt;Morín, E.&lt;/author&gt;&lt;/authors&gt;&lt;/contributors&gt;&lt;edition&gt;1&lt;/edition&gt;&lt;added-date format="utc"&gt;1676046393&lt;/added-date&gt;&lt;pub-location&gt;París, Francia&lt;/pub-location&gt;&lt;ref-type name="Book"&gt;6&lt;/ref-type&gt;&lt;dates&gt;&lt;year&gt;1999&lt;/year&gt;&lt;/dates&gt;&lt;rec-number&gt;1053&lt;/rec-number&gt;&lt;publisher&gt;Organización de las Naciones Unidas para la Educación, la Ciencia y la Cultura&lt;/publisher&gt;&lt;last-updated-date format="utc"&gt;1676046600&lt;/last-updated-date&gt;&lt;/record&gt;&lt;/Cite&gt;&lt;/EndNote&gt;</w:instrText>
      </w:r>
      <w:r w:rsidR="00B5690D" w:rsidRPr="00F217E3">
        <w:fldChar w:fldCharType="separate"/>
      </w:r>
      <w:r w:rsidR="00B5690D" w:rsidRPr="00F217E3">
        <w:rPr>
          <w:noProof/>
        </w:rPr>
        <w:t xml:space="preserve">Freire </w:t>
      </w:r>
      <w:r w:rsidR="00AD7667">
        <w:rPr>
          <w:noProof/>
        </w:rPr>
        <w:t>(</w:t>
      </w:r>
      <w:r w:rsidR="00B5690D" w:rsidRPr="00F217E3">
        <w:rPr>
          <w:noProof/>
        </w:rPr>
        <w:t>1972</w:t>
      </w:r>
      <w:r w:rsidR="00AD7667">
        <w:rPr>
          <w:noProof/>
        </w:rPr>
        <w:t>) y</w:t>
      </w:r>
      <w:r w:rsidR="00B5690D" w:rsidRPr="00F217E3">
        <w:rPr>
          <w:noProof/>
        </w:rPr>
        <w:t xml:space="preserve"> Mor</w:t>
      </w:r>
      <w:r w:rsidR="004344B3">
        <w:rPr>
          <w:noProof/>
        </w:rPr>
        <w:t>i</w:t>
      </w:r>
      <w:r w:rsidR="00B5690D" w:rsidRPr="00F217E3">
        <w:rPr>
          <w:noProof/>
        </w:rPr>
        <w:t xml:space="preserve">n </w:t>
      </w:r>
      <w:r w:rsidR="00AD7667">
        <w:rPr>
          <w:noProof/>
        </w:rPr>
        <w:t>(</w:t>
      </w:r>
      <w:r w:rsidR="00B5690D" w:rsidRPr="00F217E3">
        <w:rPr>
          <w:noProof/>
        </w:rPr>
        <w:t>1999)</w:t>
      </w:r>
      <w:r w:rsidR="00B5690D" w:rsidRPr="00F217E3">
        <w:fldChar w:fldCharType="end"/>
      </w:r>
      <w:r w:rsidR="00B5690D" w:rsidRPr="004F7288">
        <w:rPr>
          <w:color w:val="FF0000"/>
        </w:rPr>
        <w:t xml:space="preserve"> </w:t>
      </w:r>
      <w:r w:rsidR="00B5690D" w:rsidRPr="001360A3">
        <w:t xml:space="preserve">coinciden </w:t>
      </w:r>
      <w:r w:rsidR="005035E5">
        <w:t>en</w:t>
      </w:r>
      <w:r w:rsidR="004F7288">
        <w:t xml:space="preserve"> </w:t>
      </w:r>
      <w:r w:rsidR="00B5690D" w:rsidRPr="001360A3">
        <w:t xml:space="preserve">que </w:t>
      </w:r>
      <w:r w:rsidR="000D7582" w:rsidRPr="001360A3">
        <w:t xml:space="preserve">enseñar </w:t>
      </w:r>
      <w:r w:rsidR="006D6736">
        <w:t xml:space="preserve">debe </w:t>
      </w:r>
      <w:r w:rsidR="000D7582" w:rsidRPr="001360A3">
        <w:t>desp</w:t>
      </w:r>
      <w:r w:rsidR="006D6736">
        <w:t>ertar</w:t>
      </w:r>
      <w:r w:rsidR="000D7582" w:rsidRPr="001360A3">
        <w:t xml:space="preserve"> curiosidad y creatividad</w:t>
      </w:r>
      <w:r w:rsidR="00572AF9" w:rsidRPr="001360A3">
        <w:t xml:space="preserve"> en el </w:t>
      </w:r>
      <w:r w:rsidR="004344B3">
        <w:t>estudiante</w:t>
      </w:r>
      <w:r w:rsidR="000D7582" w:rsidRPr="001360A3">
        <w:t xml:space="preserve">, lo que está asociado a </w:t>
      </w:r>
      <w:r w:rsidR="00990555" w:rsidRPr="001360A3">
        <w:t>deseos</w:t>
      </w:r>
      <w:r w:rsidR="000D7582" w:rsidRPr="001360A3">
        <w:t xml:space="preserve"> de libertad </w:t>
      </w:r>
      <w:r w:rsidR="00F073E6" w:rsidRPr="001360A3">
        <w:t xml:space="preserve">y </w:t>
      </w:r>
      <w:r w:rsidR="00990555" w:rsidRPr="001360A3">
        <w:t xml:space="preserve">crecimiento, </w:t>
      </w:r>
      <w:r w:rsidR="006D6736">
        <w:t>por lo que el docente debe</w:t>
      </w:r>
      <w:r w:rsidR="0069321F">
        <w:t xml:space="preserve"> </w:t>
      </w:r>
      <w:r w:rsidR="00F073E6" w:rsidRPr="001360A3">
        <w:t>compren</w:t>
      </w:r>
      <w:r w:rsidR="0069321F">
        <w:t>der</w:t>
      </w:r>
      <w:r w:rsidR="00990555" w:rsidRPr="001360A3">
        <w:t xml:space="preserve"> la condición</w:t>
      </w:r>
      <w:r w:rsidR="00F073E6" w:rsidRPr="001360A3">
        <w:t xml:space="preserve"> humana</w:t>
      </w:r>
      <w:r w:rsidR="00CA02E0" w:rsidRPr="001360A3">
        <w:t xml:space="preserve"> de quien aprende</w:t>
      </w:r>
      <w:r w:rsidR="00572AF9" w:rsidRPr="001360A3">
        <w:t>.</w:t>
      </w:r>
      <w:r w:rsidR="00F073E6" w:rsidRPr="001360A3">
        <w:t xml:space="preserve"> Esto representa </w:t>
      </w:r>
      <w:r w:rsidR="0027466A" w:rsidRPr="001360A3">
        <w:t>grandes</w:t>
      </w:r>
      <w:r w:rsidR="00CA02E0" w:rsidRPr="001360A3">
        <w:t xml:space="preserve"> desafíos</w:t>
      </w:r>
      <w:r w:rsidR="0027466A" w:rsidRPr="001360A3">
        <w:t xml:space="preserve"> para </w:t>
      </w:r>
      <w:r w:rsidR="00E90365">
        <w:t xml:space="preserve">la </w:t>
      </w:r>
      <w:r w:rsidR="0027466A" w:rsidRPr="001360A3">
        <w:t>incorpora</w:t>
      </w:r>
      <w:r w:rsidR="00E90365">
        <w:t>ción</w:t>
      </w:r>
      <w:r w:rsidR="0027466A" w:rsidRPr="001360A3">
        <w:t xml:space="preserve"> en la enseñanza </w:t>
      </w:r>
      <w:r w:rsidR="001F1187">
        <w:t xml:space="preserve">de </w:t>
      </w:r>
      <w:r w:rsidR="00C30FF0" w:rsidRPr="001360A3">
        <w:t xml:space="preserve">diversos </w:t>
      </w:r>
      <w:r w:rsidR="0027466A" w:rsidRPr="001360A3">
        <w:t>constructos</w:t>
      </w:r>
      <w:r w:rsidR="00775583" w:rsidRPr="001360A3">
        <w:t xml:space="preserve"> que permitan evaluar </w:t>
      </w:r>
      <w:r w:rsidR="00C30FF0" w:rsidRPr="001360A3">
        <w:t xml:space="preserve">el aprendizaje </w:t>
      </w:r>
      <w:r w:rsidR="00775583" w:rsidRPr="001360A3">
        <w:t>a través de indicadores de desempe</w:t>
      </w:r>
      <w:r w:rsidR="003A650A">
        <w:t>ñ</w:t>
      </w:r>
      <w:r w:rsidR="00775583" w:rsidRPr="001360A3">
        <w:t>o</w:t>
      </w:r>
      <w:r w:rsidR="00276214">
        <w:t>,</w:t>
      </w:r>
      <w:r w:rsidR="006D6736">
        <w:t xml:space="preserve"> </w:t>
      </w:r>
      <w:r w:rsidR="001F1187">
        <w:t>desde</w:t>
      </w:r>
      <w:r w:rsidR="006D6736">
        <w:t xml:space="preserve"> una perspectiva humanista</w:t>
      </w:r>
      <w:r w:rsidR="00775583" w:rsidRPr="001360A3">
        <w:t xml:space="preserve">. </w:t>
      </w:r>
    </w:p>
    <w:p w14:paraId="7A783724" w14:textId="325B3500" w:rsidR="005035E5" w:rsidRDefault="00F152E4" w:rsidP="0037717A">
      <w:pPr>
        <w:spacing w:after="0" w:line="360" w:lineRule="auto"/>
        <w:ind w:firstLine="709"/>
        <w:jc w:val="both"/>
      </w:pPr>
      <w:r>
        <w:t>P</w:t>
      </w:r>
      <w:r w:rsidR="00D77B8E">
        <w:t>or lo anterior, l</w:t>
      </w:r>
      <w:r w:rsidR="00025A15">
        <w:t xml:space="preserve">a </w:t>
      </w:r>
      <w:r w:rsidR="0059359A">
        <w:t>determinación</w:t>
      </w:r>
      <w:r w:rsidR="00025A15">
        <w:t xml:space="preserve"> de constructos </w:t>
      </w:r>
      <w:r w:rsidR="004F7288">
        <w:t>en el diseño de</w:t>
      </w:r>
      <w:r w:rsidR="00025A15">
        <w:t xml:space="preserve">l instrumento de evaluación para </w:t>
      </w:r>
      <w:r w:rsidR="004F7288">
        <w:t xml:space="preserve">medir </w:t>
      </w:r>
      <w:r w:rsidR="00025A15">
        <w:t>el logro de competencias profesionales</w:t>
      </w:r>
      <w:r w:rsidR="005035E5">
        <w:t>,</w:t>
      </w:r>
      <w:r w:rsidR="00025A15">
        <w:t xml:space="preserve"> </w:t>
      </w:r>
      <w:r w:rsidR="00131054">
        <w:t>permitió identificar</w:t>
      </w:r>
      <w:r w:rsidR="00215DC6">
        <w:t xml:space="preserve"> </w:t>
      </w:r>
      <w:r w:rsidR="00AE170E">
        <w:t xml:space="preserve">desempeños profesionales </w:t>
      </w:r>
      <w:r w:rsidR="007E54B5">
        <w:t>mediante un análisis de contenido</w:t>
      </w:r>
      <w:r w:rsidR="001F1187">
        <w:t>. Este análisis se realizó durante</w:t>
      </w:r>
      <w:r w:rsidR="00AC2469">
        <w:t xml:space="preserve"> la consulta del diseño del nuevo modelo</w:t>
      </w:r>
      <w:r w:rsidR="00AE170E">
        <w:t xml:space="preserve"> educativo del Tecnológico Nacional de México (TecNM, 2024) y</w:t>
      </w:r>
      <w:r w:rsidR="002F51B4">
        <w:t xml:space="preserve"> del perfil de egreso en programas académicos de ingeniería</w:t>
      </w:r>
      <w:r w:rsidR="007E54B5">
        <w:t xml:space="preserve">, </w:t>
      </w:r>
      <w:r w:rsidR="004F7288">
        <w:t>definidos por los organismos acreditadore</w:t>
      </w:r>
      <w:r w:rsidR="007E54B5">
        <w:t>s</w:t>
      </w:r>
      <w:r w:rsidR="004F7288">
        <w:t xml:space="preserve"> nacionales e internacionales</w:t>
      </w:r>
      <w:r w:rsidR="00D41E8B">
        <w:t>, tal</w:t>
      </w:r>
      <w:r w:rsidR="001F1187">
        <w:t>es</w:t>
      </w:r>
      <w:r w:rsidR="00D41E8B">
        <w:t xml:space="preserve"> como el </w:t>
      </w:r>
      <w:r w:rsidR="005035E5">
        <w:t>Acuerdo de Washington</w:t>
      </w:r>
      <w:r w:rsidR="00D41E8B">
        <w:t xml:space="preserve"> y </w:t>
      </w:r>
      <w:r w:rsidR="005035E5">
        <w:t xml:space="preserve">el Consejo de Acreditación para la Enseñanza de la Ingeniería, CACEI </w:t>
      </w:r>
      <w:r w:rsidR="005035E5">
        <w:fldChar w:fldCharType="begin"/>
      </w:r>
      <w:r w:rsidR="00595F5E">
        <w:instrText xml:space="preserve"> ADDIN EN.CITE &lt;EndNote&gt;&lt;Cite&gt;&lt;Author&gt;Loría&lt;/Author&gt;&lt;Year&gt;2024&lt;/Year&gt;&lt;IDText&gt;Manual del Marco de Referencia 2025 (MR 2025) para la acreditación de programas de Ingeniería. Categorías y criterios&lt;/IDText&gt;&lt;DisplayText&gt;(IEA, 2021; Loría et al., 2024)&lt;/DisplayText&gt;&lt;record&gt;&lt;urls&gt;&lt;related-urls&gt;&lt;url&gt;https://cacei.org.mx/objs/crsl/carr01.pdf&lt;/url&gt;&lt;/related-urls&gt;&lt;/urls&gt;&lt;titles&gt;&lt;title&gt;Manual del Marco de Referencia 2025 (MR 2025) para la acreditación de programas de Ingeniería. Categorías y criterios&lt;/title&gt;&lt;/titles&gt;&lt;number&gt;11 de septiembre&lt;/number&gt;&lt;contributors&gt;&lt;authors&gt;&lt;author&gt;Loría, J. H.&lt;/author&gt;&lt;author&gt;Romero, M. A.&lt;/author&gt;&lt;author&gt;Valle, B.&lt;/author&gt;&lt;/authors&gt;&lt;/contributors&gt;&lt;added-date format="utc"&gt;1731460723&lt;/added-date&gt;&lt;ref-type name="Web Page"&gt;12&lt;/ref-type&gt;&lt;dates&gt;&lt;year&gt;2024&lt;/year&gt;&lt;/dates&gt;&lt;rec-number&gt;1375&lt;/rec-number&gt;&lt;publisher&gt;Consejo de Acreditación de la Enseñanza de la Ingeniería, A. C.&lt;/publisher&gt;&lt;last-updated-date format="utc"&gt;1731461098&lt;/last-updated-date&gt;&lt;volume&gt;2024&lt;/volume&gt;&lt;/record&gt;&lt;/Cite&gt;&lt;Cite&gt;&lt;Author&gt;IEA&lt;/Author&gt;&lt;Year&gt;2021&lt;/Year&gt;&lt;IDText&gt;International Engineering Alliance: Alianza Internacional de Ingeniería. Atributos del Egresado y Competencias Profesionales&lt;/IDText&gt;&lt;record&gt;&lt;urls&gt;&lt;related-urls&gt;&lt;url&gt;https://www.myendnoteweb.com/EndNoteWeb.html?func=new&amp;amp;&lt;/url&gt;&lt;/related-urls&gt;&lt;/urls&gt;&lt;titles&gt;&lt;title&gt;International Engineering Alliance: Alianza Internacional de Ingeniería. Atributos del Egresado y Competencias Profesionales&lt;/title&gt;&lt;/titles&gt;&lt;contributors&gt;&lt;authors&gt;&lt;author&gt;IEA, 2021&lt;/author&gt;&lt;/authors&gt;&lt;/contributors&gt;&lt;added-date format="utc"&gt;1707674775&lt;/added-date&gt;&lt;ref-type name="Electronic Book"&gt;44&lt;/ref-type&gt;&lt;dates&gt;&lt;year&gt;2021&lt;/year&gt;&lt;/dates&gt;&lt;rec-number&gt;1197&lt;/rec-number&gt;&lt;last-updated-date format="utc"&gt;1707674977&lt;/last-updated-date&gt;&lt;contributors&gt;&lt;secondary-authors&gt;&lt;author&gt;Alianza Internacional de Ingeniería&lt;/author&gt;&lt;/secondary-authors&gt;&lt;/contributors&gt;&lt;/record&gt;&lt;/Cite&gt;&lt;/EndNote&gt;</w:instrText>
      </w:r>
      <w:r w:rsidR="005035E5">
        <w:fldChar w:fldCharType="separate"/>
      </w:r>
      <w:r w:rsidR="00595F5E">
        <w:rPr>
          <w:noProof/>
        </w:rPr>
        <w:t>(IEA, 2021; Loría et al., 2024)</w:t>
      </w:r>
      <w:r w:rsidR="005035E5">
        <w:fldChar w:fldCharType="end"/>
      </w:r>
      <w:r w:rsidR="005035E5">
        <w:t>.</w:t>
      </w:r>
    </w:p>
    <w:p w14:paraId="40E3A7AA" w14:textId="0F82AC9D" w:rsidR="00060A24" w:rsidRDefault="004F7288" w:rsidP="0037717A">
      <w:pPr>
        <w:spacing w:after="0" w:line="360" w:lineRule="auto"/>
        <w:ind w:firstLine="709"/>
        <w:jc w:val="both"/>
      </w:pPr>
      <w:r>
        <w:lastRenderedPageBreak/>
        <w:t>El</w:t>
      </w:r>
      <w:r w:rsidR="008164A7" w:rsidRPr="001360A3">
        <w:t xml:space="preserve"> análisis de contenido se basa en gran medida en la propuesta metodológica de </w:t>
      </w:r>
      <w:r w:rsidR="008164A7" w:rsidRPr="001360A3">
        <w:fldChar w:fldCharType="begin"/>
      </w:r>
      <w:r w:rsidR="00595F5E">
        <w:instrText xml:space="preserve"> ADDIN EN.CITE &lt;EndNote&gt;&lt;Cite&gt;&lt;Author&gt;Krippendorff&lt;/Author&gt;&lt;Year&gt;1990&lt;/Year&gt;&lt;IDText&gt;Metodología de Análisis de Contenido. Teoría y práctica&lt;/IDText&gt;&lt;DisplayText&gt;(Krippendorff, 1990; Piñeiro-Naval, 2020)&lt;/DisplayText&gt;&lt;record&gt;&lt;titles&gt;&lt;title&gt;Metodología de Análisis de Contenido. Teoría y práctica&lt;/title&gt;&lt;/titles&gt;&lt;contributors&gt;&lt;authors&gt;&lt;author&gt;Krippendorff, K.&lt;/author&gt;&lt;/authors&gt;&lt;/contributors&gt;&lt;added-date format="utc"&gt;1696484630&lt;/added-date&gt;&lt;ref-type name="Book"&gt;6&lt;/ref-type&gt;&lt;dates&gt;&lt;year&gt;1990&lt;/year&gt;&lt;/dates&gt;&lt;rec-number&gt;1149&lt;/rec-number&gt;&lt;publisher&gt;Paidós Comunicación&lt;/publisher&gt;&lt;last-updated-date format="utc"&gt;1696484738&lt;/last-updated-date&gt;&lt;/record&gt;&lt;/Cite&gt;&lt;Cite&gt;&lt;Author&gt;Piñeiro-Naval&lt;/Author&gt;&lt;Year&gt;2020&lt;/Year&gt;&lt;IDText&gt;La metodología de análisis de contenido. Usos y aplicaciones en la  investigación comunicativa del ámbito hispánico   &lt;/IDText&gt;&lt;record&gt;&lt;titles&gt;&lt;title&gt;La metodología de análisis de contenido. Usos y aplicaciones en la  investigación comunicativa del ámbito hispánico   &lt;/title&gt;&lt;secondary-title&gt;Comunicación y sociedad&lt;/secondary-title&gt;&lt;/titles&gt;&lt;pages&gt;1-16&lt;/pages&gt;&lt;number&gt;3&lt;/number&gt;&lt;contributors&gt;&lt;authors&gt;&lt;author&gt;Piñeiro-Naval, V.&lt;/author&gt;&lt;/authors&gt;&lt;/contributors&gt;&lt;added-date format="utc"&gt;1730924409&lt;/added-date&gt;&lt;ref-type name="Magazine Article"&gt;19&lt;/ref-type&gt;&lt;dates&gt;&lt;year&gt;2020&lt;/year&gt;&lt;/dates&gt;&lt;rec-number&gt;1374&lt;/rec-number&gt;&lt;last-updated-date format="utc"&gt;1730924570&lt;/last-updated-date&gt;&lt;volume&gt;33&lt;/volume&gt;&lt;/record&gt;&lt;/Cite&gt;&lt;/EndNote&gt;</w:instrText>
      </w:r>
      <w:r w:rsidR="008164A7" w:rsidRPr="001360A3">
        <w:fldChar w:fldCharType="separate"/>
      </w:r>
      <w:r w:rsidR="00595F5E">
        <w:rPr>
          <w:noProof/>
        </w:rPr>
        <w:t xml:space="preserve">Krippendorff </w:t>
      </w:r>
      <w:r w:rsidR="00AD7667">
        <w:rPr>
          <w:noProof/>
        </w:rPr>
        <w:t>(</w:t>
      </w:r>
      <w:r w:rsidR="00595F5E">
        <w:rPr>
          <w:noProof/>
        </w:rPr>
        <w:t>1990</w:t>
      </w:r>
      <w:r w:rsidR="001F1187">
        <w:rPr>
          <w:noProof/>
        </w:rPr>
        <w:t>)</w:t>
      </w:r>
      <w:r w:rsidR="00AD7667">
        <w:rPr>
          <w:noProof/>
        </w:rPr>
        <w:t xml:space="preserve"> y</w:t>
      </w:r>
      <w:r w:rsidR="00595F5E">
        <w:rPr>
          <w:noProof/>
        </w:rPr>
        <w:t xml:space="preserve"> Piñeiro-Naval</w:t>
      </w:r>
      <w:r w:rsidR="001F1187">
        <w:rPr>
          <w:noProof/>
        </w:rPr>
        <w:t xml:space="preserve"> (</w:t>
      </w:r>
      <w:r w:rsidR="00595F5E">
        <w:rPr>
          <w:noProof/>
        </w:rPr>
        <w:t>2020)</w:t>
      </w:r>
      <w:r w:rsidR="008164A7" w:rsidRPr="001360A3">
        <w:fldChar w:fldCharType="end"/>
      </w:r>
      <w:r w:rsidR="008164A7" w:rsidRPr="001360A3">
        <w:t>. Los autores proporcionan un marco teórico y práctico para llevar a cabo este análisis. El enfoque abarca la identificación de unidades de análisis</w:t>
      </w:r>
      <w:r w:rsidR="009F4FD8" w:rsidRPr="001360A3">
        <w:t xml:space="preserve"> y</w:t>
      </w:r>
      <w:r w:rsidR="008164A7" w:rsidRPr="001360A3">
        <w:t xml:space="preserve"> su agrupación en categorías que conducen a la interpretación y significado. En este </w:t>
      </w:r>
      <w:r w:rsidR="00990555" w:rsidRPr="001360A3">
        <w:t>estudio</w:t>
      </w:r>
      <w:r w:rsidR="008164A7" w:rsidRPr="001360A3">
        <w:t>, las categorías</w:t>
      </w:r>
      <w:r w:rsidR="00AE59C5">
        <w:t xml:space="preserve"> en el instrumento de evaluación</w:t>
      </w:r>
      <w:r w:rsidR="008164A7" w:rsidRPr="001360A3">
        <w:t xml:space="preserve"> </w:t>
      </w:r>
      <w:r w:rsidR="000C3B4D">
        <w:t xml:space="preserve">se </w:t>
      </w:r>
      <w:r w:rsidR="008164A7" w:rsidRPr="001360A3">
        <w:t xml:space="preserve">representaron </w:t>
      </w:r>
      <w:r w:rsidR="000C3B4D">
        <w:t xml:space="preserve">por </w:t>
      </w:r>
      <w:r w:rsidR="008164A7" w:rsidRPr="001360A3">
        <w:t>los indicadores de alcance</w:t>
      </w:r>
      <w:r w:rsidR="006C2D90" w:rsidRPr="001360A3">
        <w:t xml:space="preserve"> como variables latentes</w:t>
      </w:r>
      <w:r w:rsidR="000C3B4D">
        <w:t xml:space="preserve">, siendo </w:t>
      </w:r>
      <w:r w:rsidR="006C2D90" w:rsidRPr="001360A3">
        <w:t>los ítems del instrumento</w:t>
      </w:r>
      <w:r w:rsidR="00060A24">
        <w:t xml:space="preserve"> de evaluación</w:t>
      </w:r>
      <w:r w:rsidR="006C2D90" w:rsidRPr="001360A3">
        <w:t xml:space="preserve"> </w:t>
      </w:r>
      <w:r w:rsidR="000C3B4D">
        <w:t>l</w:t>
      </w:r>
      <w:r w:rsidR="006D6736">
        <w:t>as variables</w:t>
      </w:r>
      <w:r w:rsidR="006C2D90" w:rsidRPr="001360A3">
        <w:t xml:space="preserve"> observables</w:t>
      </w:r>
      <w:r w:rsidR="002F51B4">
        <w:t>.</w:t>
      </w:r>
      <w:r w:rsidR="00865832">
        <w:t xml:space="preserve"> Estas variables latentes</w:t>
      </w:r>
      <w:r w:rsidR="002F51B4">
        <w:t xml:space="preserve"> </w:t>
      </w:r>
      <w:r w:rsidR="00865832">
        <w:t>representan los indicadores mínimos en la formación de ingenieros</w:t>
      </w:r>
      <w:r w:rsidR="00276214">
        <w:t xml:space="preserve">: </w:t>
      </w:r>
      <w:r w:rsidR="001F1187">
        <w:t xml:space="preserve">la international Engineering Alliance (IEA) </w:t>
      </w:r>
      <w:r w:rsidR="00276214">
        <w:t>l</w:t>
      </w:r>
      <w:r w:rsidR="001F1187">
        <w:t>e</w:t>
      </w:r>
      <w:r w:rsidR="00276214">
        <w:t>s den</w:t>
      </w:r>
      <w:r w:rsidR="004344B3">
        <w:t>o</w:t>
      </w:r>
      <w:r w:rsidR="00276214">
        <w:t>minan atributos de egreso</w:t>
      </w:r>
      <w:r w:rsidR="00865832">
        <w:t xml:space="preserve"> (</w:t>
      </w:r>
      <w:r w:rsidR="00865832">
        <w:rPr>
          <w:noProof/>
        </w:rPr>
        <w:t>IEA, 2021)</w:t>
      </w:r>
      <w:r w:rsidR="008164A7" w:rsidRPr="001360A3">
        <w:t>.</w:t>
      </w:r>
    </w:p>
    <w:p w14:paraId="4D795D22" w14:textId="61B2A455" w:rsidR="004F7288" w:rsidRDefault="00131054" w:rsidP="0037717A">
      <w:pPr>
        <w:spacing w:after="0" w:line="360" w:lineRule="auto"/>
        <w:ind w:firstLine="709"/>
        <w:jc w:val="both"/>
      </w:pPr>
      <w:r>
        <w:t>Así</w:t>
      </w:r>
      <w:r w:rsidR="00C30FF0" w:rsidRPr="001360A3">
        <w:t>,</w:t>
      </w:r>
      <w:r w:rsidR="00990555" w:rsidRPr="001360A3">
        <w:t xml:space="preserve"> en el presente estudio de investigación</w:t>
      </w:r>
      <w:r w:rsidR="00C30FF0" w:rsidRPr="001360A3">
        <w:t xml:space="preserve"> </w:t>
      </w:r>
      <w:r w:rsidR="008164A7" w:rsidRPr="001360A3">
        <w:t xml:space="preserve">se actualizaron </w:t>
      </w:r>
      <w:r w:rsidR="00162765" w:rsidRPr="001360A3">
        <w:t xml:space="preserve">los </w:t>
      </w:r>
      <w:r w:rsidR="00162765" w:rsidRPr="001360A3">
        <w:rPr>
          <w:i/>
          <w:iCs/>
        </w:rPr>
        <w:t>indicadores a lograr</w:t>
      </w:r>
      <w:r w:rsidR="00162765" w:rsidRPr="001360A3">
        <w:t xml:space="preserve"> establecidos en el</w:t>
      </w:r>
      <w:r w:rsidR="0027466A" w:rsidRPr="001360A3">
        <w:t xml:space="preserve"> </w:t>
      </w:r>
      <w:r w:rsidR="00162765" w:rsidRPr="001360A3">
        <w:t xml:space="preserve">Manual de </w:t>
      </w:r>
      <w:r w:rsidR="000C3B4D">
        <w:t>a</w:t>
      </w:r>
      <w:r w:rsidR="00162765" w:rsidRPr="001360A3">
        <w:t xml:space="preserve">creditación de </w:t>
      </w:r>
      <w:r w:rsidR="000C3B4D">
        <w:t>a</w:t>
      </w:r>
      <w:r w:rsidR="00162765" w:rsidRPr="001360A3">
        <w:t>signaturas</w:t>
      </w:r>
      <w:r w:rsidR="003F674A" w:rsidRPr="001360A3">
        <w:t xml:space="preserve"> de una institución de educación superior del gobierno mexicano</w:t>
      </w:r>
      <w:r w:rsidR="00215DC6">
        <w:t>.</w:t>
      </w:r>
      <w:r w:rsidR="00F152E4">
        <w:t xml:space="preserve"> </w:t>
      </w:r>
      <w:r w:rsidR="00C52BEF" w:rsidRPr="00C52BEF">
        <w:t>E</w:t>
      </w:r>
      <w:r w:rsidR="009F4FD8" w:rsidRPr="001360A3">
        <w:t>n la redacción y nomenclatur</w:t>
      </w:r>
      <w:r w:rsidR="00462108" w:rsidRPr="001360A3">
        <w:t>a</w:t>
      </w:r>
      <w:r w:rsidR="00D41EAD" w:rsidRPr="001360A3">
        <w:t xml:space="preserve"> de estos criterios de evaluación del aprendizaje</w:t>
      </w:r>
      <w:r w:rsidR="009F4FD8" w:rsidRPr="001360A3">
        <w:t xml:space="preserve">, </w:t>
      </w:r>
      <w:r w:rsidR="004036B8" w:rsidRPr="001360A3">
        <w:t>hay indicios de la presencia de indicadores de desempeño</w:t>
      </w:r>
      <w:r w:rsidR="009F4FD8" w:rsidRPr="001360A3">
        <w:t xml:space="preserve">; sin embargo, </w:t>
      </w:r>
      <w:r w:rsidR="00D41EAD" w:rsidRPr="001360A3">
        <w:t xml:space="preserve">también se percibe que </w:t>
      </w:r>
      <w:r w:rsidR="009F4FD8" w:rsidRPr="001360A3">
        <w:t>hay</w:t>
      </w:r>
      <w:r w:rsidR="004036B8" w:rsidRPr="001360A3">
        <w:t xml:space="preserve"> </w:t>
      </w:r>
      <w:r w:rsidR="00657EB0" w:rsidRPr="001360A3">
        <w:t>redundancia</w:t>
      </w:r>
      <w:r w:rsidR="003F77EA">
        <w:t xml:space="preserve"> y traslape conceptual. Por ejemplo</w:t>
      </w:r>
      <w:r w:rsidR="00BA1332">
        <w:t>,</w:t>
      </w:r>
      <w:r w:rsidR="004036B8" w:rsidRPr="001360A3">
        <w:t xml:space="preserve"> el concepto</w:t>
      </w:r>
      <w:r w:rsidR="00D41EAD" w:rsidRPr="001360A3">
        <w:t xml:space="preserve"> </w:t>
      </w:r>
      <w:r w:rsidR="004036B8" w:rsidRPr="001360A3">
        <w:rPr>
          <w:i/>
          <w:iCs/>
        </w:rPr>
        <w:t>“interdisciplinaria”</w:t>
      </w:r>
      <w:r w:rsidR="004036B8" w:rsidRPr="001360A3">
        <w:t xml:space="preserve"> </w:t>
      </w:r>
      <w:r w:rsidR="006C2D90" w:rsidRPr="001360A3">
        <w:t xml:space="preserve">del inciso </w:t>
      </w:r>
      <w:r w:rsidR="00060A24">
        <w:t>5</w:t>
      </w:r>
      <w:r w:rsidR="006C2D90" w:rsidRPr="001360A3">
        <w:t>)</w:t>
      </w:r>
      <w:r w:rsidR="004344B3">
        <w:t xml:space="preserve"> del manual de acreditación</w:t>
      </w:r>
      <w:r w:rsidR="006C2D90" w:rsidRPr="001360A3">
        <w:t xml:space="preserve"> </w:t>
      </w:r>
      <w:r w:rsidR="004036B8" w:rsidRPr="001360A3">
        <w:t>sugiere que forma parte de</w:t>
      </w:r>
      <w:r w:rsidR="00060A24">
        <w:t>l</w:t>
      </w:r>
      <w:r w:rsidR="004036B8" w:rsidRPr="001360A3">
        <w:t xml:space="preserve"> pensamiento complejo</w:t>
      </w:r>
      <w:r w:rsidR="006C2D90" w:rsidRPr="001360A3">
        <w:t xml:space="preserve"> </w:t>
      </w:r>
      <w:r w:rsidR="00930B28" w:rsidRPr="001360A3">
        <w:t>previsto en el</w:t>
      </w:r>
      <w:r w:rsidR="00060A24">
        <w:t xml:space="preserve"> primer</w:t>
      </w:r>
      <w:r w:rsidR="007E54B5">
        <w:t xml:space="preserve"> </w:t>
      </w:r>
      <w:r w:rsidR="00060A24">
        <w:t>indicador</w:t>
      </w:r>
      <w:r w:rsidR="003F77EA">
        <w:t xml:space="preserve"> (TecNM, 2016</w:t>
      </w:r>
      <w:r w:rsidR="00AD7667">
        <w:t>,</w:t>
      </w:r>
      <w:r w:rsidR="004344B3">
        <w:t xml:space="preserve"> p.</w:t>
      </w:r>
      <w:r w:rsidR="00AD7667">
        <w:t xml:space="preserve"> 17</w:t>
      </w:r>
      <w:r w:rsidR="003F77EA">
        <w:t>)</w:t>
      </w:r>
      <w:r w:rsidR="003F77EA" w:rsidRPr="00C03B3A">
        <w:t>.</w:t>
      </w:r>
      <w:r w:rsidR="003F77EA" w:rsidRPr="003F77EA">
        <w:rPr>
          <w:color w:val="FF0000"/>
        </w:rPr>
        <w:t xml:space="preserve"> </w:t>
      </w:r>
      <w:r w:rsidR="00B1240F">
        <w:t>Al realizar</w:t>
      </w:r>
      <w:r w:rsidR="00657EB0" w:rsidRPr="001360A3">
        <w:t xml:space="preserve"> </w:t>
      </w:r>
      <w:r w:rsidR="00865832">
        <w:t xml:space="preserve">el </w:t>
      </w:r>
      <w:r w:rsidR="00657EB0" w:rsidRPr="001360A3">
        <w:t>análisis de contenido de estos indicadores y las demandas internacionales de calidad en la formación de ingenieros</w:t>
      </w:r>
      <w:r w:rsidR="00995D7E" w:rsidRPr="001360A3">
        <w:t>,</w:t>
      </w:r>
      <w:r w:rsidR="00657EB0" w:rsidRPr="001360A3">
        <w:t xml:space="preserve"> </w:t>
      </w:r>
      <w:r w:rsidR="00B1240F">
        <w:t>se</w:t>
      </w:r>
      <w:r w:rsidR="0059359A">
        <w:t xml:space="preserve"> determinaron y </w:t>
      </w:r>
      <w:r w:rsidR="00B1240F">
        <w:t xml:space="preserve">definieron once </w:t>
      </w:r>
      <w:r w:rsidR="0059359A">
        <w:t>variables</w:t>
      </w:r>
      <w:r w:rsidR="00B1240F">
        <w:t xml:space="preserve"> para</w:t>
      </w:r>
      <w:r w:rsidR="00657EB0" w:rsidRPr="001360A3">
        <w:t xml:space="preserve"> la construcción del</w:t>
      </w:r>
      <w:r w:rsidR="00865832">
        <w:t xml:space="preserve"> modelo </w:t>
      </w:r>
      <w:r w:rsidR="00657EB0" w:rsidRPr="001360A3">
        <w:t>teórico del instrumento de evaluación</w:t>
      </w:r>
      <w:r w:rsidR="00B1240F">
        <w:t>, mismo que se someti</w:t>
      </w:r>
      <w:r w:rsidR="00276214">
        <w:t>ó</w:t>
      </w:r>
      <w:r w:rsidR="00B1240F">
        <w:t xml:space="preserve"> a su validez de contenido y de constructo</w:t>
      </w:r>
      <w:r w:rsidR="004344B3">
        <w:t>,</w:t>
      </w:r>
      <w:r w:rsidR="00B1240F">
        <w:t xml:space="preserve"> mediante un análisis factorial</w:t>
      </w:r>
      <w:r w:rsidR="00AA30FD">
        <w:t xml:space="preserve"> </w:t>
      </w:r>
      <w:r w:rsidR="00B1240F">
        <w:t xml:space="preserve">exploratorio </w:t>
      </w:r>
      <w:r w:rsidR="00AA30FD">
        <w:t xml:space="preserve">(AFE) </w:t>
      </w:r>
      <w:r w:rsidR="00B1240F">
        <w:t>y confirmatorio</w:t>
      </w:r>
      <w:r w:rsidR="00AA30FD">
        <w:t xml:space="preserve"> (AFC)</w:t>
      </w:r>
      <w:r w:rsidR="00BA1332">
        <w:t xml:space="preserve"> determinando los índices KMO, Bartlett, cargas factoriales, entre otros</w:t>
      </w:r>
      <w:r w:rsidR="004F7288">
        <w:t>.</w:t>
      </w:r>
    </w:p>
    <w:p w14:paraId="33F4C7AE" w14:textId="77777777" w:rsidR="00BA1332" w:rsidRPr="00C52BEF" w:rsidRDefault="00BA1332" w:rsidP="0037717A">
      <w:pPr>
        <w:spacing w:after="0" w:line="360" w:lineRule="auto"/>
        <w:ind w:firstLine="709"/>
        <w:jc w:val="both"/>
        <w:rPr>
          <w:color w:val="FF0000"/>
        </w:rPr>
      </w:pPr>
    </w:p>
    <w:p w14:paraId="70296293" w14:textId="1E7FE3E2" w:rsidR="00CA6384" w:rsidRPr="00692568" w:rsidRDefault="00CA6384" w:rsidP="00692568">
      <w:pPr>
        <w:spacing w:after="0" w:line="360" w:lineRule="auto"/>
        <w:jc w:val="center"/>
        <w:rPr>
          <w:b/>
          <w:bCs/>
          <w:sz w:val="28"/>
          <w:szCs w:val="28"/>
        </w:rPr>
      </w:pPr>
      <w:r w:rsidRPr="00692568">
        <w:rPr>
          <w:b/>
          <w:bCs/>
          <w:sz w:val="28"/>
          <w:szCs w:val="28"/>
        </w:rPr>
        <w:t xml:space="preserve">Formulación del </w:t>
      </w:r>
      <w:r w:rsidR="00BA1332" w:rsidRPr="00692568">
        <w:rPr>
          <w:b/>
          <w:bCs/>
          <w:sz w:val="28"/>
          <w:szCs w:val="28"/>
        </w:rPr>
        <w:t>p</w:t>
      </w:r>
      <w:r w:rsidRPr="00692568">
        <w:rPr>
          <w:b/>
          <w:bCs/>
          <w:sz w:val="28"/>
          <w:szCs w:val="28"/>
        </w:rPr>
        <w:t>roblema</w:t>
      </w:r>
    </w:p>
    <w:p w14:paraId="7A51C853" w14:textId="3CC73422" w:rsidR="003F603A" w:rsidRPr="001360A3" w:rsidRDefault="003F603A" w:rsidP="0037717A">
      <w:pPr>
        <w:spacing w:after="0" w:line="360" w:lineRule="auto"/>
        <w:ind w:firstLine="709"/>
        <w:jc w:val="both"/>
      </w:pPr>
      <w:r w:rsidRPr="001360A3">
        <w:t xml:space="preserve">En el </w:t>
      </w:r>
      <w:r w:rsidR="00435651">
        <w:t>M</w:t>
      </w:r>
      <w:r w:rsidRPr="001360A3">
        <w:t xml:space="preserve">anual de </w:t>
      </w:r>
      <w:r w:rsidR="00A76CAB">
        <w:t>a</w:t>
      </w:r>
      <w:r w:rsidRPr="001360A3">
        <w:t xml:space="preserve">creditación de </w:t>
      </w:r>
      <w:r w:rsidR="00A76CAB">
        <w:t>a</w:t>
      </w:r>
      <w:r w:rsidRPr="001360A3">
        <w:t>signaturas del TecN</w:t>
      </w:r>
      <w:r w:rsidR="002C6A3B" w:rsidRPr="001360A3">
        <w:t>M</w:t>
      </w:r>
      <w:r w:rsidRPr="001360A3">
        <w:t xml:space="preserve"> se advierte </w:t>
      </w:r>
      <w:r w:rsidR="00435651">
        <w:t xml:space="preserve">un </w:t>
      </w:r>
      <w:r w:rsidRPr="001360A3">
        <w:t>sesgo numérico en los indicadores de desempeño definidos para la asignación de la calificación sumativa</w:t>
      </w:r>
      <w:r w:rsidR="00A76CAB">
        <w:t xml:space="preserve"> (el estudiante acredita con sólo dos</w:t>
      </w:r>
      <w:r w:rsidR="00435651">
        <w:t xml:space="preserve"> </w:t>
      </w:r>
      <w:r w:rsidR="00A76CAB">
        <w:t>indicadores aprobados</w:t>
      </w:r>
      <w:r w:rsidR="00435651">
        <w:t>,</w:t>
      </w:r>
      <w:r w:rsidR="00435651" w:rsidRPr="00435651">
        <w:t xml:space="preserve"> </w:t>
      </w:r>
      <w:r w:rsidR="00435651">
        <w:t>de un total de seis</w:t>
      </w:r>
      <w:r w:rsidR="00A76CAB">
        <w:t>)</w:t>
      </w:r>
      <w:r w:rsidR="00BA1332">
        <w:t>;</w:t>
      </w:r>
      <w:r w:rsidR="00A76CAB">
        <w:t xml:space="preserve"> </w:t>
      </w:r>
      <w:r w:rsidRPr="001360A3">
        <w:t>además</w:t>
      </w:r>
      <w:r w:rsidR="00BA1332">
        <w:t>,</w:t>
      </w:r>
      <w:r w:rsidRPr="001360A3">
        <w:t xml:space="preserve"> no se especifica de qué manera se considera la evaluación formativa y qué criterios se utilizan para considerar que los indicadores se han evaluado de manera </w:t>
      </w:r>
      <w:r w:rsidR="00BA1332">
        <w:t>E</w:t>
      </w:r>
      <w:r w:rsidRPr="001360A3">
        <w:t>xcelente</w:t>
      </w:r>
      <w:r w:rsidR="00BA1332">
        <w:t>, como se indica en la tabla de valoración de indicadores a lograr (TecNM, 2016, p. 17)</w:t>
      </w:r>
      <w:r w:rsidRPr="001360A3">
        <w:t>. De acuerdo con esto, la formulación del problema se describe de la siguiente manera:</w:t>
      </w:r>
    </w:p>
    <w:p w14:paraId="15CFB6FD" w14:textId="3958365E" w:rsidR="007E54B5" w:rsidRPr="007E54B5" w:rsidRDefault="00CA6384" w:rsidP="00AC4363">
      <w:pPr>
        <w:spacing w:line="360" w:lineRule="auto"/>
        <w:ind w:left="1701"/>
        <w:jc w:val="both"/>
      </w:pPr>
      <w:r w:rsidRPr="001360A3">
        <w:t xml:space="preserve">Los indicadores de alcance con que se verifica el logro de una </w:t>
      </w:r>
      <w:r w:rsidR="002C6A3B" w:rsidRPr="001360A3">
        <w:t>c</w:t>
      </w:r>
      <w:r w:rsidRPr="001360A3">
        <w:t xml:space="preserve">ompetencia en </w:t>
      </w:r>
      <w:r w:rsidR="00443492" w:rsidRPr="001360A3">
        <w:t>la sección</w:t>
      </w:r>
      <w:r w:rsidR="002F3591" w:rsidRPr="001360A3">
        <w:t xml:space="preserve"> </w:t>
      </w:r>
      <w:r w:rsidRPr="001360A3">
        <w:t>“Lineamiento</w:t>
      </w:r>
      <w:r w:rsidR="00755AD1" w:rsidRPr="001360A3">
        <w:t>s</w:t>
      </w:r>
      <w:r w:rsidRPr="001360A3">
        <w:t xml:space="preserve"> para el Proceso de Evaluación y Acreditación de </w:t>
      </w:r>
      <w:r w:rsidR="00930B28" w:rsidRPr="001360A3">
        <w:t>A</w:t>
      </w:r>
      <w:r w:rsidRPr="001360A3">
        <w:t xml:space="preserve">signaturas” del Manual </w:t>
      </w:r>
      <w:r w:rsidR="00435651">
        <w:t xml:space="preserve">de </w:t>
      </w:r>
      <w:r w:rsidRPr="001360A3">
        <w:t xml:space="preserve">Lineamientos Académico–Administrativos, </w:t>
      </w:r>
      <w:r w:rsidRPr="001360A3">
        <w:lastRenderedPageBreak/>
        <w:t xml:space="preserve">no están definidos conceptualmente como </w:t>
      </w:r>
      <w:r w:rsidR="0059359A">
        <w:t xml:space="preserve">variables o </w:t>
      </w:r>
      <w:r w:rsidRPr="001360A3">
        <w:t>constructos</w:t>
      </w:r>
      <w:r w:rsidR="003F603A" w:rsidRPr="001360A3">
        <w:t xml:space="preserve">. </w:t>
      </w:r>
      <w:r w:rsidR="00B1603E" w:rsidRPr="001360A3">
        <w:t>De ah</w:t>
      </w:r>
      <w:r w:rsidR="002A3052">
        <w:t>í</w:t>
      </w:r>
      <w:r w:rsidR="00B1603E" w:rsidRPr="001360A3">
        <w:t xml:space="preserve"> que s</w:t>
      </w:r>
      <w:r w:rsidR="000A2862" w:rsidRPr="001360A3">
        <w:t xml:space="preserve">us respectivos </w:t>
      </w:r>
      <w:r w:rsidRPr="001360A3">
        <w:t xml:space="preserve">enunciados </w:t>
      </w:r>
      <w:r w:rsidR="003F603A" w:rsidRPr="001360A3">
        <w:t xml:space="preserve">no </w:t>
      </w:r>
      <w:r w:rsidRPr="001360A3">
        <w:t>caracteri</w:t>
      </w:r>
      <w:r w:rsidR="00B1603E" w:rsidRPr="001360A3">
        <w:t>cen</w:t>
      </w:r>
      <w:r w:rsidRPr="001360A3">
        <w:t xml:space="preserve"> con claridad los resultados de aprendizaje. Esto no cumple con </w:t>
      </w:r>
      <w:r w:rsidR="00435651">
        <w:t xml:space="preserve">el concepto metodológico de </w:t>
      </w:r>
      <w:r w:rsidRPr="001360A3">
        <w:t xml:space="preserve">la operacionalización de la variable definida como el </w:t>
      </w:r>
      <w:r w:rsidR="002F3591" w:rsidRPr="001360A3">
        <w:rPr>
          <w:i/>
          <w:iCs/>
        </w:rPr>
        <w:t>“</w:t>
      </w:r>
      <w:r w:rsidRPr="001360A3">
        <w:rPr>
          <w:i/>
          <w:iCs/>
        </w:rPr>
        <w:t>logro o no de la competencia alcanzada</w:t>
      </w:r>
      <w:r w:rsidR="00F152E4">
        <w:rPr>
          <w:i/>
          <w:iCs/>
        </w:rPr>
        <w:t>”</w:t>
      </w:r>
      <w:r w:rsidR="00B1603E" w:rsidRPr="001360A3">
        <w:rPr>
          <w:i/>
          <w:iCs/>
        </w:rPr>
        <w:t xml:space="preserve"> </w:t>
      </w:r>
      <w:r w:rsidR="00443492" w:rsidRPr="001360A3">
        <w:fldChar w:fldCharType="begin">
          <w:fldData xml:space="preserve">PEVuZE5vdGU+PENpdGU+PEF1dGhvcj5UZWNOTTwvQXV0aG9yPjxZZWFyPjIwMTY8L1llYXI+PElE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</w:fldData>
        </w:fldChar>
      </w:r>
      <w:r w:rsidR="003F603A" w:rsidRPr="001360A3">
        <w:instrText xml:space="preserve"> ADDIN EN.CITE </w:instrText>
      </w:r>
      <w:r w:rsidR="003F603A" w:rsidRPr="001360A3">
        <w:fldChar w:fldCharType="begin">
          <w:fldData xml:space="preserve">PEVuZE5vdGU+PENpdGU+PEF1dGhvcj5UZWNOTTwvQXV0aG9yPjxZZWFyPjIwMTY8L1llYXI+PElE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</w:fldData>
        </w:fldChar>
      </w:r>
      <w:r w:rsidR="003F603A" w:rsidRPr="001360A3">
        <w:instrText xml:space="preserve"> ADDIN EN.CITE.DATA </w:instrText>
      </w:r>
      <w:r w:rsidR="003F603A" w:rsidRPr="001360A3">
        <w:fldChar w:fldCharType="end"/>
      </w:r>
      <w:r w:rsidR="00443492" w:rsidRPr="001360A3">
        <w:fldChar w:fldCharType="separate"/>
      </w:r>
      <w:r w:rsidR="003F603A" w:rsidRPr="001360A3">
        <w:rPr>
          <w:noProof/>
        </w:rPr>
        <w:t>(Pedrosa et al., 2013; TecNM, 2016)</w:t>
      </w:r>
      <w:r w:rsidR="00443492" w:rsidRPr="001360A3">
        <w:fldChar w:fldCharType="end"/>
      </w:r>
      <w:r w:rsidRPr="001360A3">
        <w:t>.</w:t>
      </w:r>
    </w:p>
    <w:p w14:paraId="388B61F3" w14:textId="77777777" w:rsidR="00131054" w:rsidRDefault="00131054" w:rsidP="004030EF">
      <w:pPr>
        <w:spacing w:after="0" w:line="360" w:lineRule="auto"/>
        <w:jc w:val="both"/>
        <w:rPr>
          <w:b/>
          <w:bCs/>
        </w:rPr>
      </w:pPr>
    </w:p>
    <w:p w14:paraId="58ED2F8D" w14:textId="1E2C0095" w:rsidR="002A3052" w:rsidRPr="00AC4363" w:rsidRDefault="00092BD9" w:rsidP="00D945F3">
      <w:pPr>
        <w:spacing w:after="0" w:line="360" w:lineRule="auto"/>
        <w:jc w:val="center"/>
        <w:rPr>
          <w:sz w:val="28"/>
          <w:szCs w:val="28"/>
        </w:rPr>
      </w:pPr>
      <w:r w:rsidRPr="00AC4363">
        <w:rPr>
          <w:b/>
          <w:bCs/>
          <w:sz w:val="28"/>
          <w:szCs w:val="28"/>
        </w:rPr>
        <w:t>O</w:t>
      </w:r>
      <w:r w:rsidR="00306007" w:rsidRPr="00AC4363">
        <w:rPr>
          <w:b/>
          <w:bCs/>
          <w:sz w:val="28"/>
          <w:szCs w:val="28"/>
        </w:rPr>
        <w:t xml:space="preserve">bjetivo </w:t>
      </w:r>
      <w:r w:rsidR="00BA1332" w:rsidRPr="00AC4363">
        <w:rPr>
          <w:b/>
          <w:bCs/>
          <w:sz w:val="28"/>
          <w:szCs w:val="28"/>
        </w:rPr>
        <w:t>g</w:t>
      </w:r>
      <w:r w:rsidR="00306007" w:rsidRPr="00AC4363">
        <w:rPr>
          <w:b/>
          <w:bCs/>
          <w:sz w:val="28"/>
          <w:szCs w:val="28"/>
        </w:rPr>
        <w:t>eneral</w:t>
      </w:r>
    </w:p>
    <w:p w14:paraId="11CF5BBC" w14:textId="47AF8ACC" w:rsidR="004344B3" w:rsidRDefault="004344B3" w:rsidP="0037717A">
      <w:pPr>
        <w:spacing w:after="0" w:line="360" w:lineRule="auto"/>
        <w:ind w:firstLine="708"/>
        <w:jc w:val="both"/>
      </w:pPr>
      <w:r w:rsidRPr="004344B3">
        <w:t xml:space="preserve">Diseñar y evaluar la carga factorial </w:t>
      </w:r>
      <w:r w:rsidR="003D6F01">
        <w:t xml:space="preserve">y los índices psicométricos </w:t>
      </w:r>
      <w:r w:rsidRPr="004344B3">
        <w:t xml:space="preserve">de indicadores de desempeño del instrumento de evaluación del manual normativo del TecNM, </w:t>
      </w:r>
      <w:r w:rsidR="000F736F">
        <w:t>con</w:t>
      </w:r>
      <w:r w:rsidRPr="004344B3">
        <w:t xml:space="preserve"> base </w:t>
      </w:r>
      <w:r w:rsidR="000F736F">
        <w:t xml:space="preserve">a </w:t>
      </w:r>
      <w:r w:rsidRPr="004344B3">
        <w:t>los atributos de egreso en la formación de ingenieros</w:t>
      </w:r>
      <w:r w:rsidR="000F736F">
        <w:t xml:space="preserve"> y</w:t>
      </w:r>
      <w:r w:rsidRPr="004344B3">
        <w:t xml:space="preserve"> considerando el programa educativo de Ingeniería Bioquímica.</w:t>
      </w:r>
    </w:p>
    <w:p w14:paraId="3205AA4B" w14:textId="77777777" w:rsidR="00BA1332" w:rsidRPr="004344B3" w:rsidRDefault="00BA1332" w:rsidP="000F736F">
      <w:pPr>
        <w:spacing w:after="0" w:line="360" w:lineRule="auto"/>
        <w:jc w:val="both"/>
      </w:pPr>
    </w:p>
    <w:p w14:paraId="33F1DEC1" w14:textId="592577F1" w:rsidR="002A3052" w:rsidRPr="00AC4363" w:rsidRDefault="002A3052" w:rsidP="00D945F3">
      <w:pPr>
        <w:spacing w:after="0" w:line="360" w:lineRule="auto"/>
        <w:jc w:val="center"/>
        <w:rPr>
          <w:b/>
          <w:bCs/>
        </w:rPr>
      </w:pPr>
      <w:r w:rsidRPr="00AC4363">
        <w:rPr>
          <w:b/>
          <w:bCs/>
        </w:rPr>
        <w:t xml:space="preserve">Objetivos </w:t>
      </w:r>
      <w:r w:rsidR="00BA1332" w:rsidRPr="00AC4363">
        <w:rPr>
          <w:b/>
          <w:bCs/>
        </w:rPr>
        <w:t>e</w:t>
      </w:r>
      <w:r w:rsidRPr="00AC4363">
        <w:rPr>
          <w:b/>
          <w:bCs/>
        </w:rPr>
        <w:t>specíficos</w:t>
      </w:r>
    </w:p>
    <w:p w14:paraId="781A0345" w14:textId="63CE881E" w:rsidR="00C31A8D" w:rsidRPr="00186835" w:rsidRDefault="00C31A8D" w:rsidP="004030EF">
      <w:pPr>
        <w:pStyle w:val="Prrafodelista"/>
        <w:numPr>
          <w:ilvl w:val="0"/>
          <w:numId w:val="29"/>
        </w:numPr>
        <w:spacing w:after="0" w:line="360" w:lineRule="auto"/>
        <w:rPr>
          <w:rFonts w:ascii="Times New Roman" w:hAnsi="Times New Roman" w:cs="Times New Roman"/>
        </w:rPr>
      </w:pPr>
      <w:r w:rsidRPr="00186835">
        <w:rPr>
          <w:rFonts w:ascii="Times New Roman" w:hAnsi="Times New Roman" w:cs="Times New Roman"/>
        </w:rPr>
        <w:t xml:space="preserve">Realizar un análisis de contenido de los indicadores de alcance del </w:t>
      </w:r>
      <w:r w:rsidR="004344B3">
        <w:rPr>
          <w:rFonts w:ascii="Times New Roman" w:hAnsi="Times New Roman" w:cs="Times New Roman"/>
        </w:rPr>
        <w:t>M</w:t>
      </w:r>
      <w:r w:rsidRPr="00186835">
        <w:rPr>
          <w:rFonts w:ascii="Times New Roman" w:hAnsi="Times New Roman" w:cs="Times New Roman"/>
        </w:rPr>
        <w:t xml:space="preserve">anual de acreditación de asignaturas, con la finalidad </w:t>
      </w:r>
      <w:r w:rsidR="007A0593">
        <w:rPr>
          <w:rFonts w:ascii="Times New Roman" w:hAnsi="Times New Roman" w:cs="Times New Roman"/>
        </w:rPr>
        <w:t xml:space="preserve">de determinar los constructos del instrumento de evaluación y </w:t>
      </w:r>
      <w:r w:rsidRPr="00186835">
        <w:rPr>
          <w:rFonts w:ascii="Times New Roman" w:hAnsi="Times New Roman" w:cs="Times New Roman"/>
        </w:rPr>
        <w:t xml:space="preserve">verificar la correspondencia de los enunciados </w:t>
      </w:r>
      <w:r w:rsidR="00807C8B">
        <w:rPr>
          <w:rFonts w:ascii="Times New Roman" w:hAnsi="Times New Roman" w:cs="Times New Roman"/>
        </w:rPr>
        <w:t>con</w:t>
      </w:r>
      <w:r w:rsidR="00435651">
        <w:rPr>
          <w:rFonts w:ascii="Times New Roman" w:hAnsi="Times New Roman" w:cs="Times New Roman"/>
        </w:rPr>
        <w:t xml:space="preserve"> </w:t>
      </w:r>
      <w:r w:rsidRPr="00186835">
        <w:rPr>
          <w:rFonts w:ascii="Times New Roman" w:hAnsi="Times New Roman" w:cs="Times New Roman"/>
        </w:rPr>
        <w:t>resultados de aprendizaje</w:t>
      </w:r>
      <w:r w:rsidR="0059359A">
        <w:rPr>
          <w:rFonts w:ascii="Times New Roman" w:hAnsi="Times New Roman" w:cs="Times New Roman"/>
        </w:rPr>
        <w:t xml:space="preserve">, </w:t>
      </w:r>
      <w:r w:rsidR="000F736F">
        <w:rPr>
          <w:rFonts w:ascii="Times New Roman" w:hAnsi="Times New Roman" w:cs="Times New Roman"/>
        </w:rPr>
        <w:t xml:space="preserve">mediante </w:t>
      </w:r>
      <w:r w:rsidR="007A0593">
        <w:rPr>
          <w:rFonts w:ascii="Times New Roman" w:hAnsi="Times New Roman" w:cs="Times New Roman"/>
        </w:rPr>
        <w:t>l</w:t>
      </w:r>
      <w:r w:rsidR="00F152E4">
        <w:rPr>
          <w:rFonts w:ascii="Times New Roman" w:hAnsi="Times New Roman" w:cs="Times New Roman"/>
        </w:rPr>
        <w:t>os índices de</w:t>
      </w:r>
      <w:r w:rsidR="007A0593">
        <w:rPr>
          <w:rFonts w:ascii="Times New Roman" w:hAnsi="Times New Roman" w:cs="Times New Roman"/>
        </w:rPr>
        <w:t xml:space="preserve"> consistencia interna y</w:t>
      </w:r>
      <w:r w:rsidR="00F152E4">
        <w:rPr>
          <w:rFonts w:ascii="Times New Roman" w:hAnsi="Times New Roman" w:cs="Times New Roman"/>
        </w:rPr>
        <w:t xml:space="preserve"> </w:t>
      </w:r>
      <w:r w:rsidR="0059359A" w:rsidRPr="009A4323">
        <w:rPr>
          <w:rFonts w:ascii="Times New Roman" w:hAnsi="Times New Roman" w:cs="Times New Roman"/>
        </w:rPr>
        <w:t>validez de contenido</w:t>
      </w:r>
      <w:r w:rsidRPr="00186835">
        <w:rPr>
          <w:rFonts w:ascii="Times New Roman" w:hAnsi="Times New Roman" w:cs="Times New Roman"/>
        </w:rPr>
        <w:t>.</w:t>
      </w:r>
    </w:p>
    <w:p w14:paraId="7BAAC8D2" w14:textId="57E24D1C" w:rsidR="002A3052" w:rsidRPr="009A4323" w:rsidRDefault="002A3052" w:rsidP="004030EF">
      <w:pPr>
        <w:pStyle w:val="Prrafodelista"/>
        <w:numPr>
          <w:ilvl w:val="0"/>
          <w:numId w:val="29"/>
        </w:numPr>
        <w:spacing w:after="0" w:line="360" w:lineRule="auto"/>
        <w:rPr>
          <w:rFonts w:ascii="Times New Roman" w:hAnsi="Times New Roman" w:cs="Times New Roman"/>
        </w:rPr>
      </w:pPr>
      <w:r w:rsidRPr="009A4323">
        <w:rPr>
          <w:rFonts w:ascii="Times New Roman" w:hAnsi="Times New Roman" w:cs="Times New Roman"/>
        </w:rPr>
        <w:t>O</w:t>
      </w:r>
      <w:r w:rsidR="008A63CA" w:rsidRPr="009A4323">
        <w:rPr>
          <w:rFonts w:ascii="Times New Roman" w:hAnsi="Times New Roman" w:cs="Times New Roman"/>
        </w:rPr>
        <w:t xml:space="preserve">peracionalizar la variable </w:t>
      </w:r>
      <w:r w:rsidR="000F736F">
        <w:rPr>
          <w:rFonts w:ascii="Times New Roman" w:hAnsi="Times New Roman" w:cs="Times New Roman"/>
          <w:i/>
          <w:iCs/>
        </w:rPr>
        <w:t>l</w:t>
      </w:r>
      <w:r w:rsidR="008A63CA" w:rsidRPr="000A3CD4">
        <w:rPr>
          <w:rFonts w:ascii="Times New Roman" w:hAnsi="Times New Roman" w:cs="Times New Roman"/>
          <w:i/>
          <w:iCs/>
        </w:rPr>
        <w:t>ogro de la competencia</w:t>
      </w:r>
      <w:r w:rsidRPr="009A4323">
        <w:rPr>
          <w:rFonts w:ascii="Times New Roman" w:hAnsi="Times New Roman" w:cs="Times New Roman"/>
        </w:rPr>
        <w:t xml:space="preserve"> en términos de </w:t>
      </w:r>
      <w:r w:rsidR="00C31A8D" w:rsidRPr="009A4323">
        <w:rPr>
          <w:rFonts w:ascii="Times New Roman" w:hAnsi="Times New Roman" w:cs="Times New Roman"/>
        </w:rPr>
        <w:t>la</w:t>
      </w:r>
      <w:r w:rsidRPr="009A4323">
        <w:rPr>
          <w:rFonts w:ascii="Times New Roman" w:hAnsi="Times New Roman" w:cs="Times New Roman"/>
        </w:rPr>
        <w:t xml:space="preserve"> intención y secuencia didáctica</w:t>
      </w:r>
      <w:r w:rsidR="0059359A">
        <w:rPr>
          <w:rFonts w:ascii="Times New Roman" w:hAnsi="Times New Roman" w:cs="Times New Roman"/>
        </w:rPr>
        <w:t>, para utilizars</w:t>
      </w:r>
      <w:r w:rsidR="007A0593">
        <w:rPr>
          <w:rFonts w:ascii="Times New Roman" w:hAnsi="Times New Roman" w:cs="Times New Roman"/>
        </w:rPr>
        <w:t>e</w:t>
      </w:r>
      <w:r w:rsidR="0059359A">
        <w:rPr>
          <w:rFonts w:ascii="Times New Roman" w:hAnsi="Times New Roman" w:cs="Times New Roman"/>
        </w:rPr>
        <w:t xml:space="preserve"> en el diseño de la instrumentación didáctica</w:t>
      </w:r>
      <w:r w:rsidR="009A4323">
        <w:rPr>
          <w:rFonts w:ascii="Times New Roman" w:hAnsi="Times New Roman" w:cs="Times New Roman"/>
        </w:rPr>
        <w:t>.</w:t>
      </w:r>
    </w:p>
    <w:p w14:paraId="07999F6C" w14:textId="513BDAE4" w:rsidR="002A3052" w:rsidRPr="00186835" w:rsidRDefault="002A3052" w:rsidP="004030EF">
      <w:pPr>
        <w:pStyle w:val="Prrafodelista"/>
        <w:numPr>
          <w:ilvl w:val="0"/>
          <w:numId w:val="29"/>
        </w:numPr>
        <w:spacing w:after="0" w:line="360" w:lineRule="auto"/>
        <w:rPr>
          <w:rFonts w:ascii="Times New Roman" w:hAnsi="Times New Roman" w:cs="Times New Roman"/>
        </w:rPr>
      </w:pPr>
      <w:r w:rsidRPr="00186835">
        <w:rPr>
          <w:rFonts w:ascii="Times New Roman" w:hAnsi="Times New Roman" w:cs="Times New Roman"/>
        </w:rPr>
        <w:t>R</w:t>
      </w:r>
      <w:r w:rsidR="00D81A90" w:rsidRPr="00186835">
        <w:rPr>
          <w:rFonts w:ascii="Times New Roman" w:hAnsi="Times New Roman" w:cs="Times New Roman"/>
        </w:rPr>
        <w:t xml:space="preserve">ealizar un análisis factorial </w:t>
      </w:r>
      <w:r w:rsidR="004E56A5" w:rsidRPr="00186835">
        <w:rPr>
          <w:rFonts w:ascii="Times New Roman" w:hAnsi="Times New Roman" w:cs="Times New Roman"/>
        </w:rPr>
        <w:t>exploratorio</w:t>
      </w:r>
      <w:r w:rsidR="00D81A90" w:rsidRPr="00186835">
        <w:rPr>
          <w:rFonts w:ascii="Times New Roman" w:hAnsi="Times New Roman" w:cs="Times New Roman"/>
        </w:rPr>
        <w:t xml:space="preserve"> para </w:t>
      </w:r>
      <w:r w:rsidR="00807C8B">
        <w:rPr>
          <w:rFonts w:ascii="Times New Roman" w:hAnsi="Times New Roman" w:cs="Times New Roman"/>
        </w:rPr>
        <w:t xml:space="preserve">proponer el modelo teórico del instrumento y </w:t>
      </w:r>
      <w:r w:rsidR="00D81A90" w:rsidRPr="00186835">
        <w:rPr>
          <w:rFonts w:ascii="Times New Roman" w:hAnsi="Times New Roman" w:cs="Times New Roman"/>
        </w:rPr>
        <w:t xml:space="preserve">realizar una reducción de factores, bajo la hipótesis de </w:t>
      </w:r>
      <w:r w:rsidR="00F152E4">
        <w:rPr>
          <w:rFonts w:ascii="Times New Roman" w:hAnsi="Times New Roman" w:cs="Times New Roman"/>
        </w:rPr>
        <w:t>in</w:t>
      </w:r>
      <w:r w:rsidR="00D81A90" w:rsidRPr="00186835">
        <w:rPr>
          <w:rFonts w:ascii="Times New Roman" w:hAnsi="Times New Roman" w:cs="Times New Roman"/>
        </w:rPr>
        <w:t>dependencia</w:t>
      </w:r>
      <w:r w:rsidR="00435651">
        <w:rPr>
          <w:rFonts w:ascii="Times New Roman" w:hAnsi="Times New Roman" w:cs="Times New Roman"/>
        </w:rPr>
        <w:t xml:space="preserve"> </w:t>
      </w:r>
      <w:r w:rsidR="000A3CD4">
        <w:rPr>
          <w:rFonts w:ascii="Times New Roman" w:hAnsi="Times New Roman" w:cs="Times New Roman"/>
        </w:rPr>
        <w:t xml:space="preserve">(ortogonalidad) </w:t>
      </w:r>
      <w:r w:rsidR="007A0593">
        <w:rPr>
          <w:rFonts w:ascii="Times New Roman" w:hAnsi="Times New Roman" w:cs="Times New Roman"/>
        </w:rPr>
        <w:t xml:space="preserve">entre </w:t>
      </w:r>
      <w:r w:rsidR="00435651">
        <w:rPr>
          <w:rFonts w:ascii="Times New Roman" w:hAnsi="Times New Roman" w:cs="Times New Roman"/>
        </w:rPr>
        <w:t>factores latentes</w:t>
      </w:r>
      <w:r w:rsidR="00D81A90" w:rsidRPr="00186835">
        <w:rPr>
          <w:rFonts w:ascii="Times New Roman" w:hAnsi="Times New Roman" w:cs="Times New Roman"/>
        </w:rPr>
        <w:t xml:space="preserve">, utilizando una rotación </w:t>
      </w:r>
      <w:r w:rsidR="00807C8B">
        <w:rPr>
          <w:rFonts w:ascii="Times New Roman" w:hAnsi="Times New Roman" w:cs="Times New Roman"/>
        </w:rPr>
        <w:t>Varimax</w:t>
      </w:r>
      <w:r w:rsidR="00B1240F">
        <w:rPr>
          <w:rFonts w:ascii="Times New Roman" w:hAnsi="Times New Roman" w:cs="Times New Roman"/>
        </w:rPr>
        <w:t>.</w:t>
      </w:r>
    </w:p>
    <w:p w14:paraId="5260523D" w14:textId="482E572E" w:rsidR="00487817" w:rsidRPr="00186835" w:rsidRDefault="002A3052" w:rsidP="004030EF">
      <w:pPr>
        <w:pStyle w:val="Prrafodelista"/>
        <w:numPr>
          <w:ilvl w:val="0"/>
          <w:numId w:val="29"/>
        </w:numPr>
        <w:spacing w:after="0" w:line="360" w:lineRule="auto"/>
        <w:rPr>
          <w:rFonts w:ascii="Times New Roman" w:hAnsi="Times New Roman" w:cs="Times New Roman"/>
        </w:rPr>
      </w:pPr>
      <w:r w:rsidRPr="00186835">
        <w:rPr>
          <w:rFonts w:ascii="Times New Roman" w:hAnsi="Times New Roman" w:cs="Times New Roman"/>
        </w:rPr>
        <w:t>D</w:t>
      </w:r>
      <w:r w:rsidR="00D81A90" w:rsidRPr="00186835">
        <w:rPr>
          <w:rFonts w:ascii="Times New Roman" w:hAnsi="Times New Roman" w:cs="Times New Roman"/>
        </w:rPr>
        <w:t xml:space="preserve">eterminar la validez del modelo </w:t>
      </w:r>
      <w:r w:rsidR="001B6EE4" w:rsidRPr="00186835">
        <w:rPr>
          <w:rFonts w:ascii="Times New Roman" w:hAnsi="Times New Roman" w:cs="Times New Roman"/>
        </w:rPr>
        <w:t xml:space="preserve">teórico </w:t>
      </w:r>
      <w:r w:rsidR="00B1240F">
        <w:rPr>
          <w:rFonts w:ascii="Times New Roman" w:hAnsi="Times New Roman" w:cs="Times New Roman"/>
        </w:rPr>
        <w:t>y</w:t>
      </w:r>
      <w:r w:rsidR="001B6EE4" w:rsidRPr="00186835">
        <w:rPr>
          <w:rFonts w:ascii="Times New Roman" w:hAnsi="Times New Roman" w:cs="Times New Roman"/>
        </w:rPr>
        <w:t xml:space="preserve"> validez de</w:t>
      </w:r>
      <w:r w:rsidR="00D81A90" w:rsidRPr="00186835">
        <w:rPr>
          <w:rFonts w:ascii="Times New Roman" w:hAnsi="Times New Roman" w:cs="Times New Roman"/>
        </w:rPr>
        <w:t xml:space="preserve"> constructo</w:t>
      </w:r>
      <w:r w:rsidR="001B6EE4" w:rsidRPr="00186835">
        <w:rPr>
          <w:rFonts w:ascii="Times New Roman" w:hAnsi="Times New Roman" w:cs="Times New Roman"/>
        </w:rPr>
        <w:t xml:space="preserve"> del instrumento de evaluación, a través de un análisis factorial confirmatorio, utilizando la herramienta AMOS</w:t>
      </w:r>
      <w:r w:rsidR="00F152E4">
        <w:rPr>
          <w:rFonts w:ascii="Times New Roman" w:hAnsi="Times New Roman" w:cs="Times New Roman"/>
        </w:rPr>
        <w:t xml:space="preserve"> 29</w:t>
      </w:r>
      <w:r w:rsidR="001B6EE4" w:rsidRPr="00186835">
        <w:rPr>
          <w:rFonts w:ascii="Times New Roman" w:hAnsi="Times New Roman" w:cs="Times New Roman"/>
        </w:rPr>
        <w:t>, de SPSS.</w:t>
      </w:r>
    </w:p>
    <w:p w14:paraId="3259D4F1" w14:textId="77777777" w:rsidR="007A0593" w:rsidRDefault="007A0593" w:rsidP="004030EF">
      <w:pPr>
        <w:spacing w:after="0" w:line="360" w:lineRule="auto"/>
        <w:rPr>
          <w:b/>
          <w:bCs/>
        </w:rPr>
      </w:pPr>
    </w:p>
    <w:p w14:paraId="73F1F4A2" w14:textId="18B06BF8" w:rsidR="002A3052" w:rsidRPr="00AC4363" w:rsidRDefault="00487817" w:rsidP="00D945F3">
      <w:pPr>
        <w:spacing w:after="0" w:line="360" w:lineRule="auto"/>
        <w:jc w:val="center"/>
        <w:rPr>
          <w:b/>
          <w:bCs/>
        </w:rPr>
      </w:pPr>
      <w:r w:rsidRPr="00AC4363">
        <w:rPr>
          <w:b/>
          <w:bCs/>
        </w:rPr>
        <w:t xml:space="preserve">Hipótesis </w:t>
      </w:r>
      <w:r w:rsidR="00D36BE2" w:rsidRPr="00AC4363">
        <w:rPr>
          <w:b/>
          <w:bCs/>
        </w:rPr>
        <w:t>g</w:t>
      </w:r>
      <w:r w:rsidRPr="00AC4363">
        <w:rPr>
          <w:b/>
          <w:bCs/>
        </w:rPr>
        <w:t>eneral</w:t>
      </w:r>
      <w:r w:rsidR="002A3052" w:rsidRPr="00AC4363">
        <w:rPr>
          <w:b/>
          <w:bCs/>
        </w:rPr>
        <w:t>es</w:t>
      </w:r>
    </w:p>
    <w:p w14:paraId="5CC27672" w14:textId="1B79F6E7" w:rsidR="002C09E0" w:rsidRPr="00AC4363" w:rsidRDefault="002C09E0" w:rsidP="004030EF">
      <w:pPr>
        <w:pStyle w:val="Prrafodelista"/>
        <w:numPr>
          <w:ilvl w:val="0"/>
          <w:numId w:val="30"/>
        </w:numPr>
        <w:spacing w:after="0" w:line="360" w:lineRule="auto"/>
        <w:rPr>
          <w:rFonts w:ascii="Times New Roman" w:hAnsi="Times New Roman" w:cs="Times New Roman"/>
        </w:rPr>
      </w:pPr>
      <w:r w:rsidRPr="00AC4363">
        <w:rPr>
          <w:rFonts w:ascii="Times New Roman" w:hAnsi="Times New Roman" w:cs="Times New Roman"/>
        </w:rPr>
        <w:t>H</w:t>
      </w:r>
      <w:r w:rsidR="007B5AD0" w:rsidRPr="00AC4363">
        <w:rPr>
          <w:rFonts w:ascii="Times New Roman" w:hAnsi="Times New Roman" w:cs="Times New Roman"/>
          <w:vertAlign w:val="subscript"/>
        </w:rPr>
        <w:t>1</w:t>
      </w:r>
      <w:r w:rsidR="007B5AD0" w:rsidRPr="00AC4363">
        <w:rPr>
          <w:rFonts w:ascii="Times New Roman" w:hAnsi="Times New Roman" w:cs="Times New Roman"/>
        </w:rPr>
        <w:t xml:space="preserve"> Confiabilidad y v</w:t>
      </w:r>
      <w:r w:rsidRPr="00AC4363">
        <w:rPr>
          <w:rFonts w:ascii="Times New Roman" w:hAnsi="Times New Roman" w:cs="Times New Roman"/>
        </w:rPr>
        <w:t xml:space="preserve">alidez de contenido: </w:t>
      </w:r>
      <w:r w:rsidR="007A0593" w:rsidRPr="00AC4363">
        <w:rPr>
          <w:rFonts w:ascii="Times New Roman" w:hAnsi="Times New Roman" w:cs="Times New Roman"/>
        </w:rPr>
        <w:t xml:space="preserve">El instrumento de evaluación </w:t>
      </w:r>
      <w:r w:rsidRPr="00AC4363">
        <w:rPr>
          <w:rFonts w:ascii="Times New Roman" w:hAnsi="Times New Roman" w:cs="Times New Roman"/>
        </w:rPr>
        <w:t>cumple con criterio</w:t>
      </w:r>
      <w:r w:rsidR="007B5AD0" w:rsidRPr="00AC4363">
        <w:rPr>
          <w:rFonts w:ascii="Times New Roman" w:hAnsi="Times New Roman" w:cs="Times New Roman"/>
        </w:rPr>
        <w:t>s de confiabilidad,</w:t>
      </w:r>
      <w:r w:rsidRPr="00AC4363">
        <w:rPr>
          <w:rFonts w:ascii="Times New Roman" w:hAnsi="Times New Roman" w:cs="Times New Roman"/>
        </w:rPr>
        <w:t xml:space="preserve"> validez de contenido</w:t>
      </w:r>
      <w:r w:rsidR="007B5AD0" w:rsidRPr="00AC4363">
        <w:rPr>
          <w:rFonts w:ascii="Times New Roman" w:hAnsi="Times New Roman" w:cs="Times New Roman"/>
        </w:rPr>
        <w:t xml:space="preserve"> y </w:t>
      </w:r>
      <w:r w:rsidR="00F152E4" w:rsidRPr="00AC4363">
        <w:rPr>
          <w:rFonts w:ascii="Times New Roman" w:hAnsi="Times New Roman" w:cs="Times New Roman"/>
        </w:rPr>
        <w:t xml:space="preserve">los ítems </w:t>
      </w:r>
      <w:r w:rsidRPr="00AC4363">
        <w:rPr>
          <w:rFonts w:ascii="Times New Roman" w:hAnsi="Times New Roman" w:cs="Times New Roman"/>
        </w:rPr>
        <w:t>se corresponden de manera significativa con resultados de aprendizaje.</w:t>
      </w:r>
    </w:p>
    <w:p w14:paraId="55FAEB42" w14:textId="58FE654E" w:rsidR="002C09E0" w:rsidRPr="00AC4363" w:rsidRDefault="002C09E0" w:rsidP="004030EF">
      <w:pPr>
        <w:pStyle w:val="Prrafodelista"/>
        <w:numPr>
          <w:ilvl w:val="0"/>
          <w:numId w:val="30"/>
        </w:numPr>
        <w:spacing w:after="0" w:line="360" w:lineRule="auto"/>
        <w:rPr>
          <w:rFonts w:ascii="Times New Roman" w:hAnsi="Times New Roman" w:cs="Times New Roman"/>
        </w:rPr>
      </w:pPr>
      <w:r w:rsidRPr="00AC4363">
        <w:rPr>
          <w:rFonts w:ascii="Times New Roman" w:hAnsi="Times New Roman" w:cs="Times New Roman"/>
        </w:rPr>
        <w:lastRenderedPageBreak/>
        <w:t>H</w:t>
      </w:r>
      <w:r w:rsidRPr="00AC4363">
        <w:rPr>
          <w:rFonts w:ascii="Times New Roman" w:hAnsi="Times New Roman" w:cs="Times New Roman"/>
          <w:vertAlign w:val="subscript"/>
        </w:rPr>
        <w:t>2</w:t>
      </w:r>
      <w:r w:rsidRPr="00AC4363">
        <w:rPr>
          <w:rFonts w:ascii="Times New Roman" w:hAnsi="Times New Roman" w:cs="Times New Roman"/>
        </w:rPr>
        <w:t xml:space="preserve"> Operacionalización</w:t>
      </w:r>
      <w:r w:rsidR="00D04E91" w:rsidRPr="00AC4363">
        <w:rPr>
          <w:rFonts w:ascii="Times New Roman" w:hAnsi="Times New Roman" w:cs="Times New Roman"/>
        </w:rPr>
        <w:t xml:space="preserve"> de la </w:t>
      </w:r>
      <w:r w:rsidR="00D36BE2" w:rsidRPr="00AC4363">
        <w:rPr>
          <w:rFonts w:ascii="Times New Roman" w:hAnsi="Times New Roman" w:cs="Times New Roman"/>
        </w:rPr>
        <w:t>v</w:t>
      </w:r>
      <w:r w:rsidR="00D04E91" w:rsidRPr="00AC4363">
        <w:rPr>
          <w:rFonts w:ascii="Times New Roman" w:hAnsi="Times New Roman" w:cs="Times New Roman"/>
        </w:rPr>
        <w:t>ariable</w:t>
      </w:r>
      <w:r w:rsidRPr="00AC4363">
        <w:rPr>
          <w:rFonts w:ascii="Times New Roman" w:hAnsi="Times New Roman" w:cs="Times New Roman"/>
        </w:rPr>
        <w:t xml:space="preserve">: La variable </w:t>
      </w:r>
      <w:r w:rsidRPr="00AC4363">
        <w:rPr>
          <w:rFonts w:ascii="Times New Roman" w:hAnsi="Times New Roman" w:cs="Times New Roman"/>
          <w:i/>
          <w:iCs/>
        </w:rPr>
        <w:t>“</w:t>
      </w:r>
      <w:r w:rsidR="000F736F" w:rsidRPr="00AC4363">
        <w:rPr>
          <w:rFonts w:ascii="Times New Roman" w:hAnsi="Times New Roman" w:cs="Times New Roman"/>
          <w:i/>
          <w:iCs/>
        </w:rPr>
        <w:t>l</w:t>
      </w:r>
      <w:r w:rsidRPr="00AC4363">
        <w:rPr>
          <w:rFonts w:ascii="Times New Roman" w:hAnsi="Times New Roman" w:cs="Times New Roman"/>
          <w:i/>
          <w:iCs/>
        </w:rPr>
        <w:t>ogro de competencias”</w:t>
      </w:r>
      <w:r w:rsidRPr="00AC4363">
        <w:rPr>
          <w:rFonts w:ascii="Times New Roman" w:hAnsi="Times New Roman" w:cs="Times New Roman"/>
        </w:rPr>
        <w:t xml:space="preserve"> puede ser operacionalizada en términos de la intención y secuencia didáctica mediante indicadores de alcance basados en resultados de aprendizaje, pertinentes y medibles.</w:t>
      </w:r>
    </w:p>
    <w:p w14:paraId="6BA1D134" w14:textId="6F48C906" w:rsidR="002C09E0" w:rsidRPr="00AC4363" w:rsidRDefault="002C09E0" w:rsidP="004030EF">
      <w:pPr>
        <w:pStyle w:val="Prrafodelista"/>
        <w:numPr>
          <w:ilvl w:val="0"/>
          <w:numId w:val="30"/>
        </w:numPr>
        <w:spacing w:after="0" w:line="360" w:lineRule="auto"/>
        <w:rPr>
          <w:rFonts w:ascii="Times New Roman" w:hAnsi="Times New Roman" w:cs="Times New Roman"/>
        </w:rPr>
      </w:pPr>
      <w:r w:rsidRPr="00AC4363">
        <w:rPr>
          <w:rFonts w:ascii="Times New Roman" w:hAnsi="Times New Roman" w:cs="Times New Roman"/>
        </w:rPr>
        <w:t>H</w:t>
      </w:r>
      <w:r w:rsidRPr="00AC4363">
        <w:rPr>
          <w:rFonts w:ascii="Times New Roman" w:hAnsi="Times New Roman" w:cs="Times New Roman"/>
          <w:vertAlign w:val="subscript"/>
        </w:rPr>
        <w:t>3</w:t>
      </w:r>
      <w:r w:rsidRPr="00AC4363">
        <w:rPr>
          <w:rFonts w:ascii="Times New Roman" w:hAnsi="Times New Roman" w:cs="Times New Roman"/>
        </w:rPr>
        <w:t xml:space="preserve"> (AFE): Existe una estructura subyacente de factores latentes que explica las relaciones entre los indicadores de alcance redactados como resultados de aprendizaje, justificando la reducción de factores mediante un análisis factorial exploratorio con rotación </w:t>
      </w:r>
      <w:r w:rsidR="000F736F" w:rsidRPr="00AC4363">
        <w:rPr>
          <w:rFonts w:ascii="Times New Roman" w:hAnsi="Times New Roman" w:cs="Times New Roman"/>
        </w:rPr>
        <w:t>V</w:t>
      </w:r>
      <w:r w:rsidR="00FD5063" w:rsidRPr="00AC4363">
        <w:rPr>
          <w:rFonts w:ascii="Times New Roman" w:hAnsi="Times New Roman" w:cs="Times New Roman"/>
        </w:rPr>
        <w:t>arimax</w:t>
      </w:r>
      <w:r w:rsidRPr="00AC4363">
        <w:rPr>
          <w:rFonts w:ascii="Times New Roman" w:hAnsi="Times New Roman" w:cs="Times New Roman"/>
        </w:rPr>
        <w:t>.</w:t>
      </w:r>
    </w:p>
    <w:p w14:paraId="213A2C2F" w14:textId="055678E3" w:rsidR="005F0BC1" w:rsidRPr="00131054" w:rsidRDefault="002C09E0" w:rsidP="00131054">
      <w:pPr>
        <w:pStyle w:val="Prrafodelista"/>
        <w:numPr>
          <w:ilvl w:val="0"/>
          <w:numId w:val="30"/>
        </w:numPr>
        <w:spacing w:after="0" w:line="360" w:lineRule="auto"/>
        <w:rPr>
          <w:rFonts w:ascii="Times New Roman" w:hAnsi="Times New Roman" w:cs="Times New Roman"/>
        </w:rPr>
      </w:pPr>
      <w:r w:rsidRPr="00AC4363">
        <w:rPr>
          <w:rFonts w:ascii="Times New Roman" w:hAnsi="Times New Roman" w:cs="Times New Roman"/>
        </w:rPr>
        <w:t>H</w:t>
      </w:r>
      <w:r w:rsidRPr="00AC4363">
        <w:rPr>
          <w:rFonts w:ascii="Times New Roman" w:hAnsi="Times New Roman" w:cs="Times New Roman"/>
          <w:vertAlign w:val="subscript"/>
        </w:rPr>
        <w:t>4</w:t>
      </w:r>
      <w:r w:rsidRPr="00AC4363">
        <w:rPr>
          <w:rFonts w:ascii="Times New Roman" w:hAnsi="Times New Roman" w:cs="Times New Roman"/>
        </w:rPr>
        <w:t xml:space="preserve"> (AFC): El modelo teórico de evaluación de competencias profesionales se ajusta adecuadamente a</w:t>
      </w:r>
      <w:r w:rsidRPr="002C09E0">
        <w:rPr>
          <w:rFonts w:ascii="Times New Roman" w:hAnsi="Times New Roman" w:cs="Times New Roman"/>
        </w:rPr>
        <w:t xml:space="preserve"> los datos empíricos, </w:t>
      </w:r>
      <w:r w:rsidR="00C941F9">
        <w:rPr>
          <w:rFonts w:ascii="Times New Roman" w:hAnsi="Times New Roman" w:cs="Times New Roman"/>
        </w:rPr>
        <w:t>lo que determina</w:t>
      </w:r>
      <w:r w:rsidRPr="002C09E0">
        <w:rPr>
          <w:rFonts w:ascii="Times New Roman" w:hAnsi="Times New Roman" w:cs="Times New Roman"/>
        </w:rPr>
        <w:t xml:space="preserve"> la validez </w:t>
      </w:r>
      <w:r w:rsidR="00196441">
        <w:rPr>
          <w:rFonts w:ascii="Times New Roman" w:hAnsi="Times New Roman" w:cs="Times New Roman"/>
        </w:rPr>
        <w:t xml:space="preserve">discriminante y </w:t>
      </w:r>
      <w:r w:rsidRPr="002C09E0">
        <w:rPr>
          <w:rFonts w:ascii="Times New Roman" w:hAnsi="Times New Roman" w:cs="Times New Roman"/>
        </w:rPr>
        <w:t>de constructo</w:t>
      </w:r>
      <w:r w:rsidR="00196441">
        <w:rPr>
          <w:rFonts w:ascii="Times New Roman" w:hAnsi="Times New Roman" w:cs="Times New Roman"/>
        </w:rPr>
        <w:t>,</w:t>
      </w:r>
      <w:r w:rsidRPr="002C09E0">
        <w:rPr>
          <w:rFonts w:ascii="Times New Roman" w:hAnsi="Times New Roman" w:cs="Times New Roman"/>
        </w:rPr>
        <w:t xml:space="preserve"> mediante </w:t>
      </w:r>
      <w:r w:rsidR="00C941F9">
        <w:rPr>
          <w:rFonts w:ascii="Times New Roman" w:hAnsi="Times New Roman" w:cs="Times New Roman"/>
        </w:rPr>
        <w:t xml:space="preserve">las medidas psicométricas de </w:t>
      </w:r>
      <w:r w:rsidRPr="002C09E0">
        <w:rPr>
          <w:rFonts w:ascii="Times New Roman" w:hAnsi="Times New Roman" w:cs="Times New Roman"/>
        </w:rPr>
        <w:t>índices de ajuste aceptables</w:t>
      </w:r>
      <w:r w:rsidR="00487817" w:rsidRPr="002C09E0">
        <w:t xml:space="preserve"> </w:t>
      </w:r>
      <w:r w:rsidR="00487817" w:rsidRPr="002C09E0">
        <w:rPr>
          <w:rFonts w:ascii="Times New Roman" w:hAnsi="Times New Roman" w:cs="Times New Roman"/>
        </w:rPr>
        <w:t>(CFI, TLI, RMSEA</w:t>
      </w:r>
      <w:r w:rsidR="00FD5063">
        <w:rPr>
          <w:rFonts w:ascii="Times New Roman" w:hAnsi="Times New Roman" w:cs="Times New Roman"/>
        </w:rPr>
        <w:t>, entre otros</w:t>
      </w:r>
      <w:r w:rsidR="00487817" w:rsidRPr="002C09E0">
        <w:rPr>
          <w:rFonts w:ascii="Times New Roman" w:hAnsi="Times New Roman" w:cs="Times New Roman"/>
        </w:rPr>
        <w:t>).</w:t>
      </w:r>
    </w:p>
    <w:p w14:paraId="5E8098AC" w14:textId="77777777" w:rsidR="00F737AB" w:rsidRDefault="00F737AB" w:rsidP="004030EF">
      <w:pPr>
        <w:spacing w:after="0" w:line="360" w:lineRule="auto"/>
        <w:jc w:val="both"/>
        <w:rPr>
          <w:b/>
          <w:bCs/>
        </w:rPr>
      </w:pPr>
    </w:p>
    <w:p w14:paraId="4E0D6C24" w14:textId="130A9E06" w:rsidR="006C5BEB" w:rsidRPr="00D945F3" w:rsidRDefault="006C5BEB" w:rsidP="00D945F3">
      <w:pPr>
        <w:spacing w:after="0" w:line="360" w:lineRule="auto"/>
        <w:jc w:val="center"/>
        <w:rPr>
          <w:b/>
          <w:bCs/>
          <w:sz w:val="28"/>
          <w:szCs w:val="28"/>
        </w:rPr>
      </w:pPr>
      <w:r w:rsidRPr="00D945F3">
        <w:rPr>
          <w:b/>
          <w:bCs/>
          <w:sz w:val="28"/>
          <w:szCs w:val="28"/>
        </w:rPr>
        <w:t xml:space="preserve">Evaluación </w:t>
      </w:r>
      <w:r w:rsidR="000A67E1" w:rsidRPr="00D945F3">
        <w:rPr>
          <w:b/>
          <w:bCs/>
          <w:sz w:val="28"/>
          <w:szCs w:val="28"/>
        </w:rPr>
        <w:t>de</w:t>
      </w:r>
      <w:r w:rsidR="00A9509B" w:rsidRPr="00D945F3">
        <w:rPr>
          <w:b/>
          <w:bCs/>
          <w:sz w:val="28"/>
          <w:szCs w:val="28"/>
        </w:rPr>
        <w:t>l</w:t>
      </w:r>
      <w:r w:rsidR="000A67E1" w:rsidRPr="00D945F3">
        <w:rPr>
          <w:b/>
          <w:bCs/>
          <w:sz w:val="28"/>
          <w:szCs w:val="28"/>
        </w:rPr>
        <w:t xml:space="preserve"> </w:t>
      </w:r>
      <w:r w:rsidR="000F736F" w:rsidRPr="00D945F3">
        <w:rPr>
          <w:b/>
          <w:bCs/>
          <w:sz w:val="28"/>
          <w:szCs w:val="28"/>
        </w:rPr>
        <w:t>a</w:t>
      </w:r>
      <w:r w:rsidR="000A67E1" w:rsidRPr="00D945F3">
        <w:rPr>
          <w:b/>
          <w:bCs/>
          <w:sz w:val="28"/>
          <w:szCs w:val="28"/>
        </w:rPr>
        <w:t>prendizaje</w:t>
      </w:r>
    </w:p>
    <w:p w14:paraId="12C136AA" w14:textId="7D66B668" w:rsidR="000A67E1" w:rsidRPr="00DB6940" w:rsidRDefault="00696518" w:rsidP="0037717A">
      <w:pPr>
        <w:spacing w:after="0" w:line="360" w:lineRule="auto"/>
        <w:ind w:firstLine="709"/>
        <w:jc w:val="both"/>
        <w:rPr>
          <w:color w:val="FF0000"/>
        </w:rPr>
      </w:pPr>
      <w:r w:rsidRPr="001360A3">
        <w:t xml:space="preserve">Evaluar el aprendizaje implica gran responsabilidad para </w:t>
      </w:r>
      <w:r w:rsidR="000623D0">
        <w:t>quien enseña</w:t>
      </w:r>
      <w:r w:rsidRPr="001360A3">
        <w:t xml:space="preserve">, ya que constituye el propósito esencial en su </w:t>
      </w:r>
      <w:r w:rsidR="007A0593">
        <w:t>función docente</w:t>
      </w:r>
      <w:r w:rsidR="00674769" w:rsidRPr="001360A3">
        <w:t xml:space="preserve"> mediante la</w:t>
      </w:r>
      <w:r w:rsidRPr="001360A3">
        <w:t xml:space="preserve"> </w:t>
      </w:r>
      <w:r w:rsidR="005F0BC1">
        <w:t xml:space="preserve">intención y </w:t>
      </w:r>
      <w:r w:rsidRPr="001360A3">
        <w:t>secuencia didáctica</w:t>
      </w:r>
      <w:r w:rsidR="008562C1" w:rsidRPr="001360A3">
        <w:t>.</w:t>
      </w:r>
      <w:r w:rsidRPr="001360A3">
        <w:t xml:space="preserve"> Al evaluar los resultados de aprendizaje, </w:t>
      </w:r>
      <w:r w:rsidR="007A0593">
        <w:t>ést</w:t>
      </w:r>
      <w:r w:rsidR="004C59A1">
        <w:t>os</w:t>
      </w:r>
      <w:r w:rsidR="00CF3DBB">
        <w:t xml:space="preserve"> </w:t>
      </w:r>
      <w:r w:rsidRPr="001360A3">
        <w:t>debe</w:t>
      </w:r>
      <w:r w:rsidR="004C59A1">
        <w:t>n</w:t>
      </w:r>
      <w:r w:rsidRPr="001360A3">
        <w:t xml:space="preserve"> operacionalizarse </w:t>
      </w:r>
      <w:r w:rsidR="00CF3DBB">
        <w:t>desde</w:t>
      </w:r>
      <w:r w:rsidRPr="001360A3">
        <w:t xml:space="preserve"> las actividades </w:t>
      </w:r>
      <w:r w:rsidR="0037646F" w:rsidRPr="001360A3">
        <w:t>didácticas</w:t>
      </w:r>
      <w:r w:rsidRPr="001360A3">
        <w:t xml:space="preserve"> </w:t>
      </w:r>
      <w:r w:rsidR="00E32EF3" w:rsidRPr="001360A3">
        <w:fldChar w:fldCharType="begin"/>
      </w:r>
      <w:r w:rsidR="00595F5E">
        <w:instrText xml:space="preserve"> ADDIN EN.CITE &lt;EndNote&gt;&lt;Cite&gt;&lt;Author&gt;González-Segura&lt;/Author&gt;&lt;Year&gt;2018&lt;/Year&gt;&lt;IDText&gt;Análisis de la evaluación de competencias y su aplicación en un Sistema de Gestión del Aprendizaje. Un caso de estudio.&lt;/IDText&gt;&lt;DisplayText&gt;(González-Segura et al., 2018; Parmigiani et al., 2024)&lt;/DisplayText&gt;&lt;record&gt;&lt;titles&gt;&lt;title&gt;Análisis de la evaluación de competencias y su aplicación en un Sistema de Gestión del Aprendizaje. Un caso de estudio.&lt;/title&gt;&lt;secondary-title&gt;Revista de Educación a Distancia&lt;/secondary-title&gt;&lt;/titles&gt;&lt;number&gt;58&lt;/number&gt;&lt;contributors&gt;&lt;authors&gt;&lt;author&gt;González-Segura, C. M.&lt;/author&gt;&lt;author&gt;García-García, M.&lt;/author&gt;&lt;author&gt;Menéndez-Domínguez, V. H.&lt;/author&gt;&lt;/authors&gt;&lt;/contributors&gt;&lt;added-date format="utc"&gt;1728396974&lt;/added-date&gt;&lt;ref-type name="Magazine Article"&gt;19&lt;/ref-type&gt;&lt;dates&gt;&lt;year&gt;2018&lt;/year&gt;&lt;/dates&gt;&lt;rec-number&gt;1359&lt;/rec-number&gt;&lt;last-updated-date format="utc"&gt;1728397146&lt;/last-updated-date&gt;&lt;electronic-resource-num&gt;DOI: http://dx.doi.org/10.6018/red/58/3&lt;/electronic-resource-num&gt;&lt;/record&gt;&lt;/Cite&gt;&lt;Cite&gt;&lt;Author&gt;Parmigiani&lt;/Author&gt;&lt;Year&gt;2024&lt;/Year&gt;&lt;IDText&gt;Formative assessment in higher education: an exploratory study within programs for professionals in education&lt;/IDText&gt;&lt;record&gt;&lt;titles&gt;&lt;title&gt;Formative assessment in higher education: an exploratory study within programs for professionals in education&lt;/title&gt;&lt;secondary-title&gt;Frontiers in Education&lt;/secondary-title&gt;&lt;/titles&gt;&lt;pages&gt;1366215&lt;/pages&gt;&lt;contributors&gt;&lt;authors&gt;&lt;author&gt;Parmigiani, D.&lt;/author&gt;&lt;author&gt;Nicchia, E.&lt;/author&gt;&lt;author&gt;Murgia, E.&lt;/author&gt;&lt;author&gt;Ingersoll, M.&lt;/author&gt;&lt;/authors&gt;&lt;/contributors&gt;&lt;added-date format="utc"&gt;1728402848&lt;/added-date&gt;&lt;ref-type name="Magazine Article"&gt;19&lt;/ref-type&gt;&lt;dates&gt;&lt;year&gt;2024&lt;/year&gt;&lt;/dates&gt;&lt;rec-number&gt;1367&lt;/rec-number&gt;&lt;last-updated-date format="utc"&gt;1728403056&lt;/last-updated-date&gt;&lt;electronic-resource-num&gt;10.3389/feduc.2024.1366215&lt;/electronic-resource-num&gt;&lt;volume&gt;9&lt;/volume&gt;&lt;/record&gt;&lt;/Cite&gt;&lt;/EndNote&gt;</w:instrText>
      </w:r>
      <w:r w:rsidR="00E32EF3" w:rsidRPr="001360A3">
        <w:fldChar w:fldCharType="separate"/>
      </w:r>
      <w:r w:rsidR="00595F5E">
        <w:rPr>
          <w:noProof/>
        </w:rPr>
        <w:t>(González-Segura et al., 2018; Parmigiani et al., 2024)</w:t>
      </w:r>
      <w:r w:rsidR="00E32EF3" w:rsidRPr="001360A3">
        <w:fldChar w:fldCharType="end"/>
      </w:r>
      <w:r w:rsidRPr="001360A3">
        <w:t xml:space="preserve">. En la </w:t>
      </w:r>
      <w:r w:rsidR="0037646F" w:rsidRPr="001360A3">
        <w:t xml:space="preserve">valoración de calidad de la </w:t>
      </w:r>
      <w:r w:rsidRPr="001360A3">
        <w:t>educación superior actual, se evalúa</w:t>
      </w:r>
      <w:r w:rsidR="00A9509B" w:rsidRPr="001360A3">
        <w:t xml:space="preserve"> particularmente</w:t>
      </w:r>
      <w:r w:rsidRPr="001360A3">
        <w:t xml:space="preserve"> si se lograron alcanzar las competencias</w:t>
      </w:r>
      <w:r w:rsidR="00092BD9" w:rsidRPr="001360A3">
        <w:t xml:space="preserve"> al interior de una asignatura y a lo largo de todo el currículo</w:t>
      </w:r>
      <w:r w:rsidR="00DB6940" w:rsidRPr="005F0BC1">
        <w:t>.</w:t>
      </w:r>
      <w:r w:rsidR="00DB6940">
        <w:rPr>
          <w:color w:val="FF0000"/>
        </w:rPr>
        <w:t xml:space="preserve"> </w:t>
      </w:r>
      <w:r w:rsidR="00DB6940">
        <w:t xml:space="preserve">En este </w:t>
      </w:r>
      <w:r w:rsidR="000A67E1" w:rsidRPr="001360A3">
        <w:t xml:space="preserve">trabajo de investigación, se aborda el desarrollo de competencias con el uso de indicadores de </w:t>
      </w:r>
      <w:r w:rsidR="00DA67CE" w:rsidRPr="001360A3">
        <w:t>desempeño</w:t>
      </w:r>
      <w:r w:rsidR="000A67E1" w:rsidRPr="001360A3">
        <w:t xml:space="preserve"> debidamente definidos como constructos, lo que permite operacionalizar actividades de aprendizaje asociad</w:t>
      </w:r>
      <w:r w:rsidR="00D460BA">
        <w:t>a</w:t>
      </w:r>
      <w:r w:rsidR="000A67E1" w:rsidRPr="001360A3">
        <w:t xml:space="preserve">s a estos indicadores. A partir de </w:t>
      </w:r>
      <w:r w:rsidR="006F5E45">
        <w:t>las competencias a desarrollar</w:t>
      </w:r>
      <w:r w:rsidR="000A67E1" w:rsidRPr="001360A3">
        <w:t xml:space="preserve">, se definen resultados de aprendizaje para evaluar </w:t>
      </w:r>
      <w:r w:rsidR="00F152E4">
        <w:t xml:space="preserve">las </w:t>
      </w:r>
      <w:r w:rsidR="000A67E1" w:rsidRPr="001360A3">
        <w:t>competencias al interior de una asignatura o en la construcción de mapas de competencias</w:t>
      </w:r>
      <w:r w:rsidR="00DA67CE" w:rsidRPr="001360A3">
        <w:t xml:space="preserve"> (CACEI, 2021</w:t>
      </w:r>
      <w:r w:rsidR="00AD7667">
        <w:t>;</w:t>
      </w:r>
      <w:r w:rsidR="00A54CC5">
        <w:t xml:space="preserve"> </w:t>
      </w:r>
      <w:r w:rsidR="00A54CC5">
        <w:fldChar w:fldCharType="begin"/>
      </w:r>
      <w:r w:rsidR="00A54CC5">
        <w:instrText xml:space="preserve"> ADDIN EN.CITE &lt;EndNote&gt;&lt;Cite&gt;&lt;Author&gt;Fulcher&lt;/Author&gt;&lt;Year&gt;2025&lt;/Year&gt;&lt;IDText&gt;Assessment 101 in Higher Education&lt;/IDText&gt;&lt;DisplayText&gt;(Fulcher et al., 2025)&lt;/DisplayText&gt;&lt;record&gt;&lt;titles&gt;&lt;title&gt;Assessment 101 in Higher Education&lt;/title&gt;&lt;/titles&gt;&lt;contributors&gt;&lt;authors&gt;&lt;author&gt;Fulcher, K. H.&lt;/author&gt;&lt;author&gt;Good, R. M.&lt;/author&gt;&lt;author&gt;Sanchez E. R.&lt;/author&gt;&lt;/authors&gt;&lt;/contributors&gt;&lt;edition&gt;1&lt;/edition&gt;&lt;added-date format="utc"&gt;1743103504&lt;/added-date&gt;&lt;ref-type name="Book"&gt;6&lt;/ref-type&gt;&lt;dates&gt;&lt;year&gt;2025&lt;/year&gt;&lt;/dates&gt;&lt;rec-number&gt;1384&lt;/rec-number&gt;&lt;publisher&gt;Taylor &amp;amp; Francis Group&lt;/publisher&gt;&lt;last-updated-date format="utc"&gt;1743103656&lt;/last-updated-date&gt;&lt;/record&gt;&lt;/Cite&gt;&lt;/EndNote&gt;</w:instrText>
      </w:r>
      <w:r w:rsidR="00A54CC5">
        <w:fldChar w:fldCharType="separate"/>
      </w:r>
      <w:r w:rsidR="00A54CC5">
        <w:rPr>
          <w:noProof/>
        </w:rPr>
        <w:t>Fulcher et al., 2025)</w:t>
      </w:r>
      <w:r w:rsidR="00A54CC5">
        <w:fldChar w:fldCharType="end"/>
      </w:r>
      <w:r w:rsidR="000A67E1" w:rsidRPr="001360A3">
        <w:t>.</w:t>
      </w:r>
    </w:p>
    <w:p w14:paraId="468195D7" w14:textId="187EAE17" w:rsidR="005F0BC1" w:rsidRDefault="000A67E1" w:rsidP="0037717A">
      <w:pPr>
        <w:spacing w:after="0" w:line="360" w:lineRule="auto"/>
        <w:ind w:firstLine="709"/>
        <w:jc w:val="both"/>
      </w:pPr>
      <w:r w:rsidRPr="001360A3">
        <w:t xml:space="preserve">Con base </w:t>
      </w:r>
      <w:r w:rsidR="00D460BA">
        <w:t>en</w:t>
      </w:r>
      <w:r w:rsidRPr="001360A3">
        <w:t xml:space="preserve"> estas afirmaciones es que los ítems o enunciados de un instrumento de medición, redactados como resultados de aprendizaje, se les considera como variables observables</w:t>
      </w:r>
      <w:r w:rsidR="005F0BC1">
        <w:t>, medibles y</w:t>
      </w:r>
      <w:r w:rsidR="00BB50B6">
        <w:t>,</w:t>
      </w:r>
      <w:r w:rsidR="005F0BC1">
        <w:t xml:space="preserve"> por tanto, asociarl</w:t>
      </w:r>
      <w:r w:rsidR="00BB50B6">
        <w:t>a</w:t>
      </w:r>
      <w:r w:rsidR="005F0BC1">
        <w:t>s con un modelo teórico constituido por variables latentes o constructos</w:t>
      </w:r>
      <w:r w:rsidR="00C337A3">
        <w:t>,</w:t>
      </w:r>
      <w:r w:rsidR="005F0BC1">
        <w:t xml:space="preserve"> para evaluar las co</w:t>
      </w:r>
      <w:r w:rsidR="00BB50B6">
        <w:t>m</w:t>
      </w:r>
      <w:r w:rsidR="005F0BC1">
        <w:t>petencias profesionales inscritas en un perfil de egreso</w:t>
      </w:r>
      <w:r w:rsidRPr="001360A3">
        <w:t xml:space="preserve"> </w:t>
      </w:r>
      <w:r w:rsidRPr="001360A3">
        <w:fldChar w:fldCharType="begin"/>
      </w:r>
      <w:r w:rsidRPr="001360A3">
        <w:instrText xml:space="preserve"> ADDIN EN.CITE &lt;EndNote&gt;&lt;Cite&gt;&lt;Author&gt;Ferrando&lt;/Author&gt;&lt;Year&gt;2022&lt;/Year&gt;&lt;IDText&gt;Decálogo para el Análisis Factorial de los ítems de un Test&lt;/IDText&gt;&lt;DisplayText&gt;(Ferrando et al., 2022)&lt;/DisplayText&gt;&lt;record&gt;&lt;titles&gt;&lt;title&gt;Decálogo para el Análisis Factorial de los ítems de un Test&lt;/title&gt;&lt;secondary-title&gt;Psicothema&lt;/secondary-title&gt;&lt;/titles&gt;&lt;pages&gt;7-17&lt;/pages&gt;&lt;number&gt;1&lt;/number&gt;&lt;contributors&gt;&lt;authors&gt;&lt;author&gt;Ferrando, J. P.&lt;/author&gt;&lt;author&gt;Lorenzo-Seva, U.&lt;/author&gt;&lt;author&gt;Hernández-Dorado, A.&lt;/author&gt;&lt;author&gt;Muñiz, J.&lt;/author&gt;&lt;/authors&gt;&lt;/contributors&gt;&lt;added-date format="utc"&gt;1727888902&lt;/added-date&gt;&lt;ref-type name="Magazine Article"&gt;19&lt;/ref-type&gt;&lt;dates&gt;&lt;year&gt;2022&lt;/year&gt;&lt;/dates&gt;&lt;rec-number&gt;1320&lt;/rec-number&gt;&lt;last-updated-date format="utc"&gt;1727889659&lt;/last-updated-date&gt;&lt;electronic-resource-num&gt;doi: 10.7334/psicothema2021.456&lt;/electronic-resource-num&gt;&lt;volume&gt;34&lt;/volume&gt;&lt;/record&gt;&lt;/Cite&gt;&lt;/EndNote&gt;</w:instrText>
      </w:r>
      <w:r w:rsidRPr="001360A3">
        <w:fldChar w:fldCharType="separate"/>
      </w:r>
      <w:r w:rsidRPr="001360A3">
        <w:t>(Ferrando et al., 2022)</w:t>
      </w:r>
      <w:r w:rsidRPr="001360A3">
        <w:fldChar w:fldCharType="end"/>
      </w:r>
      <w:r w:rsidRPr="001360A3">
        <w:t>.</w:t>
      </w:r>
    </w:p>
    <w:p w14:paraId="627CFA73" w14:textId="3DC4E410" w:rsidR="000A67E1" w:rsidRPr="001360A3" w:rsidRDefault="005F0BC1" w:rsidP="0037717A">
      <w:pPr>
        <w:spacing w:after="0" w:line="360" w:lineRule="auto"/>
        <w:ind w:firstLine="709"/>
        <w:jc w:val="both"/>
      </w:pPr>
      <w:r>
        <w:t>En este sentido,</w:t>
      </w:r>
      <w:r w:rsidR="000A67E1" w:rsidRPr="001360A3">
        <w:t xml:space="preserve"> Boyatzis (2018) </w:t>
      </w:r>
      <w:r w:rsidR="007A5F0F">
        <w:t xml:space="preserve">refiere que </w:t>
      </w:r>
      <w:r>
        <w:t xml:space="preserve">en la evaluación de una habilidad, </w:t>
      </w:r>
      <w:r w:rsidR="000A67E1" w:rsidRPr="001360A3">
        <w:t xml:space="preserve">la acción y </w:t>
      </w:r>
      <w:r w:rsidR="00235CE2">
        <w:t xml:space="preserve">el </w:t>
      </w:r>
      <w:r w:rsidR="000A67E1" w:rsidRPr="001360A3">
        <w:t>desempeño laboral se determina</w:t>
      </w:r>
      <w:r w:rsidR="00235CE2">
        <w:t>n</w:t>
      </w:r>
      <w:r w:rsidR="000A67E1" w:rsidRPr="001360A3">
        <w:t xml:space="preserve"> </w:t>
      </w:r>
      <w:r w:rsidR="00FF6203">
        <w:t>mediante</w:t>
      </w:r>
      <w:r w:rsidR="000A67E1" w:rsidRPr="001360A3">
        <w:t xml:space="preserve"> un máximo de rendimiento, estimulación y compromiso</w:t>
      </w:r>
      <w:r w:rsidR="00DB6940">
        <w:t xml:space="preserve">. </w:t>
      </w:r>
      <w:r w:rsidR="007A5F0F">
        <w:t>E</w:t>
      </w:r>
      <w:r w:rsidR="00DB6940">
        <w:t>l autor</w:t>
      </w:r>
      <w:r w:rsidR="00B453F4">
        <w:t xml:space="preserve"> </w:t>
      </w:r>
      <w:r w:rsidR="007A5F0F">
        <w:t>toma como referencia a</w:t>
      </w:r>
      <w:r w:rsidR="00DB6940">
        <w:t xml:space="preserve"> </w:t>
      </w:r>
      <w:r w:rsidR="00B453F4" w:rsidRPr="001360A3">
        <w:fldChar w:fldCharType="begin">
          <w:fldData xml:space="preserve">PEVuZE5vdGU+PENpdGU+PEF1dGhvcj5BbmRlcnNvbjwvQXV0aG9yPjxZZWFyPjIwMDE8L1llYXI+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</w:fldData>
        </w:fldChar>
      </w:r>
      <w:r w:rsidR="00A54CC5">
        <w:instrText xml:space="preserve"> ADDIN EN.CITE </w:instrText>
      </w:r>
      <w:r w:rsidR="00A54CC5">
        <w:fldChar w:fldCharType="begin">
          <w:fldData xml:space="preserve">PEVuZE5vdGU+PENpdGU+PEF1dGhvcj5BbmRlcnNvbjwvQXV0aG9yPjxZZWFyPjIwMDE8L1llYXI+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</w:fldData>
        </w:fldChar>
      </w:r>
      <w:r w:rsidR="00A54CC5">
        <w:instrText xml:space="preserve"> ADDIN EN.CITE.DATA </w:instrText>
      </w:r>
      <w:r w:rsidR="00A54CC5">
        <w:fldChar w:fldCharType="end"/>
      </w:r>
      <w:r w:rsidR="00B453F4" w:rsidRPr="001360A3">
        <w:fldChar w:fldCharType="separate"/>
      </w:r>
      <w:r w:rsidR="00A54CC5">
        <w:rPr>
          <w:noProof/>
        </w:rPr>
        <w:t xml:space="preserve">Anderson et al., </w:t>
      </w:r>
      <w:r w:rsidR="00AD7667">
        <w:rPr>
          <w:noProof/>
        </w:rPr>
        <w:t>(</w:t>
      </w:r>
      <w:r w:rsidR="00A54CC5">
        <w:rPr>
          <w:noProof/>
        </w:rPr>
        <w:t>2001</w:t>
      </w:r>
      <w:r w:rsidR="00AD7667">
        <w:rPr>
          <w:noProof/>
        </w:rPr>
        <w:t xml:space="preserve">) y </w:t>
      </w:r>
      <w:r w:rsidR="00A54CC5">
        <w:rPr>
          <w:noProof/>
        </w:rPr>
        <w:lastRenderedPageBreak/>
        <w:t xml:space="preserve">Ayyanathan </w:t>
      </w:r>
      <w:r w:rsidR="00AD7667">
        <w:rPr>
          <w:noProof/>
        </w:rPr>
        <w:t>(</w:t>
      </w:r>
      <w:r w:rsidR="00A54CC5">
        <w:rPr>
          <w:noProof/>
        </w:rPr>
        <w:t>2022)</w:t>
      </w:r>
      <w:r w:rsidR="00B453F4" w:rsidRPr="001360A3">
        <w:fldChar w:fldCharType="end"/>
      </w:r>
      <w:r>
        <w:t xml:space="preserve"> </w:t>
      </w:r>
      <w:r w:rsidR="007A5F0F">
        <w:t>al afirmar que el</w:t>
      </w:r>
      <w:r w:rsidR="00DB6940">
        <w:t xml:space="preserve"> aprendizaje de</w:t>
      </w:r>
      <w:r w:rsidR="000A67E1" w:rsidRPr="001360A3">
        <w:t xml:space="preserve"> competencias</w:t>
      </w:r>
      <w:r w:rsidR="00DB6940">
        <w:t xml:space="preserve"> involucra tres aspectos fundamentales</w:t>
      </w:r>
      <w:r w:rsidR="00B453F4">
        <w:t xml:space="preserve">: </w:t>
      </w:r>
    </w:p>
    <w:p w14:paraId="6FA0FA45" w14:textId="77777777" w:rsidR="000A67E1" w:rsidRPr="001360A3" w:rsidRDefault="000A67E1" w:rsidP="004030EF">
      <w:pPr>
        <w:numPr>
          <w:ilvl w:val="0"/>
          <w:numId w:val="22"/>
        </w:numPr>
        <w:spacing w:after="0" w:line="360" w:lineRule="auto"/>
        <w:jc w:val="both"/>
      </w:pPr>
      <w:r w:rsidRPr="001360A3">
        <w:t>Competencias cognitivas: Se tiene como ejemplo al aprendizaje constructivo, el pensamiento sistémico y el reconocimiento de patrones, entre otros.</w:t>
      </w:r>
    </w:p>
    <w:p w14:paraId="0DAE29DF" w14:textId="53247E27" w:rsidR="000A67E1" w:rsidRPr="001360A3" w:rsidRDefault="000A67E1" w:rsidP="004030EF">
      <w:pPr>
        <w:numPr>
          <w:ilvl w:val="0"/>
          <w:numId w:val="22"/>
        </w:numPr>
        <w:spacing w:after="0" w:line="360" w:lineRule="auto"/>
        <w:jc w:val="both"/>
      </w:pPr>
      <w:r w:rsidRPr="001360A3">
        <w:t>Competencias de inteligencia emocional: Incluidas las competencias de autoconciencia y autogestión, como la autoconciencia emocional y el autocontrol emocional</w:t>
      </w:r>
      <w:r w:rsidR="00D460BA">
        <w:t>.</w:t>
      </w:r>
    </w:p>
    <w:p w14:paraId="52911A3E" w14:textId="10596B35" w:rsidR="000A67E1" w:rsidRPr="00B453F4" w:rsidRDefault="000A67E1" w:rsidP="004030EF">
      <w:pPr>
        <w:numPr>
          <w:ilvl w:val="0"/>
          <w:numId w:val="22"/>
        </w:numPr>
        <w:spacing w:after="0" w:line="360" w:lineRule="auto"/>
        <w:jc w:val="both"/>
      </w:pPr>
      <w:r w:rsidRPr="001360A3">
        <w:t>Competencias de inteligencia social: Aquí se incluyen las competencias de conciencia social y gestión de relaciones</w:t>
      </w:r>
      <w:r w:rsidR="007A5F0F">
        <w:t xml:space="preserve">: </w:t>
      </w:r>
      <w:r w:rsidRPr="001360A3">
        <w:t xml:space="preserve"> la empatía y el trabajo en equipo </w:t>
      </w:r>
      <w:r w:rsidR="00B453F4" w:rsidRPr="001360A3">
        <w:t>(Boyatzis, 2008</w:t>
      </w:r>
      <w:r w:rsidR="00B453F4">
        <w:t>, p. 7</w:t>
      </w:r>
      <w:r w:rsidR="00B453F4" w:rsidRPr="001360A3">
        <w:t xml:space="preserve">). </w:t>
      </w:r>
    </w:p>
    <w:p w14:paraId="758A2680" w14:textId="789BD61F" w:rsidR="000A67E1" w:rsidRDefault="00BF5F24" w:rsidP="004C4028">
      <w:pPr>
        <w:spacing w:after="0" w:line="360" w:lineRule="auto"/>
        <w:ind w:firstLine="708"/>
        <w:jc w:val="both"/>
      </w:pPr>
      <w:r>
        <w:t>Por otro lado</w:t>
      </w:r>
      <w:r w:rsidR="00E32EF3" w:rsidRPr="001360A3">
        <w:t>, d</w:t>
      </w:r>
      <w:r w:rsidR="008E795F" w:rsidRPr="001360A3">
        <w:t xml:space="preserve">iversos autores como </w:t>
      </w:r>
      <w:r w:rsidR="008E795F" w:rsidRPr="001360A3">
        <w:fldChar w:fldCharType="begin"/>
      </w:r>
      <w:r w:rsidR="008E795F" w:rsidRPr="001360A3">
        <w:instrText xml:space="preserve"> ADDIN EN.CITE &lt;EndNote&gt;&lt;Cite&gt;&lt;Author&gt;Leyva&lt;/Author&gt;&lt;Year&gt;2010&lt;/Year&gt;&lt;IDText&gt;La Evaluación como Recurso Estratégico para la Mejora de la Práctica Docente ante los Retos de una Educación Basada en Competencias&lt;/IDText&gt;&lt;DisplayText&gt;(Leyva, 2010)&lt;/DisplayText&gt;&lt;record&gt;&lt;urls&gt;&lt;related-urls&gt;&lt;url&gt;http://www.rinace.net/riee/numeros/vol3-num1_e/art18.pdf&lt;/url&gt;&lt;/related-urls&gt;&lt;/urls&gt;&lt;titles&gt;&lt;title&gt;La Evaluación como Recurso Estratégico para la Mejora de la Práctica Docente ante los Retos de una Educación Basada en Competencias&lt;/title&gt;&lt;/titles&gt;&lt;pages&gt;233-245&lt;/pages&gt;&lt;number&gt;1e&lt;/number&gt;&lt;contributors&gt;&lt;authors&gt;&lt;author&gt;Leyva, B. G.&lt;/author&gt;&lt;/authors&gt;&lt;/contributors&gt;&lt;added-date format="utc"&gt;1635767838&lt;/added-date&gt;&lt;pub-location&gt;Ciudad de México, México&lt;/pub-location&gt;&lt;ref-type name="Magazine Article"&gt;19&lt;/ref-type&gt;&lt;dates&gt;&lt;year&gt;2010&lt;/year&gt;&lt;/dates&gt;&lt;rec-number&gt;952&lt;/rec-number&gt;&lt;publisher&gt;Revista Iberoamericana de Evaluación Educativa&lt;/publisher&gt;&lt;last-updated-date format="utc"&gt;1635768621&lt;/last-updated-date&gt;&lt;volume&gt;3&lt;/volume&gt;&lt;/record&gt;&lt;/Cite&gt;&lt;/EndNote&gt;</w:instrText>
      </w:r>
      <w:r w:rsidR="008E795F" w:rsidRPr="001360A3">
        <w:fldChar w:fldCharType="separate"/>
      </w:r>
      <w:r w:rsidR="008E795F" w:rsidRPr="001360A3">
        <w:rPr>
          <w:noProof/>
        </w:rPr>
        <w:t xml:space="preserve">Leyva </w:t>
      </w:r>
      <w:r w:rsidR="006F5E45">
        <w:rPr>
          <w:noProof/>
        </w:rPr>
        <w:t>(</w:t>
      </w:r>
      <w:r w:rsidR="008E795F" w:rsidRPr="001360A3">
        <w:rPr>
          <w:noProof/>
        </w:rPr>
        <w:t>2010)</w:t>
      </w:r>
      <w:r w:rsidR="008E795F" w:rsidRPr="001360A3">
        <w:fldChar w:fldCharType="end"/>
      </w:r>
      <w:r w:rsidR="00B453F4">
        <w:t xml:space="preserve"> y</w:t>
      </w:r>
      <w:r w:rsidR="008E795F" w:rsidRPr="001360A3">
        <w:t xml:space="preserve"> </w:t>
      </w:r>
      <w:r w:rsidR="008E795F" w:rsidRPr="001360A3">
        <w:fldChar w:fldCharType="begin"/>
      </w:r>
      <w:r w:rsidR="00595F5E">
        <w:instrText xml:space="preserve"> ADDIN EN.CITE &lt;EndNote&gt;&lt;Cite&gt;&lt;Author&gt;Bezanilla&lt;/Author&gt;&lt;Year&gt;2016&lt;/Year&gt;&lt;IDText&gt;Sistema de evaluación por competencias en educación superior utilizando Moodle&lt;/IDText&gt;&lt;DisplayText&gt;(Bezanilla &amp;amp; Arranz, 2016; Duran et al., 2017)&lt;/DisplayText&gt;&lt;record&gt;&lt;urls&gt;&lt;related-urls&gt;&lt;url&gt;https://www.redalyc.org/journal/310/31047691013/html/&lt;/url&gt;&lt;/related-urls&gt;&lt;/urls&gt;&lt;titles&gt;&lt;title&gt;Sistema de evaluación por competencias en educación superior utilizando Moodle&lt;/title&gt;&lt;secondary-title&gt;Opción. Revista de Antropología, Ciencias de la Comunicación, Filosofía, Lingüística y Semiótica,Problemas del Desarrollo, la Ciencia y la Tecnología.&lt;/secondary-title&gt;&lt;/titles&gt;&lt;pages&gt;290-310&lt;/pages&gt;&lt;number&gt;80&lt;/number&gt;&lt;contributors&gt;&lt;authors&gt;&lt;author&gt;Bezanilla, M. J.&lt;/author&gt;&lt;author&gt;Arranz, S.&lt;/author&gt;&lt;/authors&gt;&lt;/contributors&gt;&lt;added-date format="utc"&gt;1678469059&lt;/added-date&gt;&lt;ref-type name="Magazine Article"&gt;19&lt;/ref-type&gt;&lt;dates&gt;&lt;year&gt;2016&lt;/year&gt;&lt;/dates&gt;&lt;rec-number&gt;1067&lt;/rec-number&gt;&lt;publisher&gt;Universidad del Zulia, Maracaibo, Venezuela&lt;/publisher&gt;&lt;last-updated-date format="utc"&gt;1691950233&lt;/last-updated-date&gt;&lt;volume&gt;32&lt;/volume&gt;&lt;/record&gt;&lt;/Cite&gt;&lt;Cite&gt;&lt;Author&gt;Duran&lt;/Author&gt;&lt;Year&gt;2017&lt;/Year&gt;&lt;IDText&gt;Evaluación de mapas de competencias educativas: una propuesta difusa basada en 2-tuplas&lt;/IDText&gt;&lt;record&gt;&lt;isbn&gt;1646-9895&lt;/isbn&gt;&lt;titles&gt;&lt;title&gt;Evaluación de mapas de competencias educativas: una propuesta difusa basada en 2-tuplas&lt;/title&gt;&lt;secondary-title&gt;Revista Ibérica de Sistemas e Tecnologias de Informação&lt;/secondary-title&gt;&lt;/titles&gt;&lt;pages&gt;22-38&lt;/pages&gt;&lt;number&gt;24&lt;/number&gt;&lt;contributors&gt;&lt;authors&gt;&lt;author&gt;Duran, Diego F&lt;/author&gt;&lt;author&gt;Chanchí, Gabriel E&lt;/author&gt;&lt;author&gt;Arciniegas, Jose L&lt;/author&gt;&lt;/authors&gt;&lt;/contributors&gt;&lt;added-date format="utc"&gt;1696470375&lt;/added-date&gt;&lt;ref-type name="Journal Article"&gt;17&lt;/ref-type&gt;&lt;dates&gt;&lt;year&gt;2017&lt;/year&gt;&lt;/dates&gt;&lt;rec-number&gt;1139&lt;/rec-number&gt;&lt;last-updated-date format="utc"&gt;1696470375&lt;/last-updated-date&gt;&lt;/record&gt;&lt;/Cite&gt;&lt;/EndNote&gt;</w:instrText>
      </w:r>
      <w:r w:rsidR="008E795F" w:rsidRPr="001360A3">
        <w:fldChar w:fldCharType="separate"/>
      </w:r>
      <w:r w:rsidR="00595F5E">
        <w:rPr>
          <w:noProof/>
        </w:rPr>
        <w:t xml:space="preserve">Bezanilla </w:t>
      </w:r>
      <w:r w:rsidR="00D460BA">
        <w:rPr>
          <w:noProof/>
        </w:rPr>
        <w:t>y</w:t>
      </w:r>
      <w:r w:rsidR="00595F5E">
        <w:rPr>
          <w:noProof/>
        </w:rPr>
        <w:t xml:space="preserve"> Arranz </w:t>
      </w:r>
      <w:r w:rsidR="006F5E45">
        <w:rPr>
          <w:noProof/>
        </w:rPr>
        <w:t>(</w:t>
      </w:r>
      <w:r w:rsidR="00595F5E">
        <w:rPr>
          <w:noProof/>
        </w:rPr>
        <w:t>2016)</w:t>
      </w:r>
      <w:r w:rsidR="008E795F" w:rsidRPr="001360A3">
        <w:fldChar w:fldCharType="end"/>
      </w:r>
      <w:r w:rsidR="008E795F" w:rsidRPr="001360A3">
        <w:t xml:space="preserve"> coinciden en que la evaluación por competencias persigue </w:t>
      </w:r>
      <w:r w:rsidR="00453168" w:rsidRPr="001360A3">
        <w:t>el desarrollo de habilidades cognitivas, procedimentales y actitudinales. Leyva revisa</w:t>
      </w:r>
      <w:r w:rsidR="00C337A3">
        <w:t xml:space="preserve"> cuándo </w:t>
      </w:r>
      <w:r w:rsidR="004C59A1">
        <w:t xml:space="preserve">y cómo </w:t>
      </w:r>
      <w:r w:rsidR="00C337A3">
        <w:t>se</w:t>
      </w:r>
      <w:r w:rsidR="00453168" w:rsidRPr="001360A3">
        <w:t xml:space="preserve"> instaura en Méxi</w:t>
      </w:r>
      <w:r w:rsidR="00092BD9" w:rsidRPr="001360A3">
        <w:t>c</w:t>
      </w:r>
      <w:r w:rsidR="00453168" w:rsidRPr="001360A3">
        <w:t>o el modelo de evaluación por competencias profesionales</w:t>
      </w:r>
      <w:r w:rsidR="00C337A3">
        <w:t xml:space="preserve">. Plantea que </w:t>
      </w:r>
      <w:r w:rsidR="00453168" w:rsidRPr="001360A3">
        <w:t xml:space="preserve">las competencias son el resultado de tres factores: </w:t>
      </w:r>
      <w:r w:rsidR="00453168" w:rsidRPr="001360A3">
        <w:rPr>
          <w:i/>
          <w:iCs/>
        </w:rPr>
        <w:t>saber proceder, querer hacer y poder hacer</w:t>
      </w:r>
      <w:r w:rsidR="00453168" w:rsidRPr="001360A3">
        <w:t xml:space="preserve">. </w:t>
      </w:r>
      <w:r w:rsidR="00621ADA" w:rsidRPr="001360A3">
        <w:t xml:space="preserve">En especial, </w:t>
      </w:r>
      <w:r w:rsidR="001051CE" w:rsidRPr="001360A3">
        <w:t xml:space="preserve">Bezanilla </w:t>
      </w:r>
      <w:r w:rsidR="002B3101">
        <w:t xml:space="preserve">y Arrans </w:t>
      </w:r>
      <w:r w:rsidR="00C337A3">
        <w:t>(2016)</w:t>
      </w:r>
      <w:r w:rsidR="001051CE" w:rsidRPr="001360A3">
        <w:t xml:space="preserve"> utiliza</w:t>
      </w:r>
      <w:r w:rsidR="00621ADA" w:rsidRPr="001360A3">
        <w:t>n</w:t>
      </w:r>
      <w:r w:rsidR="001051CE" w:rsidRPr="001360A3">
        <w:t xml:space="preserve"> el libro de calificaciones de Moodle para realizar la evaluación de competencias a través de indicadores</w:t>
      </w:r>
      <w:r w:rsidR="00397AB4">
        <w:t xml:space="preserve"> </w:t>
      </w:r>
      <w:r w:rsidR="001051CE" w:rsidRPr="001360A3">
        <w:t>a los que llama resultados de aprendizaje</w:t>
      </w:r>
      <w:r w:rsidR="00397AB4">
        <w:t>, tal como se redactaron los ítems en este trabajo</w:t>
      </w:r>
      <w:r w:rsidR="001051CE" w:rsidRPr="001360A3">
        <w:t>.</w:t>
      </w:r>
    </w:p>
    <w:p w14:paraId="19390341" w14:textId="77777777" w:rsidR="005F0BC1" w:rsidRDefault="005F0BC1" w:rsidP="004030EF">
      <w:pPr>
        <w:spacing w:after="0" w:line="360" w:lineRule="auto"/>
        <w:jc w:val="both"/>
        <w:rPr>
          <w:b/>
          <w:bCs/>
        </w:rPr>
      </w:pPr>
    </w:p>
    <w:p w14:paraId="6F0BA539" w14:textId="2AAC4420" w:rsidR="00751F73" w:rsidRPr="00D945F3" w:rsidRDefault="00751F73" w:rsidP="00D945F3">
      <w:pPr>
        <w:spacing w:after="0" w:line="360" w:lineRule="auto"/>
        <w:jc w:val="center"/>
        <w:rPr>
          <w:b/>
          <w:bCs/>
          <w:sz w:val="28"/>
          <w:szCs w:val="28"/>
        </w:rPr>
      </w:pPr>
      <w:r w:rsidRPr="00D945F3">
        <w:rPr>
          <w:b/>
          <w:bCs/>
          <w:sz w:val="28"/>
          <w:szCs w:val="28"/>
        </w:rPr>
        <w:t xml:space="preserve">Atributos de </w:t>
      </w:r>
      <w:r w:rsidR="00EF3F33" w:rsidRPr="00D945F3">
        <w:rPr>
          <w:b/>
          <w:bCs/>
          <w:sz w:val="28"/>
          <w:szCs w:val="28"/>
        </w:rPr>
        <w:t>e</w:t>
      </w:r>
      <w:r w:rsidRPr="00D945F3">
        <w:rPr>
          <w:b/>
          <w:bCs/>
          <w:sz w:val="28"/>
          <w:szCs w:val="28"/>
        </w:rPr>
        <w:t xml:space="preserve">greso en la </w:t>
      </w:r>
      <w:r w:rsidR="00EF3F33" w:rsidRPr="00D945F3">
        <w:rPr>
          <w:b/>
          <w:bCs/>
          <w:sz w:val="28"/>
          <w:szCs w:val="28"/>
        </w:rPr>
        <w:t>f</w:t>
      </w:r>
      <w:r w:rsidRPr="00D945F3">
        <w:rPr>
          <w:b/>
          <w:bCs/>
          <w:sz w:val="28"/>
          <w:szCs w:val="28"/>
        </w:rPr>
        <w:t xml:space="preserve">ormación de </w:t>
      </w:r>
      <w:r w:rsidR="00EF3F33" w:rsidRPr="00D945F3">
        <w:rPr>
          <w:b/>
          <w:bCs/>
          <w:sz w:val="28"/>
          <w:szCs w:val="28"/>
        </w:rPr>
        <w:t>i</w:t>
      </w:r>
      <w:r w:rsidRPr="00D945F3">
        <w:rPr>
          <w:b/>
          <w:bCs/>
          <w:sz w:val="28"/>
          <w:szCs w:val="28"/>
        </w:rPr>
        <w:t>ngenieros</w:t>
      </w:r>
    </w:p>
    <w:p w14:paraId="65396DDD" w14:textId="78F97149" w:rsidR="00751F73" w:rsidRPr="0078525B" w:rsidRDefault="00751F73" w:rsidP="0037717A">
      <w:pPr>
        <w:spacing w:after="0" w:line="360" w:lineRule="auto"/>
        <w:ind w:firstLine="709"/>
        <w:jc w:val="both"/>
      </w:pPr>
      <w:r w:rsidRPr="001360A3">
        <w:t>Tomando como base el análisis de contenido y la construcción de</w:t>
      </w:r>
      <w:r w:rsidR="00E256E0">
        <w:t xml:space="preserve">l </w:t>
      </w:r>
      <w:r w:rsidRPr="001360A3">
        <w:t xml:space="preserve">modelo teórico para el desarrollo de atributos de egreso descritos por el CACEI, en su Manual de Referencia 2025 </w:t>
      </w:r>
      <w:r w:rsidRPr="001360A3">
        <w:fldChar w:fldCharType="begin"/>
      </w:r>
      <w:r w:rsidRPr="001360A3">
        <w:instrText xml:space="preserve"> ADDIN EN.CITE &lt;EndNote&gt;&lt;Cite&gt;&lt;Author&gt;Loría&lt;/Author&gt;&lt;Year&gt;2024&lt;/Year&gt;&lt;IDText&gt;Manual del Marco de Referencia 2025 (MR 2025) para la acreditación de programas de Ingeniería. Categorías y criterios&lt;/IDText&gt;&lt;DisplayText&gt;(Loría et al., 2024)&lt;/DisplayText&gt;&lt;record&gt;&lt;urls&gt;&lt;related-urls&gt;&lt;url&gt;https://cacei.org.mx/objs/crsl/carr01.pdf&lt;/url&gt;&lt;/related-urls&gt;&lt;/urls&gt;&lt;titles&gt;&lt;title&gt;Manual del Marco de Referencia 2025 (MR 2025) para la acreditación de programas de Ingeniería. Categorías y criterios&lt;/title&gt;&lt;/titles&gt;&lt;number&gt;11 de septiembre&lt;/number&gt;&lt;contributors&gt;&lt;authors&gt;&lt;author&gt;Loría, J. H.&lt;/author&gt;&lt;author&gt;Romero, M. A.&lt;/author&gt;&lt;author&gt;Valle, B.&lt;/author&gt;&lt;/authors&gt;&lt;/contributors&gt;&lt;added-date format="utc"&gt;1731460723&lt;/added-date&gt;&lt;ref-type name="Web Page"&gt;12&lt;/ref-type&gt;&lt;dates&gt;&lt;year&gt;2024&lt;/year&gt;&lt;/dates&gt;&lt;rec-number&gt;1375&lt;/rec-number&gt;&lt;publisher&gt;Consejo de Acreditación de la Enseñanza de la Ingeniería, A. C.&lt;/publisher&gt;&lt;last-updated-date format="utc"&gt;1731461098&lt;/last-updated-date&gt;&lt;volume&gt;2024&lt;/volume&gt;&lt;/record&gt;&lt;/Cite&gt;&lt;/EndNote&gt;</w:instrText>
      </w:r>
      <w:r w:rsidRPr="001360A3">
        <w:fldChar w:fldCharType="separate"/>
      </w:r>
      <w:r w:rsidRPr="001360A3">
        <w:rPr>
          <w:noProof/>
        </w:rPr>
        <w:t>(Loría et al., 2024)</w:t>
      </w:r>
      <w:r w:rsidRPr="001360A3">
        <w:fldChar w:fldCharType="end"/>
      </w:r>
      <w:r w:rsidRPr="001360A3">
        <w:t xml:space="preserve"> y en el Acuerdo de Washington para la formación de ingenieros</w:t>
      </w:r>
      <w:r w:rsidR="006F5E45">
        <w:t>,</w:t>
      </w:r>
      <w:r w:rsidRPr="00B1240F">
        <w:rPr>
          <w:color w:val="FF0000"/>
        </w:rPr>
        <w:t xml:space="preserve"> </w:t>
      </w:r>
      <w:r w:rsidRPr="001360A3">
        <w:t xml:space="preserve">se identificaron </w:t>
      </w:r>
      <w:r>
        <w:t>once</w:t>
      </w:r>
      <w:r w:rsidRPr="001360A3">
        <w:t xml:space="preserve"> atributos de egreso como indicadores de desempeño</w:t>
      </w:r>
      <w:r>
        <w:t xml:space="preserve"> </w:t>
      </w:r>
      <w:r w:rsidR="00E256E0">
        <w:t>para</w:t>
      </w:r>
      <w:r>
        <w:t xml:space="preserve"> sustenta</w:t>
      </w:r>
      <w:r w:rsidR="00E256E0">
        <w:t>r</w:t>
      </w:r>
      <w:r>
        <w:t xml:space="preserve"> el modelo teórico </w:t>
      </w:r>
      <w:r w:rsidR="00614CEE">
        <w:t>d</w:t>
      </w:r>
      <w:r>
        <w:t>el instrumento de evaluación de competencias profesionales</w:t>
      </w:r>
      <w:r w:rsidR="00C337A3">
        <w:t>,</w:t>
      </w:r>
      <w:r w:rsidR="00B80163">
        <w:t xml:space="preserve"> en acuerdo con la formación de un ingeniero</w:t>
      </w:r>
      <w:r w:rsidR="007A5F0F">
        <w:t>,</w:t>
      </w:r>
      <w:r w:rsidR="00B80163">
        <w:t xml:space="preserve"> con compromiso social</w:t>
      </w:r>
      <w:r>
        <w:t>. De este análisis resultaron l</w:t>
      </w:r>
      <w:r w:rsidR="0072716C">
        <w:t>os siguientes constructos agrupados en tres dimensiones</w:t>
      </w:r>
      <w:r w:rsidR="005F0BC1">
        <w:t xml:space="preserve">. En </w:t>
      </w:r>
      <w:r w:rsidR="005F0BC1" w:rsidRPr="0078525B">
        <w:t>primer lugar, tres tipos de pensamiento</w:t>
      </w:r>
      <w:r w:rsidR="00E256E0" w:rsidRPr="0078525B">
        <w:t xml:space="preserve"> considerados como recursos cognitivos para </w:t>
      </w:r>
      <w:r w:rsidR="0072716C" w:rsidRPr="0078525B">
        <w:rPr>
          <w:i/>
          <w:iCs/>
        </w:rPr>
        <w:t>“</w:t>
      </w:r>
      <w:r w:rsidR="00BB50B6" w:rsidRPr="0078525B">
        <w:rPr>
          <w:i/>
          <w:iCs/>
        </w:rPr>
        <w:t>P</w:t>
      </w:r>
      <w:r w:rsidR="00E256E0" w:rsidRPr="0078525B">
        <w:rPr>
          <w:i/>
          <w:iCs/>
        </w:rPr>
        <w:t>rocesar la información</w:t>
      </w:r>
      <w:r w:rsidR="0072716C" w:rsidRPr="0078525B">
        <w:rPr>
          <w:i/>
          <w:iCs/>
        </w:rPr>
        <w:t>”</w:t>
      </w:r>
      <w:r w:rsidRPr="0078525B">
        <w:t xml:space="preserve">: 1) pensamiento </w:t>
      </w:r>
      <w:r w:rsidR="001E7C5F" w:rsidRPr="0078525B">
        <w:t>y literacidad crítica</w:t>
      </w:r>
      <w:r w:rsidRPr="0078525B">
        <w:t xml:space="preserve"> </w:t>
      </w:r>
      <w:r w:rsidRPr="0078525B">
        <w:fldChar w:fldCharType="begin"/>
      </w:r>
      <w:r w:rsidR="00595F5E">
        <w:instrText xml:space="preserve"> ADDIN EN.CITE &lt;EndNote&gt;&lt;Cite&gt;&lt;Author&gt;Morales Bautista&lt;/Author&gt;&lt;Year&gt;2021&lt;/Year&gt;&lt;IDText&gt;Diseño y validación de un caso de enseñanza electrónico sobre pensamiento crítico&lt;/IDText&gt;&lt;DisplayText&gt;(Morales Bautista &amp;amp; Barriga Arceo, 2021; Paul &amp;amp; Elder, 2005)&lt;/DisplayText&gt;&lt;record&gt;&lt;isbn&gt;1665-6180&lt;/isbn&gt;&lt;titles&gt;&lt;title&gt;Diseño y validación de un caso de enseñanza electrónico sobre pensamiento crítico&lt;/title&gt;&lt;secondary-title&gt;Apertura (Guadalajara, Jal.)&lt;/secondary-title&gt;&lt;/titles&gt;&lt;pages&gt;88-105&lt;/pages&gt;&lt;number&gt;2&lt;/number&gt;&lt;contributors&gt;&lt;authors&gt;&lt;author&gt;Morales Bautista, María Luisa&lt;/author&gt;&lt;author&gt;Barriga Arceo, Frida Díaz&lt;/author&gt;&lt;/authors&gt;&lt;/contributors&gt;&lt;added-date format="utc"&gt;1696470213&lt;/added-date&gt;&lt;ref-type name="Journal Article"&gt;17&lt;/ref-type&gt;&lt;dates&gt;&lt;year&gt;2021&lt;/year&gt;&lt;/dates&gt;&lt;rec-number&gt;1131&lt;/rec-number&gt;&lt;last-updated-date format="utc"&gt;1696470213&lt;/last-updated-date&gt;&lt;volume&gt;13&lt;/volume&gt;&lt;/record&gt;&lt;/Cite&gt;&lt;Cite&gt;&lt;Author&gt;Paul&lt;/Author&gt;&lt;Year&gt;2005&lt;/Year&gt;&lt;IDText&gt;Una Guía para los Educadores en los Estándares de Competenciapara el Pensamiento Crítico&lt;/IDText&gt;&lt;record&gt;&lt;titles&gt;&lt;title&gt;Una Guía para los Educadores en los Estándares de Competenciapara el Pensamiento Crítico&lt;/title&gt;&lt;/titles&gt;&lt;contributors&gt;&lt;authors&gt;&lt;author&gt;Paul, R.&lt;/author&gt;&lt;author&gt;Elder, L.&lt;/author&gt;&lt;/authors&gt;&lt;/contributors&gt;&lt;added-date format="utc"&gt;1704467265&lt;/added-date&gt;&lt;ref-type name="Book"&gt;6&lt;/ref-type&gt;&lt;dates&gt;&lt;year&gt;2005&lt;/year&gt;&lt;/dates&gt;&lt;rec-number&gt;1165&lt;/rec-number&gt;&lt;publisher&gt;Fundación para el Pensamiento Crítico&lt;/publisher&gt;&lt;last-updated-date format="utc"&gt;1704467402&lt;/last-updated-date&gt;&lt;/record&gt;&lt;/Cite&gt;&lt;/EndNote&gt;</w:instrText>
      </w:r>
      <w:r w:rsidRPr="0078525B">
        <w:fldChar w:fldCharType="separate"/>
      </w:r>
      <w:r w:rsidR="00595F5E">
        <w:rPr>
          <w:noProof/>
        </w:rPr>
        <w:t xml:space="preserve">(Morales Bautista </w:t>
      </w:r>
      <w:r w:rsidR="00EF3F33">
        <w:rPr>
          <w:noProof/>
        </w:rPr>
        <w:t>y</w:t>
      </w:r>
      <w:r w:rsidR="00595F5E">
        <w:rPr>
          <w:noProof/>
        </w:rPr>
        <w:t xml:space="preserve"> Barriga Arceo, 2021; Paul </w:t>
      </w:r>
      <w:r w:rsidR="00EF3F33">
        <w:rPr>
          <w:noProof/>
        </w:rPr>
        <w:t>y</w:t>
      </w:r>
      <w:r w:rsidR="00595F5E">
        <w:rPr>
          <w:noProof/>
        </w:rPr>
        <w:t xml:space="preserve"> Elder, 2005)</w:t>
      </w:r>
      <w:r w:rsidRPr="0078525B">
        <w:fldChar w:fldCharType="end"/>
      </w:r>
      <w:r w:rsidRPr="0078525B">
        <w:t xml:space="preserve">; 2) pensamiento complejo </w:t>
      </w:r>
      <w:r w:rsidRPr="0078525B">
        <w:fldChar w:fldCharType="begin"/>
      </w:r>
      <w:r w:rsidRPr="0078525B">
        <w:instrText xml:space="preserve"> ADDIN EN.CITE &lt;EndNote&gt;&lt;Cite&gt;&lt;Author&gt;Tobón&lt;/Author&gt;&lt;Year&gt;2008&lt;/Year&gt;&lt;IDText&gt;Formación basada en competencias: Pensamiento complejo, diseño curricular y didáctica&lt;/IDText&gt;&lt;DisplayText&gt;(Morín, 1999; Tobón, 2008)&lt;/DisplayText&gt;&lt;record&gt;&lt;urls&gt;&lt;related-urls&gt;&lt;url&gt;http://bcnslp.edu.mx/antologias-rieb-2012/preescolar-i-semestre/DFySPreesco/Materiales/Unidad%20A%201_DFySpreesco/RecursosExtra/Tob%F3n%20Formaci%F3n%20Basada%20C%2005.pdf&lt;/url&gt;&lt;/related-urls&gt;&lt;/urls&gt;&lt;titles&gt;&lt;title&gt;Formación basada en competencias: Pensamiento complejo, diseño curricular y didáctica&lt;/title&gt;&lt;/titles&gt;&lt;contributors&gt;&lt;authors&gt;&lt;author&gt;Tobón, S.&lt;/author&gt;&lt;/authors&gt;&lt;/contributors&gt;&lt;edition&gt;2a. ed.&lt;/edition&gt;&lt;added-date format="utc"&gt;1469770247&lt;/added-date&gt;&lt;pub-location&gt;Bogotá, Colombia&lt;/pub-location&gt;&lt;ref-type name="Book"&gt;6&lt;/ref-type&gt;&lt;dates&gt;&lt;year&gt;2008&lt;/year&gt;&lt;/dates&gt;&lt;rec-number&gt;763&lt;/rec-number&gt;&lt;publisher&gt;Ecoediciones&lt;/publisher&gt;&lt;last-updated-date format="utc"&gt;1597157281&lt;/last-updated-date&gt;&lt;contributors&gt;&lt;secondary-authors&gt;&lt;author&gt;EcoEdiciones&lt;/author&gt;&lt;/secondary-authors&gt;&lt;/contributors&gt;&lt;/record&gt;&lt;/Cite&gt;&lt;Cite&gt;&lt;Author&gt;Morín&lt;/Author&gt;&lt;Year&gt;1999&lt;/Year&gt;&lt;IDText&gt;Los siete saberes necesarios para la educación del futuro&lt;/IDText&gt;&lt;record&gt;&lt;titles&gt;&lt;title&gt;Los siete saberes necesarios para la educación del futuro&lt;/title&gt;&lt;/titles&gt;&lt;contributors&gt;&lt;authors&gt;&lt;author&gt;Morín, E.&lt;/author&gt;&lt;/authors&gt;&lt;/contributors&gt;&lt;edition&gt;1&lt;/edition&gt;&lt;added-date format="utc"&gt;1676046393&lt;/added-date&gt;&lt;pub-location&gt;París, Francia&lt;/pub-location&gt;&lt;ref-type name="Book"&gt;6&lt;/ref-type&gt;&lt;dates&gt;&lt;year&gt;1999&lt;/year&gt;&lt;/dates&gt;&lt;rec-number&gt;1053&lt;/rec-number&gt;&lt;publisher&gt;Organización de las Naciones Unidas para la Educación, la Ciencia y la Cultura&lt;/publisher&gt;&lt;last-updated-date format="utc"&gt;1676046600&lt;/last-updated-date&gt;&lt;/record&gt;&lt;/Cite&gt;&lt;/EndNote&gt;</w:instrText>
      </w:r>
      <w:r w:rsidRPr="0078525B">
        <w:fldChar w:fldCharType="separate"/>
      </w:r>
      <w:r w:rsidRPr="0078525B">
        <w:rPr>
          <w:noProof/>
        </w:rPr>
        <w:t>(Mor</w:t>
      </w:r>
      <w:r w:rsidR="00EF3F33">
        <w:rPr>
          <w:noProof/>
        </w:rPr>
        <w:t>i</w:t>
      </w:r>
      <w:r w:rsidRPr="0078525B">
        <w:rPr>
          <w:noProof/>
        </w:rPr>
        <w:t>n, 1999; Tobón, 2008)</w:t>
      </w:r>
      <w:r w:rsidRPr="0078525B">
        <w:fldChar w:fldCharType="end"/>
      </w:r>
      <w:r w:rsidRPr="0078525B">
        <w:t xml:space="preserve">; </w:t>
      </w:r>
      <w:r w:rsidR="004833EB" w:rsidRPr="0078525B">
        <w:t xml:space="preserve">y </w:t>
      </w:r>
      <w:r w:rsidRPr="0078525B">
        <w:t>3)</w:t>
      </w:r>
      <w:r w:rsidR="007E242F" w:rsidRPr="0078525B">
        <w:t xml:space="preserve"> </w:t>
      </w:r>
      <w:r w:rsidRPr="0078525B">
        <w:t>pensamiento sistémico</w:t>
      </w:r>
      <w:r w:rsidR="007E242F" w:rsidRPr="0078525B">
        <w:t>, desde el punto de vista de ingeniería de sis</w:t>
      </w:r>
      <w:r w:rsidR="008D4783" w:rsidRPr="0078525B">
        <w:t>t</w:t>
      </w:r>
      <w:r w:rsidR="007E242F" w:rsidRPr="0078525B">
        <w:t>emas</w:t>
      </w:r>
      <w:r w:rsidRPr="0078525B">
        <w:t xml:space="preserve"> </w:t>
      </w:r>
      <w:r w:rsidRPr="0078525B">
        <w:fldChar w:fldCharType="begin">
          <w:fldData xml:space="preserve">PEVuZE5vdGU+PENpdGU+PEF1dGhvcj5Nb250aWxsYS1HYXJjw61hPC9BdXRob3I+PFllYXI+MjAy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</w:fldData>
        </w:fldChar>
      </w:r>
      <w:r w:rsidR="00595F5E">
        <w:instrText xml:space="preserve"> ADDIN EN.CITE </w:instrText>
      </w:r>
      <w:r w:rsidR="00595F5E">
        <w:fldChar w:fldCharType="begin">
          <w:fldData xml:space="preserve">PEVuZE5vdGU+PENpdGU+PEF1dGhvcj5Nb250aWxsYS1HYXJjw61hPC9BdXRob3I+PFllYXI+MjAy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</w:fldData>
        </w:fldChar>
      </w:r>
      <w:r w:rsidR="00595F5E">
        <w:instrText xml:space="preserve"> ADDIN EN.CITE.DATA </w:instrText>
      </w:r>
      <w:r w:rsidR="00595F5E">
        <w:fldChar w:fldCharType="end"/>
      </w:r>
      <w:r w:rsidRPr="0078525B">
        <w:fldChar w:fldCharType="separate"/>
      </w:r>
      <w:r w:rsidR="00595F5E">
        <w:rPr>
          <w:noProof/>
        </w:rPr>
        <w:t>(Montilla-García, 2022; O</w:t>
      </w:r>
      <w:r w:rsidR="00EF3F33">
        <w:rPr>
          <w:noProof/>
        </w:rPr>
        <w:t>´</w:t>
      </w:r>
      <w:r w:rsidR="00595F5E">
        <w:rPr>
          <w:noProof/>
        </w:rPr>
        <w:t xml:space="preserve">Connor </w:t>
      </w:r>
      <w:r w:rsidR="00EF3F33">
        <w:rPr>
          <w:noProof/>
        </w:rPr>
        <w:t>y</w:t>
      </w:r>
      <w:r w:rsidR="00595F5E">
        <w:rPr>
          <w:noProof/>
        </w:rPr>
        <w:t xml:space="preserve"> McDermott, 1998; Watzlawick</w:t>
      </w:r>
      <w:r w:rsidR="00745240">
        <w:rPr>
          <w:noProof/>
        </w:rPr>
        <w:t xml:space="preserve"> et al., 199</w:t>
      </w:r>
      <w:r w:rsidR="00595F5E">
        <w:rPr>
          <w:noProof/>
        </w:rPr>
        <w:t>1)</w:t>
      </w:r>
      <w:r w:rsidRPr="0078525B">
        <w:fldChar w:fldCharType="end"/>
      </w:r>
      <w:r w:rsidRPr="0078525B">
        <w:t>.</w:t>
      </w:r>
    </w:p>
    <w:p w14:paraId="1D8F1F63" w14:textId="1E00BD16" w:rsidR="00E256E0" w:rsidRPr="0078525B" w:rsidRDefault="00751F73" w:rsidP="0037717A">
      <w:pPr>
        <w:spacing w:after="0" w:line="360" w:lineRule="auto"/>
        <w:ind w:firstLine="709"/>
        <w:jc w:val="both"/>
      </w:pPr>
      <w:r w:rsidRPr="0078525B">
        <w:lastRenderedPageBreak/>
        <w:t>Para el desempeño profesional</w:t>
      </w:r>
      <w:r w:rsidR="00C337A3">
        <w:t xml:space="preserve"> basado en competencias específicas</w:t>
      </w:r>
      <w:r w:rsidR="00B524EE">
        <w:t xml:space="preserve">, </w:t>
      </w:r>
      <w:r w:rsidRPr="0078525B">
        <w:t>donde se requiere</w:t>
      </w:r>
      <w:r w:rsidR="007A5F0F">
        <w:t xml:space="preserve"> el compromiso por aprender y </w:t>
      </w:r>
      <w:r w:rsidRPr="0078525B">
        <w:t xml:space="preserve">la colaboración </w:t>
      </w:r>
      <w:r w:rsidR="00E256E0" w:rsidRPr="0078525B">
        <w:t xml:space="preserve">en el desarrollo de procesos </w:t>
      </w:r>
      <w:r w:rsidR="007A5F0F">
        <w:t xml:space="preserve">y proyectos para la </w:t>
      </w:r>
      <w:r w:rsidR="00E256E0" w:rsidRPr="0078525B">
        <w:t>solución de problemas</w:t>
      </w:r>
      <w:r w:rsidRPr="0078525B">
        <w:t>, se defini</w:t>
      </w:r>
      <w:r w:rsidR="008D4783" w:rsidRPr="0078525B">
        <w:t>eron</w:t>
      </w:r>
      <w:r w:rsidRPr="0078525B">
        <w:t xml:space="preserve"> </w:t>
      </w:r>
      <w:r w:rsidR="00E56533" w:rsidRPr="0078525B">
        <w:t>cuatro</w:t>
      </w:r>
      <w:r w:rsidR="0072716C" w:rsidRPr="0078525B">
        <w:t xml:space="preserve"> variables latentes agrupadas en la dimensión </w:t>
      </w:r>
      <w:r w:rsidR="0072716C" w:rsidRPr="0078525B">
        <w:rPr>
          <w:i/>
          <w:iCs/>
        </w:rPr>
        <w:t>“Capacidad de resolver problemas complejos”</w:t>
      </w:r>
      <w:r w:rsidRPr="0078525B">
        <w:t xml:space="preserve">: </w:t>
      </w:r>
      <w:r w:rsidR="001E7C5F" w:rsidRPr="0078525B">
        <w:t xml:space="preserve">4) capacidad </w:t>
      </w:r>
      <w:r w:rsidR="00C337A3">
        <w:t>para</w:t>
      </w:r>
      <w:r w:rsidR="001E7C5F" w:rsidRPr="0078525B">
        <w:t xml:space="preserve"> investigar con ayuda del pensamiento científico </w:t>
      </w:r>
      <w:r w:rsidR="001E7C5F" w:rsidRPr="0078525B">
        <w:fldChar w:fldCharType="begin"/>
      </w:r>
      <w:r w:rsidR="001E7C5F" w:rsidRPr="0078525B">
        <w:instrText xml:space="preserve"> ADDIN EN.CITE &lt;EndNote&gt;&lt;Cite&gt;&lt;Author&gt;Hyytinen&lt;/Author&gt;&lt;Year&gt;2024&lt;/Year&gt;&lt;IDText&gt;Enhancing Scientific Thinking Through the Development of Critical Thinking in Higher Education&lt;/IDText&gt;&lt;DisplayText&gt;(Hyytinen &amp;amp; Toom, 2024)&lt;/DisplayText&gt;&lt;record&gt;&lt;titles&gt;&lt;title&gt;Enhancing Scientific Thinking Through the Development of Critical Thinking in Higher Education&lt;/title&gt;&lt;/titles&gt;&lt;contributors&gt;&lt;authors&gt;&lt;author&gt;Hyytinen, H.&lt;/author&gt;&lt;author&gt;Toom, A.&lt;/author&gt;&lt;/authors&gt;&lt;/contributors&gt;&lt;edition&gt;1&lt;/edition&gt;&lt;added-date format="utc"&gt;1728405477&lt;/added-date&gt;&lt;ref-type name="Electronic Book"&gt;44&lt;/ref-type&gt;&lt;dates&gt;&lt;year&gt;2024&lt;/year&gt;&lt;/dates&gt;&lt;rec-number&gt;1372&lt;/rec-number&gt;&lt;last-updated-date format="utc"&gt;1728405761&lt;/last-updated-date&gt;&lt;contributors&gt;&lt;secondary-authors&gt;&lt;author&gt;Stanford University&lt;/author&gt;&lt;/secondary-authors&gt;&lt;/contributors&gt;&lt;/record&gt;&lt;/Cite&gt;&lt;/EndNote&gt;</w:instrText>
      </w:r>
      <w:r w:rsidR="001E7C5F" w:rsidRPr="0078525B">
        <w:fldChar w:fldCharType="separate"/>
      </w:r>
      <w:r w:rsidR="001E7C5F" w:rsidRPr="0078525B">
        <w:rPr>
          <w:noProof/>
        </w:rPr>
        <w:t>(Hyytinen &amp; Toom, 2024)</w:t>
      </w:r>
      <w:r w:rsidR="001E7C5F" w:rsidRPr="0078525B">
        <w:fldChar w:fldCharType="end"/>
      </w:r>
      <w:r w:rsidR="00B80163" w:rsidRPr="0078525B">
        <w:t>;</w:t>
      </w:r>
      <w:r w:rsidR="00E256E0" w:rsidRPr="0078525B">
        <w:t xml:space="preserve"> 5</w:t>
      </w:r>
      <w:r w:rsidR="00007B3F" w:rsidRPr="0078525B">
        <w:t>)</w:t>
      </w:r>
      <w:r w:rsidR="007E242F" w:rsidRPr="0078525B">
        <w:t xml:space="preserve"> comunicación efectiva y literacidad digit</w:t>
      </w:r>
      <w:r w:rsidR="00F17D90" w:rsidRPr="0078525B">
        <w:t>al</w:t>
      </w:r>
      <w:r w:rsidR="004E5389">
        <w:rPr>
          <w:color w:val="C00000"/>
        </w:rPr>
        <w:t xml:space="preserve"> </w:t>
      </w:r>
      <w:r w:rsidR="004E5389" w:rsidRPr="002B6DF1">
        <w:t>(Cassan</w:t>
      </w:r>
      <w:r w:rsidR="002B6DF1" w:rsidRPr="002B6DF1">
        <w:t>y, 2006)</w:t>
      </w:r>
      <w:r w:rsidR="004E05C3">
        <w:t>;</w:t>
      </w:r>
      <w:r w:rsidR="007E242F" w:rsidRPr="002B6DF1">
        <w:t xml:space="preserve"> </w:t>
      </w:r>
      <w:r w:rsidR="007E242F" w:rsidRPr="0078525B">
        <w:t>6</w:t>
      </w:r>
      <w:r w:rsidRPr="0078525B">
        <w:t>)</w:t>
      </w:r>
      <w:r w:rsidR="004833EB" w:rsidRPr="0078525B">
        <w:t xml:space="preserve"> </w:t>
      </w:r>
      <w:r w:rsidR="007E242F" w:rsidRPr="0078525B">
        <w:t xml:space="preserve">aprendizaje autónomo y autorregulado </w:t>
      </w:r>
      <w:r w:rsidR="007E242F" w:rsidRPr="0078525B">
        <w:fldChar w:fldCharType="begin"/>
      </w:r>
      <w:r w:rsidR="007E242F" w:rsidRPr="0078525B">
        <w:instrText xml:space="preserve"> ADDIN EN.CITE &lt;EndNote&gt;&lt;Cite&gt;&lt;Author&gt;Sung-Hee&lt;/Author&gt;&lt;Year&gt;2023&lt;/Year&gt;&lt;IDText&gt;Supporting students’ self-regulated learning in online learning using artificial intelligence applications&lt;/IDText&gt;&lt;DisplayText&gt;(Bello et al., 2022; Sung-Hee et al., 2023)&lt;/DisplayText&gt;&lt;record&gt;&lt;titles&gt;&lt;title&gt;Supporting students’ self-regulated learning in online learning using artificial intelligence applications&lt;/title&gt;&lt;secondary-title&gt;International Journal of Education&lt;/secondary-title&gt;&lt;/titles&gt;&lt;pages&gt;1-21&lt;/pages&gt;&lt;number&gt;37&lt;/number&gt;&lt;contributors&gt;&lt;authors&gt;&lt;author&gt;Sung-Hee, J.&lt;/author&gt;&lt;author&gt;Kowoon, I.&lt;/author&gt;&lt;author&gt;Mina, Yoo, Ido, R.&lt;/author&gt;&lt;author&gt;Kyyoungwon, S.&lt;/author&gt;&lt;/authors&gt;&lt;/contributors&gt;&lt;added-date format="utc"&gt;1728403635&lt;/added-date&gt;&lt;ref-type name="Journal Article"&gt;17&lt;/ref-type&gt;&lt;dates&gt;&lt;year&gt;2023&lt;/year&gt;&lt;/dates&gt;&lt;rec-number&gt;1369&lt;/rec-number&gt;&lt;last-updated-date format="utc"&gt;1728403825&lt;/last-updated-date&gt;&lt;electronic-resource-num&gt;https://doi.org/10.1186/s41239-023-00406-5&lt;/electronic-resource-num&gt;&lt;volume&gt;20&lt;/volume&gt;&lt;/record&gt;&lt;/Cite&gt;&lt;Cite&gt;&lt;Author&gt;Bello&lt;/Author&gt;&lt;Year&gt;2022&lt;/Year&gt;&lt;IDText&gt;Fundamentos cognitivos y pedagógicos del aprendizaje activo&lt;/IDText&gt;&lt;record&gt;&lt;urls&gt;&lt;related-urls&gt;&lt;url&gt;https://mendive.upr.edu.cu/index.php/MendiveUPR/article/view/3128&lt;/url&gt;&lt;/related-urls&gt;&lt;/urls&gt;&lt;titles&gt;&lt;title&gt;Fundamentos cognitivos y pedagógicos del aprendizaje activo&lt;/title&gt;&lt;secondary-title&gt;MENDIVE Revista de Educación&lt;/secondary-title&gt;&lt;/titles&gt;&lt;pages&gt;1353-1368&lt;/pages&gt;&lt;number&gt;4&lt;/number&gt;&lt;contributors&gt;&lt;authors&gt;&lt;author&gt;Bello, A. M.&lt;/author&gt;&lt;author&gt;Crespo, D. M.&lt;/author&gt;&lt;author&gt;González, H. K&lt;/author&gt;&lt;author&gt;Pérez, N. E.&lt;/author&gt;&lt;/authors&gt;&lt;/contributors&gt;&lt;added-date format="utc"&gt;1727889844&lt;/added-date&gt;&lt;ref-type name="Magazine Article"&gt;19&lt;/ref-type&gt;&lt;dates&gt;&lt;year&gt;2022&lt;/year&gt;&lt;/dates&gt;&lt;rec-number&gt;1321&lt;/rec-number&gt;&lt;last-updated-date format="utc"&gt;1727890163&lt;/last-updated-date&gt;&lt;volume&gt;20&lt;/volume&gt;&lt;/record&gt;&lt;/Cite&gt;&lt;/EndNote&gt;</w:instrText>
      </w:r>
      <w:r w:rsidR="007E242F" w:rsidRPr="0078525B">
        <w:fldChar w:fldCharType="separate"/>
      </w:r>
      <w:r w:rsidR="007E242F" w:rsidRPr="0078525B">
        <w:t>(Bello et al., 2022; Sung-Hee et al., 2023)</w:t>
      </w:r>
      <w:r w:rsidR="007E242F" w:rsidRPr="0078525B">
        <w:fldChar w:fldCharType="end"/>
      </w:r>
      <w:r w:rsidR="007E242F" w:rsidRPr="0078525B">
        <w:t xml:space="preserve"> y</w:t>
      </w:r>
      <w:r w:rsidRPr="0078525B">
        <w:t xml:space="preserve"> 7)</w:t>
      </w:r>
      <w:r w:rsidR="00E56533" w:rsidRPr="0078525B">
        <w:t xml:space="preserve"> </w:t>
      </w:r>
      <w:r w:rsidRPr="0078525B">
        <w:t xml:space="preserve">capacidad para resolver problemas </w:t>
      </w:r>
      <w:r w:rsidRPr="0078525B">
        <w:fldChar w:fldCharType="begin"/>
      </w:r>
      <w:r w:rsidRPr="0078525B">
        <w:instrText xml:space="preserve"> ADDIN EN.CITE &lt;EndNote&gt;&lt;Cite&gt;&lt;Author&gt;Heredia&lt;/Author&gt;&lt;Year&gt;2024&lt;/Year&gt;&lt;IDText&gt;Comprensión lectora y resolución de problemas matemáticos Un estudio de caso&lt;/IDText&gt;&lt;DisplayText&gt;(Heredia et al., 2024)&lt;/DisplayText&gt;&lt;record&gt;&lt;titles&gt;&lt;title&gt;Comprensión lectora y resolución de problemas matemáticos Un estudio de caso&lt;/title&gt;&lt;secondary-title&gt;Perfiles educativos&lt;/secondary-title&gt;&lt;/titles&gt;&lt;pages&gt;69-88&lt;/pages&gt;&lt;number&gt;185&lt;/number&gt;&lt;contributors&gt;&lt;authors&gt;&lt;author&gt;Heredia, P. H.&lt;/author&gt;&lt;author&gt;Gutiérrez, M.&lt;/author&gt;&lt;author&gt;Romero, M. F.&lt;/author&gt;&lt;/authors&gt;&lt;/contributors&gt;&lt;added-date format="utc"&gt;1728331753&lt;/added-date&gt;&lt;ref-type name="Magazine Article"&gt;19&lt;/ref-type&gt;&lt;dates&gt;&lt;year&gt;2024&lt;/year&gt;&lt;/dates&gt;&lt;rec-number&gt;1347&lt;/rec-number&gt;&lt;publisher&gt;Universidad Nacional Autónoma de México&lt;/publisher&gt;&lt;last-updated-date format="utc"&gt;1728332079&lt;/last-updated-date&gt;&lt;electronic-resource-num&gt;https://doi.org/10.22201/iisue.24486167e.2024.185.61367&lt;/electronic-resource-num&gt;&lt;volume&gt;46&lt;/volume&gt;&lt;/record&gt;&lt;/Cite&gt;&lt;/EndNote&gt;</w:instrText>
      </w:r>
      <w:r w:rsidRPr="0078525B">
        <w:fldChar w:fldCharType="separate"/>
      </w:r>
      <w:r w:rsidRPr="0078525B">
        <w:rPr>
          <w:noProof/>
        </w:rPr>
        <w:t>(Heredia et al., 2024)</w:t>
      </w:r>
      <w:r w:rsidRPr="0078525B">
        <w:fldChar w:fldCharType="end"/>
      </w:r>
      <w:r w:rsidR="00007B3F" w:rsidRPr="0078525B">
        <w:t>.</w:t>
      </w:r>
    </w:p>
    <w:p w14:paraId="77EBCD55" w14:textId="75008585" w:rsidR="00790286" w:rsidRPr="0078525B" w:rsidRDefault="00BB50B6" w:rsidP="0037717A">
      <w:pPr>
        <w:spacing w:after="0" w:line="360" w:lineRule="auto"/>
        <w:ind w:firstLine="709"/>
        <w:jc w:val="both"/>
      </w:pPr>
      <w:r w:rsidRPr="0078525B">
        <w:t>Para</w:t>
      </w:r>
      <w:r w:rsidR="007E242F" w:rsidRPr="0078525B">
        <w:t xml:space="preserve"> </w:t>
      </w:r>
      <w:r w:rsidR="00E56533" w:rsidRPr="0078525B">
        <w:t xml:space="preserve">evaluar </w:t>
      </w:r>
      <w:r w:rsidR="007E242F" w:rsidRPr="0078525B">
        <w:t xml:space="preserve">el desarrollo de competencias específicas </w:t>
      </w:r>
      <w:r w:rsidRPr="0078525B">
        <w:t xml:space="preserve">se definió la dimensión </w:t>
      </w:r>
      <w:r w:rsidRPr="0078525B">
        <w:rPr>
          <w:i/>
          <w:iCs/>
        </w:rPr>
        <w:t>“Gestionar proyectos y procesos con visión de futuro”</w:t>
      </w:r>
      <w:r w:rsidRPr="0078525B">
        <w:t xml:space="preserve"> integrando cuatro constructos</w:t>
      </w:r>
      <w:r w:rsidR="004E05C3">
        <w:t>:</w:t>
      </w:r>
      <w:r w:rsidRPr="0078525B">
        <w:t xml:space="preserve"> </w:t>
      </w:r>
      <w:r w:rsidR="00751F73" w:rsidRPr="0078525B">
        <w:t>8)</w:t>
      </w:r>
      <w:r w:rsidR="00F02359" w:rsidRPr="0078525B">
        <w:t xml:space="preserve"> liderazgo y trabajo en equipo</w:t>
      </w:r>
      <w:r w:rsidR="00530E94" w:rsidRPr="0078525B">
        <w:t>;</w:t>
      </w:r>
      <w:r w:rsidR="00751F73" w:rsidRPr="0078525B">
        <w:t xml:space="preserve"> 9) gesti</w:t>
      </w:r>
      <w:r w:rsidR="00007B3F" w:rsidRPr="0078525B">
        <w:t>ón y desarrollo de</w:t>
      </w:r>
      <w:r w:rsidR="00751F73" w:rsidRPr="0078525B">
        <w:t xml:space="preserve"> </w:t>
      </w:r>
      <w:r w:rsidR="00B524EE">
        <w:t xml:space="preserve">procesos y </w:t>
      </w:r>
      <w:r w:rsidR="00751F73" w:rsidRPr="0078525B">
        <w:t>proyectos innovadores</w:t>
      </w:r>
      <w:r w:rsidR="00B80163" w:rsidRPr="0078525B">
        <w:t xml:space="preserve"> </w:t>
      </w:r>
      <w:r w:rsidR="00E56533" w:rsidRPr="0078525B">
        <w:fldChar w:fldCharType="begin">
          <w:fldData xml:space="preserve">PEVuZE5vdGU+PENpdGU+PEF1dGhvcj5HdWFtYW4tUXVpbnRhbmlsbGE8L0F1dGhvcj48WWVhcj4y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</w:fldData>
        </w:fldChar>
      </w:r>
      <w:r w:rsidR="00E56533" w:rsidRPr="0078525B">
        <w:instrText xml:space="preserve"> ADDIN EN.CITE </w:instrText>
      </w:r>
      <w:r w:rsidR="00E56533" w:rsidRPr="0078525B">
        <w:fldChar w:fldCharType="begin">
          <w:fldData xml:space="preserve">PEVuZE5vdGU+PENpdGU+PEF1dGhvcj5HdWFtYW4tUXVpbnRhbmlsbGE8L0F1dGhvcj48WWVhcj4y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</w:fldData>
        </w:fldChar>
      </w:r>
      <w:r w:rsidR="00E56533" w:rsidRPr="0078525B">
        <w:instrText xml:space="preserve"> ADDIN EN.CITE.DATA </w:instrText>
      </w:r>
      <w:r w:rsidR="00E56533" w:rsidRPr="0078525B">
        <w:fldChar w:fldCharType="end"/>
      </w:r>
      <w:r w:rsidR="00E56533" w:rsidRPr="0078525B">
        <w:fldChar w:fldCharType="separate"/>
      </w:r>
      <w:r w:rsidR="00E56533" w:rsidRPr="0078525B">
        <w:rPr>
          <w:noProof/>
        </w:rPr>
        <w:t xml:space="preserve">(Guaman-Quintanilla et al., 2023; Limbani et al., </w:t>
      </w:r>
      <w:r w:rsidR="004E05C3">
        <w:rPr>
          <w:noProof/>
        </w:rPr>
        <w:t>(</w:t>
      </w:r>
      <w:r w:rsidR="00E56533" w:rsidRPr="0078525B">
        <w:rPr>
          <w:noProof/>
        </w:rPr>
        <w:t>2019)</w:t>
      </w:r>
      <w:r w:rsidR="00E56533" w:rsidRPr="0078525B">
        <w:fldChar w:fldCharType="end"/>
      </w:r>
      <w:r w:rsidR="00E56533" w:rsidRPr="0078525B">
        <w:t xml:space="preserve">; </w:t>
      </w:r>
      <w:r w:rsidR="00751F73" w:rsidRPr="0078525B">
        <w:t xml:space="preserve">10) responsabilidad social y ambiental </w:t>
      </w:r>
      <w:r w:rsidR="00751F73" w:rsidRPr="0078525B">
        <w:fldChar w:fldCharType="begin"/>
      </w:r>
      <w:r w:rsidR="00751F73" w:rsidRPr="0078525B">
        <w:instrText xml:space="preserve"> ADDIN EN.CITE &lt;EndNote&gt;&lt;Cite&gt;&lt;Author&gt;Yohan&lt;/Author&gt;&lt;Year&gt;2023&lt;/Year&gt;&lt;IDText&gt;Promoting engineering students’  social responsibility and willingness to act on socioscientific issues   &lt;/IDText&gt;&lt;DisplayText&gt;(Coelho &amp;amp; Menezes, 2021; Yohan et al., 2023)&lt;/DisplayText&gt;&lt;record&gt;&lt;titles&gt;&lt;title&gt;Promoting engineering students’  social responsibility and willingness to act on socioscientific issues   &lt;/title&gt;&lt;secondary-title&gt;International Journal of STEM Education&lt;/secondary-title&gt;&lt;/titles&gt;&lt;pages&gt;1-16&lt;/pages&gt;&lt;number&gt;11&lt;/number&gt;&lt;contributors&gt;&lt;authors&gt;&lt;author&gt;Yohan, H.&lt;/author&gt;&lt;author&gt;Yeonhoo, K.&lt;/author&gt;&lt;author&gt;Sungok. S&lt;/author&gt;&lt;author&gt;Seung-Yong, O.&lt;/author&gt;&lt;author&gt;Hyunju, L.&lt;/author&gt;&lt;/authors&gt;&lt;/contributors&gt;&lt;added-date format="utc"&gt;1728332228&lt;/added-date&gt;&lt;ref-type name="Journal Article"&gt;17&lt;/ref-type&gt;&lt;dates&gt;&lt;year&gt;2023&lt;/year&gt;&lt;/dates&gt;&lt;rec-number&gt;1348&lt;/rec-number&gt;&lt;last-updated-date format="utc"&gt;1728332638&lt;/last-updated-date&gt;&lt;electronic-resource-num&gt;https://doi.org/10.1186/s40594-023-00402-1  &lt;/electronic-resource-num&gt;&lt;volume&gt;10&lt;/volume&gt;&lt;/record&gt;&lt;/Cite&gt;&lt;Cite&gt;&lt;Author&gt;Coelho&lt;/Author&gt;&lt;Year&gt;2021&lt;/Year&gt;&lt;IDText&gt;University Social Responsibility, Service Learning, and Students’ Personal, Professional, and Civic Education &lt;/IDText&gt;&lt;record&gt;&lt;titles&gt;&lt;title&gt;University Social Responsibility, Service Learning, and Students’ Personal, Professional, and Civic Education &lt;/title&gt;&lt;secondary-title&gt;Frontiers in Psychology&lt;/secondary-title&gt;&lt;/titles&gt;&lt;pages&gt;1-8&lt;/pages&gt;&lt;contributors&gt;&lt;authors&gt;&lt;author&gt;Coelho, M.&lt;/author&gt;&lt;author&gt;Menezes, I.&lt;/author&gt;&lt;/authors&gt;&lt;/contributors&gt;&lt;added-date format="utc"&gt;1728182489&lt;/added-date&gt;&lt;ref-type name="Magazine Article"&gt;19&lt;/ref-type&gt;&lt;dates&gt;&lt;year&gt;2021&lt;/year&gt;&lt;/dates&gt;&lt;rec-number&gt;1337&lt;/rec-number&gt;&lt;last-updated-date format="utc"&gt;1728182726&lt;/last-updated-date&gt;&lt;electronic-resource-num&gt;10.3389/fpsyg.2021.617300&lt;/electronic-resource-num&gt;&lt;volume&gt;12&lt;/volume&gt;&lt;/record&gt;&lt;/Cite&gt;&lt;/EndNote&gt;</w:instrText>
      </w:r>
      <w:r w:rsidR="00751F73" w:rsidRPr="0078525B">
        <w:fldChar w:fldCharType="separate"/>
      </w:r>
      <w:r w:rsidR="00751F73" w:rsidRPr="0078525B">
        <w:rPr>
          <w:noProof/>
        </w:rPr>
        <w:t>(Coelho &amp; Menezes, 2021; Yohan et al., 2023)</w:t>
      </w:r>
      <w:r w:rsidR="00751F73" w:rsidRPr="0078525B">
        <w:fldChar w:fldCharType="end"/>
      </w:r>
      <w:r w:rsidR="00751F73" w:rsidRPr="0078525B">
        <w:t xml:space="preserve"> y 11) enseñanza de la comprensión de la condición humana </w:t>
      </w:r>
      <w:r w:rsidR="00751F73" w:rsidRPr="0078525B">
        <w:fldChar w:fldCharType="begin"/>
      </w:r>
      <w:r w:rsidR="00751F73" w:rsidRPr="0078525B">
        <w:instrText xml:space="preserve"> ADDIN EN.CITE &lt;EndNote&gt;&lt;Cite&gt;&lt;Author&gt;Morín&lt;/Author&gt;&lt;Year&gt;1999&lt;/Year&gt;&lt;IDText&gt;Los siete saberes necesarios para la educación del futuro&lt;/IDText&gt;&lt;DisplayText&gt;(Morín, 1999)&lt;/DisplayText&gt;&lt;record&gt;&lt;titles&gt;&lt;title&gt;Los siete saberes necesarios para la educación del futuro&lt;/title&gt;&lt;/titles&gt;&lt;contributors&gt;&lt;authors&gt;&lt;author&gt;Morín, E.&lt;/author&gt;&lt;/authors&gt;&lt;/contributors&gt;&lt;edition&gt;1&lt;/edition&gt;&lt;added-date format="utc"&gt;1676046393&lt;/added-date&gt;&lt;pub-location&gt;París, Francia&lt;/pub-location&gt;&lt;ref-type name="Book"&gt;6&lt;/ref-type&gt;&lt;dates&gt;&lt;year&gt;1999&lt;/year&gt;&lt;/dates&gt;&lt;rec-number&gt;1053&lt;/rec-number&gt;&lt;publisher&gt;Organización de las Naciones Unidas para la Educación, la Ciencia y la Cultura&lt;/publisher&gt;&lt;last-updated-date format="utc"&gt;1676046600&lt;/last-updated-date&gt;&lt;/record&gt;&lt;/Cite&gt;&lt;/EndNote&gt;</w:instrText>
      </w:r>
      <w:r w:rsidR="00751F73" w:rsidRPr="0078525B">
        <w:fldChar w:fldCharType="separate"/>
      </w:r>
      <w:r w:rsidR="00751F73" w:rsidRPr="0078525B">
        <w:rPr>
          <w:noProof/>
        </w:rPr>
        <w:t>(Mor</w:t>
      </w:r>
      <w:r w:rsidR="00EF3F33">
        <w:rPr>
          <w:noProof/>
        </w:rPr>
        <w:t>i</w:t>
      </w:r>
      <w:r w:rsidR="00751F73" w:rsidRPr="0078525B">
        <w:rPr>
          <w:noProof/>
        </w:rPr>
        <w:t>n, 1999)</w:t>
      </w:r>
      <w:r w:rsidR="00751F73" w:rsidRPr="0078525B">
        <w:fldChar w:fldCharType="end"/>
      </w:r>
      <w:r w:rsidR="00751F73" w:rsidRPr="0078525B">
        <w:t>.</w:t>
      </w:r>
    </w:p>
    <w:p w14:paraId="68B0E476" w14:textId="1899D6AD" w:rsidR="00751F73" w:rsidRDefault="00007B3F" w:rsidP="0037717A">
      <w:pPr>
        <w:spacing w:after="0" w:line="360" w:lineRule="auto"/>
        <w:ind w:firstLine="709"/>
        <w:jc w:val="both"/>
      </w:pPr>
      <w:r w:rsidRPr="001360A3">
        <w:t>E</w:t>
      </w:r>
      <w:r w:rsidR="004833EB">
        <w:t>n total</w:t>
      </w:r>
      <w:r w:rsidR="00C50B45">
        <w:t>,</w:t>
      </w:r>
      <w:r w:rsidR="004833EB">
        <w:t xml:space="preserve"> once </w:t>
      </w:r>
      <w:r w:rsidR="00E56533">
        <w:t>variables latentes constituye</w:t>
      </w:r>
      <w:r w:rsidR="00C50B45">
        <w:t>ron</w:t>
      </w:r>
      <w:r w:rsidR="00E56533">
        <w:t xml:space="preserve"> </w:t>
      </w:r>
      <w:r>
        <w:t>el</w:t>
      </w:r>
      <w:r w:rsidR="00751F73">
        <w:t xml:space="preserve"> modelo teórico </w:t>
      </w:r>
      <w:r w:rsidR="00C50B45">
        <w:t xml:space="preserve">inicial </w:t>
      </w:r>
      <w:r w:rsidR="00751F73">
        <w:t xml:space="preserve">que </w:t>
      </w:r>
      <w:r w:rsidR="006F5E45">
        <w:t>fundamenta</w:t>
      </w:r>
      <w:r w:rsidR="00751F73">
        <w:t xml:space="preserve"> al instrumento de evaluación. En la validación de contenido y de constructo, estos</w:t>
      </w:r>
      <w:r w:rsidR="00C50B45">
        <w:t xml:space="preserve"> once</w:t>
      </w:r>
      <w:r w:rsidR="00751F73">
        <w:t xml:space="preserve"> atributos de egreso se consideraron como variables latentes, </w:t>
      </w:r>
      <w:r w:rsidR="00E56533">
        <w:t>cada un</w:t>
      </w:r>
      <w:r w:rsidR="0059277E">
        <w:t>a</w:t>
      </w:r>
      <w:r w:rsidR="00E56533">
        <w:t xml:space="preserve"> </w:t>
      </w:r>
      <w:r w:rsidR="00751F73">
        <w:t>con seis variables observables o ítems, redactados como resultados de aprendizaje</w:t>
      </w:r>
      <w:r w:rsidR="00E56533">
        <w:t xml:space="preserve"> </w:t>
      </w:r>
      <w:r w:rsidR="00751F73">
        <w:fldChar w:fldCharType="begin"/>
      </w:r>
      <w:r w:rsidR="00751F73">
        <w:instrText xml:space="preserve"> ADDIN EN.CITE &lt;EndNote&gt;&lt;Cite&gt;&lt;Author&gt;Tobón&lt;/Author&gt;&lt;Year&gt;2010&lt;/Year&gt;&lt;IDText&gt;Secuencias didácticas: Aprendizaje y evaluación de competencias&lt;/IDText&gt;&lt;DisplayText&gt;(Tobón et al., 2010)&lt;/DisplayText&gt;&lt;record&gt;&lt;titles&gt;&lt;title&gt;Secuencias didácticas: Aprendizaje y evaluación de competencias&lt;/title&gt;&lt;/titles&gt;&lt;pages&gt;216&lt;/pages&gt;&lt;contributors&gt;&lt;authors&gt;&lt;author&gt;Tobón, T. S&lt;/author&gt;&lt;author&gt;Pimienta, P. J.&lt;/author&gt;&lt;author&gt;García, F. J.&lt;/author&gt;&lt;/authors&gt;&lt;/contributors&gt;&lt;added-date format="utc"&gt;1469774427&lt;/added-date&gt;&lt;pub-location&gt;Ciudad de México, México&lt;/pub-location&gt;&lt;ref-type name="Book"&gt;6&lt;/ref-type&gt;&lt;dates&gt;&lt;year&gt;2010&lt;/year&gt;&lt;/dates&gt;&lt;rec-number&gt;766&lt;/rec-number&gt;&lt;publisher&gt;Pearson, Educación México&lt;/publisher&gt;&lt;last-updated-date format="utc"&gt;1597157281&lt;/last-updated-date&gt;&lt;/record&gt;&lt;/Cite&gt;&lt;/EndNote&gt;</w:instrText>
      </w:r>
      <w:r w:rsidR="00751F73">
        <w:fldChar w:fldCharType="separate"/>
      </w:r>
      <w:r w:rsidR="00751F73">
        <w:rPr>
          <w:noProof/>
        </w:rPr>
        <w:t>(Tobón et al., 2010)</w:t>
      </w:r>
      <w:r w:rsidR="00751F73">
        <w:fldChar w:fldCharType="end"/>
      </w:r>
      <w:r w:rsidR="00790286">
        <w:t xml:space="preserve">. En ellos se </w:t>
      </w:r>
      <w:r w:rsidR="00751F73">
        <w:t xml:space="preserve">integran de manera especial </w:t>
      </w:r>
      <w:r w:rsidR="00C50B45">
        <w:t xml:space="preserve">la </w:t>
      </w:r>
      <w:r w:rsidR="00751F73">
        <w:t>responsabilidad social y la educación con visión de futuro</w:t>
      </w:r>
      <w:r w:rsidR="00790286">
        <w:t xml:space="preserve"> para la formación de profesionales de la ingeniería</w:t>
      </w:r>
      <w:r w:rsidR="00C50B45">
        <w:t xml:space="preserve"> (Morin, 1999)</w:t>
      </w:r>
      <w:r w:rsidR="00751F73" w:rsidRPr="001360A3">
        <w:t xml:space="preserve">. </w:t>
      </w:r>
      <w:r w:rsidR="00B524EE">
        <w:t>Es importante señalar que</w:t>
      </w:r>
      <w:r w:rsidR="00790286">
        <w:t xml:space="preserve"> e</w:t>
      </w:r>
      <w:r w:rsidR="00751F73" w:rsidRPr="001360A3">
        <w:t>l Acuerdo de Washington actualizó los atributos de egreso para la formación de ingenieros en el año de 2021 (IEA, 2021)</w:t>
      </w:r>
      <w:r w:rsidR="00B524EE">
        <w:t xml:space="preserve"> y que </w:t>
      </w:r>
      <w:r w:rsidR="00751F73" w:rsidRPr="001360A3">
        <w:t xml:space="preserve">el CACEI </w:t>
      </w:r>
      <w:r w:rsidR="00751F73">
        <w:t>publicó</w:t>
      </w:r>
      <w:r w:rsidR="00751F73" w:rsidRPr="001360A3">
        <w:t xml:space="preserve"> </w:t>
      </w:r>
      <w:r w:rsidR="00B524EE" w:rsidRPr="001360A3">
        <w:t xml:space="preserve">en 2024 </w:t>
      </w:r>
      <w:r w:rsidR="00751F73" w:rsidRPr="001360A3">
        <w:t xml:space="preserve">el </w:t>
      </w:r>
      <w:r w:rsidR="00751F73" w:rsidRPr="001360A3">
        <w:rPr>
          <w:i/>
          <w:iCs/>
        </w:rPr>
        <w:t>Manual del Marco de Referencia 2025 para la Acreditación de Programas de Ingeniería. Categorías y Criterios</w:t>
      </w:r>
      <w:r w:rsidR="00751F73" w:rsidRPr="001360A3">
        <w:t>, en donde se definen los atributos de egreso</w:t>
      </w:r>
      <w:r w:rsidR="006F5E45">
        <w:t>,</w:t>
      </w:r>
      <w:r w:rsidR="00751F73" w:rsidRPr="001360A3">
        <w:t xml:space="preserve"> </w:t>
      </w:r>
      <w:r w:rsidR="00C50B45">
        <w:t>co</w:t>
      </w:r>
      <w:r w:rsidR="006F5E45">
        <w:t>r</w:t>
      </w:r>
      <w:r w:rsidR="00C50B45">
        <w:t xml:space="preserve">respondiente a las competencias profesionales </w:t>
      </w:r>
      <w:r w:rsidR="00751F73" w:rsidRPr="001360A3">
        <w:t>que un ingeniero debe adquirir durante su formación profesional</w:t>
      </w:r>
      <w:r w:rsidR="00751F73">
        <w:t xml:space="preserve"> </w:t>
      </w:r>
      <w:r w:rsidR="00751F73">
        <w:fldChar w:fldCharType="begin"/>
      </w:r>
      <w:r w:rsidR="00751F73">
        <w:instrText xml:space="preserve"> ADDIN EN.CITE &lt;EndNote&gt;&lt;Cite&gt;&lt;Author&gt;Loría&lt;/Author&gt;&lt;Year&gt;2024&lt;/Year&gt;&lt;IDText&gt;Manual del Marco de Referencia 2025 (MR 2025) para la acreditación de programas de Ingeniería. Categorías y criterios&lt;/IDText&gt;&lt;DisplayText&gt;(Loría et al., 2024)&lt;/DisplayText&gt;&lt;record&gt;&lt;urls&gt;&lt;related-urls&gt;&lt;url&gt;https://cacei.org.mx/objs/crsl/carr01.pdf&lt;/url&gt;&lt;/related-urls&gt;&lt;/urls&gt;&lt;titles&gt;&lt;title&gt;Manual del Marco de Referencia 2025 (MR 2025) para la acreditación de programas de Ingeniería. Categorías y criterios&lt;/title&gt;&lt;/titles&gt;&lt;number&gt;11 de septiembre&lt;/number&gt;&lt;contributors&gt;&lt;authors&gt;&lt;author&gt;Loría, J. H.&lt;/author&gt;&lt;author&gt;Romero, M. A.&lt;/author&gt;&lt;author&gt;Valle, B.&lt;/author&gt;&lt;/authors&gt;&lt;/contributors&gt;&lt;added-date format="utc"&gt;1731460723&lt;/added-date&gt;&lt;ref-type name="Web Page"&gt;12&lt;/ref-type&gt;&lt;dates&gt;&lt;year&gt;2024&lt;/year&gt;&lt;/dates&gt;&lt;rec-number&gt;1375&lt;/rec-number&gt;&lt;publisher&gt;Consejo de Acreditación de la Enseñanza de la Ingeniería, A. C.&lt;/publisher&gt;&lt;last-updated-date format="utc"&gt;1731461098&lt;/last-updated-date&gt;&lt;volume&gt;2024&lt;/volume&gt;&lt;/record&gt;&lt;/Cite&gt;&lt;/EndNote&gt;</w:instrText>
      </w:r>
      <w:r w:rsidR="00751F73">
        <w:fldChar w:fldCharType="separate"/>
      </w:r>
      <w:r w:rsidR="00751F73">
        <w:rPr>
          <w:noProof/>
        </w:rPr>
        <w:t>(Loría et al., 2024)</w:t>
      </w:r>
      <w:r w:rsidR="00751F73">
        <w:fldChar w:fldCharType="end"/>
      </w:r>
      <w:r w:rsidR="00751F73" w:rsidRPr="001360A3">
        <w:t>.</w:t>
      </w:r>
    </w:p>
    <w:p w14:paraId="3F5C637D" w14:textId="77777777" w:rsidR="00790286" w:rsidRDefault="00790286" w:rsidP="004030EF">
      <w:pPr>
        <w:spacing w:after="0" w:line="360" w:lineRule="auto"/>
        <w:jc w:val="both"/>
        <w:rPr>
          <w:b/>
          <w:bCs/>
        </w:rPr>
      </w:pPr>
    </w:p>
    <w:p w14:paraId="7DAB3199" w14:textId="0CE56B6D" w:rsidR="00751F73" w:rsidRPr="00D945F3" w:rsidRDefault="00751F73" w:rsidP="00D945F3">
      <w:pPr>
        <w:spacing w:after="0" w:line="360" w:lineRule="auto"/>
        <w:jc w:val="center"/>
        <w:rPr>
          <w:b/>
          <w:bCs/>
          <w:sz w:val="28"/>
          <w:szCs w:val="28"/>
        </w:rPr>
      </w:pPr>
      <w:r w:rsidRPr="00D945F3">
        <w:rPr>
          <w:b/>
          <w:bCs/>
          <w:sz w:val="28"/>
          <w:szCs w:val="28"/>
        </w:rPr>
        <w:t xml:space="preserve">Operacionalización del </w:t>
      </w:r>
      <w:r w:rsidR="00692568">
        <w:rPr>
          <w:b/>
          <w:bCs/>
          <w:sz w:val="28"/>
          <w:szCs w:val="28"/>
        </w:rPr>
        <w:t>L</w:t>
      </w:r>
      <w:r w:rsidRPr="00D945F3">
        <w:rPr>
          <w:b/>
          <w:bCs/>
          <w:sz w:val="28"/>
          <w:szCs w:val="28"/>
        </w:rPr>
        <w:t xml:space="preserve">ogro de la </w:t>
      </w:r>
      <w:r w:rsidR="00EF3F33" w:rsidRPr="00D945F3">
        <w:rPr>
          <w:b/>
          <w:bCs/>
          <w:sz w:val="28"/>
          <w:szCs w:val="28"/>
        </w:rPr>
        <w:t>c</w:t>
      </w:r>
      <w:r w:rsidRPr="00D945F3">
        <w:rPr>
          <w:b/>
          <w:bCs/>
          <w:sz w:val="28"/>
          <w:szCs w:val="28"/>
        </w:rPr>
        <w:t>ompetencia</w:t>
      </w:r>
    </w:p>
    <w:p w14:paraId="445F971E" w14:textId="1383AA0F" w:rsidR="00025A15" w:rsidRPr="001360A3" w:rsidRDefault="00790286" w:rsidP="0037717A">
      <w:pPr>
        <w:spacing w:after="0" w:line="360" w:lineRule="auto"/>
        <w:ind w:firstLine="709"/>
        <w:jc w:val="both"/>
      </w:pPr>
      <w:r>
        <w:t>E</w:t>
      </w:r>
      <w:r w:rsidR="00025A15" w:rsidRPr="001360A3">
        <w:t xml:space="preserve">l modelo constructivista concuerda con la idea </w:t>
      </w:r>
      <w:r w:rsidR="00025A15" w:rsidRPr="001360A3">
        <w:rPr>
          <w:i/>
          <w:iCs/>
        </w:rPr>
        <w:t>de lograr un propósito de aprendizaje</w:t>
      </w:r>
      <w:r w:rsidR="00025A15">
        <w:t xml:space="preserve">, </w:t>
      </w:r>
      <w:r w:rsidR="00025A15" w:rsidRPr="001360A3">
        <w:t>utilizando todos los recursos pedagógicos</w:t>
      </w:r>
      <w:r w:rsidR="00490258">
        <w:t xml:space="preserve"> y</w:t>
      </w:r>
      <w:r w:rsidR="00025A15" w:rsidRPr="001360A3">
        <w:t xml:space="preserve"> didácti</w:t>
      </w:r>
      <w:r w:rsidR="00993C43">
        <w:t>c</w:t>
      </w:r>
      <w:r w:rsidR="00025A15" w:rsidRPr="001360A3">
        <w:t xml:space="preserve">os </w:t>
      </w:r>
      <w:r w:rsidR="00993C43">
        <w:t xml:space="preserve">disponibles </w:t>
      </w:r>
      <w:r w:rsidR="00025A15" w:rsidRPr="001360A3">
        <w:fldChar w:fldCharType="begin"/>
      </w:r>
      <w:r w:rsidR="00025A15" w:rsidRPr="001360A3">
        <w:instrText xml:space="preserve"> ADDIN EN.CITE &lt;EndNote&gt;&lt;Cite&gt;&lt;Author&gt;Barboza&lt;/Author&gt;&lt;Year&gt;2020&lt;/Year&gt;&lt;IDText&gt;Aprendizaje participativo desde la acción constructivista sociocultural para el desarrollo de habilidades cognitivas en estudiantes&lt;/IDText&gt;&lt;DisplayText&gt;(Barboza &amp;amp; Calderón, 2020)&lt;/DisplayText&gt;&lt;record&gt;&lt;titles&gt;&lt;title&gt;Aprendizaje participativo desde la acción constructivista sociocultural para el desarrollo de habilidades cognitivas en estudiantes&lt;/title&gt;&lt;secondary-title&gt;Formación Educativa en el Contexto Social y Cultural&lt;/secondary-title&gt;&lt;/titles&gt;&lt;contributors&gt;&lt;authors&gt;&lt;author&gt;Barboza, J. L.&lt;/author&gt;&lt;author&gt;Calderón, M.&lt;/author&gt;&lt;/authors&gt;&lt;/contributors&gt;&lt;added-date format="utc"&gt;1661598358&lt;/added-date&gt;&lt;ref-type name="Generic"&gt;13&lt;/ref-type&gt;&lt;dates&gt;&lt;year&gt;2020&lt;/year&gt;&lt;/dates&gt;&lt;rec-number&gt;1021&lt;/rec-number&gt;&lt;last-updated-date format="utc"&gt;1661598640&lt;/last-updated-date&gt;&lt;/record&gt;&lt;/Cite&gt;&lt;/EndNote&gt;</w:instrText>
      </w:r>
      <w:r w:rsidR="00025A15" w:rsidRPr="001360A3">
        <w:fldChar w:fldCharType="separate"/>
      </w:r>
      <w:r w:rsidR="00025A15" w:rsidRPr="001360A3">
        <w:rPr>
          <w:noProof/>
        </w:rPr>
        <w:t xml:space="preserve">(Barboza </w:t>
      </w:r>
      <w:r w:rsidR="00EF3F33">
        <w:rPr>
          <w:noProof/>
        </w:rPr>
        <w:t>y</w:t>
      </w:r>
      <w:r w:rsidR="00025A15" w:rsidRPr="001360A3">
        <w:rPr>
          <w:noProof/>
        </w:rPr>
        <w:t xml:space="preserve"> Calderón, 2020)</w:t>
      </w:r>
      <w:r w:rsidR="00025A15" w:rsidRPr="001360A3">
        <w:fldChar w:fldCharType="end"/>
      </w:r>
      <w:r w:rsidR="00025A15" w:rsidRPr="001360A3">
        <w:t xml:space="preserve">. </w:t>
      </w:r>
      <w:r w:rsidR="0059277E">
        <w:t>Sin embargo, en diversos</w:t>
      </w:r>
      <w:r w:rsidR="00025A15" w:rsidRPr="001360A3">
        <w:t xml:space="preserve"> modelos de formación, la manera en que se evalúa el propósito de aprendizaje es de naturaleza pedagógica y didáctica muy diferente.</w:t>
      </w:r>
      <w:r w:rsidR="00025A15">
        <w:t xml:space="preserve"> </w:t>
      </w:r>
      <w:r w:rsidR="0059277E">
        <w:t xml:space="preserve">Puede </w:t>
      </w:r>
      <w:r w:rsidR="00D3321B">
        <w:t>estar enfocado en el modelo</w:t>
      </w:r>
      <w:r w:rsidR="00025A15">
        <w:t xml:space="preserve"> conductista, orientado </w:t>
      </w:r>
      <w:r w:rsidR="0059277E">
        <w:t xml:space="preserve">simplemente </w:t>
      </w:r>
      <w:r w:rsidR="00025A15">
        <w:t xml:space="preserve">hacia </w:t>
      </w:r>
      <w:r w:rsidR="0059277E">
        <w:t>un</w:t>
      </w:r>
      <w:r w:rsidR="00025A15">
        <w:t xml:space="preserve"> resultado</w:t>
      </w:r>
      <w:r w:rsidR="0059277E">
        <w:t xml:space="preserve"> observable. En contraparte, puede </w:t>
      </w:r>
      <w:r w:rsidR="00D3321B">
        <w:t>enfocarse</w:t>
      </w:r>
      <w:r w:rsidR="0059277E">
        <w:t xml:space="preserve"> hacia </w:t>
      </w:r>
      <w:r w:rsidR="00025A15">
        <w:t>el proceso</w:t>
      </w:r>
      <w:r w:rsidR="0059277E">
        <w:t xml:space="preserve">, donde la </w:t>
      </w:r>
      <w:r w:rsidR="00025A15">
        <w:t xml:space="preserve">evaluación </w:t>
      </w:r>
      <w:r w:rsidR="00751F73">
        <w:t xml:space="preserve">de los </w:t>
      </w:r>
      <w:r w:rsidR="00751F73">
        <w:lastRenderedPageBreak/>
        <w:t xml:space="preserve">resultados de aprendizaje </w:t>
      </w:r>
      <w:r w:rsidR="0059277E">
        <w:t xml:space="preserve">se realiza </w:t>
      </w:r>
      <w:r w:rsidR="00025A15">
        <w:t>durante todo el ciclo de formación.</w:t>
      </w:r>
      <w:r>
        <w:t xml:space="preserve"> </w:t>
      </w:r>
      <w:r w:rsidR="00025A15" w:rsidRPr="001360A3">
        <w:t>E</w:t>
      </w:r>
      <w:r w:rsidR="0059277E">
        <w:t>n este modelo</w:t>
      </w:r>
      <w:r w:rsidR="00B524EE">
        <w:t xml:space="preserve"> socioconstructivista</w:t>
      </w:r>
      <w:r w:rsidR="0059277E">
        <w:t xml:space="preserve">, </w:t>
      </w:r>
      <w:r w:rsidR="00025A15" w:rsidRPr="001360A3">
        <w:t xml:space="preserve">se demanda demostrar cómo se </w:t>
      </w:r>
      <w:r w:rsidR="00025A15" w:rsidRPr="001360A3">
        <w:rPr>
          <w:i/>
          <w:iCs/>
        </w:rPr>
        <w:t>“construye”</w:t>
      </w:r>
      <w:r w:rsidR="00025A15" w:rsidRPr="001360A3">
        <w:t xml:space="preserve"> el aprendizaje para </w:t>
      </w:r>
      <w:r w:rsidR="00B524EE">
        <w:t>desarrollar</w:t>
      </w:r>
      <w:r w:rsidR="00025A15" w:rsidRPr="001360A3">
        <w:t xml:space="preserve"> el perfil de egreso</w:t>
      </w:r>
      <w:r w:rsidRPr="00790286">
        <w:t xml:space="preserve"> </w:t>
      </w:r>
      <w:r w:rsidRPr="001360A3">
        <w:fldChar w:fldCharType="begin">
          <w:fldData xml:space="preserve">PEVuZE5vdGU+PENpdGU+PEF1dGhvcj5CcnVuZXI8L0F1dGhvcj48WWVhcj4xOTg5PC9ZZWFyPjxJ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</w:fldData>
        </w:fldChar>
      </w:r>
      <w:r w:rsidR="00A54CC5">
        <w:instrText xml:space="preserve"> ADDIN EN.CITE </w:instrText>
      </w:r>
      <w:r w:rsidR="00A54CC5">
        <w:fldChar w:fldCharType="begin">
          <w:fldData xml:space="preserve">PEVuZE5vdGU+PENpdGU+PEF1dGhvcj5CcnVuZXI8L0F1dGhvcj48WWVhcj4xOTg5PC9ZZWFyPjxJ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</w:fldData>
        </w:fldChar>
      </w:r>
      <w:r w:rsidR="00A54CC5">
        <w:instrText xml:space="preserve"> ADDIN EN.CITE.DATA </w:instrText>
      </w:r>
      <w:r w:rsidR="00A54CC5">
        <w:fldChar w:fldCharType="end"/>
      </w:r>
      <w:r w:rsidRPr="001360A3">
        <w:fldChar w:fldCharType="separate"/>
      </w:r>
      <w:r w:rsidR="00A54CC5">
        <w:rPr>
          <w:noProof/>
        </w:rPr>
        <w:t xml:space="preserve">(Bruner, 1989; Coll </w:t>
      </w:r>
      <w:r w:rsidR="00EF3F33">
        <w:rPr>
          <w:noProof/>
        </w:rPr>
        <w:t>y</w:t>
      </w:r>
      <w:r w:rsidR="00A54CC5">
        <w:rPr>
          <w:noProof/>
        </w:rPr>
        <w:t xml:space="preserve"> Onrubia, 2012; Vygotsky, 1979)</w:t>
      </w:r>
      <w:r w:rsidRPr="001360A3">
        <w:fldChar w:fldCharType="end"/>
      </w:r>
      <w:r w:rsidRPr="001360A3">
        <w:t>.</w:t>
      </w:r>
    </w:p>
    <w:p w14:paraId="75ADEFE2" w14:textId="5AF9524B" w:rsidR="00B8309E" w:rsidRPr="001360A3" w:rsidRDefault="00025A15" w:rsidP="0037717A">
      <w:pPr>
        <w:spacing w:after="0" w:line="360" w:lineRule="auto"/>
        <w:ind w:firstLine="709"/>
        <w:jc w:val="both"/>
      </w:pPr>
      <w:r w:rsidRPr="001360A3">
        <w:t>E</w:t>
      </w:r>
      <w:r w:rsidR="00031EC4">
        <w:t>s e</w:t>
      </w:r>
      <w:r w:rsidRPr="001360A3">
        <w:t xml:space="preserve">n este </w:t>
      </w:r>
      <w:r w:rsidR="003B5CA5">
        <w:t>contexto</w:t>
      </w:r>
      <w:r w:rsidRPr="001360A3">
        <w:t xml:space="preserve"> </w:t>
      </w:r>
      <w:r w:rsidR="00031EC4">
        <w:t xml:space="preserve">que </w:t>
      </w:r>
      <w:r w:rsidR="00C87740">
        <w:t xml:space="preserve">se desarrolló </w:t>
      </w:r>
      <w:r w:rsidR="00993C43">
        <w:t>un modelo</w:t>
      </w:r>
      <w:r w:rsidR="00A71647">
        <w:t xml:space="preserve"> gráfico</w:t>
      </w:r>
      <w:r w:rsidR="00993C43">
        <w:t xml:space="preserve"> que integra la </w:t>
      </w:r>
      <w:r w:rsidR="00A71647">
        <w:t xml:space="preserve">descripción de la </w:t>
      </w:r>
      <w:r w:rsidR="00993C43">
        <w:t>intención y secuencia didáctica, para</w:t>
      </w:r>
      <w:r w:rsidRPr="001360A3">
        <w:t xml:space="preserve"> evaluar el desarrollo de los atributos de egreso</w:t>
      </w:r>
      <w:r w:rsidR="00993C43">
        <w:t xml:space="preserve"> mediante resultados de aprendizaje. Esta operacionalización</w:t>
      </w:r>
      <w:r w:rsidR="00031EC4">
        <w:t xml:space="preserve"> </w:t>
      </w:r>
      <w:r w:rsidR="00993C43">
        <w:t>involucra un ciclo de medición estadística para lo cual se debe utilizar un instrumento de evaluación estandarizado</w:t>
      </w:r>
      <w:r w:rsidR="00C50B45">
        <w:t xml:space="preserve"> </w:t>
      </w:r>
      <w:r w:rsidRPr="0078525B">
        <w:fldChar w:fldCharType="begin"/>
      </w:r>
      <w:r w:rsidRPr="0078525B">
        <w:instrText xml:space="preserve"> ADDIN EN.CITE &lt;EndNote&gt;&lt;Cite&gt;&lt;Author&gt;Creswell&lt;/Author&gt;&lt;Year&gt;2012&lt;/Year&gt;&lt;IDText&gt;Educational Research: Plannning, conducting and evaluating quantitative and cualitative research&lt;/IDText&gt;&lt;DisplayText&gt;(Creswell, 2012; Espinoza, 2019)&lt;/DisplayText&gt;&lt;record&gt;&lt;titles&gt;&lt;title&gt;Educational Research: Plannning, conducting and evaluating quantitative and cualitative research&lt;/title&gt;&lt;/titles&gt;&lt;contributors&gt;&lt;authors&gt;&lt;author&gt;Creswell, J. W.&lt;/author&gt;&lt;/authors&gt;&lt;/contributors&gt;&lt;added-date format="utc"&gt;1432799496&lt;/added-date&gt;&lt;pub-location&gt;Boston, E.E. U. U.&lt;/pub-location&gt;&lt;ref-type name="Book"&gt;6&lt;/ref-type&gt;&lt;dates&gt;&lt;year&gt;2012&lt;/year&gt;&lt;/dates&gt;&lt;rec-number&gt;601&lt;/rec-number&gt;&lt;publisher&gt;Pearson&lt;/publisher&gt;&lt;last-updated-date format="utc"&gt;1596815438&lt;/last-updated-date&gt;&lt;/record&gt;&lt;/Cite&gt;&lt;Cite&gt;&lt;Author&gt;Espinoza&lt;/Author&gt;&lt;Year&gt;2019&lt;/Year&gt;&lt;IDText&gt;La variable y su operacionalización en la investigación educativa. Segunda parte.&lt;/IDText&gt;&lt;record&gt;&lt;urls&gt;&lt;related-urls&gt;&lt;url&gt;http://conrado.ucf.edu.cu/index.php/conrado&lt;/url&gt;&lt;/related-urls&gt;&lt;/urls&gt;&lt;titles&gt;&lt;title&gt;La variable y su operacionalización en la investigación educativa. Segunda parte.&lt;/title&gt;&lt;secondary-title&gt;Revista Conrado&lt;/secondary-title&gt;&lt;/titles&gt;&lt;pages&gt;171-180&lt;/pages&gt;&lt;number&gt;69&lt;/number&gt;&lt;contributors&gt;&lt;authors&gt;&lt;author&gt;Espinoza, E. E.&lt;/author&gt;&lt;/authors&gt;&lt;/contributors&gt;&lt;added-date format="utc"&gt;1678466574&lt;/added-date&gt;&lt;ref-type name="Magazine Article"&gt;19&lt;/ref-type&gt;&lt;dates&gt;&lt;year&gt;2019&lt;/year&gt;&lt;/dates&gt;&lt;rec-number&gt;1066&lt;/rec-number&gt;&lt;publisher&gt;Universidad Técnica de Machala, Ecuador&lt;/publisher&gt;&lt;last-updated-date format="utc"&gt;1678466795&lt;/last-updated-date&gt;&lt;volume&gt;15&lt;/volume&gt;&lt;/record&gt;&lt;/Cite&gt;&lt;/EndNote&gt;</w:instrText>
      </w:r>
      <w:r w:rsidRPr="0078525B">
        <w:fldChar w:fldCharType="separate"/>
      </w:r>
      <w:r w:rsidRPr="0078525B">
        <w:rPr>
          <w:noProof/>
        </w:rPr>
        <w:t>(Creswell, 2012; Espinoza, 2019)</w:t>
      </w:r>
      <w:r w:rsidRPr="0078525B">
        <w:fldChar w:fldCharType="end"/>
      </w:r>
      <w:r w:rsidRPr="001360A3">
        <w:t xml:space="preserve">. </w:t>
      </w:r>
      <w:r w:rsidR="00B8309E" w:rsidRPr="00B8309E">
        <w:t xml:space="preserve">En este trabajo de investigación </w:t>
      </w:r>
      <w:r w:rsidR="00B524EE">
        <w:t xml:space="preserve">también </w:t>
      </w:r>
      <w:r w:rsidR="00B8309E" w:rsidRPr="00B8309E">
        <w:t xml:space="preserve">se señala que el </w:t>
      </w:r>
      <w:r w:rsidR="00B8309E" w:rsidRPr="00B8309E">
        <w:rPr>
          <w:i/>
          <w:iCs/>
        </w:rPr>
        <w:t xml:space="preserve">indicador de alcance </w:t>
      </w:r>
      <w:r w:rsidR="00B8309E" w:rsidRPr="00B8309E">
        <w:t xml:space="preserve">es la forma operativa de evaluar la variable latente, entendida como el logro de la competencia a partir de las variables observables o ítems del instrumento de evaluación, que son esencialmente </w:t>
      </w:r>
      <w:r w:rsidR="00B8309E" w:rsidRPr="00B8309E">
        <w:rPr>
          <w:i/>
          <w:iCs/>
        </w:rPr>
        <w:t>resultados de aprendizaje</w:t>
      </w:r>
      <w:r w:rsidR="00B8309E" w:rsidRPr="00B8309E">
        <w:t xml:space="preserve"> derivados de</w:t>
      </w:r>
      <w:r w:rsidR="00A71647">
        <w:t xml:space="preserve"> las</w:t>
      </w:r>
      <w:r w:rsidR="00B8309E" w:rsidRPr="00B8309E">
        <w:t xml:space="preserve"> actividades </w:t>
      </w:r>
      <w:r w:rsidR="00C50B45">
        <w:t>didácticas</w:t>
      </w:r>
      <w:r w:rsidR="00B8309E" w:rsidRPr="00B8309E">
        <w:t xml:space="preserve"> </w:t>
      </w:r>
      <w:r w:rsidR="00A71647">
        <w:t xml:space="preserve">planificadas por el profesor </w:t>
      </w:r>
      <w:r w:rsidR="00B8309E" w:rsidRPr="00B8309E">
        <w:t>(Ferrando</w:t>
      </w:r>
      <w:r w:rsidR="00AD7667">
        <w:t xml:space="preserve"> et al</w:t>
      </w:r>
      <w:r w:rsidR="00C308D3">
        <w:t>.</w:t>
      </w:r>
      <w:r w:rsidR="00B8309E" w:rsidRPr="00B8309E">
        <w:t>, 2022).</w:t>
      </w:r>
    </w:p>
    <w:p w14:paraId="5337CD16" w14:textId="77777777" w:rsidR="003B5CA5" w:rsidRDefault="003B5CA5" w:rsidP="004030EF">
      <w:pPr>
        <w:spacing w:after="0" w:line="360" w:lineRule="auto"/>
        <w:jc w:val="both"/>
        <w:rPr>
          <w:b/>
          <w:bCs/>
        </w:rPr>
      </w:pPr>
    </w:p>
    <w:p w14:paraId="6D28B5AD" w14:textId="0847B4DA" w:rsidR="00025A15" w:rsidRPr="00D945F3" w:rsidRDefault="00025A15" w:rsidP="00D945F3">
      <w:pPr>
        <w:spacing w:after="0" w:line="360" w:lineRule="auto"/>
        <w:jc w:val="center"/>
        <w:rPr>
          <w:b/>
          <w:bCs/>
          <w:sz w:val="28"/>
          <w:szCs w:val="28"/>
        </w:rPr>
      </w:pPr>
      <w:r w:rsidRPr="00D945F3">
        <w:rPr>
          <w:b/>
          <w:bCs/>
          <w:sz w:val="28"/>
          <w:szCs w:val="28"/>
        </w:rPr>
        <w:t xml:space="preserve">Análisis </w:t>
      </w:r>
      <w:r w:rsidR="00D3321B" w:rsidRPr="00D945F3">
        <w:rPr>
          <w:b/>
          <w:bCs/>
          <w:sz w:val="28"/>
          <w:szCs w:val="28"/>
        </w:rPr>
        <w:t>f</w:t>
      </w:r>
      <w:r w:rsidRPr="00D945F3">
        <w:rPr>
          <w:b/>
          <w:bCs/>
          <w:sz w:val="28"/>
          <w:szCs w:val="28"/>
        </w:rPr>
        <w:t>actorial</w:t>
      </w:r>
      <w:r w:rsidR="00C50B45" w:rsidRPr="00D945F3">
        <w:rPr>
          <w:b/>
          <w:bCs/>
          <w:sz w:val="28"/>
          <w:szCs w:val="28"/>
        </w:rPr>
        <w:t xml:space="preserve"> </w:t>
      </w:r>
      <w:r w:rsidR="00D3321B" w:rsidRPr="00D945F3">
        <w:rPr>
          <w:b/>
          <w:bCs/>
          <w:sz w:val="28"/>
          <w:szCs w:val="28"/>
        </w:rPr>
        <w:t>m</w:t>
      </w:r>
      <w:r w:rsidR="00C50B45" w:rsidRPr="00D945F3">
        <w:rPr>
          <w:b/>
          <w:bCs/>
          <w:sz w:val="28"/>
          <w:szCs w:val="28"/>
        </w:rPr>
        <w:t xml:space="preserve">ediante el </w:t>
      </w:r>
      <w:r w:rsidR="00D3321B" w:rsidRPr="00D945F3">
        <w:rPr>
          <w:b/>
          <w:bCs/>
          <w:sz w:val="28"/>
          <w:szCs w:val="28"/>
        </w:rPr>
        <w:t>m</w:t>
      </w:r>
      <w:r w:rsidR="00C50B45" w:rsidRPr="00D945F3">
        <w:rPr>
          <w:b/>
          <w:bCs/>
          <w:sz w:val="28"/>
          <w:szCs w:val="28"/>
        </w:rPr>
        <w:t>odelo SEM</w:t>
      </w:r>
    </w:p>
    <w:p w14:paraId="29D43239" w14:textId="4E7DA19E" w:rsidR="00437CAB" w:rsidRDefault="003D2E4D" w:rsidP="00437CAB">
      <w:pPr>
        <w:spacing w:after="0" w:line="360" w:lineRule="auto"/>
        <w:ind w:firstLine="709"/>
        <w:jc w:val="both"/>
      </w:pPr>
      <w:r>
        <w:t>El modelo SEM incluye</w:t>
      </w:r>
      <w:r w:rsidR="00025A15" w:rsidRPr="001360A3">
        <w:t xml:space="preserve"> herramientas </w:t>
      </w:r>
      <w:r w:rsidR="0098348F">
        <w:t xml:space="preserve">estadísticas </w:t>
      </w:r>
      <w:r w:rsidR="00025A15" w:rsidRPr="001360A3">
        <w:t xml:space="preserve">fundamentales para validar instrumentos de evaluación en diversas disciplinas, incluidas la educación </w:t>
      </w:r>
      <w:r w:rsidR="00025A15" w:rsidRPr="001360A3">
        <w:fldChar w:fldCharType="begin"/>
      </w:r>
      <w:r w:rsidR="00025A15" w:rsidRPr="001360A3">
        <w:instrText xml:space="preserve"> ADDIN EN.CITE &lt;EndNote&gt;&lt;Cite&gt;&lt;Author&gt;Byrne&lt;/Author&gt;&lt;Year&gt;2010&lt;/Year&gt;&lt;IDText&gt;Structural Equation Modeling with AMOS. Basic Concepts, Applications, and Programming&lt;/IDText&gt;&lt;DisplayText&gt;(Byrne, 2010)&lt;/DisplayText&gt;&lt;record&gt;&lt;titles&gt;&lt;title&gt;Structural Equation Modeling with AMOS. Basic Concepts, Applications, and Programming&lt;/title&gt;&lt;/titles&gt;&lt;contributors&gt;&lt;authors&gt;&lt;author&gt;Byrne, M. B.&lt;/author&gt;&lt;/authors&gt;&lt;/contributors&gt;&lt;edition&gt;2&lt;/edition&gt;&lt;added-date format="utc"&gt;1732450281&lt;/added-date&gt;&lt;ref-type name="Book"&gt;6&lt;/ref-type&gt;&lt;dates&gt;&lt;year&gt;2010&lt;/year&gt;&lt;/dates&gt;&lt;rec-number&gt;1377&lt;/rec-number&gt;&lt;publisher&gt;Taylor &amp;amp; Francis Group, New York&lt;/publisher&gt;&lt;last-updated-date format="utc"&gt;1732450721&lt;/last-updated-date&gt;&lt;/record&gt;&lt;/Cite&gt;&lt;/EndNote&gt;</w:instrText>
      </w:r>
      <w:r w:rsidR="00025A15" w:rsidRPr="001360A3">
        <w:fldChar w:fldCharType="separate"/>
      </w:r>
      <w:r w:rsidR="00025A15" w:rsidRPr="001360A3">
        <w:rPr>
          <w:noProof/>
        </w:rPr>
        <w:t>(Byrne, 2010)</w:t>
      </w:r>
      <w:r w:rsidR="00025A15" w:rsidRPr="001360A3">
        <w:fldChar w:fldCharType="end"/>
      </w:r>
      <w:r w:rsidR="00025A15" w:rsidRPr="001360A3">
        <w:t xml:space="preserve">. Su importancia radica en primer lugar, en la capacidad del AFE para reducir la dimensionalidad del modelo teórico y proporcionar validez de contenido; en tanto, el AFC </w:t>
      </w:r>
      <w:r w:rsidR="00993C43">
        <w:t xml:space="preserve">tiene como finalidad </w:t>
      </w:r>
      <w:r w:rsidR="00025A15" w:rsidRPr="001360A3">
        <w:t xml:space="preserve">sustentar la confirmación del modelo teórico y la validez de </w:t>
      </w:r>
      <w:r w:rsidR="00025A15" w:rsidRPr="0078525B">
        <w:t>constructo</w:t>
      </w:r>
      <w:r w:rsidR="00A71647" w:rsidRPr="0078525B">
        <w:t xml:space="preserve"> (Brown</w:t>
      </w:r>
      <w:r w:rsidR="00397AB4">
        <w:t xml:space="preserve">, </w:t>
      </w:r>
      <w:r w:rsidR="00A71647" w:rsidRPr="0078525B">
        <w:t>20</w:t>
      </w:r>
      <w:r w:rsidR="00397AB4">
        <w:t>0</w:t>
      </w:r>
      <w:r w:rsidR="00A71647" w:rsidRPr="0078525B">
        <w:t>6)</w:t>
      </w:r>
      <w:r w:rsidR="00025A15" w:rsidRPr="0078525B">
        <w:t>.</w:t>
      </w:r>
      <w:r w:rsidR="00437CAB">
        <w:t xml:space="preserve"> </w:t>
      </w:r>
      <w:r w:rsidR="00031EC4" w:rsidRPr="0078525B">
        <w:t>E</w:t>
      </w:r>
      <w:r w:rsidR="00025A15" w:rsidRPr="0078525B">
        <w:t xml:space="preserve">n </w:t>
      </w:r>
      <w:r w:rsidR="00A71647" w:rsidRPr="0078525B">
        <w:t>acuerdo con Byrne (201</w:t>
      </w:r>
      <w:r w:rsidR="00B524EE">
        <w:t>0</w:t>
      </w:r>
      <w:r w:rsidR="00A71647" w:rsidRPr="0078525B">
        <w:t xml:space="preserve">), en </w:t>
      </w:r>
      <w:r w:rsidR="00025A15" w:rsidRPr="0078525B">
        <w:t xml:space="preserve">un instrumento de evaluación las </w:t>
      </w:r>
      <w:r w:rsidR="00025A15" w:rsidRPr="001360A3">
        <w:t xml:space="preserve">variables latentes representan constructos teóricos que no pueden medirse directamente porque no son observables. </w:t>
      </w:r>
      <w:r w:rsidR="00B524EE">
        <w:t>De esta forma</w:t>
      </w:r>
      <w:r w:rsidR="00025A15" w:rsidRPr="001360A3">
        <w:t>,</w:t>
      </w:r>
      <w:r w:rsidR="00B524EE">
        <w:t xml:space="preserve"> los</w:t>
      </w:r>
      <w:r w:rsidR="00025A15" w:rsidRPr="001360A3">
        <w:t xml:space="preserve"> constructos tales como el pensamiento crítico o el aprendizaje autorregulado, </w:t>
      </w:r>
      <w:r w:rsidR="00490258">
        <w:t xml:space="preserve">entre otros, </w:t>
      </w:r>
      <w:r w:rsidR="00025A15" w:rsidRPr="001360A3">
        <w:t xml:space="preserve">pueden ser inferidos a través de variables observables descritas con ítems apropiados en cuestionarios o encuestas. Los ítems son indicadores específicos que manifiestan conductas observables de la variable latente, permitiendo evaluar su presencia y magnitud. Este enfoque indirecto </w:t>
      </w:r>
      <w:r w:rsidR="00C50B45">
        <w:t xml:space="preserve">de evaluación </w:t>
      </w:r>
      <w:r w:rsidR="00437CAB">
        <w:t xml:space="preserve">usa el modelado SEM </w:t>
      </w:r>
      <w:r w:rsidR="00025A15" w:rsidRPr="001360A3">
        <w:t xml:space="preserve"> </w:t>
      </w:r>
      <w:r w:rsidR="00437CAB">
        <w:t xml:space="preserve">que incluye la medición </w:t>
      </w:r>
      <w:r w:rsidR="008B2F51">
        <w:t>de índices y la estructura subyancente de las variables latentes</w:t>
      </w:r>
      <w:r w:rsidR="00025A15" w:rsidRPr="001360A3">
        <w:t>.</w:t>
      </w:r>
    </w:p>
    <w:p w14:paraId="491A0756" w14:textId="733EBA38" w:rsidR="00B524EE" w:rsidRPr="00902974" w:rsidRDefault="00025A15" w:rsidP="0037717A">
      <w:pPr>
        <w:spacing w:after="0" w:line="360" w:lineRule="auto"/>
        <w:ind w:firstLine="709"/>
        <w:jc w:val="both"/>
        <w:rPr>
          <w:color w:val="FF0000"/>
        </w:rPr>
      </w:pPr>
      <w:r w:rsidRPr="001360A3">
        <w:t>Al identificar las estructuras latentes subyacentes en las relaciones entre variables observables, el</w:t>
      </w:r>
      <w:r w:rsidR="0098348F">
        <w:t xml:space="preserve"> AFC</w:t>
      </w:r>
      <w:r w:rsidRPr="001360A3">
        <w:t xml:space="preserve"> permite simplificar el modelo inicial y eliminar redundancias o ítems poco representativos </w:t>
      </w:r>
      <w:r w:rsidRPr="001360A3">
        <w:fldChar w:fldCharType="begin"/>
      </w:r>
      <w:r w:rsidR="00595F5E">
        <w:instrText xml:space="preserve"> ADDIN EN.CITE &lt;EndNote&gt;&lt;Cite&gt;&lt;Author&gt;Kline&lt;/Author&gt;&lt;Year&gt;2016&lt;/Year&gt;&lt;IDText&gt;Principles and Practice of Structural Equation Modeling&lt;/IDText&gt;&lt;DisplayText&gt;(Kline, 2016)&lt;/DisplayText&gt;&lt;record&gt;&lt;titles&gt;&lt;title&gt;Principles and Practice of Structural Equation Modeling&lt;/title&gt;&lt;/titles&gt;&lt;contributors&gt;&lt;authors&gt;&lt;author&gt;Kline, R. B.&lt;/author&gt;&lt;/authors&gt;&lt;/contributors&gt;&lt;edition&gt;4&lt;/edition&gt;&lt;added-date format="utc"&gt;1732448829&lt;/added-date&gt;&lt;pub-location&gt;New York&lt;/pub-location&gt;&lt;ref-type name="Book"&gt;6&lt;/ref-type&gt;&lt;dates&gt;&lt;year&gt;2016&lt;/year&gt;&lt;/dates&gt;&lt;rec-number&gt;1376&lt;/rec-number&gt;&lt;publisher&gt;The Guilford Press, New York&lt;/publisher&gt;&lt;last-updated-date format="utc"&gt;1732449077&lt;/last-updated-date&gt;&lt;/record&gt;&lt;/Cite&gt;&lt;/EndNote&gt;</w:instrText>
      </w:r>
      <w:r w:rsidRPr="001360A3">
        <w:fldChar w:fldCharType="separate"/>
      </w:r>
      <w:r w:rsidR="00595F5E">
        <w:rPr>
          <w:noProof/>
        </w:rPr>
        <w:t>(Kline, 2016</w:t>
      </w:r>
      <w:r w:rsidR="00AD7667">
        <w:rPr>
          <w:noProof/>
        </w:rPr>
        <w:t>;</w:t>
      </w:r>
      <w:r w:rsidRPr="001360A3">
        <w:fldChar w:fldCharType="end"/>
      </w:r>
      <w:r w:rsidRPr="001360A3">
        <w:t xml:space="preserve"> </w:t>
      </w:r>
      <w:r w:rsidRPr="001360A3">
        <w:fldChar w:fldCharType="begin"/>
      </w:r>
      <w:r w:rsidR="00595F5E">
        <w:instrText xml:space="preserve"> ADDIN EN.CITE &lt;EndNote&gt;&lt;Cite&gt;&lt;Author&gt;Brown&lt;/Author&gt;&lt;Year&gt;2006&lt;/Year&gt;&lt;IDText&gt;Confirmatory Factor Analysis for Applied Research&lt;/IDText&gt;&lt;DisplayText&gt;(Brown, 2006)&lt;/DisplayText&gt;&lt;record&gt;&lt;titles&gt;&lt;title&gt;Confirmatory Factor Analysis for Applied Research&lt;/title&gt;&lt;/titles&gt;&lt;contributors&gt;&lt;authors&gt;&lt;author&gt;Brown, T. A.&lt;/author&gt;&lt;/authors&gt;&lt;/contributors&gt;&lt;edition&gt;1&lt;/edition&gt;&lt;added-date format="utc"&gt;1730912171&lt;/added-date&gt;&lt;pub-location&gt;New York&lt;/pub-location&gt;&lt;ref-type name="Book"&gt;6&lt;/ref-type&gt;&lt;dates&gt;&lt;year&gt;2006&lt;/year&gt;&lt;/dates&gt;&lt;rec-number&gt;1373&lt;/rec-number&gt;&lt;publisher&gt;The Guilford Press &lt;/publisher&gt;&lt;last-updated-date format="utc"&gt;1730912356&lt;/last-updated-date&gt;&lt;contributors&gt;&lt;secondary-authors&gt;&lt;author&gt;Kenny, D. A.&lt;/author&gt;&lt;/secondary-authors&gt;&lt;/contributors&gt;&lt;/record&gt;&lt;/Cite&gt;&lt;/EndNote&gt;</w:instrText>
      </w:r>
      <w:r w:rsidRPr="001360A3">
        <w:fldChar w:fldCharType="separate"/>
      </w:r>
      <w:r w:rsidR="00595F5E">
        <w:rPr>
          <w:noProof/>
        </w:rPr>
        <w:t>Brown, 2006)</w:t>
      </w:r>
      <w:r w:rsidRPr="001360A3">
        <w:fldChar w:fldCharType="end"/>
      </w:r>
      <w:r w:rsidRPr="001360A3">
        <w:t>. Este análisis evalúa la coherencia entre los datos observados y la estructura latente teórica,</w:t>
      </w:r>
      <w:r w:rsidR="00437CAB">
        <w:t xml:space="preserve"> lo que permite</w:t>
      </w:r>
      <w:r w:rsidRPr="001360A3">
        <w:t xml:space="preserve"> determinar la validez de constructo del modelo</w:t>
      </w:r>
      <w:r w:rsidR="0098348F">
        <w:t>, proporcionándole confiabilidad</w:t>
      </w:r>
      <w:r w:rsidRPr="001360A3">
        <w:t xml:space="preserve"> </w:t>
      </w:r>
      <w:r w:rsidRPr="001360A3">
        <w:fldChar w:fldCharType="begin"/>
      </w:r>
      <w:r w:rsidRPr="001360A3">
        <w:instrText xml:space="preserve"> ADDIN EN.CITE &lt;EndNote&gt;&lt;Cite&gt;&lt;Author&gt;Ferrando&lt;/Author&gt;&lt;Year&gt;2022&lt;/Year&gt;&lt;IDText&gt;Decálogo para el Análisis Factorial de los ítems de un Test&lt;/IDText&gt;&lt;DisplayText&gt;(Ferrando et al., 2022)&lt;/DisplayText&gt;&lt;record&gt;&lt;titles&gt;&lt;title&gt;Decálogo para el Análisis Factorial de los ítems de un Test&lt;/title&gt;&lt;secondary-title&gt;Psicothema&lt;/secondary-title&gt;&lt;/titles&gt;&lt;pages&gt;7-17&lt;/pages&gt;&lt;number&gt;1&lt;/number&gt;&lt;contributors&gt;&lt;authors&gt;&lt;author&gt;Ferrando, J. P.&lt;/author&gt;&lt;author&gt;Lorenzo-Seva, U.&lt;/author&gt;&lt;author&gt;Hernández-Dorado, A.&lt;/author&gt;&lt;author&gt;Muñiz, J.&lt;/author&gt;&lt;/authors&gt;&lt;/contributors&gt;&lt;added-date format="utc"&gt;1727888902&lt;/added-date&gt;&lt;ref-type name="Magazine Article"&gt;19&lt;/ref-type&gt;&lt;dates&gt;&lt;year&gt;2022&lt;/year&gt;&lt;/dates&gt;&lt;rec-number&gt;1320&lt;/rec-number&gt;&lt;last-updated-date format="utc"&gt;1727889659&lt;/last-updated-date&gt;&lt;electronic-resource-num&gt;doi: 10.7334/psicothema2021.456&lt;/electronic-resource-num&gt;&lt;volume&gt;34&lt;/volume&gt;&lt;/record&gt;&lt;/Cite&gt;&lt;/EndNote&gt;</w:instrText>
      </w:r>
      <w:r w:rsidRPr="001360A3">
        <w:fldChar w:fldCharType="separate"/>
      </w:r>
      <w:r w:rsidRPr="001360A3">
        <w:rPr>
          <w:noProof/>
        </w:rPr>
        <w:t xml:space="preserve">(Ferrando </w:t>
      </w:r>
      <w:r w:rsidR="00DA3FF8">
        <w:rPr>
          <w:noProof/>
        </w:rPr>
        <w:t>y Lorenzo-Seva</w:t>
      </w:r>
      <w:r w:rsidRPr="001360A3">
        <w:rPr>
          <w:noProof/>
        </w:rPr>
        <w:t xml:space="preserve">, </w:t>
      </w:r>
      <w:r w:rsidR="00DA3FF8">
        <w:rPr>
          <w:noProof/>
        </w:rPr>
        <w:t>2017</w:t>
      </w:r>
      <w:r w:rsidRPr="001360A3">
        <w:rPr>
          <w:noProof/>
        </w:rPr>
        <w:t>)</w:t>
      </w:r>
      <w:r w:rsidRPr="001360A3">
        <w:fldChar w:fldCharType="end"/>
      </w:r>
      <w:r w:rsidRPr="001360A3">
        <w:t>.</w:t>
      </w:r>
      <w:r w:rsidR="00DA3FF8">
        <w:t xml:space="preserve"> Cabe mencionar que la estandarización de instrumentos de evaluación a nivel mundial en </w:t>
      </w:r>
      <w:r w:rsidR="00DA3FF8">
        <w:lastRenderedPageBreak/>
        <w:t>investigación educativa es tan necesari</w:t>
      </w:r>
      <w:r w:rsidR="003D2E4D">
        <w:t>a</w:t>
      </w:r>
      <w:r w:rsidR="00DA3FF8">
        <w:t>, que Hernández et</w:t>
      </w:r>
      <w:r w:rsidR="003D2E4D">
        <w:t xml:space="preserve"> </w:t>
      </w:r>
      <w:r w:rsidR="00DA3FF8">
        <w:t xml:space="preserve">al. (2019) </w:t>
      </w:r>
      <w:r w:rsidR="00DA3FF8" w:rsidRPr="00DA3FF8">
        <w:t>propone</w:t>
      </w:r>
      <w:r w:rsidR="00DA3FF8">
        <w:t>n</w:t>
      </w:r>
      <w:r w:rsidR="00DA3FF8" w:rsidRPr="00DA3FF8">
        <w:t xml:space="preserve"> un checklist evaluativo basado en las directrices de la Comisión Internacional de Pruebas para mejorar la adaptación de pruebas estandarizadas, facilitando su implementación y garantizando la comparabilidad cultural en la investigación educativa a nivel </w:t>
      </w:r>
      <w:r w:rsidR="00DA3FF8">
        <w:t>mundial</w:t>
      </w:r>
      <w:r w:rsidR="00DA3FF8" w:rsidRPr="00DA3FF8">
        <w:t>.</w:t>
      </w:r>
    </w:p>
    <w:p w14:paraId="69E9283E" w14:textId="77777777" w:rsidR="00F737AB" w:rsidRDefault="00F737AB" w:rsidP="004030EF">
      <w:pPr>
        <w:spacing w:after="0" w:line="360" w:lineRule="auto"/>
        <w:jc w:val="center"/>
        <w:rPr>
          <w:b/>
          <w:bCs/>
          <w:lang w:val="es-ES"/>
        </w:rPr>
      </w:pPr>
    </w:p>
    <w:p w14:paraId="4B6168AB" w14:textId="4C267E9D" w:rsidR="00192169" w:rsidRPr="00D945F3" w:rsidRDefault="00192169" w:rsidP="004030EF">
      <w:pPr>
        <w:spacing w:after="0" w:line="360" w:lineRule="auto"/>
        <w:jc w:val="center"/>
        <w:rPr>
          <w:b/>
          <w:bCs/>
          <w:sz w:val="32"/>
          <w:szCs w:val="32"/>
          <w:lang w:val="es-ES"/>
        </w:rPr>
      </w:pPr>
      <w:r w:rsidRPr="00D945F3">
        <w:rPr>
          <w:b/>
          <w:bCs/>
          <w:sz w:val="32"/>
          <w:szCs w:val="32"/>
          <w:lang w:val="es-ES"/>
        </w:rPr>
        <w:t>M</w:t>
      </w:r>
      <w:r w:rsidR="00692568">
        <w:rPr>
          <w:b/>
          <w:bCs/>
          <w:sz w:val="32"/>
          <w:szCs w:val="32"/>
          <w:lang w:val="es-ES"/>
        </w:rPr>
        <w:t>ateriales y métodos</w:t>
      </w:r>
    </w:p>
    <w:p w14:paraId="5B377737" w14:textId="2A986969" w:rsidR="00B5490A" w:rsidRDefault="002A2BD0" w:rsidP="0037717A">
      <w:pPr>
        <w:spacing w:after="0" w:line="360" w:lineRule="auto"/>
        <w:ind w:firstLine="709"/>
        <w:jc w:val="both"/>
        <w:rPr>
          <w:lang w:val="es-ES"/>
        </w:rPr>
      </w:pPr>
      <w:r>
        <w:t>Para el desarrollo de este es</w:t>
      </w:r>
      <w:r w:rsidR="008B2F51">
        <w:t>t</w:t>
      </w:r>
      <w:r>
        <w:t>udio se u</w:t>
      </w:r>
      <w:r w:rsidRPr="002A2BD0">
        <w:t>tilizó un enfoque cuantitativo, no experimental</w:t>
      </w:r>
      <w:r>
        <w:t xml:space="preserve"> y</w:t>
      </w:r>
      <w:r w:rsidRPr="002A2BD0">
        <w:t xml:space="preserve"> con diseño instrumental</w:t>
      </w:r>
      <w:r>
        <w:t>. L</w:t>
      </w:r>
      <w:r w:rsidRPr="002A2BD0">
        <w:t xml:space="preserve">as etapas </w:t>
      </w:r>
      <w:r>
        <w:t xml:space="preserve">metodológicas </w:t>
      </w:r>
      <w:r w:rsidRPr="002A2BD0">
        <w:t>corresponden al ciclo completo de diseño, validación y estandarización estadística de un instrumento</w:t>
      </w:r>
      <w:r>
        <w:t xml:space="preserve"> de evaluación del aprendizaje</w:t>
      </w:r>
      <w:r w:rsidRPr="002A2BD0">
        <w:t>. Est</w:t>
      </w:r>
      <w:r>
        <w:t>as etapas se muestran en la Tabla 1</w:t>
      </w:r>
      <w:r w:rsidR="008B2F51">
        <w:t>. F</w:t>
      </w:r>
      <w:r w:rsidRPr="002A2BD0">
        <w:t>ue</w:t>
      </w:r>
      <w:r>
        <w:t>ron diseñadas</w:t>
      </w:r>
      <w:r w:rsidRPr="002A2BD0">
        <w:t xml:space="preserve"> </w:t>
      </w:r>
      <w:r>
        <w:t>bajo los preceptos metodológicos de</w:t>
      </w:r>
      <w:r w:rsidRPr="002A2BD0">
        <w:t xml:space="preserve"> Creswell (2023) y Ferrando et al. (2022)</w:t>
      </w:r>
      <w:r w:rsidR="00D31DB1">
        <w:t xml:space="preserve"> utilizando el enfoque d</w:t>
      </w:r>
      <w:r w:rsidRPr="002A2BD0">
        <w:t>el model</w:t>
      </w:r>
      <w:r w:rsidR="00D31DB1">
        <w:t>ado</w:t>
      </w:r>
      <w:r w:rsidRPr="002A2BD0">
        <w:t xml:space="preserve"> SEM</w:t>
      </w:r>
      <w:r w:rsidR="00BC23C2">
        <w:rPr>
          <w:lang w:val="es-ES"/>
        </w:rPr>
        <w:t>. Para ello,</w:t>
      </w:r>
      <w:r w:rsidR="00B5490A" w:rsidRPr="00412B02">
        <w:rPr>
          <w:lang w:val="es-ES"/>
        </w:rPr>
        <w:t xml:space="preserve"> se procedió a la construcción, validación y estandarización </w:t>
      </w:r>
      <w:r w:rsidR="00BC23C2">
        <w:rPr>
          <w:lang w:val="es-ES"/>
        </w:rPr>
        <w:t xml:space="preserve">estadística </w:t>
      </w:r>
      <w:r w:rsidR="00B5490A" w:rsidRPr="00412B02">
        <w:rPr>
          <w:lang w:val="es-ES"/>
        </w:rPr>
        <w:t xml:space="preserve">de un instrumento de evaluación orientado a medir competencias profesionales, en función de los atributos de egreso del modelo educativo del Tecnológico Nacional de México (TecNM), del CACEI </w:t>
      </w:r>
      <w:r w:rsidR="00902974">
        <w:rPr>
          <w:lang w:val="es-ES"/>
        </w:rPr>
        <w:t xml:space="preserve">(2024) </w:t>
      </w:r>
      <w:r w:rsidR="00B5490A" w:rsidRPr="00412B02">
        <w:rPr>
          <w:lang w:val="es-ES"/>
        </w:rPr>
        <w:t xml:space="preserve">y </w:t>
      </w:r>
      <w:r w:rsidR="00D31DB1">
        <w:rPr>
          <w:lang w:val="es-ES"/>
        </w:rPr>
        <w:t>d</w:t>
      </w:r>
      <w:r w:rsidR="00B5490A" w:rsidRPr="00412B02">
        <w:rPr>
          <w:lang w:val="es-ES"/>
        </w:rPr>
        <w:t>el Acuerdo de Washington (2021)</w:t>
      </w:r>
      <w:r w:rsidR="00B5490A">
        <w:rPr>
          <w:lang w:val="es-ES"/>
        </w:rPr>
        <w:t>.</w:t>
      </w:r>
    </w:p>
    <w:p w14:paraId="7AA8601E" w14:textId="030FE45B" w:rsidR="00555AC2" w:rsidRDefault="00B35FAD" w:rsidP="0037717A">
      <w:pPr>
        <w:spacing w:after="0" w:line="360" w:lineRule="auto"/>
        <w:ind w:firstLine="709"/>
        <w:jc w:val="both"/>
        <w:rPr>
          <w:lang w:val="es-ES"/>
        </w:rPr>
      </w:pPr>
      <w:r>
        <w:t>E</w:t>
      </w:r>
      <w:r w:rsidRPr="00B35FAD">
        <w:t xml:space="preserve">l procedimiento seguido en esta investigación se presenta </w:t>
      </w:r>
      <w:r w:rsidR="00D31DB1">
        <w:t xml:space="preserve">en </w:t>
      </w:r>
      <w:r w:rsidRPr="00B35FAD">
        <w:t>la Tabla 1, la cual resume las etapas clave, las actividades desarrolladas, las técnicas utilizadas y los propósitos metodológicos correspondientes. Esta síntesis permite visualizar de manera estructurada el proceso de diseño, validación y análisis del instrumento de evaluación de competencias profesionales</w:t>
      </w:r>
      <w:r>
        <w:t>. En el diseño s</w:t>
      </w:r>
      <w:r w:rsidR="00B5490A" w:rsidRPr="00412B02">
        <w:rPr>
          <w:lang w:val="es-ES"/>
        </w:rPr>
        <w:t xml:space="preserve">e identificaron once variables latentes, definidas como constructos que agrupan ítems redactados como resultados de aprendizaje. </w:t>
      </w:r>
      <w:r w:rsidR="00B5490A">
        <w:rPr>
          <w:lang w:val="es-ES"/>
        </w:rPr>
        <w:t>Los</w:t>
      </w:r>
      <w:r w:rsidR="00B5490A" w:rsidRPr="00412B02">
        <w:rPr>
          <w:lang w:val="es-ES"/>
        </w:rPr>
        <w:t xml:space="preserve"> ítems fueron validados por un panel de 25 expertos, utilizando la técnica Delphi</w:t>
      </w:r>
      <w:r>
        <w:rPr>
          <w:lang w:val="es-ES"/>
        </w:rPr>
        <w:t xml:space="preserve"> </w:t>
      </w:r>
      <w:r w:rsidR="00D31DB1">
        <w:rPr>
          <w:lang w:val="es-ES"/>
        </w:rPr>
        <w:t xml:space="preserve">de </w:t>
      </w:r>
      <w:r w:rsidR="002B6DF1">
        <w:rPr>
          <w:lang w:val="es-ES"/>
        </w:rPr>
        <w:t>López-Gómez (2018)</w:t>
      </w:r>
      <w:r w:rsidR="007B7CC2">
        <w:rPr>
          <w:lang w:val="es-ES"/>
        </w:rPr>
        <w:t xml:space="preserve"> y</w:t>
      </w:r>
      <w:r w:rsidR="00B5490A" w:rsidRPr="00412B02">
        <w:rPr>
          <w:lang w:val="es-ES"/>
        </w:rPr>
        <w:t xml:space="preserve"> la metodología de </w:t>
      </w:r>
      <w:proofErr w:type="spellStart"/>
      <w:r w:rsidR="00B5490A" w:rsidRPr="00412B02">
        <w:rPr>
          <w:lang w:val="es-ES"/>
        </w:rPr>
        <w:t>Lawshe</w:t>
      </w:r>
      <w:proofErr w:type="spellEnd"/>
      <w:r>
        <w:rPr>
          <w:lang w:val="es-ES"/>
        </w:rPr>
        <w:t xml:space="preserve"> (197</w:t>
      </w:r>
      <w:r w:rsidR="00D31DB1">
        <w:rPr>
          <w:lang w:val="es-ES"/>
        </w:rPr>
        <w:t>5</w:t>
      </w:r>
      <w:r>
        <w:rPr>
          <w:lang w:val="es-ES"/>
        </w:rPr>
        <w:t>)</w:t>
      </w:r>
      <w:r w:rsidR="007B7CC2">
        <w:rPr>
          <w:lang w:val="es-ES"/>
        </w:rPr>
        <w:t>, así como la determinación del alfa de Cronbach</w:t>
      </w:r>
      <w:r w:rsidR="00B5490A" w:rsidRPr="00412B02">
        <w:rPr>
          <w:lang w:val="es-ES"/>
        </w:rPr>
        <w:t>, a fin de garantizar la validez de contenido y la consistencia interna</w:t>
      </w:r>
      <w:r w:rsidR="00B4389B">
        <w:rPr>
          <w:lang w:val="es-ES"/>
        </w:rPr>
        <w:t>, respectivamente</w:t>
      </w:r>
      <w:r w:rsidR="00B5490A" w:rsidRPr="00412B02">
        <w:rPr>
          <w:lang w:val="es-ES"/>
        </w:rPr>
        <w:t>.</w:t>
      </w:r>
    </w:p>
    <w:p w14:paraId="2B3AE58E" w14:textId="77777777" w:rsidR="00AC4363" w:rsidRDefault="00AC4363" w:rsidP="0037717A">
      <w:pPr>
        <w:spacing w:after="0" w:line="360" w:lineRule="auto"/>
        <w:ind w:firstLine="709"/>
        <w:jc w:val="both"/>
        <w:rPr>
          <w:lang w:val="es-ES"/>
        </w:rPr>
      </w:pPr>
    </w:p>
    <w:p w14:paraId="163460BD" w14:textId="77777777" w:rsidR="008E3143" w:rsidRDefault="008E3143" w:rsidP="0037717A">
      <w:pPr>
        <w:spacing w:after="0" w:line="360" w:lineRule="auto"/>
        <w:ind w:firstLine="709"/>
        <w:jc w:val="both"/>
        <w:rPr>
          <w:lang w:val="es-ES"/>
        </w:rPr>
      </w:pPr>
    </w:p>
    <w:p w14:paraId="4D7FF47C" w14:textId="77777777" w:rsidR="008E3143" w:rsidRDefault="008E3143" w:rsidP="0037717A">
      <w:pPr>
        <w:spacing w:after="0" w:line="360" w:lineRule="auto"/>
        <w:ind w:firstLine="709"/>
        <w:jc w:val="both"/>
        <w:rPr>
          <w:lang w:val="es-ES"/>
        </w:rPr>
      </w:pPr>
    </w:p>
    <w:p w14:paraId="7D9C53B8" w14:textId="77777777" w:rsidR="008E3143" w:rsidRDefault="008E3143" w:rsidP="0037717A">
      <w:pPr>
        <w:spacing w:after="0" w:line="360" w:lineRule="auto"/>
        <w:ind w:firstLine="709"/>
        <w:jc w:val="both"/>
        <w:rPr>
          <w:lang w:val="es-ES"/>
        </w:rPr>
      </w:pPr>
    </w:p>
    <w:p w14:paraId="72C50592" w14:textId="77777777" w:rsidR="008E3143" w:rsidRDefault="008E3143" w:rsidP="0037717A">
      <w:pPr>
        <w:spacing w:after="0" w:line="360" w:lineRule="auto"/>
        <w:ind w:firstLine="709"/>
        <w:jc w:val="both"/>
        <w:rPr>
          <w:lang w:val="es-ES"/>
        </w:rPr>
      </w:pPr>
    </w:p>
    <w:p w14:paraId="708F8602" w14:textId="77777777" w:rsidR="008E3143" w:rsidRDefault="008E3143" w:rsidP="0037717A">
      <w:pPr>
        <w:spacing w:after="0" w:line="360" w:lineRule="auto"/>
        <w:ind w:firstLine="709"/>
        <w:jc w:val="both"/>
        <w:rPr>
          <w:lang w:val="es-ES"/>
        </w:rPr>
      </w:pPr>
    </w:p>
    <w:p w14:paraId="38A9311C" w14:textId="77777777" w:rsidR="008E3143" w:rsidRDefault="008E3143" w:rsidP="0037717A">
      <w:pPr>
        <w:spacing w:after="0" w:line="360" w:lineRule="auto"/>
        <w:ind w:firstLine="709"/>
        <w:jc w:val="both"/>
        <w:rPr>
          <w:lang w:val="es-ES"/>
        </w:rPr>
      </w:pPr>
    </w:p>
    <w:p w14:paraId="69EEDD95" w14:textId="77777777" w:rsidR="008E3143" w:rsidRDefault="008E3143" w:rsidP="0037717A">
      <w:pPr>
        <w:spacing w:after="0" w:line="360" w:lineRule="auto"/>
        <w:ind w:firstLine="709"/>
        <w:jc w:val="both"/>
        <w:rPr>
          <w:lang w:val="es-ES"/>
        </w:rPr>
      </w:pPr>
    </w:p>
    <w:p w14:paraId="1CA3087F" w14:textId="77777777" w:rsidR="008E3143" w:rsidRDefault="008E3143" w:rsidP="0037717A">
      <w:pPr>
        <w:spacing w:after="0" w:line="360" w:lineRule="auto"/>
        <w:ind w:firstLine="709"/>
        <w:jc w:val="both"/>
        <w:rPr>
          <w:lang w:val="es-ES"/>
        </w:rPr>
      </w:pPr>
    </w:p>
    <w:p w14:paraId="6DBF5053" w14:textId="393FD847" w:rsidR="00B5490A" w:rsidRPr="00B5490A" w:rsidRDefault="00B5490A" w:rsidP="00AC4363">
      <w:pPr>
        <w:spacing w:after="0" w:line="360" w:lineRule="auto"/>
        <w:jc w:val="center"/>
        <w:rPr>
          <w:i/>
          <w:iCs/>
          <w:lang w:val="es-ES"/>
        </w:rPr>
      </w:pPr>
      <w:r w:rsidRPr="00B5490A">
        <w:rPr>
          <w:b/>
          <w:bCs/>
          <w:lang w:val="es-ES"/>
        </w:rPr>
        <w:lastRenderedPageBreak/>
        <w:t>Tabla 1</w:t>
      </w:r>
      <w:r w:rsidR="00AC4363">
        <w:rPr>
          <w:b/>
          <w:bCs/>
          <w:lang w:val="es-ES"/>
        </w:rPr>
        <w:t xml:space="preserve">. </w:t>
      </w:r>
      <w:r w:rsidRPr="00AC4363">
        <w:rPr>
          <w:lang w:val="es-ES"/>
        </w:rPr>
        <w:t>Resumen de las etapas del estudio</w:t>
      </w:r>
    </w:p>
    <w:tbl>
      <w:tblPr>
        <w:tblStyle w:val="Tablaconcuadrcula"/>
        <w:tblW w:w="0" w:type="auto"/>
        <w:tblCellMar>
          <w:top w:w="57" w:type="dxa"/>
          <w:left w:w="57" w:type="dxa"/>
          <w:bottom w:w="57" w:type="dxa"/>
          <w:right w:w="57" w:type="dxa"/>
        </w:tblCellMar>
        <w:tblLook w:val="04A0" w:firstRow="1" w:lastRow="0" w:firstColumn="1" w:lastColumn="0" w:noHBand="0" w:noVBand="1"/>
      </w:tblPr>
      <w:tblGrid>
        <w:gridCol w:w="1752"/>
        <w:gridCol w:w="1914"/>
        <w:gridCol w:w="2615"/>
        <w:gridCol w:w="2547"/>
      </w:tblGrid>
      <w:tr w:rsidR="007917E0" w:rsidRPr="00AC4363" w14:paraId="370A136A" w14:textId="77777777" w:rsidTr="00AC4363">
        <w:tc>
          <w:tcPr>
            <w:tcW w:w="0" w:type="auto"/>
          </w:tcPr>
          <w:p w14:paraId="36BF4814" w14:textId="764B3C70" w:rsidR="00555AC2" w:rsidRPr="00AC4363" w:rsidRDefault="00555AC2" w:rsidP="00555AC2">
            <w:pPr>
              <w:spacing w:after="0"/>
              <w:jc w:val="both"/>
              <w:rPr>
                <w:lang w:val="es-ES"/>
              </w:rPr>
            </w:pPr>
            <w:r w:rsidRPr="00AC4363">
              <w:rPr>
                <w:lang w:val="es-ES"/>
              </w:rPr>
              <w:t>Etapa del proceso</w:t>
            </w:r>
          </w:p>
        </w:tc>
        <w:tc>
          <w:tcPr>
            <w:tcW w:w="0" w:type="auto"/>
          </w:tcPr>
          <w:p w14:paraId="633CF32B" w14:textId="275EDF0C" w:rsidR="00555AC2" w:rsidRPr="00AC4363" w:rsidRDefault="00555AC2" w:rsidP="00555AC2">
            <w:pPr>
              <w:spacing w:after="0"/>
              <w:jc w:val="both"/>
              <w:rPr>
                <w:lang w:val="es-ES"/>
              </w:rPr>
            </w:pPr>
            <w:r w:rsidRPr="00AC4363">
              <w:rPr>
                <w:lang w:val="es-ES"/>
              </w:rPr>
              <w:t>Actividad</w:t>
            </w:r>
          </w:p>
        </w:tc>
        <w:tc>
          <w:tcPr>
            <w:tcW w:w="0" w:type="auto"/>
          </w:tcPr>
          <w:p w14:paraId="34499289" w14:textId="253A955C" w:rsidR="00555AC2" w:rsidRPr="00AC4363" w:rsidRDefault="00555AC2" w:rsidP="00555AC2">
            <w:pPr>
              <w:spacing w:after="0"/>
              <w:jc w:val="both"/>
              <w:rPr>
                <w:lang w:val="es-ES"/>
              </w:rPr>
            </w:pPr>
            <w:r w:rsidRPr="00AC4363">
              <w:rPr>
                <w:lang w:val="es-ES"/>
              </w:rPr>
              <w:t>Técnica / Instrumento</w:t>
            </w:r>
          </w:p>
        </w:tc>
        <w:tc>
          <w:tcPr>
            <w:tcW w:w="0" w:type="auto"/>
          </w:tcPr>
          <w:p w14:paraId="05876A6A" w14:textId="27AD3067" w:rsidR="00555AC2" w:rsidRPr="00AC4363" w:rsidRDefault="00555AC2" w:rsidP="00555AC2">
            <w:pPr>
              <w:spacing w:after="0"/>
              <w:jc w:val="both"/>
              <w:rPr>
                <w:lang w:val="es-ES"/>
              </w:rPr>
            </w:pPr>
            <w:r w:rsidRPr="00AC4363">
              <w:rPr>
                <w:lang w:val="es-ES"/>
              </w:rPr>
              <w:t>Propósito metodológico</w:t>
            </w:r>
          </w:p>
        </w:tc>
      </w:tr>
      <w:tr w:rsidR="007917E0" w:rsidRPr="00AC4363" w14:paraId="443B4802" w14:textId="77777777" w:rsidTr="00AC4363">
        <w:tc>
          <w:tcPr>
            <w:tcW w:w="0" w:type="auto"/>
          </w:tcPr>
          <w:p w14:paraId="1897981C" w14:textId="7D4CEC87" w:rsidR="00555AC2" w:rsidRPr="00AC4363" w:rsidRDefault="00555AC2" w:rsidP="00B5490A">
            <w:pPr>
              <w:spacing w:after="0"/>
              <w:rPr>
                <w:lang w:val="es-ES"/>
              </w:rPr>
            </w:pPr>
            <w:r w:rsidRPr="00AC4363">
              <w:rPr>
                <w:lang w:val="es-ES"/>
              </w:rPr>
              <w:t>Revisión documental</w:t>
            </w:r>
          </w:p>
        </w:tc>
        <w:tc>
          <w:tcPr>
            <w:tcW w:w="0" w:type="auto"/>
          </w:tcPr>
          <w:p w14:paraId="0AB33268" w14:textId="5DEBC76C" w:rsidR="00555AC2" w:rsidRPr="00AC4363" w:rsidRDefault="00555AC2" w:rsidP="00B5490A">
            <w:pPr>
              <w:spacing w:after="0"/>
              <w:rPr>
                <w:lang w:val="es-ES"/>
              </w:rPr>
            </w:pPr>
            <w:r w:rsidRPr="00AC4363">
              <w:rPr>
                <w:lang w:val="es-ES"/>
              </w:rPr>
              <w:t xml:space="preserve">Identificación </w:t>
            </w:r>
            <w:r w:rsidR="00913F75" w:rsidRPr="00AC4363">
              <w:rPr>
                <w:lang w:val="es-ES"/>
              </w:rPr>
              <w:t xml:space="preserve">de variables latentes </w:t>
            </w:r>
            <w:r w:rsidRPr="00AC4363">
              <w:rPr>
                <w:lang w:val="es-ES"/>
              </w:rPr>
              <w:t>y redacción de ítems</w:t>
            </w:r>
          </w:p>
        </w:tc>
        <w:tc>
          <w:tcPr>
            <w:tcW w:w="0" w:type="auto"/>
          </w:tcPr>
          <w:p w14:paraId="17A17728" w14:textId="2949FECE" w:rsidR="00555AC2" w:rsidRPr="00AC4363" w:rsidRDefault="00555AC2" w:rsidP="00B5490A">
            <w:pPr>
              <w:spacing w:after="0"/>
              <w:rPr>
                <w:lang w:val="es-ES"/>
              </w:rPr>
            </w:pPr>
            <w:r w:rsidRPr="00AC4363">
              <w:rPr>
                <w:lang w:val="es-ES"/>
              </w:rPr>
              <w:t>Análisis de contenido</w:t>
            </w:r>
          </w:p>
        </w:tc>
        <w:tc>
          <w:tcPr>
            <w:tcW w:w="0" w:type="auto"/>
          </w:tcPr>
          <w:p w14:paraId="2864F5ED" w14:textId="1A1A481B" w:rsidR="00555AC2" w:rsidRPr="00AC4363" w:rsidRDefault="00555AC2" w:rsidP="00B5490A">
            <w:pPr>
              <w:spacing w:after="0"/>
              <w:rPr>
                <w:lang w:val="es-ES"/>
              </w:rPr>
            </w:pPr>
            <w:r w:rsidRPr="00AC4363">
              <w:rPr>
                <w:lang w:val="es-ES"/>
              </w:rPr>
              <w:t>Fundamentación teórica del instrumento</w:t>
            </w:r>
          </w:p>
        </w:tc>
      </w:tr>
      <w:tr w:rsidR="007917E0" w:rsidRPr="00AC4363" w14:paraId="0EF4DF91" w14:textId="77777777" w:rsidTr="00AC4363">
        <w:tc>
          <w:tcPr>
            <w:tcW w:w="0" w:type="auto"/>
          </w:tcPr>
          <w:p w14:paraId="3146566F" w14:textId="622C1886" w:rsidR="00555AC2" w:rsidRPr="00AC4363" w:rsidRDefault="00555AC2" w:rsidP="00B5490A">
            <w:pPr>
              <w:spacing w:after="0"/>
              <w:rPr>
                <w:lang w:val="es-ES"/>
              </w:rPr>
            </w:pPr>
            <w:r w:rsidRPr="00AC4363">
              <w:rPr>
                <w:lang w:val="es-ES"/>
              </w:rPr>
              <w:t>Evaluación por expertos</w:t>
            </w:r>
          </w:p>
        </w:tc>
        <w:tc>
          <w:tcPr>
            <w:tcW w:w="0" w:type="auto"/>
          </w:tcPr>
          <w:p w14:paraId="726EB4C4" w14:textId="27809B90" w:rsidR="00555AC2" w:rsidRPr="00AC4363" w:rsidRDefault="00555AC2" w:rsidP="00B5490A">
            <w:pPr>
              <w:spacing w:after="0"/>
              <w:rPr>
                <w:lang w:val="es-ES"/>
              </w:rPr>
            </w:pPr>
            <w:r w:rsidRPr="00AC4363">
              <w:rPr>
                <w:lang w:val="es-ES"/>
              </w:rPr>
              <w:t>Valoración cualitativa y cuantitativa</w:t>
            </w:r>
          </w:p>
        </w:tc>
        <w:tc>
          <w:tcPr>
            <w:tcW w:w="0" w:type="auto"/>
          </w:tcPr>
          <w:p w14:paraId="1C19B83E" w14:textId="7CD6B50B" w:rsidR="00555AC2" w:rsidRPr="00AC4363" w:rsidRDefault="00555AC2" w:rsidP="00B5490A">
            <w:pPr>
              <w:spacing w:after="0"/>
              <w:rPr>
                <w:lang w:val="es-ES"/>
              </w:rPr>
            </w:pPr>
            <w:r w:rsidRPr="00AC4363">
              <w:rPr>
                <w:lang w:val="es-ES"/>
              </w:rPr>
              <w:t>Técnica Delphi</w:t>
            </w:r>
          </w:p>
        </w:tc>
        <w:tc>
          <w:tcPr>
            <w:tcW w:w="0" w:type="auto"/>
          </w:tcPr>
          <w:p w14:paraId="21BDF1E0" w14:textId="4B22E984" w:rsidR="00555AC2" w:rsidRPr="00AC4363" w:rsidRDefault="00555AC2" w:rsidP="00B5490A">
            <w:pPr>
              <w:spacing w:after="0"/>
              <w:rPr>
                <w:lang w:val="es-ES"/>
              </w:rPr>
            </w:pPr>
            <w:r w:rsidRPr="00AC4363">
              <w:rPr>
                <w:lang w:val="es-ES"/>
              </w:rPr>
              <w:t>Validez de contenido</w:t>
            </w:r>
            <w:r w:rsidR="007B7CC2" w:rsidRPr="00AC4363">
              <w:rPr>
                <w:lang w:val="es-ES"/>
              </w:rPr>
              <w:t xml:space="preserve"> y determinación de la consistencia interna</w:t>
            </w:r>
          </w:p>
        </w:tc>
      </w:tr>
      <w:tr w:rsidR="007917E0" w:rsidRPr="00AC4363" w14:paraId="3D6707A6" w14:textId="77777777" w:rsidTr="00AC4363">
        <w:tc>
          <w:tcPr>
            <w:tcW w:w="0" w:type="auto"/>
          </w:tcPr>
          <w:p w14:paraId="63317233" w14:textId="13220BC1" w:rsidR="00555AC2" w:rsidRPr="00AC4363" w:rsidRDefault="00555AC2" w:rsidP="00B5490A">
            <w:pPr>
              <w:spacing w:after="0"/>
              <w:rPr>
                <w:lang w:val="es-ES"/>
              </w:rPr>
            </w:pPr>
            <w:r w:rsidRPr="00AC4363">
              <w:rPr>
                <w:lang w:val="es-ES"/>
              </w:rPr>
              <w:t>Aplicación piloto</w:t>
            </w:r>
          </w:p>
        </w:tc>
        <w:tc>
          <w:tcPr>
            <w:tcW w:w="0" w:type="auto"/>
          </w:tcPr>
          <w:p w14:paraId="7AF6F507" w14:textId="4C5DDA6A" w:rsidR="00555AC2" w:rsidRPr="00AC4363" w:rsidRDefault="003D15B6" w:rsidP="00B5490A">
            <w:pPr>
              <w:spacing w:after="0"/>
              <w:rPr>
                <w:lang w:val="es-ES"/>
              </w:rPr>
            </w:pPr>
            <w:r w:rsidRPr="00AC4363">
              <w:rPr>
                <w:lang w:val="es-ES"/>
              </w:rPr>
              <w:t>Recolección de datos</w:t>
            </w:r>
          </w:p>
        </w:tc>
        <w:tc>
          <w:tcPr>
            <w:tcW w:w="0" w:type="auto"/>
          </w:tcPr>
          <w:p w14:paraId="6F22F9F6" w14:textId="093EB224" w:rsidR="00555AC2" w:rsidRPr="00AC4363" w:rsidRDefault="00913F75" w:rsidP="00B5490A">
            <w:pPr>
              <w:spacing w:after="0"/>
              <w:rPr>
                <w:lang w:val="es-ES"/>
              </w:rPr>
            </w:pPr>
            <w:r w:rsidRPr="00AC4363">
              <w:rPr>
                <w:lang w:val="es-ES"/>
              </w:rPr>
              <w:t>Evaluación preliminar de</w:t>
            </w:r>
            <w:r w:rsidR="007B7CC2" w:rsidRPr="00AC4363">
              <w:rPr>
                <w:lang w:val="es-ES"/>
              </w:rPr>
              <w:t>l</w:t>
            </w:r>
            <w:r w:rsidRPr="00AC4363">
              <w:rPr>
                <w:lang w:val="es-ES"/>
              </w:rPr>
              <w:t xml:space="preserve"> i</w:t>
            </w:r>
            <w:r w:rsidR="003D15B6" w:rsidRPr="00AC4363">
              <w:rPr>
                <w:lang w:val="es-ES"/>
              </w:rPr>
              <w:t xml:space="preserve">nstrumento </w:t>
            </w:r>
            <w:r w:rsidR="000C61E5" w:rsidRPr="00AC4363">
              <w:rPr>
                <w:lang w:val="es-ES"/>
              </w:rPr>
              <w:t xml:space="preserve">en la actividad Retroalimentación de </w:t>
            </w:r>
            <w:r w:rsidR="003D15B6" w:rsidRPr="00AC4363">
              <w:rPr>
                <w:lang w:val="es-ES"/>
              </w:rPr>
              <w:t>Moodle</w:t>
            </w:r>
          </w:p>
        </w:tc>
        <w:tc>
          <w:tcPr>
            <w:tcW w:w="0" w:type="auto"/>
          </w:tcPr>
          <w:p w14:paraId="2BDC4C47" w14:textId="2898B559" w:rsidR="00555AC2" w:rsidRPr="00AC4363" w:rsidRDefault="003D15B6" w:rsidP="00B5490A">
            <w:pPr>
              <w:spacing w:after="0"/>
              <w:rPr>
                <w:lang w:val="es-ES"/>
              </w:rPr>
            </w:pPr>
            <w:r w:rsidRPr="00AC4363">
              <w:rPr>
                <w:lang w:val="es-ES"/>
              </w:rPr>
              <w:t>Estimación preliminar de fiabilidad</w:t>
            </w:r>
          </w:p>
        </w:tc>
      </w:tr>
      <w:tr w:rsidR="007917E0" w:rsidRPr="00AC4363" w14:paraId="1ADEEE70" w14:textId="77777777" w:rsidTr="00AC4363">
        <w:tc>
          <w:tcPr>
            <w:tcW w:w="0" w:type="auto"/>
          </w:tcPr>
          <w:p w14:paraId="349D4C90" w14:textId="66C3E6EF" w:rsidR="00555AC2" w:rsidRPr="00AC4363" w:rsidRDefault="003D15B6" w:rsidP="00B5490A">
            <w:pPr>
              <w:spacing w:after="0"/>
              <w:rPr>
                <w:lang w:val="es-ES"/>
              </w:rPr>
            </w:pPr>
            <w:r w:rsidRPr="00AC4363">
              <w:rPr>
                <w:lang w:val="es-ES"/>
              </w:rPr>
              <w:t>Análisis factorial exploratorio (AFE)</w:t>
            </w:r>
          </w:p>
        </w:tc>
        <w:tc>
          <w:tcPr>
            <w:tcW w:w="0" w:type="auto"/>
          </w:tcPr>
          <w:p w14:paraId="118F0150" w14:textId="00B1E7F9" w:rsidR="00555AC2" w:rsidRPr="00AC4363" w:rsidRDefault="003D15B6" w:rsidP="00B5490A">
            <w:pPr>
              <w:spacing w:after="0"/>
              <w:rPr>
                <w:lang w:val="es-ES"/>
              </w:rPr>
            </w:pPr>
            <w:r w:rsidRPr="00AC4363">
              <w:rPr>
                <w:lang w:val="es-ES"/>
              </w:rPr>
              <w:t>Extracción de factores y validación de ítems</w:t>
            </w:r>
          </w:p>
        </w:tc>
        <w:tc>
          <w:tcPr>
            <w:tcW w:w="0" w:type="auto"/>
          </w:tcPr>
          <w:p w14:paraId="36321B1A" w14:textId="3C188E39" w:rsidR="00555AC2" w:rsidRPr="00AC4363" w:rsidRDefault="003D15B6" w:rsidP="00B5490A">
            <w:pPr>
              <w:spacing w:after="0"/>
              <w:rPr>
                <w:lang w:val="es-ES"/>
              </w:rPr>
            </w:pPr>
            <w:r w:rsidRPr="00AC4363">
              <w:rPr>
                <w:lang w:val="es-ES"/>
              </w:rPr>
              <w:t xml:space="preserve">SPSS, rotación </w:t>
            </w:r>
            <w:proofErr w:type="spellStart"/>
            <w:r w:rsidRPr="00AC4363">
              <w:rPr>
                <w:lang w:val="es-ES"/>
              </w:rPr>
              <w:t>Varimax</w:t>
            </w:r>
            <w:proofErr w:type="spellEnd"/>
          </w:p>
        </w:tc>
        <w:tc>
          <w:tcPr>
            <w:tcW w:w="0" w:type="auto"/>
          </w:tcPr>
          <w:p w14:paraId="3B468166" w14:textId="2AF46E2E" w:rsidR="00555AC2" w:rsidRPr="00AC4363" w:rsidRDefault="003D15B6" w:rsidP="00B5490A">
            <w:pPr>
              <w:spacing w:after="0"/>
              <w:rPr>
                <w:lang w:val="es-ES"/>
              </w:rPr>
            </w:pPr>
            <w:r w:rsidRPr="00AC4363">
              <w:rPr>
                <w:lang w:val="es-ES"/>
              </w:rPr>
              <w:t>Identificación de estructura factorial</w:t>
            </w:r>
          </w:p>
        </w:tc>
      </w:tr>
      <w:tr w:rsidR="007917E0" w:rsidRPr="00AC4363" w14:paraId="2F4E22CF" w14:textId="77777777" w:rsidTr="00AC4363">
        <w:tc>
          <w:tcPr>
            <w:tcW w:w="0" w:type="auto"/>
          </w:tcPr>
          <w:p w14:paraId="756E03FE" w14:textId="3850F69D" w:rsidR="00555AC2" w:rsidRPr="00AC4363" w:rsidRDefault="003D15B6" w:rsidP="00B5490A">
            <w:pPr>
              <w:spacing w:after="0"/>
              <w:rPr>
                <w:lang w:val="es-ES"/>
              </w:rPr>
            </w:pPr>
            <w:r w:rsidRPr="00AC4363">
              <w:rPr>
                <w:lang w:val="es-ES"/>
              </w:rPr>
              <w:t>Análisis factorial confirmatorio (AFC)</w:t>
            </w:r>
          </w:p>
        </w:tc>
        <w:tc>
          <w:tcPr>
            <w:tcW w:w="0" w:type="auto"/>
          </w:tcPr>
          <w:p w14:paraId="189C2827" w14:textId="48659800" w:rsidR="00555AC2" w:rsidRPr="00AC4363" w:rsidRDefault="003D15B6" w:rsidP="00B5490A">
            <w:pPr>
              <w:spacing w:after="0"/>
              <w:rPr>
                <w:lang w:val="es-ES"/>
              </w:rPr>
            </w:pPr>
            <w:r w:rsidRPr="00AC4363">
              <w:rPr>
                <w:lang w:val="es-ES"/>
              </w:rPr>
              <w:t xml:space="preserve">Confirmación del modelo teórico </w:t>
            </w:r>
          </w:p>
        </w:tc>
        <w:tc>
          <w:tcPr>
            <w:tcW w:w="0" w:type="auto"/>
          </w:tcPr>
          <w:p w14:paraId="39BD23D4" w14:textId="6B26BE76" w:rsidR="00555AC2" w:rsidRPr="00AC4363" w:rsidRDefault="003D15B6" w:rsidP="00B5490A">
            <w:pPr>
              <w:spacing w:after="0"/>
              <w:rPr>
                <w:lang w:val="es-ES"/>
              </w:rPr>
            </w:pPr>
            <w:r w:rsidRPr="00AC4363">
              <w:rPr>
                <w:lang w:val="es-ES"/>
              </w:rPr>
              <w:t>AMOS, de SPSS</w:t>
            </w:r>
          </w:p>
        </w:tc>
        <w:tc>
          <w:tcPr>
            <w:tcW w:w="0" w:type="auto"/>
          </w:tcPr>
          <w:p w14:paraId="281456AE" w14:textId="201D9BF3" w:rsidR="00555AC2" w:rsidRPr="00AC4363" w:rsidRDefault="003D15B6" w:rsidP="00B5490A">
            <w:pPr>
              <w:spacing w:after="0"/>
              <w:rPr>
                <w:lang w:val="es-ES"/>
              </w:rPr>
            </w:pPr>
            <w:r w:rsidRPr="00AC4363">
              <w:rPr>
                <w:lang w:val="es-ES"/>
              </w:rPr>
              <w:t>Validación estructural del modelo teórico</w:t>
            </w:r>
          </w:p>
        </w:tc>
      </w:tr>
      <w:tr w:rsidR="007917E0" w:rsidRPr="00AC4363" w14:paraId="57074F92" w14:textId="77777777" w:rsidTr="00AC4363">
        <w:tc>
          <w:tcPr>
            <w:tcW w:w="0" w:type="auto"/>
          </w:tcPr>
          <w:p w14:paraId="6686151D" w14:textId="5C997290" w:rsidR="00555AC2" w:rsidRPr="00AC4363" w:rsidRDefault="003D15B6" w:rsidP="00B5490A">
            <w:pPr>
              <w:spacing w:after="0"/>
              <w:rPr>
                <w:lang w:val="es-ES"/>
              </w:rPr>
            </w:pPr>
            <w:r w:rsidRPr="00AC4363">
              <w:rPr>
                <w:lang w:val="es-ES"/>
              </w:rPr>
              <w:t>Ajuste final del instrumento de evaluación</w:t>
            </w:r>
          </w:p>
        </w:tc>
        <w:tc>
          <w:tcPr>
            <w:tcW w:w="0" w:type="auto"/>
          </w:tcPr>
          <w:p w14:paraId="40E4E642" w14:textId="2A95AB96" w:rsidR="00555AC2" w:rsidRPr="00AC4363" w:rsidRDefault="003D15B6" w:rsidP="00B5490A">
            <w:pPr>
              <w:spacing w:after="0"/>
              <w:rPr>
                <w:lang w:val="es-ES"/>
              </w:rPr>
            </w:pPr>
            <w:r w:rsidRPr="00AC4363">
              <w:rPr>
                <w:lang w:val="es-ES"/>
              </w:rPr>
              <w:t>Obtención de la propuesta del instrumento validado</w:t>
            </w:r>
          </w:p>
        </w:tc>
        <w:tc>
          <w:tcPr>
            <w:tcW w:w="0" w:type="auto"/>
          </w:tcPr>
          <w:p w14:paraId="2DBBD2A9" w14:textId="77777777" w:rsidR="00555AC2" w:rsidRPr="00AC4363" w:rsidRDefault="003D15B6" w:rsidP="00B5490A">
            <w:pPr>
              <w:spacing w:after="0"/>
              <w:rPr>
                <w:lang w:val="es-ES"/>
              </w:rPr>
            </w:pPr>
            <w:r w:rsidRPr="00AC4363">
              <w:rPr>
                <w:lang w:val="es-ES"/>
              </w:rPr>
              <w:t xml:space="preserve">Análisis de </w:t>
            </w:r>
            <w:r w:rsidR="00B5490A" w:rsidRPr="00AC4363">
              <w:rPr>
                <w:lang w:val="es-ES"/>
              </w:rPr>
              <w:t>r</w:t>
            </w:r>
            <w:r w:rsidRPr="00AC4363">
              <w:rPr>
                <w:lang w:val="es-ES"/>
              </w:rPr>
              <w:t>esultados</w:t>
            </w:r>
          </w:p>
          <w:p w14:paraId="28623AF5" w14:textId="2E0154E5" w:rsidR="00261688" w:rsidRPr="00AC4363" w:rsidRDefault="00261688" w:rsidP="00B5490A">
            <w:pPr>
              <w:spacing w:after="0"/>
              <w:rPr>
                <w:lang w:val="es-ES"/>
              </w:rPr>
            </w:pPr>
            <w:r w:rsidRPr="00AC4363">
              <w:rPr>
                <w:lang w:val="es-ES"/>
              </w:rPr>
              <w:t xml:space="preserve">Alfa de Cronbach y validez de constructo (índices </w:t>
            </w:r>
            <w:r w:rsidRPr="00AC4363">
              <w:t>KMO, CFI, TLI, RMSEA)</w:t>
            </w:r>
          </w:p>
        </w:tc>
        <w:tc>
          <w:tcPr>
            <w:tcW w:w="0" w:type="auto"/>
          </w:tcPr>
          <w:p w14:paraId="5B7C9FB2" w14:textId="3E84E73A" w:rsidR="00555AC2" w:rsidRPr="00AC4363" w:rsidRDefault="003D15B6" w:rsidP="00B5490A">
            <w:pPr>
              <w:spacing w:after="0"/>
              <w:rPr>
                <w:lang w:val="es-ES"/>
              </w:rPr>
            </w:pPr>
            <w:r w:rsidRPr="00AC4363">
              <w:rPr>
                <w:lang w:val="es-ES"/>
              </w:rPr>
              <w:t>Descripción de evidencia de la validez</w:t>
            </w:r>
            <w:r w:rsidR="000C61E5" w:rsidRPr="00AC4363">
              <w:rPr>
                <w:lang w:val="es-ES"/>
              </w:rPr>
              <w:t xml:space="preserve"> de contenido</w:t>
            </w:r>
            <w:r w:rsidR="007917E0" w:rsidRPr="00AC4363">
              <w:rPr>
                <w:lang w:val="es-ES"/>
              </w:rPr>
              <w:t xml:space="preserve">, </w:t>
            </w:r>
            <w:r w:rsidR="000C61E5" w:rsidRPr="00AC4363">
              <w:rPr>
                <w:lang w:val="es-ES"/>
              </w:rPr>
              <w:t>de constructo</w:t>
            </w:r>
            <w:r w:rsidR="007917E0" w:rsidRPr="00AC4363">
              <w:rPr>
                <w:lang w:val="es-ES"/>
              </w:rPr>
              <w:t xml:space="preserve"> y de consistencia interna</w:t>
            </w:r>
          </w:p>
        </w:tc>
      </w:tr>
    </w:tbl>
    <w:p w14:paraId="0F835917" w14:textId="6C120934" w:rsidR="00914827" w:rsidRPr="00AC4363" w:rsidRDefault="00914827" w:rsidP="00AC4363">
      <w:pPr>
        <w:spacing w:after="0" w:line="360" w:lineRule="auto"/>
        <w:contextualSpacing/>
        <w:jc w:val="center"/>
        <w:rPr>
          <w:lang w:val="es-ES"/>
        </w:rPr>
      </w:pPr>
      <w:r w:rsidRPr="00AC4363">
        <w:rPr>
          <w:i/>
          <w:iCs/>
          <w:lang w:val="es-ES"/>
        </w:rPr>
        <w:t xml:space="preserve">Nota: </w:t>
      </w:r>
      <w:r w:rsidR="007B7CC2" w:rsidRPr="00AC4363">
        <w:rPr>
          <w:lang w:val="es-ES"/>
        </w:rPr>
        <w:t>Elaboración</w:t>
      </w:r>
      <w:r w:rsidRPr="00AC4363">
        <w:rPr>
          <w:lang w:val="es-ES"/>
        </w:rPr>
        <w:t xml:space="preserve"> propia</w:t>
      </w:r>
    </w:p>
    <w:p w14:paraId="30618BB1" w14:textId="506C6465" w:rsidR="00EC5471" w:rsidRDefault="00EC5471" w:rsidP="0037717A">
      <w:pPr>
        <w:spacing w:after="0" w:line="360" w:lineRule="auto"/>
        <w:ind w:firstLine="709"/>
        <w:contextualSpacing/>
        <w:jc w:val="both"/>
        <w:rPr>
          <w:lang w:val="es-ES"/>
        </w:rPr>
      </w:pPr>
      <w:r w:rsidRPr="00EC5471">
        <w:t xml:space="preserve">La </w:t>
      </w:r>
      <w:r w:rsidR="00743B7D">
        <w:t xml:space="preserve">redacción de las variables latentes y sus correspondientes ítems como variables observables resultaron del análisis de contenido de los requerimientos en la formación de ingenieros, descritos por los organismos nacionales e internacionales de acreditación. Su </w:t>
      </w:r>
      <w:r w:rsidRPr="00AC4363">
        <w:t>evaluación se realizó mediante la plataforma Moodle, utilizando la herramienta Retroalimentación como medio de aplicación digital. Para este estudio, se optó por una escala tipo Likert de siete niveles</w:t>
      </w:r>
      <w:r w:rsidRPr="00EC5471">
        <w:t>, en lugar de la escala tradicional de cinco puntos, con el propósito de reducir la variabilidad aleatoria en las respuestas</w:t>
      </w:r>
      <w:r w:rsidR="00B4389B">
        <w:t>,</w:t>
      </w:r>
      <w:r w:rsidRPr="00EC5471">
        <w:t xml:space="preserve"> </w:t>
      </w:r>
      <w:r w:rsidR="000C61E5">
        <w:t>Kline (2016)</w:t>
      </w:r>
      <w:r w:rsidR="00B4389B">
        <w:t>. Aumentar el nivel de la escala tiene la finalidad de c</w:t>
      </w:r>
      <w:r w:rsidRPr="00EC5471">
        <w:t xml:space="preserve">aptar con mayor precisión las diferencias en el nivel de logro de los estudiantes. Esta </w:t>
      </w:r>
      <w:r>
        <w:t>etapa</w:t>
      </w:r>
      <w:r w:rsidRPr="00EC5471">
        <w:t xml:space="preserve"> metodológica respondió a la necesidad de aumentar la sensibilidad del instrumento y mejorar la distribución de respuestas, </w:t>
      </w:r>
      <w:r w:rsidR="000C61E5">
        <w:t>con la intención de obtener un</w:t>
      </w:r>
      <w:r w:rsidRPr="00EC5471">
        <w:t xml:space="preserve"> </w:t>
      </w:r>
      <w:r w:rsidRPr="00EC5471">
        <w:lastRenderedPageBreak/>
        <w:t>incremento en el porcentaje de varianza explicada durante el análisis factorial exploratorio y confirmatorio, optimizando así la validez de constructo del modelo teórico.</w:t>
      </w:r>
    </w:p>
    <w:p w14:paraId="46EEB378" w14:textId="62EEC4AC" w:rsidR="00555AC2" w:rsidRDefault="00914827" w:rsidP="0037717A">
      <w:pPr>
        <w:spacing w:after="0" w:line="360" w:lineRule="auto"/>
        <w:ind w:firstLine="709"/>
        <w:contextualSpacing/>
        <w:jc w:val="both"/>
        <w:rPr>
          <w:lang w:val="es-ES"/>
        </w:rPr>
      </w:pPr>
      <w:r w:rsidRPr="00412B02">
        <w:rPr>
          <w:lang w:val="es-ES"/>
        </w:rPr>
        <w:t xml:space="preserve">Para la validación del modelo teórico se </w:t>
      </w:r>
      <w:r>
        <w:rPr>
          <w:lang w:val="es-ES"/>
        </w:rPr>
        <w:t>realizaron</w:t>
      </w:r>
      <w:r w:rsidRPr="00412B02">
        <w:rPr>
          <w:lang w:val="es-ES"/>
        </w:rPr>
        <w:t xml:space="preserve"> análisis factoriales conforme a los criterios de Kline (2016) y Byrne (2010)</w:t>
      </w:r>
      <w:r>
        <w:rPr>
          <w:lang w:val="es-ES"/>
        </w:rPr>
        <w:t>, con el</w:t>
      </w:r>
      <w:r w:rsidRPr="00412B02">
        <w:rPr>
          <w:lang w:val="es-ES"/>
        </w:rPr>
        <w:t xml:space="preserve"> objetivo</w:t>
      </w:r>
      <w:r>
        <w:rPr>
          <w:lang w:val="es-ES"/>
        </w:rPr>
        <w:t xml:space="preserve"> de</w:t>
      </w:r>
      <w:r w:rsidRPr="00412B02">
        <w:rPr>
          <w:lang w:val="es-ES"/>
        </w:rPr>
        <w:t xml:space="preserve"> identificar la estructura subyacente de las variables latentes, reducir la dimensionalidad del instrumento y evaluar la agrupación de los ítems mediante rotación </w:t>
      </w:r>
      <w:proofErr w:type="spellStart"/>
      <w:r w:rsidRPr="00412B02">
        <w:rPr>
          <w:lang w:val="es-ES"/>
        </w:rPr>
        <w:t>Varimax</w:t>
      </w:r>
      <w:proofErr w:type="spellEnd"/>
      <w:r w:rsidRPr="00412B02">
        <w:rPr>
          <w:lang w:val="es-ES"/>
        </w:rPr>
        <w:t>. Se aplicaron criterios de adecuación muestral mediante el índice de Kaiser-Meyer-</w:t>
      </w:r>
      <w:proofErr w:type="spellStart"/>
      <w:r w:rsidRPr="00412B02">
        <w:rPr>
          <w:lang w:val="es-ES"/>
        </w:rPr>
        <w:t>Olkin</w:t>
      </w:r>
      <w:proofErr w:type="spellEnd"/>
      <w:r w:rsidRPr="00412B02">
        <w:rPr>
          <w:lang w:val="es-ES"/>
        </w:rPr>
        <w:t xml:space="preserve"> (KMO) y la prueba de esfericidad de Bartlet</w:t>
      </w:r>
      <w:r>
        <w:rPr>
          <w:lang w:val="es-ES"/>
        </w:rPr>
        <w:t xml:space="preserve">t. </w:t>
      </w:r>
      <w:r w:rsidRPr="00412B02">
        <w:rPr>
          <w:lang w:val="es-ES"/>
        </w:rPr>
        <w:t>El AFC se realizó con el software AMOS 29, empleando indicadores tales como el índice de ajuste comparativo (CFI), el índice de Tucker-Lewis (TLI) y el error cuadrático medio de aproximación (RMSEA), los lineamientos psicométricos propuestos por Byrne (2010)</w:t>
      </w:r>
      <w:r>
        <w:rPr>
          <w:lang w:val="es-ES"/>
        </w:rPr>
        <w:t xml:space="preserve">. </w:t>
      </w:r>
      <w:r w:rsidR="00B5490A">
        <w:rPr>
          <w:lang w:val="es-ES"/>
        </w:rPr>
        <w:t>Para realizar</w:t>
      </w:r>
      <w:r w:rsidR="007E06A9">
        <w:rPr>
          <w:lang w:val="es-ES"/>
        </w:rPr>
        <w:t xml:space="preserve"> el AFE y EFC </w:t>
      </w:r>
      <w:r w:rsidR="00B5490A" w:rsidRPr="00B5490A">
        <w:rPr>
          <w:lang w:val="es-ES"/>
        </w:rPr>
        <w:t>la revisión d</w:t>
      </w:r>
      <w:r w:rsidR="00B5490A">
        <w:rPr>
          <w:lang w:val="es-ES"/>
        </w:rPr>
        <w:t xml:space="preserve">ocumental permitió clasificar a las variables latentes y observadas (los ítems) en las siguientes dimensiones </w:t>
      </w:r>
      <w:r>
        <w:rPr>
          <w:lang w:val="es-ES"/>
        </w:rPr>
        <w:t xml:space="preserve">que se muestran en la Tabla 2, lo que </w:t>
      </w:r>
      <w:r w:rsidR="007E06A9">
        <w:rPr>
          <w:lang w:val="es-ES"/>
        </w:rPr>
        <w:t xml:space="preserve">sirvió para </w:t>
      </w:r>
      <w:r>
        <w:rPr>
          <w:lang w:val="es-ES"/>
        </w:rPr>
        <w:t>la estimación preliminar del modelo teórico.</w:t>
      </w:r>
      <w:r w:rsidRPr="00914827">
        <w:rPr>
          <w:lang w:val="es-ES"/>
        </w:rPr>
        <w:t xml:space="preserve"> </w:t>
      </w:r>
    </w:p>
    <w:p w14:paraId="520B803B" w14:textId="77777777" w:rsidR="00AC4363" w:rsidRDefault="00AC4363" w:rsidP="0037717A">
      <w:pPr>
        <w:spacing w:after="0" w:line="360" w:lineRule="auto"/>
        <w:ind w:firstLine="709"/>
        <w:contextualSpacing/>
        <w:jc w:val="both"/>
        <w:rPr>
          <w:lang w:val="es-ES"/>
        </w:rPr>
      </w:pPr>
    </w:p>
    <w:p w14:paraId="5824C91B" w14:textId="451FFE93" w:rsidR="00192169" w:rsidRPr="00412B02" w:rsidRDefault="00192169" w:rsidP="00AC4363">
      <w:pPr>
        <w:spacing w:after="0" w:line="360" w:lineRule="auto"/>
        <w:jc w:val="center"/>
        <w:rPr>
          <w:i/>
          <w:iCs/>
          <w:lang w:val="es-ES"/>
        </w:rPr>
      </w:pPr>
      <w:r w:rsidRPr="00412B02">
        <w:rPr>
          <w:b/>
          <w:bCs/>
          <w:lang w:val="es-ES"/>
        </w:rPr>
        <w:t xml:space="preserve">Tabla </w:t>
      </w:r>
      <w:r w:rsidR="00B5490A">
        <w:rPr>
          <w:b/>
          <w:bCs/>
          <w:lang w:val="es-ES"/>
        </w:rPr>
        <w:t>2</w:t>
      </w:r>
      <w:r w:rsidR="00AC4363">
        <w:rPr>
          <w:b/>
          <w:bCs/>
          <w:lang w:val="es-ES"/>
        </w:rPr>
        <w:t xml:space="preserve">. </w:t>
      </w:r>
      <w:r w:rsidR="00261688" w:rsidRPr="00AC4363">
        <w:rPr>
          <w:lang w:val="es-ES"/>
        </w:rPr>
        <w:t>D</w:t>
      </w:r>
      <w:r w:rsidRPr="00AC4363">
        <w:rPr>
          <w:lang w:val="es-ES"/>
        </w:rPr>
        <w:t>imensiones</w:t>
      </w:r>
      <w:r w:rsidR="00F737AB" w:rsidRPr="00AC4363">
        <w:rPr>
          <w:lang w:val="es-ES"/>
        </w:rPr>
        <w:t xml:space="preserve"> y</w:t>
      </w:r>
      <w:r w:rsidRPr="00AC4363">
        <w:rPr>
          <w:lang w:val="es-ES"/>
        </w:rPr>
        <w:t xml:space="preserve"> variables latentes</w:t>
      </w:r>
    </w:p>
    <w:tbl>
      <w:tblPr>
        <w:tblStyle w:val="Tablaconcuadrcula"/>
        <w:tblW w:w="0" w:type="auto"/>
        <w:tblCellMar>
          <w:top w:w="85" w:type="dxa"/>
          <w:left w:w="85" w:type="dxa"/>
          <w:bottom w:w="85" w:type="dxa"/>
          <w:right w:w="85" w:type="dxa"/>
        </w:tblCellMar>
        <w:tblLook w:val="04A0" w:firstRow="1" w:lastRow="0" w:firstColumn="1" w:lastColumn="0" w:noHBand="0" w:noVBand="1"/>
      </w:tblPr>
      <w:tblGrid>
        <w:gridCol w:w="2513"/>
        <w:gridCol w:w="3148"/>
        <w:gridCol w:w="3167"/>
      </w:tblGrid>
      <w:tr w:rsidR="00192169" w:rsidRPr="00AC4363" w14:paraId="485F5F07" w14:textId="77777777" w:rsidTr="00AC4363">
        <w:tc>
          <w:tcPr>
            <w:tcW w:w="0" w:type="auto"/>
            <w:gridSpan w:val="3"/>
          </w:tcPr>
          <w:p w14:paraId="1643F6CA" w14:textId="7F826F8C" w:rsidR="00192169" w:rsidRPr="00AC4363" w:rsidRDefault="00192169" w:rsidP="00BF0C88">
            <w:pPr>
              <w:spacing w:after="0"/>
              <w:jc w:val="center"/>
              <w:rPr>
                <w:lang w:val="es-ES"/>
              </w:rPr>
            </w:pPr>
            <w:r w:rsidRPr="00AC4363">
              <w:rPr>
                <w:lang w:val="es-ES"/>
              </w:rPr>
              <w:t>Dimensiones y varia</w:t>
            </w:r>
            <w:r w:rsidR="00412B02" w:rsidRPr="00AC4363">
              <w:rPr>
                <w:lang w:val="es-ES"/>
              </w:rPr>
              <w:t>b</w:t>
            </w:r>
            <w:r w:rsidRPr="00AC4363">
              <w:rPr>
                <w:lang w:val="es-ES"/>
              </w:rPr>
              <w:t>les latentes de clasificación del modelo teórico</w:t>
            </w:r>
          </w:p>
        </w:tc>
      </w:tr>
      <w:tr w:rsidR="00192169" w:rsidRPr="00AC4363" w14:paraId="4E186F87" w14:textId="77777777" w:rsidTr="00AC4363">
        <w:tc>
          <w:tcPr>
            <w:tcW w:w="0" w:type="auto"/>
          </w:tcPr>
          <w:p w14:paraId="0DCD5980" w14:textId="0F420446" w:rsidR="00192169" w:rsidRPr="00AC4363" w:rsidRDefault="00192169" w:rsidP="00BF0C88">
            <w:pPr>
              <w:spacing w:after="0"/>
              <w:rPr>
                <w:lang w:val="es-ES"/>
              </w:rPr>
            </w:pPr>
            <w:r w:rsidRPr="00AC4363">
              <w:rPr>
                <w:lang w:val="es-ES"/>
              </w:rPr>
              <w:t>Procesa</w:t>
            </w:r>
            <w:r w:rsidR="007917E0" w:rsidRPr="00AC4363">
              <w:rPr>
                <w:lang w:val="es-ES"/>
              </w:rPr>
              <w:t>miento</w:t>
            </w:r>
            <w:r w:rsidRPr="00AC4363">
              <w:rPr>
                <w:lang w:val="es-ES"/>
              </w:rPr>
              <w:t xml:space="preserve"> la información</w:t>
            </w:r>
          </w:p>
        </w:tc>
        <w:tc>
          <w:tcPr>
            <w:tcW w:w="3148" w:type="dxa"/>
          </w:tcPr>
          <w:p w14:paraId="19EF41B1" w14:textId="77777777" w:rsidR="00192169" w:rsidRPr="00AC4363" w:rsidRDefault="00192169" w:rsidP="00BF0C88">
            <w:pPr>
              <w:spacing w:after="0"/>
              <w:rPr>
                <w:lang w:val="es-ES"/>
              </w:rPr>
            </w:pPr>
            <w:r w:rsidRPr="00AC4363">
              <w:rPr>
                <w:lang w:val="es-ES"/>
              </w:rPr>
              <w:t>Resolución de problemas complejos</w:t>
            </w:r>
          </w:p>
        </w:tc>
        <w:tc>
          <w:tcPr>
            <w:tcW w:w="3167" w:type="dxa"/>
          </w:tcPr>
          <w:p w14:paraId="0AB7F401" w14:textId="77777777" w:rsidR="00192169" w:rsidRPr="00AC4363" w:rsidRDefault="00192169" w:rsidP="00BF0C88">
            <w:pPr>
              <w:spacing w:after="0"/>
              <w:rPr>
                <w:lang w:val="es-ES"/>
              </w:rPr>
            </w:pPr>
            <w:r w:rsidRPr="00AC4363">
              <w:rPr>
                <w:lang w:val="es-ES"/>
              </w:rPr>
              <w:t>Gestionar proyectos y procesos con visión de futuro</w:t>
            </w:r>
          </w:p>
        </w:tc>
      </w:tr>
      <w:tr w:rsidR="00192169" w:rsidRPr="00AC4363" w14:paraId="7637BC3E" w14:textId="77777777" w:rsidTr="00AC4363">
        <w:trPr>
          <w:trHeight w:val="1412"/>
        </w:trPr>
        <w:tc>
          <w:tcPr>
            <w:tcW w:w="0" w:type="auto"/>
          </w:tcPr>
          <w:p w14:paraId="1A7B6B7B" w14:textId="77777777" w:rsidR="00192169" w:rsidRPr="00AC4363" w:rsidRDefault="00192169" w:rsidP="00BF0C88">
            <w:pPr>
              <w:spacing w:after="0"/>
              <w:rPr>
                <w:lang w:val="es-ES"/>
              </w:rPr>
            </w:pPr>
            <w:r w:rsidRPr="00AC4363">
              <w:rPr>
                <w:lang w:val="es-ES"/>
              </w:rPr>
              <w:t>Pensamiento y literacidad crítica</w:t>
            </w:r>
          </w:p>
          <w:p w14:paraId="0BD71492" w14:textId="77777777" w:rsidR="00192169" w:rsidRPr="00AC4363" w:rsidRDefault="00192169" w:rsidP="00BF0C88">
            <w:pPr>
              <w:spacing w:after="0"/>
              <w:rPr>
                <w:lang w:val="es-ES"/>
              </w:rPr>
            </w:pPr>
            <w:r w:rsidRPr="00AC4363">
              <w:rPr>
                <w:lang w:val="es-ES"/>
              </w:rPr>
              <w:t>Pensamiento complejo</w:t>
            </w:r>
          </w:p>
          <w:p w14:paraId="553CD212" w14:textId="77777777" w:rsidR="00192169" w:rsidRPr="00AC4363" w:rsidRDefault="00192169" w:rsidP="00BF0C88">
            <w:pPr>
              <w:spacing w:after="0"/>
              <w:rPr>
                <w:lang w:val="es-ES"/>
              </w:rPr>
            </w:pPr>
            <w:r w:rsidRPr="00AC4363">
              <w:rPr>
                <w:lang w:val="es-ES"/>
              </w:rPr>
              <w:t>Pensamiento sistémico</w:t>
            </w:r>
          </w:p>
        </w:tc>
        <w:tc>
          <w:tcPr>
            <w:tcW w:w="3148" w:type="dxa"/>
          </w:tcPr>
          <w:p w14:paraId="1953DCC0" w14:textId="6E3C46F3" w:rsidR="00192169" w:rsidRPr="00AC4363" w:rsidRDefault="00192169" w:rsidP="00BF0C88">
            <w:pPr>
              <w:spacing w:after="0"/>
              <w:rPr>
                <w:lang w:val="es-ES"/>
              </w:rPr>
            </w:pPr>
            <w:r w:rsidRPr="00AC4363">
              <w:rPr>
                <w:lang w:val="es-ES"/>
              </w:rPr>
              <w:t xml:space="preserve">Capacidad </w:t>
            </w:r>
            <w:r w:rsidR="00261688" w:rsidRPr="00AC4363">
              <w:rPr>
                <w:lang w:val="es-ES"/>
              </w:rPr>
              <w:t>para</w:t>
            </w:r>
            <w:r w:rsidRPr="00AC4363">
              <w:rPr>
                <w:lang w:val="es-ES"/>
              </w:rPr>
              <w:t xml:space="preserve"> investigar</w:t>
            </w:r>
          </w:p>
          <w:p w14:paraId="41486DEB" w14:textId="77777777" w:rsidR="00192169" w:rsidRPr="00AC4363" w:rsidRDefault="00192169" w:rsidP="00BF0C88">
            <w:pPr>
              <w:spacing w:after="0"/>
              <w:rPr>
                <w:lang w:val="es-ES"/>
              </w:rPr>
            </w:pPr>
            <w:r w:rsidRPr="00AC4363">
              <w:rPr>
                <w:lang w:val="es-ES"/>
              </w:rPr>
              <w:t>Comunicación efectiva y literacidad digital</w:t>
            </w:r>
          </w:p>
          <w:p w14:paraId="12ADA4BE" w14:textId="77777777" w:rsidR="00192169" w:rsidRPr="00AC4363" w:rsidRDefault="00192169" w:rsidP="00BF0C88">
            <w:pPr>
              <w:spacing w:after="0"/>
              <w:rPr>
                <w:lang w:val="es-ES"/>
              </w:rPr>
            </w:pPr>
            <w:r w:rsidRPr="00AC4363">
              <w:rPr>
                <w:lang w:val="es-ES"/>
              </w:rPr>
              <w:t>Capacidad para resolver problemas</w:t>
            </w:r>
          </w:p>
          <w:p w14:paraId="2A95D4BB" w14:textId="77777777" w:rsidR="00192169" w:rsidRPr="00AC4363" w:rsidRDefault="00192169" w:rsidP="00BF0C88">
            <w:pPr>
              <w:spacing w:after="0"/>
              <w:rPr>
                <w:lang w:val="es-ES"/>
              </w:rPr>
            </w:pPr>
            <w:r w:rsidRPr="00AC4363">
              <w:rPr>
                <w:lang w:val="es-ES"/>
              </w:rPr>
              <w:t xml:space="preserve">Aprendizaje autónomo y autorregulado </w:t>
            </w:r>
          </w:p>
        </w:tc>
        <w:tc>
          <w:tcPr>
            <w:tcW w:w="3167" w:type="dxa"/>
          </w:tcPr>
          <w:p w14:paraId="510EDD41" w14:textId="77777777" w:rsidR="00192169" w:rsidRPr="00AC4363" w:rsidRDefault="00192169" w:rsidP="00BF0C88">
            <w:pPr>
              <w:spacing w:after="0"/>
              <w:rPr>
                <w:lang w:val="es-ES"/>
              </w:rPr>
            </w:pPr>
            <w:r w:rsidRPr="00AC4363">
              <w:rPr>
                <w:lang w:val="es-ES"/>
              </w:rPr>
              <w:t xml:space="preserve">Liderazgo y trabajo en equipo </w:t>
            </w:r>
          </w:p>
          <w:p w14:paraId="424ADFDA" w14:textId="77777777" w:rsidR="00192169" w:rsidRPr="00AC4363" w:rsidRDefault="00192169" w:rsidP="00BF0C88">
            <w:pPr>
              <w:spacing w:after="0"/>
              <w:rPr>
                <w:lang w:val="es-ES"/>
              </w:rPr>
            </w:pPr>
            <w:r w:rsidRPr="00AC4363">
              <w:rPr>
                <w:lang w:val="es-ES"/>
              </w:rPr>
              <w:t>Responsabilidad social y ambiental</w:t>
            </w:r>
          </w:p>
          <w:p w14:paraId="4D7A94D9" w14:textId="7752EA1B" w:rsidR="00192169" w:rsidRPr="00AC4363" w:rsidRDefault="00192169" w:rsidP="00BF0C88">
            <w:pPr>
              <w:spacing w:after="0"/>
              <w:rPr>
                <w:lang w:val="es-ES"/>
              </w:rPr>
            </w:pPr>
            <w:r w:rsidRPr="00AC4363">
              <w:rPr>
                <w:lang w:val="es-ES"/>
              </w:rPr>
              <w:t>Gestión e innovación de proce</w:t>
            </w:r>
            <w:r w:rsidR="00412B02" w:rsidRPr="00AC4363">
              <w:rPr>
                <w:lang w:val="es-ES"/>
              </w:rPr>
              <w:t>s</w:t>
            </w:r>
            <w:r w:rsidRPr="00AC4363">
              <w:rPr>
                <w:lang w:val="es-ES"/>
              </w:rPr>
              <w:t>os y proyectos</w:t>
            </w:r>
          </w:p>
          <w:p w14:paraId="72AD1CD3" w14:textId="347C12F7" w:rsidR="00192169" w:rsidRPr="00AC4363" w:rsidRDefault="00192169" w:rsidP="00BF0C88">
            <w:pPr>
              <w:spacing w:after="0"/>
              <w:rPr>
                <w:lang w:val="es-ES"/>
              </w:rPr>
            </w:pPr>
            <w:r w:rsidRPr="00AC4363">
              <w:rPr>
                <w:lang w:val="es-ES"/>
              </w:rPr>
              <w:t xml:space="preserve">Enseñanza de la comprensión y </w:t>
            </w:r>
            <w:r w:rsidR="00261688" w:rsidRPr="00AC4363">
              <w:rPr>
                <w:lang w:val="es-ES"/>
              </w:rPr>
              <w:t xml:space="preserve">de la </w:t>
            </w:r>
            <w:r w:rsidRPr="00AC4363">
              <w:rPr>
                <w:lang w:val="es-ES"/>
              </w:rPr>
              <w:t>condición humana</w:t>
            </w:r>
          </w:p>
        </w:tc>
      </w:tr>
    </w:tbl>
    <w:p w14:paraId="16BD6199" w14:textId="777633D4" w:rsidR="00BF0C88" w:rsidRPr="00AC4363" w:rsidRDefault="00BF0C88" w:rsidP="00AC4363">
      <w:pPr>
        <w:spacing w:after="0" w:line="360" w:lineRule="auto"/>
        <w:jc w:val="center"/>
        <w:rPr>
          <w:lang w:val="es-ES"/>
        </w:rPr>
      </w:pPr>
      <w:r w:rsidRPr="00AC4363">
        <w:rPr>
          <w:i/>
          <w:iCs/>
          <w:lang w:val="es-ES"/>
        </w:rPr>
        <w:t>Nota:</w:t>
      </w:r>
      <w:r w:rsidRPr="00AC4363">
        <w:rPr>
          <w:lang w:val="es-ES"/>
        </w:rPr>
        <w:t xml:space="preserve"> Elaboración propia</w:t>
      </w:r>
    </w:p>
    <w:p w14:paraId="6754B914" w14:textId="16F0572A" w:rsidR="004030EF" w:rsidRPr="00412B02" w:rsidRDefault="00192169" w:rsidP="0037717A">
      <w:pPr>
        <w:spacing w:after="0" w:line="360" w:lineRule="auto"/>
        <w:ind w:firstLine="708"/>
        <w:contextualSpacing/>
        <w:jc w:val="both"/>
        <w:rPr>
          <w:lang w:val="es-ES"/>
        </w:rPr>
      </w:pPr>
      <w:r w:rsidRPr="00412B02">
        <w:rPr>
          <w:lang w:val="es-ES"/>
        </w:rPr>
        <w:t>En síntesis, esta metodología permitió fundamentar empíricamente la construcción de un instrumento estandarizado, con base teórica en estudiantes de ingeniería desde un enfoque educativo por competencias profesionales</w:t>
      </w:r>
      <w:r w:rsidR="00747720">
        <w:rPr>
          <w:lang w:val="es-ES"/>
        </w:rPr>
        <w:t>.</w:t>
      </w:r>
    </w:p>
    <w:p w14:paraId="3DE0890F" w14:textId="77777777" w:rsidR="002351DE" w:rsidRDefault="002351DE" w:rsidP="004030EF">
      <w:pPr>
        <w:spacing w:after="0" w:line="360" w:lineRule="auto"/>
        <w:jc w:val="center"/>
        <w:rPr>
          <w:b/>
          <w:bCs/>
        </w:rPr>
      </w:pPr>
    </w:p>
    <w:p w14:paraId="7CAFABB2" w14:textId="77777777" w:rsidR="008E3143" w:rsidRDefault="008E3143" w:rsidP="004030EF">
      <w:pPr>
        <w:spacing w:after="0" w:line="360" w:lineRule="auto"/>
        <w:jc w:val="center"/>
        <w:rPr>
          <w:b/>
          <w:bCs/>
        </w:rPr>
      </w:pPr>
    </w:p>
    <w:p w14:paraId="0654CBF5" w14:textId="77777777" w:rsidR="008E3143" w:rsidRDefault="008E3143" w:rsidP="004030EF">
      <w:pPr>
        <w:spacing w:after="0" w:line="360" w:lineRule="auto"/>
        <w:jc w:val="center"/>
        <w:rPr>
          <w:b/>
          <w:bCs/>
        </w:rPr>
      </w:pPr>
    </w:p>
    <w:p w14:paraId="580AB352" w14:textId="77777777" w:rsidR="008E3143" w:rsidRDefault="008E3143" w:rsidP="004030EF">
      <w:pPr>
        <w:spacing w:after="0" w:line="360" w:lineRule="auto"/>
        <w:jc w:val="center"/>
        <w:rPr>
          <w:b/>
          <w:bCs/>
        </w:rPr>
      </w:pPr>
    </w:p>
    <w:p w14:paraId="45700CD8" w14:textId="77777777" w:rsidR="008E3143" w:rsidRDefault="008E3143" w:rsidP="004030EF">
      <w:pPr>
        <w:spacing w:after="0" w:line="360" w:lineRule="auto"/>
        <w:jc w:val="center"/>
        <w:rPr>
          <w:b/>
          <w:bCs/>
        </w:rPr>
      </w:pPr>
    </w:p>
    <w:p w14:paraId="64941662" w14:textId="77777777" w:rsidR="008E3143" w:rsidRDefault="008E3143" w:rsidP="004030EF">
      <w:pPr>
        <w:spacing w:after="0" w:line="360" w:lineRule="auto"/>
        <w:jc w:val="center"/>
        <w:rPr>
          <w:b/>
          <w:bCs/>
        </w:rPr>
      </w:pPr>
    </w:p>
    <w:p w14:paraId="74A1935C" w14:textId="6873CF31" w:rsidR="005C5BD7" w:rsidRPr="00D945F3" w:rsidRDefault="00C33A2D" w:rsidP="004030EF">
      <w:pPr>
        <w:spacing w:after="0" w:line="360" w:lineRule="auto"/>
        <w:jc w:val="center"/>
        <w:rPr>
          <w:b/>
          <w:bCs/>
          <w:sz w:val="32"/>
          <w:szCs w:val="32"/>
        </w:rPr>
      </w:pPr>
      <w:r w:rsidRPr="00D945F3">
        <w:rPr>
          <w:b/>
          <w:bCs/>
          <w:sz w:val="32"/>
          <w:szCs w:val="32"/>
        </w:rPr>
        <w:lastRenderedPageBreak/>
        <w:t>Resultados</w:t>
      </w:r>
    </w:p>
    <w:p w14:paraId="4B46B9F0" w14:textId="1AA48137" w:rsidR="00A71647" w:rsidRPr="00D945F3" w:rsidRDefault="00A71647" w:rsidP="00D945F3">
      <w:pPr>
        <w:spacing w:after="0" w:line="360" w:lineRule="auto"/>
        <w:jc w:val="center"/>
        <w:rPr>
          <w:b/>
          <w:bCs/>
          <w:sz w:val="28"/>
          <w:szCs w:val="28"/>
        </w:rPr>
      </w:pPr>
      <w:r w:rsidRPr="00D945F3">
        <w:rPr>
          <w:b/>
          <w:bCs/>
          <w:sz w:val="28"/>
          <w:szCs w:val="28"/>
        </w:rPr>
        <w:t xml:space="preserve">Objetivo 1: </w:t>
      </w:r>
      <w:r w:rsidR="00D36BE2" w:rsidRPr="00D945F3">
        <w:rPr>
          <w:b/>
          <w:bCs/>
          <w:sz w:val="28"/>
          <w:szCs w:val="28"/>
        </w:rPr>
        <w:t>c</w:t>
      </w:r>
      <w:r w:rsidRPr="00D945F3">
        <w:rPr>
          <w:b/>
          <w:bCs/>
          <w:sz w:val="28"/>
          <w:szCs w:val="28"/>
        </w:rPr>
        <w:t xml:space="preserve">onstrucción del </w:t>
      </w:r>
      <w:r w:rsidR="00D36BE2" w:rsidRPr="00D945F3">
        <w:rPr>
          <w:b/>
          <w:bCs/>
          <w:sz w:val="28"/>
          <w:szCs w:val="28"/>
        </w:rPr>
        <w:t>m</w:t>
      </w:r>
      <w:r w:rsidRPr="00D945F3">
        <w:rPr>
          <w:b/>
          <w:bCs/>
          <w:sz w:val="28"/>
          <w:szCs w:val="28"/>
        </w:rPr>
        <w:t xml:space="preserve">odelo </w:t>
      </w:r>
      <w:r w:rsidR="00D36BE2" w:rsidRPr="00D945F3">
        <w:rPr>
          <w:b/>
          <w:bCs/>
          <w:sz w:val="28"/>
          <w:szCs w:val="28"/>
        </w:rPr>
        <w:t>t</w:t>
      </w:r>
      <w:r w:rsidRPr="00D945F3">
        <w:rPr>
          <w:b/>
          <w:bCs/>
          <w:sz w:val="28"/>
          <w:szCs w:val="28"/>
        </w:rPr>
        <w:t xml:space="preserve">eórico del </w:t>
      </w:r>
      <w:r w:rsidR="00D36BE2" w:rsidRPr="00D945F3">
        <w:rPr>
          <w:b/>
          <w:bCs/>
          <w:sz w:val="28"/>
          <w:szCs w:val="28"/>
        </w:rPr>
        <w:t>i</w:t>
      </w:r>
      <w:r w:rsidRPr="00D945F3">
        <w:rPr>
          <w:b/>
          <w:bCs/>
          <w:sz w:val="28"/>
          <w:szCs w:val="28"/>
        </w:rPr>
        <w:t xml:space="preserve">nstrumento de </w:t>
      </w:r>
      <w:r w:rsidR="00D36BE2" w:rsidRPr="00D945F3">
        <w:rPr>
          <w:b/>
          <w:bCs/>
          <w:sz w:val="28"/>
          <w:szCs w:val="28"/>
        </w:rPr>
        <w:t>e</w:t>
      </w:r>
      <w:r w:rsidRPr="00D945F3">
        <w:rPr>
          <w:b/>
          <w:bCs/>
          <w:sz w:val="28"/>
          <w:szCs w:val="28"/>
        </w:rPr>
        <w:t>valuación</w:t>
      </w:r>
    </w:p>
    <w:p w14:paraId="5C4C0603" w14:textId="1BC787EB" w:rsidR="0070738F" w:rsidRDefault="00F363D5" w:rsidP="0037717A">
      <w:pPr>
        <w:spacing w:after="0" w:line="360" w:lineRule="auto"/>
        <w:ind w:firstLine="708"/>
        <w:jc w:val="both"/>
      </w:pPr>
      <w:r>
        <w:t>En</w:t>
      </w:r>
      <w:r w:rsidR="000830F9">
        <w:t xml:space="preserve"> este objetivo p</w:t>
      </w:r>
      <w:r w:rsidR="003401D9">
        <w:t>artimos de que el instrumento de evaluación</w:t>
      </w:r>
      <w:r w:rsidR="00A71647">
        <w:t xml:space="preserve"> de competencias profesionales</w:t>
      </w:r>
      <w:r w:rsidR="003401D9">
        <w:t xml:space="preserve"> </w:t>
      </w:r>
      <w:r w:rsidR="00351371">
        <w:t xml:space="preserve">está </w:t>
      </w:r>
      <w:r w:rsidR="00A71647">
        <w:t>basado en</w:t>
      </w:r>
      <w:r>
        <w:t xml:space="preserve"> </w:t>
      </w:r>
      <w:r w:rsidR="00A71647" w:rsidRPr="00A71647">
        <w:rPr>
          <w:i/>
          <w:iCs/>
        </w:rPr>
        <w:t>indicadores a alcanzar</w:t>
      </w:r>
      <w:r w:rsidR="00A71647">
        <w:t xml:space="preserve"> </w:t>
      </w:r>
      <w:r w:rsidR="003401D9">
        <w:t xml:space="preserve">del </w:t>
      </w:r>
      <w:r>
        <w:t>manual de acreditación de asignaturas</w:t>
      </w:r>
      <w:r w:rsidR="003401D9">
        <w:t xml:space="preserve"> del TecNM</w:t>
      </w:r>
      <w:r w:rsidR="00351371">
        <w:t>; que el instrumento de evaluación de competencias</w:t>
      </w:r>
      <w:r w:rsidR="003401D9">
        <w:t xml:space="preserve"> no está estandarizado</w:t>
      </w:r>
      <w:r w:rsidR="002A519E">
        <w:t xml:space="preserve"> estadísticamente</w:t>
      </w:r>
      <w:r w:rsidR="003401D9">
        <w:t xml:space="preserve"> y que conceptualmente no tiene definid</w:t>
      </w:r>
      <w:r w:rsidR="007917E0">
        <w:t>a</w:t>
      </w:r>
      <w:r w:rsidR="003401D9">
        <w:t>s sus variables latentes y observables que le confieran confiabilidad, validez de contenido y de constructo</w:t>
      </w:r>
      <w:r w:rsidR="00747720">
        <w:t xml:space="preserve"> (TecNM, 2015</w:t>
      </w:r>
      <w:r w:rsidR="00C308D3">
        <w:t>, p. 14</w:t>
      </w:r>
      <w:r w:rsidR="00747720">
        <w:t>)</w:t>
      </w:r>
      <w:r w:rsidR="003401D9">
        <w:t xml:space="preserve">. </w:t>
      </w:r>
      <w:r w:rsidR="00501BED">
        <w:t xml:space="preserve">La Tabla </w:t>
      </w:r>
      <w:r w:rsidR="00914827">
        <w:t>3</w:t>
      </w:r>
      <w:r w:rsidR="00501BED">
        <w:rPr>
          <w:color w:val="C00000"/>
        </w:rPr>
        <w:t xml:space="preserve"> </w:t>
      </w:r>
      <w:r w:rsidR="00501BED">
        <w:t xml:space="preserve">muestra la agrupación de las variables </w:t>
      </w:r>
      <w:r w:rsidR="00C33466">
        <w:t>latentes del modelo teórico inicial</w:t>
      </w:r>
      <w:r w:rsidR="00501BED">
        <w:t xml:space="preserve">, </w:t>
      </w:r>
      <w:r w:rsidR="004030EF">
        <w:t>con los</w:t>
      </w:r>
      <w:r w:rsidR="00501BED">
        <w:t xml:space="preserve"> valores de </w:t>
      </w:r>
      <w:r>
        <w:t xml:space="preserve">consistencia interna </w:t>
      </w:r>
      <w:r w:rsidR="00D67FC1">
        <w:t>a</w:t>
      </w:r>
      <w:r w:rsidR="00501BED">
        <w:t xml:space="preserve">lfa de Cronbach </w:t>
      </w:r>
      <w:r w:rsidR="00C332B2">
        <w:t xml:space="preserve">globales </w:t>
      </w:r>
      <w:r w:rsidR="002A519E">
        <w:t xml:space="preserve">obtenidos </w:t>
      </w:r>
      <w:r w:rsidR="00501BED">
        <w:t>para cada grupo</w:t>
      </w:r>
      <w:r w:rsidR="00837BA0">
        <w:t xml:space="preserve"> y </w:t>
      </w:r>
      <w:r w:rsidR="00501BED">
        <w:t>el</w:t>
      </w:r>
      <w:r w:rsidR="00C33466">
        <w:t xml:space="preserve"> Índice de Validez de Contenido (</w:t>
      </w:r>
      <w:r w:rsidR="00501BED">
        <w:t>IVC</w:t>
      </w:r>
      <w:r w:rsidR="00C33466">
        <w:t>)</w:t>
      </w:r>
      <w:r w:rsidR="004030EF">
        <w:t xml:space="preserve"> para cada variable latente</w:t>
      </w:r>
      <w:r w:rsidR="00C33466">
        <w:t xml:space="preserve">, medido con los </w:t>
      </w:r>
      <w:r w:rsidR="00A40ED1">
        <w:t xml:space="preserve">criterios de </w:t>
      </w:r>
      <w:proofErr w:type="spellStart"/>
      <w:r w:rsidR="00A40ED1">
        <w:t>Lawshe</w:t>
      </w:r>
      <w:proofErr w:type="spellEnd"/>
      <w:r w:rsidR="007917E0">
        <w:t xml:space="preserve"> (1975)</w:t>
      </w:r>
      <w:r w:rsidR="00837BA0">
        <w:t>.</w:t>
      </w:r>
    </w:p>
    <w:p w14:paraId="7CD38862" w14:textId="77777777" w:rsidR="00AC4363" w:rsidRDefault="00AC4363" w:rsidP="0037717A">
      <w:pPr>
        <w:spacing w:after="0" w:line="360" w:lineRule="auto"/>
        <w:ind w:firstLine="708"/>
        <w:jc w:val="both"/>
      </w:pPr>
    </w:p>
    <w:p w14:paraId="685DC842" w14:textId="6458D19E" w:rsidR="000609AB" w:rsidRPr="00AC4363" w:rsidRDefault="000609AB" w:rsidP="00AC4363">
      <w:pPr>
        <w:spacing w:after="0" w:line="360" w:lineRule="auto"/>
        <w:jc w:val="center"/>
      </w:pPr>
      <w:r w:rsidRPr="00AC4363">
        <w:rPr>
          <w:b/>
          <w:bCs/>
        </w:rPr>
        <w:t xml:space="preserve">Tabla </w:t>
      </w:r>
      <w:r w:rsidR="007F403E" w:rsidRPr="00AC4363">
        <w:rPr>
          <w:b/>
          <w:bCs/>
        </w:rPr>
        <w:t>3</w:t>
      </w:r>
      <w:r w:rsidR="00AC4363" w:rsidRPr="00AC4363">
        <w:rPr>
          <w:b/>
          <w:bCs/>
        </w:rPr>
        <w:t xml:space="preserve">. </w:t>
      </w:r>
      <w:r w:rsidR="00AF42D8" w:rsidRPr="00AC4363">
        <w:t>Índices psicométricos</w:t>
      </w:r>
      <w:r w:rsidR="00D77801" w:rsidRPr="00AC4363">
        <w:t xml:space="preserve"> de fiabilidad</w:t>
      </w:r>
      <w:r w:rsidR="00AF42D8" w:rsidRPr="00AC4363">
        <w:t xml:space="preserve"> del instrumento de evaluación</w:t>
      </w:r>
    </w:p>
    <w:tbl>
      <w:tblPr>
        <w:tblStyle w:val="Tablaconcuadrcula"/>
        <w:tblW w:w="0" w:type="auto"/>
        <w:tblLook w:val="04A0" w:firstRow="1" w:lastRow="0" w:firstColumn="1" w:lastColumn="0" w:noHBand="0" w:noVBand="1"/>
      </w:tblPr>
      <w:tblGrid>
        <w:gridCol w:w="1890"/>
        <w:gridCol w:w="3077"/>
        <w:gridCol w:w="1150"/>
        <w:gridCol w:w="1233"/>
        <w:gridCol w:w="1478"/>
      </w:tblGrid>
      <w:tr w:rsidR="00397D46" w:rsidRPr="00AC4363" w14:paraId="2AFE5470" w14:textId="7F169AF2" w:rsidTr="00AC4363">
        <w:tc>
          <w:tcPr>
            <w:tcW w:w="1985" w:type="dxa"/>
          </w:tcPr>
          <w:p w14:paraId="36A80837" w14:textId="4502FE85" w:rsidR="00501BED" w:rsidRPr="00AC4363" w:rsidRDefault="009C5C52" w:rsidP="00161B57">
            <w:pPr>
              <w:spacing w:after="0"/>
            </w:pPr>
            <w:r w:rsidRPr="00AC4363">
              <w:t xml:space="preserve">Dimensión </w:t>
            </w:r>
          </w:p>
        </w:tc>
        <w:tc>
          <w:tcPr>
            <w:tcW w:w="3544" w:type="dxa"/>
          </w:tcPr>
          <w:p w14:paraId="6750036A" w14:textId="56D7BE72" w:rsidR="00501BED" w:rsidRPr="00AC4363" w:rsidRDefault="009C5C52" w:rsidP="00161B57">
            <w:pPr>
              <w:spacing w:after="0"/>
            </w:pPr>
            <w:r w:rsidRPr="00AC4363">
              <w:t>Variables latentes</w:t>
            </w:r>
          </w:p>
        </w:tc>
        <w:tc>
          <w:tcPr>
            <w:tcW w:w="994" w:type="dxa"/>
          </w:tcPr>
          <w:p w14:paraId="039FE6C2" w14:textId="79D2B389" w:rsidR="00501BED" w:rsidRPr="00AC4363" w:rsidRDefault="00397D46" w:rsidP="00161B57">
            <w:pPr>
              <w:spacing w:after="0"/>
            </w:pPr>
            <w:r w:rsidRPr="00AC4363">
              <w:t>Alfa de Cronbach</w:t>
            </w:r>
          </w:p>
        </w:tc>
        <w:tc>
          <w:tcPr>
            <w:tcW w:w="1274" w:type="dxa"/>
          </w:tcPr>
          <w:p w14:paraId="28644D83" w14:textId="48990B82" w:rsidR="00501BED" w:rsidRPr="00AC4363" w:rsidRDefault="00501BED" w:rsidP="00161B57">
            <w:pPr>
              <w:spacing w:after="0"/>
            </w:pPr>
            <w:proofErr w:type="gramStart"/>
            <w:r w:rsidRPr="00AC4363">
              <w:t xml:space="preserve">IVC </w:t>
            </w:r>
            <w:r w:rsidR="007917E0" w:rsidRPr="00AC4363">
              <w:t xml:space="preserve"> (</w:t>
            </w:r>
            <w:proofErr w:type="gramEnd"/>
            <w:r w:rsidRPr="00AC4363">
              <w:t>Lawshe</w:t>
            </w:r>
            <w:r w:rsidR="007917E0" w:rsidRPr="00AC4363">
              <w:t>)</w:t>
            </w:r>
          </w:p>
        </w:tc>
        <w:tc>
          <w:tcPr>
            <w:tcW w:w="1599" w:type="dxa"/>
          </w:tcPr>
          <w:p w14:paraId="21434242" w14:textId="4F457D12" w:rsidR="00501BED" w:rsidRPr="00AC4363" w:rsidRDefault="00397D46" w:rsidP="00161B57">
            <w:pPr>
              <w:spacing w:after="0"/>
            </w:pPr>
            <w:r w:rsidRPr="00AC4363">
              <w:t xml:space="preserve">Promedio </w:t>
            </w:r>
            <w:proofErr w:type="gramStart"/>
            <w:r w:rsidR="00D67FC1" w:rsidRPr="00AC4363">
              <w:t>a</w:t>
            </w:r>
            <w:r w:rsidR="00EB6FE9" w:rsidRPr="00AC4363">
              <w:t>lfa</w:t>
            </w:r>
            <w:r w:rsidR="00161B57" w:rsidRPr="00AC4363">
              <w:t xml:space="preserve"> </w:t>
            </w:r>
            <w:r w:rsidR="00EB6FE9" w:rsidRPr="00AC4363">
              <w:t xml:space="preserve"> /</w:t>
            </w:r>
            <w:proofErr w:type="gramEnd"/>
            <w:r w:rsidR="00EB6FE9" w:rsidRPr="00AC4363">
              <w:t xml:space="preserve"> </w:t>
            </w:r>
            <w:r w:rsidRPr="00AC4363">
              <w:t>IVC</w:t>
            </w:r>
          </w:p>
        </w:tc>
      </w:tr>
      <w:tr w:rsidR="00661932" w:rsidRPr="00AC4363" w14:paraId="332DC193" w14:textId="2C5199B2" w:rsidTr="00AC4363">
        <w:tc>
          <w:tcPr>
            <w:tcW w:w="1985" w:type="dxa"/>
            <w:vMerge w:val="restart"/>
          </w:tcPr>
          <w:p w14:paraId="79FA08DA" w14:textId="42B46DF9" w:rsidR="00661932" w:rsidRPr="00AC4363" w:rsidRDefault="00D61A42" w:rsidP="00161B57">
            <w:pPr>
              <w:spacing w:after="0"/>
            </w:pPr>
            <w:r w:rsidRPr="00AC4363">
              <w:t>Procesa</w:t>
            </w:r>
            <w:r w:rsidR="007917E0" w:rsidRPr="00AC4363">
              <w:t>miento de</w:t>
            </w:r>
            <w:r w:rsidRPr="00AC4363">
              <w:t xml:space="preserve"> la información</w:t>
            </w:r>
          </w:p>
        </w:tc>
        <w:tc>
          <w:tcPr>
            <w:tcW w:w="3544" w:type="dxa"/>
          </w:tcPr>
          <w:p w14:paraId="08328DEE" w14:textId="4D016764" w:rsidR="00661932" w:rsidRPr="00AC4363" w:rsidRDefault="00661932" w:rsidP="00161B57">
            <w:pPr>
              <w:spacing w:after="0"/>
            </w:pPr>
            <w:r w:rsidRPr="00AC4363">
              <w:t>Pensamiento complejo</w:t>
            </w:r>
          </w:p>
        </w:tc>
        <w:tc>
          <w:tcPr>
            <w:tcW w:w="994" w:type="dxa"/>
          </w:tcPr>
          <w:p w14:paraId="167BAB52" w14:textId="7F33D556" w:rsidR="00661932" w:rsidRPr="00AC4363" w:rsidRDefault="007A14B8" w:rsidP="00161B57">
            <w:pPr>
              <w:spacing w:after="0"/>
            </w:pPr>
            <w:r w:rsidRPr="00AC4363">
              <w:t>0.899</w:t>
            </w:r>
          </w:p>
        </w:tc>
        <w:tc>
          <w:tcPr>
            <w:tcW w:w="1274" w:type="dxa"/>
          </w:tcPr>
          <w:p w14:paraId="216823AF" w14:textId="1485A04D" w:rsidR="00661932" w:rsidRPr="00AC4363" w:rsidRDefault="00661932" w:rsidP="00161B57">
            <w:pPr>
              <w:spacing w:after="0"/>
            </w:pPr>
            <w:r w:rsidRPr="00AC4363">
              <w:t>0.65</w:t>
            </w:r>
          </w:p>
        </w:tc>
        <w:tc>
          <w:tcPr>
            <w:tcW w:w="1599" w:type="dxa"/>
          </w:tcPr>
          <w:p w14:paraId="51821296" w14:textId="77777777" w:rsidR="00661932" w:rsidRPr="00AC4363" w:rsidRDefault="00661932" w:rsidP="00161B57">
            <w:pPr>
              <w:spacing w:after="0"/>
            </w:pPr>
          </w:p>
        </w:tc>
      </w:tr>
      <w:tr w:rsidR="00661932" w:rsidRPr="00AC4363" w14:paraId="1EB595A8" w14:textId="77777777" w:rsidTr="00AC4363">
        <w:tc>
          <w:tcPr>
            <w:tcW w:w="1985" w:type="dxa"/>
            <w:vMerge/>
          </w:tcPr>
          <w:p w14:paraId="676F35F9" w14:textId="77777777" w:rsidR="00661932" w:rsidRPr="00AC4363" w:rsidRDefault="00661932" w:rsidP="00161B57">
            <w:pPr>
              <w:spacing w:after="0"/>
            </w:pPr>
          </w:p>
        </w:tc>
        <w:tc>
          <w:tcPr>
            <w:tcW w:w="3544" w:type="dxa"/>
          </w:tcPr>
          <w:p w14:paraId="30768885" w14:textId="24C70352" w:rsidR="00661932" w:rsidRPr="00AC4363" w:rsidRDefault="00661932" w:rsidP="00161B57">
            <w:pPr>
              <w:spacing w:after="0"/>
            </w:pPr>
            <w:r w:rsidRPr="00AC4363">
              <w:t>Pensamiento sistémico</w:t>
            </w:r>
          </w:p>
        </w:tc>
        <w:tc>
          <w:tcPr>
            <w:tcW w:w="994" w:type="dxa"/>
          </w:tcPr>
          <w:p w14:paraId="4E6021D8" w14:textId="7F77DBB6" w:rsidR="00661932" w:rsidRPr="00AC4363" w:rsidRDefault="007A14B8" w:rsidP="00161B57">
            <w:pPr>
              <w:spacing w:after="0"/>
            </w:pPr>
            <w:r w:rsidRPr="00AC4363">
              <w:t>0.902</w:t>
            </w:r>
          </w:p>
        </w:tc>
        <w:tc>
          <w:tcPr>
            <w:tcW w:w="1274" w:type="dxa"/>
          </w:tcPr>
          <w:p w14:paraId="58FF38E7" w14:textId="656356C7" w:rsidR="00661932" w:rsidRPr="00AC4363" w:rsidRDefault="00661932" w:rsidP="00161B57">
            <w:pPr>
              <w:spacing w:after="0"/>
            </w:pPr>
            <w:r w:rsidRPr="00AC4363">
              <w:t>0.52</w:t>
            </w:r>
          </w:p>
        </w:tc>
        <w:tc>
          <w:tcPr>
            <w:tcW w:w="1599" w:type="dxa"/>
          </w:tcPr>
          <w:p w14:paraId="5236E32A" w14:textId="77777777" w:rsidR="00661932" w:rsidRPr="00AC4363" w:rsidRDefault="00661932" w:rsidP="00161B57">
            <w:pPr>
              <w:spacing w:after="0"/>
            </w:pPr>
          </w:p>
        </w:tc>
      </w:tr>
      <w:tr w:rsidR="00661932" w:rsidRPr="00AC4363" w14:paraId="046DCABA" w14:textId="77777777" w:rsidTr="00AC4363">
        <w:tc>
          <w:tcPr>
            <w:tcW w:w="1985" w:type="dxa"/>
            <w:vMerge/>
          </w:tcPr>
          <w:p w14:paraId="42F4DD56" w14:textId="77777777" w:rsidR="00661932" w:rsidRPr="00AC4363" w:rsidRDefault="00661932" w:rsidP="00161B57">
            <w:pPr>
              <w:spacing w:after="0"/>
            </w:pPr>
          </w:p>
        </w:tc>
        <w:tc>
          <w:tcPr>
            <w:tcW w:w="3544" w:type="dxa"/>
          </w:tcPr>
          <w:p w14:paraId="46DBFB37" w14:textId="1301DD0E" w:rsidR="00661932" w:rsidRPr="00AC4363" w:rsidRDefault="00661932" w:rsidP="00161B57">
            <w:pPr>
              <w:spacing w:after="0"/>
            </w:pPr>
            <w:r w:rsidRPr="00AC4363">
              <w:t>Pensamiento y literacidad crítica</w:t>
            </w:r>
          </w:p>
        </w:tc>
        <w:tc>
          <w:tcPr>
            <w:tcW w:w="994" w:type="dxa"/>
          </w:tcPr>
          <w:p w14:paraId="0041580F" w14:textId="1CFDCE35" w:rsidR="00661932" w:rsidRPr="00AC4363" w:rsidRDefault="007A14B8" w:rsidP="00161B57">
            <w:pPr>
              <w:spacing w:after="0"/>
            </w:pPr>
            <w:r w:rsidRPr="00AC4363">
              <w:t>0.921</w:t>
            </w:r>
          </w:p>
        </w:tc>
        <w:tc>
          <w:tcPr>
            <w:tcW w:w="1274" w:type="dxa"/>
          </w:tcPr>
          <w:p w14:paraId="65DBDA37" w14:textId="2F0501F6" w:rsidR="00661932" w:rsidRPr="00AC4363" w:rsidRDefault="00661932" w:rsidP="00161B57">
            <w:pPr>
              <w:spacing w:after="0"/>
            </w:pPr>
            <w:r w:rsidRPr="00AC4363">
              <w:t>0.53</w:t>
            </w:r>
          </w:p>
        </w:tc>
        <w:tc>
          <w:tcPr>
            <w:tcW w:w="1599" w:type="dxa"/>
          </w:tcPr>
          <w:p w14:paraId="3E4F549C" w14:textId="6CC2CF0B" w:rsidR="00661932" w:rsidRPr="00AC4363" w:rsidRDefault="00EB6FE9" w:rsidP="00161B57">
            <w:pPr>
              <w:spacing w:after="0"/>
            </w:pPr>
            <w:r w:rsidRPr="00AC4363">
              <w:t xml:space="preserve">0.907 / </w:t>
            </w:r>
            <w:r w:rsidR="00661932" w:rsidRPr="00AC4363">
              <w:t>0.57</w:t>
            </w:r>
          </w:p>
        </w:tc>
      </w:tr>
      <w:tr w:rsidR="00661932" w:rsidRPr="00AC4363" w14:paraId="6C95C411" w14:textId="060FE4EE" w:rsidTr="00AC4363">
        <w:tc>
          <w:tcPr>
            <w:tcW w:w="1985" w:type="dxa"/>
            <w:vMerge w:val="restart"/>
          </w:tcPr>
          <w:p w14:paraId="7D67E570" w14:textId="5F1F36DD" w:rsidR="00661932" w:rsidRPr="00AC4363" w:rsidRDefault="00D61A42" w:rsidP="00161B57">
            <w:pPr>
              <w:spacing w:after="0"/>
            </w:pPr>
            <w:r w:rsidRPr="00AC4363">
              <w:t>Reso</w:t>
            </w:r>
            <w:r w:rsidR="00161B57" w:rsidRPr="00AC4363">
              <w:t>lución de</w:t>
            </w:r>
            <w:r w:rsidRPr="00AC4363">
              <w:t xml:space="preserve"> problemas complejos </w:t>
            </w:r>
          </w:p>
        </w:tc>
        <w:tc>
          <w:tcPr>
            <w:tcW w:w="3544" w:type="dxa"/>
          </w:tcPr>
          <w:p w14:paraId="15D9ED01" w14:textId="70FD9BA6" w:rsidR="00661932" w:rsidRPr="00AC4363" w:rsidRDefault="00661932" w:rsidP="00161B57">
            <w:pPr>
              <w:spacing w:after="0"/>
            </w:pPr>
            <w:r w:rsidRPr="00AC4363">
              <w:t>Capacidad para investigar</w:t>
            </w:r>
          </w:p>
        </w:tc>
        <w:tc>
          <w:tcPr>
            <w:tcW w:w="994" w:type="dxa"/>
          </w:tcPr>
          <w:p w14:paraId="646607D1" w14:textId="75BECFA1" w:rsidR="00661932" w:rsidRPr="00AC4363" w:rsidRDefault="007A14B8" w:rsidP="00161B57">
            <w:pPr>
              <w:spacing w:after="0"/>
            </w:pPr>
            <w:r w:rsidRPr="00AC4363">
              <w:t>0.897</w:t>
            </w:r>
          </w:p>
        </w:tc>
        <w:tc>
          <w:tcPr>
            <w:tcW w:w="1274" w:type="dxa"/>
          </w:tcPr>
          <w:p w14:paraId="3946CF91" w14:textId="6E2902E5" w:rsidR="00661932" w:rsidRPr="00AC4363" w:rsidRDefault="00661932" w:rsidP="00161B57">
            <w:pPr>
              <w:spacing w:after="0"/>
            </w:pPr>
            <w:r w:rsidRPr="00AC4363">
              <w:t>0.63</w:t>
            </w:r>
          </w:p>
        </w:tc>
        <w:tc>
          <w:tcPr>
            <w:tcW w:w="1599" w:type="dxa"/>
          </w:tcPr>
          <w:p w14:paraId="2ACE292C" w14:textId="77777777" w:rsidR="00661932" w:rsidRPr="00AC4363" w:rsidRDefault="00661932" w:rsidP="00161B57">
            <w:pPr>
              <w:spacing w:after="0"/>
            </w:pPr>
          </w:p>
        </w:tc>
      </w:tr>
      <w:tr w:rsidR="00661932" w:rsidRPr="00AC4363" w14:paraId="332EA866" w14:textId="77777777" w:rsidTr="00AC4363">
        <w:tc>
          <w:tcPr>
            <w:tcW w:w="1985" w:type="dxa"/>
            <w:vMerge/>
          </w:tcPr>
          <w:p w14:paraId="135F707E" w14:textId="77777777" w:rsidR="00661932" w:rsidRPr="00AC4363" w:rsidRDefault="00661932" w:rsidP="00161B57">
            <w:pPr>
              <w:spacing w:after="0"/>
            </w:pPr>
          </w:p>
        </w:tc>
        <w:tc>
          <w:tcPr>
            <w:tcW w:w="3544" w:type="dxa"/>
          </w:tcPr>
          <w:p w14:paraId="4F6B48FF" w14:textId="536C7AFB" w:rsidR="00661932" w:rsidRPr="00AC4363" w:rsidRDefault="00661932" w:rsidP="00161B57">
            <w:pPr>
              <w:spacing w:after="0"/>
            </w:pPr>
            <w:r w:rsidRPr="00AC4363">
              <w:t xml:space="preserve">Comunicación y </w:t>
            </w:r>
            <w:r w:rsidR="00161B57" w:rsidRPr="00AC4363">
              <w:t>alfaberización digital</w:t>
            </w:r>
          </w:p>
        </w:tc>
        <w:tc>
          <w:tcPr>
            <w:tcW w:w="994" w:type="dxa"/>
          </w:tcPr>
          <w:p w14:paraId="61DC3374" w14:textId="4D887283" w:rsidR="00661932" w:rsidRPr="00AC4363" w:rsidRDefault="007A14B8" w:rsidP="00161B57">
            <w:pPr>
              <w:spacing w:after="0"/>
            </w:pPr>
            <w:r w:rsidRPr="00AC4363">
              <w:t>0.924</w:t>
            </w:r>
          </w:p>
        </w:tc>
        <w:tc>
          <w:tcPr>
            <w:tcW w:w="1274" w:type="dxa"/>
          </w:tcPr>
          <w:p w14:paraId="57AEDAA8" w14:textId="366104CD" w:rsidR="00661932" w:rsidRPr="00AC4363" w:rsidRDefault="00661932" w:rsidP="00161B57">
            <w:pPr>
              <w:spacing w:after="0"/>
            </w:pPr>
            <w:r w:rsidRPr="00AC4363">
              <w:t>0.56</w:t>
            </w:r>
          </w:p>
        </w:tc>
        <w:tc>
          <w:tcPr>
            <w:tcW w:w="1599" w:type="dxa"/>
          </w:tcPr>
          <w:p w14:paraId="6A073FFC" w14:textId="77777777" w:rsidR="00661932" w:rsidRPr="00AC4363" w:rsidRDefault="00661932" w:rsidP="00161B57">
            <w:pPr>
              <w:spacing w:after="0"/>
            </w:pPr>
          </w:p>
        </w:tc>
      </w:tr>
      <w:tr w:rsidR="00661932" w:rsidRPr="00AC4363" w14:paraId="6B3BE9AC" w14:textId="77777777" w:rsidTr="00AC4363">
        <w:tc>
          <w:tcPr>
            <w:tcW w:w="1985" w:type="dxa"/>
            <w:vMerge/>
          </w:tcPr>
          <w:p w14:paraId="4865DFEF" w14:textId="77777777" w:rsidR="00661932" w:rsidRPr="00AC4363" w:rsidRDefault="00661932" w:rsidP="00161B57">
            <w:pPr>
              <w:spacing w:after="0"/>
            </w:pPr>
          </w:p>
        </w:tc>
        <w:tc>
          <w:tcPr>
            <w:tcW w:w="3544" w:type="dxa"/>
          </w:tcPr>
          <w:p w14:paraId="074CA38D" w14:textId="1990BE0D" w:rsidR="00661932" w:rsidRPr="00AC4363" w:rsidRDefault="00661932" w:rsidP="00161B57">
            <w:pPr>
              <w:spacing w:after="0"/>
            </w:pPr>
            <w:r w:rsidRPr="00AC4363">
              <w:t xml:space="preserve">Capacidad para resolver problemas </w:t>
            </w:r>
            <w:r w:rsidR="00A40ED1" w:rsidRPr="00AC4363">
              <w:t>complejos</w:t>
            </w:r>
          </w:p>
        </w:tc>
        <w:tc>
          <w:tcPr>
            <w:tcW w:w="994" w:type="dxa"/>
          </w:tcPr>
          <w:p w14:paraId="222B15E4" w14:textId="4582B862" w:rsidR="00661932" w:rsidRPr="00AC4363" w:rsidRDefault="007A14B8" w:rsidP="00161B57">
            <w:pPr>
              <w:spacing w:after="0"/>
            </w:pPr>
            <w:r w:rsidRPr="00AC4363">
              <w:t>0.909</w:t>
            </w:r>
          </w:p>
        </w:tc>
        <w:tc>
          <w:tcPr>
            <w:tcW w:w="1274" w:type="dxa"/>
          </w:tcPr>
          <w:p w14:paraId="69F3921C" w14:textId="4301FED2" w:rsidR="00661932" w:rsidRPr="00AC4363" w:rsidRDefault="00661932" w:rsidP="00161B57">
            <w:pPr>
              <w:spacing w:after="0"/>
            </w:pPr>
            <w:r w:rsidRPr="00AC4363">
              <w:t>0.84</w:t>
            </w:r>
          </w:p>
        </w:tc>
        <w:tc>
          <w:tcPr>
            <w:tcW w:w="1599" w:type="dxa"/>
          </w:tcPr>
          <w:p w14:paraId="4039248C" w14:textId="77777777" w:rsidR="00661932" w:rsidRPr="00AC4363" w:rsidRDefault="00661932" w:rsidP="00161B57">
            <w:pPr>
              <w:spacing w:after="0"/>
            </w:pPr>
          </w:p>
        </w:tc>
      </w:tr>
      <w:tr w:rsidR="00661932" w:rsidRPr="00AC4363" w14:paraId="0FDC4E8C" w14:textId="77777777" w:rsidTr="00AC4363">
        <w:tc>
          <w:tcPr>
            <w:tcW w:w="1985" w:type="dxa"/>
            <w:vMerge/>
          </w:tcPr>
          <w:p w14:paraId="12FE8533" w14:textId="77777777" w:rsidR="00661932" w:rsidRPr="00AC4363" w:rsidRDefault="00661932" w:rsidP="00161B57">
            <w:pPr>
              <w:spacing w:after="0"/>
            </w:pPr>
          </w:p>
        </w:tc>
        <w:tc>
          <w:tcPr>
            <w:tcW w:w="3544" w:type="dxa"/>
          </w:tcPr>
          <w:p w14:paraId="4948B391" w14:textId="20C82582" w:rsidR="00661932" w:rsidRPr="00AC4363" w:rsidRDefault="00661932" w:rsidP="00161B57">
            <w:pPr>
              <w:spacing w:after="0"/>
            </w:pPr>
            <w:r w:rsidRPr="00AC4363">
              <w:t>Aprendizaje autónomo y autorregulado</w:t>
            </w:r>
          </w:p>
        </w:tc>
        <w:tc>
          <w:tcPr>
            <w:tcW w:w="994" w:type="dxa"/>
          </w:tcPr>
          <w:p w14:paraId="051DAACE" w14:textId="77474259" w:rsidR="00661932" w:rsidRPr="00AC4363" w:rsidRDefault="007A14B8" w:rsidP="00161B57">
            <w:pPr>
              <w:spacing w:after="0"/>
            </w:pPr>
            <w:r w:rsidRPr="00AC4363">
              <w:t>0.868</w:t>
            </w:r>
          </w:p>
        </w:tc>
        <w:tc>
          <w:tcPr>
            <w:tcW w:w="1274" w:type="dxa"/>
          </w:tcPr>
          <w:p w14:paraId="5E2E4E3E" w14:textId="3E9989AB" w:rsidR="00661932" w:rsidRPr="00AC4363" w:rsidRDefault="00661932" w:rsidP="00161B57">
            <w:pPr>
              <w:spacing w:after="0"/>
            </w:pPr>
            <w:r w:rsidRPr="00AC4363">
              <w:t>0.63</w:t>
            </w:r>
          </w:p>
        </w:tc>
        <w:tc>
          <w:tcPr>
            <w:tcW w:w="1599" w:type="dxa"/>
          </w:tcPr>
          <w:p w14:paraId="317C7D36" w14:textId="17505116" w:rsidR="00661932" w:rsidRPr="00AC4363" w:rsidRDefault="00EB6FE9" w:rsidP="00161B57">
            <w:pPr>
              <w:spacing w:after="0"/>
            </w:pPr>
            <w:r w:rsidRPr="00AC4363">
              <w:t>0.</w:t>
            </w:r>
            <w:r w:rsidR="002351DE" w:rsidRPr="00AC4363">
              <w:t xml:space="preserve">899/ </w:t>
            </w:r>
            <w:r w:rsidR="00661932" w:rsidRPr="00AC4363">
              <w:t>0.66</w:t>
            </w:r>
          </w:p>
        </w:tc>
      </w:tr>
      <w:tr w:rsidR="00661932" w:rsidRPr="00AC4363" w14:paraId="7FE29483" w14:textId="420E44FE" w:rsidTr="00AC4363">
        <w:tc>
          <w:tcPr>
            <w:tcW w:w="1985" w:type="dxa"/>
            <w:vMerge w:val="restart"/>
          </w:tcPr>
          <w:p w14:paraId="488FAA93" w14:textId="64E80D10" w:rsidR="00661932" w:rsidRPr="00AC4363" w:rsidRDefault="00D61A42" w:rsidP="00161B57">
            <w:pPr>
              <w:spacing w:after="0"/>
            </w:pPr>
            <w:r w:rsidRPr="00AC4363">
              <w:t>Diseño de proyectos</w:t>
            </w:r>
            <w:r w:rsidR="007D42EC" w:rsidRPr="00AC4363">
              <w:t xml:space="preserve"> </w:t>
            </w:r>
            <w:r w:rsidR="0033152D" w:rsidRPr="00AC4363">
              <w:t xml:space="preserve">y procesos </w:t>
            </w:r>
            <w:r w:rsidR="007D42EC" w:rsidRPr="00AC4363">
              <w:t>con visión de futuro</w:t>
            </w:r>
          </w:p>
        </w:tc>
        <w:tc>
          <w:tcPr>
            <w:tcW w:w="3544" w:type="dxa"/>
          </w:tcPr>
          <w:p w14:paraId="4A8FA08B" w14:textId="0C554F42" w:rsidR="00661932" w:rsidRPr="00AC4363" w:rsidRDefault="00661932" w:rsidP="00161B57">
            <w:pPr>
              <w:spacing w:after="0"/>
            </w:pPr>
            <w:r w:rsidRPr="00AC4363">
              <w:t>Liderazgo y trabajo en equipo</w:t>
            </w:r>
          </w:p>
        </w:tc>
        <w:tc>
          <w:tcPr>
            <w:tcW w:w="994" w:type="dxa"/>
          </w:tcPr>
          <w:p w14:paraId="030ED7DB" w14:textId="6B0CDDE9" w:rsidR="00661932" w:rsidRPr="00AC4363" w:rsidRDefault="007A14B8" w:rsidP="00161B57">
            <w:pPr>
              <w:spacing w:after="0"/>
            </w:pPr>
            <w:r w:rsidRPr="00AC4363">
              <w:t>0.898</w:t>
            </w:r>
          </w:p>
        </w:tc>
        <w:tc>
          <w:tcPr>
            <w:tcW w:w="1274" w:type="dxa"/>
          </w:tcPr>
          <w:p w14:paraId="6B7B9A7D" w14:textId="2343349F" w:rsidR="00661932" w:rsidRPr="00AC4363" w:rsidRDefault="00661932" w:rsidP="00161B57">
            <w:pPr>
              <w:spacing w:after="0"/>
            </w:pPr>
            <w:r w:rsidRPr="00AC4363">
              <w:t>0.50</w:t>
            </w:r>
          </w:p>
        </w:tc>
        <w:tc>
          <w:tcPr>
            <w:tcW w:w="1599" w:type="dxa"/>
          </w:tcPr>
          <w:p w14:paraId="38798D1B" w14:textId="77777777" w:rsidR="00661932" w:rsidRPr="00AC4363" w:rsidRDefault="00661932" w:rsidP="00161B57">
            <w:pPr>
              <w:spacing w:after="0"/>
            </w:pPr>
          </w:p>
        </w:tc>
      </w:tr>
      <w:tr w:rsidR="00661932" w:rsidRPr="00AC4363" w14:paraId="3EBDAE2C" w14:textId="77777777" w:rsidTr="00AC4363">
        <w:tc>
          <w:tcPr>
            <w:tcW w:w="1985" w:type="dxa"/>
            <w:vMerge/>
          </w:tcPr>
          <w:p w14:paraId="0B77E1C2" w14:textId="77777777" w:rsidR="00661932" w:rsidRPr="00AC4363" w:rsidRDefault="00661932" w:rsidP="00161B57">
            <w:pPr>
              <w:spacing w:after="0"/>
            </w:pPr>
          </w:p>
        </w:tc>
        <w:tc>
          <w:tcPr>
            <w:tcW w:w="3544" w:type="dxa"/>
          </w:tcPr>
          <w:p w14:paraId="111C9889" w14:textId="4F326C44" w:rsidR="00661932" w:rsidRPr="00AC4363" w:rsidRDefault="00661932" w:rsidP="00161B57">
            <w:pPr>
              <w:spacing w:after="0"/>
            </w:pPr>
            <w:r w:rsidRPr="00AC4363">
              <w:t>Responsabilidad social y ambiental</w:t>
            </w:r>
          </w:p>
        </w:tc>
        <w:tc>
          <w:tcPr>
            <w:tcW w:w="994" w:type="dxa"/>
          </w:tcPr>
          <w:p w14:paraId="11147712" w14:textId="3C76762B" w:rsidR="00661932" w:rsidRPr="00AC4363" w:rsidRDefault="007A14B8" w:rsidP="00161B57">
            <w:pPr>
              <w:spacing w:after="0"/>
            </w:pPr>
            <w:r w:rsidRPr="00AC4363">
              <w:t>0.939</w:t>
            </w:r>
          </w:p>
        </w:tc>
        <w:tc>
          <w:tcPr>
            <w:tcW w:w="1274" w:type="dxa"/>
          </w:tcPr>
          <w:p w14:paraId="5928A2F6" w14:textId="644686E2" w:rsidR="00661932" w:rsidRPr="00AC4363" w:rsidRDefault="00661932" w:rsidP="00161B57">
            <w:pPr>
              <w:spacing w:after="0"/>
            </w:pPr>
            <w:r w:rsidRPr="00AC4363">
              <w:t>0.60</w:t>
            </w:r>
          </w:p>
        </w:tc>
        <w:tc>
          <w:tcPr>
            <w:tcW w:w="1599" w:type="dxa"/>
          </w:tcPr>
          <w:p w14:paraId="0700A4C4" w14:textId="77777777" w:rsidR="00661932" w:rsidRPr="00AC4363" w:rsidRDefault="00661932" w:rsidP="00161B57">
            <w:pPr>
              <w:spacing w:after="0"/>
            </w:pPr>
          </w:p>
        </w:tc>
      </w:tr>
      <w:tr w:rsidR="00661932" w:rsidRPr="00AC4363" w14:paraId="50046F77" w14:textId="77777777" w:rsidTr="00AC4363">
        <w:tc>
          <w:tcPr>
            <w:tcW w:w="1985" w:type="dxa"/>
            <w:vMerge/>
          </w:tcPr>
          <w:p w14:paraId="3846BEAF" w14:textId="77777777" w:rsidR="00661932" w:rsidRPr="00AC4363" w:rsidRDefault="00661932" w:rsidP="00161B57">
            <w:pPr>
              <w:spacing w:after="0"/>
            </w:pPr>
          </w:p>
        </w:tc>
        <w:tc>
          <w:tcPr>
            <w:tcW w:w="3544" w:type="dxa"/>
          </w:tcPr>
          <w:p w14:paraId="0D0E1811" w14:textId="2FDE2980" w:rsidR="00661932" w:rsidRPr="00AC4363" w:rsidRDefault="00661932" w:rsidP="00161B57">
            <w:pPr>
              <w:spacing w:after="0"/>
            </w:pPr>
            <w:r w:rsidRPr="00AC4363">
              <w:t>Gestión e innovación de proyectos</w:t>
            </w:r>
          </w:p>
        </w:tc>
        <w:tc>
          <w:tcPr>
            <w:tcW w:w="994" w:type="dxa"/>
          </w:tcPr>
          <w:p w14:paraId="70BE0B81" w14:textId="1B776BF5" w:rsidR="00661932" w:rsidRPr="00AC4363" w:rsidRDefault="007A14B8" w:rsidP="00161B57">
            <w:pPr>
              <w:spacing w:after="0"/>
            </w:pPr>
            <w:r w:rsidRPr="00AC4363">
              <w:t>0.938</w:t>
            </w:r>
          </w:p>
        </w:tc>
        <w:tc>
          <w:tcPr>
            <w:tcW w:w="1274" w:type="dxa"/>
          </w:tcPr>
          <w:p w14:paraId="45CC5112" w14:textId="00B1851D" w:rsidR="00661932" w:rsidRPr="00AC4363" w:rsidRDefault="00661932" w:rsidP="00161B57">
            <w:pPr>
              <w:spacing w:after="0"/>
            </w:pPr>
            <w:r w:rsidRPr="00AC4363">
              <w:t>0.60</w:t>
            </w:r>
          </w:p>
        </w:tc>
        <w:tc>
          <w:tcPr>
            <w:tcW w:w="1599" w:type="dxa"/>
          </w:tcPr>
          <w:p w14:paraId="4A4EE718" w14:textId="77777777" w:rsidR="00661932" w:rsidRPr="00AC4363" w:rsidRDefault="00661932" w:rsidP="00161B57">
            <w:pPr>
              <w:spacing w:after="0"/>
            </w:pPr>
          </w:p>
        </w:tc>
      </w:tr>
      <w:tr w:rsidR="00661932" w:rsidRPr="00AC4363" w14:paraId="228D5DC5" w14:textId="77777777" w:rsidTr="00AC4363">
        <w:tc>
          <w:tcPr>
            <w:tcW w:w="1985" w:type="dxa"/>
            <w:vMerge/>
          </w:tcPr>
          <w:p w14:paraId="6E352A04" w14:textId="77777777" w:rsidR="00661932" w:rsidRPr="00AC4363" w:rsidRDefault="00661932" w:rsidP="00161B57">
            <w:pPr>
              <w:spacing w:after="0"/>
            </w:pPr>
          </w:p>
        </w:tc>
        <w:tc>
          <w:tcPr>
            <w:tcW w:w="3544" w:type="dxa"/>
          </w:tcPr>
          <w:p w14:paraId="0899BBF7" w14:textId="3F9BA2E4" w:rsidR="00661932" w:rsidRPr="00AC4363" w:rsidRDefault="00661932" w:rsidP="00161B57">
            <w:pPr>
              <w:spacing w:after="0"/>
            </w:pPr>
            <w:r w:rsidRPr="00AC4363">
              <w:t>Enseñanza de la comprensión humana</w:t>
            </w:r>
          </w:p>
        </w:tc>
        <w:tc>
          <w:tcPr>
            <w:tcW w:w="994" w:type="dxa"/>
          </w:tcPr>
          <w:p w14:paraId="0CCCA469" w14:textId="73C30B29" w:rsidR="00661932" w:rsidRPr="00AC4363" w:rsidRDefault="007A14B8" w:rsidP="00161B57">
            <w:pPr>
              <w:spacing w:after="0"/>
            </w:pPr>
            <w:r w:rsidRPr="00AC4363">
              <w:t>0.891</w:t>
            </w:r>
          </w:p>
        </w:tc>
        <w:tc>
          <w:tcPr>
            <w:tcW w:w="1274" w:type="dxa"/>
          </w:tcPr>
          <w:p w14:paraId="21CC1408" w14:textId="354C6A6D" w:rsidR="00661932" w:rsidRPr="00AC4363" w:rsidRDefault="00661932" w:rsidP="00161B57">
            <w:pPr>
              <w:spacing w:after="0"/>
            </w:pPr>
            <w:r w:rsidRPr="00AC4363">
              <w:t>0.61</w:t>
            </w:r>
          </w:p>
        </w:tc>
        <w:tc>
          <w:tcPr>
            <w:tcW w:w="1599" w:type="dxa"/>
          </w:tcPr>
          <w:p w14:paraId="2D29401D" w14:textId="7F4374A2" w:rsidR="00661932" w:rsidRPr="00AC4363" w:rsidRDefault="002351DE" w:rsidP="00161B57">
            <w:pPr>
              <w:spacing w:after="0"/>
            </w:pPr>
            <w:r w:rsidRPr="00AC4363">
              <w:t xml:space="preserve">0.916 / </w:t>
            </w:r>
            <w:r w:rsidR="00661932" w:rsidRPr="00AC4363">
              <w:t>0.58</w:t>
            </w:r>
          </w:p>
        </w:tc>
      </w:tr>
    </w:tbl>
    <w:p w14:paraId="3B9302A4" w14:textId="32C39EE3" w:rsidR="00A40ED1" w:rsidRPr="00AC4363" w:rsidRDefault="00397D46" w:rsidP="00AC4363">
      <w:pPr>
        <w:jc w:val="center"/>
      </w:pPr>
      <w:r w:rsidRPr="00AC4363">
        <w:rPr>
          <w:i/>
          <w:iCs/>
        </w:rPr>
        <w:t>Nota.</w:t>
      </w:r>
      <w:r w:rsidRPr="00AC4363">
        <w:t xml:space="preserve"> Elaboración propia</w:t>
      </w:r>
      <w:r w:rsidR="00747720" w:rsidRPr="00AC4363">
        <w:t xml:space="preserve"> con base </w:t>
      </w:r>
      <w:r w:rsidR="00161B57" w:rsidRPr="00AC4363">
        <w:t>en</w:t>
      </w:r>
      <w:r w:rsidR="00747720" w:rsidRPr="00AC4363">
        <w:t xml:space="preserve"> resultados</w:t>
      </w:r>
    </w:p>
    <w:p w14:paraId="7C0419D8" w14:textId="44C1F8AE" w:rsidR="005C0EFB" w:rsidRDefault="00757AF6" w:rsidP="0037717A">
      <w:pPr>
        <w:spacing w:after="0" w:line="360" w:lineRule="auto"/>
        <w:ind w:firstLine="708"/>
        <w:jc w:val="both"/>
      </w:pPr>
      <w:r>
        <w:t>Los valores del índice de consistencia interna están cercanos a 0</w:t>
      </w:r>
      <w:r w:rsidR="00747720">
        <w:t>.</w:t>
      </w:r>
      <w:r>
        <w:t xml:space="preserve">9 o lo superan </w:t>
      </w:r>
      <w:r w:rsidR="00F363D5">
        <w:t xml:space="preserve">en </w:t>
      </w:r>
      <w:r>
        <w:t xml:space="preserve">algunas variables latentes. </w:t>
      </w:r>
      <w:r w:rsidR="00747720">
        <w:t xml:space="preserve">Para el índice de </w:t>
      </w:r>
      <w:r w:rsidR="00161B57">
        <w:t>v</w:t>
      </w:r>
      <w:r w:rsidR="00747720">
        <w:t xml:space="preserve">alidez de </w:t>
      </w:r>
      <w:r w:rsidR="00161B57">
        <w:t>c</w:t>
      </w:r>
      <w:r w:rsidR="00747720">
        <w:t>ontenido IVC s</w:t>
      </w:r>
      <w:r w:rsidR="0033152D">
        <w:t>e observa</w:t>
      </w:r>
      <w:r w:rsidR="0075379C">
        <w:t xml:space="preserve"> </w:t>
      </w:r>
      <w:r w:rsidR="0033152D">
        <w:t xml:space="preserve">que </w:t>
      </w:r>
      <w:r w:rsidR="00A85514">
        <w:t xml:space="preserve">en promedio, </w:t>
      </w:r>
      <w:r w:rsidR="0033152D">
        <w:t xml:space="preserve">los </w:t>
      </w:r>
      <w:r>
        <w:t>índices</w:t>
      </w:r>
      <w:r w:rsidR="0033152D">
        <w:t xml:space="preserve"> tienen un valor </w:t>
      </w:r>
      <w:r w:rsidR="0039296B">
        <w:t>arri</w:t>
      </w:r>
      <w:r w:rsidR="00F363D5">
        <w:t>b</w:t>
      </w:r>
      <w:r w:rsidR="0039296B">
        <w:t>a de 0</w:t>
      </w:r>
      <w:r w:rsidR="00747720">
        <w:t>.5</w:t>
      </w:r>
      <w:r w:rsidR="002A519E">
        <w:t>,</w:t>
      </w:r>
      <w:r w:rsidR="00747720">
        <w:t xml:space="preserve"> valor</w:t>
      </w:r>
      <w:r w:rsidR="0033152D">
        <w:t xml:space="preserve"> que se considera aceptable.</w:t>
      </w:r>
      <w:r w:rsidR="0075379C">
        <w:t xml:space="preserve"> En el </w:t>
      </w:r>
      <w:r w:rsidR="0075379C">
        <w:lastRenderedPageBreak/>
        <w:t>modelo matemático de Lawshe</w:t>
      </w:r>
      <w:r w:rsidR="00747720">
        <w:t>,</w:t>
      </w:r>
      <w:r w:rsidR="0075379C">
        <w:t xml:space="preserve"> existe una relación inversa entre el número de expertos que validan un instrumento de evaluación y el valor obtenido del IVC. Para 25 expertos participantes, el valor mínimo que recomienda el autor es de 0.37 (Lawshe,</w:t>
      </w:r>
      <w:r w:rsidR="00C308D3">
        <w:t xml:space="preserve"> 197</w:t>
      </w:r>
      <w:r w:rsidR="00B4389B">
        <w:t>5</w:t>
      </w:r>
      <w:r w:rsidR="00C308D3">
        <w:t>,</w:t>
      </w:r>
      <w:r w:rsidR="0075379C">
        <w:t xml:space="preserve"> p. 568). </w:t>
      </w:r>
      <w:r w:rsidR="000830F9">
        <w:t>La tabla muestra que se obtuv</w:t>
      </w:r>
      <w:r w:rsidR="0096480E">
        <w:t>ieron</w:t>
      </w:r>
      <w:r w:rsidR="000830F9">
        <w:t xml:space="preserve"> </w:t>
      </w:r>
      <w:r w:rsidR="005363CE">
        <w:t>valores superiores a 0.5 para cada variable latente o constructo</w:t>
      </w:r>
      <w:r w:rsidR="008B2071">
        <w:t>. Esto permite afirmar que el instrumento de evaluación es confiable</w:t>
      </w:r>
      <w:r w:rsidR="00993CC3">
        <w:t xml:space="preserve"> y que tiene consistencia interna adecuada</w:t>
      </w:r>
      <w:r w:rsidR="008B2071">
        <w:t>.</w:t>
      </w:r>
    </w:p>
    <w:p w14:paraId="37CCE301" w14:textId="77777777" w:rsidR="00913F75" w:rsidRDefault="00913F75" w:rsidP="004030EF">
      <w:pPr>
        <w:spacing w:after="0" w:line="360" w:lineRule="auto"/>
        <w:jc w:val="both"/>
        <w:rPr>
          <w:b/>
          <w:bCs/>
        </w:rPr>
      </w:pPr>
    </w:p>
    <w:p w14:paraId="6F38A53C" w14:textId="7882963A" w:rsidR="003401D9" w:rsidRPr="00D945F3" w:rsidRDefault="003210D1" w:rsidP="00D945F3">
      <w:pPr>
        <w:spacing w:after="0" w:line="360" w:lineRule="auto"/>
        <w:jc w:val="center"/>
        <w:rPr>
          <w:b/>
          <w:bCs/>
          <w:sz w:val="28"/>
          <w:szCs w:val="28"/>
        </w:rPr>
      </w:pPr>
      <w:r w:rsidRPr="00D945F3">
        <w:rPr>
          <w:b/>
          <w:bCs/>
          <w:sz w:val="28"/>
          <w:szCs w:val="28"/>
        </w:rPr>
        <w:t>Objetivo 2</w:t>
      </w:r>
      <w:r w:rsidR="00D61A42" w:rsidRPr="00D945F3">
        <w:rPr>
          <w:b/>
          <w:bCs/>
          <w:sz w:val="28"/>
          <w:szCs w:val="28"/>
        </w:rPr>
        <w:t xml:space="preserve">: </w:t>
      </w:r>
      <w:r w:rsidR="00D36BE2" w:rsidRPr="00D945F3">
        <w:rPr>
          <w:b/>
          <w:bCs/>
          <w:sz w:val="28"/>
          <w:szCs w:val="28"/>
        </w:rPr>
        <w:t>o</w:t>
      </w:r>
      <w:r w:rsidR="00D61A42" w:rsidRPr="00D945F3">
        <w:rPr>
          <w:b/>
          <w:bCs/>
          <w:sz w:val="28"/>
          <w:szCs w:val="28"/>
        </w:rPr>
        <w:t xml:space="preserve">peracionalización de la </w:t>
      </w:r>
      <w:r w:rsidR="00993CC3" w:rsidRPr="00D945F3">
        <w:rPr>
          <w:b/>
          <w:bCs/>
          <w:sz w:val="28"/>
          <w:szCs w:val="28"/>
        </w:rPr>
        <w:t>v</w:t>
      </w:r>
      <w:r w:rsidR="00D61A42" w:rsidRPr="00D945F3">
        <w:rPr>
          <w:b/>
          <w:bCs/>
          <w:sz w:val="28"/>
          <w:szCs w:val="28"/>
        </w:rPr>
        <w:t xml:space="preserve">ariable </w:t>
      </w:r>
      <w:r w:rsidR="00837BA0" w:rsidRPr="00D945F3">
        <w:rPr>
          <w:b/>
          <w:bCs/>
          <w:sz w:val="28"/>
          <w:szCs w:val="28"/>
        </w:rPr>
        <w:t>L</w:t>
      </w:r>
      <w:r w:rsidR="00D61A42" w:rsidRPr="00D945F3">
        <w:rPr>
          <w:b/>
          <w:bCs/>
          <w:sz w:val="28"/>
          <w:szCs w:val="28"/>
        </w:rPr>
        <w:t xml:space="preserve">ogro de la </w:t>
      </w:r>
      <w:r w:rsidR="00993CC3" w:rsidRPr="00D945F3">
        <w:rPr>
          <w:b/>
          <w:bCs/>
          <w:sz w:val="28"/>
          <w:szCs w:val="28"/>
        </w:rPr>
        <w:t>c</w:t>
      </w:r>
      <w:r w:rsidR="00D61A42" w:rsidRPr="00D945F3">
        <w:rPr>
          <w:b/>
          <w:bCs/>
          <w:sz w:val="28"/>
          <w:szCs w:val="28"/>
        </w:rPr>
        <w:t xml:space="preserve">ompetencia </w:t>
      </w:r>
    </w:p>
    <w:p w14:paraId="58CD13D8" w14:textId="67C6C304" w:rsidR="00C33A2D" w:rsidRDefault="00C33A2D" w:rsidP="0037717A">
      <w:pPr>
        <w:spacing w:after="0" w:line="360" w:lineRule="auto"/>
        <w:ind w:firstLine="708"/>
        <w:jc w:val="both"/>
      </w:pPr>
      <w:r w:rsidRPr="001360A3">
        <w:t xml:space="preserve">La Figura 1 muestra </w:t>
      </w:r>
      <w:r w:rsidR="00A71647">
        <w:t>el</w:t>
      </w:r>
      <w:r w:rsidRPr="001360A3">
        <w:t xml:space="preserve"> proceso </w:t>
      </w:r>
      <w:r w:rsidR="005C0EFB">
        <w:t>de la</w:t>
      </w:r>
      <w:r w:rsidRPr="001360A3">
        <w:t xml:space="preserve"> operacional</w:t>
      </w:r>
      <w:r w:rsidR="005C0EFB">
        <w:t>ización de</w:t>
      </w:r>
      <w:r w:rsidR="00F6676D">
        <w:t xml:space="preserve"> la</w:t>
      </w:r>
      <w:r w:rsidRPr="001360A3">
        <w:t xml:space="preserve"> variable,</w:t>
      </w:r>
      <w:r w:rsidR="00F6676D">
        <w:t xml:space="preserve"> Logro de la competencia</w:t>
      </w:r>
      <w:r w:rsidR="00837BA0">
        <w:t xml:space="preserve">, </w:t>
      </w:r>
      <w:r w:rsidRPr="001360A3">
        <w:t>con sus elementos constitutivos característicos</w:t>
      </w:r>
      <w:r w:rsidR="00A71647">
        <w:t>. La figura muestra la estrecha relación de la función docente y los instrumentos de evaluación validados estad</w:t>
      </w:r>
      <w:r w:rsidR="00D61A42">
        <w:t>í</w:t>
      </w:r>
      <w:r w:rsidR="00A71647">
        <w:t>sticamente.</w:t>
      </w:r>
    </w:p>
    <w:p w14:paraId="4C8E9FA2" w14:textId="77777777" w:rsidR="00AC4363" w:rsidRPr="001360A3" w:rsidRDefault="00AC4363" w:rsidP="0037717A">
      <w:pPr>
        <w:spacing w:after="0" w:line="360" w:lineRule="auto"/>
        <w:ind w:firstLine="708"/>
        <w:jc w:val="both"/>
      </w:pPr>
    </w:p>
    <w:p w14:paraId="7D2613C6" w14:textId="06DD1238" w:rsidR="00C33A2D" w:rsidRPr="00657DF8" w:rsidRDefault="00C33A2D" w:rsidP="00AC4363">
      <w:pPr>
        <w:spacing w:after="0" w:line="360" w:lineRule="auto"/>
        <w:jc w:val="center"/>
        <w:rPr>
          <w:i/>
          <w:iCs/>
        </w:rPr>
      </w:pPr>
      <w:r w:rsidRPr="00CF72C1">
        <w:rPr>
          <w:b/>
          <w:bCs/>
        </w:rPr>
        <w:t>Figura 1</w:t>
      </w:r>
      <w:r w:rsidR="00AC4363">
        <w:rPr>
          <w:b/>
          <w:bCs/>
        </w:rPr>
        <w:t xml:space="preserve">. </w:t>
      </w:r>
      <w:r w:rsidRPr="00AC4363">
        <w:t>Operacionalización de la variable Logro de la competencia específica o genérica</w:t>
      </w:r>
    </w:p>
    <w:p w14:paraId="38D19202" w14:textId="77777777" w:rsidR="00C33A2D" w:rsidRPr="001360A3" w:rsidRDefault="00C33A2D" w:rsidP="004030EF">
      <w:pPr>
        <w:spacing w:after="0" w:line="360" w:lineRule="auto"/>
        <w:jc w:val="center"/>
      </w:pPr>
      <w:r w:rsidRPr="001360A3">
        <w:rPr>
          <w:noProof/>
        </w:rPr>
        <w:drawing>
          <wp:inline distT="0" distB="0" distL="0" distR="0" wp14:anchorId="4C9D9B59" wp14:editId="7AF476F3">
            <wp:extent cx="4612902" cy="2751666"/>
            <wp:effectExtent l="0" t="0" r="0" b="4445"/>
            <wp:docPr id="57704317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043177" name="Imagen 577043177"/>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11546" cy="2870160"/>
                    </a:xfrm>
                    <a:prstGeom prst="rect">
                      <a:avLst/>
                    </a:prstGeom>
                  </pic:spPr>
                </pic:pic>
              </a:graphicData>
            </a:graphic>
          </wp:inline>
        </w:drawing>
      </w:r>
    </w:p>
    <w:p w14:paraId="5ADB32F6" w14:textId="61698E76" w:rsidR="00C33A2D" w:rsidRPr="00AC4363" w:rsidRDefault="00C33A2D" w:rsidP="004030EF">
      <w:pPr>
        <w:spacing w:after="0" w:line="360" w:lineRule="auto"/>
        <w:jc w:val="center"/>
      </w:pPr>
      <w:r w:rsidRPr="00AC4363">
        <w:t>Nota. Elaboración propia</w:t>
      </w:r>
    </w:p>
    <w:p w14:paraId="263EF836" w14:textId="00C85BB4" w:rsidR="00C33A2D" w:rsidRPr="001360A3" w:rsidRDefault="00A71647" w:rsidP="0037717A">
      <w:pPr>
        <w:spacing w:after="0" w:line="360" w:lineRule="auto"/>
        <w:ind w:firstLine="708"/>
        <w:jc w:val="both"/>
      </w:pPr>
      <w:r>
        <w:t>En la parte inferior s</w:t>
      </w:r>
      <w:r w:rsidR="00C33A2D" w:rsidRPr="001360A3">
        <w:t xml:space="preserve">e observa la interrelación del indicador, la escala de medición, el estándar y el instrumento de medición. De acuerdo con </w:t>
      </w:r>
      <w:r w:rsidR="00C33A2D" w:rsidRPr="00C308D3">
        <w:fldChar w:fldCharType="begin"/>
      </w:r>
      <w:r w:rsidR="00C33A2D" w:rsidRPr="00C308D3">
        <w:instrText xml:space="preserve"> ADDIN EN.CITE &lt;EndNote&gt;&lt;Cite&gt;&lt;Author&gt;Creswell&lt;/Author&gt;&lt;Year&gt;2023&lt;/Year&gt;&lt;IDText&gt;Cualitative Inquiry &amp;amp; Research Design.&lt;/IDText&gt;&lt;DisplayText&gt;(Creswell &amp;amp; Ch., 2023)&lt;/DisplayText&gt;&lt;record&gt;&lt;titles&gt;&lt;title&gt;Cualitative Inquiry &amp;amp; Research Design.&amp;#xA;Choosing among Five Approaches&lt;/title&gt;&lt;/titles&gt;&lt;contributors&gt;&lt;authors&gt;&lt;author&gt;Creswell, W. J.&lt;/author&gt;&lt;author&gt;PothN. Ch.&lt;/author&gt;&lt;/authors&gt;&lt;/contributors&gt;&lt;edition&gt;5&lt;/edition&gt;&lt;added-date format="utc"&gt;1709933075&lt;/added-date&gt;&lt;ref-type name="Book"&gt;6&lt;/ref-type&gt;&lt;dates&gt;&lt;year&gt;2023&lt;/year&gt;&lt;/dates&gt;&lt;rec-number&gt;1221&lt;/rec-number&gt;&lt;publisher&gt;Sage&lt;/publisher&gt;&lt;last-updated-date format="utc"&gt;1709933477&lt;/last-updated-date&gt;&lt;/record&gt;&lt;/Cite&gt;&lt;/EndNote&gt;</w:instrText>
      </w:r>
      <w:r w:rsidR="00C33A2D" w:rsidRPr="00C308D3">
        <w:fldChar w:fldCharType="separate"/>
      </w:r>
      <w:r w:rsidR="00C33A2D" w:rsidRPr="00C308D3">
        <w:rPr>
          <w:noProof/>
        </w:rPr>
        <w:t xml:space="preserve">Creswell </w:t>
      </w:r>
      <w:r w:rsidR="00C308D3">
        <w:rPr>
          <w:noProof/>
        </w:rPr>
        <w:t>y</w:t>
      </w:r>
      <w:r w:rsidR="00C33A2D" w:rsidRPr="00C308D3">
        <w:rPr>
          <w:noProof/>
        </w:rPr>
        <w:t xml:space="preserve"> C</w:t>
      </w:r>
      <w:r w:rsidR="00C308D3">
        <w:rPr>
          <w:noProof/>
        </w:rPr>
        <w:t>reswell</w:t>
      </w:r>
      <w:r w:rsidR="00C33A2D" w:rsidRPr="00C308D3">
        <w:rPr>
          <w:noProof/>
        </w:rPr>
        <w:t xml:space="preserve"> </w:t>
      </w:r>
      <w:r w:rsidR="00C308D3">
        <w:rPr>
          <w:noProof/>
        </w:rPr>
        <w:t>(</w:t>
      </w:r>
      <w:r w:rsidR="00C33A2D" w:rsidRPr="00C308D3">
        <w:rPr>
          <w:noProof/>
        </w:rPr>
        <w:t>2023)</w:t>
      </w:r>
      <w:r w:rsidR="00C33A2D" w:rsidRPr="00C308D3">
        <w:fldChar w:fldCharType="end"/>
      </w:r>
      <w:r w:rsidR="00F363D5">
        <w:rPr>
          <w:color w:val="C00000"/>
        </w:rPr>
        <w:t>,</w:t>
      </w:r>
      <w:r w:rsidR="00C33A2D" w:rsidRPr="001360A3">
        <w:t xml:space="preserve"> las funciones de estos elementos con los que se operacionaliza una variable son:</w:t>
      </w:r>
    </w:p>
    <w:p w14:paraId="58C4F839" w14:textId="7E3DD745" w:rsidR="00C33A2D" w:rsidRPr="00AC4363" w:rsidRDefault="00C33A2D" w:rsidP="004030EF">
      <w:pPr>
        <w:pStyle w:val="Prrafodelista"/>
        <w:numPr>
          <w:ilvl w:val="0"/>
          <w:numId w:val="23"/>
        </w:numPr>
        <w:spacing w:after="0" w:line="360" w:lineRule="auto"/>
        <w:rPr>
          <w:rFonts w:ascii="Times New Roman" w:hAnsi="Times New Roman" w:cs="Times New Roman"/>
        </w:rPr>
      </w:pPr>
      <w:r w:rsidRPr="00AC4363">
        <w:rPr>
          <w:rFonts w:ascii="Times New Roman" w:hAnsi="Times New Roman" w:cs="Times New Roman"/>
        </w:rPr>
        <w:t xml:space="preserve">El </w:t>
      </w:r>
      <w:r w:rsidR="00D36BE2" w:rsidRPr="00AC4363">
        <w:rPr>
          <w:rFonts w:ascii="Times New Roman" w:hAnsi="Times New Roman" w:cs="Times New Roman"/>
        </w:rPr>
        <w:t>i</w:t>
      </w:r>
      <w:r w:rsidRPr="00AC4363">
        <w:rPr>
          <w:rFonts w:ascii="Times New Roman" w:hAnsi="Times New Roman" w:cs="Times New Roman"/>
        </w:rPr>
        <w:t>ndicador</w:t>
      </w:r>
      <w:r w:rsidR="00122F64" w:rsidRPr="00AC4363">
        <w:rPr>
          <w:rFonts w:ascii="Times New Roman" w:hAnsi="Times New Roman" w:cs="Times New Roman"/>
        </w:rPr>
        <w:t>:</w:t>
      </w:r>
      <w:r w:rsidR="00F6676D" w:rsidRPr="00AC4363">
        <w:rPr>
          <w:rFonts w:ascii="Times New Roman" w:hAnsi="Times New Roman" w:cs="Times New Roman"/>
        </w:rPr>
        <w:t xml:space="preserve"> El</w:t>
      </w:r>
      <w:r w:rsidRPr="00AC4363">
        <w:rPr>
          <w:rFonts w:ascii="Times New Roman" w:hAnsi="Times New Roman" w:cs="Times New Roman"/>
        </w:rPr>
        <w:t xml:space="preserve"> ítem en un instrumento de evaluación es una representación o manifestación observable y medible de una variable </w:t>
      </w:r>
      <w:r w:rsidR="00F6676D" w:rsidRPr="00AC4363">
        <w:rPr>
          <w:rFonts w:ascii="Times New Roman" w:hAnsi="Times New Roman" w:cs="Times New Roman"/>
        </w:rPr>
        <w:t xml:space="preserve">latente </w:t>
      </w:r>
      <w:r w:rsidRPr="00AC4363">
        <w:rPr>
          <w:rFonts w:ascii="Times New Roman" w:hAnsi="Times New Roman" w:cs="Times New Roman"/>
        </w:rPr>
        <w:t>que queremos estudiar</w:t>
      </w:r>
      <w:r w:rsidR="00F6676D" w:rsidRPr="00AC4363">
        <w:rPr>
          <w:rFonts w:ascii="Times New Roman" w:hAnsi="Times New Roman" w:cs="Times New Roman"/>
        </w:rPr>
        <w:t xml:space="preserve"> y medir</w:t>
      </w:r>
      <w:r w:rsidRPr="00AC4363">
        <w:rPr>
          <w:rFonts w:ascii="Times New Roman" w:hAnsi="Times New Roman" w:cs="Times New Roman"/>
        </w:rPr>
        <w:t>. Los indicadores son aspectos concretos, observables y medibles de la variable que se está estudiando para cuantificarla.</w:t>
      </w:r>
    </w:p>
    <w:p w14:paraId="17737CEC" w14:textId="160172A1" w:rsidR="00C33A2D" w:rsidRPr="00AC4363" w:rsidRDefault="00C33A2D" w:rsidP="004030EF">
      <w:pPr>
        <w:pStyle w:val="Prrafodelista"/>
        <w:numPr>
          <w:ilvl w:val="0"/>
          <w:numId w:val="23"/>
        </w:numPr>
        <w:spacing w:after="0" w:line="360" w:lineRule="auto"/>
        <w:rPr>
          <w:rFonts w:ascii="Times New Roman" w:hAnsi="Times New Roman" w:cs="Times New Roman"/>
        </w:rPr>
      </w:pPr>
      <w:r w:rsidRPr="00AC4363">
        <w:rPr>
          <w:rFonts w:ascii="Times New Roman" w:hAnsi="Times New Roman" w:cs="Times New Roman"/>
        </w:rPr>
        <w:lastRenderedPageBreak/>
        <w:t xml:space="preserve">La </w:t>
      </w:r>
      <w:r w:rsidR="00D36BE2" w:rsidRPr="00AC4363">
        <w:rPr>
          <w:rFonts w:ascii="Times New Roman" w:hAnsi="Times New Roman" w:cs="Times New Roman"/>
        </w:rPr>
        <w:t>e</w:t>
      </w:r>
      <w:r w:rsidRPr="00AC4363">
        <w:rPr>
          <w:rFonts w:ascii="Times New Roman" w:hAnsi="Times New Roman" w:cs="Times New Roman"/>
        </w:rPr>
        <w:t>scala de medición</w:t>
      </w:r>
      <w:r w:rsidR="00122F64" w:rsidRPr="00AC4363">
        <w:rPr>
          <w:rFonts w:ascii="Times New Roman" w:hAnsi="Times New Roman" w:cs="Times New Roman"/>
        </w:rPr>
        <w:t xml:space="preserve">: </w:t>
      </w:r>
      <w:r w:rsidRPr="00AC4363">
        <w:rPr>
          <w:rFonts w:ascii="Times New Roman" w:hAnsi="Times New Roman" w:cs="Times New Roman"/>
        </w:rPr>
        <w:t>define cómo se van a medir los indicadores y, por ende, la variable que representan. La escala de medición establece las categorías o niveles en los que se va a</w:t>
      </w:r>
      <w:r w:rsidR="00A71647" w:rsidRPr="00AC4363">
        <w:rPr>
          <w:rFonts w:ascii="Times New Roman" w:hAnsi="Times New Roman" w:cs="Times New Roman"/>
        </w:rPr>
        <w:t xml:space="preserve"> </w:t>
      </w:r>
      <w:r w:rsidRPr="00AC4363">
        <w:rPr>
          <w:rFonts w:ascii="Times New Roman" w:hAnsi="Times New Roman" w:cs="Times New Roman"/>
        </w:rPr>
        <w:t>clasificar y cuantificar la variable.</w:t>
      </w:r>
    </w:p>
    <w:p w14:paraId="448C37E2" w14:textId="589DB6F5" w:rsidR="00C33A2D" w:rsidRPr="00325D44" w:rsidRDefault="00F6676D" w:rsidP="004030EF">
      <w:pPr>
        <w:pStyle w:val="Prrafodelista"/>
        <w:numPr>
          <w:ilvl w:val="0"/>
          <w:numId w:val="23"/>
        </w:numPr>
        <w:spacing w:after="0" w:line="360" w:lineRule="auto"/>
        <w:rPr>
          <w:rFonts w:ascii="Times New Roman" w:hAnsi="Times New Roman" w:cs="Times New Roman"/>
        </w:rPr>
      </w:pPr>
      <w:r w:rsidRPr="00AC4363">
        <w:rPr>
          <w:rFonts w:ascii="Times New Roman" w:hAnsi="Times New Roman" w:cs="Times New Roman"/>
        </w:rPr>
        <w:t xml:space="preserve">El </w:t>
      </w:r>
      <w:r w:rsidR="00D36BE2" w:rsidRPr="00AC4363">
        <w:rPr>
          <w:rFonts w:ascii="Times New Roman" w:hAnsi="Times New Roman" w:cs="Times New Roman"/>
        </w:rPr>
        <w:t>e</w:t>
      </w:r>
      <w:r w:rsidR="00C33A2D" w:rsidRPr="00AC4363">
        <w:rPr>
          <w:rFonts w:ascii="Times New Roman" w:hAnsi="Times New Roman" w:cs="Times New Roman"/>
        </w:rPr>
        <w:t>stándar</w:t>
      </w:r>
      <w:r w:rsidR="00122F64" w:rsidRPr="00AC4363">
        <w:rPr>
          <w:rFonts w:ascii="Times New Roman" w:hAnsi="Times New Roman" w:cs="Times New Roman"/>
        </w:rPr>
        <w:t>:</w:t>
      </w:r>
      <w:r w:rsidR="00C33A2D" w:rsidRPr="00AC4363">
        <w:rPr>
          <w:rFonts w:ascii="Times New Roman" w:hAnsi="Times New Roman" w:cs="Times New Roman"/>
        </w:rPr>
        <w:t xml:space="preserve"> proporciona</w:t>
      </w:r>
      <w:r w:rsidR="00C33A2D" w:rsidRPr="00325D44">
        <w:rPr>
          <w:rFonts w:ascii="Times New Roman" w:hAnsi="Times New Roman" w:cs="Times New Roman"/>
        </w:rPr>
        <w:t xml:space="preserve"> una referencia o punto de comparación para la medición de los indicadores en la escala elegida. El estándar es un punto de referencia que ayuda a contextualizar y precisar el valor de la escala</w:t>
      </w:r>
      <w:r w:rsidRPr="00325D44">
        <w:rPr>
          <w:rFonts w:ascii="Times New Roman" w:hAnsi="Times New Roman" w:cs="Times New Roman"/>
        </w:rPr>
        <w:t xml:space="preserve"> </w:t>
      </w:r>
      <w:r w:rsidRPr="00325D44">
        <w:rPr>
          <w:rFonts w:ascii="Times New Roman" w:hAnsi="Times New Roman" w:cs="Times New Roman"/>
        </w:rPr>
        <w:fldChar w:fldCharType="begin"/>
      </w:r>
      <w:r w:rsidRPr="00325D44">
        <w:rPr>
          <w:rFonts w:ascii="Times New Roman" w:hAnsi="Times New Roman" w:cs="Times New Roman"/>
        </w:rPr>
        <w:instrText xml:space="preserve"> ADDIN EN.CITE &lt;EndNote&gt;&lt;Cite&gt;&lt;Author&gt;Espinoza&lt;/Author&gt;&lt;Year&gt;2019&lt;/Year&gt;&lt;IDText&gt;La variable y su operacionalización en la investigación educativa. Segunda parte.&lt;/IDText&gt;&lt;DisplayText&gt;(Espinoza, 2019)&lt;/DisplayText&gt;&lt;record&gt;&lt;urls&gt;&lt;related-urls&gt;&lt;url&gt;http://conrado.ucf.edu.cu/index.php/conrado&lt;/url&gt;&lt;/related-urls&gt;&lt;/urls&gt;&lt;titles&gt;&lt;title&gt;La variable y su operacionalización en la investigación educativa. Segunda parte.&lt;/title&gt;&lt;secondary-title&gt;Revista Conrado&lt;/secondary-title&gt;&lt;/titles&gt;&lt;pages&gt;171-180&lt;/pages&gt;&lt;number&gt;69&lt;/number&gt;&lt;contributors&gt;&lt;authors&gt;&lt;author&gt;Espinoza, E. E.&lt;/author&gt;&lt;/authors&gt;&lt;/contributors&gt;&lt;added-date format="utc"&gt;1678466574&lt;/added-date&gt;&lt;ref-type name="Magazine Article"&gt;19&lt;/ref-type&gt;&lt;dates&gt;&lt;year&gt;2019&lt;/year&gt;&lt;/dates&gt;&lt;rec-number&gt;1066&lt;/rec-number&gt;&lt;publisher&gt;Universidad Técnica de Machala, Ecuador&lt;/publisher&gt;&lt;last-updated-date format="utc"&gt;1678466795&lt;/last-updated-date&gt;&lt;volume&gt;15&lt;/volume&gt;&lt;/record&gt;&lt;/Cite&gt;&lt;/EndNote&gt;</w:instrText>
      </w:r>
      <w:r w:rsidRPr="00325D44">
        <w:rPr>
          <w:rFonts w:ascii="Times New Roman" w:hAnsi="Times New Roman" w:cs="Times New Roman"/>
        </w:rPr>
        <w:fldChar w:fldCharType="separate"/>
      </w:r>
      <w:r w:rsidRPr="00325D44">
        <w:rPr>
          <w:rFonts w:ascii="Times New Roman" w:hAnsi="Times New Roman" w:cs="Times New Roman"/>
          <w:noProof/>
        </w:rPr>
        <w:t>(Espinoza, 2019)</w:t>
      </w:r>
      <w:r w:rsidRPr="00325D44">
        <w:rPr>
          <w:rFonts w:ascii="Times New Roman" w:hAnsi="Times New Roman" w:cs="Times New Roman"/>
        </w:rPr>
        <w:fldChar w:fldCharType="end"/>
      </w:r>
      <w:r w:rsidRPr="00325D44">
        <w:rPr>
          <w:rFonts w:ascii="Times New Roman" w:hAnsi="Times New Roman" w:cs="Times New Roman"/>
        </w:rPr>
        <w:t xml:space="preserve">. </w:t>
      </w:r>
      <w:r w:rsidR="00C33A2D" w:rsidRPr="00325D44">
        <w:rPr>
          <w:rFonts w:ascii="Times New Roman" w:hAnsi="Times New Roman" w:cs="Times New Roman"/>
        </w:rPr>
        <w:t xml:space="preserve">En el TecNM la calificación mínima aprobatoria es </w:t>
      </w:r>
      <w:r w:rsidR="00122F64">
        <w:rPr>
          <w:rFonts w:ascii="Times New Roman" w:hAnsi="Times New Roman" w:cs="Times New Roman"/>
        </w:rPr>
        <w:t>igual o mayor que</w:t>
      </w:r>
      <w:r w:rsidR="00C33A2D" w:rsidRPr="00325D44">
        <w:rPr>
          <w:rFonts w:ascii="Times New Roman" w:hAnsi="Times New Roman" w:cs="Times New Roman"/>
        </w:rPr>
        <w:t xml:space="preserve"> 70</w:t>
      </w:r>
      <w:r w:rsidR="00122F64">
        <w:rPr>
          <w:rFonts w:ascii="Times New Roman" w:hAnsi="Times New Roman" w:cs="Times New Roman"/>
        </w:rPr>
        <w:t xml:space="preserve"> </w:t>
      </w:r>
      <w:r w:rsidRPr="00325D44">
        <w:rPr>
          <w:rFonts w:ascii="Times New Roman" w:hAnsi="Times New Roman" w:cs="Times New Roman"/>
        </w:rPr>
        <w:t>(TecNM, 2016).</w:t>
      </w:r>
    </w:p>
    <w:p w14:paraId="2482AD3C" w14:textId="35875E42" w:rsidR="00653385" w:rsidRDefault="00653385" w:rsidP="0037717A">
      <w:pPr>
        <w:spacing w:after="0" w:line="360" w:lineRule="auto"/>
        <w:ind w:firstLine="708"/>
        <w:jc w:val="both"/>
      </w:pPr>
      <w:r w:rsidRPr="00653385">
        <w:t xml:space="preserve">La Figura </w:t>
      </w:r>
      <w:r>
        <w:t xml:space="preserve">1 puede utilizarse para representar y operacionalizar </w:t>
      </w:r>
      <w:r w:rsidR="008B2071">
        <w:t xml:space="preserve">el proceso de evaluación de la competencia utilizando </w:t>
      </w:r>
      <w:r>
        <w:t>la instrumentación didáctica del modelo educativo del TecNM</w:t>
      </w:r>
      <w:r w:rsidR="008B2071">
        <w:t>.</w:t>
      </w:r>
    </w:p>
    <w:p w14:paraId="6AAA6BED" w14:textId="77777777" w:rsidR="00A85514" w:rsidRPr="00A85514" w:rsidRDefault="00A85514" w:rsidP="004030EF">
      <w:pPr>
        <w:spacing w:after="0" w:line="360" w:lineRule="auto"/>
        <w:jc w:val="both"/>
      </w:pPr>
    </w:p>
    <w:p w14:paraId="24C51944" w14:textId="260AF745" w:rsidR="00AF42D8" w:rsidRPr="00D945F3" w:rsidRDefault="00A71647" w:rsidP="00D945F3">
      <w:pPr>
        <w:spacing w:after="0" w:line="360" w:lineRule="auto"/>
        <w:jc w:val="center"/>
        <w:rPr>
          <w:b/>
          <w:bCs/>
          <w:sz w:val="28"/>
          <w:szCs w:val="28"/>
        </w:rPr>
      </w:pPr>
      <w:r w:rsidRPr="00D945F3">
        <w:rPr>
          <w:b/>
          <w:bCs/>
          <w:sz w:val="28"/>
          <w:szCs w:val="28"/>
        </w:rPr>
        <w:t>Ob</w:t>
      </w:r>
      <w:r w:rsidR="00D61A42" w:rsidRPr="00D945F3">
        <w:rPr>
          <w:b/>
          <w:bCs/>
          <w:sz w:val="28"/>
          <w:szCs w:val="28"/>
        </w:rPr>
        <w:t xml:space="preserve">jetivo 3: </w:t>
      </w:r>
      <w:r w:rsidR="00D36BE2" w:rsidRPr="00D945F3">
        <w:rPr>
          <w:b/>
          <w:bCs/>
          <w:sz w:val="28"/>
          <w:szCs w:val="28"/>
        </w:rPr>
        <w:t>a</w:t>
      </w:r>
      <w:r w:rsidR="00D61A42" w:rsidRPr="00D945F3">
        <w:rPr>
          <w:b/>
          <w:bCs/>
          <w:sz w:val="28"/>
          <w:szCs w:val="28"/>
        </w:rPr>
        <w:t xml:space="preserve">nálisis </w:t>
      </w:r>
      <w:r w:rsidR="00122F64" w:rsidRPr="00D945F3">
        <w:rPr>
          <w:b/>
          <w:bCs/>
          <w:sz w:val="28"/>
          <w:szCs w:val="28"/>
        </w:rPr>
        <w:t>f</w:t>
      </w:r>
      <w:r w:rsidR="00D61A42" w:rsidRPr="00D945F3">
        <w:rPr>
          <w:b/>
          <w:bCs/>
          <w:sz w:val="28"/>
          <w:szCs w:val="28"/>
        </w:rPr>
        <w:t xml:space="preserve">actorial </w:t>
      </w:r>
      <w:r w:rsidR="00122F64" w:rsidRPr="00D945F3">
        <w:rPr>
          <w:b/>
          <w:bCs/>
          <w:sz w:val="28"/>
          <w:szCs w:val="28"/>
        </w:rPr>
        <w:t>e</w:t>
      </w:r>
      <w:r w:rsidR="00D61A42" w:rsidRPr="00D945F3">
        <w:rPr>
          <w:b/>
          <w:bCs/>
          <w:sz w:val="28"/>
          <w:szCs w:val="28"/>
        </w:rPr>
        <w:t>xploratorio</w:t>
      </w:r>
    </w:p>
    <w:p w14:paraId="63CE5F21" w14:textId="45001561" w:rsidR="00BD3774" w:rsidRDefault="009C5C52" w:rsidP="0037717A">
      <w:pPr>
        <w:spacing w:after="0" w:line="360" w:lineRule="auto"/>
        <w:ind w:firstLine="708"/>
        <w:jc w:val="both"/>
      </w:pPr>
      <w:r>
        <w:t>En este objetivo s</w:t>
      </w:r>
      <w:r w:rsidR="00F6676D" w:rsidRPr="00F6676D">
        <w:t>e planteó explorar la validez del modelo teórico a través de la reducción de su dimensionalidad</w:t>
      </w:r>
      <w:r w:rsidR="00F6676D">
        <w:t xml:space="preserve">, expresada en la hipótesis: </w:t>
      </w:r>
      <w:r w:rsidR="00F6676D" w:rsidRPr="00F6676D">
        <w:t xml:space="preserve">Existe una estructura subyacente de factores latentes que explica las relaciones entre los indicadores de alcance redactados como resultados de aprendizaje, justificando la reducción de factores mediante un análisis factorial exploratorio con rotación </w:t>
      </w:r>
      <w:r w:rsidR="00F6676D">
        <w:t>V</w:t>
      </w:r>
      <w:r w:rsidR="00F6676D" w:rsidRPr="00F6676D">
        <w:t>arimax</w:t>
      </w:r>
      <w:r>
        <w:t>.</w:t>
      </w:r>
      <w:r w:rsidR="00FE3B63">
        <w:t xml:space="preserve"> Se realizaron dos AFE para la reducción de factores</w:t>
      </w:r>
      <w:r w:rsidR="008B2071">
        <w:t xml:space="preserve"> desde las once variables latentes</w:t>
      </w:r>
      <w:r w:rsidR="00FE3B63">
        <w:t>; en el primero se usó un valor absoluto de carga factorial inferior a 0.4 y en el segundo</w:t>
      </w:r>
      <w:r w:rsidR="00DC7E33">
        <w:t>, con valores inferiores a 0.5</w:t>
      </w:r>
      <w:r w:rsidR="008B2071">
        <w:t>.</w:t>
      </w:r>
    </w:p>
    <w:p w14:paraId="7653A474" w14:textId="006A71E8" w:rsidR="00F6676D" w:rsidRDefault="009B654D" w:rsidP="0037717A">
      <w:pPr>
        <w:spacing w:after="0" w:line="360" w:lineRule="auto"/>
        <w:ind w:firstLine="708"/>
        <w:jc w:val="both"/>
      </w:pPr>
      <w:r>
        <w:t xml:space="preserve">Al realizar el </w:t>
      </w:r>
      <w:r w:rsidR="007D42EC">
        <w:t xml:space="preserve">primer proceso de reducción de factores mediante el </w:t>
      </w:r>
      <w:r>
        <w:t>AFE</w:t>
      </w:r>
      <w:r w:rsidR="007D42EC">
        <w:t>,</w:t>
      </w:r>
      <w:r>
        <w:t xml:space="preserve"> se obtuvo la Tabla </w:t>
      </w:r>
      <w:r w:rsidR="007F403E">
        <w:t>4</w:t>
      </w:r>
      <w:r>
        <w:t xml:space="preserve"> para el grupo de variables latentes </w:t>
      </w:r>
      <w:r w:rsidRPr="009B654D">
        <w:rPr>
          <w:i/>
          <w:iCs/>
        </w:rPr>
        <w:t>Procesamiento de la información</w:t>
      </w:r>
      <w:r w:rsidR="00CB7D6D">
        <w:rPr>
          <w:i/>
          <w:iCs/>
        </w:rPr>
        <w:t>.</w:t>
      </w:r>
      <w:r w:rsidR="00CB7D6D">
        <w:t xml:space="preserve"> Se observa que los índices de comunalidad </w:t>
      </w:r>
      <w:r w:rsidR="00FD471C">
        <w:t>tienen valores que se consideran aceptables, por arriba de 0.5 para cada factor, conforme a lo establecido por Brown (2006), quien afirma que los factores están capturando una parte importante de la varianza de las variables observadas.</w:t>
      </w:r>
    </w:p>
    <w:p w14:paraId="37D73C6F" w14:textId="77777777" w:rsidR="00AC4363" w:rsidRDefault="00AC4363" w:rsidP="0037717A">
      <w:pPr>
        <w:spacing w:after="0" w:line="360" w:lineRule="auto"/>
        <w:ind w:firstLine="708"/>
        <w:jc w:val="both"/>
      </w:pPr>
    </w:p>
    <w:p w14:paraId="45251B9D" w14:textId="77777777" w:rsidR="008E3143" w:rsidRDefault="008E3143" w:rsidP="0037717A">
      <w:pPr>
        <w:spacing w:after="0" w:line="360" w:lineRule="auto"/>
        <w:ind w:firstLine="708"/>
        <w:jc w:val="both"/>
      </w:pPr>
    </w:p>
    <w:p w14:paraId="31DEB43D" w14:textId="77777777" w:rsidR="008E3143" w:rsidRDefault="008E3143" w:rsidP="0037717A">
      <w:pPr>
        <w:spacing w:after="0" w:line="360" w:lineRule="auto"/>
        <w:ind w:firstLine="708"/>
        <w:jc w:val="both"/>
      </w:pPr>
    </w:p>
    <w:p w14:paraId="11868DD1" w14:textId="77777777" w:rsidR="008E3143" w:rsidRDefault="008E3143" w:rsidP="0037717A">
      <w:pPr>
        <w:spacing w:after="0" w:line="360" w:lineRule="auto"/>
        <w:ind w:firstLine="708"/>
        <w:jc w:val="both"/>
      </w:pPr>
    </w:p>
    <w:p w14:paraId="50957012" w14:textId="77777777" w:rsidR="008E3143" w:rsidRDefault="008E3143" w:rsidP="0037717A">
      <w:pPr>
        <w:spacing w:after="0" w:line="360" w:lineRule="auto"/>
        <w:ind w:firstLine="708"/>
        <w:jc w:val="both"/>
      </w:pPr>
    </w:p>
    <w:p w14:paraId="66CAAFB4" w14:textId="77777777" w:rsidR="008E3143" w:rsidRDefault="008E3143" w:rsidP="0037717A">
      <w:pPr>
        <w:spacing w:after="0" w:line="360" w:lineRule="auto"/>
        <w:ind w:firstLine="708"/>
        <w:jc w:val="both"/>
      </w:pPr>
    </w:p>
    <w:p w14:paraId="4CE4E3B5" w14:textId="77777777" w:rsidR="008E3143" w:rsidRDefault="008E3143" w:rsidP="0037717A">
      <w:pPr>
        <w:spacing w:after="0" w:line="360" w:lineRule="auto"/>
        <w:ind w:firstLine="708"/>
        <w:jc w:val="both"/>
      </w:pPr>
    </w:p>
    <w:p w14:paraId="1F34512B" w14:textId="77777777" w:rsidR="008E3143" w:rsidRDefault="008E3143" w:rsidP="0037717A">
      <w:pPr>
        <w:spacing w:after="0" w:line="360" w:lineRule="auto"/>
        <w:ind w:firstLine="708"/>
        <w:jc w:val="both"/>
      </w:pPr>
    </w:p>
    <w:p w14:paraId="5C5A2197" w14:textId="77777777" w:rsidR="008E3143" w:rsidRPr="00CB7D6D" w:rsidRDefault="008E3143" w:rsidP="0037717A">
      <w:pPr>
        <w:spacing w:after="0" w:line="360" w:lineRule="auto"/>
        <w:ind w:firstLine="708"/>
        <w:jc w:val="both"/>
      </w:pPr>
    </w:p>
    <w:p w14:paraId="2F25B0DF" w14:textId="4AA2CE97" w:rsidR="004E15E7" w:rsidRPr="003025C6" w:rsidRDefault="004E15E7" w:rsidP="00AC4363">
      <w:pPr>
        <w:ind w:right="-713"/>
        <w:jc w:val="center"/>
        <w:rPr>
          <w:i/>
          <w:iCs/>
          <w:color w:val="000000"/>
        </w:rPr>
      </w:pPr>
      <w:r w:rsidRPr="003025C6">
        <w:rPr>
          <w:b/>
          <w:bCs/>
          <w:color w:val="000000"/>
        </w:rPr>
        <w:lastRenderedPageBreak/>
        <w:t xml:space="preserve">Tabla </w:t>
      </w:r>
      <w:r w:rsidR="007F403E">
        <w:rPr>
          <w:b/>
          <w:bCs/>
          <w:color w:val="000000"/>
        </w:rPr>
        <w:t>4</w:t>
      </w:r>
      <w:r w:rsidR="00AC4363">
        <w:rPr>
          <w:b/>
          <w:bCs/>
          <w:color w:val="000000"/>
        </w:rPr>
        <w:t xml:space="preserve">. </w:t>
      </w:r>
      <w:r w:rsidR="007F403E" w:rsidRPr="00AC4363">
        <w:rPr>
          <w:color w:val="000000"/>
        </w:rPr>
        <w:t xml:space="preserve">Cargas factoriales </w:t>
      </w:r>
      <w:r w:rsidRPr="00AC4363">
        <w:rPr>
          <w:color w:val="000000"/>
        </w:rPr>
        <w:t xml:space="preserve">de la dimensión </w:t>
      </w:r>
      <w:r w:rsidR="008B2071" w:rsidRPr="00AC4363">
        <w:rPr>
          <w:color w:val="000000"/>
        </w:rPr>
        <w:t>P</w:t>
      </w:r>
      <w:r w:rsidRPr="00AC4363">
        <w:rPr>
          <w:color w:val="000000"/>
        </w:rPr>
        <w:t>rocesamiento de la información</w:t>
      </w:r>
    </w:p>
    <w:tbl>
      <w:tblPr>
        <w:tblStyle w:val="Tablaconcuadrcula"/>
        <w:tblW w:w="0" w:type="auto"/>
        <w:tblLayout w:type="fixed"/>
        <w:tblLook w:val="04A0" w:firstRow="1" w:lastRow="0" w:firstColumn="1" w:lastColumn="0" w:noHBand="0" w:noVBand="1"/>
      </w:tblPr>
      <w:tblGrid>
        <w:gridCol w:w="1560"/>
        <w:gridCol w:w="3543"/>
        <w:gridCol w:w="1560"/>
        <w:gridCol w:w="992"/>
        <w:gridCol w:w="1559"/>
      </w:tblGrid>
      <w:tr w:rsidR="00F624B1" w:rsidRPr="00AC4363" w14:paraId="4E6D9C12" w14:textId="77777777" w:rsidTr="00AC4363">
        <w:tc>
          <w:tcPr>
            <w:tcW w:w="1560" w:type="dxa"/>
            <w:vMerge w:val="restart"/>
          </w:tcPr>
          <w:p w14:paraId="3F7C8198" w14:textId="77777777" w:rsidR="00492653" w:rsidRPr="00AC4363" w:rsidRDefault="00492653" w:rsidP="006B2B5A">
            <w:pPr>
              <w:spacing w:after="0"/>
              <w:contextualSpacing/>
              <w:jc w:val="center"/>
              <w:rPr>
                <w:color w:val="000000"/>
              </w:rPr>
            </w:pPr>
          </w:p>
          <w:p w14:paraId="1522DA89" w14:textId="37438E49" w:rsidR="00492653" w:rsidRPr="00AC4363" w:rsidRDefault="00492653" w:rsidP="006B2B5A">
            <w:pPr>
              <w:spacing w:after="0"/>
              <w:contextualSpacing/>
              <w:jc w:val="center"/>
              <w:rPr>
                <w:color w:val="000000"/>
              </w:rPr>
            </w:pPr>
            <w:r w:rsidRPr="00AC4363">
              <w:rPr>
                <w:color w:val="000000"/>
              </w:rPr>
              <w:t xml:space="preserve">Variables </w:t>
            </w:r>
            <w:r w:rsidR="00122F64" w:rsidRPr="00AC4363">
              <w:rPr>
                <w:color w:val="000000"/>
              </w:rPr>
              <w:t>l</w:t>
            </w:r>
            <w:r w:rsidRPr="00AC4363">
              <w:rPr>
                <w:color w:val="000000"/>
              </w:rPr>
              <w:t>atentes</w:t>
            </w:r>
          </w:p>
        </w:tc>
        <w:tc>
          <w:tcPr>
            <w:tcW w:w="3543" w:type="dxa"/>
            <w:vMerge w:val="restart"/>
          </w:tcPr>
          <w:p w14:paraId="05EDC44B" w14:textId="77777777" w:rsidR="00492653" w:rsidRPr="00AC4363" w:rsidRDefault="00492653" w:rsidP="006B2B5A">
            <w:pPr>
              <w:spacing w:after="0"/>
              <w:contextualSpacing/>
              <w:jc w:val="center"/>
              <w:rPr>
                <w:color w:val="000000"/>
              </w:rPr>
            </w:pPr>
          </w:p>
          <w:p w14:paraId="33957C8A" w14:textId="59FD8AC7" w:rsidR="00492653" w:rsidRPr="00AC4363" w:rsidRDefault="00492653" w:rsidP="006B2B5A">
            <w:pPr>
              <w:spacing w:after="0"/>
              <w:contextualSpacing/>
              <w:jc w:val="center"/>
              <w:rPr>
                <w:color w:val="000000"/>
              </w:rPr>
            </w:pPr>
            <w:r w:rsidRPr="00AC4363">
              <w:rPr>
                <w:color w:val="000000"/>
              </w:rPr>
              <w:t xml:space="preserve">Variables </w:t>
            </w:r>
            <w:r w:rsidR="00122F64" w:rsidRPr="00AC4363">
              <w:rPr>
                <w:color w:val="000000"/>
              </w:rPr>
              <w:t>o</w:t>
            </w:r>
            <w:r w:rsidRPr="00AC4363">
              <w:rPr>
                <w:color w:val="000000"/>
              </w:rPr>
              <w:t>bservables</w:t>
            </w:r>
            <w:r w:rsidR="004E1F3E" w:rsidRPr="00AC4363">
              <w:rPr>
                <w:color w:val="000000"/>
              </w:rPr>
              <w:t xml:space="preserve"> o </w:t>
            </w:r>
            <w:r w:rsidR="00122F64" w:rsidRPr="00AC4363">
              <w:rPr>
                <w:color w:val="000000"/>
              </w:rPr>
              <w:t>í</w:t>
            </w:r>
            <w:r w:rsidR="004E1F3E" w:rsidRPr="00AC4363">
              <w:rPr>
                <w:color w:val="000000"/>
              </w:rPr>
              <w:t>tems</w:t>
            </w:r>
          </w:p>
        </w:tc>
        <w:tc>
          <w:tcPr>
            <w:tcW w:w="2552" w:type="dxa"/>
            <w:gridSpan w:val="2"/>
          </w:tcPr>
          <w:p w14:paraId="08D783F1" w14:textId="77777777" w:rsidR="00492653" w:rsidRPr="00AC4363" w:rsidRDefault="00492653" w:rsidP="006B2B5A">
            <w:pPr>
              <w:spacing w:after="0"/>
              <w:contextualSpacing/>
              <w:jc w:val="center"/>
              <w:rPr>
                <w:color w:val="000000"/>
              </w:rPr>
            </w:pPr>
            <w:r w:rsidRPr="00AC4363">
              <w:rPr>
                <w:color w:val="000000"/>
              </w:rPr>
              <w:t>Carga factorial de</w:t>
            </w:r>
          </w:p>
          <w:p w14:paraId="4EED64CE" w14:textId="1F6099BF" w:rsidR="00492653" w:rsidRPr="00AC4363" w:rsidRDefault="00122F64" w:rsidP="006B2B5A">
            <w:pPr>
              <w:spacing w:after="0"/>
              <w:contextualSpacing/>
              <w:jc w:val="center"/>
              <w:rPr>
                <w:color w:val="000000"/>
              </w:rPr>
            </w:pPr>
            <w:r w:rsidRPr="00AC4363">
              <w:rPr>
                <w:color w:val="000000"/>
              </w:rPr>
              <w:t>c</w:t>
            </w:r>
            <w:r w:rsidR="00492653" w:rsidRPr="00AC4363">
              <w:rPr>
                <w:color w:val="000000"/>
              </w:rPr>
              <w:t>omponentes rotados</w:t>
            </w:r>
          </w:p>
        </w:tc>
        <w:tc>
          <w:tcPr>
            <w:tcW w:w="1559" w:type="dxa"/>
            <w:vMerge w:val="restart"/>
          </w:tcPr>
          <w:p w14:paraId="015D9E24" w14:textId="77777777" w:rsidR="00492653" w:rsidRPr="00AC4363" w:rsidRDefault="00492653" w:rsidP="006B2B5A">
            <w:pPr>
              <w:spacing w:after="0"/>
              <w:contextualSpacing/>
              <w:jc w:val="center"/>
              <w:rPr>
                <w:color w:val="000000"/>
              </w:rPr>
            </w:pPr>
          </w:p>
          <w:p w14:paraId="314F4C10" w14:textId="77777777" w:rsidR="00492653" w:rsidRPr="00AC4363" w:rsidRDefault="00492653" w:rsidP="006B2B5A">
            <w:pPr>
              <w:spacing w:after="0"/>
              <w:contextualSpacing/>
              <w:jc w:val="center"/>
              <w:rPr>
                <w:color w:val="000000"/>
              </w:rPr>
            </w:pPr>
          </w:p>
          <w:p w14:paraId="04410BC8" w14:textId="227AA56C" w:rsidR="00492653" w:rsidRPr="00AC4363" w:rsidRDefault="00492653" w:rsidP="00FD471C">
            <w:pPr>
              <w:spacing w:after="0"/>
              <w:contextualSpacing/>
              <w:rPr>
                <w:color w:val="000000"/>
              </w:rPr>
            </w:pPr>
            <w:r w:rsidRPr="00AC4363">
              <w:rPr>
                <w:color w:val="000000"/>
              </w:rPr>
              <w:t>Comunalidades</w:t>
            </w:r>
          </w:p>
        </w:tc>
      </w:tr>
      <w:tr w:rsidR="00F624B1" w:rsidRPr="00AC4363" w14:paraId="1D61D34A" w14:textId="77777777" w:rsidTr="00AC4363">
        <w:tc>
          <w:tcPr>
            <w:tcW w:w="1560" w:type="dxa"/>
            <w:vMerge/>
          </w:tcPr>
          <w:p w14:paraId="0EB63681" w14:textId="77777777" w:rsidR="00492653" w:rsidRPr="00AC4363" w:rsidRDefault="00492653" w:rsidP="006B2B5A">
            <w:pPr>
              <w:spacing w:after="0"/>
              <w:contextualSpacing/>
              <w:jc w:val="center"/>
              <w:rPr>
                <w:color w:val="000000"/>
              </w:rPr>
            </w:pPr>
          </w:p>
        </w:tc>
        <w:tc>
          <w:tcPr>
            <w:tcW w:w="3543" w:type="dxa"/>
            <w:vMerge/>
          </w:tcPr>
          <w:p w14:paraId="5E094304" w14:textId="432572E9" w:rsidR="00492653" w:rsidRPr="00AC4363" w:rsidRDefault="00492653" w:rsidP="006B2B5A">
            <w:pPr>
              <w:spacing w:after="0"/>
              <w:contextualSpacing/>
              <w:jc w:val="center"/>
              <w:rPr>
                <w:color w:val="000000"/>
              </w:rPr>
            </w:pPr>
          </w:p>
        </w:tc>
        <w:tc>
          <w:tcPr>
            <w:tcW w:w="1560" w:type="dxa"/>
          </w:tcPr>
          <w:p w14:paraId="0E123C3F" w14:textId="77777777" w:rsidR="00492653" w:rsidRPr="00AC4363" w:rsidRDefault="00492653" w:rsidP="006B2B5A">
            <w:pPr>
              <w:spacing w:after="0"/>
              <w:contextualSpacing/>
              <w:jc w:val="center"/>
              <w:rPr>
                <w:color w:val="000000"/>
              </w:rPr>
            </w:pPr>
          </w:p>
          <w:p w14:paraId="245CE08C" w14:textId="7C421450" w:rsidR="00492653" w:rsidRPr="00AC4363" w:rsidRDefault="00492653" w:rsidP="006B2B5A">
            <w:pPr>
              <w:spacing w:after="0"/>
              <w:contextualSpacing/>
              <w:jc w:val="center"/>
              <w:rPr>
                <w:color w:val="000000"/>
              </w:rPr>
            </w:pPr>
            <w:r w:rsidRPr="00AC4363">
              <w:rPr>
                <w:color w:val="000000"/>
              </w:rPr>
              <w:t>Factor 1</w:t>
            </w:r>
          </w:p>
        </w:tc>
        <w:tc>
          <w:tcPr>
            <w:tcW w:w="992" w:type="dxa"/>
            <w:vAlign w:val="center"/>
          </w:tcPr>
          <w:p w14:paraId="05A74898" w14:textId="77777777" w:rsidR="00492653" w:rsidRPr="00AC4363" w:rsidRDefault="00492653" w:rsidP="006B2B5A">
            <w:pPr>
              <w:spacing w:after="0"/>
              <w:contextualSpacing/>
              <w:jc w:val="center"/>
              <w:rPr>
                <w:color w:val="000000"/>
              </w:rPr>
            </w:pPr>
          </w:p>
          <w:p w14:paraId="1A1F2A83" w14:textId="6C9E080A" w:rsidR="00492653" w:rsidRPr="00AC4363" w:rsidRDefault="00492653" w:rsidP="006B2B5A">
            <w:pPr>
              <w:spacing w:after="0"/>
              <w:contextualSpacing/>
              <w:jc w:val="center"/>
              <w:rPr>
                <w:color w:val="000000"/>
              </w:rPr>
            </w:pPr>
            <w:r w:rsidRPr="00AC4363">
              <w:rPr>
                <w:color w:val="000000"/>
              </w:rPr>
              <w:t>Factor 2</w:t>
            </w:r>
          </w:p>
        </w:tc>
        <w:tc>
          <w:tcPr>
            <w:tcW w:w="1559" w:type="dxa"/>
            <w:vMerge/>
          </w:tcPr>
          <w:p w14:paraId="38AE9A4A" w14:textId="77777777" w:rsidR="00492653" w:rsidRPr="00AC4363" w:rsidRDefault="00492653" w:rsidP="006B2B5A">
            <w:pPr>
              <w:spacing w:after="0"/>
              <w:contextualSpacing/>
              <w:jc w:val="center"/>
              <w:rPr>
                <w:color w:val="000000"/>
              </w:rPr>
            </w:pPr>
          </w:p>
        </w:tc>
      </w:tr>
      <w:tr w:rsidR="00F624B1" w:rsidRPr="00AC4363" w14:paraId="3E02DC7F" w14:textId="77777777" w:rsidTr="00AC4363">
        <w:tc>
          <w:tcPr>
            <w:tcW w:w="1560" w:type="dxa"/>
            <w:vMerge w:val="restart"/>
          </w:tcPr>
          <w:p w14:paraId="4CF37F85" w14:textId="77777777" w:rsidR="009B654D" w:rsidRPr="00AC4363" w:rsidRDefault="009B654D" w:rsidP="008C3F14">
            <w:pPr>
              <w:spacing w:after="0"/>
              <w:jc w:val="center"/>
              <w:rPr>
                <w:color w:val="000000"/>
              </w:rPr>
            </w:pPr>
            <w:r w:rsidRPr="00AC4363">
              <w:rPr>
                <w:color w:val="000000"/>
              </w:rPr>
              <w:t>Pensamiento complejo</w:t>
            </w:r>
          </w:p>
        </w:tc>
        <w:tc>
          <w:tcPr>
            <w:tcW w:w="3543" w:type="dxa"/>
          </w:tcPr>
          <w:p w14:paraId="346FEFA7" w14:textId="77777777" w:rsidR="009B654D" w:rsidRPr="00AC4363" w:rsidRDefault="009B654D" w:rsidP="008C3F14">
            <w:pPr>
              <w:spacing w:after="0"/>
              <w:rPr>
                <w:color w:val="000000"/>
              </w:rPr>
            </w:pPr>
            <w:r w:rsidRPr="00AC4363">
              <w:rPr>
                <w:color w:val="000000"/>
              </w:rPr>
              <w:t>Capacidad holista de análisis y síntesis</w:t>
            </w:r>
          </w:p>
        </w:tc>
        <w:tc>
          <w:tcPr>
            <w:tcW w:w="1560" w:type="dxa"/>
          </w:tcPr>
          <w:p w14:paraId="4549A772" w14:textId="77777777" w:rsidR="009B654D" w:rsidRPr="00AC4363" w:rsidRDefault="009B654D" w:rsidP="008C3F14">
            <w:pPr>
              <w:spacing w:after="0"/>
              <w:jc w:val="center"/>
              <w:rPr>
                <w:color w:val="000000"/>
              </w:rPr>
            </w:pPr>
          </w:p>
        </w:tc>
        <w:tc>
          <w:tcPr>
            <w:tcW w:w="992" w:type="dxa"/>
            <w:vAlign w:val="center"/>
          </w:tcPr>
          <w:p w14:paraId="35A988B9" w14:textId="73853629" w:rsidR="009B654D" w:rsidRPr="00AC4363" w:rsidRDefault="00F624B1" w:rsidP="008C3F14">
            <w:pPr>
              <w:spacing w:after="0"/>
              <w:jc w:val="center"/>
              <w:rPr>
                <w:color w:val="000000"/>
              </w:rPr>
            </w:pPr>
            <w:r w:rsidRPr="00AC4363">
              <w:rPr>
                <w:color w:val="000000"/>
              </w:rPr>
              <w:t>0</w:t>
            </w:r>
            <w:r w:rsidR="009B654D" w:rsidRPr="00AC4363">
              <w:rPr>
                <w:color w:val="000000"/>
              </w:rPr>
              <w:t>.725</w:t>
            </w:r>
          </w:p>
        </w:tc>
        <w:tc>
          <w:tcPr>
            <w:tcW w:w="1559" w:type="dxa"/>
          </w:tcPr>
          <w:p w14:paraId="43EEDF8C" w14:textId="23CAAA45" w:rsidR="009B654D" w:rsidRPr="00AC4363" w:rsidRDefault="009B654D" w:rsidP="008C3F14">
            <w:pPr>
              <w:spacing w:after="0"/>
              <w:jc w:val="center"/>
              <w:rPr>
                <w:color w:val="000000"/>
              </w:rPr>
            </w:pPr>
            <w:r w:rsidRPr="00AC4363">
              <w:rPr>
                <w:color w:val="000000"/>
              </w:rPr>
              <w:t>0.6</w:t>
            </w:r>
            <w:r w:rsidR="00403066" w:rsidRPr="00AC4363">
              <w:rPr>
                <w:color w:val="000000"/>
              </w:rPr>
              <w:t>76</w:t>
            </w:r>
          </w:p>
        </w:tc>
      </w:tr>
      <w:tr w:rsidR="00F624B1" w:rsidRPr="00AC4363" w14:paraId="028A929E" w14:textId="77777777" w:rsidTr="00AC4363">
        <w:tc>
          <w:tcPr>
            <w:tcW w:w="1560" w:type="dxa"/>
            <w:vMerge/>
          </w:tcPr>
          <w:p w14:paraId="0ED1B76D" w14:textId="77777777" w:rsidR="009B654D" w:rsidRPr="00AC4363" w:rsidRDefault="009B654D" w:rsidP="008C3F14">
            <w:pPr>
              <w:spacing w:after="0"/>
              <w:jc w:val="center"/>
              <w:rPr>
                <w:color w:val="000000"/>
              </w:rPr>
            </w:pPr>
          </w:p>
        </w:tc>
        <w:tc>
          <w:tcPr>
            <w:tcW w:w="3543" w:type="dxa"/>
          </w:tcPr>
          <w:p w14:paraId="1E76886C" w14:textId="77777777" w:rsidR="009B654D" w:rsidRPr="00AC4363" w:rsidRDefault="009B654D" w:rsidP="008C3F14">
            <w:pPr>
              <w:spacing w:after="0"/>
              <w:rPr>
                <w:color w:val="000000"/>
              </w:rPr>
            </w:pPr>
            <w:r w:rsidRPr="00AC4363">
              <w:rPr>
                <w:color w:val="000000"/>
              </w:rPr>
              <w:t>Integración de la retroalimentación</w:t>
            </w:r>
          </w:p>
        </w:tc>
        <w:tc>
          <w:tcPr>
            <w:tcW w:w="1560" w:type="dxa"/>
          </w:tcPr>
          <w:p w14:paraId="445C5713" w14:textId="77777777" w:rsidR="009B654D" w:rsidRPr="00AC4363" w:rsidRDefault="009B654D" w:rsidP="008C3F14">
            <w:pPr>
              <w:spacing w:after="0"/>
              <w:jc w:val="center"/>
              <w:rPr>
                <w:color w:val="000000"/>
              </w:rPr>
            </w:pPr>
          </w:p>
        </w:tc>
        <w:tc>
          <w:tcPr>
            <w:tcW w:w="992" w:type="dxa"/>
            <w:vAlign w:val="center"/>
          </w:tcPr>
          <w:p w14:paraId="25854474" w14:textId="7D350F0C" w:rsidR="009B654D" w:rsidRPr="00AC4363" w:rsidRDefault="00F624B1" w:rsidP="008C3F14">
            <w:pPr>
              <w:spacing w:after="0"/>
              <w:jc w:val="center"/>
              <w:rPr>
                <w:color w:val="000000"/>
              </w:rPr>
            </w:pPr>
            <w:r w:rsidRPr="00AC4363">
              <w:rPr>
                <w:color w:val="000000"/>
              </w:rPr>
              <w:t>0</w:t>
            </w:r>
            <w:r w:rsidR="009B654D" w:rsidRPr="00AC4363">
              <w:rPr>
                <w:color w:val="000000"/>
              </w:rPr>
              <w:t>.735</w:t>
            </w:r>
          </w:p>
        </w:tc>
        <w:tc>
          <w:tcPr>
            <w:tcW w:w="1559" w:type="dxa"/>
          </w:tcPr>
          <w:p w14:paraId="049FD3BC" w14:textId="0E84F953" w:rsidR="009B654D" w:rsidRPr="00AC4363" w:rsidRDefault="009B654D" w:rsidP="008C3F14">
            <w:pPr>
              <w:spacing w:after="0"/>
              <w:jc w:val="center"/>
              <w:rPr>
                <w:color w:val="000000"/>
              </w:rPr>
            </w:pPr>
            <w:r w:rsidRPr="00AC4363">
              <w:rPr>
                <w:color w:val="000000"/>
              </w:rPr>
              <w:t>0.</w:t>
            </w:r>
            <w:r w:rsidR="00C576E0" w:rsidRPr="00AC4363">
              <w:rPr>
                <w:color w:val="000000"/>
              </w:rPr>
              <w:t>7</w:t>
            </w:r>
            <w:r w:rsidR="00403066" w:rsidRPr="00AC4363">
              <w:rPr>
                <w:color w:val="000000"/>
              </w:rPr>
              <w:t>89</w:t>
            </w:r>
          </w:p>
        </w:tc>
      </w:tr>
      <w:tr w:rsidR="00F624B1" w:rsidRPr="00AC4363" w14:paraId="310BEF3D" w14:textId="77777777" w:rsidTr="00AC4363">
        <w:tc>
          <w:tcPr>
            <w:tcW w:w="1560" w:type="dxa"/>
            <w:vMerge/>
          </w:tcPr>
          <w:p w14:paraId="1927572C" w14:textId="77777777" w:rsidR="009B654D" w:rsidRPr="00AC4363" w:rsidRDefault="009B654D" w:rsidP="008C3F14">
            <w:pPr>
              <w:spacing w:after="0"/>
              <w:jc w:val="center"/>
              <w:rPr>
                <w:color w:val="000000"/>
              </w:rPr>
            </w:pPr>
          </w:p>
        </w:tc>
        <w:tc>
          <w:tcPr>
            <w:tcW w:w="3543" w:type="dxa"/>
          </w:tcPr>
          <w:p w14:paraId="1547E711" w14:textId="77777777" w:rsidR="009B654D" w:rsidRPr="00AC4363" w:rsidRDefault="009B654D" w:rsidP="008C3F14">
            <w:pPr>
              <w:spacing w:after="0"/>
              <w:rPr>
                <w:color w:val="000000"/>
              </w:rPr>
            </w:pPr>
            <w:r w:rsidRPr="00AC4363">
              <w:rPr>
                <w:color w:val="000000"/>
              </w:rPr>
              <w:t>Integración de disciplinas</w:t>
            </w:r>
          </w:p>
        </w:tc>
        <w:tc>
          <w:tcPr>
            <w:tcW w:w="1560" w:type="dxa"/>
          </w:tcPr>
          <w:p w14:paraId="02782483" w14:textId="77777777" w:rsidR="009B654D" w:rsidRPr="00AC4363" w:rsidRDefault="009B654D" w:rsidP="008C3F14">
            <w:pPr>
              <w:spacing w:after="0"/>
              <w:jc w:val="center"/>
              <w:rPr>
                <w:color w:val="000000"/>
              </w:rPr>
            </w:pPr>
          </w:p>
        </w:tc>
        <w:tc>
          <w:tcPr>
            <w:tcW w:w="992" w:type="dxa"/>
            <w:vAlign w:val="center"/>
          </w:tcPr>
          <w:p w14:paraId="561D64F2" w14:textId="24EB980E" w:rsidR="009B654D" w:rsidRPr="00AC4363" w:rsidRDefault="00F624B1" w:rsidP="008C3F14">
            <w:pPr>
              <w:spacing w:after="0"/>
              <w:jc w:val="center"/>
              <w:rPr>
                <w:color w:val="000000"/>
              </w:rPr>
            </w:pPr>
            <w:r w:rsidRPr="00AC4363">
              <w:rPr>
                <w:color w:val="000000"/>
              </w:rPr>
              <w:t>0</w:t>
            </w:r>
            <w:r w:rsidR="009B654D" w:rsidRPr="00AC4363">
              <w:rPr>
                <w:color w:val="000000"/>
              </w:rPr>
              <w:t>.780</w:t>
            </w:r>
          </w:p>
        </w:tc>
        <w:tc>
          <w:tcPr>
            <w:tcW w:w="1559" w:type="dxa"/>
          </w:tcPr>
          <w:p w14:paraId="40B669F7" w14:textId="1B6384FA" w:rsidR="009B654D" w:rsidRPr="00AC4363" w:rsidRDefault="009B654D" w:rsidP="008C3F14">
            <w:pPr>
              <w:spacing w:after="0"/>
              <w:jc w:val="center"/>
              <w:rPr>
                <w:color w:val="000000"/>
              </w:rPr>
            </w:pPr>
            <w:r w:rsidRPr="00AC4363">
              <w:rPr>
                <w:color w:val="000000"/>
              </w:rPr>
              <w:t>0.</w:t>
            </w:r>
            <w:r w:rsidR="00C576E0" w:rsidRPr="00AC4363">
              <w:rPr>
                <w:color w:val="000000"/>
              </w:rPr>
              <w:t>694</w:t>
            </w:r>
          </w:p>
        </w:tc>
      </w:tr>
      <w:tr w:rsidR="00F624B1" w:rsidRPr="00AC4363" w14:paraId="5B0640A7" w14:textId="77777777" w:rsidTr="00AC4363">
        <w:tc>
          <w:tcPr>
            <w:tcW w:w="1560" w:type="dxa"/>
            <w:vMerge/>
          </w:tcPr>
          <w:p w14:paraId="31E5CE14" w14:textId="77777777" w:rsidR="009B654D" w:rsidRPr="00AC4363" w:rsidRDefault="009B654D" w:rsidP="008C3F14">
            <w:pPr>
              <w:spacing w:after="0"/>
              <w:jc w:val="center"/>
              <w:rPr>
                <w:color w:val="000000"/>
              </w:rPr>
            </w:pPr>
          </w:p>
        </w:tc>
        <w:tc>
          <w:tcPr>
            <w:tcW w:w="3543" w:type="dxa"/>
            <w:vAlign w:val="center"/>
          </w:tcPr>
          <w:p w14:paraId="581FA3B7" w14:textId="77777777" w:rsidR="009B654D" w:rsidRPr="00AC4363" w:rsidRDefault="009B654D" w:rsidP="008C3F14">
            <w:pPr>
              <w:spacing w:after="0"/>
              <w:rPr>
                <w:color w:val="000000"/>
              </w:rPr>
            </w:pPr>
            <w:r w:rsidRPr="00AC4363">
              <w:rPr>
                <w:color w:val="000000"/>
              </w:rPr>
              <w:t>Evaluación de la incertidumbre y el error</w:t>
            </w:r>
          </w:p>
        </w:tc>
        <w:tc>
          <w:tcPr>
            <w:tcW w:w="1560" w:type="dxa"/>
          </w:tcPr>
          <w:p w14:paraId="50D88423" w14:textId="77777777" w:rsidR="009B654D" w:rsidRPr="00AC4363" w:rsidRDefault="009B654D" w:rsidP="008C3F14">
            <w:pPr>
              <w:spacing w:after="0"/>
              <w:jc w:val="center"/>
              <w:rPr>
                <w:color w:val="000000"/>
              </w:rPr>
            </w:pPr>
          </w:p>
        </w:tc>
        <w:tc>
          <w:tcPr>
            <w:tcW w:w="992" w:type="dxa"/>
            <w:vAlign w:val="center"/>
          </w:tcPr>
          <w:p w14:paraId="1D5218B2" w14:textId="778F47E0" w:rsidR="009B654D" w:rsidRPr="00AC4363" w:rsidRDefault="00F624B1" w:rsidP="008C3F14">
            <w:pPr>
              <w:spacing w:after="0"/>
              <w:jc w:val="center"/>
              <w:rPr>
                <w:color w:val="000000"/>
              </w:rPr>
            </w:pPr>
            <w:r w:rsidRPr="00AC4363">
              <w:rPr>
                <w:color w:val="000000"/>
              </w:rPr>
              <w:t>0</w:t>
            </w:r>
            <w:r w:rsidR="009B654D" w:rsidRPr="00AC4363">
              <w:rPr>
                <w:color w:val="000000"/>
              </w:rPr>
              <w:t>.756</w:t>
            </w:r>
          </w:p>
        </w:tc>
        <w:tc>
          <w:tcPr>
            <w:tcW w:w="1559" w:type="dxa"/>
          </w:tcPr>
          <w:p w14:paraId="718A204E" w14:textId="25DC626A" w:rsidR="009B654D" w:rsidRPr="00AC4363" w:rsidRDefault="009B654D" w:rsidP="008C3F14">
            <w:pPr>
              <w:spacing w:after="0"/>
              <w:jc w:val="center"/>
              <w:rPr>
                <w:color w:val="000000"/>
              </w:rPr>
            </w:pPr>
            <w:r w:rsidRPr="00AC4363">
              <w:rPr>
                <w:color w:val="000000"/>
              </w:rPr>
              <w:t>0.6</w:t>
            </w:r>
            <w:r w:rsidR="00403066" w:rsidRPr="00AC4363">
              <w:rPr>
                <w:color w:val="000000"/>
              </w:rPr>
              <w:t>49</w:t>
            </w:r>
          </w:p>
        </w:tc>
      </w:tr>
      <w:tr w:rsidR="00F624B1" w:rsidRPr="00AC4363" w14:paraId="4A1091C6" w14:textId="77777777" w:rsidTr="00AC4363">
        <w:tc>
          <w:tcPr>
            <w:tcW w:w="1560" w:type="dxa"/>
            <w:vMerge/>
          </w:tcPr>
          <w:p w14:paraId="19EB2B4D" w14:textId="77777777" w:rsidR="009B654D" w:rsidRPr="00AC4363" w:rsidRDefault="009B654D" w:rsidP="008C3F14">
            <w:pPr>
              <w:spacing w:after="0"/>
              <w:jc w:val="center"/>
              <w:rPr>
                <w:color w:val="000000"/>
              </w:rPr>
            </w:pPr>
          </w:p>
        </w:tc>
        <w:tc>
          <w:tcPr>
            <w:tcW w:w="3543" w:type="dxa"/>
            <w:vAlign w:val="center"/>
          </w:tcPr>
          <w:p w14:paraId="6DE8DA46" w14:textId="77777777" w:rsidR="009B654D" w:rsidRPr="00AC4363" w:rsidRDefault="009B654D" w:rsidP="008C3F14">
            <w:pPr>
              <w:spacing w:after="0"/>
              <w:rPr>
                <w:color w:val="000000"/>
              </w:rPr>
            </w:pPr>
            <w:r w:rsidRPr="00AC4363">
              <w:rPr>
                <w:color w:val="000000"/>
              </w:rPr>
              <w:t>Orientación a la transdisciplina</w:t>
            </w:r>
          </w:p>
        </w:tc>
        <w:tc>
          <w:tcPr>
            <w:tcW w:w="1560" w:type="dxa"/>
          </w:tcPr>
          <w:p w14:paraId="190A9D34" w14:textId="77777777" w:rsidR="009B654D" w:rsidRPr="00AC4363" w:rsidRDefault="009B654D" w:rsidP="008C3F14">
            <w:pPr>
              <w:spacing w:after="0"/>
              <w:jc w:val="center"/>
              <w:rPr>
                <w:color w:val="000000"/>
              </w:rPr>
            </w:pPr>
          </w:p>
        </w:tc>
        <w:tc>
          <w:tcPr>
            <w:tcW w:w="992" w:type="dxa"/>
            <w:vAlign w:val="center"/>
          </w:tcPr>
          <w:p w14:paraId="473D8B6A" w14:textId="4EC55AA1" w:rsidR="009B654D" w:rsidRPr="00AC4363" w:rsidRDefault="00F624B1" w:rsidP="008C3F14">
            <w:pPr>
              <w:spacing w:after="0"/>
              <w:jc w:val="center"/>
              <w:rPr>
                <w:color w:val="000000"/>
              </w:rPr>
            </w:pPr>
            <w:r w:rsidRPr="00AC4363">
              <w:rPr>
                <w:color w:val="000000"/>
              </w:rPr>
              <w:t>0</w:t>
            </w:r>
            <w:r w:rsidR="009B654D" w:rsidRPr="00AC4363">
              <w:rPr>
                <w:color w:val="000000"/>
              </w:rPr>
              <w:t>.785</w:t>
            </w:r>
          </w:p>
        </w:tc>
        <w:tc>
          <w:tcPr>
            <w:tcW w:w="1559" w:type="dxa"/>
          </w:tcPr>
          <w:p w14:paraId="1F1A2BD7" w14:textId="4427E727" w:rsidR="009B654D" w:rsidRPr="00AC4363" w:rsidRDefault="009B654D" w:rsidP="008C3F14">
            <w:pPr>
              <w:spacing w:after="0"/>
              <w:jc w:val="center"/>
              <w:rPr>
                <w:color w:val="000000"/>
              </w:rPr>
            </w:pPr>
            <w:r w:rsidRPr="00AC4363">
              <w:rPr>
                <w:color w:val="000000"/>
              </w:rPr>
              <w:t>0.6</w:t>
            </w:r>
            <w:r w:rsidR="00403066" w:rsidRPr="00AC4363">
              <w:rPr>
                <w:color w:val="000000"/>
              </w:rPr>
              <w:t>38</w:t>
            </w:r>
          </w:p>
        </w:tc>
      </w:tr>
      <w:tr w:rsidR="00F624B1" w:rsidRPr="00AC4363" w14:paraId="3E86FFD4" w14:textId="77777777" w:rsidTr="00AC4363">
        <w:tc>
          <w:tcPr>
            <w:tcW w:w="1560" w:type="dxa"/>
            <w:vMerge/>
          </w:tcPr>
          <w:p w14:paraId="78B53B62" w14:textId="77777777" w:rsidR="009B654D" w:rsidRPr="00AC4363" w:rsidRDefault="009B654D" w:rsidP="008C3F14">
            <w:pPr>
              <w:spacing w:after="0"/>
              <w:jc w:val="center"/>
              <w:rPr>
                <w:color w:val="000000"/>
              </w:rPr>
            </w:pPr>
          </w:p>
        </w:tc>
        <w:tc>
          <w:tcPr>
            <w:tcW w:w="3543" w:type="dxa"/>
            <w:vAlign w:val="center"/>
          </w:tcPr>
          <w:p w14:paraId="5BB4125D" w14:textId="77777777" w:rsidR="009B654D" w:rsidRPr="00AC4363" w:rsidRDefault="009B654D" w:rsidP="008C3F14">
            <w:pPr>
              <w:spacing w:after="0"/>
              <w:rPr>
                <w:color w:val="000000"/>
              </w:rPr>
            </w:pPr>
            <w:r w:rsidRPr="00AC4363">
              <w:rPr>
                <w:color w:val="000000"/>
              </w:rPr>
              <w:t>Principio de emergencia</w:t>
            </w:r>
          </w:p>
        </w:tc>
        <w:tc>
          <w:tcPr>
            <w:tcW w:w="1560" w:type="dxa"/>
          </w:tcPr>
          <w:p w14:paraId="26316C0D" w14:textId="77777777" w:rsidR="009B654D" w:rsidRPr="00AC4363" w:rsidRDefault="009B654D" w:rsidP="008C3F14">
            <w:pPr>
              <w:spacing w:after="0"/>
              <w:jc w:val="center"/>
              <w:rPr>
                <w:color w:val="000000"/>
              </w:rPr>
            </w:pPr>
          </w:p>
        </w:tc>
        <w:tc>
          <w:tcPr>
            <w:tcW w:w="992" w:type="dxa"/>
            <w:vAlign w:val="center"/>
          </w:tcPr>
          <w:p w14:paraId="510B08A3" w14:textId="0432AEE1" w:rsidR="009B654D" w:rsidRPr="00AC4363" w:rsidRDefault="00F624B1" w:rsidP="008C3F14">
            <w:pPr>
              <w:spacing w:after="0"/>
              <w:jc w:val="center"/>
              <w:rPr>
                <w:color w:val="000000"/>
              </w:rPr>
            </w:pPr>
            <w:r w:rsidRPr="00AC4363">
              <w:rPr>
                <w:color w:val="000000"/>
              </w:rPr>
              <w:t>0</w:t>
            </w:r>
            <w:r w:rsidR="009B654D" w:rsidRPr="00AC4363">
              <w:rPr>
                <w:color w:val="000000"/>
              </w:rPr>
              <w:t>.753</w:t>
            </w:r>
          </w:p>
        </w:tc>
        <w:tc>
          <w:tcPr>
            <w:tcW w:w="1559" w:type="dxa"/>
          </w:tcPr>
          <w:p w14:paraId="2F572DDB" w14:textId="71B1D564" w:rsidR="009B654D" w:rsidRPr="00AC4363" w:rsidRDefault="009B654D" w:rsidP="008C3F14">
            <w:pPr>
              <w:spacing w:after="0"/>
              <w:jc w:val="center"/>
              <w:rPr>
                <w:color w:val="000000"/>
              </w:rPr>
            </w:pPr>
            <w:r w:rsidRPr="00AC4363">
              <w:rPr>
                <w:color w:val="000000"/>
              </w:rPr>
              <w:t>0.6</w:t>
            </w:r>
            <w:r w:rsidR="00403066" w:rsidRPr="00AC4363">
              <w:rPr>
                <w:color w:val="000000"/>
              </w:rPr>
              <w:t>14</w:t>
            </w:r>
          </w:p>
        </w:tc>
      </w:tr>
      <w:tr w:rsidR="008C3F14" w:rsidRPr="00AC4363" w14:paraId="37A18CC9" w14:textId="77777777" w:rsidTr="00AC4363">
        <w:tc>
          <w:tcPr>
            <w:tcW w:w="1560" w:type="dxa"/>
            <w:vMerge w:val="restart"/>
          </w:tcPr>
          <w:p w14:paraId="5C11369D" w14:textId="77777777" w:rsidR="009B654D" w:rsidRPr="00AC4363" w:rsidRDefault="009B654D" w:rsidP="008C3F14">
            <w:pPr>
              <w:spacing w:after="0"/>
              <w:contextualSpacing/>
              <w:jc w:val="center"/>
            </w:pPr>
            <w:r w:rsidRPr="00AC4363">
              <w:t>Pensamiento Crítico</w:t>
            </w:r>
          </w:p>
        </w:tc>
        <w:tc>
          <w:tcPr>
            <w:tcW w:w="3543" w:type="dxa"/>
            <w:vAlign w:val="center"/>
          </w:tcPr>
          <w:p w14:paraId="1B6913A2" w14:textId="70A5D557" w:rsidR="009B654D" w:rsidRPr="00AC4363" w:rsidRDefault="009B654D" w:rsidP="008C3F14">
            <w:pPr>
              <w:spacing w:after="0"/>
              <w:contextualSpacing/>
            </w:pPr>
            <w:r w:rsidRPr="00AC4363">
              <w:t>Credibilidad de la información</w:t>
            </w:r>
            <w:r w:rsidR="008C3F14" w:rsidRPr="00AC4363">
              <w:t>*</w:t>
            </w:r>
          </w:p>
        </w:tc>
        <w:tc>
          <w:tcPr>
            <w:tcW w:w="1560" w:type="dxa"/>
            <w:vAlign w:val="center"/>
          </w:tcPr>
          <w:p w14:paraId="2922E53A" w14:textId="041990B4" w:rsidR="009B654D" w:rsidRPr="00AC4363" w:rsidRDefault="00F624B1" w:rsidP="008C3F14">
            <w:pPr>
              <w:spacing w:after="0"/>
              <w:contextualSpacing/>
              <w:jc w:val="center"/>
            </w:pPr>
            <w:r w:rsidRPr="00AC4363">
              <w:t>0</w:t>
            </w:r>
            <w:r w:rsidR="009B654D" w:rsidRPr="00AC4363">
              <w:t>.497</w:t>
            </w:r>
          </w:p>
        </w:tc>
        <w:tc>
          <w:tcPr>
            <w:tcW w:w="992" w:type="dxa"/>
            <w:vAlign w:val="center"/>
          </w:tcPr>
          <w:p w14:paraId="3AC09E77" w14:textId="3263BE56" w:rsidR="009B654D" w:rsidRPr="00AC4363" w:rsidRDefault="00F624B1" w:rsidP="008C3F14">
            <w:pPr>
              <w:spacing w:after="0"/>
              <w:contextualSpacing/>
              <w:jc w:val="center"/>
            </w:pPr>
            <w:r w:rsidRPr="00AC4363">
              <w:t>0</w:t>
            </w:r>
            <w:r w:rsidR="009B654D" w:rsidRPr="00AC4363">
              <w:t>.572</w:t>
            </w:r>
          </w:p>
        </w:tc>
        <w:tc>
          <w:tcPr>
            <w:tcW w:w="1559" w:type="dxa"/>
          </w:tcPr>
          <w:p w14:paraId="0A8BFE25" w14:textId="77777777" w:rsidR="009B654D" w:rsidRPr="00AC4363" w:rsidRDefault="009B654D" w:rsidP="008C3F14">
            <w:pPr>
              <w:spacing w:after="0"/>
              <w:contextualSpacing/>
              <w:jc w:val="center"/>
            </w:pPr>
            <w:r w:rsidRPr="00AC4363">
              <w:t>0.575</w:t>
            </w:r>
          </w:p>
        </w:tc>
      </w:tr>
      <w:tr w:rsidR="008C3F14" w:rsidRPr="00AC4363" w14:paraId="2431C36A" w14:textId="77777777" w:rsidTr="00AC4363">
        <w:tc>
          <w:tcPr>
            <w:tcW w:w="1560" w:type="dxa"/>
            <w:vMerge/>
          </w:tcPr>
          <w:p w14:paraId="4BA2CF77" w14:textId="77777777" w:rsidR="009B654D" w:rsidRPr="00AC4363" w:rsidRDefault="009B654D" w:rsidP="008C3F14">
            <w:pPr>
              <w:spacing w:after="0"/>
              <w:contextualSpacing/>
              <w:jc w:val="center"/>
            </w:pPr>
          </w:p>
        </w:tc>
        <w:tc>
          <w:tcPr>
            <w:tcW w:w="3543" w:type="dxa"/>
            <w:vAlign w:val="center"/>
          </w:tcPr>
          <w:p w14:paraId="3FFDD6E8" w14:textId="77777777" w:rsidR="009B654D" w:rsidRPr="00AC4363" w:rsidRDefault="009B654D" w:rsidP="008C3F14">
            <w:pPr>
              <w:spacing w:after="0"/>
              <w:contextualSpacing/>
            </w:pPr>
            <w:r w:rsidRPr="00AC4363">
              <w:t>Identificación de sesgos y falacias</w:t>
            </w:r>
          </w:p>
        </w:tc>
        <w:tc>
          <w:tcPr>
            <w:tcW w:w="1560" w:type="dxa"/>
            <w:vAlign w:val="center"/>
          </w:tcPr>
          <w:p w14:paraId="082A517C" w14:textId="775FFE03" w:rsidR="009B654D" w:rsidRPr="00AC4363" w:rsidRDefault="00F624B1" w:rsidP="008C3F14">
            <w:pPr>
              <w:spacing w:after="0"/>
              <w:contextualSpacing/>
              <w:jc w:val="center"/>
            </w:pPr>
            <w:r w:rsidRPr="00AC4363">
              <w:t>0</w:t>
            </w:r>
            <w:r w:rsidR="009B654D" w:rsidRPr="00AC4363">
              <w:t>.531</w:t>
            </w:r>
          </w:p>
        </w:tc>
        <w:tc>
          <w:tcPr>
            <w:tcW w:w="992" w:type="dxa"/>
            <w:vAlign w:val="center"/>
          </w:tcPr>
          <w:p w14:paraId="5A84B54C" w14:textId="66DDEF1C" w:rsidR="009B654D" w:rsidRPr="00AC4363" w:rsidRDefault="00F624B1" w:rsidP="008C3F14">
            <w:pPr>
              <w:spacing w:after="0"/>
              <w:contextualSpacing/>
              <w:jc w:val="center"/>
            </w:pPr>
            <w:r w:rsidRPr="00AC4363">
              <w:t>0</w:t>
            </w:r>
            <w:r w:rsidR="009B654D" w:rsidRPr="00AC4363">
              <w:t>.504</w:t>
            </w:r>
          </w:p>
        </w:tc>
        <w:tc>
          <w:tcPr>
            <w:tcW w:w="1559" w:type="dxa"/>
          </w:tcPr>
          <w:p w14:paraId="302C07BE" w14:textId="70B6721C" w:rsidR="009B654D" w:rsidRPr="00AC4363" w:rsidRDefault="009B654D" w:rsidP="008C3F14">
            <w:pPr>
              <w:spacing w:after="0"/>
              <w:contextualSpacing/>
              <w:jc w:val="center"/>
            </w:pPr>
            <w:r w:rsidRPr="00AC4363">
              <w:t>0.5</w:t>
            </w:r>
            <w:r w:rsidR="00403066" w:rsidRPr="00AC4363">
              <w:t>36</w:t>
            </w:r>
          </w:p>
        </w:tc>
      </w:tr>
      <w:tr w:rsidR="008C3F14" w:rsidRPr="00AC4363" w14:paraId="61294C61" w14:textId="77777777" w:rsidTr="00AC4363">
        <w:tc>
          <w:tcPr>
            <w:tcW w:w="1560" w:type="dxa"/>
            <w:vMerge/>
          </w:tcPr>
          <w:p w14:paraId="2422869C" w14:textId="77777777" w:rsidR="009B654D" w:rsidRPr="00AC4363" w:rsidRDefault="009B654D" w:rsidP="008C3F14">
            <w:pPr>
              <w:spacing w:after="0"/>
              <w:contextualSpacing/>
              <w:jc w:val="center"/>
            </w:pPr>
          </w:p>
        </w:tc>
        <w:tc>
          <w:tcPr>
            <w:tcW w:w="3543" w:type="dxa"/>
            <w:vAlign w:val="center"/>
          </w:tcPr>
          <w:p w14:paraId="5B92E4FD" w14:textId="24F65754" w:rsidR="009B654D" w:rsidRPr="00AC4363" w:rsidRDefault="009B654D" w:rsidP="008C3F14">
            <w:pPr>
              <w:spacing w:after="0"/>
              <w:contextualSpacing/>
            </w:pPr>
            <w:r w:rsidRPr="00AC4363">
              <w:t>Argumentación coherente y cohesiva</w:t>
            </w:r>
            <w:r w:rsidR="008C3F14" w:rsidRPr="00AC4363">
              <w:t>*</w:t>
            </w:r>
          </w:p>
        </w:tc>
        <w:tc>
          <w:tcPr>
            <w:tcW w:w="1560" w:type="dxa"/>
            <w:vAlign w:val="center"/>
          </w:tcPr>
          <w:p w14:paraId="2D67A157" w14:textId="63D0FED0" w:rsidR="009B654D" w:rsidRPr="00AC4363" w:rsidRDefault="00F624B1" w:rsidP="008C3F14">
            <w:pPr>
              <w:spacing w:after="0"/>
              <w:contextualSpacing/>
              <w:jc w:val="center"/>
            </w:pPr>
            <w:r w:rsidRPr="00AC4363">
              <w:t>0</w:t>
            </w:r>
            <w:r w:rsidR="009B654D" w:rsidRPr="00AC4363">
              <w:t>.477</w:t>
            </w:r>
          </w:p>
        </w:tc>
        <w:tc>
          <w:tcPr>
            <w:tcW w:w="992" w:type="dxa"/>
            <w:vAlign w:val="center"/>
          </w:tcPr>
          <w:p w14:paraId="7BA561DD" w14:textId="3789C135" w:rsidR="009B654D" w:rsidRPr="00AC4363" w:rsidRDefault="00F624B1" w:rsidP="008C3F14">
            <w:pPr>
              <w:spacing w:after="0"/>
              <w:contextualSpacing/>
              <w:jc w:val="center"/>
            </w:pPr>
            <w:r w:rsidRPr="00AC4363">
              <w:t>0</w:t>
            </w:r>
            <w:r w:rsidR="009B654D" w:rsidRPr="00AC4363">
              <w:t>.584</w:t>
            </w:r>
          </w:p>
        </w:tc>
        <w:tc>
          <w:tcPr>
            <w:tcW w:w="1559" w:type="dxa"/>
          </w:tcPr>
          <w:p w14:paraId="12A864A2" w14:textId="77777777" w:rsidR="009B654D" w:rsidRPr="00AC4363" w:rsidRDefault="009B654D" w:rsidP="008C3F14">
            <w:pPr>
              <w:spacing w:after="0"/>
              <w:contextualSpacing/>
              <w:jc w:val="center"/>
            </w:pPr>
            <w:r w:rsidRPr="00AC4363">
              <w:t>0.569</w:t>
            </w:r>
          </w:p>
        </w:tc>
      </w:tr>
      <w:tr w:rsidR="008C3F14" w:rsidRPr="00AC4363" w14:paraId="36953E37" w14:textId="77777777" w:rsidTr="00AC4363">
        <w:tc>
          <w:tcPr>
            <w:tcW w:w="1560" w:type="dxa"/>
            <w:vMerge/>
          </w:tcPr>
          <w:p w14:paraId="0864018E" w14:textId="77777777" w:rsidR="009B654D" w:rsidRPr="00AC4363" w:rsidRDefault="009B654D" w:rsidP="008C3F14">
            <w:pPr>
              <w:spacing w:after="0"/>
              <w:contextualSpacing/>
              <w:jc w:val="center"/>
            </w:pPr>
          </w:p>
        </w:tc>
        <w:tc>
          <w:tcPr>
            <w:tcW w:w="3543" w:type="dxa"/>
            <w:vAlign w:val="center"/>
          </w:tcPr>
          <w:p w14:paraId="7F9C4FAB" w14:textId="77777777" w:rsidR="009B654D" w:rsidRPr="00AC4363" w:rsidRDefault="009B654D" w:rsidP="008C3F14">
            <w:pPr>
              <w:spacing w:after="0"/>
              <w:contextualSpacing/>
            </w:pPr>
            <w:r w:rsidRPr="00AC4363">
              <w:t>Capacidad de argumentación independiente</w:t>
            </w:r>
          </w:p>
        </w:tc>
        <w:tc>
          <w:tcPr>
            <w:tcW w:w="1560" w:type="dxa"/>
            <w:vAlign w:val="center"/>
          </w:tcPr>
          <w:p w14:paraId="2AA93DF8" w14:textId="052B6F73" w:rsidR="009B654D" w:rsidRPr="00AC4363" w:rsidRDefault="00F624B1" w:rsidP="008C3F14">
            <w:pPr>
              <w:spacing w:after="0"/>
              <w:contextualSpacing/>
              <w:jc w:val="center"/>
            </w:pPr>
            <w:r w:rsidRPr="00AC4363">
              <w:t>0</w:t>
            </w:r>
            <w:r w:rsidR="009B654D" w:rsidRPr="00AC4363">
              <w:t>.539</w:t>
            </w:r>
          </w:p>
        </w:tc>
        <w:tc>
          <w:tcPr>
            <w:tcW w:w="992" w:type="dxa"/>
            <w:vAlign w:val="center"/>
          </w:tcPr>
          <w:p w14:paraId="39BB2DD5" w14:textId="66E565D2" w:rsidR="009B654D" w:rsidRPr="00AC4363" w:rsidRDefault="00F624B1" w:rsidP="008C3F14">
            <w:pPr>
              <w:spacing w:after="0"/>
              <w:contextualSpacing/>
              <w:jc w:val="center"/>
            </w:pPr>
            <w:r w:rsidRPr="00AC4363">
              <w:t>0</w:t>
            </w:r>
            <w:r w:rsidR="009B654D" w:rsidRPr="00AC4363">
              <w:t>.558</w:t>
            </w:r>
          </w:p>
        </w:tc>
        <w:tc>
          <w:tcPr>
            <w:tcW w:w="1559" w:type="dxa"/>
          </w:tcPr>
          <w:p w14:paraId="5CDA1CF1" w14:textId="206AA36A" w:rsidR="001F1C4C" w:rsidRPr="00AC4363" w:rsidRDefault="00C576E0" w:rsidP="008C3F14">
            <w:pPr>
              <w:spacing w:after="0"/>
              <w:contextualSpacing/>
              <w:jc w:val="center"/>
            </w:pPr>
            <w:r w:rsidRPr="00AC4363">
              <w:t>0.5</w:t>
            </w:r>
            <w:r w:rsidR="00403066" w:rsidRPr="00AC4363">
              <w:t>69</w:t>
            </w:r>
          </w:p>
        </w:tc>
      </w:tr>
      <w:tr w:rsidR="008C3F14" w:rsidRPr="00AC4363" w14:paraId="5F1D744E" w14:textId="77777777" w:rsidTr="00AC4363">
        <w:tc>
          <w:tcPr>
            <w:tcW w:w="1560" w:type="dxa"/>
            <w:vMerge/>
          </w:tcPr>
          <w:p w14:paraId="168096B4" w14:textId="77777777" w:rsidR="009B654D" w:rsidRPr="00AC4363" w:rsidRDefault="009B654D" w:rsidP="008C3F14">
            <w:pPr>
              <w:spacing w:after="0"/>
              <w:contextualSpacing/>
              <w:jc w:val="center"/>
            </w:pPr>
          </w:p>
        </w:tc>
        <w:tc>
          <w:tcPr>
            <w:tcW w:w="3543" w:type="dxa"/>
            <w:vAlign w:val="center"/>
          </w:tcPr>
          <w:p w14:paraId="5E223F3F" w14:textId="236C83F1" w:rsidR="009B654D" w:rsidRPr="00AC4363" w:rsidRDefault="009B654D" w:rsidP="008C3F14">
            <w:pPr>
              <w:spacing w:after="0"/>
              <w:contextualSpacing/>
            </w:pPr>
            <w:r w:rsidRPr="00AC4363">
              <w:t>Capacidad asertiva</w:t>
            </w:r>
          </w:p>
        </w:tc>
        <w:tc>
          <w:tcPr>
            <w:tcW w:w="1560" w:type="dxa"/>
            <w:vAlign w:val="center"/>
          </w:tcPr>
          <w:p w14:paraId="62E13524" w14:textId="6E5F4C5E" w:rsidR="009B654D" w:rsidRPr="00AC4363" w:rsidRDefault="00F624B1" w:rsidP="008C3F14">
            <w:pPr>
              <w:spacing w:after="0"/>
              <w:contextualSpacing/>
              <w:jc w:val="center"/>
            </w:pPr>
            <w:r w:rsidRPr="00AC4363">
              <w:t>0</w:t>
            </w:r>
            <w:r w:rsidR="009B654D" w:rsidRPr="00AC4363">
              <w:t>.545</w:t>
            </w:r>
          </w:p>
        </w:tc>
        <w:tc>
          <w:tcPr>
            <w:tcW w:w="992" w:type="dxa"/>
            <w:vAlign w:val="center"/>
          </w:tcPr>
          <w:p w14:paraId="74C09D70" w14:textId="098011AB" w:rsidR="009B654D" w:rsidRPr="00AC4363" w:rsidRDefault="00F624B1" w:rsidP="008C3F14">
            <w:pPr>
              <w:spacing w:after="0"/>
              <w:contextualSpacing/>
              <w:jc w:val="center"/>
            </w:pPr>
            <w:r w:rsidRPr="00AC4363">
              <w:t>0</w:t>
            </w:r>
            <w:r w:rsidR="009B654D" w:rsidRPr="00AC4363">
              <w:t>.499</w:t>
            </w:r>
          </w:p>
        </w:tc>
        <w:tc>
          <w:tcPr>
            <w:tcW w:w="1559" w:type="dxa"/>
          </w:tcPr>
          <w:p w14:paraId="1C64B917" w14:textId="43D2BA83" w:rsidR="009B654D" w:rsidRPr="00AC4363" w:rsidRDefault="009B654D" w:rsidP="008C3F14">
            <w:pPr>
              <w:spacing w:after="0"/>
              <w:contextualSpacing/>
              <w:jc w:val="center"/>
            </w:pPr>
            <w:r w:rsidRPr="00AC4363">
              <w:t>0.5</w:t>
            </w:r>
            <w:r w:rsidR="00403066" w:rsidRPr="00AC4363">
              <w:t>46</w:t>
            </w:r>
          </w:p>
        </w:tc>
      </w:tr>
      <w:tr w:rsidR="008C3F14" w:rsidRPr="00AC4363" w14:paraId="33B62B90" w14:textId="77777777" w:rsidTr="00AC4363">
        <w:tc>
          <w:tcPr>
            <w:tcW w:w="1560" w:type="dxa"/>
            <w:vMerge/>
          </w:tcPr>
          <w:p w14:paraId="0803C315" w14:textId="77777777" w:rsidR="009B654D" w:rsidRPr="00AC4363" w:rsidRDefault="009B654D" w:rsidP="008C3F14">
            <w:pPr>
              <w:spacing w:after="0"/>
              <w:contextualSpacing/>
              <w:jc w:val="center"/>
            </w:pPr>
          </w:p>
        </w:tc>
        <w:tc>
          <w:tcPr>
            <w:tcW w:w="3543" w:type="dxa"/>
            <w:vAlign w:val="center"/>
          </w:tcPr>
          <w:p w14:paraId="135FC1F1" w14:textId="1980FA93" w:rsidR="009B654D" w:rsidRPr="00AC4363" w:rsidRDefault="009B654D" w:rsidP="008C3F14">
            <w:pPr>
              <w:spacing w:after="0"/>
              <w:contextualSpacing/>
            </w:pPr>
            <w:r w:rsidRPr="00AC4363">
              <w:t>Implicaciones éticas</w:t>
            </w:r>
            <w:r w:rsidR="008C3F14" w:rsidRPr="00AC4363">
              <w:t>*</w:t>
            </w:r>
          </w:p>
        </w:tc>
        <w:tc>
          <w:tcPr>
            <w:tcW w:w="1560" w:type="dxa"/>
            <w:vAlign w:val="center"/>
          </w:tcPr>
          <w:p w14:paraId="5B9FEEB3" w14:textId="63CC5EF5" w:rsidR="009B654D" w:rsidRPr="00AC4363" w:rsidRDefault="00F624B1" w:rsidP="008C3F14">
            <w:pPr>
              <w:spacing w:after="0"/>
              <w:contextualSpacing/>
              <w:jc w:val="center"/>
            </w:pPr>
            <w:r w:rsidRPr="00AC4363">
              <w:t>0</w:t>
            </w:r>
            <w:r w:rsidR="009B654D" w:rsidRPr="00AC4363">
              <w:t>.526</w:t>
            </w:r>
          </w:p>
        </w:tc>
        <w:tc>
          <w:tcPr>
            <w:tcW w:w="992" w:type="dxa"/>
            <w:vAlign w:val="center"/>
          </w:tcPr>
          <w:p w14:paraId="2195330E" w14:textId="3AC5F189" w:rsidR="009B654D" w:rsidRPr="00AC4363" w:rsidRDefault="00F624B1" w:rsidP="008C3F14">
            <w:pPr>
              <w:spacing w:after="0"/>
              <w:contextualSpacing/>
              <w:jc w:val="center"/>
            </w:pPr>
            <w:r w:rsidRPr="00AC4363">
              <w:t>0</w:t>
            </w:r>
            <w:r w:rsidR="009B654D" w:rsidRPr="00AC4363">
              <w:t>.552</w:t>
            </w:r>
          </w:p>
        </w:tc>
        <w:tc>
          <w:tcPr>
            <w:tcW w:w="1559" w:type="dxa"/>
          </w:tcPr>
          <w:p w14:paraId="73D45462" w14:textId="77777777" w:rsidR="009B654D" w:rsidRPr="00AC4363" w:rsidRDefault="009B654D" w:rsidP="008C3F14">
            <w:pPr>
              <w:spacing w:after="0"/>
              <w:contextualSpacing/>
              <w:jc w:val="center"/>
            </w:pPr>
            <w:r w:rsidRPr="00AC4363">
              <w:t>0.581</w:t>
            </w:r>
          </w:p>
        </w:tc>
      </w:tr>
      <w:tr w:rsidR="008C3F14" w:rsidRPr="00AC4363" w14:paraId="3A372948" w14:textId="77777777" w:rsidTr="00AC4363">
        <w:tc>
          <w:tcPr>
            <w:tcW w:w="1560" w:type="dxa"/>
            <w:vMerge w:val="restart"/>
          </w:tcPr>
          <w:p w14:paraId="6EB205CE" w14:textId="77777777" w:rsidR="009B654D" w:rsidRPr="00AC4363" w:rsidRDefault="009B654D" w:rsidP="008C3F14">
            <w:pPr>
              <w:spacing w:after="0"/>
              <w:jc w:val="center"/>
            </w:pPr>
            <w:r w:rsidRPr="00AC4363">
              <w:t>Pensamiento sistémico</w:t>
            </w:r>
          </w:p>
        </w:tc>
        <w:tc>
          <w:tcPr>
            <w:tcW w:w="3543" w:type="dxa"/>
            <w:vAlign w:val="center"/>
          </w:tcPr>
          <w:p w14:paraId="3E95AF84" w14:textId="77777777" w:rsidR="009B654D" w:rsidRPr="00AC4363" w:rsidRDefault="009B654D" w:rsidP="008C3F14">
            <w:pPr>
              <w:spacing w:after="0"/>
            </w:pPr>
            <w:r w:rsidRPr="00AC4363">
              <w:t>Comprensión de la idea de sistemas</w:t>
            </w:r>
          </w:p>
        </w:tc>
        <w:tc>
          <w:tcPr>
            <w:tcW w:w="1560" w:type="dxa"/>
            <w:vAlign w:val="center"/>
          </w:tcPr>
          <w:p w14:paraId="0F7B2237" w14:textId="2D2A663A" w:rsidR="009B654D" w:rsidRPr="00AC4363" w:rsidRDefault="00F624B1" w:rsidP="008C3F14">
            <w:pPr>
              <w:spacing w:after="0"/>
              <w:jc w:val="center"/>
            </w:pPr>
            <w:r w:rsidRPr="00AC4363">
              <w:t>0</w:t>
            </w:r>
            <w:r w:rsidR="009B654D" w:rsidRPr="00AC4363">
              <w:t>.766</w:t>
            </w:r>
          </w:p>
        </w:tc>
        <w:tc>
          <w:tcPr>
            <w:tcW w:w="992" w:type="dxa"/>
            <w:vAlign w:val="center"/>
          </w:tcPr>
          <w:p w14:paraId="01DC417F" w14:textId="59A19D92" w:rsidR="009B654D" w:rsidRPr="00AC4363" w:rsidRDefault="00F624B1" w:rsidP="008C3F14">
            <w:pPr>
              <w:spacing w:after="0"/>
              <w:jc w:val="center"/>
            </w:pPr>
            <w:r w:rsidRPr="00AC4363">
              <w:t>0</w:t>
            </w:r>
            <w:r w:rsidR="009B654D" w:rsidRPr="00AC4363">
              <w:t>.725</w:t>
            </w:r>
          </w:p>
        </w:tc>
        <w:tc>
          <w:tcPr>
            <w:tcW w:w="1559" w:type="dxa"/>
          </w:tcPr>
          <w:p w14:paraId="79C94A5F" w14:textId="08450955" w:rsidR="009B654D" w:rsidRPr="00AC4363" w:rsidRDefault="00B91F1A" w:rsidP="008C3F14">
            <w:pPr>
              <w:spacing w:after="0"/>
              <w:jc w:val="center"/>
            </w:pPr>
            <w:r w:rsidRPr="00AC4363">
              <w:t>0.</w:t>
            </w:r>
            <w:r w:rsidR="00403066" w:rsidRPr="00AC4363">
              <w:t>884</w:t>
            </w:r>
          </w:p>
        </w:tc>
      </w:tr>
      <w:tr w:rsidR="008C3F14" w:rsidRPr="00AC4363" w14:paraId="4794F73F" w14:textId="77777777" w:rsidTr="00AC4363">
        <w:tc>
          <w:tcPr>
            <w:tcW w:w="1560" w:type="dxa"/>
            <w:vMerge/>
          </w:tcPr>
          <w:p w14:paraId="713788FE" w14:textId="77777777" w:rsidR="009B654D" w:rsidRPr="00AC4363" w:rsidRDefault="009B654D" w:rsidP="008C3F14">
            <w:pPr>
              <w:spacing w:after="0"/>
              <w:jc w:val="center"/>
            </w:pPr>
          </w:p>
        </w:tc>
        <w:tc>
          <w:tcPr>
            <w:tcW w:w="3543" w:type="dxa"/>
            <w:vAlign w:val="center"/>
          </w:tcPr>
          <w:p w14:paraId="7A8F704E" w14:textId="77777777" w:rsidR="009B654D" w:rsidRPr="00AC4363" w:rsidRDefault="009B654D" w:rsidP="008C3F14">
            <w:pPr>
              <w:spacing w:after="0"/>
            </w:pPr>
            <w:r w:rsidRPr="00AC4363">
              <w:t>Interacción de elementos del sistema</w:t>
            </w:r>
          </w:p>
        </w:tc>
        <w:tc>
          <w:tcPr>
            <w:tcW w:w="1560" w:type="dxa"/>
            <w:vAlign w:val="center"/>
          </w:tcPr>
          <w:p w14:paraId="6BD4603C" w14:textId="4EA07A1D" w:rsidR="009B654D" w:rsidRPr="00AC4363" w:rsidRDefault="00F624B1" w:rsidP="008C3F14">
            <w:pPr>
              <w:spacing w:after="0"/>
              <w:jc w:val="center"/>
            </w:pPr>
            <w:r w:rsidRPr="00AC4363">
              <w:t>0</w:t>
            </w:r>
            <w:r w:rsidR="009B654D" w:rsidRPr="00AC4363">
              <w:t>.808</w:t>
            </w:r>
          </w:p>
        </w:tc>
        <w:tc>
          <w:tcPr>
            <w:tcW w:w="992" w:type="dxa"/>
            <w:vAlign w:val="center"/>
          </w:tcPr>
          <w:p w14:paraId="4D7CE065" w14:textId="2826DA95" w:rsidR="009B654D" w:rsidRPr="00AC4363" w:rsidRDefault="00F624B1" w:rsidP="008C3F14">
            <w:pPr>
              <w:spacing w:after="0"/>
              <w:jc w:val="center"/>
            </w:pPr>
            <w:r w:rsidRPr="00AC4363">
              <w:t>0</w:t>
            </w:r>
            <w:r w:rsidR="009B654D" w:rsidRPr="00AC4363">
              <w:t>.735</w:t>
            </w:r>
          </w:p>
        </w:tc>
        <w:tc>
          <w:tcPr>
            <w:tcW w:w="1559" w:type="dxa"/>
          </w:tcPr>
          <w:p w14:paraId="4AB9739C" w14:textId="1EB72B4A" w:rsidR="009B654D" w:rsidRPr="00AC4363" w:rsidRDefault="009B654D" w:rsidP="008C3F14">
            <w:pPr>
              <w:spacing w:after="0"/>
              <w:jc w:val="center"/>
            </w:pPr>
            <w:r w:rsidRPr="00AC4363">
              <w:t>0.</w:t>
            </w:r>
            <w:r w:rsidR="00403066" w:rsidRPr="00AC4363">
              <w:t>692</w:t>
            </w:r>
          </w:p>
        </w:tc>
      </w:tr>
      <w:tr w:rsidR="008C3F14" w:rsidRPr="00AC4363" w14:paraId="098EC8E2" w14:textId="77777777" w:rsidTr="00AC4363">
        <w:tc>
          <w:tcPr>
            <w:tcW w:w="1560" w:type="dxa"/>
            <w:vMerge/>
          </w:tcPr>
          <w:p w14:paraId="38DE01FB" w14:textId="77777777" w:rsidR="009B654D" w:rsidRPr="00AC4363" w:rsidRDefault="009B654D" w:rsidP="008C3F14">
            <w:pPr>
              <w:spacing w:after="0"/>
              <w:jc w:val="center"/>
            </w:pPr>
          </w:p>
        </w:tc>
        <w:tc>
          <w:tcPr>
            <w:tcW w:w="3543" w:type="dxa"/>
            <w:vAlign w:val="center"/>
          </w:tcPr>
          <w:p w14:paraId="37FEC8B6" w14:textId="77777777" w:rsidR="009B654D" w:rsidRPr="00AC4363" w:rsidRDefault="009B654D" w:rsidP="008C3F14">
            <w:pPr>
              <w:spacing w:after="0"/>
            </w:pPr>
            <w:r w:rsidRPr="00AC4363">
              <w:t>Ciclos de retroalimentación</w:t>
            </w:r>
          </w:p>
        </w:tc>
        <w:tc>
          <w:tcPr>
            <w:tcW w:w="1560" w:type="dxa"/>
            <w:vAlign w:val="center"/>
          </w:tcPr>
          <w:p w14:paraId="4466AF61" w14:textId="7D798977" w:rsidR="009B654D" w:rsidRPr="00AC4363" w:rsidRDefault="00F624B1" w:rsidP="008C3F14">
            <w:pPr>
              <w:spacing w:after="0"/>
              <w:jc w:val="center"/>
            </w:pPr>
            <w:r w:rsidRPr="00AC4363">
              <w:t>0</w:t>
            </w:r>
            <w:r w:rsidR="009B654D" w:rsidRPr="00AC4363">
              <w:t>.792</w:t>
            </w:r>
          </w:p>
        </w:tc>
        <w:tc>
          <w:tcPr>
            <w:tcW w:w="992" w:type="dxa"/>
            <w:vAlign w:val="center"/>
          </w:tcPr>
          <w:p w14:paraId="3262FE19" w14:textId="759C5939" w:rsidR="009B654D" w:rsidRPr="00AC4363" w:rsidRDefault="00F624B1" w:rsidP="008C3F14">
            <w:pPr>
              <w:spacing w:after="0"/>
              <w:jc w:val="center"/>
            </w:pPr>
            <w:r w:rsidRPr="00AC4363">
              <w:t>0</w:t>
            </w:r>
            <w:r w:rsidR="009B654D" w:rsidRPr="00AC4363">
              <w:t>.780</w:t>
            </w:r>
          </w:p>
        </w:tc>
        <w:tc>
          <w:tcPr>
            <w:tcW w:w="1559" w:type="dxa"/>
          </w:tcPr>
          <w:p w14:paraId="1ABAC11A" w14:textId="4163565E" w:rsidR="009B654D" w:rsidRPr="00AC4363" w:rsidRDefault="009B654D" w:rsidP="008C3F14">
            <w:pPr>
              <w:spacing w:after="0"/>
              <w:jc w:val="center"/>
            </w:pPr>
            <w:r w:rsidRPr="00AC4363">
              <w:t>0.6</w:t>
            </w:r>
            <w:r w:rsidR="00403066" w:rsidRPr="00AC4363">
              <w:t>66</w:t>
            </w:r>
          </w:p>
        </w:tc>
      </w:tr>
      <w:tr w:rsidR="008C3F14" w:rsidRPr="00AC4363" w14:paraId="45B0735F" w14:textId="77777777" w:rsidTr="00AC4363">
        <w:tc>
          <w:tcPr>
            <w:tcW w:w="1560" w:type="dxa"/>
            <w:vMerge/>
          </w:tcPr>
          <w:p w14:paraId="45BD2FB0" w14:textId="77777777" w:rsidR="009B654D" w:rsidRPr="00AC4363" w:rsidRDefault="009B654D" w:rsidP="008C3F14">
            <w:pPr>
              <w:spacing w:after="0"/>
              <w:jc w:val="center"/>
            </w:pPr>
          </w:p>
        </w:tc>
        <w:tc>
          <w:tcPr>
            <w:tcW w:w="3543" w:type="dxa"/>
            <w:vAlign w:val="center"/>
          </w:tcPr>
          <w:p w14:paraId="05DB4583" w14:textId="77777777" w:rsidR="009B654D" w:rsidRPr="00AC4363" w:rsidRDefault="009B654D" w:rsidP="008C3F14">
            <w:pPr>
              <w:spacing w:after="0"/>
            </w:pPr>
            <w:r w:rsidRPr="00AC4363">
              <w:t>Optimización del sistema</w:t>
            </w:r>
          </w:p>
        </w:tc>
        <w:tc>
          <w:tcPr>
            <w:tcW w:w="1560" w:type="dxa"/>
            <w:vAlign w:val="center"/>
          </w:tcPr>
          <w:p w14:paraId="48066C82" w14:textId="3A9B9FC1" w:rsidR="009B654D" w:rsidRPr="00AC4363" w:rsidRDefault="00F624B1" w:rsidP="008C3F14">
            <w:pPr>
              <w:spacing w:after="0"/>
              <w:jc w:val="center"/>
            </w:pPr>
            <w:r w:rsidRPr="00AC4363">
              <w:t>0</w:t>
            </w:r>
            <w:r w:rsidR="009B654D" w:rsidRPr="00AC4363">
              <w:t>.784</w:t>
            </w:r>
          </w:p>
        </w:tc>
        <w:tc>
          <w:tcPr>
            <w:tcW w:w="992" w:type="dxa"/>
            <w:vAlign w:val="center"/>
          </w:tcPr>
          <w:p w14:paraId="397DA0BA" w14:textId="0A17CA69" w:rsidR="009B654D" w:rsidRPr="00AC4363" w:rsidRDefault="00F624B1" w:rsidP="008C3F14">
            <w:pPr>
              <w:spacing w:after="0"/>
              <w:jc w:val="center"/>
            </w:pPr>
            <w:r w:rsidRPr="00AC4363">
              <w:t>0</w:t>
            </w:r>
            <w:r w:rsidR="009B654D" w:rsidRPr="00AC4363">
              <w:t>.756</w:t>
            </w:r>
          </w:p>
        </w:tc>
        <w:tc>
          <w:tcPr>
            <w:tcW w:w="1559" w:type="dxa"/>
          </w:tcPr>
          <w:p w14:paraId="238BCFD2" w14:textId="42B68A64" w:rsidR="009B654D" w:rsidRPr="00AC4363" w:rsidRDefault="009B654D" w:rsidP="008C3F14">
            <w:pPr>
              <w:spacing w:after="0"/>
              <w:jc w:val="center"/>
            </w:pPr>
            <w:r w:rsidRPr="00AC4363">
              <w:t>0.7</w:t>
            </w:r>
            <w:r w:rsidR="00403066" w:rsidRPr="00AC4363">
              <w:t>37</w:t>
            </w:r>
          </w:p>
        </w:tc>
      </w:tr>
      <w:tr w:rsidR="008C3F14" w:rsidRPr="00AC4363" w14:paraId="6A29F3DC" w14:textId="77777777" w:rsidTr="00AC4363">
        <w:tc>
          <w:tcPr>
            <w:tcW w:w="1560" w:type="dxa"/>
            <w:vMerge/>
          </w:tcPr>
          <w:p w14:paraId="1D46D350" w14:textId="77777777" w:rsidR="009B654D" w:rsidRPr="00AC4363" w:rsidRDefault="009B654D" w:rsidP="008C3F14">
            <w:pPr>
              <w:spacing w:after="0"/>
              <w:jc w:val="center"/>
            </w:pPr>
          </w:p>
        </w:tc>
        <w:tc>
          <w:tcPr>
            <w:tcW w:w="3543" w:type="dxa"/>
            <w:vAlign w:val="center"/>
          </w:tcPr>
          <w:p w14:paraId="412568B2" w14:textId="1DAD7BA1" w:rsidR="009B654D" w:rsidRPr="00AC4363" w:rsidRDefault="009B654D" w:rsidP="008C3F14">
            <w:pPr>
              <w:spacing w:after="0"/>
            </w:pPr>
            <w:r w:rsidRPr="00AC4363">
              <w:t>Identificación de “cuellos de botella</w:t>
            </w:r>
            <w:r w:rsidR="00460A0C" w:rsidRPr="00AC4363">
              <w:t>”</w:t>
            </w:r>
          </w:p>
        </w:tc>
        <w:tc>
          <w:tcPr>
            <w:tcW w:w="1560" w:type="dxa"/>
            <w:vAlign w:val="center"/>
          </w:tcPr>
          <w:p w14:paraId="532E5D30" w14:textId="7F4C7CCF" w:rsidR="009B654D" w:rsidRPr="00AC4363" w:rsidRDefault="00F624B1" w:rsidP="008C3F14">
            <w:pPr>
              <w:spacing w:after="0"/>
              <w:jc w:val="center"/>
            </w:pPr>
            <w:r w:rsidRPr="00AC4363">
              <w:t>0</w:t>
            </w:r>
            <w:r w:rsidR="009B654D" w:rsidRPr="00AC4363">
              <w:t>.750</w:t>
            </w:r>
          </w:p>
        </w:tc>
        <w:tc>
          <w:tcPr>
            <w:tcW w:w="992" w:type="dxa"/>
            <w:vAlign w:val="center"/>
          </w:tcPr>
          <w:p w14:paraId="34B9E330" w14:textId="4DBCC46F" w:rsidR="009B654D" w:rsidRPr="00AC4363" w:rsidRDefault="00F624B1" w:rsidP="008C3F14">
            <w:pPr>
              <w:spacing w:after="0"/>
              <w:jc w:val="center"/>
            </w:pPr>
            <w:r w:rsidRPr="00AC4363">
              <w:t>0</w:t>
            </w:r>
            <w:r w:rsidR="009B654D" w:rsidRPr="00AC4363">
              <w:t>.785</w:t>
            </w:r>
          </w:p>
        </w:tc>
        <w:tc>
          <w:tcPr>
            <w:tcW w:w="1559" w:type="dxa"/>
          </w:tcPr>
          <w:p w14:paraId="5A4D7FBA" w14:textId="3CA973B4" w:rsidR="009B654D" w:rsidRPr="00AC4363" w:rsidRDefault="009B654D" w:rsidP="008C3F14">
            <w:pPr>
              <w:spacing w:after="0"/>
              <w:jc w:val="center"/>
            </w:pPr>
            <w:r w:rsidRPr="00AC4363">
              <w:t>0.6</w:t>
            </w:r>
            <w:r w:rsidR="00403066" w:rsidRPr="00AC4363">
              <w:t>65</w:t>
            </w:r>
          </w:p>
        </w:tc>
      </w:tr>
      <w:tr w:rsidR="008C3F14" w:rsidRPr="00AC4363" w14:paraId="263138BD" w14:textId="77777777" w:rsidTr="00AC4363">
        <w:tc>
          <w:tcPr>
            <w:tcW w:w="1560" w:type="dxa"/>
            <w:vMerge/>
          </w:tcPr>
          <w:p w14:paraId="667D3156" w14:textId="77777777" w:rsidR="009B654D" w:rsidRPr="00AC4363" w:rsidRDefault="009B654D" w:rsidP="008C3F14">
            <w:pPr>
              <w:spacing w:after="0"/>
              <w:jc w:val="center"/>
            </w:pPr>
          </w:p>
        </w:tc>
        <w:tc>
          <w:tcPr>
            <w:tcW w:w="3543" w:type="dxa"/>
            <w:vAlign w:val="center"/>
          </w:tcPr>
          <w:p w14:paraId="6BDA9817" w14:textId="77777777" w:rsidR="009B654D" w:rsidRPr="00AC4363" w:rsidRDefault="009B654D" w:rsidP="008C3F14">
            <w:pPr>
              <w:spacing w:after="0"/>
            </w:pPr>
            <w:r w:rsidRPr="00AC4363">
              <w:t>Percepción del cambio</w:t>
            </w:r>
          </w:p>
        </w:tc>
        <w:tc>
          <w:tcPr>
            <w:tcW w:w="1560" w:type="dxa"/>
            <w:vAlign w:val="center"/>
          </w:tcPr>
          <w:p w14:paraId="3C09A11E" w14:textId="345D1F44" w:rsidR="009B654D" w:rsidRPr="00AC4363" w:rsidRDefault="00F624B1" w:rsidP="008C3F14">
            <w:pPr>
              <w:spacing w:after="0"/>
              <w:jc w:val="center"/>
            </w:pPr>
            <w:r w:rsidRPr="00AC4363">
              <w:t>0</w:t>
            </w:r>
            <w:r w:rsidR="009B654D" w:rsidRPr="00AC4363">
              <w:t>.763</w:t>
            </w:r>
          </w:p>
        </w:tc>
        <w:tc>
          <w:tcPr>
            <w:tcW w:w="992" w:type="dxa"/>
            <w:vAlign w:val="center"/>
          </w:tcPr>
          <w:p w14:paraId="5876D1FD" w14:textId="5DC8A932" w:rsidR="009B654D" w:rsidRPr="00AC4363" w:rsidRDefault="00F624B1" w:rsidP="008C3F14">
            <w:pPr>
              <w:spacing w:after="0"/>
              <w:jc w:val="center"/>
            </w:pPr>
            <w:r w:rsidRPr="00AC4363">
              <w:t>0</w:t>
            </w:r>
            <w:r w:rsidR="009B654D" w:rsidRPr="00AC4363">
              <w:t>.753</w:t>
            </w:r>
          </w:p>
        </w:tc>
        <w:tc>
          <w:tcPr>
            <w:tcW w:w="1559" w:type="dxa"/>
          </w:tcPr>
          <w:p w14:paraId="6162CBCC" w14:textId="68DA663A" w:rsidR="009B654D" w:rsidRPr="00AC4363" w:rsidRDefault="009B654D" w:rsidP="008C3F14">
            <w:pPr>
              <w:spacing w:after="0"/>
              <w:jc w:val="center"/>
            </w:pPr>
            <w:r w:rsidRPr="00AC4363">
              <w:t>0.68</w:t>
            </w:r>
            <w:r w:rsidR="00403066" w:rsidRPr="00AC4363">
              <w:t>0</w:t>
            </w:r>
          </w:p>
        </w:tc>
      </w:tr>
    </w:tbl>
    <w:p w14:paraId="44A2C1EE" w14:textId="35B67A11" w:rsidR="004A4F22" w:rsidRPr="00AC4363" w:rsidRDefault="004A4F22" w:rsidP="00AC4363">
      <w:pPr>
        <w:spacing w:after="0" w:line="360" w:lineRule="auto"/>
        <w:jc w:val="center"/>
      </w:pPr>
      <w:r w:rsidRPr="00AC4363">
        <w:rPr>
          <w:i/>
          <w:iCs/>
        </w:rPr>
        <w:t>Nota.</w:t>
      </w:r>
      <w:r w:rsidRPr="00AC4363">
        <w:t xml:space="preserve"> </w:t>
      </w:r>
      <w:r w:rsidRPr="00AC4363">
        <w:rPr>
          <w:i/>
          <w:iCs/>
        </w:rPr>
        <w:t>N</w:t>
      </w:r>
      <w:r w:rsidRPr="00AC4363">
        <w:t xml:space="preserve"> = 337. Método de extracción en la primera rotación Varimax. Las cargas factoriales arriba de 0.5 se aprecian en negritas.</w:t>
      </w:r>
    </w:p>
    <w:p w14:paraId="298598E4" w14:textId="068BE34D" w:rsidR="00653385" w:rsidRDefault="00653385" w:rsidP="00B4389B">
      <w:pPr>
        <w:spacing w:after="0" w:line="360" w:lineRule="auto"/>
        <w:ind w:firstLine="708"/>
        <w:jc w:val="both"/>
      </w:pPr>
      <w:r>
        <w:t>D</w:t>
      </w:r>
      <w:r w:rsidR="00492653">
        <w:t xml:space="preserve">espués del primer AFE </w:t>
      </w:r>
      <w:r w:rsidR="009B654D">
        <w:t xml:space="preserve">las variables observadas para la variable latente </w:t>
      </w:r>
      <w:r w:rsidR="009B654D" w:rsidRPr="003025C6">
        <w:rPr>
          <w:i/>
          <w:iCs/>
        </w:rPr>
        <w:t>Pensamiento complejo</w:t>
      </w:r>
      <w:r w:rsidR="009B654D">
        <w:t xml:space="preserve"> se agrupa</w:t>
      </w:r>
      <w:r w:rsidR="0039296B">
        <w:t>ro</w:t>
      </w:r>
      <w:r w:rsidR="009B654D">
        <w:t>n en un solo factor</w:t>
      </w:r>
      <w:r w:rsidR="0039296B">
        <w:t>,</w:t>
      </w:r>
      <w:r w:rsidR="009803C9">
        <w:t xml:space="preserve"> c</w:t>
      </w:r>
      <w:r>
        <w:t>o</w:t>
      </w:r>
      <w:r w:rsidR="009803C9">
        <w:t>n cargas factoriales apropiadas arriba de 0.7</w:t>
      </w:r>
      <w:r w:rsidR="003025C6">
        <w:t xml:space="preserve">, como se observa en la Tabla </w:t>
      </w:r>
      <w:r w:rsidR="00A85514">
        <w:t>4</w:t>
      </w:r>
      <w:r w:rsidR="00B96324">
        <w:t>.</w:t>
      </w:r>
      <w:r w:rsidR="00492653">
        <w:t xml:space="preserve"> </w:t>
      </w:r>
      <w:r w:rsidR="003A07D3">
        <w:t>Con asterisco</w:t>
      </w:r>
      <w:r w:rsidR="00492653">
        <w:t xml:space="preserve"> se señalan las variables </w:t>
      </w:r>
      <w:r w:rsidR="003025C6">
        <w:t>eliminadas al realizar el</w:t>
      </w:r>
      <w:r w:rsidR="00492653">
        <w:t xml:space="preserve"> segundo </w:t>
      </w:r>
      <w:r w:rsidR="003025C6">
        <w:t>análisis factorial exploratorio</w:t>
      </w:r>
      <w:r w:rsidR="00492653">
        <w:t xml:space="preserve">. </w:t>
      </w:r>
      <w:r w:rsidR="0052750C">
        <w:t xml:space="preserve">Al realizar nuevamente la rotación </w:t>
      </w:r>
      <w:r w:rsidR="003025C6">
        <w:t xml:space="preserve">Varimax </w:t>
      </w:r>
      <w:r w:rsidR="0052750C">
        <w:t xml:space="preserve">después de eliminar estas </w:t>
      </w:r>
      <w:r w:rsidR="006B2B5A">
        <w:t>tres</w:t>
      </w:r>
      <w:r w:rsidR="0052750C">
        <w:t xml:space="preserve"> variables latentes</w:t>
      </w:r>
      <w:r w:rsidR="006B2B5A">
        <w:t>,</w:t>
      </w:r>
      <w:r w:rsidR="00F15F70">
        <w:t xml:space="preserve"> se obtiene</w:t>
      </w:r>
      <w:r w:rsidR="00492653">
        <w:t xml:space="preserve">n los valores </w:t>
      </w:r>
      <w:r>
        <w:t xml:space="preserve">mostrados en la Tabla </w:t>
      </w:r>
      <w:r w:rsidR="00480C12">
        <w:t>5</w:t>
      </w:r>
      <w:r>
        <w:t>.</w:t>
      </w:r>
      <w:r w:rsidRPr="00653385">
        <w:t xml:space="preserve"> </w:t>
      </w:r>
      <w:r>
        <w:t>Tanto para la prueba del Índice de adecuación de Kaiser-Meyer-Olkin (KMO), como para la prueba de esfericidad de Bartlett y</w:t>
      </w:r>
      <w:r w:rsidR="00BB0D52">
        <w:t xml:space="preserve"> el </w:t>
      </w:r>
      <w:r w:rsidR="00A626B1">
        <w:t xml:space="preserve">porcentaje </w:t>
      </w:r>
      <w:r w:rsidR="00BB0D52">
        <w:t>de</w:t>
      </w:r>
      <w:r>
        <w:t xml:space="preserve"> la varianza total obtenida.</w:t>
      </w:r>
    </w:p>
    <w:p w14:paraId="4A4BF857" w14:textId="77777777" w:rsidR="00AC4363" w:rsidRDefault="00AC4363" w:rsidP="00B4389B">
      <w:pPr>
        <w:spacing w:after="0" w:line="360" w:lineRule="auto"/>
        <w:ind w:firstLine="708"/>
        <w:jc w:val="both"/>
      </w:pPr>
    </w:p>
    <w:p w14:paraId="6A3317B5" w14:textId="77777777" w:rsidR="008E3143" w:rsidRDefault="008E3143" w:rsidP="00B4389B">
      <w:pPr>
        <w:spacing w:after="0" w:line="360" w:lineRule="auto"/>
        <w:ind w:firstLine="708"/>
        <w:jc w:val="both"/>
      </w:pPr>
    </w:p>
    <w:p w14:paraId="02B2C102" w14:textId="28A717B3" w:rsidR="00653385" w:rsidRPr="003025C6" w:rsidRDefault="00653385" w:rsidP="00AC4363">
      <w:pPr>
        <w:spacing w:after="0" w:line="360" w:lineRule="auto"/>
        <w:jc w:val="center"/>
        <w:rPr>
          <w:i/>
          <w:iCs/>
        </w:rPr>
      </w:pPr>
      <w:r w:rsidRPr="003025C6">
        <w:rPr>
          <w:b/>
          <w:bCs/>
        </w:rPr>
        <w:lastRenderedPageBreak/>
        <w:t xml:space="preserve">Tabla </w:t>
      </w:r>
      <w:r w:rsidR="00A85514">
        <w:rPr>
          <w:b/>
          <w:bCs/>
        </w:rPr>
        <w:t>5</w:t>
      </w:r>
      <w:r w:rsidR="00AC4363">
        <w:rPr>
          <w:b/>
          <w:bCs/>
        </w:rPr>
        <w:t xml:space="preserve">. </w:t>
      </w:r>
      <w:r w:rsidRPr="00AC4363">
        <w:t xml:space="preserve">Valores de KMO y Prueba de Bartlett para Procesamiento de la </w:t>
      </w:r>
      <w:r w:rsidR="00F624B1" w:rsidRPr="00AC4363">
        <w:t>i</w:t>
      </w:r>
      <w:r w:rsidRPr="00AC4363">
        <w:t>nformación</w:t>
      </w:r>
    </w:p>
    <w:tbl>
      <w:tblPr>
        <w:tblStyle w:val="Tablaconcuadrcula"/>
        <w:tblW w:w="0" w:type="auto"/>
        <w:jc w:val="center"/>
        <w:tblLook w:val="04A0" w:firstRow="1" w:lastRow="0" w:firstColumn="1" w:lastColumn="0" w:noHBand="0" w:noVBand="1"/>
      </w:tblPr>
      <w:tblGrid>
        <w:gridCol w:w="1134"/>
        <w:gridCol w:w="1843"/>
        <w:gridCol w:w="992"/>
        <w:gridCol w:w="1418"/>
        <w:gridCol w:w="2693"/>
      </w:tblGrid>
      <w:tr w:rsidR="00653385" w:rsidRPr="00AC4363" w14:paraId="1815B07F" w14:textId="77777777" w:rsidTr="00AC4363">
        <w:trPr>
          <w:jc w:val="center"/>
        </w:trPr>
        <w:tc>
          <w:tcPr>
            <w:tcW w:w="1134" w:type="dxa"/>
            <w:vMerge w:val="restart"/>
          </w:tcPr>
          <w:p w14:paraId="1EA32CF1" w14:textId="77777777" w:rsidR="00653385" w:rsidRPr="00AC4363" w:rsidRDefault="00653385" w:rsidP="004C4804">
            <w:pPr>
              <w:spacing w:after="0"/>
              <w:jc w:val="center"/>
            </w:pPr>
            <w:r w:rsidRPr="00AC4363">
              <w:t>KMO</w:t>
            </w:r>
            <w:r w:rsidRPr="00AC4363">
              <w:rPr>
                <w:i/>
                <w:iCs/>
                <w:vertAlign w:val="superscript"/>
              </w:rPr>
              <w:t>b</w:t>
            </w:r>
          </w:p>
        </w:tc>
        <w:tc>
          <w:tcPr>
            <w:tcW w:w="4253" w:type="dxa"/>
            <w:gridSpan w:val="3"/>
          </w:tcPr>
          <w:p w14:paraId="74FFCA67" w14:textId="54376805" w:rsidR="00653385" w:rsidRPr="00AC4363" w:rsidRDefault="00653385" w:rsidP="004C4804">
            <w:pPr>
              <w:spacing w:after="0"/>
              <w:jc w:val="center"/>
            </w:pPr>
            <w:r w:rsidRPr="00AC4363">
              <w:t xml:space="preserve">Prueba de Bartlett: Primera </w:t>
            </w:r>
            <w:r w:rsidR="00F624B1" w:rsidRPr="00AC4363">
              <w:t>r</w:t>
            </w:r>
            <w:r w:rsidRPr="00AC4363">
              <w:t>educción</w:t>
            </w:r>
            <w:r w:rsidR="00AC20C8" w:rsidRPr="00AC4363">
              <w:rPr>
                <w:i/>
                <w:iCs/>
                <w:vertAlign w:val="superscript"/>
              </w:rPr>
              <w:t>a</w:t>
            </w:r>
          </w:p>
        </w:tc>
        <w:tc>
          <w:tcPr>
            <w:tcW w:w="2693" w:type="dxa"/>
            <w:vMerge w:val="restart"/>
          </w:tcPr>
          <w:p w14:paraId="1404D2BF" w14:textId="4A624414" w:rsidR="00653385" w:rsidRPr="00AC4363" w:rsidRDefault="00653385" w:rsidP="004C4804">
            <w:pPr>
              <w:spacing w:after="0"/>
              <w:jc w:val="center"/>
            </w:pPr>
            <w:r w:rsidRPr="00AC4363">
              <w:t>Varianza total explicada</w:t>
            </w:r>
            <w:r w:rsidR="00F624B1" w:rsidRPr="00AC4363">
              <w:t xml:space="preserve"> (%)</w:t>
            </w:r>
          </w:p>
        </w:tc>
      </w:tr>
      <w:tr w:rsidR="00653385" w:rsidRPr="00AC4363" w14:paraId="2770924C" w14:textId="77777777" w:rsidTr="00AC4363">
        <w:trPr>
          <w:jc w:val="center"/>
        </w:trPr>
        <w:tc>
          <w:tcPr>
            <w:tcW w:w="1134" w:type="dxa"/>
            <w:vMerge/>
          </w:tcPr>
          <w:p w14:paraId="1320BA14" w14:textId="77777777" w:rsidR="00653385" w:rsidRPr="00AC4363" w:rsidRDefault="00653385" w:rsidP="004C4804">
            <w:pPr>
              <w:spacing w:after="0"/>
              <w:jc w:val="center"/>
            </w:pPr>
          </w:p>
        </w:tc>
        <w:tc>
          <w:tcPr>
            <w:tcW w:w="1843" w:type="dxa"/>
          </w:tcPr>
          <w:p w14:paraId="698F3EBF" w14:textId="77777777" w:rsidR="00653385" w:rsidRPr="00AC4363" w:rsidRDefault="00653385" w:rsidP="004C4804">
            <w:pPr>
              <w:spacing w:after="0"/>
              <w:jc w:val="center"/>
            </w:pPr>
            <w:r w:rsidRPr="00AC4363">
              <w:t>Chi cuadrado</w:t>
            </w:r>
          </w:p>
        </w:tc>
        <w:tc>
          <w:tcPr>
            <w:tcW w:w="992" w:type="dxa"/>
          </w:tcPr>
          <w:p w14:paraId="3767090B" w14:textId="77777777" w:rsidR="00653385" w:rsidRPr="00AC4363" w:rsidRDefault="00653385" w:rsidP="004C4804">
            <w:pPr>
              <w:spacing w:after="0"/>
              <w:jc w:val="center"/>
            </w:pPr>
            <w:r w:rsidRPr="00AC4363">
              <w:t>gl</w:t>
            </w:r>
          </w:p>
        </w:tc>
        <w:tc>
          <w:tcPr>
            <w:tcW w:w="1418" w:type="dxa"/>
          </w:tcPr>
          <w:p w14:paraId="06D2B4CE" w14:textId="77777777" w:rsidR="00653385" w:rsidRPr="00AC4363" w:rsidRDefault="00653385" w:rsidP="004C4804">
            <w:pPr>
              <w:spacing w:after="0"/>
              <w:jc w:val="center"/>
            </w:pPr>
            <w:r w:rsidRPr="00AC4363">
              <w:t>p-valor</w:t>
            </w:r>
          </w:p>
        </w:tc>
        <w:tc>
          <w:tcPr>
            <w:tcW w:w="2693" w:type="dxa"/>
            <w:vMerge/>
          </w:tcPr>
          <w:p w14:paraId="5C6EF317" w14:textId="77777777" w:rsidR="00653385" w:rsidRPr="00AC4363" w:rsidRDefault="00653385" w:rsidP="004C4804">
            <w:pPr>
              <w:spacing w:after="0"/>
              <w:jc w:val="center"/>
            </w:pPr>
          </w:p>
        </w:tc>
      </w:tr>
      <w:tr w:rsidR="00653385" w:rsidRPr="00AC4363" w14:paraId="096B0647" w14:textId="77777777" w:rsidTr="00AC4363">
        <w:trPr>
          <w:jc w:val="center"/>
        </w:trPr>
        <w:tc>
          <w:tcPr>
            <w:tcW w:w="1134" w:type="dxa"/>
          </w:tcPr>
          <w:p w14:paraId="24A93864" w14:textId="77777777" w:rsidR="00653385" w:rsidRPr="00AC4363" w:rsidRDefault="00653385" w:rsidP="004C4804">
            <w:pPr>
              <w:spacing w:after="0"/>
              <w:jc w:val="center"/>
            </w:pPr>
            <w:r w:rsidRPr="00AC4363">
              <w:t>0.964</w:t>
            </w:r>
          </w:p>
        </w:tc>
        <w:tc>
          <w:tcPr>
            <w:tcW w:w="1843" w:type="dxa"/>
          </w:tcPr>
          <w:p w14:paraId="0AE51272" w14:textId="77777777" w:rsidR="00653385" w:rsidRPr="00AC4363" w:rsidRDefault="00653385" w:rsidP="004C4804">
            <w:pPr>
              <w:spacing w:after="0"/>
              <w:jc w:val="center"/>
            </w:pPr>
            <w:r w:rsidRPr="00AC4363">
              <w:t>4193.214</w:t>
            </w:r>
          </w:p>
        </w:tc>
        <w:tc>
          <w:tcPr>
            <w:tcW w:w="992" w:type="dxa"/>
          </w:tcPr>
          <w:p w14:paraId="11016926" w14:textId="77777777" w:rsidR="00653385" w:rsidRPr="00AC4363" w:rsidRDefault="00653385" w:rsidP="004C4804">
            <w:pPr>
              <w:spacing w:after="0"/>
              <w:jc w:val="center"/>
            </w:pPr>
            <w:r w:rsidRPr="00AC4363">
              <w:t>153</w:t>
            </w:r>
          </w:p>
        </w:tc>
        <w:tc>
          <w:tcPr>
            <w:tcW w:w="1418" w:type="dxa"/>
          </w:tcPr>
          <w:p w14:paraId="7E2B8016" w14:textId="26387136" w:rsidR="00653385" w:rsidRPr="00AC4363" w:rsidRDefault="00653385" w:rsidP="004C4804">
            <w:pPr>
              <w:spacing w:after="0"/>
              <w:jc w:val="center"/>
            </w:pPr>
            <w:r w:rsidRPr="00AC4363">
              <w:t>0.00</w:t>
            </w:r>
            <w:r w:rsidR="00DC45C2" w:rsidRPr="00AC4363">
              <w:t>1</w:t>
            </w:r>
          </w:p>
        </w:tc>
        <w:tc>
          <w:tcPr>
            <w:tcW w:w="2693" w:type="dxa"/>
          </w:tcPr>
          <w:p w14:paraId="65DDCF6A" w14:textId="77777777" w:rsidR="00653385" w:rsidRPr="00AC4363" w:rsidRDefault="00653385" w:rsidP="004C4804">
            <w:pPr>
              <w:spacing w:after="0"/>
              <w:jc w:val="center"/>
            </w:pPr>
            <w:r w:rsidRPr="00AC4363">
              <w:t>63.753</w:t>
            </w:r>
          </w:p>
        </w:tc>
      </w:tr>
      <w:tr w:rsidR="00653385" w:rsidRPr="00AC4363" w14:paraId="4E10C14C" w14:textId="77777777" w:rsidTr="00AC4363">
        <w:trPr>
          <w:jc w:val="center"/>
        </w:trPr>
        <w:tc>
          <w:tcPr>
            <w:tcW w:w="8080" w:type="dxa"/>
            <w:gridSpan w:val="5"/>
          </w:tcPr>
          <w:p w14:paraId="69DC936E" w14:textId="2AD68DFC" w:rsidR="00653385" w:rsidRPr="00AC4363" w:rsidRDefault="00653385" w:rsidP="004C4804">
            <w:pPr>
              <w:spacing w:after="0"/>
              <w:jc w:val="center"/>
            </w:pPr>
            <w:r w:rsidRPr="00AC4363">
              <w:t xml:space="preserve">Segunda </w:t>
            </w:r>
            <w:r w:rsidR="00F624B1" w:rsidRPr="00AC4363">
              <w:t>r</w:t>
            </w:r>
            <w:r w:rsidRPr="00AC4363">
              <w:t>educción</w:t>
            </w:r>
          </w:p>
        </w:tc>
      </w:tr>
      <w:tr w:rsidR="00653385" w:rsidRPr="00AC4363" w14:paraId="338661BD" w14:textId="77777777" w:rsidTr="00AC4363">
        <w:trPr>
          <w:jc w:val="center"/>
        </w:trPr>
        <w:tc>
          <w:tcPr>
            <w:tcW w:w="1134" w:type="dxa"/>
          </w:tcPr>
          <w:p w14:paraId="73D44E62" w14:textId="77777777" w:rsidR="00653385" w:rsidRPr="00AC4363" w:rsidRDefault="00653385" w:rsidP="004C4804">
            <w:pPr>
              <w:spacing w:after="0"/>
              <w:jc w:val="center"/>
            </w:pPr>
            <w:r w:rsidRPr="00AC4363">
              <w:t>0.956</w:t>
            </w:r>
          </w:p>
        </w:tc>
        <w:tc>
          <w:tcPr>
            <w:tcW w:w="1843" w:type="dxa"/>
          </w:tcPr>
          <w:p w14:paraId="32CFF446" w14:textId="77777777" w:rsidR="00653385" w:rsidRPr="00AC4363" w:rsidRDefault="00653385" w:rsidP="004C4804">
            <w:pPr>
              <w:spacing w:after="0"/>
              <w:jc w:val="center"/>
            </w:pPr>
            <w:r w:rsidRPr="00AC4363">
              <w:t>3107.908</w:t>
            </w:r>
          </w:p>
        </w:tc>
        <w:tc>
          <w:tcPr>
            <w:tcW w:w="992" w:type="dxa"/>
          </w:tcPr>
          <w:p w14:paraId="6EDADFD8" w14:textId="77777777" w:rsidR="00653385" w:rsidRPr="00AC4363" w:rsidRDefault="00653385" w:rsidP="004C4804">
            <w:pPr>
              <w:spacing w:after="0"/>
              <w:jc w:val="center"/>
            </w:pPr>
            <w:r w:rsidRPr="00AC4363">
              <w:t>91</w:t>
            </w:r>
          </w:p>
        </w:tc>
        <w:tc>
          <w:tcPr>
            <w:tcW w:w="1418" w:type="dxa"/>
          </w:tcPr>
          <w:p w14:paraId="5DCA4712" w14:textId="05CE3343" w:rsidR="00653385" w:rsidRPr="00AC4363" w:rsidRDefault="00653385" w:rsidP="004C4804">
            <w:pPr>
              <w:spacing w:after="0"/>
              <w:jc w:val="center"/>
            </w:pPr>
            <w:r w:rsidRPr="00AC4363">
              <w:t>0.00</w:t>
            </w:r>
            <w:r w:rsidR="00DC45C2" w:rsidRPr="00AC4363">
              <w:t>1</w:t>
            </w:r>
          </w:p>
        </w:tc>
        <w:tc>
          <w:tcPr>
            <w:tcW w:w="2693" w:type="dxa"/>
          </w:tcPr>
          <w:p w14:paraId="34156311" w14:textId="77777777" w:rsidR="00653385" w:rsidRPr="00AC4363" w:rsidRDefault="00653385" w:rsidP="004C4804">
            <w:pPr>
              <w:spacing w:after="0"/>
              <w:jc w:val="center"/>
            </w:pPr>
            <w:r w:rsidRPr="00AC4363">
              <w:t>65.733</w:t>
            </w:r>
          </w:p>
        </w:tc>
      </w:tr>
    </w:tbl>
    <w:p w14:paraId="718AEC9C" w14:textId="39EC7FC5" w:rsidR="00653385" w:rsidRPr="00AC4363" w:rsidRDefault="00653385" w:rsidP="00AC4363">
      <w:pPr>
        <w:spacing w:after="0" w:line="360" w:lineRule="auto"/>
        <w:jc w:val="center"/>
      </w:pPr>
      <w:r w:rsidRPr="00AC4363">
        <w:rPr>
          <w:i/>
          <w:iCs/>
        </w:rPr>
        <w:t>Nota</w:t>
      </w:r>
      <w:r w:rsidR="00AC20C8" w:rsidRPr="00AC4363">
        <w:rPr>
          <w:i/>
          <w:iCs/>
        </w:rPr>
        <w:t>.</w:t>
      </w:r>
      <w:r w:rsidRPr="00AC4363">
        <w:t xml:space="preserve"> a. Basado en correlaciones; b. Medida de adecuación muestral de Kaiser-Meyer-Olkin</w:t>
      </w:r>
    </w:p>
    <w:p w14:paraId="544CA6D5" w14:textId="7CBDB281" w:rsidR="00C33334" w:rsidRDefault="003025C6" w:rsidP="0037717A">
      <w:pPr>
        <w:spacing w:after="0" w:line="360" w:lineRule="auto"/>
        <w:ind w:firstLine="708"/>
        <w:jc w:val="both"/>
      </w:pPr>
      <w:r>
        <w:t xml:space="preserve">Después de la </w:t>
      </w:r>
      <w:r w:rsidR="006B2B5A" w:rsidRPr="00F73F39">
        <w:t xml:space="preserve">rotación Varimax </w:t>
      </w:r>
      <w:r>
        <w:t>con</w:t>
      </w:r>
      <w:r w:rsidR="006B2B5A" w:rsidRPr="00F73F39">
        <w:t xml:space="preserve"> valor absoluto en las cargas factoriales superior a 0.5, observamos en la Tabla </w:t>
      </w:r>
      <w:r w:rsidR="00A85514">
        <w:t>6</w:t>
      </w:r>
      <w:r w:rsidR="006B2B5A" w:rsidRPr="00F73F39">
        <w:t xml:space="preserve"> que las cargas factoriales de la</w:t>
      </w:r>
      <w:r w:rsidR="00F73F39">
        <w:t>s</w:t>
      </w:r>
      <w:r w:rsidR="006B2B5A" w:rsidRPr="00F73F39">
        <w:t xml:space="preserve"> variables latente</w:t>
      </w:r>
      <w:r w:rsidR="00F73F39">
        <w:t>s</w:t>
      </w:r>
      <w:r w:rsidR="006B2B5A" w:rsidRPr="00F73F39">
        <w:t xml:space="preserve"> </w:t>
      </w:r>
      <w:r w:rsidR="006B2B5A" w:rsidRPr="003025C6">
        <w:rPr>
          <w:i/>
          <w:iCs/>
        </w:rPr>
        <w:t xml:space="preserve">Pensamiento </w:t>
      </w:r>
      <w:r w:rsidR="00855EAA">
        <w:rPr>
          <w:i/>
          <w:iCs/>
        </w:rPr>
        <w:t xml:space="preserve">crítico y </w:t>
      </w:r>
      <w:r w:rsidR="006B2B5A" w:rsidRPr="003025C6">
        <w:rPr>
          <w:i/>
          <w:iCs/>
        </w:rPr>
        <w:t>sistémico</w:t>
      </w:r>
      <w:r w:rsidR="006B2B5A" w:rsidRPr="00F73F39">
        <w:t xml:space="preserve"> y </w:t>
      </w:r>
      <w:r w:rsidR="00F73F39" w:rsidRPr="003025C6">
        <w:rPr>
          <w:i/>
          <w:iCs/>
        </w:rPr>
        <w:t>P</w:t>
      </w:r>
      <w:r w:rsidR="006B2B5A" w:rsidRPr="003025C6">
        <w:rPr>
          <w:i/>
          <w:iCs/>
        </w:rPr>
        <w:t>ensamiento y literacidad crítica</w:t>
      </w:r>
      <w:r w:rsidR="006B2B5A" w:rsidRPr="00F73F39">
        <w:t xml:space="preserve"> tienden a agruparse </w:t>
      </w:r>
      <w:r w:rsidR="00F73F39">
        <w:t xml:space="preserve">en un solo factor, </w:t>
      </w:r>
      <w:r w:rsidR="008C3F14">
        <w:t xml:space="preserve">denominado ahora </w:t>
      </w:r>
      <w:r w:rsidR="008C3F14">
        <w:rPr>
          <w:i/>
          <w:iCs/>
        </w:rPr>
        <w:t xml:space="preserve">Pensamiento crítico y sistémico, </w:t>
      </w:r>
      <w:r w:rsidR="00F73F39">
        <w:t>indicando que la variable observa</w:t>
      </w:r>
      <w:r w:rsidR="00934D6E">
        <w:t>ble</w:t>
      </w:r>
      <w:r w:rsidR="00F73F39">
        <w:t xml:space="preserve"> </w:t>
      </w:r>
      <w:r w:rsidR="00F73F39" w:rsidRPr="00CB7D6D">
        <w:rPr>
          <w:i/>
          <w:iCs/>
        </w:rPr>
        <w:t>Capacidad de argumentación independiente</w:t>
      </w:r>
      <w:r w:rsidR="00F73F39">
        <w:t xml:space="preserve"> </w:t>
      </w:r>
      <w:r w:rsidR="008C3F14">
        <w:t xml:space="preserve">marcada con asterisco </w:t>
      </w:r>
      <w:r w:rsidR="00F73F39">
        <w:t>puede eliminarse</w:t>
      </w:r>
      <w:r w:rsidR="00934D6E">
        <w:t>,</w:t>
      </w:r>
      <w:r w:rsidR="008C3F14">
        <w:t xml:space="preserve"> ya que su carga factorial en uno de sus componentes es inferior a 0.5</w:t>
      </w:r>
      <w:r w:rsidR="00F73F39">
        <w:t>, si es que no se compromete el modelo teórico.</w:t>
      </w:r>
      <w:r w:rsidR="00CB7D6D">
        <w:t xml:space="preserve"> </w:t>
      </w:r>
    </w:p>
    <w:p w14:paraId="04070B0B" w14:textId="77777777" w:rsidR="00AC4363" w:rsidRPr="00F73F39" w:rsidRDefault="00AC4363" w:rsidP="0037717A">
      <w:pPr>
        <w:spacing w:after="0" w:line="360" w:lineRule="auto"/>
        <w:ind w:firstLine="708"/>
        <w:jc w:val="both"/>
      </w:pPr>
    </w:p>
    <w:p w14:paraId="6F63713A" w14:textId="2C2E84A4" w:rsidR="00F64BCD" w:rsidRPr="00CB7D6D" w:rsidRDefault="00F64BCD" w:rsidP="00AC4363">
      <w:pPr>
        <w:ind w:right="-713"/>
        <w:jc w:val="center"/>
        <w:rPr>
          <w:i/>
          <w:iCs/>
          <w:color w:val="000000"/>
        </w:rPr>
      </w:pPr>
      <w:r w:rsidRPr="00A80630">
        <w:rPr>
          <w:b/>
          <w:bCs/>
          <w:color w:val="000000"/>
        </w:rPr>
        <w:t xml:space="preserve">Tabla </w:t>
      </w:r>
      <w:r w:rsidR="00A85514">
        <w:rPr>
          <w:b/>
          <w:bCs/>
          <w:color w:val="000000"/>
        </w:rPr>
        <w:t>6</w:t>
      </w:r>
      <w:r w:rsidR="00AC4363">
        <w:rPr>
          <w:b/>
          <w:bCs/>
          <w:color w:val="000000"/>
        </w:rPr>
        <w:t xml:space="preserve">. </w:t>
      </w:r>
      <w:r w:rsidR="007F403E" w:rsidRPr="00AC4363">
        <w:rPr>
          <w:color w:val="000000"/>
        </w:rPr>
        <w:t>Cargas factoriales</w:t>
      </w:r>
      <w:r w:rsidRPr="00AC4363">
        <w:rPr>
          <w:color w:val="000000"/>
        </w:rPr>
        <w:t xml:space="preserve"> </w:t>
      </w:r>
      <w:r w:rsidR="007F403E" w:rsidRPr="00AC4363">
        <w:rPr>
          <w:color w:val="000000"/>
        </w:rPr>
        <w:t>en</w:t>
      </w:r>
      <w:r w:rsidRPr="00AC4363">
        <w:rPr>
          <w:color w:val="000000"/>
        </w:rPr>
        <w:t xml:space="preserve"> la dimensión Procesamiento de la información</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6"/>
        <w:gridCol w:w="3686"/>
        <w:gridCol w:w="708"/>
        <w:gridCol w:w="1276"/>
        <w:gridCol w:w="1843"/>
      </w:tblGrid>
      <w:tr w:rsidR="002E0B73" w:rsidRPr="00AC4363" w14:paraId="2AE16187" w14:textId="6D53C15E" w:rsidTr="00AC4363">
        <w:trPr>
          <w:cantSplit/>
        </w:trPr>
        <w:tc>
          <w:tcPr>
            <w:tcW w:w="1276" w:type="dxa"/>
            <w:vMerge w:val="restart"/>
            <w:shd w:val="clear" w:color="auto" w:fill="FFFFFF"/>
          </w:tcPr>
          <w:p w14:paraId="52EE094A" w14:textId="0CED7AD7" w:rsidR="002E0B73" w:rsidRPr="00AC4363" w:rsidRDefault="002E0B73" w:rsidP="00A47C1F">
            <w:pPr>
              <w:autoSpaceDE w:val="0"/>
              <w:autoSpaceDN w:val="0"/>
              <w:adjustRightInd w:val="0"/>
              <w:spacing w:after="0"/>
              <w:ind w:left="60" w:right="60"/>
              <w:contextualSpacing/>
              <w:jc w:val="center"/>
              <w:rPr>
                <w:color w:val="000000"/>
                <w:sz w:val="20"/>
                <w:szCs w:val="20"/>
              </w:rPr>
            </w:pPr>
          </w:p>
          <w:p w14:paraId="2C4A0040" w14:textId="04A96C4C" w:rsidR="002E0B73" w:rsidRPr="00AC4363" w:rsidRDefault="002E0B73" w:rsidP="00934D6E">
            <w:pPr>
              <w:autoSpaceDE w:val="0"/>
              <w:autoSpaceDN w:val="0"/>
              <w:adjustRightInd w:val="0"/>
              <w:spacing w:after="0"/>
              <w:ind w:right="60"/>
              <w:contextualSpacing/>
              <w:rPr>
                <w:color w:val="000000"/>
                <w:sz w:val="20"/>
                <w:szCs w:val="20"/>
              </w:rPr>
            </w:pPr>
            <w:r w:rsidRPr="00AC4363">
              <w:rPr>
                <w:color w:val="000000"/>
                <w:sz w:val="20"/>
                <w:szCs w:val="20"/>
              </w:rPr>
              <w:t xml:space="preserve">Variables </w:t>
            </w:r>
            <w:r w:rsidR="008C3F14" w:rsidRPr="00AC4363">
              <w:rPr>
                <w:color w:val="000000"/>
                <w:sz w:val="20"/>
                <w:szCs w:val="20"/>
              </w:rPr>
              <w:t>l</w:t>
            </w:r>
            <w:r w:rsidRPr="00AC4363">
              <w:rPr>
                <w:color w:val="000000"/>
                <w:sz w:val="20"/>
                <w:szCs w:val="20"/>
              </w:rPr>
              <w:t>atentes</w:t>
            </w:r>
          </w:p>
        </w:tc>
        <w:tc>
          <w:tcPr>
            <w:tcW w:w="3686" w:type="dxa"/>
            <w:vMerge w:val="restart"/>
            <w:shd w:val="clear" w:color="auto" w:fill="FFFFFF"/>
          </w:tcPr>
          <w:p w14:paraId="3A5B2DD5" w14:textId="77777777" w:rsidR="002E0B73" w:rsidRPr="00AC4363" w:rsidRDefault="002E0B73" w:rsidP="00A47C1F">
            <w:pPr>
              <w:autoSpaceDE w:val="0"/>
              <w:autoSpaceDN w:val="0"/>
              <w:adjustRightInd w:val="0"/>
              <w:spacing w:after="0"/>
              <w:ind w:left="60" w:right="60"/>
              <w:contextualSpacing/>
              <w:jc w:val="center"/>
              <w:rPr>
                <w:color w:val="000000"/>
                <w:sz w:val="20"/>
                <w:szCs w:val="20"/>
              </w:rPr>
            </w:pPr>
          </w:p>
          <w:p w14:paraId="7F06D649" w14:textId="77777777" w:rsidR="006B12B6" w:rsidRPr="00AC4363" w:rsidRDefault="006B12B6" w:rsidP="00A47C1F">
            <w:pPr>
              <w:autoSpaceDE w:val="0"/>
              <w:autoSpaceDN w:val="0"/>
              <w:adjustRightInd w:val="0"/>
              <w:spacing w:after="0"/>
              <w:ind w:left="60" w:right="60"/>
              <w:contextualSpacing/>
              <w:jc w:val="center"/>
              <w:rPr>
                <w:color w:val="000000"/>
                <w:sz w:val="20"/>
                <w:szCs w:val="20"/>
              </w:rPr>
            </w:pPr>
          </w:p>
          <w:p w14:paraId="5D55F6D5" w14:textId="65A53132" w:rsidR="002E0B73" w:rsidRPr="00AC4363" w:rsidRDefault="002E0B73" w:rsidP="00A47C1F">
            <w:pPr>
              <w:autoSpaceDE w:val="0"/>
              <w:autoSpaceDN w:val="0"/>
              <w:adjustRightInd w:val="0"/>
              <w:spacing w:after="0"/>
              <w:ind w:left="60" w:right="60"/>
              <w:contextualSpacing/>
              <w:jc w:val="center"/>
              <w:rPr>
                <w:color w:val="000000"/>
                <w:sz w:val="20"/>
                <w:szCs w:val="20"/>
              </w:rPr>
            </w:pPr>
            <w:r w:rsidRPr="00AC4363">
              <w:rPr>
                <w:color w:val="000000"/>
                <w:sz w:val="20"/>
                <w:szCs w:val="20"/>
              </w:rPr>
              <w:t xml:space="preserve">Variables </w:t>
            </w:r>
            <w:r w:rsidR="003A07D3" w:rsidRPr="00AC4363">
              <w:rPr>
                <w:color w:val="000000"/>
                <w:sz w:val="20"/>
                <w:szCs w:val="20"/>
              </w:rPr>
              <w:t>o</w:t>
            </w:r>
            <w:r w:rsidRPr="00AC4363">
              <w:rPr>
                <w:color w:val="000000"/>
                <w:sz w:val="20"/>
                <w:szCs w:val="20"/>
              </w:rPr>
              <w:t>bserv</w:t>
            </w:r>
            <w:r w:rsidR="00F671D6" w:rsidRPr="00AC4363">
              <w:rPr>
                <w:color w:val="000000"/>
                <w:sz w:val="20"/>
                <w:szCs w:val="20"/>
              </w:rPr>
              <w:t>ables</w:t>
            </w:r>
            <w:r w:rsidRPr="00AC4363">
              <w:rPr>
                <w:color w:val="000000"/>
                <w:sz w:val="20"/>
                <w:szCs w:val="20"/>
              </w:rPr>
              <w:t xml:space="preserve"> o </w:t>
            </w:r>
            <w:r w:rsidR="008C3F14" w:rsidRPr="00AC4363">
              <w:rPr>
                <w:color w:val="000000"/>
                <w:sz w:val="20"/>
                <w:szCs w:val="20"/>
              </w:rPr>
              <w:t>í</w:t>
            </w:r>
            <w:r w:rsidRPr="00AC4363">
              <w:rPr>
                <w:color w:val="000000"/>
                <w:sz w:val="20"/>
                <w:szCs w:val="20"/>
              </w:rPr>
              <w:t>tems</w:t>
            </w:r>
          </w:p>
        </w:tc>
        <w:tc>
          <w:tcPr>
            <w:tcW w:w="1984" w:type="dxa"/>
            <w:gridSpan w:val="2"/>
            <w:shd w:val="clear" w:color="auto" w:fill="FFFFFF"/>
          </w:tcPr>
          <w:p w14:paraId="2DF854FE" w14:textId="59A5B186" w:rsidR="002E0B73" w:rsidRPr="00AC4363" w:rsidRDefault="002E0B73" w:rsidP="00A47C1F">
            <w:pPr>
              <w:autoSpaceDE w:val="0"/>
              <w:autoSpaceDN w:val="0"/>
              <w:adjustRightInd w:val="0"/>
              <w:spacing w:after="0"/>
              <w:ind w:left="60" w:right="60"/>
              <w:contextualSpacing/>
              <w:jc w:val="center"/>
              <w:rPr>
                <w:color w:val="000000"/>
                <w:sz w:val="20"/>
                <w:szCs w:val="20"/>
              </w:rPr>
            </w:pPr>
            <w:r w:rsidRPr="00AC4363">
              <w:rPr>
                <w:color w:val="000000"/>
                <w:sz w:val="20"/>
                <w:szCs w:val="20"/>
              </w:rPr>
              <w:t xml:space="preserve">Cargas </w:t>
            </w:r>
            <w:r w:rsidR="008C3F14" w:rsidRPr="00AC4363">
              <w:rPr>
                <w:color w:val="000000"/>
                <w:sz w:val="20"/>
                <w:szCs w:val="20"/>
              </w:rPr>
              <w:t>f</w:t>
            </w:r>
            <w:r w:rsidRPr="00AC4363">
              <w:rPr>
                <w:color w:val="000000"/>
                <w:sz w:val="20"/>
                <w:szCs w:val="20"/>
              </w:rPr>
              <w:t xml:space="preserve">actoriales </w:t>
            </w:r>
            <w:r w:rsidR="00064C61" w:rsidRPr="00AC4363">
              <w:rPr>
                <w:color w:val="000000"/>
                <w:sz w:val="20"/>
                <w:szCs w:val="20"/>
              </w:rPr>
              <w:t>en</w:t>
            </w:r>
            <w:r w:rsidRPr="00AC4363">
              <w:rPr>
                <w:color w:val="000000"/>
                <w:sz w:val="20"/>
                <w:szCs w:val="20"/>
              </w:rPr>
              <w:t xml:space="preserve"> </w:t>
            </w:r>
            <w:r w:rsidR="003A07D3" w:rsidRPr="00AC4363">
              <w:rPr>
                <w:color w:val="000000"/>
                <w:sz w:val="20"/>
                <w:szCs w:val="20"/>
              </w:rPr>
              <w:t>c</w:t>
            </w:r>
            <w:r w:rsidRPr="00AC4363">
              <w:rPr>
                <w:color w:val="000000"/>
                <w:sz w:val="20"/>
                <w:szCs w:val="20"/>
              </w:rPr>
              <w:t xml:space="preserve">omponentes </w:t>
            </w:r>
            <w:r w:rsidR="003A07D3" w:rsidRPr="00AC4363">
              <w:rPr>
                <w:color w:val="000000"/>
                <w:sz w:val="20"/>
                <w:szCs w:val="20"/>
              </w:rPr>
              <w:t>r</w:t>
            </w:r>
            <w:r w:rsidRPr="00AC4363">
              <w:rPr>
                <w:color w:val="000000"/>
                <w:sz w:val="20"/>
                <w:szCs w:val="20"/>
              </w:rPr>
              <w:t>otados</w:t>
            </w:r>
          </w:p>
        </w:tc>
        <w:tc>
          <w:tcPr>
            <w:tcW w:w="1843" w:type="dxa"/>
            <w:vMerge w:val="restart"/>
            <w:shd w:val="clear" w:color="auto" w:fill="FFFFFF"/>
          </w:tcPr>
          <w:p w14:paraId="464B6D9B" w14:textId="77777777" w:rsidR="002E0B73" w:rsidRPr="00AC4363" w:rsidRDefault="002E0B73" w:rsidP="00A47C1F">
            <w:pPr>
              <w:autoSpaceDE w:val="0"/>
              <w:autoSpaceDN w:val="0"/>
              <w:adjustRightInd w:val="0"/>
              <w:spacing w:after="0"/>
              <w:ind w:right="60"/>
              <w:contextualSpacing/>
              <w:jc w:val="center"/>
              <w:rPr>
                <w:color w:val="000000"/>
                <w:sz w:val="20"/>
                <w:szCs w:val="20"/>
              </w:rPr>
            </w:pPr>
          </w:p>
          <w:p w14:paraId="767D3296" w14:textId="77777777" w:rsidR="006B12B6" w:rsidRPr="00AC4363" w:rsidRDefault="006B12B6" w:rsidP="00A47C1F">
            <w:pPr>
              <w:autoSpaceDE w:val="0"/>
              <w:autoSpaceDN w:val="0"/>
              <w:adjustRightInd w:val="0"/>
              <w:spacing w:after="0"/>
              <w:ind w:right="60"/>
              <w:contextualSpacing/>
              <w:jc w:val="center"/>
              <w:rPr>
                <w:color w:val="000000"/>
                <w:sz w:val="20"/>
                <w:szCs w:val="20"/>
              </w:rPr>
            </w:pPr>
          </w:p>
          <w:p w14:paraId="412E1514" w14:textId="06DD39E0" w:rsidR="002E0B73" w:rsidRPr="00AC4363" w:rsidRDefault="002E0B73" w:rsidP="003A07D3">
            <w:pPr>
              <w:autoSpaceDE w:val="0"/>
              <w:autoSpaceDN w:val="0"/>
              <w:adjustRightInd w:val="0"/>
              <w:spacing w:after="0"/>
              <w:ind w:right="60"/>
              <w:contextualSpacing/>
              <w:rPr>
                <w:color w:val="000000"/>
                <w:sz w:val="20"/>
                <w:szCs w:val="20"/>
              </w:rPr>
            </w:pPr>
            <w:r w:rsidRPr="00AC4363">
              <w:rPr>
                <w:color w:val="000000"/>
                <w:sz w:val="20"/>
                <w:szCs w:val="20"/>
              </w:rPr>
              <w:t>Comuna</w:t>
            </w:r>
            <w:r w:rsidR="003A07D3" w:rsidRPr="00AC4363">
              <w:rPr>
                <w:color w:val="000000"/>
                <w:sz w:val="20"/>
                <w:szCs w:val="20"/>
              </w:rPr>
              <w:t>l</w:t>
            </w:r>
            <w:r w:rsidRPr="00AC4363">
              <w:rPr>
                <w:color w:val="000000"/>
                <w:sz w:val="20"/>
                <w:szCs w:val="20"/>
              </w:rPr>
              <w:t>idades</w:t>
            </w:r>
          </w:p>
        </w:tc>
      </w:tr>
      <w:tr w:rsidR="002E0B73" w:rsidRPr="00AC4363" w14:paraId="063F8963" w14:textId="1FEB89B1" w:rsidTr="00AC4363">
        <w:trPr>
          <w:cantSplit/>
        </w:trPr>
        <w:tc>
          <w:tcPr>
            <w:tcW w:w="1276" w:type="dxa"/>
            <w:vMerge/>
            <w:shd w:val="clear" w:color="auto" w:fill="FFFFFF"/>
          </w:tcPr>
          <w:p w14:paraId="236735F0" w14:textId="77777777" w:rsidR="002E0B73" w:rsidRPr="00AC4363" w:rsidRDefault="002E0B73" w:rsidP="00A47C1F">
            <w:pPr>
              <w:autoSpaceDE w:val="0"/>
              <w:autoSpaceDN w:val="0"/>
              <w:adjustRightInd w:val="0"/>
              <w:spacing w:after="0"/>
              <w:contextualSpacing/>
              <w:jc w:val="center"/>
              <w:rPr>
                <w:color w:val="000000"/>
                <w:sz w:val="20"/>
                <w:szCs w:val="20"/>
              </w:rPr>
            </w:pPr>
          </w:p>
        </w:tc>
        <w:tc>
          <w:tcPr>
            <w:tcW w:w="3686" w:type="dxa"/>
            <w:vMerge/>
            <w:shd w:val="clear" w:color="auto" w:fill="FFFFFF"/>
          </w:tcPr>
          <w:p w14:paraId="6A1A3CD9" w14:textId="10DC1B8B" w:rsidR="002E0B73" w:rsidRPr="00AC4363" w:rsidRDefault="002E0B73" w:rsidP="00A47C1F">
            <w:pPr>
              <w:autoSpaceDE w:val="0"/>
              <w:autoSpaceDN w:val="0"/>
              <w:adjustRightInd w:val="0"/>
              <w:spacing w:after="0"/>
              <w:ind w:left="60" w:right="60"/>
              <w:contextualSpacing/>
              <w:jc w:val="center"/>
              <w:rPr>
                <w:color w:val="000000"/>
                <w:sz w:val="20"/>
                <w:szCs w:val="20"/>
              </w:rPr>
            </w:pPr>
          </w:p>
        </w:tc>
        <w:tc>
          <w:tcPr>
            <w:tcW w:w="708" w:type="dxa"/>
            <w:shd w:val="clear" w:color="auto" w:fill="FFFFFF"/>
          </w:tcPr>
          <w:p w14:paraId="498CED03" w14:textId="2A767412" w:rsidR="002E0B73" w:rsidRPr="00AC4363" w:rsidRDefault="002E0B73" w:rsidP="00A47C1F">
            <w:pPr>
              <w:autoSpaceDE w:val="0"/>
              <w:autoSpaceDN w:val="0"/>
              <w:adjustRightInd w:val="0"/>
              <w:spacing w:after="0"/>
              <w:ind w:right="60"/>
              <w:contextualSpacing/>
              <w:jc w:val="center"/>
              <w:rPr>
                <w:color w:val="000000"/>
                <w:sz w:val="20"/>
                <w:szCs w:val="20"/>
              </w:rPr>
            </w:pPr>
            <w:r w:rsidRPr="00AC4363">
              <w:rPr>
                <w:color w:val="000000"/>
                <w:sz w:val="20"/>
                <w:szCs w:val="20"/>
              </w:rPr>
              <w:t>1</w:t>
            </w:r>
          </w:p>
        </w:tc>
        <w:tc>
          <w:tcPr>
            <w:tcW w:w="1276" w:type="dxa"/>
            <w:shd w:val="clear" w:color="auto" w:fill="FFFFFF"/>
          </w:tcPr>
          <w:p w14:paraId="3E6D681A" w14:textId="258ABE2A" w:rsidR="002E0B73" w:rsidRPr="00AC4363" w:rsidRDefault="002E0B73" w:rsidP="008C3F14">
            <w:pPr>
              <w:autoSpaceDE w:val="0"/>
              <w:autoSpaceDN w:val="0"/>
              <w:adjustRightInd w:val="0"/>
              <w:spacing w:after="0"/>
              <w:ind w:left="60" w:right="60"/>
              <w:contextualSpacing/>
              <w:rPr>
                <w:color w:val="000000"/>
                <w:sz w:val="20"/>
                <w:szCs w:val="20"/>
              </w:rPr>
            </w:pPr>
            <w:r w:rsidRPr="00AC4363">
              <w:rPr>
                <w:color w:val="000000"/>
                <w:sz w:val="20"/>
                <w:szCs w:val="20"/>
              </w:rPr>
              <w:t>2</w:t>
            </w:r>
          </w:p>
        </w:tc>
        <w:tc>
          <w:tcPr>
            <w:tcW w:w="1843" w:type="dxa"/>
            <w:vMerge/>
            <w:shd w:val="clear" w:color="auto" w:fill="FFFFFF"/>
          </w:tcPr>
          <w:p w14:paraId="2A0E1495" w14:textId="77777777" w:rsidR="002E0B73" w:rsidRPr="00AC4363" w:rsidRDefault="002E0B73" w:rsidP="00A47C1F">
            <w:pPr>
              <w:autoSpaceDE w:val="0"/>
              <w:autoSpaceDN w:val="0"/>
              <w:adjustRightInd w:val="0"/>
              <w:spacing w:after="0"/>
              <w:ind w:left="60" w:right="60"/>
              <w:contextualSpacing/>
              <w:jc w:val="center"/>
              <w:rPr>
                <w:color w:val="000000"/>
                <w:sz w:val="20"/>
                <w:szCs w:val="20"/>
              </w:rPr>
            </w:pPr>
          </w:p>
        </w:tc>
      </w:tr>
      <w:tr w:rsidR="008C3F14" w:rsidRPr="00AC4363" w14:paraId="68D7AEA0" w14:textId="79386454" w:rsidTr="00AC4363">
        <w:trPr>
          <w:cantSplit/>
        </w:trPr>
        <w:tc>
          <w:tcPr>
            <w:tcW w:w="1276" w:type="dxa"/>
            <w:vMerge w:val="restart"/>
            <w:vAlign w:val="center"/>
          </w:tcPr>
          <w:p w14:paraId="2A5F6C80" w14:textId="0D8E2F93" w:rsidR="00A55996" w:rsidRPr="00AC4363" w:rsidRDefault="00A55996" w:rsidP="00B50E34">
            <w:pPr>
              <w:autoSpaceDE w:val="0"/>
              <w:autoSpaceDN w:val="0"/>
              <w:adjustRightInd w:val="0"/>
              <w:spacing w:after="0"/>
              <w:ind w:right="60"/>
              <w:contextualSpacing/>
              <w:rPr>
                <w:sz w:val="20"/>
                <w:szCs w:val="20"/>
              </w:rPr>
            </w:pPr>
            <w:r w:rsidRPr="00AC4363">
              <w:rPr>
                <w:sz w:val="20"/>
                <w:szCs w:val="20"/>
              </w:rPr>
              <w:t>Pensamiento</w:t>
            </w:r>
          </w:p>
          <w:p w14:paraId="4E864992" w14:textId="44BE5619" w:rsidR="00A55996" w:rsidRPr="00AC4363" w:rsidRDefault="00F671D6" w:rsidP="00A47C1F">
            <w:pPr>
              <w:autoSpaceDE w:val="0"/>
              <w:autoSpaceDN w:val="0"/>
              <w:adjustRightInd w:val="0"/>
              <w:spacing w:after="0"/>
              <w:ind w:right="60"/>
              <w:contextualSpacing/>
              <w:rPr>
                <w:sz w:val="20"/>
                <w:szCs w:val="20"/>
              </w:rPr>
            </w:pPr>
            <w:r w:rsidRPr="00AC4363">
              <w:rPr>
                <w:sz w:val="20"/>
                <w:szCs w:val="20"/>
              </w:rPr>
              <w:t>c</w:t>
            </w:r>
            <w:r w:rsidR="00A55996" w:rsidRPr="00AC4363">
              <w:rPr>
                <w:sz w:val="20"/>
                <w:szCs w:val="20"/>
              </w:rPr>
              <w:t>rítico</w:t>
            </w:r>
            <w:r w:rsidR="00171A02" w:rsidRPr="00AC4363">
              <w:rPr>
                <w:sz w:val="20"/>
                <w:szCs w:val="20"/>
              </w:rPr>
              <w:t xml:space="preserve"> y </w:t>
            </w:r>
            <w:r w:rsidRPr="00AC4363">
              <w:rPr>
                <w:sz w:val="20"/>
                <w:szCs w:val="20"/>
              </w:rPr>
              <w:t>s</w:t>
            </w:r>
            <w:r w:rsidR="00171A02" w:rsidRPr="00AC4363">
              <w:rPr>
                <w:sz w:val="20"/>
                <w:szCs w:val="20"/>
              </w:rPr>
              <w:t>istémico</w:t>
            </w:r>
          </w:p>
        </w:tc>
        <w:tc>
          <w:tcPr>
            <w:tcW w:w="3686" w:type="dxa"/>
          </w:tcPr>
          <w:p w14:paraId="2AB3D50B" w14:textId="2EECE7BE" w:rsidR="00A55996" w:rsidRPr="00AC4363" w:rsidRDefault="00A55996" w:rsidP="00A47C1F">
            <w:pPr>
              <w:autoSpaceDE w:val="0"/>
              <w:autoSpaceDN w:val="0"/>
              <w:adjustRightInd w:val="0"/>
              <w:spacing w:after="0"/>
              <w:ind w:right="60"/>
              <w:rPr>
                <w:sz w:val="20"/>
                <w:szCs w:val="20"/>
              </w:rPr>
            </w:pPr>
            <w:r w:rsidRPr="00AC4363">
              <w:rPr>
                <w:sz w:val="20"/>
                <w:szCs w:val="20"/>
              </w:rPr>
              <w:t>Interacción de elementos del sistema</w:t>
            </w:r>
          </w:p>
        </w:tc>
        <w:tc>
          <w:tcPr>
            <w:tcW w:w="708" w:type="dxa"/>
            <w:vAlign w:val="center"/>
          </w:tcPr>
          <w:p w14:paraId="10C13F22" w14:textId="2220B398" w:rsidR="00A55996" w:rsidRPr="00AC4363" w:rsidRDefault="003A07D3" w:rsidP="00A47C1F">
            <w:pPr>
              <w:autoSpaceDE w:val="0"/>
              <w:autoSpaceDN w:val="0"/>
              <w:adjustRightInd w:val="0"/>
              <w:spacing w:after="0"/>
              <w:ind w:left="60" w:right="60"/>
              <w:contextualSpacing/>
              <w:rPr>
                <w:sz w:val="20"/>
                <w:szCs w:val="20"/>
              </w:rPr>
            </w:pPr>
            <w:r w:rsidRPr="00AC4363">
              <w:rPr>
                <w:sz w:val="20"/>
                <w:szCs w:val="20"/>
              </w:rPr>
              <w:t>0</w:t>
            </w:r>
            <w:r w:rsidR="00A55996" w:rsidRPr="00AC4363">
              <w:rPr>
                <w:sz w:val="20"/>
                <w:szCs w:val="20"/>
              </w:rPr>
              <w:t>.814</w:t>
            </w:r>
          </w:p>
        </w:tc>
        <w:tc>
          <w:tcPr>
            <w:tcW w:w="1276" w:type="dxa"/>
            <w:vAlign w:val="center"/>
          </w:tcPr>
          <w:p w14:paraId="609FADB4" w14:textId="77777777" w:rsidR="00A55996" w:rsidRPr="00AC4363" w:rsidRDefault="00A55996" w:rsidP="00CB7D6D">
            <w:pPr>
              <w:autoSpaceDE w:val="0"/>
              <w:autoSpaceDN w:val="0"/>
              <w:adjustRightInd w:val="0"/>
              <w:spacing w:after="0"/>
              <w:ind w:left="60" w:right="60"/>
              <w:contextualSpacing/>
              <w:rPr>
                <w:sz w:val="20"/>
                <w:szCs w:val="20"/>
              </w:rPr>
            </w:pPr>
          </w:p>
        </w:tc>
        <w:tc>
          <w:tcPr>
            <w:tcW w:w="1843" w:type="dxa"/>
          </w:tcPr>
          <w:p w14:paraId="036DE04F" w14:textId="720F6899" w:rsidR="00A55996" w:rsidRPr="00AC4363" w:rsidRDefault="003A07D3" w:rsidP="008C3F14">
            <w:pPr>
              <w:autoSpaceDE w:val="0"/>
              <w:autoSpaceDN w:val="0"/>
              <w:adjustRightInd w:val="0"/>
              <w:spacing w:after="0"/>
              <w:ind w:right="60"/>
              <w:contextualSpacing/>
              <w:jc w:val="center"/>
              <w:rPr>
                <w:sz w:val="20"/>
                <w:szCs w:val="20"/>
              </w:rPr>
            </w:pPr>
            <w:r w:rsidRPr="00AC4363">
              <w:rPr>
                <w:sz w:val="20"/>
                <w:szCs w:val="20"/>
              </w:rPr>
              <w:t>0</w:t>
            </w:r>
            <w:r w:rsidR="00A55996" w:rsidRPr="00AC4363">
              <w:rPr>
                <w:sz w:val="20"/>
                <w:szCs w:val="20"/>
              </w:rPr>
              <w:t>.706</w:t>
            </w:r>
          </w:p>
        </w:tc>
      </w:tr>
      <w:tr w:rsidR="008C3F14" w:rsidRPr="00AC4363" w14:paraId="7FAE93AC" w14:textId="2942D87E" w:rsidTr="00AC4363">
        <w:trPr>
          <w:cantSplit/>
          <w:trHeight w:val="347"/>
        </w:trPr>
        <w:tc>
          <w:tcPr>
            <w:tcW w:w="1276" w:type="dxa"/>
            <w:vMerge/>
            <w:vAlign w:val="center"/>
          </w:tcPr>
          <w:p w14:paraId="355320F8" w14:textId="3923B83A" w:rsidR="00A55996" w:rsidRPr="00AC4363" w:rsidRDefault="00A55996" w:rsidP="00A47C1F">
            <w:pPr>
              <w:autoSpaceDE w:val="0"/>
              <w:autoSpaceDN w:val="0"/>
              <w:adjustRightInd w:val="0"/>
              <w:spacing w:after="0"/>
              <w:ind w:right="60"/>
              <w:contextualSpacing/>
              <w:rPr>
                <w:sz w:val="20"/>
                <w:szCs w:val="20"/>
              </w:rPr>
            </w:pPr>
          </w:p>
        </w:tc>
        <w:tc>
          <w:tcPr>
            <w:tcW w:w="3686" w:type="dxa"/>
          </w:tcPr>
          <w:p w14:paraId="47E75B27" w14:textId="1E69E9D3" w:rsidR="00A55996" w:rsidRPr="00AC4363" w:rsidRDefault="00A55996" w:rsidP="00A47C1F">
            <w:pPr>
              <w:autoSpaceDE w:val="0"/>
              <w:autoSpaceDN w:val="0"/>
              <w:adjustRightInd w:val="0"/>
              <w:spacing w:after="0"/>
              <w:ind w:right="60"/>
              <w:rPr>
                <w:sz w:val="20"/>
                <w:szCs w:val="20"/>
              </w:rPr>
            </w:pPr>
            <w:r w:rsidRPr="00AC4363">
              <w:rPr>
                <w:sz w:val="20"/>
                <w:szCs w:val="20"/>
              </w:rPr>
              <w:t>Ciclos de retroalimentación</w:t>
            </w:r>
          </w:p>
        </w:tc>
        <w:tc>
          <w:tcPr>
            <w:tcW w:w="708" w:type="dxa"/>
            <w:vAlign w:val="center"/>
          </w:tcPr>
          <w:p w14:paraId="512492B3" w14:textId="08073C63" w:rsidR="00A55996" w:rsidRPr="00AC4363" w:rsidRDefault="003A07D3" w:rsidP="00A47C1F">
            <w:pPr>
              <w:autoSpaceDE w:val="0"/>
              <w:autoSpaceDN w:val="0"/>
              <w:adjustRightInd w:val="0"/>
              <w:spacing w:after="0"/>
              <w:ind w:left="60" w:right="60"/>
              <w:contextualSpacing/>
              <w:rPr>
                <w:sz w:val="20"/>
                <w:szCs w:val="20"/>
              </w:rPr>
            </w:pPr>
            <w:r w:rsidRPr="00AC4363">
              <w:rPr>
                <w:sz w:val="20"/>
                <w:szCs w:val="20"/>
              </w:rPr>
              <w:t>0</w:t>
            </w:r>
            <w:r w:rsidR="00A55996" w:rsidRPr="00AC4363">
              <w:rPr>
                <w:sz w:val="20"/>
                <w:szCs w:val="20"/>
              </w:rPr>
              <w:t>.800</w:t>
            </w:r>
          </w:p>
        </w:tc>
        <w:tc>
          <w:tcPr>
            <w:tcW w:w="1276" w:type="dxa"/>
            <w:vAlign w:val="center"/>
          </w:tcPr>
          <w:p w14:paraId="031CB73F" w14:textId="77777777" w:rsidR="00A55996" w:rsidRPr="00AC4363" w:rsidRDefault="00A55996" w:rsidP="00CB7D6D">
            <w:pPr>
              <w:autoSpaceDE w:val="0"/>
              <w:autoSpaceDN w:val="0"/>
              <w:adjustRightInd w:val="0"/>
              <w:spacing w:after="0"/>
              <w:ind w:left="60" w:right="60"/>
              <w:contextualSpacing/>
              <w:rPr>
                <w:sz w:val="20"/>
                <w:szCs w:val="20"/>
              </w:rPr>
            </w:pPr>
          </w:p>
        </w:tc>
        <w:tc>
          <w:tcPr>
            <w:tcW w:w="1843" w:type="dxa"/>
          </w:tcPr>
          <w:p w14:paraId="0478308B" w14:textId="0F8B107B" w:rsidR="00A55996" w:rsidRPr="00AC4363" w:rsidRDefault="00A55996" w:rsidP="008C3F14">
            <w:pPr>
              <w:autoSpaceDE w:val="0"/>
              <w:autoSpaceDN w:val="0"/>
              <w:adjustRightInd w:val="0"/>
              <w:spacing w:after="0"/>
              <w:ind w:right="60"/>
              <w:contextualSpacing/>
              <w:jc w:val="center"/>
              <w:rPr>
                <w:sz w:val="20"/>
                <w:szCs w:val="20"/>
              </w:rPr>
            </w:pPr>
            <w:r w:rsidRPr="00AC4363">
              <w:rPr>
                <w:sz w:val="20"/>
                <w:szCs w:val="20"/>
              </w:rPr>
              <w:t>0.682</w:t>
            </w:r>
          </w:p>
        </w:tc>
      </w:tr>
      <w:tr w:rsidR="008C3F14" w:rsidRPr="00AC4363" w14:paraId="14D6FD63" w14:textId="11EB0503" w:rsidTr="00AC4363">
        <w:trPr>
          <w:cantSplit/>
        </w:trPr>
        <w:tc>
          <w:tcPr>
            <w:tcW w:w="1276" w:type="dxa"/>
            <w:vMerge/>
            <w:vAlign w:val="center"/>
          </w:tcPr>
          <w:p w14:paraId="676418A2" w14:textId="7E257A36" w:rsidR="00A55996" w:rsidRPr="00AC4363" w:rsidRDefault="00A55996" w:rsidP="00A47C1F">
            <w:pPr>
              <w:autoSpaceDE w:val="0"/>
              <w:autoSpaceDN w:val="0"/>
              <w:adjustRightInd w:val="0"/>
              <w:spacing w:after="0"/>
              <w:ind w:right="60"/>
              <w:contextualSpacing/>
              <w:rPr>
                <w:sz w:val="20"/>
                <w:szCs w:val="20"/>
              </w:rPr>
            </w:pPr>
          </w:p>
        </w:tc>
        <w:tc>
          <w:tcPr>
            <w:tcW w:w="3686" w:type="dxa"/>
          </w:tcPr>
          <w:p w14:paraId="60BFC863" w14:textId="60116F84" w:rsidR="00A55996" w:rsidRPr="00AC4363" w:rsidRDefault="00A55996" w:rsidP="00A47C1F">
            <w:pPr>
              <w:autoSpaceDE w:val="0"/>
              <w:autoSpaceDN w:val="0"/>
              <w:adjustRightInd w:val="0"/>
              <w:spacing w:after="0"/>
              <w:ind w:right="60"/>
              <w:rPr>
                <w:sz w:val="20"/>
                <w:szCs w:val="20"/>
              </w:rPr>
            </w:pPr>
            <w:r w:rsidRPr="00AC4363">
              <w:rPr>
                <w:sz w:val="20"/>
                <w:szCs w:val="20"/>
              </w:rPr>
              <w:t>Optimización del sistema</w:t>
            </w:r>
          </w:p>
        </w:tc>
        <w:tc>
          <w:tcPr>
            <w:tcW w:w="708" w:type="dxa"/>
            <w:vAlign w:val="center"/>
          </w:tcPr>
          <w:p w14:paraId="0611E608" w14:textId="4688BF3F" w:rsidR="00A55996" w:rsidRPr="00AC4363" w:rsidRDefault="003A07D3" w:rsidP="00A47C1F">
            <w:pPr>
              <w:autoSpaceDE w:val="0"/>
              <w:autoSpaceDN w:val="0"/>
              <w:adjustRightInd w:val="0"/>
              <w:spacing w:after="0"/>
              <w:ind w:left="60" w:right="60"/>
              <w:contextualSpacing/>
              <w:rPr>
                <w:sz w:val="20"/>
                <w:szCs w:val="20"/>
              </w:rPr>
            </w:pPr>
            <w:r w:rsidRPr="00AC4363">
              <w:rPr>
                <w:sz w:val="20"/>
                <w:szCs w:val="20"/>
              </w:rPr>
              <w:t>0</w:t>
            </w:r>
            <w:r w:rsidR="00A55996" w:rsidRPr="00AC4363">
              <w:rPr>
                <w:sz w:val="20"/>
                <w:szCs w:val="20"/>
              </w:rPr>
              <w:t>.793</w:t>
            </w:r>
          </w:p>
        </w:tc>
        <w:tc>
          <w:tcPr>
            <w:tcW w:w="1276" w:type="dxa"/>
            <w:vAlign w:val="center"/>
          </w:tcPr>
          <w:p w14:paraId="77B278F3" w14:textId="77777777" w:rsidR="00A55996" w:rsidRPr="00AC4363" w:rsidRDefault="00A55996" w:rsidP="00CB7D6D">
            <w:pPr>
              <w:autoSpaceDE w:val="0"/>
              <w:autoSpaceDN w:val="0"/>
              <w:adjustRightInd w:val="0"/>
              <w:spacing w:after="0"/>
              <w:ind w:left="60" w:right="60"/>
              <w:contextualSpacing/>
              <w:rPr>
                <w:sz w:val="20"/>
                <w:szCs w:val="20"/>
              </w:rPr>
            </w:pPr>
          </w:p>
        </w:tc>
        <w:tc>
          <w:tcPr>
            <w:tcW w:w="1843" w:type="dxa"/>
          </w:tcPr>
          <w:p w14:paraId="002C06A1" w14:textId="6503F8C0" w:rsidR="00A55996" w:rsidRPr="00AC4363" w:rsidRDefault="00A55996" w:rsidP="008C3F14">
            <w:pPr>
              <w:autoSpaceDE w:val="0"/>
              <w:autoSpaceDN w:val="0"/>
              <w:adjustRightInd w:val="0"/>
              <w:spacing w:after="0"/>
              <w:ind w:right="60"/>
              <w:contextualSpacing/>
              <w:jc w:val="center"/>
              <w:rPr>
                <w:sz w:val="20"/>
                <w:szCs w:val="20"/>
              </w:rPr>
            </w:pPr>
            <w:r w:rsidRPr="00AC4363">
              <w:rPr>
                <w:sz w:val="20"/>
                <w:szCs w:val="20"/>
              </w:rPr>
              <w:t>0.748</w:t>
            </w:r>
          </w:p>
        </w:tc>
      </w:tr>
      <w:tr w:rsidR="008C3F14" w:rsidRPr="00AC4363" w14:paraId="7B4FED39" w14:textId="34070D5B" w:rsidTr="00AC4363">
        <w:trPr>
          <w:cantSplit/>
          <w:trHeight w:val="340"/>
        </w:trPr>
        <w:tc>
          <w:tcPr>
            <w:tcW w:w="1276" w:type="dxa"/>
            <w:vMerge/>
            <w:vAlign w:val="center"/>
          </w:tcPr>
          <w:p w14:paraId="16C3833A" w14:textId="1E462AA7" w:rsidR="00A55996" w:rsidRPr="00AC4363" w:rsidRDefault="00A55996" w:rsidP="00A47C1F">
            <w:pPr>
              <w:autoSpaceDE w:val="0"/>
              <w:autoSpaceDN w:val="0"/>
              <w:adjustRightInd w:val="0"/>
              <w:spacing w:after="0"/>
              <w:ind w:left="60" w:right="60"/>
              <w:contextualSpacing/>
              <w:rPr>
                <w:sz w:val="20"/>
                <w:szCs w:val="20"/>
              </w:rPr>
            </w:pPr>
          </w:p>
        </w:tc>
        <w:tc>
          <w:tcPr>
            <w:tcW w:w="3686" w:type="dxa"/>
          </w:tcPr>
          <w:p w14:paraId="56929E72" w14:textId="01CAF922" w:rsidR="00A55996" w:rsidRPr="00AC4363" w:rsidRDefault="00A55996" w:rsidP="00A47C1F">
            <w:pPr>
              <w:autoSpaceDE w:val="0"/>
              <w:autoSpaceDN w:val="0"/>
              <w:adjustRightInd w:val="0"/>
              <w:spacing w:after="0"/>
              <w:ind w:right="60"/>
              <w:rPr>
                <w:sz w:val="20"/>
                <w:szCs w:val="20"/>
              </w:rPr>
            </w:pPr>
            <w:r w:rsidRPr="00AC4363">
              <w:rPr>
                <w:sz w:val="20"/>
                <w:szCs w:val="20"/>
              </w:rPr>
              <w:t>Comprensión de la idea de sistemas</w:t>
            </w:r>
          </w:p>
        </w:tc>
        <w:tc>
          <w:tcPr>
            <w:tcW w:w="708" w:type="dxa"/>
            <w:vAlign w:val="center"/>
          </w:tcPr>
          <w:p w14:paraId="658E0DC0" w14:textId="48510712" w:rsidR="00A55996" w:rsidRPr="00AC4363" w:rsidRDefault="003A07D3" w:rsidP="00A47C1F">
            <w:pPr>
              <w:autoSpaceDE w:val="0"/>
              <w:autoSpaceDN w:val="0"/>
              <w:adjustRightInd w:val="0"/>
              <w:spacing w:after="0"/>
              <w:ind w:left="60" w:right="60"/>
              <w:contextualSpacing/>
              <w:rPr>
                <w:sz w:val="20"/>
                <w:szCs w:val="20"/>
              </w:rPr>
            </w:pPr>
            <w:r w:rsidRPr="00AC4363">
              <w:rPr>
                <w:sz w:val="20"/>
                <w:szCs w:val="20"/>
              </w:rPr>
              <w:t>0</w:t>
            </w:r>
            <w:r w:rsidR="00A55996" w:rsidRPr="00AC4363">
              <w:rPr>
                <w:sz w:val="20"/>
                <w:szCs w:val="20"/>
              </w:rPr>
              <w:t>.771</w:t>
            </w:r>
          </w:p>
        </w:tc>
        <w:tc>
          <w:tcPr>
            <w:tcW w:w="1276" w:type="dxa"/>
            <w:vAlign w:val="center"/>
          </w:tcPr>
          <w:p w14:paraId="15B27C1C" w14:textId="77777777" w:rsidR="00A55996" w:rsidRPr="00AC4363" w:rsidRDefault="00A55996" w:rsidP="00CB7D6D">
            <w:pPr>
              <w:autoSpaceDE w:val="0"/>
              <w:autoSpaceDN w:val="0"/>
              <w:adjustRightInd w:val="0"/>
              <w:spacing w:after="0"/>
              <w:ind w:left="60" w:right="60"/>
              <w:contextualSpacing/>
              <w:rPr>
                <w:sz w:val="20"/>
                <w:szCs w:val="20"/>
              </w:rPr>
            </w:pPr>
          </w:p>
        </w:tc>
        <w:tc>
          <w:tcPr>
            <w:tcW w:w="1843" w:type="dxa"/>
          </w:tcPr>
          <w:p w14:paraId="0D981EC0" w14:textId="646AD52F" w:rsidR="00A55996" w:rsidRPr="00AC4363" w:rsidRDefault="00A55996" w:rsidP="008C3F14">
            <w:pPr>
              <w:autoSpaceDE w:val="0"/>
              <w:autoSpaceDN w:val="0"/>
              <w:adjustRightInd w:val="0"/>
              <w:spacing w:after="0"/>
              <w:ind w:right="60"/>
              <w:contextualSpacing/>
              <w:jc w:val="center"/>
              <w:rPr>
                <w:sz w:val="20"/>
                <w:szCs w:val="20"/>
              </w:rPr>
            </w:pPr>
            <w:r w:rsidRPr="00AC4363">
              <w:rPr>
                <w:sz w:val="20"/>
                <w:szCs w:val="20"/>
              </w:rPr>
              <w:t>0.700</w:t>
            </w:r>
          </w:p>
        </w:tc>
      </w:tr>
      <w:tr w:rsidR="008C3F14" w:rsidRPr="00AC4363" w14:paraId="75C72857" w14:textId="1FE06094" w:rsidTr="00AC4363">
        <w:trPr>
          <w:cantSplit/>
          <w:trHeight w:val="181"/>
        </w:trPr>
        <w:tc>
          <w:tcPr>
            <w:tcW w:w="1276" w:type="dxa"/>
            <w:vMerge/>
            <w:vAlign w:val="center"/>
          </w:tcPr>
          <w:p w14:paraId="444CA69B" w14:textId="448C00F6" w:rsidR="00A55996" w:rsidRPr="00AC4363" w:rsidRDefault="00A55996" w:rsidP="00A47C1F">
            <w:pPr>
              <w:autoSpaceDE w:val="0"/>
              <w:autoSpaceDN w:val="0"/>
              <w:adjustRightInd w:val="0"/>
              <w:spacing w:after="0"/>
              <w:ind w:right="60"/>
              <w:contextualSpacing/>
              <w:rPr>
                <w:sz w:val="20"/>
                <w:szCs w:val="20"/>
              </w:rPr>
            </w:pPr>
          </w:p>
        </w:tc>
        <w:tc>
          <w:tcPr>
            <w:tcW w:w="3686" w:type="dxa"/>
          </w:tcPr>
          <w:p w14:paraId="0100871B" w14:textId="729A4C39" w:rsidR="00A55996" w:rsidRPr="00AC4363" w:rsidRDefault="00A55996" w:rsidP="00A47C1F">
            <w:pPr>
              <w:autoSpaceDE w:val="0"/>
              <w:autoSpaceDN w:val="0"/>
              <w:adjustRightInd w:val="0"/>
              <w:spacing w:after="0"/>
              <w:ind w:right="62"/>
              <w:rPr>
                <w:sz w:val="20"/>
                <w:szCs w:val="20"/>
              </w:rPr>
            </w:pPr>
            <w:r w:rsidRPr="00AC4363">
              <w:rPr>
                <w:sz w:val="20"/>
                <w:szCs w:val="20"/>
              </w:rPr>
              <w:t>Percepción del cambio</w:t>
            </w:r>
          </w:p>
        </w:tc>
        <w:tc>
          <w:tcPr>
            <w:tcW w:w="708" w:type="dxa"/>
            <w:vAlign w:val="center"/>
          </w:tcPr>
          <w:p w14:paraId="4BA06EBC" w14:textId="67891581" w:rsidR="00A55996" w:rsidRPr="00AC4363" w:rsidRDefault="003A07D3" w:rsidP="00A47C1F">
            <w:pPr>
              <w:autoSpaceDE w:val="0"/>
              <w:autoSpaceDN w:val="0"/>
              <w:adjustRightInd w:val="0"/>
              <w:spacing w:after="0"/>
              <w:ind w:left="60" w:right="60"/>
              <w:contextualSpacing/>
              <w:rPr>
                <w:sz w:val="20"/>
                <w:szCs w:val="20"/>
              </w:rPr>
            </w:pPr>
            <w:r w:rsidRPr="00AC4363">
              <w:rPr>
                <w:sz w:val="20"/>
                <w:szCs w:val="20"/>
              </w:rPr>
              <w:t>0</w:t>
            </w:r>
            <w:r w:rsidR="00A55996" w:rsidRPr="00AC4363">
              <w:rPr>
                <w:sz w:val="20"/>
                <w:szCs w:val="20"/>
              </w:rPr>
              <w:t>.770</w:t>
            </w:r>
          </w:p>
        </w:tc>
        <w:tc>
          <w:tcPr>
            <w:tcW w:w="1276" w:type="dxa"/>
            <w:vAlign w:val="center"/>
          </w:tcPr>
          <w:p w14:paraId="64C507BF" w14:textId="77777777" w:rsidR="00A55996" w:rsidRPr="00AC4363" w:rsidRDefault="00A55996" w:rsidP="00CB7D6D">
            <w:pPr>
              <w:autoSpaceDE w:val="0"/>
              <w:autoSpaceDN w:val="0"/>
              <w:adjustRightInd w:val="0"/>
              <w:spacing w:after="0"/>
              <w:ind w:left="60" w:right="60"/>
              <w:contextualSpacing/>
              <w:rPr>
                <w:sz w:val="20"/>
                <w:szCs w:val="20"/>
              </w:rPr>
            </w:pPr>
          </w:p>
        </w:tc>
        <w:tc>
          <w:tcPr>
            <w:tcW w:w="1843" w:type="dxa"/>
          </w:tcPr>
          <w:p w14:paraId="7DE5C369" w14:textId="25F9D164" w:rsidR="00A55996" w:rsidRPr="00AC4363" w:rsidRDefault="00A55996" w:rsidP="008C3F14">
            <w:pPr>
              <w:autoSpaceDE w:val="0"/>
              <w:autoSpaceDN w:val="0"/>
              <w:adjustRightInd w:val="0"/>
              <w:spacing w:after="0"/>
              <w:ind w:right="60"/>
              <w:contextualSpacing/>
              <w:jc w:val="center"/>
              <w:rPr>
                <w:sz w:val="20"/>
                <w:szCs w:val="20"/>
              </w:rPr>
            </w:pPr>
            <w:r w:rsidRPr="00AC4363">
              <w:rPr>
                <w:sz w:val="20"/>
                <w:szCs w:val="20"/>
              </w:rPr>
              <w:t>0.684</w:t>
            </w:r>
          </w:p>
        </w:tc>
      </w:tr>
      <w:tr w:rsidR="008C3F14" w:rsidRPr="00AC4363" w14:paraId="699A77C6" w14:textId="72869571" w:rsidTr="00AC4363">
        <w:trPr>
          <w:cantSplit/>
        </w:trPr>
        <w:tc>
          <w:tcPr>
            <w:tcW w:w="1276" w:type="dxa"/>
            <w:vMerge/>
            <w:vAlign w:val="center"/>
          </w:tcPr>
          <w:p w14:paraId="74637867" w14:textId="1828228F" w:rsidR="00A55996" w:rsidRPr="00AC4363" w:rsidRDefault="00A55996" w:rsidP="00A47C1F">
            <w:pPr>
              <w:autoSpaceDE w:val="0"/>
              <w:autoSpaceDN w:val="0"/>
              <w:adjustRightInd w:val="0"/>
              <w:spacing w:after="0"/>
              <w:ind w:right="60"/>
              <w:contextualSpacing/>
              <w:rPr>
                <w:sz w:val="20"/>
                <w:szCs w:val="20"/>
              </w:rPr>
            </w:pPr>
          </w:p>
        </w:tc>
        <w:tc>
          <w:tcPr>
            <w:tcW w:w="3686" w:type="dxa"/>
          </w:tcPr>
          <w:p w14:paraId="54AFEC44" w14:textId="573D946D" w:rsidR="00A55996" w:rsidRPr="00AC4363" w:rsidRDefault="00A55996" w:rsidP="00A47C1F">
            <w:pPr>
              <w:autoSpaceDE w:val="0"/>
              <w:autoSpaceDN w:val="0"/>
              <w:adjustRightInd w:val="0"/>
              <w:spacing w:after="0"/>
              <w:ind w:right="62"/>
              <w:rPr>
                <w:sz w:val="20"/>
                <w:szCs w:val="20"/>
              </w:rPr>
            </w:pPr>
            <w:r w:rsidRPr="00AC4363">
              <w:rPr>
                <w:sz w:val="20"/>
                <w:szCs w:val="20"/>
              </w:rPr>
              <w:t>Identificación de “cuellos de botella”</w:t>
            </w:r>
          </w:p>
        </w:tc>
        <w:tc>
          <w:tcPr>
            <w:tcW w:w="708" w:type="dxa"/>
            <w:vAlign w:val="center"/>
          </w:tcPr>
          <w:p w14:paraId="270F0FB7" w14:textId="110AD925" w:rsidR="00A55996" w:rsidRPr="00AC4363" w:rsidRDefault="003A07D3" w:rsidP="00A47C1F">
            <w:pPr>
              <w:autoSpaceDE w:val="0"/>
              <w:autoSpaceDN w:val="0"/>
              <w:adjustRightInd w:val="0"/>
              <w:spacing w:after="0"/>
              <w:ind w:left="60" w:right="60"/>
              <w:contextualSpacing/>
              <w:rPr>
                <w:sz w:val="20"/>
                <w:szCs w:val="20"/>
              </w:rPr>
            </w:pPr>
            <w:r w:rsidRPr="00AC4363">
              <w:rPr>
                <w:sz w:val="20"/>
                <w:szCs w:val="20"/>
              </w:rPr>
              <w:t>0</w:t>
            </w:r>
            <w:r w:rsidR="00A55996" w:rsidRPr="00AC4363">
              <w:rPr>
                <w:sz w:val="20"/>
                <w:szCs w:val="20"/>
              </w:rPr>
              <w:t>.758</w:t>
            </w:r>
          </w:p>
        </w:tc>
        <w:tc>
          <w:tcPr>
            <w:tcW w:w="1276" w:type="dxa"/>
            <w:vAlign w:val="center"/>
          </w:tcPr>
          <w:p w14:paraId="07DAA28C" w14:textId="77777777" w:rsidR="00A55996" w:rsidRPr="00AC4363" w:rsidRDefault="00A55996" w:rsidP="00CB7D6D">
            <w:pPr>
              <w:autoSpaceDE w:val="0"/>
              <w:autoSpaceDN w:val="0"/>
              <w:adjustRightInd w:val="0"/>
              <w:spacing w:after="0"/>
              <w:ind w:left="60" w:right="60"/>
              <w:contextualSpacing/>
              <w:rPr>
                <w:sz w:val="20"/>
                <w:szCs w:val="20"/>
              </w:rPr>
            </w:pPr>
          </w:p>
        </w:tc>
        <w:tc>
          <w:tcPr>
            <w:tcW w:w="1843" w:type="dxa"/>
          </w:tcPr>
          <w:p w14:paraId="30200B75" w14:textId="6607211A" w:rsidR="00A55996" w:rsidRPr="00AC4363" w:rsidRDefault="00A55996" w:rsidP="008C3F14">
            <w:pPr>
              <w:autoSpaceDE w:val="0"/>
              <w:autoSpaceDN w:val="0"/>
              <w:adjustRightInd w:val="0"/>
              <w:spacing w:after="0"/>
              <w:ind w:right="60"/>
              <w:contextualSpacing/>
              <w:jc w:val="center"/>
              <w:rPr>
                <w:sz w:val="20"/>
                <w:szCs w:val="20"/>
              </w:rPr>
            </w:pPr>
            <w:r w:rsidRPr="00AC4363">
              <w:rPr>
                <w:sz w:val="20"/>
                <w:szCs w:val="20"/>
              </w:rPr>
              <w:t>0.683</w:t>
            </w:r>
          </w:p>
        </w:tc>
      </w:tr>
      <w:tr w:rsidR="008C3F14" w:rsidRPr="00AC4363" w14:paraId="113E4A5D" w14:textId="586467A3" w:rsidTr="00AC4363">
        <w:trPr>
          <w:cantSplit/>
        </w:trPr>
        <w:tc>
          <w:tcPr>
            <w:tcW w:w="1276" w:type="dxa"/>
            <w:vMerge/>
            <w:vAlign w:val="center"/>
          </w:tcPr>
          <w:p w14:paraId="65F1D97E" w14:textId="0DB1D1E4" w:rsidR="00A55996" w:rsidRPr="00AC4363" w:rsidRDefault="00A55996" w:rsidP="00A47C1F">
            <w:pPr>
              <w:autoSpaceDE w:val="0"/>
              <w:autoSpaceDN w:val="0"/>
              <w:adjustRightInd w:val="0"/>
              <w:spacing w:after="0"/>
              <w:ind w:left="60" w:right="60"/>
              <w:contextualSpacing/>
              <w:rPr>
                <w:sz w:val="20"/>
                <w:szCs w:val="20"/>
              </w:rPr>
            </w:pPr>
          </w:p>
        </w:tc>
        <w:tc>
          <w:tcPr>
            <w:tcW w:w="3686" w:type="dxa"/>
          </w:tcPr>
          <w:p w14:paraId="53BB68B9" w14:textId="79CDDF9B" w:rsidR="00A55996" w:rsidRPr="00AC4363" w:rsidRDefault="00A55996" w:rsidP="00A47C1F">
            <w:pPr>
              <w:autoSpaceDE w:val="0"/>
              <w:autoSpaceDN w:val="0"/>
              <w:adjustRightInd w:val="0"/>
              <w:spacing w:after="0"/>
              <w:ind w:right="60"/>
              <w:rPr>
                <w:sz w:val="20"/>
                <w:szCs w:val="20"/>
              </w:rPr>
            </w:pPr>
            <w:r w:rsidRPr="00AC4363">
              <w:rPr>
                <w:sz w:val="20"/>
                <w:szCs w:val="20"/>
              </w:rPr>
              <w:t>Capacidad asertiva</w:t>
            </w:r>
          </w:p>
        </w:tc>
        <w:tc>
          <w:tcPr>
            <w:tcW w:w="708" w:type="dxa"/>
            <w:vAlign w:val="center"/>
          </w:tcPr>
          <w:p w14:paraId="0A31AC90" w14:textId="68392DC4" w:rsidR="00A55996" w:rsidRPr="00AC4363" w:rsidRDefault="003A07D3" w:rsidP="00A47C1F">
            <w:pPr>
              <w:autoSpaceDE w:val="0"/>
              <w:autoSpaceDN w:val="0"/>
              <w:adjustRightInd w:val="0"/>
              <w:spacing w:after="0"/>
              <w:ind w:left="60" w:right="60"/>
              <w:contextualSpacing/>
              <w:rPr>
                <w:sz w:val="20"/>
                <w:szCs w:val="20"/>
              </w:rPr>
            </w:pPr>
            <w:r w:rsidRPr="00AC4363">
              <w:rPr>
                <w:sz w:val="20"/>
                <w:szCs w:val="20"/>
              </w:rPr>
              <w:t>0</w:t>
            </w:r>
            <w:r w:rsidR="00A55996" w:rsidRPr="00AC4363">
              <w:rPr>
                <w:sz w:val="20"/>
                <w:szCs w:val="20"/>
              </w:rPr>
              <w:t>.556</w:t>
            </w:r>
          </w:p>
        </w:tc>
        <w:tc>
          <w:tcPr>
            <w:tcW w:w="1276" w:type="dxa"/>
            <w:vAlign w:val="center"/>
          </w:tcPr>
          <w:p w14:paraId="2EB5D878" w14:textId="77777777" w:rsidR="00A55996" w:rsidRPr="00AC4363" w:rsidRDefault="00A55996" w:rsidP="00CB7D6D">
            <w:pPr>
              <w:autoSpaceDE w:val="0"/>
              <w:autoSpaceDN w:val="0"/>
              <w:adjustRightInd w:val="0"/>
              <w:spacing w:after="0"/>
              <w:ind w:left="60" w:right="60"/>
              <w:contextualSpacing/>
              <w:rPr>
                <w:sz w:val="20"/>
                <w:szCs w:val="20"/>
              </w:rPr>
            </w:pPr>
          </w:p>
        </w:tc>
        <w:tc>
          <w:tcPr>
            <w:tcW w:w="1843" w:type="dxa"/>
          </w:tcPr>
          <w:p w14:paraId="1EE8B3C8" w14:textId="672A8A41" w:rsidR="00A55996" w:rsidRPr="00AC4363" w:rsidRDefault="00A55996" w:rsidP="008C3F14">
            <w:pPr>
              <w:autoSpaceDE w:val="0"/>
              <w:autoSpaceDN w:val="0"/>
              <w:adjustRightInd w:val="0"/>
              <w:spacing w:after="0"/>
              <w:ind w:right="60"/>
              <w:contextualSpacing/>
              <w:jc w:val="center"/>
              <w:rPr>
                <w:sz w:val="20"/>
                <w:szCs w:val="20"/>
              </w:rPr>
            </w:pPr>
            <w:r w:rsidRPr="00AC4363">
              <w:rPr>
                <w:sz w:val="20"/>
                <w:szCs w:val="20"/>
              </w:rPr>
              <w:t>0.531</w:t>
            </w:r>
          </w:p>
        </w:tc>
      </w:tr>
      <w:tr w:rsidR="008C3F14" w:rsidRPr="00AC4363" w14:paraId="02F6B132" w14:textId="6045B1C8" w:rsidTr="00AC4363">
        <w:trPr>
          <w:cantSplit/>
        </w:trPr>
        <w:tc>
          <w:tcPr>
            <w:tcW w:w="1276" w:type="dxa"/>
            <w:vMerge/>
            <w:vAlign w:val="center"/>
          </w:tcPr>
          <w:p w14:paraId="1DB7924D" w14:textId="58306DCD" w:rsidR="00A55996" w:rsidRPr="00AC4363" w:rsidRDefault="00A55996" w:rsidP="00A47C1F">
            <w:pPr>
              <w:autoSpaceDE w:val="0"/>
              <w:autoSpaceDN w:val="0"/>
              <w:adjustRightInd w:val="0"/>
              <w:spacing w:after="0"/>
              <w:ind w:left="60" w:right="60"/>
              <w:contextualSpacing/>
              <w:rPr>
                <w:sz w:val="20"/>
                <w:szCs w:val="20"/>
              </w:rPr>
            </w:pPr>
          </w:p>
        </w:tc>
        <w:tc>
          <w:tcPr>
            <w:tcW w:w="3686" w:type="dxa"/>
          </w:tcPr>
          <w:p w14:paraId="32005C38" w14:textId="045B1383" w:rsidR="00A55996" w:rsidRPr="00AC4363" w:rsidRDefault="00A55996" w:rsidP="00A47C1F">
            <w:pPr>
              <w:autoSpaceDE w:val="0"/>
              <w:autoSpaceDN w:val="0"/>
              <w:adjustRightInd w:val="0"/>
              <w:spacing w:after="0"/>
              <w:ind w:right="60"/>
              <w:rPr>
                <w:sz w:val="20"/>
                <w:szCs w:val="20"/>
              </w:rPr>
            </w:pPr>
            <w:r w:rsidRPr="00AC4363">
              <w:rPr>
                <w:sz w:val="20"/>
                <w:szCs w:val="20"/>
              </w:rPr>
              <w:t>Capacidad de argumentación independiente</w:t>
            </w:r>
            <w:r w:rsidR="008C3F14" w:rsidRPr="00AC4363">
              <w:rPr>
                <w:sz w:val="20"/>
                <w:szCs w:val="20"/>
              </w:rPr>
              <w:t>*</w:t>
            </w:r>
          </w:p>
        </w:tc>
        <w:tc>
          <w:tcPr>
            <w:tcW w:w="708" w:type="dxa"/>
            <w:vAlign w:val="center"/>
          </w:tcPr>
          <w:p w14:paraId="26745683" w14:textId="749DA36C" w:rsidR="00A55996" w:rsidRPr="00AC4363" w:rsidRDefault="003A07D3" w:rsidP="00A47C1F">
            <w:pPr>
              <w:autoSpaceDE w:val="0"/>
              <w:autoSpaceDN w:val="0"/>
              <w:adjustRightInd w:val="0"/>
              <w:spacing w:after="0"/>
              <w:ind w:left="60" w:right="60"/>
              <w:contextualSpacing/>
              <w:rPr>
                <w:sz w:val="20"/>
                <w:szCs w:val="20"/>
              </w:rPr>
            </w:pPr>
            <w:r w:rsidRPr="00AC4363">
              <w:rPr>
                <w:sz w:val="20"/>
                <w:szCs w:val="20"/>
              </w:rPr>
              <w:t>0</w:t>
            </w:r>
            <w:r w:rsidR="00A55996" w:rsidRPr="00AC4363">
              <w:rPr>
                <w:sz w:val="20"/>
                <w:szCs w:val="20"/>
              </w:rPr>
              <w:t>.493</w:t>
            </w:r>
          </w:p>
        </w:tc>
        <w:tc>
          <w:tcPr>
            <w:tcW w:w="1276" w:type="dxa"/>
            <w:vAlign w:val="center"/>
          </w:tcPr>
          <w:p w14:paraId="58279E74" w14:textId="57634D25" w:rsidR="00A55996" w:rsidRPr="00AC4363" w:rsidRDefault="003A07D3" w:rsidP="00CB7D6D">
            <w:pPr>
              <w:autoSpaceDE w:val="0"/>
              <w:autoSpaceDN w:val="0"/>
              <w:adjustRightInd w:val="0"/>
              <w:spacing w:after="0"/>
              <w:ind w:left="60" w:right="60"/>
              <w:contextualSpacing/>
              <w:rPr>
                <w:sz w:val="20"/>
                <w:szCs w:val="20"/>
              </w:rPr>
            </w:pPr>
            <w:r w:rsidRPr="00AC4363">
              <w:rPr>
                <w:sz w:val="20"/>
                <w:szCs w:val="20"/>
              </w:rPr>
              <w:t>0</w:t>
            </w:r>
            <w:r w:rsidR="00A55996" w:rsidRPr="00AC4363">
              <w:rPr>
                <w:sz w:val="20"/>
                <w:szCs w:val="20"/>
              </w:rPr>
              <w:t>.521</w:t>
            </w:r>
          </w:p>
        </w:tc>
        <w:tc>
          <w:tcPr>
            <w:tcW w:w="1843" w:type="dxa"/>
          </w:tcPr>
          <w:p w14:paraId="6CC23359" w14:textId="266C6336" w:rsidR="00A55996" w:rsidRPr="00AC4363" w:rsidRDefault="00A55996" w:rsidP="008C3F14">
            <w:pPr>
              <w:autoSpaceDE w:val="0"/>
              <w:autoSpaceDN w:val="0"/>
              <w:adjustRightInd w:val="0"/>
              <w:spacing w:after="0"/>
              <w:ind w:right="60"/>
              <w:contextualSpacing/>
              <w:jc w:val="center"/>
              <w:rPr>
                <w:sz w:val="20"/>
                <w:szCs w:val="20"/>
              </w:rPr>
            </w:pPr>
            <w:r w:rsidRPr="00AC4363">
              <w:rPr>
                <w:sz w:val="20"/>
                <w:szCs w:val="20"/>
              </w:rPr>
              <w:t>0.559</w:t>
            </w:r>
          </w:p>
        </w:tc>
      </w:tr>
      <w:tr w:rsidR="008C3F14" w:rsidRPr="00AC4363" w14:paraId="50B7C9F8" w14:textId="7138DA89" w:rsidTr="00AC4363">
        <w:trPr>
          <w:cantSplit/>
        </w:trPr>
        <w:tc>
          <w:tcPr>
            <w:tcW w:w="1276" w:type="dxa"/>
            <w:vMerge/>
            <w:vAlign w:val="center"/>
          </w:tcPr>
          <w:p w14:paraId="4CF8719A" w14:textId="28C4057D" w:rsidR="00A55996" w:rsidRPr="00AC4363" w:rsidRDefault="00A55996" w:rsidP="00A47C1F">
            <w:pPr>
              <w:autoSpaceDE w:val="0"/>
              <w:autoSpaceDN w:val="0"/>
              <w:adjustRightInd w:val="0"/>
              <w:spacing w:after="0"/>
              <w:ind w:left="60" w:right="60"/>
              <w:contextualSpacing/>
              <w:rPr>
                <w:sz w:val="20"/>
                <w:szCs w:val="20"/>
              </w:rPr>
            </w:pPr>
          </w:p>
        </w:tc>
        <w:tc>
          <w:tcPr>
            <w:tcW w:w="3686" w:type="dxa"/>
          </w:tcPr>
          <w:p w14:paraId="43561D32" w14:textId="03135133" w:rsidR="00A55996" w:rsidRPr="00AC4363" w:rsidRDefault="00A55996" w:rsidP="00A47C1F">
            <w:pPr>
              <w:autoSpaceDE w:val="0"/>
              <w:autoSpaceDN w:val="0"/>
              <w:adjustRightInd w:val="0"/>
              <w:spacing w:after="0"/>
              <w:ind w:right="60"/>
              <w:rPr>
                <w:sz w:val="20"/>
                <w:szCs w:val="20"/>
              </w:rPr>
            </w:pPr>
            <w:r w:rsidRPr="00AC4363">
              <w:rPr>
                <w:sz w:val="20"/>
                <w:szCs w:val="20"/>
              </w:rPr>
              <w:t>Identificación de sesgos y falacias</w:t>
            </w:r>
          </w:p>
        </w:tc>
        <w:tc>
          <w:tcPr>
            <w:tcW w:w="708" w:type="dxa"/>
            <w:vAlign w:val="center"/>
          </w:tcPr>
          <w:p w14:paraId="722B01C1" w14:textId="5E9363AA" w:rsidR="00A55996" w:rsidRPr="00AC4363" w:rsidRDefault="003A07D3" w:rsidP="00A47C1F">
            <w:pPr>
              <w:autoSpaceDE w:val="0"/>
              <w:autoSpaceDN w:val="0"/>
              <w:adjustRightInd w:val="0"/>
              <w:spacing w:after="0"/>
              <w:ind w:left="60" w:right="60"/>
              <w:contextualSpacing/>
              <w:rPr>
                <w:sz w:val="20"/>
                <w:szCs w:val="20"/>
              </w:rPr>
            </w:pPr>
            <w:r w:rsidRPr="00AC4363">
              <w:rPr>
                <w:sz w:val="20"/>
                <w:szCs w:val="20"/>
              </w:rPr>
              <w:t>0</w:t>
            </w:r>
            <w:r w:rsidR="00A55996" w:rsidRPr="00AC4363">
              <w:rPr>
                <w:sz w:val="20"/>
                <w:szCs w:val="20"/>
              </w:rPr>
              <w:t>.536</w:t>
            </w:r>
          </w:p>
        </w:tc>
        <w:tc>
          <w:tcPr>
            <w:tcW w:w="1276" w:type="dxa"/>
            <w:vAlign w:val="center"/>
          </w:tcPr>
          <w:p w14:paraId="76EF2DAA" w14:textId="77777777" w:rsidR="00A55996" w:rsidRPr="00AC4363" w:rsidRDefault="00A55996" w:rsidP="00CB7D6D">
            <w:pPr>
              <w:autoSpaceDE w:val="0"/>
              <w:autoSpaceDN w:val="0"/>
              <w:adjustRightInd w:val="0"/>
              <w:spacing w:after="0"/>
              <w:ind w:left="60" w:right="60"/>
              <w:contextualSpacing/>
              <w:rPr>
                <w:sz w:val="20"/>
                <w:szCs w:val="20"/>
              </w:rPr>
            </w:pPr>
          </w:p>
        </w:tc>
        <w:tc>
          <w:tcPr>
            <w:tcW w:w="1843" w:type="dxa"/>
          </w:tcPr>
          <w:p w14:paraId="2D24A7B1" w14:textId="0CDE23CA" w:rsidR="00A55996" w:rsidRPr="00AC4363" w:rsidRDefault="00A55996" w:rsidP="008C3F14">
            <w:pPr>
              <w:autoSpaceDE w:val="0"/>
              <w:autoSpaceDN w:val="0"/>
              <w:adjustRightInd w:val="0"/>
              <w:spacing w:after="0"/>
              <w:ind w:right="60"/>
              <w:contextualSpacing/>
              <w:jc w:val="center"/>
              <w:rPr>
                <w:sz w:val="20"/>
                <w:szCs w:val="20"/>
              </w:rPr>
            </w:pPr>
            <w:r w:rsidRPr="00AC4363">
              <w:rPr>
                <w:sz w:val="20"/>
                <w:szCs w:val="20"/>
              </w:rPr>
              <w:t>0.502</w:t>
            </w:r>
          </w:p>
        </w:tc>
      </w:tr>
      <w:tr w:rsidR="008C3F14" w:rsidRPr="00AC4363" w14:paraId="4DEFDF88" w14:textId="7241F6C2" w:rsidTr="00AC4363">
        <w:trPr>
          <w:cantSplit/>
          <w:trHeight w:val="239"/>
        </w:trPr>
        <w:tc>
          <w:tcPr>
            <w:tcW w:w="1276" w:type="dxa"/>
            <w:vAlign w:val="center"/>
          </w:tcPr>
          <w:p w14:paraId="35CC08A2" w14:textId="36AA6EB9" w:rsidR="00A55996" w:rsidRPr="00AC4363" w:rsidRDefault="00A55996" w:rsidP="00A47C1F">
            <w:pPr>
              <w:autoSpaceDE w:val="0"/>
              <w:autoSpaceDN w:val="0"/>
              <w:adjustRightInd w:val="0"/>
              <w:spacing w:after="0"/>
              <w:ind w:right="60"/>
              <w:contextualSpacing/>
              <w:rPr>
                <w:sz w:val="20"/>
                <w:szCs w:val="20"/>
              </w:rPr>
            </w:pPr>
          </w:p>
        </w:tc>
        <w:tc>
          <w:tcPr>
            <w:tcW w:w="3686" w:type="dxa"/>
          </w:tcPr>
          <w:p w14:paraId="09CC08F4" w14:textId="43668E71" w:rsidR="00A55996" w:rsidRPr="00AC4363" w:rsidRDefault="00A55996" w:rsidP="00A47C1F">
            <w:pPr>
              <w:autoSpaceDE w:val="0"/>
              <w:autoSpaceDN w:val="0"/>
              <w:adjustRightInd w:val="0"/>
              <w:spacing w:after="0"/>
              <w:ind w:right="60"/>
              <w:rPr>
                <w:sz w:val="20"/>
                <w:szCs w:val="20"/>
              </w:rPr>
            </w:pPr>
            <w:r w:rsidRPr="00AC4363">
              <w:rPr>
                <w:sz w:val="20"/>
                <w:szCs w:val="20"/>
              </w:rPr>
              <w:t>Integración de disciplinas</w:t>
            </w:r>
          </w:p>
        </w:tc>
        <w:tc>
          <w:tcPr>
            <w:tcW w:w="708" w:type="dxa"/>
            <w:vAlign w:val="center"/>
          </w:tcPr>
          <w:p w14:paraId="6F740B03" w14:textId="59AAD576" w:rsidR="00A55996" w:rsidRPr="00AC4363" w:rsidRDefault="00A55996" w:rsidP="00A47C1F">
            <w:pPr>
              <w:autoSpaceDE w:val="0"/>
              <w:autoSpaceDN w:val="0"/>
              <w:adjustRightInd w:val="0"/>
              <w:spacing w:after="0"/>
              <w:ind w:left="60" w:right="60"/>
              <w:contextualSpacing/>
              <w:rPr>
                <w:sz w:val="20"/>
                <w:szCs w:val="20"/>
              </w:rPr>
            </w:pPr>
          </w:p>
        </w:tc>
        <w:tc>
          <w:tcPr>
            <w:tcW w:w="1276" w:type="dxa"/>
            <w:vAlign w:val="center"/>
          </w:tcPr>
          <w:p w14:paraId="51D75BF6" w14:textId="17935CDC" w:rsidR="00A55996" w:rsidRPr="00AC4363" w:rsidRDefault="003A07D3" w:rsidP="00CB7D6D">
            <w:pPr>
              <w:autoSpaceDE w:val="0"/>
              <w:autoSpaceDN w:val="0"/>
              <w:adjustRightInd w:val="0"/>
              <w:spacing w:after="0"/>
              <w:ind w:left="60" w:right="60"/>
              <w:contextualSpacing/>
              <w:rPr>
                <w:sz w:val="20"/>
                <w:szCs w:val="20"/>
              </w:rPr>
            </w:pPr>
            <w:r w:rsidRPr="00AC4363">
              <w:rPr>
                <w:sz w:val="20"/>
                <w:szCs w:val="20"/>
              </w:rPr>
              <w:t>0</w:t>
            </w:r>
            <w:r w:rsidR="00A55996" w:rsidRPr="00AC4363">
              <w:rPr>
                <w:sz w:val="20"/>
                <w:szCs w:val="20"/>
              </w:rPr>
              <w:t>.788</w:t>
            </w:r>
          </w:p>
        </w:tc>
        <w:tc>
          <w:tcPr>
            <w:tcW w:w="1843" w:type="dxa"/>
          </w:tcPr>
          <w:p w14:paraId="67A458ED" w14:textId="71815A71" w:rsidR="00A55996" w:rsidRPr="00AC4363" w:rsidRDefault="00A55996" w:rsidP="008C3F14">
            <w:pPr>
              <w:autoSpaceDE w:val="0"/>
              <w:autoSpaceDN w:val="0"/>
              <w:adjustRightInd w:val="0"/>
              <w:spacing w:after="0"/>
              <w:ind w:right="60"/>
              <w:contextualSpacing/>
              <w:jc w:val="center"/>
              <w:rPr>
                <w:sz w:val="20"/>
                <w:szCs w:val="20"/>
              </w:rPr>
            </w:pPr>
            <w:r w:rsidRPr="00AC4363">
              <w:rPr>
                <w:sz w:val="20"/>
                <w:szCs w:val="20"/>
              </w:rPr>
              <w:t>0.696</w:t>
            </w:r>
          </w:p>
        </w:tc>
      </w:tr>
      <w:tr w:rsidR="008C3F14" w:rsidRPr="00AC4363" w14:paraId="5350CDB0" w14:textId="26F45DE2" w:rsidTr="00AC4363">
        <w:trPr>
          <w:cantSplit/>
        </w:trPr>
        <w:tc>
          <w:tcPr>
            <w:tcW w:w="1276" w:type="dxa"/>
            <w:vAlign w:val="center"/>
          </w:tcPr>
          <w:p w14:paraId="065F4538" w14:textId="303D1826" w:rsidR="00A55996" w:rsidRPr="00AC4363" w:rsidRDefault="00A55996" w:rsidP="00A47C1F">
            <w:pPr>
              <w:autoSpaceDE w:val="0"/>
              <w:autoSpaceDN w:val="0"/>
              <w:adjustRightInd w:val="0"/>
              <w:spacing w:after="0"/>
              <w:ind w:left="60" w:right="60"/>
              <w:contextualSpacing/>
              <w:rPr>
                <w:sz w:val="20"/>
                <w:szCs w:val="20"/>
              </w:rPr>
            </w:pPr>
          </w:p>
        </w:tc>
        <w:tc>
          <w:tcPr>
            <w:tcW w:w="3686" w:type="dxa"/>
          </w:tcPr>
          <w:p w14:paraId="1A372965" w14:textId="32D43D81" w:rsidR="00A55996" w:rsidRPr="00AC4363" w:rsidRDefault="00A55996" w:rsidP="00A47C1F">
            <w:pPr>
              <w:autoSpaceDE w:val="0"/>
              <w:autoSpaceDN w:val="0"/>
              <w:adjustRightInd w:val="0"/>
              <w:spacing w:after="0"/>
              <w:ind w:right="60"/>
              <w:rPr>
                <w:sz w:val="20"/>
                <w:szCs w:val="20"/>
              </w:rPr>
            </w:pPr>
            <w:r w:rsidRPr="00AC4363">
              <w:rPr>
                <w:sz w:val="20"/>
                <w:szCs w:val="20"/>
              </w:rPr>
              <w:t>Orientación a la transdisciplina</w:t>
            </w:r>
          </w:p>
        </w:tc>
        <w:tc>
          <w:tcPr>
            <w:tcW w:w="708" w:type="dxa"/>
            <w:vAlign w:val="center"/>
          </w:tcPr>
          <w:p w14:paraId="0FEF1C89" w14:textId="7380407E" w:rsidR="00A55996" w:rsidRPr="00AC4363" w:rsidRDefault="00A55996" w:rsidP="00A47C1F">
            <w:pPr>
              <w:autoSpaceDE w:val="0"/>
              <w:autoSpaceDN w:val="0"/>
              <w:adjustRightInd w:val="0"/>
              <w:spacing w:after="0"/>
              <w:ind w:left="60" w:right="60"/>
              <w:contextualSpacing/>
              <w:rPr>
                <w:sz w:val="20"/>
                <w:szCs w:val="20"/>
              </w:rPr>
            </w:pPr>
          </w:p>
        </w:tc>
        <w:tc>
          <w:tcPr>
            <w:tcW w:w="1276" w:type="dxa"/>
            <w:vAlign w:val="center"/>
          </w:tcPr>
          <w:p w14:paraId="6326672B" w14:textId="0B5E244A" w:rsidR="00A55996" w:rsidRPr="00AC4363" w:rsidRDefault="003A07D3" w:rsidP="00CB7D6D">
            <w:pPr>
              <w:autoSpaceDE w:val="0"/>
              <w:autoSpaceDN w:val="0"/>
              <w:adjustRightInd w:val="0"/>
              <w:spacing w:after="0"/>
              <w:ind w:left="60" w:right="60"/>
              <w:contextualSpacing/>
              <w:rPr>
                <w:sz w:val="20"/>
                <w:szCs w:val="20"/>
              </w:rPr>
            </w:pPr>
            <w:r w:rsidRPr="00AC4363">
              <w:rPr>
                <w:sz w:val="20"/>
                <w:szCs w:val="20"/>
              </w:rPr>
              <w:t>0</w:t>
            </w:r>
            <w:r w:rsidR="00A55996" w:rsidRPr="00AC4363">
              <w:rPr>
                <w:sz w:val="20"/>
                <w:szCs w:val="20"/>
              </w:rPr>
              <w:t>.783</w:t>
            </w:r>
          </w:p>
        </w:tc>
        <w:tc>
          <w:tcPr>
            <w:tcW w:w="1843" w:type="dxa"/>
          </w:tcPr>
          <w:p w14:paraId="07C25C28" w14:textId="0A77903F" w:rsidR="00A55996" w:rsidRPr="00AC4363" w:rsidRDefault="00A55996" w:rsidP="008C3F14">
            <w:pPr>
              <w:autoSpaceDE w:val="0"/>
              <w:autoSpaceDN w:val="0"/>
              <w:adjustRightInd w:val="0"/>
              <w:spacing w:after="0"/>
              <w:ind w:right="60"/>
              <w:contextualSpacing/>
              <w:jc w:val="center"/>
              <w:rPr>
                <w:sz w:val="20"/>
                <w:szCs w:val="20"/>
              </w:rPr>
            </w:pPr>
            <w:r w:rsidRPr="00AC4363">
              <w:rPr>
                <w:sz w:val="20"/>
                <w:szCs w:val="20"/>
              </w:rPr>
              <w:t>0.638</w:t>
            </w:r>
          </w:p>
        </w:tc>
      </w:tr>
      <w:tr w:rsidR="008C3F14" w:rsidRPr="00AC4363" w14:paraId="3F278B6C" w14:textId="46560EB9" w:rsidTr="00AC4363">
        <w:trPr>
          <w:cantSplit/>
        </w:trPr>
        <w:tc>
          <w:tcPr>
            <w:tcW w:w="1276" w:type="dxa"/>
            <w:vAlign w:val="center"/>
          </w:tcPr>
          <w:p w14:paraId="5DEFB672" w14:textId="22C3C6FD" w:rsidR="00A55996" w:rsidRPr="00AC4363" w:rsidRDefault="00A55996" w:rsidP="00A47C1F">
            <w:pPr>
              <w:autoSpaceDE w:val="0"/>
              <w:autoSpaceDN w:val="0"/>
              <w:adjustRightInd w:val="0"/>
              <w:spacing w:after="0"/>
              <w:ind w:left="60" w:right="60"/>
              <w:contextualSpacing/>
              <w:rPr>
                <w:sz w:val="20"/>
                <w:szCs w:val="20"/>
              </w:rPr>
            </w:pPr>
            <w:r w:rsidRPr="00AC4363">
              <w:rPr>
                <w:sz w:val="20"/>
                <w:szCs w:val="20"/>
              </w:rPr>
              <w:t>Pensamiento</w:t>
            </w:r>
          </w:p>
        </w:tc>
        <w:tc>
          <w:tcPr>
            <w:tcW w:w="3686" w:type="dxa"/>
          </w:tcPr>
          <w:p w14:paraId="7FF4BF56" w14:textId="67DED11A" w:rsidR="00A55996" w:rsidRPr="00AC4363" w:rsidRDefault="00A55996" w:rsidP="00A47C1F">
            <w:pPr>
              <w:autoSpaceDE w:val="0"/>
              <w:autoSpaceDN w:val="0"/>
              <w:adjustRightInd w:val="0"/>
              <w:spacing w:after="0"/>
              <w:ind w:right="60"/>
              <w:rPr>
                <w:sz w:val="20"/>
                <w:szCs w:val="20"/>
              </w:rPr>
            </w:pPr>
            <w:r w:rsidRPr="00AC4363">
              <w:rPr>
                <w:sz w:val="20"/>
                <w:szCs w:val="20"/>
              </w:rPr>
              <w:t>Evaluación de la incertidumbre y el error</w:t>
            </w:r>
          </w:p>
        </w:tc>
        <w:tc>
          <w:tcPr>
            <w:tcW w:w="708" w:type="dxa"/>
            <w:vAlign w:val="center"/>
          </w:tcPr>
          <w:p w14:paraId="503727A1" w14:textId="513BD8B0" w:rsidR="00A55996" w:rsidRPr="00AC4363" w:rsidRDefault="00A55996" w:rsidP="00A47C1F">
            <w:pPr>
              <w:autoSpaceDE w:val="0"/>
              <w:autoSpaceDN w:val="0"/>
              <w:adjustRightInd w:val="0"/>
              <w:spacing w:after="0"/>
              <w:ind w:left="60" w:right="60"/>
              <w:contextualSpacing/>
              <w:rPr>
                <w:sz w:val="20"/>
                <w:szCs w:val="20"/>
              </w:rPr>
            </w:pPr>
          </w:p>
        </w:tc>
        <w:tc>
          <w:tcPr>
            <w:tcW w:w="1276" w:type="dxa"/>
            <w:vAlign w:val="center"/>
          </w:tcPr>
          <w:p w14:paraId="6EF81AC3" w14:textId="35A2DF7C" w:rsidR="00A55996" w:rsidRPr="00AC4363" w:rsidRDefault="003A07D3" w:rsidP="00CB7D6D">
            <w:pPr>
              <w:autoSpaceDE w:val="0"/>
              <w:autoSpaceDN w:val="0"/>
              <w:adjustRightInd w:val="0"/>
              <w:spacing w:after="0"/>
              <w:ind w:left="60" w:right="60"/>
              <w:contextualSpacing/>
              <w:rPr>
                <w:sz w:val="20"/>
                <w:szCs w:val="20"/>
              </w:rPr>
            </w:pPr>
            <w:r w:rsidRPr="00AC4363">
              <w:rPr>
                <w:sz w:val="20"/>
                <w:szCs w:val="20"/>
              </w:rPr>
              <w:t>0</w:t>
            </w:r>
            <w:r w:rsidR="00A55996" w:rsidRPr="00AC4363">
              <w:rPr>
                <w:sz w:val="20"/>
                <w:szCs w:val="20"/>
              </w:rPr>
              <w:t>.768</w:t>
            </w:r>
          </w:p>
        </w:tc>
        <w:tc>
          <w:tcPr>
            <w:tcW w:w="1843" w:type="dxa"/>
          </w:tcPr>
          <w:p w14:paraId="6E7F9EC7" w14:textId="27E589A5" w:rsidR="00A55996" w:rsidRPr="00AC4363" w:rsidRDefault="00A55996" w:rsidP="008C3F14">
            <w:pPr>
              <w:autoSpaceDE w:val="0"/>
              <w:autoSpaceDN w:val="0"/>
              <w:adjustRightInd w:val="0"/>
              <w:spacing w:after="0"/>
              <w:ind w:right="60"/>
              <w:contextualSpacing/>
              <w:jc w:val="center"/>
              <w:rPr>
                <w:sz w:val="20"/>
                <w:szCs w:val="20"/>
              </w:rPr>
            </w:pPr>
            <w:r w:rsidRPr="00AC4363">
              <w:rPr>
                <w:sz w:val="20"/>
                <w:szCs w:val="20"/>
              </w:rPr>
              <w:t>0.681</w:t>
            </w:r>
          </w:p>
        </w:tc>
      </w:tr>
      <w:tr w:rsidR="008C3F14" w:rsidRPr="00AC4363" w14:paraId="2A91AA2B" w14:textId="30FB34C0" w:rsidTr="00AC4363">
        <w:trPr>
          <w:cantSplit/>
        </w:trPr>
        <w:tc>
          <w:tcPr>
            <w:tcW w:w="1276" w:type="dxa"/>
            <w:vAlign w:val="center"/>
          </w:tcPr>
          <w:p w14:paraId="6B1C8D51" w14:textId="123AD071" w:rsidR="00A55996" w:rsidRPr="00AC4363" w:rsidRDefault="00F671D6" w:rsidP="00A47C1F">
            <w:pPr>
              <w:autoSpaceDE w:val="0"/>
              <w:autoSpaceDN w:val="0"/>
              <w:adjustRightInd w:val="0"/>
              <w:spacing w:after="0"/>
              <w:ind w:left="60" w:right="60"/>
              <w:contextualSpacing/>
              <w:rPr>
                <w:sz w:val="20"/>
                <w:szCs w:val="20"/>
              </w:rPr>
            </w:pPr>
            <w:r w:rsidRPr="00AC4363">
              <w:rPr>
                <w:sz w:val="20"/>
                <w:szCs w:val="20"/>
              </w:rPr>
              <w:t>c</w:t>
            </w:r>
            <w:r w:rsidR="00A55996" w:rsidRPr="00AC4363">
              <w:rPr>
                <w:sz w:val="20"/>
                <w:szCs w:val="20"/>
              </w:rPr>
              <w:t>omplejo</w:t>
            </w:r>
          </w:p>
        </w:tc>
        <w:tc>
          <w:tcPr>
            <w:tcW w:w="3686" w:type="dxa"/>
          </w:tcPr>
          <w:p w14:paraId="7275EB67" w14:textId="2AFA8E09" w:rsidR="00A55996" w:rsidRPr="00AC4363" w:rsidRDefault="00A55996" w:rsidP="00A47C1F">
            <w:pPr>
              <w:autoSpaceDE w:val="0"/>
              <w:autoSpaceDN w:val="0"/>
              <w:adjustRightInd w:val="0"/>
              <w:spacing w:after="0"/>
              <w:ind w:right="60"/>
              <w:rPr>
                <w:sz w:val="20"/>
                <w:szCs w:val="20"/>
              </w:rPr>
            </w:pPr>
            <w:r w:rsidRPr="00AC4363">
              <w:rPr>
                <w:sz w:val="20"/>
                <w:szCs w:val="20"/>
              </w:rPr>
              <w:t>Principio de emergencia</w:t>
            </w:r>
          </w:p>
        </w:tc>
        <w:tc>
          <w:tcPr>
            <w:tcW w:w="708" w:type="dxa"/>
            <w:vAlign w:val="center"/>
          </w:tcPr>
          <w:p w14:paraId="41664986" w14:textId="6B5D398E" w:rsidR="00A55996" w:rsidRPr="00AC4363" w:rsidRDefault="00A55996" w:rsidP="00A47C1F">
            <w:pPr>
              <w:autoSpaceDE w:val="0"/>
              <w:autoSpaceDN w:val="0"/>
              <w:adjustRightInd w:val="0"/>
              <w:spacing w:after="0"/>
              <w:ind w:left="60" w:right="60"/>
              <w:contextualSpacing/>
              <w:rPr>
                <w:sz w:val="20"/>
                <w:szCs w:val="20"/>
              </w:rPr>
            </w:pPr>
          </w:p>
        </w:tc>
        <w:tc>
          <w:tcPr>
            <w:tcW w:w="1276" w:type="dxa"/>
            <w:vAlign w:val="center"/>
          </w:tcPr>
          <w:p w14:paraId="0C1F5F24" w14:textId="44645F27" w:rsidR="00A55996" w:rsidRPr="00AC4363" w:rsidRDefault="003A07D3" w:rsidP="00CB7D6D">
            <w:pPr>
              <w:autoSpaceDE w:val="0"/>
              <w:autoSpaceDN w:val="0"/>
              <w:adjustRightInd w:val="0"/>
              <w:spacing w:after="0"/>
              <w:ind w:left="60" w:right="60"/>
              <w:contextualSpacing/>
              <w:rPr>
                <w:sz w:val="20"/>
                <w:szCs w:val="20"/>
              </w:rPr>
            </w:pPr>
            <w:r w:rsidRPr="00AC4363">
              <w:rPr>
                <w:sz w:val="20"/>
                <w:szCs w:val="20"/>
              </w:rPr>
              <w:t>0</w:t>
            </w:r>
            <w:r w:rsidR="00A55996" w:rsidRPr="00AC4363">
              <w:rPr>
                <w:sz w:val="20"/>
                <w:szCs w:val="20"/>
              </w:rPr>
              <w:t>.767</w:t>
            </w:r>
          </w:p>
        </w:tc>
        <w:tc>
          <w:tcPr>
            <w:tcW w:w="1843" w:type="dxa"/>
          </w:tcPr>
          <w:p w14:paraId="3023785A" w14:textId="2BDE40BB" w:rsidR="00A55996" w:rsidRPr="00AC4363" w:rsidRDefault="00A55996" w:rsidP="008C3F14">
            <w:pPr>
              <w:autoSpaceDE w:val="0"/>
              <w:autoSpaceDN w:val="0"/>
              <w:adjustRightInd w:val="0"/>
              <w:spacing w:after="0"/>
              <w:ind w:right="60"/>
              <w:contextualSpacing/>
              <w:jc w:val="center"/>
              <w:rPr>
                <w:sz w:val="20"/>
                <w:szCs w:val="20"/>
              </w:rPr>
            </w:pPr>
            <w:r w:rsidRPr="00AC4363">
              <w:rPr>
                <w:sz w:val="20"/>
                <w:szCs w:val="20"/>
              </w:rPr>
              <w:t>0.645</w:t>
            </w:r>
          </w:p>
        </w:tc>
      </w:tr>
      <w:tr w:rsidR="008C3F14" w:rsidRPr="00AC4363" w14:paraId="0C0E7C96" w14:textId="5BCCDCED" w:rsidTr="00AC4363">
        <w:trPr>
          <w:cantSplit/>
        </w:trPr>
        <w:tc>
          <w:tcPr>
            <w:tcW w:w="1276" w:type="dxa"/>
            <w:vAlign w:val="center"/>
          </w:tcPr>
          <w:p w14:paraId="3139EF0A" w14:textId="34B11C2E" w:rsidR="00A55996" w:rsidRPr="00AC4363" w:rsidRDefault="00A55996" w:rsidP="00A47C1F">
            <w:pPr>
              <w:autoSpaceDE w:val="0"/>
              <w:autoSpaceDN w:val="0"/>
              <w:adjustRightInd w:val="0"/>
              <w:spacing w:after="0"/>
              <w:ind w:left="60" w:right="60"/>
              <w:contextualSpacing/>
              <w:rPr>
                <w:sz w:val="20"/>
                <w:szCs w:val="20"/>
              </w:rPr>
            </w:pPr>
          </w:p>
        </w:tc>
        <w:tc>
          <w:tcPr>
            <w:tcW w:w="3686" w:type="dxa"/>
            <w:vAlign w:val="center"/>
          </w:tcPr>
          <w:p w14:paraId="6D0212C9" w14:textId="06427A7D" w:rsidR="00A55996" w:rsidRPr="00AC4363" w:rsidRDefault="00A55996" w:rsidP="00A47C1F">
            <w:pPr>
              <w:autoSpaceDE w:val="0"/>
              <w:autoSpaceDN w:val="0"/>
              <w:adjustRightInd w:val="0"/>
              <w:spacing w:after="0"/>
              <w:ind w:right="60"/>
              <w:rPr>
                <w:sz w:val="20"/>
                <w:szCs w:val="20"/>
              </w:rPr>
            </w:pPr>
            <w:r w:rsidRPr="00AC4363">
              <w:rPr>
                <w:sz w:val="20"/>
                <w:szCs w:val="20"/>
              </w:rPr>
              <w:t>Integración de la retroalimentación</w:t>
            </w:r>
          </w:p>
        </w:tc>
        <w:tc>
          <w:tcPr>
            <w:tcW w:w="708" w:type="dxa"/>
            <w:vAlign w:val="center"/>
          </w:tcPr>
          <w:p w14:paraId="16942E0C" w14:textId="30D4C122" w:rsidR="00A55996" w:rsidRPr="00AC4363" w:rsidRDefault="00A55996" w:rsidP="00A47C1F">
            <w:pPr>
              <w:autoSpaceDE w:val="0"/>
              <w:autoSpaceDN w:val="0"/>
              <w:adjustRightInd w:val="0"/>
              <w:spacing w:after="0"/>
              <w:ind w:left="60" w:right="60"/>
              <w:contextualSpacing/>
              <w:rPr>
                <w:sz w:val="20"/>
                <w:szCs w:val="20"/>
              </w:rPr>
            </w:pPr>
          </w:p>
        </w:tc>
        <w:tc>
          <w:tcPr>
            <w:tcW w:w="1276" w:type="dxa"/>
            <w:vAlign w:val="center"/>
          </w:tcPr>
          <w:p w14:paraId="4DB74CEA" w14:textId="59A34378" w:rsidR="00A55996" w:rsidRPr="00AC4363" w:rsidRDefault="003A07D3" w:rsidP="00CB7D6D">
            <w:pPr>
              <w:autoSpaceDE w:val="0"/>
              <w:autoSpaceDN w:val="0"/>
              <w:adjustRightInd w:val="0"/>
              <w:spacing w:after="0"/>
              <w:ind w:left="60" w:right="60"/>
              <w:contextualSpacing/>
              <w:rPr>
                <w:sz w:val="20"/>
                <w:szCs w:val="20"/>
              </w:rPr>
            </w:pPr>
            <w:r w:rsidRPr="00AC4363">
              <w:rPr>
                <w:sz w:val="20"/>
                <w:szCs w:val="20"/>
              </w:rPr>
              <w:t>0</w:t>
            </w:r>
            <w:r w:rsidR="00A55996" w:rsidRPr="00AC4363">
              <w:rPr>
                <w:sz w:val="20"/>
                <w:szCs w:val="20"/>
              </w:rPr>
              <w:t>.744</w:t>
            </w:r>
          </w:p>
        </w:tc>
        <w:tc>
          <w:tcPr>
            <w:tcW w:w="1843" w:type="dxa"/>
          </w:tcPr>
          <w:p w14:paraId="5D444DD5" w14:textId="08660BD8" w:rsidR="00A55996" w:rsidRPr="00AC4363" w:rsidRDefault="00A55996" w:rsidP="008C3F14">
            <w:pPr>
              <w:autoSpaceDE w:val="0"/>
              <w:autoSpaceDN w:val="0"/>
              <w:adjustRightInd w:val="0"/>
              <w:spacing w:after="0"/>
              <w:ind w:right="60"/>
              <w:contextualSpacing/>
              <w:jc w:val="center"/>
              <w:rPr>
                <w:sz w:val="20"/>
                <w:szCs w:val="20"/>
              </w:rPr>
            </w:pPr>
            <w:r w:rsidRPr="00AC4363">
              <w:rPr>
                <w:sz w:val="20"/>
                <w:szCs w:val="20"/>
              </w:rPr>
              <w:t>0.724</w:t>
            </w:r>
          </w:p>
        </w:tc>
      </w:tr>
      <w:tr w:rsidR="008C3F14" w:rsidRPr="00AC4363" w14:paraId="63FE734E" w14:textId="206AC723" w:rsidTr="00AC4363">
        <w:trPr>
          <w:cantSplit/>
        </w:trPr>
        <w:tc>
          <w:tcPr>
            <w:tcW w:w="1276" w:type="dxa"/>
            <w:vAlign w:val="center"/>
          </w:tcPr>
          <w:p w14:paraId="22CE3639" w14:textId="1D6C5855" w:rsidR="00A55996" w:rsidRPr="00AC4363" w:rsidRDefault="00A55996" w:rsidP="00A55996">
            <w:pPr>
              <w:autoSpaceDE w:val="0"/>
              <w:autoSpaceDN w:val="0"/>
              <w:adjustRightInd w:val="0"/>
              <w:spacing w:after="0"/>
              <w:ind w:left="60" w:right="60"/>
              <w:contextualSpacing/>
              <w:rPr>
                <w:sz w:val="20"/>
                <w:szCs w:val="20"/>
              </w:rPr>
            </w:pPr>
          </w:p>
        </w:tc>
        <w:tc>
          <w:tcPr>
            <w:tcW w:w="3686" w:type="dxa"/>
          </w:tcPr>
          <w:p w14:paraId="696C8219" w14:textId="603697D4" w:rsidR="00A55996" w:rsidRPr="00AC4363" w:rsidRDefault="00A55996" w:rsidP="00A55996">
            <w:pPr>
              <w:autoSpaceDE w:val="0"/>
              <w:autoSpaceDN w:val="0"/>
              <w:adjustRightInd w:val="0"/>
              <w:spacing w:after="0"/>
              <w:ind w:right="60"/>
              <w:rPr>
                <w:sz w:val="20"/>
                <w:szCs w:val="20"/>
              </w:rPr>
            </w:pPr>
            <w:r w:rsidRPr="00AC4363">
              <w:rPr>
                <w:sz w:val="20"/>
                <w:szCs w:val="20"/>
              </w:rPr>
              <w:t>Capacidad holista de análisis y síntesis</w:t>
            </w:r>
          </w:p>
        </w:tc>
        <w:tc>
          <w:tcPr>
            <w:tcW w:w="708" w:type="dxa"/>
            <w:vAlign w:val="center"/>
          </w:tcPr>
          <w:p w14:paraId="5C02F73B" w14:textId="03979645" w:rsidR="00A55996" w:rsidRPr="00AC4363" w:rsidRDefault="00A55996" w:rsidP="00A55996">
            <w:pPr>
              <w:autoSpaceDE w:val="0"/>
              <w:autoSpaceDN w:val="0"/>
              <w:adjustRightInd w:val="0"/>
              <w:spacing w:after="0"/>
              <w:ind w:left="60" w:right="60"/>
              <w:contextualSpacing/>
              <w:rPr>
                <w:sz w:val="20"/>
                <w:szCs w:val="20"/>
              </w:rPr>
            </w:pPr>
          </w:p>
        </w:tc>
        <w:tc>
          <w:tcPr>
            <w:tcW w:w="1276" w:type="dxa"/>
            <w:vAlign w:val="center"/>
          </w:tcPr>
          <w:p w14:paraId="78D37A0E" w14:textId="67602670" w:rsidR="00A55996" w:rsidRPr="00AC4363" w:rsidRDefault="003A07D3" w:rsidP="00CB7D6D">
            <w:pPr>
              <w:autoSpaceDE w:val="0"/>
              <w:autoSpaceDN w:val="0"/>
              <w:adjustRightInd w:val="0"/>
              <w:spacing w:after="0"/>
              <w:ind w:left="60" w:right="60"/>
              <w:contextualSpacing/>
              <w:rPr>
                <w:sz w:val="20"/>
                <w:szCs w:val="20"/>
              </w:rPr>
            </w:pPr>
            <w:r w:rsidRPr="00AC4363">
              <w:rPr>
                <w:sz w:val="20"/>
                <w:szCs w:val="20"/>
              </w:rPr>
              <w:t>0</w:t>
            </w:r>
            <w:r w:rsidR="00A55996" w:rsidRPr="00AC4363">
              <w:rPr>
                <w:sz w:val="20"/>
                <w:szCs w:val="20"/>
              </w:rPr>
              <w:t>.730</w:t>
            </w:r>
          </w:p>
        </w:tc>
        <w:tc>
          <w:tcPr>
            <w:tcW w:w="1843" w:type="dxa"/>
          </w:tcPr>
          <w:p w14:paraId="3B664CA0" w14:textId="4DE12300" w:rsidR="00A55996" w:rsidRPr="00AC4363" w:rsidRDefault="00A55996" w:rsidP="008C3F14">
            <w:pPr>
              <w:autoSpaceDE w:val="0"/>
              <w:autoSpaceDN w:val="0"/>
              <w:adjustRightInd w:val="0"/>
              <w:spacing w:after="0"/>
              <w:ind w:right="60"/>
              <w:contextualSpacing/>
              <w:jc w:val="center"/>
              <w:rPr>
                <w:sz w:val="20"/>
                <w:szCs w:val="20"/>
              </w:rPr>
            </w:pPr>
            <w:r w:rsidRPr="00AC4363">
              <w:rPr>
                <w:sz w:val="20"/>
                <w:szCs w:val="20"/>
              </w:rPr>
              <w:t>0.702</w:t>
            </w:r>
          </w:p>
        </w:tc>
      </w:tr>
    </w:tbl>
    <w:p w14:paraId="38B17B2C" w14:textId="381F3721" w:rsidR="00653385" w:rsidRPr="00AC4363" w:rsidRDefault="004A4F22" w:rsidP="00AC4363">
      <w:pPr>
        <w:spacing w:after="0" w:line="360" w:lineRule="auto"/>
        <w:jc w:val="center"/>
      </w:pPr>
      <w:r w:rsidRPr="00AC4363">
        <w:rPr>
          <w:i/>
          <w:iCs/>
        </w:rPr>
        <w:t>Nota.</w:t>
      </w:r>
      <w:r w:rsidRPr="00AC4363">
        <w:t xml:space="preserve"> </w:t>
      </w:r>
      <w:r w:rsidRPr="00AC4363">
        <w:rPr>
          <w:i/>
          <w:iCs/>
        </w:rPr>
        <w:t>N</w:t>
      </w:r>
      <w:r w:rsidRPr="00AC4363">
        <w:t xml:space="preserve"> = 337. Método de extracción en la segunda rotación Varimax. Las cargas factoriales arriba de 0.5 se aprecian en negritas. </w:t>
      </w:r>
      <w:r w:rsidR="006B2B5A" w:rsidRPr="00AC4363">
        <w:rPr>
          <w:color w:val="000000"/>
        </w:rPr>
        <w:t>La rotación converg</w:t>
      </w:r>
      <w:r w:rsidR="00DB2852" w:rsidRPr="00AC4363">
        <w:rPr>
          <w:color w:val="000000"/>
        </w:rPr>
        <w:t>ió</w:t>
      </w:r>
      <w:r w:rsidR="006B2B5A" w:rsidRPr="00AC4363">
        <w:rPr>
          <w:color w:val="000000"/>
        </w:rPr>
        <w:t xml:space="preserve"> en 3 iteraciones.</w:t>
      </w:r>
    </w:p>
    <w:p w14:paraId="36A7F5B7" w14:textId="5F7E68E5" w:rsidR="00A55996" w:rsidRPr="00A47C1F" w:rsidRDefault="00F73F39" w:rsidP="0037717A">
      <w:pPr>
        <w:spacing w:after="0" w:line="360" w:lineRule="auto"/>
        <w:ind w:firstLine="708"/>
        <w:jc w:val="both"/>
      </w:pPr>
      <w:r>
        <w:t xml:space="preserve">Se observa también que la variables latente </w:t>
      </w:r>
      <w:r w:rsidRPr="00FD471C">
        <w:rPr>
          <w:i/>
          <w:iCs/>
        </w:rPr>
        <w:t>Pensamiento complejo</w:t>
      </w:r>
      <w:r w:rsidR="00CB7D6D">
        <w:t xml:space="preserve"> sigue</w:t>
      </w:r>
      <w:r>
        <w:t xml:space="preserve"> conserva</w:t>
      </w:r>
      <w:r w:rsidR="00CB7D6D">
        <w:t>ndo</w:t>
      </w:r>
      <w:r>
        <w:t xml:space="preserve"> todas sus variables no observa</w:t>
      </w:r>
      <w:r w:rsidR="008C3F14">
        <w:t>bles</w:t>
      </w:r>
      <w:r w:rsidR="00780F85">
        <w:t xml:space="preserve">, denotando la importancia que tiene esta variable en la formación de </w:t>
      </w:r>
      <w:proofErr w:type="gramStart"/>
      <w:r w:rsidR="00780F85">
        <w:t>ingenieros</w:t>
      </w:r>
      <w:r w:rsidR="00EA3C2E">
        <w:t xml:space="preserve"> </w:t>
      </w:r>
      <w:r w:rsidR="00780F85">
        <w:t>.</w:t>
      </w:r>
      <w:bookmarkStart w:id="1" w:name="_Hlk190878559"/>
      <w:proofErr w:type="gramEnd"/>
    </w:p>
    <w:p w14:paraId="494B933C" w14:textId="77777777" w:rsidR="00913F75" w:rsidRDefault="00913F75" w:rsidP="00FD471C">
      <w:pPr>
        <w:spacing w:after="0" w:line="360" w:lineRule="auto"/>
        <w:rPr>
          <w:b/>
          <w:bCs/>
        </w:rPr>
      </w:pPr>
    </w:p>
    <w:p w14:paraId="662C407C" w14:textId="6DEEB911" w:rsidR="00F0462A" w:rsidRPr="00D945F3" w:rsidRDefault="00BA5993" w:rsidP="00D945F3">
      <w:pPr>
        <w:spacing w:after="0" w:line="360" w:lineRule="auto"/>
        <w:jc w:val="center"/>
        <w:rPr>
          <w:b/>
          <w:bCs/>
          <w:sz w:val="28"/>
          <w:szCs w:val="28"/>
        </w:rPr>
      </w:pPr>
      <w:r w:rsidRPr="00D945F3">
        <w:rPr>
          <w:b/>
          <w:bCs/>
          <w:sz w:val="28"/>
          <w:szCs w:val="28"/>
        </w:rPr>
        <w:lastRenderedPageBreak/>
        <w:t xml:space="preserve">Análisis </w:t>
      </w:r>
      <w:r w:rsidR="00D36BE2" w:rsidRPr="00D945F3">
        <w:rPr>
          <w:b/>
          <w:bCs/>
          <w:sz w:val="28"/>
          <w:szCs w:val="28"/>
        </w:rPr>
        <w:t>f</w:t>
      </w:r>
      <w:r w:rsidRPr="00D945F3">
        <w:rPr>
          <w:b/>
          <w:bCs/>
          <w:sz w:val="28"/>
          <w:szCs w:val="28"/>
        </w:rPr>
        <w:t xml:space="preserve">actorial </w:t>
      </w:r>
      <w:r w:rsidR="00D36BE2" w:rsidRPr="00D945F3">
        <w:rPr>
          <w:b/>
          <w:bCs/>
          <w:sz w:val="28"/>
          <w:szCs w:val="28"/>
        </w:rPr>
        <w:t>e</w:t>
      </w:r>
      <w:r w:rsidRPr="00D945F3">
        <w:rPr>
          <w:b/>
          <w:bCs/>
          <w:sz w:val="28"/>
          <w:szCs w:val="28"/>
        </w:rPr>
        <w:t xml:space="preserve">xploratorio de la </w:t>
      </w:r>
      <w:r w:rsidR="00D36BE2" w:rsidRPr="00D945F3">
        <w:rPr>
          <w:b/>
          <w:bCs/>
          <w:sz w:val="28"/>
          <w:szCs w:val="28"/>
        </w:rPr>
        <w:t>d</w:t>
      </w:r>
      <w:r w:rsidRPr="00D945F3">
        <w:rPr>
          <w:b/>
          <w:bCs/>
          <w:sz w:val="28"/>
          <w:szCs w:val="28"/>
        </w:rPr>
        <w:t xml:space="preserve">imensión </w:t>
      </w:r>
      <w:r w:rsidR="00D36BE2" w:rsidRPr="00D945F3">
        <w:rPr>
          <w:b/>
          <w:bCs/>
          <w:sz w:val="28"/>
          <w:szCs w:val="28"/>
        </w:rPr>
        <w:t xml:space="preserve">Capacidad de resolución de </w:t>
      </w:r>
      <w:r w:rsidR="00226D9C" w:rsidRPr="00D945F3">
        <w:rPr>
          <w:b/>
          <w:bCs/>
          <w:sz w:val="28"/>
          <w:szCs w:val="28"/>
        </w:rPr>
        <w:t>p</w:t>
      </w:r>
      <w:r w:rsidRPr="00D945F3">
        <w:rPr>
          <w:b/>
          <w:bCs/>
          <w:sz w:val="28"/>
          <w:szCs w:val="28"/>
        </w:rPr>
        <w:t>roblemas</w:t>
      </w:r>
    </w:p>
    <w:bookmarkEnd w:id="1"/>
    <w:p w14:paraId="47DD3C25" w14:textId="202A4138" w:rsidR="005A0242" w:rsidRDefault="00C47B05" w:rsidP="005A0242">
      <w:pPr>
        <w:spacing w:after="0" w:line="360" w:lineRule="auto"/>
        <w:ind w:right="-714" w:firstLine="708"/>
        <w:jc w:val="both"/>
      </w:pPr>
      <w:r>
        <w:rPr>
          <w:color w:val="000000"/>
        </w:rPr>
        <w:t xml:space="preserve">La primera reducción de factores para la dimensión de las variables latentes agrupadas en la dimensión </w:t>
      </w:r>
      <w:r w:rsidRPr="00FD471C">
        <w:rPr>
          <w:i/>
          <w:iCs/>
          <w:color w:val="000000"/>
        </w:rPr>
        <w:t xml:space="preserve">Resolver </w:t>
      </w:r>
      <w:r w:rsidR="00F86A3A">
        <w:rPr>
          <w:i/>
          <w:iCs/>
          <w:color w:val="000000"/>
        </w:rPr>
        <w:t>p</w:t>
      </w:r>
      <w:r w:rsidRPr="00FD471C">
        <w:rPr>
          <w:i/>
          <w:iCs/>
          <w:color w:val="000000"/>
        </w:rPr>
        <w:t xml:space="preserve">roblemas </w:t>
      </w:r>
      <w:r w:rsidR="00F86A3A">
        <w:rPr>
          <w:i/>
          <w:iCs/>
          <w:color w:val="000000"/>
        </w:rPr>
        <w:t>c</w:t>
      </w:r>
      <w:r w:rsidRPr="00FD471C">
        <w:rPr>
          <w:i/>
          <w:iCs/>
          <w:color w:val="000000"/>
        </w:rPr>
        <w:t>omplejos</w:t>
      </w:r>
      <w:r>
        <w:rPr>
          <w:color w:val="000000"/>
        </w:rPr>
        <w:t xml:space="preserve"> se presenta en la Tabla </w:t>
      </w:r>
      <w:r w:rsidR="00A85514">
        <w:rPr>
          <w:color w:val="000000"/>
        </w:rPr>
        <w:t>7</w:t>
      </w:r>
      <w:r>
        <w:rPr>
          <w:color w:val="000000"/>
        </w:rPr>
        <w:t>.</w:t>
      </w:r>
      <w:r w:rsidR="00A80630">
        <w:rPr>
          <w:color w:val="000000"/>
        </w:rPr>
        <w:t xml:space="preserve"> </w:t>
      </w:r>
      <w:r w:rsidR="00A80630">
        <w:t xml:space="preserve">En esta primera reducción de dimensionalidad se observa que la variable latente </w:t>
      </w:r>
      <w:r w:rsidR="00A80630" w:rsidRPr="00A80630">
        <w:rPr>
          <w:i/>
          <w:iCs/>
        </w:rPr>
        <w:t>Aprendizaje autónomo y autorregulado</w:t>
      </w:r>
      <w:r w:rsidR="00A80630">
        <w:t xml:space="preserve"> mantiene todas sus variables latentes con cargas factoriales apropiadas. Las variables mostradas </w:t>
      </w:r>
      <w:r w:rsidR="00934D6E">
        <w:t>con asterisco</w:t>
      </w:r>
      <w:r w:rsidR="00A80630">
        <w:t xml:space="preserve"> se eliminan para realizar el segundo AFC.</w:t>
      </w:r>
      <w:r w:rsidR="005A0242">
        <w:t xml:space="preserve"> </w:t>
      </w:r>
    </w:p>
    <w:p w14:paraId="16548E90" w14:textId="77777777" w:rsidR="00AC4363" w:rsidRPr="005A0242" w:rsidRDefault="00AC4363" w:rsidP="005A0242">
      <w:pPr>
        <w:spacing w:after="0" w:line="360" w:lineRule="auto"/>
        <w:ind w:right="-714" w:firstLine="708"/>
        <w:jc w:val="both"/>
      </w:pPr>
    </w:p>
    <w:p w14:paraId="1D970EF3" w14:textId="270F5D58" w:rsidR="00F64BCD" w:rsidRPr="00CB7D6D" w:rsidRDefault="00F64BCD" w:rsidP="00AC4363">
      <w:pPr>
        <w:ind w:right="-713"/>
        <w:jc w:val="center"/>
        <w:rPr>
          <w:i/>
          <w:iCs/>
          <w:color w:val="000000"/>
        </w:rPr>
      </w:pPr>
      <w:r w:rsidRPr="00CB7D6D">
        <w:rPr>
          <w:b/>
          <w:bCs/>
          <w:color w:val="000000"/>
        </w:rPr>
        <w:t xml:space="preserve">Tabla </w:t>
      </w:r>
      <w:r w:rsidR="00A85514">
        <w:rPr>
          <w:b/>
          <w:bCs/>
          <w:color w:val="000000"/>
        </w:rPr>
        <w:t>7</w:t>
      </w:r>
      <w:r w:rsidR="00AC4363">
        <w:rPr>
          <w:b/>
          <w:bCs/>
          <w:color w:val="000000"/>
        </w:rPr>
        <w:t xml:space="preserve">. </w:t>
      </w:r>
      <w:r w:rsidR="007F403E" w:rsidRPr="00AC4363">
        <w:rPr>
          <w:color w:val="000000"/>
        </w:rPr>
        <w:t>Cargas factoriales</w:t>
      </w:r>
      <w:r w:rsidRPr="00AC4363">
        <w:rPr>
          <w:color w:val="000000"/>
        </w:rPr>
        <w:t xml:space="preserve"> de la dimensión Resolver </w:t>
      </w:r>
      <w:r w:rsidR="00226D9C" w:rsidRPr="00AC4363">
        <w:rPr>
          <w:color w:val="000000"/>
        </w:rPr>
        <w:t>p</w:t>
      </w:r>
      <w:r w:rsidRPr="00AC4363">
        <w:rPr>
          <w:color w:val="000000"/>
        </w:rPr>
        <w:t xml:space="preserve">roblemas </w:t>
      </w:r>
      <w:r w:rsidR="00226D9C" w:rsidRPr="00AC4363">
        <w:rPr>
          <w:color w:val="000000"/>
        </w:rPr>
        <w:t>c</w:t>
      </w:r>
      <w:r w:rsidRPr="00AC4363">
        <w:rPr>
          <w:color w:val="000000"/>
        </w:rPr>
        <w:t>omplejos</w:t>
      </w:r>
    </w:p>
    <w:tbl>
      <w:tblPr>
        <w:tblStyle w:val="Tablaconcuadrcula"/>
        <w:tblW w:w="0" w:type="auto"/>
        <w:tblLook w:val="04A0" w:firstRow="1" w:lastRow="0" w:firstColumn="1" w:lastColumn="0" w:noHBand="0" w:noVBand="1"/>
      </w:tblPr>
      <w:tblGrid>
        <w:gridCol w:w="1512"/>
        <w:gridCol w:w="3491"/>
        <w:gridCol w:w="800"/>
        <w:gridCol w:w="898"/>
        <w:gridCol w:w="666"/>
        <w:gridCol w:w="1461"/>
      </w:tblGrid>
      <w:tr w:rsidR="0002691D" w:rsidRPr="00AC4363" w14:paraId="4C6CB6E2" w14:textId="20308D7C" w:rsidTr="00AC4363">
        <w:trPr>
          <w:trHeight w:val="506"/>
        </w:trPr>
        <w:tc>
          <w:tcPr>
            <w:tcW w:w="1560" w:type="dxa"/>
            <w:vMerge w:val="restart"/>
          </w:tcPr>
          <w:p w14:paraId="2596A4E7" w14:textId="77777777" w:rsidR="0002691D" w:rsidRPr="00AC4363" w:rsidRDefault="0002691D" w:rsidP="00F671D6">
            <w:pPr>
              <w:spacing w:after="0"/>
              <w:contextualSpacing/>
              <w:rPr>
                <w:sz w:val="20"/>
                <w:szCs w:val="20"/>
              </w:rPr>
            </w:pPr>
          </w:p>
          <w:p w14:paraId="23636516" w14:textId="5A23D6E1" w:rsidR="0002691D" w:rsidRPr="00AC4363" w:rsidRDefault="0002691D" w:rsidP="00F671D6">
            <w:pPr>
              <w:spacing w:after="0"/>
              <w:contextualSpacing/>
              <w:rPr>
                <w:sz w:val="20"/>
                <w:szCs w:val="20"/>
              </w:rPr>
            </w:pPr>
            <w:r w:rsidRPr="00AC4363">
              <w:rPr>
                <w:sz w:val="20"/>
                <w:szCs w:val="20"/>
              </w:rPr>
              <w:t xml:space="preserve">Variables </w:t>
            </w:r>
            <w:r w:rsidR="00F671D6" w:rsidRPr="00AC4363">
              <w:rPr>
                <w:sz w:val="20"/>
                <w:szCs w:val="20"/>
              </w:rPr>
              <w:t>l</w:t>
            </w:r>
            <w:r w:rsidRPr="00AC4363">
              <w:rPr>
                <w:sz w:val="20"/>
                <w:szCs w:val="20"/>
              </w:rPr>
              <w:t>atentes</w:t>
            </w:r>
          </w:p>
        </w:tc>
        <w:tc>
          <w:tcPr>
            <w:tcW w:w="4252" w:type="dxa"/>
            <w:vMerge w:val="restart"/>
          </w:tcPr>
          <w:p w14:paraId="195C51F8" w14:textId="77777777" w:rsidR="0002691D" w:rsidRPr="00AC4363" w:rsidRDefault="0002691D" w:rsidP="00F671D6">
            <w:pPr>
              <w:spacing w:after="0"/>
              <w:contextualSpacing/>
              <w:rPr>
                <w:sz w:val="20"/>
                <w:szCs w:val="20"/>
              </w:rPr>
            </w:pPr>
          </w:p>
          <w:p w14:paraId="107565E0" w14:textId="0E226FB3" w:rsidR="0002691D" w:rsidRPr="00AC4363" w:rsidRDefault="0002691D" w:rsidP="00F671D6">
            <w:pPr>
              <w:spacing w:after="0"/>
              <w:contextualSpacing/>
              <w:rPr>
                <w:sz w:val="20"/>
                <w:szCs w:val="20"/>
              </w:rPr>
            </w:pPr>
            <w:r w:rsidRPr="00AC4363">
              <w:rPr>
                <w:sz w:val="20"/>
                <w:szCs w:val="20"/>
              </w:rPr>
              <w:t xml:space="preserve">Variables </w:t>
            </w:r>
            <w:r w:rsidR="00F671D6" w:rsidRPr="00AC4363">
              <w:rPr>
                <w:sz w:val="20"/>
                <w:szCs w:val="20"/>
              </w:rPr>
              <w:t>o</w:t>
            </w:r>
            <w:r w:rsidRPr="00AC4363">
              <w:rPr>
                <w:sz w:val="20"/>
                <w:szCs w:val="20"/>
              </w:rPr>
              <w:t>bserva</w:t>
            </w:r>
            <w:r w:rsidR="00F671D6" w:rsidRPr="00AC4363">
              <w:rPr>
                <w:sz w:val="20"/>
                <w:szCs w:val="20"/>
              </w:rPr>
              <w:t>bles</w:t>
            </w:r>
            <w:r w:rsidR="004E1F3E" w:rsidRPr="00AC4363">
              <w:rPr>
                <w:sz w:val="20"/>
                <w:szCs w:val="20"/>
              </w:rPr>
              <w:t xml:space="preserve"> o </w:t>
            </w:r>
            <w:r w:rsidR="00F671D6" w:rsidRPr="00AC4363">
              <w:rPr>
                <w:sz w:val="20"/>
                <w:szCs w:val="20"/>
              </w:rPr>
              <w:t>í</w:t>
            </w:r>
            <w:r w:rsidR="004E1F3E" w:rsidRPr="00AC4363">
              <w:rPr>
                <w:sz w:val="20"/>
                <w:szCs w:val="20"/>
              </w:rPr>
              <w:t>tems</w:t>
            </w:r>
          </w:p>
        </w:tc>
        <w:tc>
          <w:tcPr>
            <w:tcW w:w="2410" w:type="dxa"/>
            <w:gridSpan w:val="3"/>
          </w:tcPr>
          <w:p w14:paraId="02D1F9E7" w14:textId="7CBE2BBE" w:rsidR="0002691D" w:rsidRPr="00AC4363" w:rsidRDefault="0002691D" w:rsidP="00F671D6">
            <w:pPr>
              <w:spacing w:after="0"/>
              <w:contextualSpacing/>
              <w:jc w:val="center"/>
              <w:rPr>
                <w:color w:val="000000"/>
                <w:sz w:val="20"/>
                <w:szCs w:val="20"/>
              </w:rPr>
            </w:pPr>
            <w:r w:rsidRPr="00AC4363">
              <w:rPr>
                <w:color w:val="000000"/>
                <w:sz w:val="20"/>
                <w:szCs w:val="20"/>
              </w:rPr>
              <w:t xml:space="preserve">Cargas </w:t>
            </w:r>
            <w:r w:rsidR="00F671D6" w:rsidRPr="00AC4363">
              <w:rPr>
                <w:color w:val="000000"/>
                <w:sz w:val="20"/>
                <w:szCs w:val="20"/>
              </w:rPr>
              <w:t>f</w:t>
            </w:r>
            <w:r w:rsidRPr="00AC4363">
              <w:rPr>
                <w:color w:val="000000"/>
                <w:sz w:val="20"/>
                <w:szCs w:val="20"/>
              </w:rPr>
              <w:t xml:space="preserve">actoriales de </w:t>
            </w:r>
            <w:r w:rsidR="00F671D6" w:rsidRPr="00AC4363">
              <w:rPr>
                <w:color w:val="000000"/>
                <w:sz w:val="20"/>
                <w:szCs w:val="20"/>
              </w:rPr>
              <w:t>c</w:t>
            </w:r>
            <w:r w:rsidRPr="00AC4363">
              <w:rPr>
                <w:color w:val="000000"/>
                <w:sz w:val="20"/>
                <w:szCs w:val="20"/>
              </w:rPr>
              <w:t xml:space="preserve">omponentes </w:t>
            </w:r>
            <w:r w:rsidR="00F671D6" w:rsidRPr="00AC4363">
              <w:rPr>
                <w:color w:val="000000"/>
                <w:sz w:val="20"/>
                <w:szCs w:val="20"/>
              </w:rPr>
              <w:t>r</w:t>
            </w:r>
            <w:r w:rsidRPr="00AC4363">
              <w:rPr>
                <w:color w:val="000000"/>
                <w:sz w:val="20"/>
                <w:szCs w:val="20"/>
              </w:rPr>
              <w:t>otados</w:t>
            </w:r>
          </w:p>
        </w:tc>
        <w:tc>
          <w:tcPr>
            <w:tcW w:w="1092" w:type="dxa"/>
            <w:vMerge w:val="restart"/>
          </w:tcPr>
          <w:p w14:paraId="30EB11AB" w14:textId="77777777" w:rsidR="0002691D" w:rsidRPr="00AC4363" w:rsidRDefault="0002691D" w:rsidP="00F671D6">
            <w:pPr>
              <w:spacing w:after="0"/>
              <w:contextualSpacing/>
              <w:rPr>
                <w:color w:val="000000"/>
                <w:sz w:val="20"/>
                <w:szCs w:val="20"/>
              </w:rPr>
            </w:pPr>
          </w:p>
          <w:p w14:paraId="01B081D4" w14:textId="14C5CAB0" w:rsidR="0002691D" w:rsidRPr="00AC4363" w:rsidRDefault="0002691D" w:rsidP="00F671D6">
            <w:pPr>
              <w:spacing w:after="0"/>
              <w:contextualSpacing/>
              <w:rPr>
                <w:color w:val="000000"/>
                <w:sz w:val="20"/>
                <w:szCs w:val="20"/>
              </w:rPr>
            </w:pPr>
            <w:r w:rsidRPr="00AC4363">
              <w:rPr>
                <w:color w:val="000000"/>
                <w:sz w:val="20"/>
                <w:szCs w:val="20"/>
              </w:rPr>
              <w:t>Comunalidades</w:t>
            </w:r>
          </w:p>
        </w:tc>
      </w:tr>
      <w:tr w:rsidR="0002691D" w:rsidRPr="00AC4363" w14:paraId="6AB1394A" w14:textId="6B7142D5" w:rsidTr="00AC4363">
        <w:tc>
          <w:tcPr>
            <w:tcW w:w="1560" w:type="dxa"/>
            <w:vMerge/>
          </w:tcPr>
          <w:p w14:paraId="22D1F2AE" w14:textId="77777777" w:rsidR="0002691D" w:rsidRPr="00AC4363" w:rsidRDefault="0002691D" w:rsidP="00F671D6">
            <w:pPr>
              <w:spacing w:after="0"/>
              <w:contextualSpacing/>
              <w:rPr>
                <w:sz w:val="20"/>
                <w:szCs w:val="20"/>
              </w:rPr>
            </w:pPr>
          </w:p>
        </w:tc>
        <w:tc>
          <w:tcPr>
            <w:tcW w:w="4252" w:type="dxa"/>
            <w:vMerge/>
          </w:tcPr>
          <w:p w14:paraId="01B0DD24" w14:textId="0DAF8D71" w:rsidR="0002691D" w:rsidRPr="00AC4363" w:rsidRDefault="0002691D" w:rsidP="00F671D6">
            <w:pPr>
              <w:spacing w:after="0"/>
              <w:contextualSpacing/>
              <w:rPr>
                <w:sz w:val="20"/>
                <w:szCs w:val="20"/>
              </w:rPr>
            </w:pPr>
          </w:p>
        </w:tc>
        <w:tc>
          <w:tcPr>
            <w:tcW w:w="851" w:type="dxa"/>
          </w:tcPr>
          <w:p w14:paraId="79205ACF" w14:textId="77777777" w:rsidR="0002691D" w:rsidRPr="00AC4363" w:rsidRDefault="0002691D" w:rsidP="00F671D6">
            <w:pPr>
              <w:spacing w:after="0"/>
              <w:contextualSpacing/>
              <w:rPr>
                <w:sz w:val="20"/>
                <w:szCs w:val="20"/>
              </w:rPr>
            </w:pPr>
            <w:r w:rsidRPr="00AC4363">
              <w:rPr>
                <w:sz w:val="20"/>
                <w:szCs w:val="20"/>
              </w:rPr>
              <w:t>1</w:t>
            </w:r>
          </w:p>
        </w:tc>
        <w:tc>
          <w:tcPr>
            <w:tcW w:w="986" w:type="dxa"/>
            <w:vAlign w:val="center"/>
          </w:tcPr>
          <w:p w14:paraId="6948A1E6" w14:textId="77777777" w:rsidR="0002691D" w:rsidRPr="00AC4363" w:rsidRDefault="0002691D" w:rsidP="00F671D6">
            <w:pPr>
              <w:spacing w:after="0"/>
              <w:contextualSpacing/>
              <w:rPr>
                <w:color w:val="000000"/>
                <w:sz w:val="20"/>
                <w:szCs w:val="20"/>
              </w:rPr>
            </w:pPr>
            <w:r w:rsidRPr="00AC4363">
              <w:rPr>
                <w:color w:val="000000"/>
                <w:sz w:val="20"/>
                <w:szCs w:val="20"/>
              </w:rPr>
              <w:t>2</w:t>
            </w:r>
          </w:p>
        </w:tc>
        <w:tc>
          <w:tcPr>
            <w:tcW w:w="573" w:type="dxa"/>
          </w:tcPr>
          <w:p w14:paraId="2277D849" w14:textId="294E7283" w:rsidR="0002691D" w:rsidRPr="00AC4363" w:rsidRDefault="0002691D" w:rsidP="00F671D6">
            <w:pPr>
              <w:spacing w:after="0"/>
              <w:contextualSpacing/>
              <w:rPr>
                <w:color w:val="000000"/>
                <w:sz w:val="20"/>
                <w:szCs w:val="20"/>
              </w:rPr>
            </w:pPr>
            <w:r w:rsidRPr="00AC4363">
              <w:rPr>
                <w:color w:val="000000"/>
                <w:sz w:val="20"/>
                <w:szCs w:val="20"/>
              </w:rPr>
              <w:t>3</w:t>
            </w:r>
            <w:r w:rsidR="00E447D2" w:rsidRPr="00AC4363">
              <w:rPr>
                <w:color w:val="000000"/>
                <w:sz w:val="20"/>
                <w:szCs w:val="20"/>
              </w:rPr>
              <w:t xml:space="preserve"> </w:t>
            </w:r>
          </w:p>
        </w:tc>
        <w:tc>
          <w:tcPr>
            <w:tcW w:w="1092" w:type="dxa"/>
            <w:vMerge/>
          </w:tcPr>
          <w:p w14:paraId="731DD4A6" w14:textId="77777777" w:rsidR="0002691D" w:rsidRPr="00AC4363" w:rsidRDefault="0002691D" w:rsidP="00F671D6">
            <w:pPr>
              <w:spacing w:after="0"/>
              <w:contextualSpacing/>
              <w:rPr>
                <w:color w:val="000000"/>
                <w:sz w:val="20"/>
                <w:szCs w:val="20"/>
              </w:rPr>
            </w:pPr>
          </w:p>
        </w:tc>
      </w:tr>
      <w:tr w:rsidR="006643A5" w:rsidRPr="00AC4363" w14:paraId="3A0A708B" w14:textId="5A73CB08" w:rsidTr="00AC4363">
        <w:tc>
          <w:tcPr>
            <w:tcW w:w="1560" w:type="dxa"/>
            <w:vMerge w:val="restart"/>
          </w:tcPr>
          <w:p w14:paraId="2BEFC4BE" w14:textId="4E569073" w:rsidR="006643A5" w:rsidRPr="00AC4363" w:rsidRDefault="009803C9" w:rsidP="00F671D6">
            <w:pPr>
              <w:spacing w:after="0"/>
              <w:contextualSpacing/>
              <w:rPr>
                <w:sz w:val="20"/>
                <w:szCs w:val="20"/>
              </w:rPr>
            </w:pPr>
            <w:r w:rsidRPr="00AC4363">
              <w:rPr>
                <w:sz w:val="20"/>
                <w:szCs w:val="20"/>
              </w:rPr>
              <w:t>Aprendizaje</w:t>
            </w:r>
            <w:r w:rsidR="006643A5" w:rsidRPr="00AC4363">
              <w:rPr>
                <w:sz w:val="20"/>
                <w:szCs w:val="20"/>
              </w:rPr>
              <w:t xml:space="preserve"> </w:t>
            </w:r>
            <w:r w:rsidR="005A0242" w:rsidRPr="00AC4363">
              <w:rPr>
                <w:sz w:val="20"/>
                <w:szCs w:val="20"/>
              </w:rPr>
              <w:t>a</w:t>
            </w:r>
            <w:r w:rsidR="006643A5" w:rsidRPr="00AC4363">
              <w:rPr>
                <w:sz w:val="20"/>
                <w:szCs w:val="20"/>
              </w:rPr>
              <w:t xml:space="preserve">utónomo y </w:t>
            </w:r>
            <w:r w:rsidR="005A0242" w:rsidRPr="00AC4363">
              <w:rPr>
                <w:sz w:val="20"/>
                <w:szCs w:val="20"/>
              </w:rPr>
              <w:t>a</w:t>
            </w:r>
            <w:r w:rsidR="006643A5" w:rsidRPr="00AC4363">
              <w:rPr>
                <w:sz w:val="20"/>
                <w:szCs w:val="20"/>
              </w:rPr>
              <w:t>utorregulado</w:t>
            </w:r>
          </w:p>
        </w:tc>
        <w:tc>
          <w:tcPr>
            <w:tcW w:w="4252" w:type="dxa"/>
            <w:vAlign w:val="center"/>
          </w:tcPr>
          <w:p w14:paraId="285B8657" w14:textId="77777777" w:rsidR="006643A5" w:rsidRPr="00AC4363" w:rsidRDefault="006643A5" w:rsidP="00F671D6">
            <w:pPr>
              <w:spacing w:after="0"/>
              <w:contextualSpacing/>
              <w:rPr>
                <w:sz w:val="20"/>
                <w:szCs w:val="20"/>
              </w:rPr>
            </w:pPr>
            <w:r w:rsidRPr="00AC4363">
              <w:rPr>
                <w:color w:val="000000"/>
                <w:sz w:val="20"/>
                <w:szCs w:val="20"/>
              </w:rPr>
              <w:t>Capacidad de gestión y organización</w:t>
            </w:r>
          </w:p>
        </w:tc>
        <w:tc>
          <w:tcPr>
            <w:tcW w:w="851" w:type="dxa"/>
            <w:vAlign w:val="center"/>
          </w:tcPr>
          <w:p w14:paraId="5A3D7EDC" w14:textId="02FD750B" w:rsidR="006643A5" w:rsidRPr="00AC4363" w:rsidRDefault="00F671D6" w:rsidP="00F671D6">
            <w:pPr>
              <w:spacing w:after="0"/>
              <w:contextualSpacing/>
              <w:rPr>
                <w:sz w:val="20"/>
                <w:szCs w:val="20"/>
              </w:rPr>
            </w:pPr>
            <w:r w:rsidRPr="00AC4363">
              <w:rPr>
                <w:color w:val="000000"/>
                <w:sz w:val="20"/>
                <w:szCs w:val="20"/>
              </w:rPr>
              <w:t>0</w:t>
            </w:r>
            <w:r w:rsidR="006643A5" w:rsidRPr="00AC4363">
              <w:rPr>
                <w:color w:val="000000"/>
                <w:sz w:val="20"/>
                <w:szCs w:val="20"/>
              </w:rPr>
              <w:t>.748</w:t>
            </w:r>
          </w:p>
        </w:tc>
        <w:tc>
          <w:tcPr>
            <w:tcW w:w="986" w:type="dxa"/>
            <w:vAlign w:val="center"/>
          </w:tcPr>
          <w:p w14:paraId="0438B42A" w14:textId="77777777" w:rsidR="006643A5" w:rsidRPr="00AC4363" w:rsidRDefault="006643A5" w:rsidP="00F671D6">
            <w:pPr>
              <w:spacing w:after="0"/>
              <w:contextualSpacing/>
              <w:rPr>
                <w:sz w:val="20"/>
                <w:szCs w:val="20"/>
              </w:rPr>
            </w:pPr>
          </w:p>
        </w:tc>
        <w:tc>
          <w:tcPr>
            <w:tcW w:w="573" w:type="dxa"/>
          </w:tcPr>
          <w:p w14:paraId="0E645480" w14:textId="77777777" w:rsidR="006643A5" w:rsidRPr="00AC4363" w:rsidRDefault="006643A5" w:rsidP="00F671D6">
            <w:pPr>
              <w:spacing w:after="0"/>
              <w:contextualSpacing/>
              <w:rPr>
                <w:color w:val="000000"/>
                <w:sz w:val="20"/>
                <w:szCs w:val="20"/>
              </w:rPr>
            </w:pPr>
          </w:p>
        </w:tc>
        <w:tc>
          <w:tcPr>
            <w:tcW w:w="1092" w:type="dxa"/>
          </w:tcPr>
          <w:p w14:paraId="2740CCF2" w14:textId="787CBEC8" w:rsidR="006643A5" w:rsidRPr="00AC4363" w:rsidRDefault="009C2DB4" w:rsidP="00F671D6">
            <w:pPr>
              <w:spacing w:after="0"/>
              <w:contextualSpacing/>
              <w:jc w:val="center"/>
              <w:rPr>
                <w:color w:val="000000"/>
                <w:sz w:val="20"/>
                <w:szCs w:val="20"/>
              </w:rPr>
            </w:pPr>
            <w:r w:rsidRPr="00AC4363">
              <w:rPr>
                <w:color w:val="000000"/>
                <w:sz w:val="20"/>
                <w:szCs w:val="20"/>
              </w:rPr>
              <w:t>0.6</w:t>
            </w:r>
            <w:r w:rsidR="00621A18" w:rsidRPr="00AC4363">
              <w:rPr>
                <w:color w:val="000000"/>
                <w:sz w:val="20"/>
                <w:szCs w:val="20"/>
              </w:rPr>
              <w:t>70</w:t>
            </w:r>
          </w:p>
        </w:tc>
      </w:tr>
      <w:tr w:rsidR="006643A5" w:rsidRPr="00AC4363" w14:paraId="4701F370" w14:textId="7C032DFC" w:rsidTr="00AC4363">
        <w:trPr>
          <w:trHeight w:val="264"/>
        </w:trPr>
        <w:tc>
          <w:tcPr>
            <w:tcW w:w="1560" w:type="dxa"/>
            <w:vMerge/>
          </w:tcPr>
          <w:p w14:paraId="3D8C4742" w14:textId="77777777" w:rsidR="006643A5" w:rsidRPr="00AC4363" w:rsidRDefault="006643A5" w:rsidP="00F671D6">
            <w:pPr>
              <w:spacing w:after="0"/>
              <w:contextualSpacing/>
              <w:rPr>
                <w:sz w:val="20"/>
                <w:szCs w:val="20"/>
              </w:rPr>
            </w:pPr>
          </w:p>
        </w:tc>
        <w:tc>
          <w:tcPr>
            <w:tcW w:w="4252" w:type="dxa"/>
            <w:vAlign w:val="center"/>
          </w:tcPr>
          <w:p w14:paraId="499682BF" w14:textId="4C85E3AE" w:rsidR="006643A5" w:rsidRPr="00AC4363" w:rsidRDefault="006643A5" w:rsidP="00F671D6">
            <w:pPr>
              <w:spacing w:after="0"/>
              <w:contextualSpacing/>
              <w:rPr>
                <w:sz w:val="20"/>
                <w:szCs w:val="20"/>
              </w:rPr>
            </w:pPr>
            <w:r w:rsidRPr="00AC4363">
              <w:rPr>
                <w:color w:val="000000"/>
                <w:sz w:val="20"/>
                <w:szCs w:val="20"/>
              </w:rPr>
              <w:t>Capacidad de seguimiento</w:t>
            </w:r>
            <w:r w:rsidR="005A0242" w:rsidRPr="00AC4363">
              <w:rPr>
                <w:color w:val="000000"/>
                <w:sz w:val="20"/>
                <w:szCs w:val="20"/>
              </w:rPr>
              <w:t xml:space="preserve"> y</w:t>
            </w:r>
            <w:r w:rsidRPr="00AC4363">
              <w:rPr>
                <w:color w:val="000000"/>
                <w:sz w:val="20"/>
                <w:szCs w:val="20"/>
              </w:rPr>
              <w:t xml:space="preserve"> desarrollo de proyecto</w:t>
            </w:r>
            <w:r w:rsidR="005A0242" w:rsidRPr="00AC4363">
              <w:rPr>
                <w:color w:val="000000"/>
                <w:sz w:val="20"/>
                <w:szCs w:val="20"/>
              </w:rPr>
              <w:t>s</w:t>
            </w:r>
          </w:p>
        </w:tc>
        <w:tc>
          <w:tcPr>
            <w:tcW w:w="851" w:type="dxa"/>
            <w:vAlign w:val="center"/>
          </w:tcPr>
          <w:p w14:paraId="2E22B613" w14:textId="507FD5D3" w:rsidR="006643A5" w:rsidRPr="00AC4363" w:rsidRDefault="00F671D6" w:rsidP="00F671D6">
            <w:pPr>
              <w:spacing w:after="0"/>
              <w:contextualSpacing/>
              <w:rPr>
                <w:sz w:val="20"/>
                <w:szCs w:val="20"/>
              </w:rPr>
            </w:pPr>
            <w:r w:rsidRPr="00AC4363">
              <w:rPr>
                <w:color w:val="000000"/>
                <w:sz w:val="20"/>
                <w:szCs w:val="20"/>
              </w:rPr>
              <w:t>0</w:t>
            </w:r>
            <w:r w:rsidR="006643A5" w:rsidRPr="00AC4363">
              <w:rPr>
                <w:color w:val="000000"/>
                <w:sz w:val="20"/>
                <w:szCs w:val="20"/>
              </w:rPr>
              <w:t>.714</w:t>
            </w:r>
          </w:p>
        </w:tc>
        <w:tc>
          <w:tcPr>
            <w:tcW w:w="986" w:type="dxa"/>
            <w:vAlign w:val="center"/>
          </w:tcPr>
          <w:p w14:paraId="04AFC4D5" w14:textId="77777777" w:rsidR="006643A5" w:rsidRPr="00AC4363" w:rsidRDefault="006643A5" w:rsidP="00F671D6">
            <w:pPr>
              <w:spacing w:after="0"/>
              <w:contextualSpacing/>
              <w:rPr>
                <w:sz w:val="20"/>
                <w:szCs w:val="20"/>
              </w:rPr>
            </w:pPr>
          </w:p>
        </w:tc>
        <w:tc>
          <w:tcPr>
            <w:tcW w:w="573" w:type="dxa"/>
          </w:tcPr>
          <w:p w14:paraId="661ECF42" w14:textId="77777777" w:rsidR="006643A5" w:rsidRPr="00AC4363" w:rsidRDefault="006643A5" w:rsidP="00F671D6">
            <w:pPr>
              <w:spacing w:after="0"/>
              <w:contextualSpacing/>
              <w:rPr>
                <w:color w:val="000000"/>
                <w:sz w:val="20"/>
                <w:szCs w:val="20"/>
              </w:rPr>
            </w:pPr>
          </w:p>
        </w:tc>
        <w:tc>
          <w:tcPr>
            <w:tcW w:w="1092" w:type="dxa"/>
          </w:tcPr>
          <w:p w14:paraId="21082717" w14:textId="5090A60E" w:rsidR="006643A5" w:rsidRPr="00AC4363" w:rsidRDefault="009C2DB4" w:rsidP="00F671D6">
            <w:pPr>
              <w:spacing w:after="0"/>
              <w:contextualSpacing/>
              <w:jc w:val="center"/>
              <w:rPr>
                <w:color w:val="000000"/>
                <w:sz w:val="20"/>
                <w:szCs w:val="20"/>
              </w:rPr>
            </w:pPr>
            <w:r w:rsidRPr="00AC4363">
              <w:rPr>
                <w:color w:val="000000"/>
                <w:sz w:val="20"/>
                <w:szCs w:val="20"/>
              </w:rPr>
              <w:t>0.</w:t>
            </w:r>
            <w:r w:rsidR="00621A18" w:rsidRPr="00AC4363">
              <w:rPr>
                <w:color w:val="000000"/>
                <w:sz w:val="20"/>
                <w:szCs w:val="20"/>
              </w:rPr>
              <w:t>685</w:t>
            </w:r>
          </w:p>
        </w:tc>
      </w:tr>
      <w:tr w:rsidR="006643A5" w:rsidRPr="00AC4363" w14:paraId="2B1E61CE" w14:textId="50D071A6" w:rsidTr="00AC4363">
        <w:tc>
          <w:tcPr>
            <w:tcW w:w="1560" w:type="dxa"/>
            <w:vMerge/>
          </w:tcPr>
          <w:p w14:paraId="30E4EF13" w14:textId="77777777" w:rsidR="006643A5" w:rsidRPr="00AC4363" w:rsidRDefault="006643A5" w:rsidP="00F671D6">
            <w:pPr>
              <w:spacing w:after="0"/>
              <w:contextualSpacing/>
              <w:rPr>
                <w:sz w:val="20"/>
                <w:szCs w:val="20"/>
              </w:rPr>
            </w:pPr>
          </w:p>
        </w:tc>
        <w:tc>
          <w:tcPr>
            <w:tcW w:w="4252" w:type="dxa"/>
            <w:vAlign w:val="center"/>
          </w:tcPr>
          <w:p w14:paraId="59B46825" w14:textId="77777777" w:rsidR="006643A5" w:rsidRPr="00AC4363" w:rsidRDefault="006643A5" w:rsidP="00F671D6">
            <w:pPr>
              <w:spacing w:after="0"/>
              <w:contextualSpacing/>
              <w:rPr>
                <w:sz w:val="20"/>
                <w:szCs w:val="20"/>
              </w:rPr>
            </w:pPr>
            <w:r w:rsidRPr="00AC4363">
              <w:rPr>
                <w:color w:val="000000"/>
                <w:sz w:val="20"/>
                <w:szCs w:val="20"/>
              </w:rPr>
              <w:t>Capacidad de planeación</w:t>
            </w:r>
          </w:p>
        </w:tc>
        <w:tc>
          <w:tcPr>
            <w:tcW w:w="851" w:type="dxa"/>
            <w:vAlign w:val="center"/>
          </w:tcPr>
          <w:p w14:paraId="790C2EC7" w14:textId="533AEDA6" w:rsidR="006643A5" w:rsidRPr="00AC4363" w:rsidRDefault="00F671D6" w:rsidP="00F671D6">
            <w:pPr>
              <w:spacing w:after="0"/>
              <w:contextualSpacing/>
              <w:rPr>
                <w:sz w:val="20"/>
                <w:szCs w:val="20"/>
              </w:rPr>
            </w:pPr>
            <w:r w:rsidRPr="00AC4363">
              <w:rPr>
                <w:color w:val="000000"/>
                <w:sz w:val="20"/>
                <w:szCs w:val="20"/>
              </w:rPr>
              <w:t>0</w:t>
            </w:r>
            <w:r w:rsidR="006643A5" w:rsidRPr="00AC4363">
              <w:rPr>
                <w:color w:val="000000"/>
                <w:sz w:val="20"/>
                <w:szCs w:val="20"/>
              </w:rPr>
              <w:t>.699</w:t>
            </w:r>
          </w:p>
        </w:tc>
        <w:tc>
          <w:tcPr>
            <w:tcW w:w="986" w:type="dxa"/>
            <w:vAlign w:val="center"/>
          </w:tcPr>
          <w:p w14:paraId="636B723D" w14:textId="77777777" w:rsidR="006643A5" w:rsidRPr="00AC4363" w:rsidRDefault="006643A5" w:rsidP="00F671D6">
            <w:pPr>
              <w:spacing w:after="0"/>
              <w:contextualSpacing/>
              <w:rPr>
                <w:sz w:val="20"/>
                <w:szCs w:val="20"/>
              </w:rPr>
            </w:pPr>
          </w:p>
        </w:tc>
        <w:tc>
          <w:tcPr>
            <w:tcW w:w="573" w:type="dxa"/>
          </w:tcPr>
          <w:p w14:paraId="2C0A885F" w14:textId="77777777" w:rsidR="006643A5" w:rsidRPr="00AC4363" w:rsidRDefault="006643A5" w:rsidP="00F671D6">
            <w:pPr>
              <w:spacing w:after="0"/>
              <w:contextualSpacing/>
              <w:rPr>
                <w:color w:val="000000"/>
                <w:sz w:val="20"/>
                <w:szCs w:val="20"/>
              </w:rPr>
            </w:pPr>
          </w:p>
        </w:tc>
        <w:tc>
          <w:tcPr>
            <w:tcW w:w="1092" w:type="dxa"/>
          </w:tcPr>
          <w:p w14:paraId="67A4D467" w14:textId="26C74FF7" w:rsidR="006643A5" w:rsidRPr="00AC4363" w:rsidRDefault="009C2DB4" w:rsidP="00F671D6">
            <w:pPr>
              <w:spacing w:after="0"/>
              <w:contextualSpacing/>
              <w:jc w:val="center"/>
              <w:rPr>
                <w:color w:val="000000"/>
                <w:sz w:val="20"/>
                <w:szCs w:val="20"/>
              </w:rPr>
            </w:pPr>
            <w:r w:rsidRPr="00AC4363">
              <w:rPr>
                <w:color w:val="000000"/>
                <w:sz w:val="20"/>
                <w:szCs w:val="20"/>
              </w:rPr>
              <w:t>0.67</w:t>
            </w:r>
            <w:r w:rsidR="00621A18" w:rsidRPr="00AC4363">
              <w:rPr>
                <w:color w:val="000000"/>
                <w:sz w:val="20"/>
                <w:szCs w:val="20"/>
              </w:rPr>
              <w:t>3</w:t>
            </w:r>
          </w:p>
        </w:tc>
      </w:tr>
      <w:tr w:rsidR="006643A5" w:rsidRPr="00AC4363" w14:paraId="575C43ED" w14:textId="39757139" w:rsidTr="00AC4363">
        <w:tc>
          <w:tcPr>
            <w:tcW w:w="1560" w:type="dxa"/>
            <w:vMerge/>
          </w:tcPr>
          <w:p w14:paraId="479AE5A4" w14:textId="77777777" w:rsidR="006643A5" w:rsidRPr="00AC4363" w:rsidRDefault="006643A5" w:rsidP="00F671D6">
            <w:pPr>
              <w:spacing w:after="0"/>
              <w:contextualSpacing/>
              <w:rPr>
                <w:color w:val="000000"/>
                <w:sz w:val="20"/>
                <w:szCs w:val="20"/>
              </w:rPr>
            </w:pPr>
          </w:p>
        </w:tc>
        <w:tc>
          <w:tcPr>
            <w:tcW w:w="4252" w:type="dxa"/>
            <w:vAlign w:val="center"/>
          </w:tcPr>
          <w:p w14:paraId="1C689B33" w14:textId="77777777" w:rsidR="006643A5" w:rsidRPr="00AC4363" w:rsidRDefault="006643A5" w:rsidP="00F671D6">
            <w:pPr>
              <w:spacing w:after="0"/>
              <w:contextualSpacing/>
              <w:rPr>
                <w:sz w:val="20"/>
                <w:szCs w:val="20"/>
              </w:rPr>
            </w:pPr>
            <w:r w:rsidRPr="00AC4363">
              <w:rPr>
                <w:color w:val="000000"/>
                <w:sz w:val="20"/>
                <w:szCs w:val="20"/>
              </w:rPr>
              <w:t>Uso de los recursos didácticos</w:t>
            </w:r>
          </w:p>
        </w:tc>
        <w:tc>
          <w:tcPr>
            <w:tcW w:w="851" w:type="dxa"/>
            <w:vAlign w:val="center"/>
          </w:tcPr>
          <w:p w14:paraId="7416A61A" w14:textId="16BBDCAA" w:rsidR="006643A5" w:rsidRPr="00AC4363" w:rsidRDefault="00F671D6" w:rsidP="00F671D6">
            <w:pPr>
              <w:spacing w:after="0"/>
              <w:contextualSpacing/>
              <w:rPr>
                <w:sz w:val="20"/>
                <w:szCs w:val="20"/>
              </w:rPr>
            </w:pPr>
            <w:r w:rsidRPr="00AC4363">
              <w:rPr>
                <w:color w:val="000000"/>
                <w:sz w:val="20"/>
                <w:szCs w:val="20"/>
              </w:rPr>
              <w:t>0</w:t>
            </w:r>
            <w:r w:rsidR="006643A5" w:rsidRPr="00AC4363">
              <w:rPr>
                <w:color w:val="000000"/>
                <w:sz w:val="20"/>
                <w:szCs w:val="20"/>
              </w:rPr>
              <w:t>.698</w:t>
            </w:r>
          </w:p>
        </w:tc>
        <w:tc>
          <w:tcPr>
            <w:tcW w:w="986" w:type="dxa"/>
            <w:vAlign w:val="center"/>
          </w:tcPr>
          <w:p w14:paraId="23EF2497" w14:textId="77777777" w:rsidR="006643A5" w:rsidRPr="00AC4363" w:rsidRDefault="006643A5" w:rsidP="00F671D6">
            <w:pPr>
              <w:spacing w:after="0"/>
              <w:contextualSpacing/>
              <w:rPr>
                <w:sz w:val="20"/>
                <w:szCs w:val="20"/>
              </w:rPr>
            </w:pPr>
          </w:p>
        </w:tc>
        <w:tc>
          <w:tcPr>
            <w:tcW w:w="573" w:type="dxa"/>
          </w:tcPr>
          <w:p w14:paraId="285B731F" w14:textId="77777777" w:rsidR="006643A5" w:rsidRPr="00AC4363" w:rsidRDefault="006643A5" w:rsidP="00F671D6">
            <w:pPr>
              <w:spacing w:after="0"/>
              <w:contextualSpacing/>
              <w:rPr>
                <w:color w:val="000000"/>
                <w:sz w:val="20"/>
                <w:szCs w:val="20"/>
              </w:rPr>
            </w:pPr>
          </w:p>
        </w:tc>
        <w:tc>
          <w:tcPr>
            <w:tcW w:w="1092" w:type="dxa"/>
          </w:tcPr>
          <w:p w14:paraId="69857092" w14:textId="60EDA200" w:rsidR="006643A5" w:rsidRPr="00AC4363" w:rsidRDefault="009C2DB4" w:rsidP="00F671D6">
            <w:pPr>
              <w:spacing w:after="0"/>
              <w:contextualSpacing/>
              <w:jc w:val="center"/>
              <w:rPr>
                <w:color w:val="000000"/>
                <w:sz w:val="20"/>
                <w:szCs w:val="20"/>
              </w:rPr>
            </w:pPr>
            <w:r w:rsidRPr="00AC4363">
              <w:rPr>
                <w:color w:val="000000"/>
                <w:sz w:val="20"/>
                <w:szCs w:val="20"/>
              </w:rPr>
              <w:t>0.65</w:t>
            </w:r>
            <w:r w:rsidR="00621A18" w:rsidRPr="00AC4363">
              <w:rPr>
                <w:color w:val="000000"/>
                <w:sz w:val="20"/>
                <w:szCs w:val="20"/>
              </w:rPr>
              <w:t>0</w:t>
            </w:r>
          </w:p>
        </w:tc>
      </w:tr>
      <w:tr w:rsidR="006643A5" w:rsidRPr="00AC4363" w14:paraId="5EF33C4E" w14:textId="3F3C7B36" w:rsidTr="00AC4363">
        <w:tc>
          <w:tcPr>
            <w:tcW w:w="1560" w:type="dxa"/>
            <w:vMerge/>
          </w:tcPr>
          <w:p w14:paraId="09A6C8DF" w14:textId="77777777" w:rsidR="006643A5" w:rsidRPr="00AC4363" w:rsidRDefault="006643A5" w:rsidP="00F671D6">
            <w:pPr>
              <w:spacing w:after="0"/>
              <w:contextualSpacing/>
              <w:rPr>
                <w:color w:val="000000"/>
                <w:sz w:val="20"/>
                <w:szCs w:val="20"/>
              </w:rPr>
            </w:pPr>
          </w:p>
        </w:tc>
        <w:tc>
          <w:tcPr>
            <w:tcW w:w="4252" w:type="dxa"/>
            <w:vAlign w:val="center"/>
          </w:tcPr>
          <w:p w14:paraId="5E74CA75" w14:textId="77777777" w:rsidR="006643A5" w:rsidRPr="00AC4363" w:rsidRDefault="006643A5" w:rsidP="00F671D6">
            <w:pPr>
              <w:spacing w:after="0"/>
              <w:contextualSpacing/>
              <w:rPr>
                <w:sz w:val="20"/>
                <w:szCs w:val="20"/>
              </w:rPr>
            </w:pPr>
            <w:r w:rsidRPr="00AC4363">
              <w:rPr>
                <w:color w:val="000000"/>
                <w:sz w:val="20"/>
                <w:szCs w:val="20"/>
              </w:rPr>
              <w:t>Capacidad de reflexión</w:t>
            </w:r>
          </w:p>
        </w:tc>
        <w:tc>
          <w:tcPr>
            <w:tcW w:w="851" w:type="dxa"/>
            <w:vAlign w:val="center"/>
          </w:tcPr>
          <w:p w14:paraId="4187D43A" w14:textId="400D13B0" w:rsidR="006643A5" w:rsidRPr="00AC4363" w:rsidRDefault="00F671D6" w:rsidP="00F671D6">
            <w:pPr>
              <w:spacing w:after="0"/>
              <w:contextualSpacing/>
              <w:rPr>
                <w:sz w:val="20"/>
                <w:szCs w:val="20"/>
              </w:rPr>
            </w:pPr>
            <w:r w:rsidRPr="00AC4363">
              <w:rPr>
                <w:color w:val="000000"/>
                <w:sz w:val="20"/>
                <w:szCs w:val="20"/>
              </w:rPr>
              <w:t>0</w:t>
            </w:r>
            <w:r w:rsidR="006643A5" w:rsidRPr="00AC4363">
              <w:rPr>
                <w:color w:val="000000"/>
                <w:sz w:val="20"/>
                <w:szCs w:val="20"/>
              </w:rPr>
              <w:t>.675</w:t>
            </w:r>
          </w:p>
        </w:tc>
        <w:tc>
          <w:tcPr>
            <w:tcW w:w="986" w:type="dxa"/>
            <w:vAlign w:val="center"/>
          </w:tcPr>
          <w:p w14:paraId="12E59A3A" w14:textId="77777777" w:rsidR="006643A5" w:rsidRPr="00AC4363" w:rsidRDefault="006643A5" w:rsidP="00F671D6">
            <w:pPr>
              <w:spacing w:after="0"/>
              <w:contextualSpacing/>
              <w:rPr>
                <w:sz w:val="20"/>
                <w:szCs w:val="20"/>
              </w:rPr>
            </w:pPr>
          </w:p>
        </w:tc>
        <w:tc>
          <w:tcPr>
            <w:tcW w:w="573" w:type="dxa"/>
          </w:tcPr>
          <w:p w14:paraId="0D5A5ECB" w14:textId="77777777" w:rsidR="006643A5" w:rsidRPr="00AC4363" w:rsidRDefault="006643A5" w:rsidP="00F671D6">
            <w:pPr>
              <w:spacing w:after="0"/>
              <w:contextualSpacing/>
              <w:rPr>
                <w:color w:val="000000"/>
                <w:sz w:val="20"/>
                <w:szCs w:val="20"/>
              </w:rPr>
            </w:pPr>
          </w:p>
        </w:tc>
        <w:tc>
          <w:tcPr>
            <w:tcW w:w="1092" w:type="dxa"/>
          </w:tcPr>
          <w:p w14:paraId="0E4FAF38" w14:textId="4876C7F4" w:rsidR="006643A5" w:rsidRPr="00AC4363" w:rsidRDefault="009C2DB4" w:rsidP="00F671D6">
            <w:pPr>
              <w:spacing w:after="0"/>
              <w:contextualSpacing/>
              <w:jc w:val="center"/>
              <w:rPr>
                <w:color w:val="000000"/>
                <w:sz w:val="20"/>
                <w:szCs w:val="20"/>
              </w:rPr>
            </w:pPr>
            <w:r w:rsidRPr="00AC4363">
              <w:rPr>
                <w:color w:val="000000"/>
                <w:sz w:val="20"/>
                <w:szCs w:val="20"/>
              </w:rPr>
              <w:t>0.</w:t>
            </w:r>
            <w:r w:rsidR="00621A18" w:rsidRPr="00AC4363">
              <w:rPr>
                <w:color w:val="000000"/>
                <w:sz w:val="20"/>
                <w:szCs w:val="20"/>
              </w:rPr>
              <w:t>585</w:t>
            </w:r>
          </w:p>
        </w:tc>
      </w:tr>
      <w:tr w:rsidR="006643A5" w:rsidRPr="00AC4363" w14:paraId="34141232" w14:textId="2201C0B3" w:rsidTr="00AC4363">
        <w:tc>
          <w:tcPr>
            <w:tcW w:w="1560" w:type="dxa"/>
            <w:vMerge/>
          </w:tcPr>
          <w:p w14:paraId="345D5CC5" w14:textId="77777777" w:rsidR="006643A5" w:rsidRPr="00AC4363" w:rsidRDefault="006643A5" w:rsidP="00F671D6">
            <w:pPr>
              <w:spacing w:after="0"/>
              <w:contextualSpacing/>
              <w:rPr>
                <w:color w:val="000000"/>
                <w:sz w:val="20"/>
                <w:szCs w:val="20"/>
              </w:rPr>
            </w:pPr>
          </w:p>
        </w:tc>
        <w:tc>
          <w:tcPr>
            <w:tcW w:w="4252" w:type="dxa"/>
            <w:vAlign w:val="center"/>
          </w:tcPr>
          <w:p w14:paraId="7CBCC2A3" w14:textId="5BACA5E8" w:rsidR="006643A5" w:rsidRPr="00AC4363" w:rsidRDefault="006643A5" w:rsidP="00F671D6">
            <w:pPr>
              <w:spacing w:after="0"/>
              <w:contextualSpacing/>
              <w:rPr>
                <w:sz w:val="20"/>
                <w:szCs w:val="20"/>
              </w:rPr>
            </w:pPr>
            <w:r w:rsidRPr="00AC4363">
              <w:rPr>
                <w:color w:val="000000"/>
                <w:sz w:val="20"/>
                <w:szCs w:val="20"/>
              </w:rPr>
              <w:t>Autoevaluación del desempeño</w:t>
            </w:r>
          </w:p>
        </w:tc>
        <w:tc>
          <w:tcPr>
            <w:tcW w:w="851" w:type="dxa"/>
            <w:vAlign w:val="center"/>
          </w:tcPr>
          <w:p w14:paraId="7083D595" w14:textId="50B92E0A" w:rsidR="006643A5" w:rsidRPr="00AC4363" w:rsidRDefault="00F671D6" w:rsidP="00F671D6">
            <w:pPr>
              <w:spacing w:after="0"/>
              <w:contextualSpacing/>
              <w:rPr>
                <w:sz w:val="20"/>
                <w:szCs w:val="20"/>
              </w:rPr>
            </w:pPr>
            <w:r w:rsidRPr="00AC4363">
              <w:rPr>
                <w:color w:val="000000"/>
                <w:sz w:val="20"/>
                <w:szCs w:val="20"/>
              </w:rPr>
              <w:t>0</w:t>
            </w:r>
            <w:r w:rsidR="006643A5" w:rsidRPr="00AC4363">
              <w:rPr>
                <w:color w:val="000000"/>
                <w:sz w:val="20"/>
                <w:szCs w:val="20"/>
              </w:rPr>
              <w:t>.647</w:t>
            </w:r>
          </w:p>
        </w:tc>
        <w:tc>
          <w:tcPr>
            <w:tcW w:w="986" w:type="dxa"/>
            <w:vAlign w:val="center"/>
          </w:tcPr>
          <w:p w14:paraId="0CA5A467" w14:textId="77777777" w:rsidR="006643A5" w:rsidRPr="00AC4363" w:rsidRDefault="006643A5" w:rsidP="00F671D6">
            <w:pPr>
              <w:spacing w:after="0"/>
              <w:contextualSpacing/>
              <w:rPr>
                <w:sz w:val="20"/>
                <w:szCs w:val="20"/>
              </w:rPr>
            </w:pPr>
          </w:p>
        </w:tc>
        <w:tc>
          <w:tcPr>
            <w:tcW w:w="573" w:type="dxa"/>
          </w:tcPr>
          <w:p w14:paraId="49A0ACDA" w14:textId="77777777" w:rsidR="006643A5" w:rsidRPr="00AC4363" w:rsidRDefault="006643A5" w:rsidP="00F671D6">
            <w:pPr>
              <w:spacing w:after="0"/>
              <w:contextualSpacing/>
              <w:rPr>
                <w:color w:val="000000"/>
                <w:sz w:val="20"/>
                <w:szCs w:val="20"/>
              </w:rPr>
            </w:pPr>
          </w:p>
        </w:tc>
        <w:tc>
          <w:tcPr>
            <w:tcW w:w="1092" w:type="dxa"/>
          </w:tcPr>
          <w:p w14:paraId="384A6633" w14:textId="47A6A4E1" w:rsidR="006643A5" w:rsidRPr="00AC4363" w:rsidRDefault="009C2DB4" w:rsidP="00F671D6">
            <w:pPr>
              <w:spacing w:after="0"/>
              <w:contextualSpacing/>
              <w:jc w:val="center"/>
              <w:rPr>
                <w:color w:val="000000"/>
                <w:sz w:val="20"/>
                <w:szCs w:val="20"/>
              </w:rPr>
            </w:pPr>
            <w:r w:rsidRPr="00AC4363">
              <w:rPr>
                <w:color w:val="000000"/>
                <w:sz w:val="20"/>
                <w:szCs w:val="20"/>
              </w:rPr>
              <w:t>0.</w:t>
            </w:r>
            <w:r w:rsidR="00621A18" w:rsidRPr="00AC4363">
              <w:rPr>
                <w:color w:val="000000"/>
                <w:sz w:val="20"/>
                <w:szCs w:val="20"/>
              </w:rPr>
              <w:t>586</w:t>
            </w:r>
          </w:p>
        </w:tc>
      </w:tr>
      <w:tr w:rsidR="00F671D6" w:rsidRPr="00AC4363" w14:paraId="7113D3B6" w14:textId="193F7DD5" w:rsidTr="00AC4363">
        <w:tc>
          <w:tcPr>
            <w:tcW w:w="1560" w:type="dxa"/>
            <w:vMerge w:val="restart"/>
          </w:tcPr>
          <w:p w14:paraId="010ACA54" w14:textId="6A12D751" w:rsidR="006643A5" w:rsidRPr="00AC4363" w:rsidRDefault="006643A5" w:rsidP="004E0253">
            <w:pPr>
              <w:spacing w:after="0"/>
              <w:contextualSpacing/>
              <w:rPr>
                <w:sz w:val="20"/>
                <w:szCs w:val="20"/>
              </w:rPr>
            </w:pPr>
            <w:r w:rsidRPr="00AC4363">
              <w:rPr>
                <w:sz w:val="20"/>
                <w:szCs w:val="20"/>
              </w:rPr>
              <w:t xml:space="preserve">Capacidad de </w:t>
            </w:r>
            <w:r w:rsidR="00F671D6" w:rsidRPr="00AC4363">
              <w:rPr>
                <w:sz w:val="20"/>
                <w:szCs w:val="20"/>
              </w:rPr>
              <w:t>resolución de</w:t>
            </w:r>
            <w:r w:rsidRPr="00AC4363">
              <w:rPr>
                <w:sz w:val="20"/>
                <w:szCs w:val="20"/>
              </w:rPr>
              <w:t xml:space="preserve"> </w:t>
            </w:r>
            <w:r w:rsidR="00F671D6" w:rsidRPr="00AC4363">
              <w:rPr>
                <w:sz w:val="20"/>
                <w:szCs w:val="20"/>
              </w:rPr>
              <w:t>p</w:t>
            </w:r>
            <w:r w:rsidRPr="00AC4363">
              <w:rPr>
                <w:sz w:val="20"/>
                <w:szCs w:val="20"/>
              </w:rPr>
              <w:t>roblemas</w:t>
            </w:r>
          </w:p>
        </w:tc>
        <w:tc>
          <w:tcPr>
            <w:tcW w:w="4252" w:type="dxa"/>
            <w:vAlign w:val="center"/>
          </w:tcPr>
          <w:p w14:paraId="1600BAE8" w14:textId="77777777" w:rsidR="006643A5" w:rsidRPr="00AC4363" w:rsidRDefault="006643A5" w:rsidP="004E0253">
            <w:pPr>
              <w:spacing w:after="0"/>
              <w:contextualSpacing/>
              <w:rPr>
                <w:sz w:val="20"/>
                <w:szCs w:val="20"/>
              </w:rPr>
            </w:pPr>
            <w:r w:rsidRPr="00AC4363">
              <w:rPr>
                <w:sz w:val="20"/>
                <w:szCs w:val="20"/>
              </w:rPr>
              <w:t>Propuesta de mejoras</w:t>
            </w:r>
          </w:p>
        </w:tc>
        <w:tc>
          <w:tcPr>
            <w:tcW w:w="851" w:type="dxa"/>
            <w:vAlign w:val="center"/>
          </w:tcPr>
          <w:p w14:paraId="350F0736" w14:textId="6B280D12" w:rsidR="006643A5" w:rsidRPr="00AC4363" w:rsidRDefault="00F671D6" w:rsidP="004E0253">
            <w:pPr>
              <w:spacing w:after="0"/>
              <w:contextualSpacing/>
              <w:rPr>
                <w:sz w:val="20"/>
                <w:szCs w:val="20"/>
              </w:rPr>
            </w:pPr>
            <w:r w:rsidRPr="00AC4363">
              <w:rPr>
                <w:sz w:val="20"/>
                <w:szCs w:val="20"/>
              </w:rPr>
              <w:t>0</w:t>
            </w:r>
            <w:r w:rsidR="006643A5" w:rsidRPr="00AC4363">
              <w:rPr>
                <w:sz w:val="20"/>
                <w:szCs w:val="20"/>
              </w:rPr>
              <w:t>.631</w:t>
            </w:r>
          </w:p>
        </w:tc>
        <w:tc>
          <w:tcPr>
            <w:tcW w:w="986" w:type="dxa"/>
            <w:vAlign w:val="center"/>
          </w:tcPr>
          <w:p w14:paraId="1C94790D" w14:textId="77777777" w:rsidR="006643A5" w:rsidRPr="00AC4363" w:rsidRDefault="006643A5" w:rsidP="004E0253">
            <w:pPr>
              <w:spacing w:after="0"/>
              <w:contextualSpacing/>
              <w:rPr>
                <w:sz w:val="20"/>
                <w:szCs w:val="20"/>
              </w:rPr>
            </w:pPr>
          </w:p>
        </w:tc>
        <w:tc>
          <w:tcPr>
            <w:tcW w:w="573" w:type="dxa"/>
          </w:tcPr>
          <w:p w14:paraId="06F49C10" w14:textId="77777777" w:rsidR="006643A5" w:rsidRPr="00AC4363" w:rsidRDefault="006643A5" w:rsidP="004E0253">
            <w:pPr>
              <w:spacing w:after="0"/>
              <w:contextualSpacing/>
              <w:rPr>
                <w:sz w:val="20"/>
                <w:szCs w:val="20"/>
              </w:rPr>
            </w:pPr>
          </w:p>
        </w:tc>
        <w:tc>
          <w:tcPr>
            <w:tcW w:w="1092" w:type="dxa"/>
          </w:tcPr>
          <w:p w14:paraId="33CB1CE9" w14:textId="53C05BED" w:rsidR="006643A5" w:rsidRPr="00AC4363" w:rsidRDefault="009C2DB4" w:rsidP="004E0253">
            <w:pPr>
              <w:spacing w:after="0"/>
              <w:contextualSpacing/>
              <w:jc w:val="center"/>
              <w:rPr>
                <w:sz w:val="20"/>
                <w:szCs w:val="20"/>
              </w:rPr>
            </w:pPr>
            <w:r w:rsidRPr="00AC4363">
              <w:rPr>
                <w:sz w:val="20"/>
                <w:szCs w:val="20"/>
              </w:rPr>
              <w:t>0.62</w:t>
            </w:r>
            <w:r w:rsidR="00621A18" w:rsidRPr="00AC4363">
              <w:rPr>
                <w:sz w:val="20"/>
                <w:szCs w:val="20"/>
              </w:rPr>
              <w:t>5</w:t>
            </w:r>
          </w:p>
        </w:tc>
      </w:tr>
      <w:tr w:rsidR="00F671D6" w:rsidRPr="00AC4363" w14:paraId="558B2D42" w14:textId="1220E9E5" w:rsidTr="00AC4363">
        <w:tc>
          <w:tcPr>
            <w:tcW w:w="1560" w:type="dxa"/>
            <w:vMerge/>
          </w:tcPr>
          <w:p w14:paraId="20ADD0A9" w14:textId="77777777" w:rsidR="006643A5" w:rsidRPr="00AC4363" w:rsidRDefault="006643A5" w:rsidP="004E0253">
            <w:pPr>
              <w:spacing w:after="0"/>
              <w:contextualSpacing/>
              <w:rPr>
                <w:sz w:val="20"/>
                <w:szCs w:val="20"/>
              </w:rPr>
            </w:pPr>
          </w:p>
        </w:tc>
        <w:tc>
          <w:tcPr>
            <w:tcW w:w="4252" w:type="dxa"/>
            <w:vAlign w:val="center"/>
          </w:tcPr>
          <w:p w14:paraId="472AB60A" w14:textId="5F698542" w:rsidR="006643A5" w:rsidRPr="00AC4363" w:rsidRDefault="006643A5" w:rsidP="004E0253">
            <w:pPr>
              <w:spacing w:after="0"/>
              <w:contextualSpacing/>
              <w:rPr>
                <w:sz w:val="20"/>
                <w:szCs w:val="20"/>
              </w:rPr>
            </w:pPr>
            <w:r w:rsidRPr="00AC4363">
              <w:rPr>
                <w:sz w:val="20"/>
                <w:szCs w:val="20"/>
              </w:rPr>
              <w:t>Evaluación del desempeño</w:t>
            </w:r>
            <w:r w:rsidR="00F671D6" w:rsidRPr="00AC4363">
              <w:rPr>
                <w:sz w:val="20"/>
                <w:szCs w:val="20"/>
              </w:rPr>
              <w:t>*</w:t>
            </w:r>
          </w:p>
        </w:tc>
        <w:tc>
          <w:tcPr>
            <w:tcW w:w="851" w:type="dxa"/>
            <w:vAlign w:val="center"/>
          </w:tcPr>
          <w:p w14:paraId="4C9684E2" w14:textId="7A8A6AC4" w:rsidR="006643A5" w:rsidRPr="00AC4363" w:rsidRDefault="00F671D6" w:rsidP="004E0253">
            <w:pPr>
              <w:spacing w:after="0"/>
              <w:contextualSpacing/>
              <w:rPr>
                <w:sz w:val="20"/>
                <w:szCs w:val="20"/>
              </w:rPr>
            </w:pPr>
            <w:r w:rsidRPr="00AC4363">
              <w:rPr>
                <w:sz w:val="20"/>
                <w:szCs w:val="20"/>
              </w:rPr>
              <w:t>0</w:t>
            </w:r>
            <w:r w:rsidR="006643A5" w:rsidRPr="00AC4363">
              <w:rPr>
                <w:sz w:val="20"/>
                <w:szCs w:val="20"/>
              </w:rPr>
              <w:t>.628</w:t>
            </w:r>
          </w:p>
        </w:tc>
        <w:tc>
          <w:tcPr>
            <w:tcW w:w="986" w:type="dxa"/>
            <w:vAlign w:val="center"/>
          </w:tcPr>
          <w:p w14:paraId="4574B77B" w14:textId="5923037E" w:rsidR="006643A5" w:rsidRPr="00AC4363" w:rsidRDefault="00F671D6" w:rsidP="004E0253">
            <w:pPr>
              <w:spacing w:after="0"/>
              <w:contextualSpacing/>
              <w:rPr>
                <w:sz w:val="20"/>
                <w:szCs w:val="20"/>
              </w:rPr>
            </w:pPr>
            <w:r w:rsidRPr="00AC4363">
              <w:rPr>
                <w:sz w:val="20"/>
                <w:szCs w:val="20"/>
              </w:rPr>
              <w:t>0</w:t>
            </w:r>
            <w:r w:rsidR="006643A5" w:rsidRPr="00AC4363">
              <w:rPr>
                <w:sz w:val="20"/>
                <w:szCs w:val="20"/>
              </w:rPr>
              <w:t>.436</w:t>
            </w:r>
          </w:p>
        </w:tc>
        <w:tc>
          <w:tcPr>
            <w:tcW w:w="573" w:type="dxa"/>
          </w:tcPr>
          <w:p w14:paraId="29AFBA4F" w14:textId="77777777" w:rsidR="006643A5" w:rsidRPr="00AC4363" w:rsidRDefault="006643A5" w:rsidP="004E0253">
            <w:pPr>
              <w:spacing w:after="0"/>
              <w:contextualSpacing/>
              <w:rPr>
                <w:sz w:val="20"/>
                <w:szCs w:val="20"/>
              </w:rPr>
            </w:pPr>
          </w:p>
        </w:tc>
        <w:tc>
          <w:tcPr>
            <w:tcW w:w="1092" w:type="dxa"/>
          </w:tcPr>
          <w:p w14:paraId="13B9A21A" w14:textId="04B9786F" w:rsidR="006643A5" w:rsidRPr="00AC4363" w:rsidRDefault="009C2DB4" w:rsidP="004E0253">
            <w:pPr>
              <w:spacing w:after="0"/>
              <w:contextualSpacing/>
              <w:jc w:val="center"/>
              <w:rPr>
                <w:sz w:val="20"/>
                <w:szCs w:val="20"/>
              </w:rPr>
            </w:pPr>
            <w:r w:rsidRPr="00AC4363">
              <w:rPr>
                <w:sz w:val="20"/>
                <w:szCs w:val="20"/>
              </w:rPr>
              <w:t>0.6</w:t>
            </w:r>
            <w:r w:rsidR="00621A18" w:rsidRPr="00AC4363">
              <w:rPr>
                <w:sz w:val="20"/>
                <w:szCs w:val="20"/>
              </w:rPr>
              <w:t>46</w:t>
            </w:r>
          </w:p>
        </w:tc>
      </w:tr>
      <w:tr w:rsidR="00F671D6" w:rsidRPr="00AC4363" w14:paraId="2B2C5BBB" w14:textId="538C83DB" w:rsidTr="00AC4363">
        <w:tc>
          <w:tcPr>
            <w:tcW w:w="1560" w:type="dxa"/>
            <w:vMerge/>
          </w:tcPr>
          <w:p w14:paraId="57541E88" w14:textId="77777777" w:rsidR="006643A5" w:rsidRPr="00AC4363" w:rsidRDefault="006643A5" w:rsidP="004E0253">
            <w:pPr>
              <w:spacing w:after="0"/>
              <w:contextualSpacing/>
              <w:rPr>
                <w:sz w:val="20"/>
                <w:szCs w:val="20"/>
              </w:rPr>
            </w:pPr>
          </w:p>
        </w:tc>
        <w:tc>
          <w:tcPr>
            <w:tcW w:w="4252" w:type="dxa"/>
            <w:vAlign w:val="center"/>
          </w:tcPr>
          <w:p w14:paraId="51243447" w14:textId="6E2A16E8" w:rsidR="006643A5" w:rsidRPr="00AC4363" w:rsidRDefault="006643A5" w:rsidP="004E0253">
            <w:pPr>
              <w:spacing w:after="0"/>
              <w:contextualSpacing/>
              <w:rPr>
                <w:sz w:val="20"/>
                <w:szCs w:val="20"/>
              </w:rPr>
            </w:pPr>
            <w:r w:rsidRPr="00AC4363">
              <w:rPr>
                <w:sz w:val="20"/>
                <w:szCs w:val="20"/>
              </w:rPr>
              <w:t>Gestión de recursos</w:t>
            </w:r>
            <w:r w:rsidR="00F671D6" w:rsidRPr="00AC4363">
              <w:rPr>
                <w:sz w:val="20"/>
                <w:szCs w:val="20"/>
              </w:rPr>
              <w:t>*</w:t>
            </w:r>
          </w:p>
        </w:tc>
        <w:tc>
          <w:tcPr>
            <w:tcW w:w="851" w:type="dxa"/>
            <w:vAlign w:val="center"/>
          </w:tcPr>
          <w:p w14:paraId="74F65EB5" w14:textId="2B2ECB61" w:rsidR="006643A5" w:rsidRPr="00AC4363" w:rsidRDefault="00F671D6" w:rsidP="004E0253">
            <w:pPr>
              <w:spacing w:after="0"/>
              <w:contextualSpacing/>
              <w:rPr>
                <w:sz w:val="20"/>
                <w:szCs w:val="20"/>
              </w:rPr>
            </w:pPr>
            <w:r w:rsidRPr="00AC4363">
              <w:rPr>
                <w:sz w:val="20"/>
                <w:szCs w:val="20"/>
              </w:rPr>
              <w:t>0</w:t>
            </w:r>
            <w:r w:rsidR="006643A5" w:rsidRPr="00AC4363">
              <w:rPr>
                <w:sz w:val="20"/>
                <w:szCs w:val="20"/>
              </w:rPr>
              <w:t>.615</w:t>
            </w:r>
          </w:p>
        </w:tc>
        <w:tc>
          <w:tcPr>
            <w:tcW w:w="986" w:type="dxa"/>
            <w:vAlign w:val="center"/>
          </w:tcPr>
          <w:p w14:paraId="2A9C3A92" w14:textId="2F49F18F" w:rsidR="006643A5" w:rsidRPr="00AC4363" w:rsidRDefault="00F671D6" w:rsidP="004E0253">
            <w:pPr>
              <w:spacing w:after="0"/>
              <w:contextualSpacing/>
              <w:rPr>
                <w:sz w:val="20"/>
                <w:szCs w:val="20"/>
              </w:rPr>
            </w:pPr>
            <w:r w:rsidRPr="00AC4363">
              <w:rPr>
                <w:sz w:val="20"/>
                <w:szCs w:val="20"/>
              </w:rPr>
              <w:t>0</w:t>
            </w:r>
            <w:r w:rsidR="006643A5" w:rsidRPr="00AC4363">
              <w:rPr>
                <w:sz w:val="20"/>
                <w:szCs w:val="20"/>
              </w:rPr>
              <w:t>.483</w:t>
            </w:r>
          </w:p>
        </w:tc>
        <w:tc>
          <w:tcPr>
            <w:tcW w:w="573" w:type="dxa"/>
          </w:tcPr>
          <w:p w14:paraId="467FAD68" w14:textId="77777777" w:rsidR="006643A5" w:rsidRPr="00AC4363" w:rsidRDefault="006643A5" w:rsidP="004E0253">
            <w:pPr>
              <w:spacing w:after="0"/>
              <w:contextualSpacing/>
              <w:rPr>
                <w:sz w:val="20"/>
                <w:szCs w:val="20"/>
              </w:rPr>
            </w:pPr>
          </w:p>
        </w:tc>
        <w:tc>
          <w:tcPr>
            <w:tcW w:w="1092" w:type="dxa"/>
          </w:tcPr>
          <w:p w14:paraId="50AB3C2E" w14:textId="4A65F794" w:rsidR="006643A5" w:rsidRPr="00AC4363" w:rsidRDefault="00934D6E" w:rsidP="004E0253">
            <w:pPr>
              <w:spacing w:after="0"/>
              <w:contextualSpacing/>
              <w:jc w:val="center"/>
              <w:rPr>
                <w:sz w:val="20"/>
                <w:szCs w:val="20"/>
              </w:rPr>
            </w:pPr>
            <w:r w:rsidRPr="00AC4363">
              <w:rPr>
                <w:sz w:val="20"/>
                <w:szCs w:val="20"/>
              </w:rPr>
              <w:t>0</w:t>
            </w:r>
            <w:r w:rsidR="00037F84" w:rsidRPr="00AC4363">
              <w:rPr>
                <w:sz w:val="20"/>
                <w:szCs w:val="20"/>
              </w:rPr>
              <w:t>.69</w:t>
            </w:r>
            <w:r w:rsidR="00621A18" w:rsidRPr="00AC4363">
              <w:rPr>
                <w:sz w:val="20"/>
                <w:szCs w:val="20"/>
              </w:rPr>
              <w:t>3</w:t>
            </w:r>
          </w:p>
        </w:tc>
      </w:tr>
      <w:tr w:rsidR="00F671D6" w:rsidRPr="00AC4363" w14:paraId="666DB728" w14:textId="54307F76" w:rsidTr="00AC4363">
        <w:tc>
          <w:tcPr>
            <w:tcW w:w="1560" w:type="dxa"/>
            <w:vMerge/>
          </w:tcPr>
          <w:p w14:paraId="5FC7CC74" w14:textId="77777777" w:rsidR="006643A5" w:rsidRPr="00AC4363" w:rsidRDefault="006643A5" w:rsidP="004E0253">
            <w:pPr>
              <w:spacing w:after="0"/>
              <w:contextualSpacing/>
              <w:rPr>
                <w:sz w:val="20"/>
                <w:szCs w:val="20"/>
              </w:rPr>
            </w:pPr>
          </w:p>
        </w:tc>
        <w:tc>
          <w:tcPr>
            <w:tcW w:w="4252" w:type="dxa"/>
            <w:vAlign w:val="center"/>
          </w:tcPr>
          <w:p w14:paraId="0EFB6ED6" w14:textId="77777777" w:rsidR="006643A5" w:rsidRPr="00AC4363" w:rsidRDefault="006643A5" w:rsidP="004E0253">
            <w:pPr>
              <w:spacing w:after="0"/>
              <w:contextualSpacing/>
              <w:rPr>
                <w:sz w:val="20"/>
                <w:szCs w:val="20"/>
              </w:rPr>
            </w:pPr>
            <w:r w:rsidRPr="00AC4363">
              <w:rPr>
                <w:sz w:val="20"/>
                <w:szCs w:val="20"/>
              </w:rPr>
              <w:t>Evaluación de alternativas de solución</w:t>
            </w:r>
          </w:p>
        </w:tc>
        <w:tc>
          <w:tcPr>
            <w:tcW w:w="851" w:type="dxa"/>
            <w:vAlign w:val="center"/>
          </w:tcPr>
          <w:p w14:paraId="5ED7C269" w14:textId="3D3D0A8D" w:rsidR="006643A5" w:rsidRPr="00AC4363" w:rsidRDefault="00F671D6" w:rsidP="004E0253">
            <w:pPr>
              <w:spacing w:after="0"/>
              <w:contextualSpacing/>
              <w:rPr>
                <w:sz w:val="20"/>
                <w:szCs w:val="20"/>
              </w:rPr>
            </w:pPr>
            <w:r w:rsidRPr="00AC4363">
              <w:rPr>
                <w:sz w:val="20"/>
                <w:szCs w:val="20"/>
              </w:rPr>
              <w:t>0</w:t>
            </w:r>
            <w:r w:rsidR="006643A5" w:rsidRPr="00AC4363">
              <w:rPr>
                <w:sz w:val="20"/>
                <w:szCs w:val="20"/>
              </w:rPr>
              <w:t>.586</w:t>
            </w:r>
          </w:p>
        </w:tc>
        <w:tc>
          <w:tcPr>
            <w:tcW w:w="986" w:type="dxa"/>
            <w:vAlign w:val="center"/>
          </w:tcPr>
          <w:p w14:paraId="164A189A" w14:textId="42C4D8C2" w:rsidR="006643A5" w:rsidRPr="00AC4363" w:rsidRDefault="00F671D6" w:rsidP="004E0253">
            <w:pPr>
              <w:spacing w:after="0"/>
              <w:contextualSpacing/>
              <w:rPr>
                <w:sz w:val="20"/>
                <w:szCs w:val="20"/>
              </w:rPr>
            </w:pPr>
            <w:r w:rsidRPr="00AC4363">
              <w:rPr>
                <w:sz w:val="20"/>
                <w:szCs w:val="20"/>
              </w:rPr>
              <w:t>0</w:t>
            </w:r>
            <w:r w:rsidR="006643A5" w:rsidRPr="00AC4363">
              <w:rPr>
                <w:sz w:val="20"/>
                <w:szCs w:val="20"/>
              </w:rPr>
              <w:t>.466</w:t>
            </w:r>
          </w:p>
        </w:tc>
        <w:tc>
          <w:tcPr>
            <w:tcW w:w="573" w:type="dxa"/>
          </w:tcPr>
          <w:p w14:paraId="339E9959" w14:textId="77777777" w:rsidR="006643A5" w:rsidRPr="00AC4363" w:rsidRDefault="006643A5" w:rsidP="004E0253">
            <w:pPr>
              <w:spacing w:after="0"/>
              <w:contextualSpacing/>
              <w:rPr>
                <w:sz w:val="20"/>
                <w:szCs w:val="20"/>
              </w:rPr>
            </w:pPr>
          </w:p>
        </w:tc>
        <w:tc>
          <w:tcPr>
            <w:tcW w:w="1092" w:type="dxa"/>
          </w:tcPr>
          <w:p w14:paraId="6396A808" w14:textId="4F7BF444" w:rsidR="006643A5" w:rsidRPr="00AC4363" w:rsidRDefault="00037F84" w:rsidP="004E0253">
            <w:pPr>
              <w:spacing w:after="0"/>
              <w:contextualSpacing/>
              <w:jc w:val="center"/>
              <w:rPr>
                <w:sz w:val="20"/>
                <w:szCs w:val="20"/>
              </w:rPr>
            </w:pPr>
            <w:r w:rsidRPr="00AC4363">
              <w:rPr>
                <w:sz w:val="20"/>
                <w:szCs w:val="20"/>
              </w:rPr>
              <w:t>0.</w:t>
            </w:r>
            <w:r w:rsidR="00621A18" w:rsidRPr="00AC4363">
              <w:rPr>
                <w:sz w:val="20"/>
                <w:szCs w:val="20"/>
              </w:rPr>
              <w:t>595</w:t>
            </w:r>
          </w:p>
        </w:tc>
      </w:tr>
      <w:tr w:rsidR="00F671D6" w:rsidRPr="00AC4363" w14:paraId="7472ACBB" w14:textId="25B936C4" w:rsidTr="00AC4363">
        <w:tc>
          <w:tcPr>
            <w:tcW w:w="1560" w:type="dxa"/>
            <w:vMerge/>
          </w:tcPr>
          <w:p w14:paraId="1A1872D8" w14:textId="77777777" w:rsidR="006643A5" w:rsidRPr="00AC4363" w:rsidRDefault="006643A5" w:rsidP="004E0253">
            <w:pPr>
              <w:spacing w:after="0"/>
              <w:contextualSpacing/>
              <w:rPr>
                <w:sz w:val="20"/>
                <w:szCs w:val="20"/>
              </w:rPr>
            </w:pPr>
          </w:p>
        </w:tc>
        <w:tc>
          <w:tcPr>
            <w:tcW w:w="4252" w:type="dxa"/>
            <w:vAlign w:val="center"/>
          </w:tcPr>
          <w:p w14:paraId="36FA7EDE" w14:textId="03FDC490" w:rsidR="006643A5" w:rsidRPr="00AC4363" w:rsidRDefault="006643A5" w:rsidP="004E0253">
            <w:pPr>
              <w:spacing w:after="0"/>
              <w:contextualSpacing/>
              <w:rPr>
                <w:sz w:val="20"/>
                <w:szCs w:val="20"/>
              </w:rPr>
            </w:pPr>
            <w:r w:rsidRPr="00AC4363">
              <w:rPr>
                <w:sz w:val="20"/>
                <w:szCs w:val="20"/>
              </w:rPr>
              <w:t>Aplicación sistémica de causa efecto</w:t>
            </w:r>
          </w:p>
        </w:tc>
        <w:tc>
          <w:tcPr>
            <w:tcW w:w="851" w:type="dxa"/>
            <w:vAlign w:val="center"/>
          </w:tcPr>
          <w:p w14:paraId="42E1DF8B" w14:textId="77777777" w:rsidR="006643A5" w:rsidRPr="00AC4363" w:rsidRDefault="006643A5" w:rsidP="004E0253">
            <w:pPr>
              <w:spacing w:after="0"/>
              <w:contextualSpacing/>
              <w:rPr>
                <w:sz w:val="20"/>
                <w:szCs w:val="20"/>
              </w:rPr>
            </w:pPr>
            <w:r w:rsidRPr="00AC4363">
              <w:rPr>
                <w:sz w:val="20"/>
                <w:szCs w:val="20"/>
              </w:rPr>
              <w:t>0.524</w:t>
            </w:r>
          </w:p>
        </w:tc>
        <w:tc>
          <w:tcPr>
            <w:tcW w:w="986" w:type="dxa"/>
            <w:vAlign w:val="center"/>
          </w:tcPr>
          <w:p w14:paraId="6E49A99D" w14:textId="14BC7434" w:rsidR="006643A5" w:rsidRPr="00AC4363" w:rsidRDefault="00F671D6" w:rsidP="004E0253">
            <w:pPr>
              <w:spacing w:after="0"/>
              <w:contextualSpacing/>
              <w:rPr>
                <w:sz w:val="20"/>
                <w:szCs w:val="20"/>
              </w:rPr>
            </w:pPr>
            <w:r w:rsidRPr="00AC4363">
              <w:rPr>
                <w:sz w:val="20"/>
                <w:szCs w:val="20"/>
              </w:rPr>
              <w:t>0</w:t>
            </w:r>
            <w:r w:rsidR="006643A5" w:rsidRPr="00AC4363">
              <w:rPr>
                <w:sz w:val="20"/>
                <w:szCs w:val="20"/>
              </w:rPr>
              <w:t>.648</w:t>
            </w:r>
          </w:p>
        </w:tc>
        <w:tc>
          <w:tcPr>
            <w:tcW w:w="573" w:type="dxa"/>
          </w:tcPr>
          <w:p w14:paraId="1AFCEF3D" w14:textId="77777777" w:rsidR="006643A5" w:rsidRPr="00AC4363" w:rsidRDefault="006643A5" w:rsidP="004E0253">
            <w:pPr>
              <w:spacing w:after="0"/>
              <w:contextualSpacing/>
              <w:rPr>
                <w:sz w:val="20"/>
                <w:szCs w:val="20"/>
              </w:rPr>
            </w:pPr>
          </w:p>
        </w:tc>
        <w:tc>
          <w:tcPr>
            <w:tcW w:w="1092" w:type="dxa"/>
          </w:tcPr>
          <w:p w14:paraId="4D76BA58" w14:textId="0FDDA4FB" w:rsidR="006643A5" w:rsidRPr="00AC4363" w:rsidRDefault="00037F84" w:rsidP="004E0253">
            <w:pPr>
              <w:spacing w:after="0"/>
              <w:contextualSpacing/>
              <w:jc w:val="center"/>
              <w:rPr>
                <w:sz w:val="20"/>
                <w:szCs w:val="20"/>
              </w:rPr>
            </w:pPr>
            <w:r w:rsidRPr="00AC4363">
              <w:rPr>
                <w:sz w:val="20"/>
                <w:szCs w:val="20"/>
              </w:rPr>
              <w:t>0.6</w:t>
            </w:r>
            <w:r w:rsidR="00621A18" w:rsidRPr="00AC4363">
              <w:rPr>
                <w:sz w:val="20"/>
                <w:szCs w:val="20"/>
              </w:rPr>
              <w:t>7</w:t>
            </w:r>
            <w:r w:rsidRPr="00AC4363">
              <w:rPr>
                <w:sz w:val="20"/>
                <w:szCs w:val="20"/>
              </w:rPr>
              <w:t>4</w:t>
            </w:r>
          </w:p>
        </w:tc>
      </w:tr>
      <w:tr w:rsidR="00F671D6" w:rsidRPr="00AC4363" w14:paraId="35728F52" w14:textId="5ED7A433" w:rsidTr="00AC4363">
        <w:tc>
          <w:tcPr>
            <w:tcW w:w="1560" w:type="dxa"/>
            <w:vMerge/>
          </w:tcPr>
          <w:p w14:paraId="6E597D43" w14:textId="77777777" w:rsidR="006643A5" w:rsidRPr="00AC4363" w:rsidRDefault="006643A5" w:rsidP="004E0253">
            <w:pPr>
              <w:spacing w:after="0"/>
              <w:contextualSpacing/>
              <w:rPr>
                <w:sz w:val="20"/>
                <w:szCs w:val="20"/>
              </w:rPr>
            </w:pPr>
          </w:p>
        </w:tc>
        <w:tc>
          <w:tcPr>
            <w:tcW w:w="4252" w:type="dxa"/>
            <w:vAlign w:val="center"/>
          </w:tcPr>
          <w:p w14:paraId="7A2772F1" w14:textId="1543A6FA" w:rsidR="006643A5" w:rsidRPr="00AC4363" w:rsidRDefault="006643A5" w:rsidP="004E0253">
            <w:pPr>
              <w:spacing w:after="0"/>
              <w:contextualSpacing/>
              <w:rPr>
                <w:sz w:val="20"/>
                <w:szCs w:val="20"/>
              </w:rPr>
            </w:pPr>
            <w:r w:rsidRPr="00AC4363">
              <w:rPr>
                <w:sz w:val="20"/>
                <w:szCs w:val="20"/>
              </w:rPr>
              <w:t>Formulación y relevancia del problema</w:t>
            </w:r>
            <w:r w:rsidR="00F671D6" w:rsidRPr="00AC4363">
              <w:rPr>
                <w:sz w:val="20"/>
                <w:szCs w:val="20"/>
              </w:rPr>
              <w:t>*</w:t>
            </w:r>
          </w:p>
        </w:tc>
        <w:tc>
          <w:tcPr>
            <w:tcW w:w="851" w:type="dxa"/>
            <w:vAlign w:val="center"/>
          </w:tcPr>
          <w:p w14:paraId="56716E47" w14:textId="69CA938B" w:rsidR="006643A5" w:rsidRPr="00AC4363" w:rsidRDefault="00F671D6" w:rsidP="004E0253">
            <w:pPr>
              <w:spacing w:after="0"/>
              <w:contextualSpacing/>
              <w:rPr>
                <w:sz w:val="20"/>
                <w:szCs w:val="20"/>
              </w:rPr>
            </w:pPr>
            <w:r w:rsidRPr="00AC4363">
              <w:rPr>
                <w:sz w:val="20"/>
                <w:szCs w:val="20"/>
              </w:rPr>
              <w:t>0</w:t>
            </w:r>
            <w:r w:rsidR="006643A5" w:rsidRPr="00AC4363">
              <w:rPr>
                <w:sz w:val="20"/>
                <w:szCs w:val="20"/>
              </w:rPr>
              <w:t>.586</w:t>
            </w:r>
          </w:p>
        </w:tc>
        <w:tc>
          <w:tcPr>
            <w:tcW w:w="986" w:type="dxa"/>
            <w:vAlign w:val="center"/>
          </w:tcPr>
          <w:p w14:paraId="58A074D4" w14:textId="1CC2ADAF" w:rsidR="006643A5" w:rsidRPr="00AC4363" w:rsidRDefault="00F671D6" w:rsidP="004E0253">
            <w:pPr>
              <w:spacing w:after="0"/>
              <w:contextualSpacing/>
              <w:rPr>
                <w:sz w:val="20"/>
                <w:szCs w:val="20"/>
              </w:rPr>
            </w:pPr>
            <w:r w:rsidRPr="00AC4363">
              <w:rPr>
                <w:sz w:val="20"/>
                <w:szCs w:val="20"/>
              </w:rPr>
              <w:t>0</w:t>
            </w:r>
            <w:r w:rsidR="006643A5" w:rsidRPr="00AC4363">
              <w:rPr>
                <w:sz w:val="20"/>
                <w:szCs w:val="20"/>
              </w:rPr>
              <w:t>.506</w:t>
            </w:r>
          </w:p>
        </w:tc>
        <w:tc>
          <w:tcPr>
            <w:tcW w:w="573" w:type="dxa"/>
          </w:tcPr>
          <w:p w14:paraId="1EAEDD75" w14:textId="77777777" w:rsidR="006643A5" w:rsidRPr="00AC4363" w:rsidRDefault="006643A5" w:rsidP="004E0253">
            <w:pPr>
              <w:spacing w:after="0"/>
              <w:contextualSpacing/>
              <w:rPr>
                <w:sz w:val="20"/>
                <w:szCs w:val="20"/>
              </w:rPr>
            </w:pPr>
          </w:p>
        </w:tc>
        <w:tc>
          <w:tcPr>
            <w:tcW w:w="1092" w:type="dxa"/>
          </w:tcPr>
          <w:p w14:paraId="11C31764" w14:textId="0B53125D" w:rsidR="006643A5" w:rsidRPr="00AC4363" w:rsidRDefault="00037F84" w:rsidP="004E0253">
            <w:pPr>
              <w:spacing w:after="0"/>
              <w:contextualSpacing/>
              <w:jc w:val="center"/>
              <w:rPr>
                <w:sz w:val="20"/>
                <w:szCs w:val="20"/>
              </w:rPr>
            </w:pPr>
            <w:r w:rsidRPr="00AC4363">
              <w:rPr>
                <w:sz w:val="20"/>
                <w:szCs w:val="20"/>
              </w:rPr>
              <w:t>0.63</w:t>
            </w:r>
            <w:r w:rsidR="00621A18" w:rsidRPr="00AC4363">
              <w:rPr>
                <w:sz w:val="20"/>
                <w:szCs w:val="20"/>
              </w:rPr>
              <w:t>1</w:t>
            </w:r>
          </w:p>
        </w:tc>
      </w:tr>
      <w:tr w:rsidR="00F671D6" w:rsidRPr="00AC4363" w14:paraId="63A769F1" w14:textId="04650929" w:rsidTr="00AC4363">
        <w:tc>
          <w:tcPr>
            <w:tcW w:w="1560" w:type="dxa"/>
            <w:vMerge w:val="restart"/>
          </w:tcPr>
          <w:p w14:paraId="06F11103" w14:textId="492F55F6" w:rsidR="00EE1299" w:rsidRPr="00AC4363" w:rsidRDefault="00EE1299" w:rsidP="004E0253">
            <w:pPr>
              <w:spacing w:after="0"/>
              <w:contextualSpacing/>
              <w:rPr>
                <w:sz w:val="20"/>
                <w:szCs w:val="20"/>
              </w:rPr>
            </w:pPr>
            <w:r w:rsidRPr="00AC4363">
              <w:rPr>
                <w:sz w:val="20"/>
                <w:szCs w:val="20"/>
              </w:rPr>
              <w:t xml:space="preserve">Capacidad </w:t>
            </w:r>
            <w:r w:rsidR="00F671D6" w:rsidRPr="00AC4363">
              <w:rPr>
                <w:sz w:val="20"/>
                <w:szCs w:val="20"/>
              </w:rPr>
              <w:t>para</w:t>
            </w:r>
            <w:r w:rsidRPr="00AC4363">
              <w:rPr>
                <w:sz w:val="20"/>
                <w:szCs w:val="20"/>
              </w:rPr>
              <w:t xml:space="preserve"> </w:t>
            </w:r>
            <w:r w:rsidR="00F671D6" w:rsidRPr="00AC4363">
              <w:rPr>
                <w:sz w:val="20"/>
                <w:szCs w:val="20"/>
              </w:rPr>
              <w:t>i</w:t>
            </w:r>
            <w:r w:rsidRPr="00AC4363">
              <w:rPr>
                <w:sz w:val="20"/>
                <w:szCs w:val="20"/>
              </w:rPr>
              <w:t>nvestigar</w:t>
            </w:r>
          </w:p>
        </w:tc>
        <w:tc>
          <w:tcPr>
            <w:tcW w:w="4252" w:type="dxa"/>
            <w:vAlign w:val="center"/>
          </w:tcPr>
          <w:p w14:paraId="692659DB" w14:textId="77777777" w:rsidR="00EE1299" w:rsidRPr="00AC4363" w:rsidRDefault="00EE1299" w:rsidP="004E0253">
            <w:pPr>
              <w:spacing w:after="0"/>
              <w:contextualSpacing/>
              <w:rPr>
                <w:sz w:val="20"/>
                <w:szCs w:val="20"/>
              </w:rPr>
            </w:pPr>
            <w:r w:rsidRPr="00AC4363">
              <w:rPr>
                <w:sz w:val="20"/>
                <w:szCs w:val="20"/>
              </w:rPr>
              <w:t>Capacidad de diseñar experimentos</w:t>
            </w:r>
          </w:p>
        </w:tc>
        <w:tc>
          <w:tcPr>
            <w:tcW w:w="851" w:type="dxa"/>
            <w:vAlign w:val="center"/>
          </w:tcPr>
          <w:p w14:paraId="7F52287B" w14:textId="77777777" w:rsidR="00EE1299" w:rsidRPr="00AC4363" w:rsidRDefault="00EE1299" w:rsidP="004E0253">
            <w:pPr>
              <w:spacing w:after="0"/>
              <w:contextualSpacing/>
              <w:rPr>
                <w:sz w:val="20"/>
                <w:szCs w:val="20"/>
              </w:rPr>
            </w:pPr>
          </w:p>
        </w:tc>
        <w:tc>
          <w:tcPr>
            <w:tcW w:w="986" w:type="dxa"/>
            <w:vAlign w:val="center"/>
          </w:tcPr>
          <w:p w14:paraId="0DE7F58A" w14:textId="738DCE4A" w:rsidR="00EE1299" w:rsidRPr="00AC4363" w:rsidRDefault="00F671D6" w:rsidP="004E0253">
            <w:pPr>
              <w:spacing w:after="0"/>
              <w:contextualSpacing/>
              <w:rPr>
                <w:sz w:val="20"/>
                <w:szCs w:val="20"/>
              </w:rPr>
            </w:pPr>
            <w:r w:rsidRPr="00AC4363">
              <w:rPr>
                <w:sz w:val="20"/>
                <w:szCs w:val="20"/>
              </w:rPr>
              <w:t>0</w:t>
            </w:r>
            <w:r w:rsidR="00EE1299" w:rsidRPr="00AC4363">
              <w:rPr>
                <w:sz w:val="20"/>
                <w:szCs w:val="20"/>
              </w:rPr>
              <w:t>.764</w:t>
            </w:r>
          </w:p>
        </w:tc>
        <w:tc>
          <w:tcPr>
            <w:tcW w:w="573" w:type="dxa"/>
          </w:tcPr>
          <w:p w14:paraId="16C3768B" w14:textId="77777777" w:rsidR="00EE1299" w:rsidRPr="00AC4363" w:rsidRDefault="00EE1299" w:rsidP="004E0253">
            <w:pPr>
              <w:spacing w:after="0"/>
              <w:contextualSpacing/>
              <w:rPr>
                <w:sz w:val="20"/>
                <w:szCs w:val="20"/>
              </w:rPr>
            </w:pPr>
          </w:p>
        </w:tc>
        <w:tc>
          <w:tcPr>
            <w:tcW w:w="1092" w:type="dxa"/>
          </w:tcPr>
          <w:p w14:paraId="331D155B" w14:textId="322066E3" w:rsidR="00EE1299" w:rsidRPr="00AC4363" w:rsidRDefault="00037F84" w:rsidP="004E0253">
            <w:pPr>
              <w:spacing w:after="0"/>
              <w:contextualSpacing/>
              <w:jc w:val="center"/>
              <w:rPr>
                <w:sz w:val="20"/>
                <w:szCs w:val="20"/>
              </w:rPr>
            </w:pPr>
            <w:r w:rsidRPr="00AC4363">
              <w:rPr>
                <w:sz w:val="20"/>
                <w:szCs w:val="20"/>
              </w:rPr>
              <w:t>0.7</w:t>
            </w:r>
            <w:r w:rsidR="00621A18" w:rsidRPr="00AC4363">
              <w:rPr>
                <w:sz w:val="20"/>
                <w:szCs w:val="20"/>
              </w:rPr>
              <w:t>58</w:t>
            </w:r>
          </w:p>
        </w:tc>
      </w:tr>
      <w:tr w:rsidR="00F671D6" w:rsidRPr="00AC4363" w14:paraId="39F85F83" w14:textId="7DC90505" w:rsidTr="00AC4363">
        <w:tc>
          <w:tcPr>
            <w:tcW w:w="1560" w:type="dxa"/>
            <w:vMerge/>
          </w:tcPr>
          <w:p w14:paraId="28982C47" w14:textId="77777777" w:rsidR="00EE1299" w:rsidRPr="00AC4363" w:rsidRDefault="00EE1299" w:rsidP="004E0253">
            <w:pPr>
              <w:spacing w:after="0"/>
              <w:contextualSpacing/>
              <w:rPr>
                <w:sz w:val="20"/>
                <w:szCs w:val="20"/>
              </w:rPr>
            </w:pPr>
          </w:p>
        </w:tc>
        <w:tc>
          <w:tcPr>
            <w:tcW w:w="4252" w:type="dxa"/>
            <w:vAlign w:val="center"/>
          </w:tcPr>
          <w:p w14:paraId="70E75E95" w14:textId="77777777" w:rsidR="00EE1299" w:rsidRPr="00AC4363" w:rsidRDefault="00EE1299" w:rsidP="004E0253">
            <w:pPr>
              <w:spacing w:after="0"/>
              <w:contextualSpacing/>
              <w:rPr>
                <w:sz w:val="20"/>
                <w:szCs w:val="20"/>
              </w:rPr>
            </w:pPr>
            <w:r w:rsidRPr="00AC4363">
              <w:rPr>
                <w:sz w:val="20"/>
                <w:szCs w:val="20"/>
              </w:rPr>
              <w:t>Justificación y relevancia</w:t>
            </w:r>
          </w:p>
        </w:tc>
        <w:tc>
          <w:tcPr>
            <w:tcW w:w="851" w:type="dxa"/>
            <w:vAlign w:val="center"/>
          </w:tcPr>
          <w:p w14:paraId="77245C35" w14:textId="77777777" w:rsidR="00EE1299" w:rsidRPr="00AC4363" w:rsidRDefault="00EE1299" w:rsidP="004E0253">
            <w:pPr>
              <w:spacing w:after="0"/>
              <w:contextualSpacing/>
              <w:rPr>
                <w:sz w:val="20"/>
                <w:szCs w:val="20"/>
              </w:rPr>
            </w:pPr>
          </w:p>
        </w:tc>
        <w:tc>
          <w:tcPr>
            <w:tcW w:w="986" w:type="dxa"/>
            <w:vAlign w:val="center"/>
          </w:tcPr>
          <w:p w14:paraId="48F2549D" w14:textId="222FE42C" w:rsidR="00EE1299" w:rsidRPr="00AC4363" w:rsidRDefault="00F671D6" w:rsidP="004E0253">
            <w:pPr>
              <w:spacing w:after="0"/>
              <w:contextualSpacing/>
              <w:rPr>
                <w:sz w:val="20"/>
                <w:szCs w:val="20"/>
              </w:rPr>
            </w:pPr>
            <w:r w:rsidRPr="00AC4363">
              <w:rPr>
                <w:sz w:val="20"/>
                <w:szCs w:val="20"/>
              </w:rPr>
              <w:t>0</w:t>
            </w:r>
            <w:r w:rsidR="00EE1299" w:rsidRPr="00AC4363">
              <w:rPr>
                <w:sz w:val="20"/>
                <w:szCs w:val="20"/>
              </w:rPr>
              <w:t>.748</w:t>
            </w:r>
          </w:p>
        </w:tc>
        <w:tc>
          <w:tcPr>
            <w:tcW w:w="573" w:type="dxa"/>
          </w:tcPr>
          <w:p w14:paraId="13A4F284" w14:textId="77777777" w:rsidR="00EE1299" w:rsidRPr="00AC4363" w:rsidRDefault="00EE1299" w:rsidP="004E0253">
            <w:pPr>
              <w:spacing w:after="0"/>
              <w:contextualSpacing/>
              <w:rPr>
                <w:sz w:val="20"/>
                <w:szCs w:val="20"/>
              </w:rPr>
            </w:pPr>
          </w:p>
        </w:tc>
        <w:tc>
          <w:tcPr>
            <w:tcW w:w="1092" w:type="dxa"/>
          </w:tcPr>
          <w:p w14:paraId="23D27D2A" w14:textId="0D116EBB" w:rsidR="00EE1299" w:rsidRPr="00AC4363" w:rsidRDefault="00037F84" w:rsidP="004E0253">
            <w:pPr>
              <w:spacing w:after="0"/>
              <w:contextualSpacing/>
              <w:jc w:val="center"/>
              <w:rPr>
                <w:sz w:val="20"/>
                <w:szCs w:val="20"/>
              </w:rPr>
            </w:pPr>
            <w:r w:rsidRPr="00AC4363">
              <w:rPr>
                <w:sz w:val="20"/>
                <w:szCs w:val="20"/>
              </w:rPr>
              <w:t>0.7</w:t>
            </w:r>
            <w:r w:rsidR="00621A18" w:rsidRPr="00AC4363">
              <w:rPr>
                <w:sz w:val="20"/>
                <w:szCs w:val="20"/>
              </w:rPr>
              <w:t>18</w:t>
            </w:r>
          </w:p>
        </w:tc>
      </w:tr>
      <w:tr w:rsidR="00F671D6" w:rsidRPr="00AC4363" w14:paraId="063D03CA" w14:textId="5D1880C2" w:rsidTr="00AC4363">
        <w:tc>
          <w:tcPr>
            <w:tcW w:w="1560" w:type="dxa"/>
            <w:vMerge/>
          </w:tcPr>
          <w:p w14:paraId="0874E8DA" w14:textId="77777777" w:rsidR="00EE1299" w:rsidRPr="00AC4363" w:rsidRDefault="00EE1299" w:rsidP="004E0253">
            <w:pPr>
              <w:spacing w:after="0"/>
              <w:contextualSpacing/>
              <w:rPr>
                <w:sz w:val="20"/>
                <w:szCs w:val="20"/>
              </w:rPr>
            </w:pPr>
          </w:p>
        </w:tc>
        <w:tc>
          <w:tcPr>
            <w:tcW w:w="4252" w:type="dxa"/>
            <w:vAlign w:val="center"/>
          </w:tcPr>
          <w:p w14:paraId="0815B8E2" w14:textId="77777777" w:rsidR="00EE1299" w:rsidRPr="00AC4363" w:rsidRDefault="00EE1299" w:rsidP="004E0253">
            <w:pPr>
              <w:spacing w:after="0"/>
              <w:contextualSpacing/>
              <w:rPr>
                <w:sz w:val="20"/>
                <w:szCs w:val="20"/>
              </w:rPr>
            </w:pPr>
            <w:r w:rsidRPr="00AC4363">
              <w:rPr>
                <w:sz w:val="20"/>
                <w:szCs w:val="20"/>
              </w:rPr>
              <w:t>Aplicación de métodos estadísticos</w:t>
            </w:r>
          </w:p>
        </w:tc>
        <w:tc>
          <w:tcPr>
            <w:tcW w:w="851" w:type="dxa"/>
            <w:vAlign w:val="center"/>
          </w:tcPr>
          <w:p w14:paraId="446266BB" w14:textId="77777777" w:rsidR="00EE1299" w:rsidRPr="00AC4363" w:rsidRDefault="00EE1299" w:rsidP="004E0253">
            <w:pPr>
              <w:spacing w:after="0"/>
              <w:contextualSpacing/>
              <w:rPr>
                <w:sz w:val="20"/>
                <w:szCs w:val="20"/>
              </w:rPr>
            </w:pPr>
          </w:p>
        </w:tc>
        <w:tc>
          <w:tcPr>
            <w:tcW w:w="986" w:type="dxa"/>
            <w:vAlign w:val="center"/>
          </w:tcPr>
          <w:p w14:paraId="0E0BE95B" w14:textId="2251260E" w:rsidR="00EE1299" w:rsidRPr="00AC4363" w:rsidRDefault="00F671D6" w:rsidP="004E0253">
            <w:pPr>
              <w:spacing w:after="0"/>
              <w:contextualSpacing/>
              <w:rPr>
                <w:sz w:val="20"/>
                <w:szCs w:val="20"/>
              </w:rPr>
            </w:pPr>
            <w:r w:rsidRPr="00AC4363">
              <w:rPr>
                <w:sz w:val="20"/>
                <w:szCs w:val="20"/>
              </w:rPr>
              <w:t>0</w:t>
            </w:r>
            <w:r w:rsidR="00EE1299" w:rsidRPr="00AC4363">
              <w:rPr>
                <w:sz w:val="20"/>
                <w:szCs w:val="20"/>
              </w:rPr>
              <w:t>.665</w:t>
            </w:r>
          </w:p>
        </w:tc>
        <w:tc>
          <w:tcPr>
            <w:tcW w:w="573" w:type="dxa"/>
          </w:tcPr>
          <w:p w14:paraId="7A03FE3B" w14:textId="77777777" w:rsidR="00EE1299" w:rsidRPr="00AC4363" w:rsidRDefault="00EE1299" w:rsidP="004E0253">
            <w:pPr>
              <w:spacing w:after="0"/>
              <w:contextualSpacing/>
              <w:rPr>
                <w:sz w:val="20"/>
                <w:szCs w:val="20"/>
              </w:rPr>
            </w:pPr>
          </w:p>
        </w:tc>
        <w:tc>
          <w:tcPr>
            <w:tcW w:w="1092" w:type="dxa"/>
          </w:tcPr>
          <w:p w14:paraId="10107DC7" w14:textId="425863DF" w:rsidR="00EE1299" w:rsidRPr="00AC4363" w:rsidRDefault="00037F84" w:rsidP="004E0253">
            <w:pPr>
              <w:spacing w:after="0"/>
              <w:contextualSpacing/>
              <w:jc w:val="center"/>
              <w:rPr>
                <w:sz w:val="20"/>
                <w:szCs w:val="20"/>
              </w:rPr>
            </w:pPr>
            <w:r w:rsidRPr="00AC4363">
              <w:rPr>
                <w:sz w:val="20"/>
                <w:szCs w:val="20"/>
              </w:rPr>
              <w:t>0.6</w:t>
            </w:r>
            <w:r w:rsidR="00621A18" w:rsidRPr="00AC4363">
              <w:rPr>
                <w:sz w:val="20"/>
                <w:szCs w:val="20"/>
              </w:rPr>
              <w:t>90</w:t>
            </w:r>
          </w:p>
        </w:tc>
      </w:tr>
      <w:tr w:rsidR="00F671D6" w:rsidRPr="00AC4363" w14:paraId="71FC8E17" w14:textId="63B5F2F6" w:rsidTr="00AC4363">
        <w:tc>
          <w:tcPr>
            <w:tcW w:w="1560" w:type="dxa"/>
            <w:vMerge/>
          </w:tcPr>
          <w:p w14:paraId="6DC714A7" w14:textId="77777777" w:rsidR="00EE1299" w:rsidRPr="00AC4363" w:rsidRDefault="00EE1299" w:rsidP="004E0253">
            <w:pPr>
              <w:spacing w:after="0"/>
              <w:contextualSpacing/>
              <w:rPr>
                <w:sz w:val="20"/>
                <w:szCs w:val="20"/>
              </w:rPr>
            </w:pPr>
          </w:p>
        </w:tc>
        <w:tc>
          <w:tcPr>
            <w:tcW w:w="4252" w:type="dxa"/>
            <w:vAlign w:val="center"/>
          </w:tcPr>
          <w:p w14:paraId="09703452" w14:textId="77777777" w:rsidR="00EE1299" w:rsidRPr="00AC4363" w:rsidRDefault="00EE1299" w:rsidP="004E0253">
            <w:pPr>
              <w:spacing w:after="0"/>
              <w:contextualSpacing/>
              <w:rPr>
                <w:sz w:val="20"/>
                <w:szCs w:val="20"/>
              </w:rPr>
            </w:pPr>
            <w:r w:rsidRPr="00AC4363">
              <w:rPr>
                <w:sz w:val="20"/>
                <w:szCs w:val="20"/>
              </w:rPr>
              <w:t>Formulación clara y precisa del problema de investigación</w:t>
            </w:r>
          </w:p>
        </w:tc>
        <w:tc>
          <w:tcPr>
            <w:tcW w:w="851" w:type="dxa"/>
            <w:vAlign w:val="center"/>
          </w:tcPr>
          <w:p w14:paraId="3093E5C3" w14:textId="77777777" w:rsidR="00EE1299" w:rsidRPr="00AC4363" w:rsidRDefault="00EE1299" w:rsidP="004E0253">
            <w:pPr>
              <w:spacing w:after="0"/>
              <w:contextualSpacing/>
              <w:rPr>
                <w:sz w:val="20"/>
                <w:szCs w:val="20"/>
              </w:rPr>
            </w:pPr>
          </w:p>
        </w:tc>
        <w:tc>
          <w:tcPr>
            <w:tcW w:w="986" w:type="dxa"/>
            <w:vAlign w:val="center"/>
          </w:tcPr>
          <w:p w14:paraId="3E4EE9E5" w14:textId="77777777" w:rsidR="004E0253" w:rsidRPr="00AC4363" w:rsidRDefault="004E0253" w:rsidP="004E0253">
            <w:pPr>
              <w:spacing w:after="0"/>
              <w:contextualSpacing/>
              <w:rPr>
                <w:sz w:val="20"/>
                <w:szCs w:val="20"/>
              </w:rPr>
            </w:pPr>
          </w:p>
          <w:p w14:paraId="34E2379E" w14:textId="3B36BF1F" w:rsidR="00EE1299" w:rsidRPr="00AC4363" w:rsidRDefault="00F671D6" w:rsidP="004E0253">
            <w:pPr>
              <w:spacing w:after="0"/>
              <w:contextualSpacing/>
              <w:rPr>
                <w:sz w:val="20"/>
                <w:szCs w:val="20"/>
              </w:rPr>
            </w:pPr>
            <w:r w:rsidRPr="00AC4363">
              <w:rPr>
                <w:sz w:val="20"/>
                <w:szCs w:val="20"/>
              </w:rPr>
              <w:t>0</w:t>
            </w:r>
            <w:r w:rsidR="00EE1299" w:rsidRPr="00AC4363">
              <w:rPr>
                <w:sz w:val="20"/>
                <w:szCs w:val="20"/>
              </w:rPr>
              <w:t>.615</w:t>
            </w:r>
          </w:p>
        </w:tc>
        <w:tc>
          <w:tcPr>
            <w:tcW w:w="573" w:type="dxa"/>
          </w:tcPr>
          <w:p w14:paraId="4D5104B5" w14:textId="77777777" w:rsidR="00934D6E" w:rsidRPr="00AC4363" w:rsidRDefault="00934D6E" w:rsidP="004E0253">
            <w:pPr>
              <w:spacing w:after="0"/>
              <w:contextualSpacing/>
              <w:rPr>
                <w:sz w:val="20"/>
                <w:szCs w:val="20"/>
              </w:rPr>
            </w:pPr>
          </w:p>
          <w:p w14:paraId="657C70B4" w14:textId="10274364" w:rsidR="00EE1299" w:rsidRPr="00AC4363" w:rsidRDefault="00F671D6" w:rsidP="004E0253">
            <w:pPr>
              <w:spacing w:after="0"/>
              <w:contextualSpacing/>
              <w:rPr>
                <w:sz w:val="20"/>
                <w:szCs w:val="20"/>
              </w:rPr>
            </w:pPr>
            <w:r w:rsidRPr="00AC4363">
              <w:rPr>
                <w:sz w:val="20"/>
                <w:szCs w:val="20"/>
              </w:rPr>
              <w:t>0</w:t>
            </w:r>
            <w:r w:rsidR="00EE1299" w:rsidRPr="00AC4363">
              <w:rPr>
                <w:sz w:val="20"/>
                <w:szCs w:val="20"/>
              </w:rPr>
              <w:t>.452</w:t>
            </w:r>
          </w:p>
        </w:tc>
        <w:tc>
          <w:tcPr>
            <w:tcW w:w="1092" w:type="dxa"/>
          </w:tcPr>
          <w:p w14:paraId="6E0B1BCF" w14:textId="77777777" w:rsidR="004E0253" w:rsidRPr="00AC4363" w:rsidRDefault="004E0253" w:rsidP="004E0253">
            <w:pPr>
              <w:spacing w:after="0"/>
              <w:contextualSpacing/>
              <w:jc w:val="center"/>
              <w:rPr>
                <w:sz w:val="20"/>
                <w:szCs w:val="20"/>
              </w:rPr>
            </w:pPr>
          </w:p>
          <w:p w14:paraId="5636C5FF" w14:textId="764C7400" w:rsidR="00EE1299" w:rsidRPr="00AC4363" w:rsidRDefault="00037F84" w:rsidP="004E0253">
            <w:pPr>
              <w:spacing w:after="0"/>
              <w:contextualSpacing/>
              <w:jc w:val="center"/>
              <w:rPr>
                <w:sz w:val="20"/>
                <w:szCs w:val="20"/>
              </w:rPr>
            </w:pPr>
            <w:r w:rsidRPr="00AC4363">
              <w:rPr>
                <w:sz w:val="20"/>
                <w:szCs w:val="20"/>
              </w:rPr>
              <w:t>0.7</w:t>
            </w:r>
            <w:r w:rsidR="00621A18" w:rsidRPr="00AC4363">
              <w:rPr>
                <w:sz w:val="20"/>
                <w:szCs w:val="20"/>
              </w:rPr>
              <w:t>25</w:t>
            </w:r>
          </w:p>
        </w:tc>
      </w:tr>
      <w:tr w:rsidR="00F671D6" w:rsidRPr="00AC4363" w14:paraId="4F39C00B" w14:textId="0E56A06E" w:rsidTr="00AC4363">
        <w:tc>
          <w:tcPr>
            <w:tcW w:w="1560" w:type="dxa"/>
            <w:vMerge/>
          </w:tcPr>
          <w:p w14:paraId="00E40D5B" w14:textId="77777777" w:rsidR="00EE1299" w:rsidRPr="00AC4363" w:rsidRDefault="00EE1299" w:rsidP="004E0253">
            <w:pPr>
              <w:spacing w:after="0"/>
              <w:contextualSpacing/>
              <w:rPr>
                <w:sz w:val="20"/>
                <w:szCs w:val="20"/>
              </w:rPr>
            </w:pPr>
          </w:p>
        </w:tc>
        <w:tc>
          <w:tcPr>
            <w:tcW w:w="4252" w:type="dxa"/>
            <w:vAlign w:val="center"/>
          </w:tcPr>
          <w:p w14:paraId="47E11F6B" w14:textId="77777777" w:rsidR="00EE1299" w:rsidRPr="00AC4363" w:rsidRDefault="00EE1299" w:rsidP="004E0253">
            <w:pPr>
              <w:spacing w:after="0"/>
              <w:contextualSpacing/>
              <w:rPr>
                <w:sz w:val="20"/>
                <w:szCs w:val="20"/>
              </w:rPr>
            </w:pPr>
            <w:r w:rsidRPr="00AC4363">
              <w:rPr>
                <w:sz w:val="20"/>
                <w:szCs w:val="20"/>
              </w:rPr>
              <w:t>Interpretación ética de los datos</w:t>
            </w:r>
          </w:p>
        </w:tc>
        <w:tc>
          <w:tcPr>
            <w:tcW w:w="851" w:type="dxa"/>
            <w:vAlign w:val="center"/>
          </w:tcPr>
          <w:p w14:paraId="227F3107" w14:textId="77777777" w:rsidR="00EE1299" w:rsidRPr="00AC4363" w:rsidRDefault="00EE1299" w:rsidP="004E0253">
            <w:pPr>
              <w:spacing w:after="0"/>
              <w:contextualSpacing/>
              <w:rPr>
                <w:sz w:val="20"/>
                <w:szCs w:val="20"/>
              </w:rPr>
            </w:pPr>
          </w:p>
        </w:tc>
        <w:tc>
          <w:tcPr>
            <w:tcW w:w="986" w:type="dxa"/>
            <w:vAlign w:val="center"/>
          </w:tcPr>
          <w:p w14:paraId="0488A0BB" w14:textId="5AFEC4E6" w:rsidR="00EE1299" w:rsidRPr="00AC4363" w:rsidRDefault="00F671D6" w:rsidP="004E0253">
            <w:pPr>
              <w:spacing w:after="0"/>
              <w:contextualSpacing/>
              <w:rPr>
                <w:sz w:val="20"/>
                <w:szCs w:val="20"/>
              </w:rPr>
            </w:pPr>
            <w:r w:rsidRPr="00AC4363">
              <w:rPr>
                <w:sz w:val="20"/>
                <w:szCs w:val="20"/>
              </w:rPr>
              <w:t>0</w:t>
            </w:r>
            <w:r w:rsidR="00EE1299" w:rsidRPr="00AC4363">
              <w:rPr>
                <w:sz w:val="20"/>
                <w:szCs w:val="20"/>
              </w:rPr>
              <w:t>.565</w:t>
            </w:r>
          </w:p>
        </w:tc>
        <w:tc>
          <w:tcPr>
            <w:tcW w:w="573" w:type="dxa"/>
          </w:tcPr>
          <w:p w14:paraId="088AC87B" w14:textId="77777777" w:rsidR="00EE1299" w:rsidRPr="00AC4363" w:rsidRDefault="00EE1299" w:rsidP="004E0253">
            <w:pPr>
              <w:spacing w:after="0"/>
              <w:contextualSpacing/>
              <w:rPr>
                <w:sz w:val="20"/>
                <w:szCs w:val="20"/>
              </w:rPr>
            </w:pPr>
          </w:p>
        </w:tc>
        <w:tc>
          <w:tcPr>
            <w:tcW w:w="1092" w:type="dxa"/>
          </w:tcPr>
          <w:p w14:paraId="2C5558CE" w14:textId="4BCF41C0" w:rsidR="00EE1299" w:rsidRPr="00AC4363" w:rsidRDefault="00037F84" w:rsidP="004E0253">
            <w:pPr>
              <w:spacing w:after="0"/>
              <w:contextualSpacing/>
              <w:jc w:val="center"/>
              <w:rPr>
                <w:sz w:val="20"/>
                <w:szCs w:val="20"/>
              </w:rPr>
            </w:pPr>
            <w:r w:rsidRPr="00AC4363">
              <w:rPr>
                <w:sz w:val="20"/>
                <w:szCs w:val="20"/>
              </w:rPr>
              <w:t>0.</w:t>
            </w:r>
            <w:r w:rsidR="00621A18" w:rsidRPr="00AC4363">
              <w:rPr>
                <w:sz w:val="20"/>
                <w:szCs w:val="20"/>
              </w:rPr>
              <w:t>572</w:t>
            </w:r>
          </w:p>
        </w:tc>
      </w:tr>
      <w:tr w:rsidR="00EE1299" w:rsidRPr="00AC4363" w14:paraId="2EAD61CE" w14:textId="613C9D31" w:rsidTr="00AC4363">
        <w:tc>
          <w:tcPr>
            <w:tcW w:w="1560" w:type="dxa"/>
            <w:vMerge w:val="restart"/>
          </w:tcPr>
          <w:p w14:paraId="56FD6351" w14:textId="77777777" w:rsidR="00E447D2" w:rsidRPr="00AC4363" w:rsidRDefault="00E447D2" w:rsidP="004E0253">
            <w:pPr>
              <w:spacing w:after="0"/>
              <w:contextualSpacing/>
              <w:rPr>
                <w:color w:val="000000"/>
                <w:sz w:val="20"/>
                <w:szCs w:val="20"/>
              </w:rPr>
            </w:pPr>
          </w:p>
          <w:p w14:paraId="67A84502" w14:textId="77777777" w:rsidR="00E447D2" w:rsidRPr="00AC4363" w:rsidRDefault="00E447D2" w:rsidP="004E0253">
            <w:pPr>
              <w:spacing w:after="0"/>
              <w:contextualSpacing/>
              <w:rPr>
                <w:color w:val="000000"/>
                <w:sz w:val="20"/>
                <w:szCs w:val="20"/>
              </w:rPr>
            </w:pPr>
          </w:p>
          <w:p w14:paraId="75894A06" w14:textId="0DEAF70B" w:rsidR="00EE1299" w:rsidRPr="00AC4363" w:rsidRDefault="00EE1299" w:rsidP="004E0253">
            <w:pPr>
              <w:spacing w:after="0"/>
              <w:contextualSpacing/>
              <w:rPr>
                <w:color w:val="000000"/>
                <w:sz w:val="20"/>
                <w:szCs w:val="20"/>
              </w:rPr>
            </w:pPr>
            <w:r w:rsidRPr="00AC4363">
              <w:rPr>
                <w:color w:val="000000"/>
                <w:sz w:val="20"/>
                <w:szCs w:val="20"/>
              </w:rPr>
              <w:t xml:space="preserve">Comunicación y </w:t>
            </w:r>
            <w:r w:rsidR="00F671D6" w:rsidRPr="00AC4363">
              <w:rPr>
                <w:color w:val="000000"/>
                <w:sz w:val="20"/>
                <w:szCs w:val="20"/>
              </w:rPr>
              <w:t>alfabetización d</w:t>
            </w:r>
            <w:r w:rsidRPr="00AC4363">
              <w:rPr>
                <w:color w:val="000000"/>
                <w:sz w:val="20"/>
                <w:szCs w:val="20"/>
              </w:rPr>
              <w:t>igital</w:t>
            </w:r>
          </w:p>
        </w:tc>
        <w:tc>
          <w:tcPr>
            <w:tcW w:w="4252" w:type="dxa"/>
            <w:vAlign w:val="center"/>
          </w:tcPr>
          <w:p w14:paraId="2EE9B4D4" w14:textId="77777777" w:rsidR="00EE1299" w:rsidRPr="00AC4363" w:rsidRDefault="00EE1299" w:rsidP="004E0253">
            <w:pPr>
              <w:spacing w:after="0"/>
              <w:contextualSpacing/>
              <w:rPr>
                <w:sz w:val="20"/>
                <w:szCs w:val="20"/>
              </w:rPr>
            </w:pPr>
            <w:r w:rsidRPr="00AC4363">
              <w:rPr>
                <w:color w:val="000000"/>
                <w:sz w:val="20"/>
                <w:szCs w:val="20"/>
              </w:rPr>
              <w:t>Uso efectivo de herramientas digitales en presentaciones</w:t>
            </w:r>
          </w:p>
        </w:tc>
        <w:tc>
          <w:tcPr>
            <w:tcW w:w="851" w:type="dxa"/>
            <w:vAlign w:val="center"/>
          </w:tcPr>
          <w:p w14:paraId="56CAEB2D" w14:textId="77777777" w:rsidR="00EE1299" w:rsidRPr="00AC4363" w:rsidRDefault="00EE1299" w:rsidP="004E0253">
            <w:pPr>
              <w:spacing w:after="0"/>
              <w:contextualSpacing/>
              <w:rPr>
                <w:sz w:val="20"/>
                <w:szCs w:val="20"/>
              </w:rPr>
            </w:pPr>
          </w:p>
        </w:tc>
        <w:tc>
          <w:tcPr>
            <w:tcW w:w="986" w:type="dxa"/>
            <w:vAlign w:val="center"/>
          </w:tcPr>
          <w:p w14:paraId="41AD0619" w14:textId="77777777" w:rsidR="00EE1299" w:rsidRPr="00AC4363" w:rsidRDefault="00EE1299" w:rsidP="004E0253">
            <w:pPr>
              <w:spacing w:after="0"/>
              <w:contextualSpacing/>
              <w:rPr>
                <w:sz w:val="20"/>
                <w:szCs w:val="20"/>
              </w:rPr>
            </w:pPr>
          </w:p>
        </w:tc>
        <w:tc>
          <w:tcPr>
            <w:tcW w:w="573" w:type="dxa"/>
          </w:tcPr>
          <w:p w14:paraId="25CFC460" w14:textId="75CB1DA6" w:rsidR="00EE1299" w:rsidRPr="00AC4363" w:rsidRDefault="00F671D6" w:rsidP="004E0253">
            <w:pPr>
              <w:spacing w:after="0"/>
              <w:contextualSpacing/>
              <w:rPr>
                <w:color w:val="000000"/>
                <w:sz w:val="20"/>
                <w:szCs w:val="20"/>
              </w:rPr>
            </w:pPr>
            <w:r w:rsidRPr="00AC4363">
              <w:rPr>
                <w:color w:val="000000"/>
                <w:sz w:val="20"/>
                <w:szCs w:val="20"/>
              </w:rPr>
              <w:t>0</w:t>
            </w:r>
            <w:r w:rsidR="00EE1299" w:rsidRPr="00AC4363">
              <w:rPr>
                <w:color w:val="000000"/>
                <w:sz w:val="20"/>
                <w:szCs w:val="20"/>
              </w:rPr>
              <w:t>.777</w:t>
            </w:r>
          </w:p>
        </w:tc>
        <w:tc>
          <w:tcPr>
            <w:tcW w:w="1092" w:type="dxa"/>
          </w:tcPr>
          <w:p w14:paraId="6D675024" w14:textId="26CEDC61" w:rsidR="00EE1299" w:rsidRPr="00AC4363" w:rsidRDefault="00037F84" w:rsidP="004E0253">
            <w:pPr>
              <w:spacing w:after="0"/>
              <w:contextualSpacing/>
              <w:jc w:val="center"/>
              <w:rPr>
                <w:color w:val="000000"/>
                <w:sz w:val="20"/>
                <w:szCs w:val="20"/>
              </w:rPr>
            </w:pPr>
            <w:r w:rsidRPr="00AC4363">
              <w:rPr>
                <w:color w:val="000000"/>
                <w:sz w:val="20"/>
                <w:szCs w:val="20"/>
              </w:rPr>
              <w:t>0.73</w:t>
            </w:r>
            <w:r w:rsidR="00621A18" w:rsidRPr="00AC4363">
              <w:rPr>
                <w:color w:val="000000"/>
                <w:sz w:val="20"/>
                <w:szCs w:val="20"/>
              </w:rPr>
              <w:t>1</w:t>
            </w:r>
          </w:p>
        </w:tc>
      </w:tr>
      <w:tr w:rsidR="00EE1299" w:rsidRPr="00AC4363" w14:paraId="4A8FC545" w14:textId="2F7A7223" w:rsidTr="00AC4363">
        <w:tc>
          <w:tcPr>
            <w:tcW w:w="1560" w:type="dxa"/>
            <w:vMerge/>
            <w:shd w:val="clear" w:color="auto" w:fill="C5E0B3" w:themeFill="accent6" w:themeFillTint="66"/>
          </w:tcPr>
          <w:p w14:paraId="4C8DE7E3" w14:textId="77777777" w:rsidR="00EE1299" w:rsidRPr="00AC4363" w:rsidRDefault="00EE1299" w:rsidP="004E0253">
            <w:pPr>
              <w:spacing w:after="0"/>
              <w:contextualSpacing/>
              <w:rPr>
                <w:color w:val="000000"/>
                <w:sz w:val="20"/>
                <w:szCs w:val="20"/>
              </w:rPr>
            </w:pPr>
          </w:p>
        </w:tc>
        <w:tc>
          <w:tcPr>
            <w:tcW w:w="4252" w:type="dxa"/>
            <w:vAlign w:val="center"/>
          </w:tcPr>
          <w:p w14:paraId="7B05D750" w14:textId="77777777" w:rsidR="00EE1299" w:rsidRPr="00AC4363" w:rsidRDefault="00EE1299" w:rsidP="004E0253">
            <w:pPr>
              <w:spacing w:after="0"/>
              <w:contextualSpacing/>
              <w:rPr>
                <w:sz w:val="20"/>
                <w:szCs w:val="20"/>
              </w:rPr>
            </w:pPr>
            <w:r w:rsidRPr="00AC4363">
              <w:rPr>
                <w:sz w:val="20"/>
                <w:szCs w:val="20"/>
              </w:rPr>
              <w:t>Adaptación digital</w:t>
            </w:r>
          </w:p>
        </w:tc>
        <w:tc>
          <w:tcPr>
            <w:tcW w:w="851" w:type="dxa"/>
            <w:vAlign w:val="center"/>
          </w:tcPr>
          <w:p w14:paraId="2A220ED3" w14:textId="77777777" w:rsidR="00EE1299" w:rsidRPr="00AC4363" w:rsidRDefault="00EE1299" w:rsidP="004E0253">
            <w:pPr>
              <w:spacing w:after="0"/>
              <w:contextualSpacing/>
              <w:rPr>
                <w:sz w:val="20"/>
                <w:szCs w:val="20"/>
              </w:rPr>
            </w:pPr>
          </w:p>
        </w:tc>
        <w:tc>
          <w:tcPr>
            <w:tcW w:w="986" w:type="dxa"/>
            <w:vAlign w:val="center"/>
          </w:tcPr>
          <w:p w14:paraId="779F8ABE" w14:textId="77777777" w:rsidR="00EE1299" w:rsidRPr="00AC4363" w:rsidRDefault="00EE1299" w:rsidP="004E0253">
            <w:pPr>
              <w:spacing w:after="0"/>
              <w:contextualSpacing/>
              <w:rPr>
                <w:sz w:val="20"/>
                <w:szCs w:val="20"/>
              </w:rPr>
            </w:pPr>
          </w:p>
        </w:tc>
        <w:tc>
          <w:tcPr>
            <w:tcW w:w="573" w:type="dxa"/>
          </w:tcPr>
          <w:p w14:paraId="3E9A8FE9" w14:textId="0C3D507C" w:rsidR="00EE1299" w:rsidRPr="00AC4363" w:rsidRDefault="00F671D6" w:rsidP="004E0253">
            <w:pPr>
              <w:spacing w:after="0"/>
              <w:contextualSpacing/>
              <w:rPr>
                <w:sz w:val="20"/>
                <w:szCs w:val="20"/>
              </w:rPr>
            </w:pPr>
            <w:r w:rsidRPr="00AC4363">
              <w:rPr>
                <w:sz w:val="20"/>
                <w:szCs w:val="20"/>
              </w:rPr>
              <w:t>0</w:t>
            </w:r>
            <w:r w:rsidR="00EE1299" w:rsidRPr="00AC4363">
              <w:rPr>
                <w:sz w:val="20"/>
                <w:szCs w:val="20"/>
              </w:rPr>
              <w:t>.776</w:t>
            </w:r>
          </w:p>
        </w:tc>
        <w:tc>
          <w:tcPr>
            <w:tcW w:w="1092" w:type="dxa"/>
            <w:shd w:val="clear" w:color="auto" w:fill="FFFFFF" w:themeFill="background1"/>
          </w:tcPr>
          <w:p w14:paraId="07796257" w14:textId="1E26611D" w:rsidR="00EE1299" w:rsidRPr="00AC4363" w:rsidRDefault="00037F84" w:rsidP="004E0253">
            <w:pPr>
              <w:spacing w:after="0"/>
              <w:contextualSpacing/>
              <w:jc w:val="center"/>
              <w:rPr>
                <w:color w:val="000000"/>
                <w:sz w:val="20"/>
                <w:szCs w:val="20"/>
              </w:rPr>
            </w:pPr>
            <w:r w:rsidRPr="00AC4363">
              <w:rPr>
                <w:color w:val="000000"/>
                <w:sz w:val="20"/>
                <w:szCs w:val="20"/>
              </w:rPr>
              <w:t>0.7</w:t>
            </w:r>
            <w:r w:rsidR="00621A18" w:rsidRPr="00AC4363">
              <w:rPr>
                <w:color w:val="000000"/>
                <w:sz w:val="20"/>
                <w:szCs w:val="20"/>
              </w:rPr>
              <w:t>49</w:t>
            </w:r>
          </w:p>
        </w:tc>
      </w:tr>
      <w:tr w:rsidR="00EE1299" w:rsidRPr="00AC4363" w14:paraId="5349AFA5" w14:textId="56BE4ADE" w:rsidTr="00AC4363">
        <w:tc>
          <w:tcPr>
            <w:tcW w:w="1560" w:type="dxa"/>
            <w:vMerge/>
            <w:shd w:val="clear" w:color="auto" w:fill="C5E0B3" w:themeFill="accent6" w:themeFillTint="66"/>
          </w:tcPr>
          <w:p w14:paraId="088FC9ED" w14:textId="77777777" w:rsidR="00EE1299" w:rsidRPr="00AC4363" w:rsidRDefault="00EE1299" w:rsidP="004E0253">
            <w:pPr>
              <w:spacing w:after="0"/>
              <w:contextualSpacing/>
              <w:rPr>
                <w:color w:val="000000"/>
                <w:sz w:val="20"/>
                <w:szCs w:val="20"/>
              </w:rPr>
            </w:pPr>
          </w:p>
        </w:tc>
        <w:tc>
          <w:tcPr>
            <w:tcW w:w="4252" w:type="dxa"/>
            <w:vAlign w:val="center"/>
          </w:tcPr>
          <w:p w14:paraId="0F42451E" w14:textId="0965A455" w:rsidR="00EE1299" w:rsidRPr="00AC4363" w:rsidRDefault="00EE1299" w:rsidP="004E0253">
            <w:pPr>
              <w:spacing w:after="0"/>
              <w:contextualSpacing/>
              <w:rPr>
                <w:sz w:val="20"/>
                <w:szCs w:val="20"/>
              </w:rPr>
            </w:pPr>
            <w:r w:rsidRPr="00AC4363">
              <w:rPr>
                <w:sz w:val="20"/>
                <w:szCs w:val="20"/>
              </w:rPr>
              <w:t>Mejora de la comunicación digital</w:t>
            </w:r>
          </w:p>
        </w:tc>
        <w:tc>
          <w:tcPr>
            <w:tcW w:w="851" w:type="dxa"/>
            <w:vAlign w:val="center"/>
          </w:tcPr>
          <w:p w14:paraId="7C625654" w14:textId="77777777" w:rsidR="00EE1299" w:rsidRPr="00AC4363" w:rsidRDefault="00EE1299" w:rsidP="004E0253">
            <w:pPr>
              <w:spacing w:after="0"/>
              <w:contextualSpacing/>
              <w:rPr>
                <w:sz w:val="20"/>
                <w:szCs w:val="20"/>
              </w:rPr>
            </w:pPr>
          </w:p>
        </w:tc>
        <w:tc>
          <w:tcPr>
            <w:tcW w:w="986" w:type="dxa"/>
            <w:vAlign w:val="center"/>
          </w:tcPr>
          <w:p w14:paraId="6396CAD3" w14:textId="77777777" w:rsidR="00EE1299" w:rsidRPr="00AC4363" w:rsidRDefault="00EE1299" w:rsidP="004E0253">
            <w:pPr>
              <w:spacing w:after="0"/>
              <w:contextualSpacing/>
              <w:rPr>
                <w:sz w:val="20"/>
                <w:szCs w:val="20"/>
              </w:rPr>
            </w:pPr>
          </w:p>
        </w:tc>
        <w:tc>
          <w:tcPr>
            <w:tcW w:w="573" w:type="dxa"/>
          </w:tcPr>
          <w:p w14:paraId="2AEFF9AA" w14:textId="27455D2C" w:rsidR="00EE1299" w:rsidRPr="00AC4363" w:rsidRDefault="00F671D6" w:rsidP="004E0253">
            <w:pPr>
              <w:spacing w:after="0"/>
              <w:contextualSpacing/>
              <w:rPr>
                <w:sz w:val="20"/>
                <w:szCs w:val="20"/>
              </w:rPr>
            </w:pPr>
            <w:r w:rsidRPr="00AC4363">
              <w:rPr>
                <w:sz w:val="20"/>
                <w:szCs w:val="20"/>
              </w:rPr>
              <w:t>0</w:t>
            </w:r>
            <w:r w:rsidR="00EE1299" w:rsidRPr="00AC4363">
              <w:rPr>
                <w:sz w:val="20"/>
                <w:szCs w:val="20"/>
              </w:rPr>
              <w:t>.722</w:t>
            </w:r>
          </w:p>
        </w:tc>
        <w:tc>
          <w:tcPr>
            <w:tcW w:w="1092" w:type="dxa"/>
            <w:shd w:val="clear" w:color="auto" w:fill="FFFFFF" w:themeFill="background1"/>
          </w:tcPr>
          <w:p w14:paraId="5D4B0761" w14:textId="25F4D190" w:rsidR="00EE1299" w:rsidRPr="00AC4363" w:rsidRDefault="00037F84" w:rsidP="004E0253">
            <w:pPr>
              <w:spacing w:after="0"/>
              <w:contextualSpacing/>
              <w:jc w:val="center"/>
              <w:rPr>
                <w:color w:val="000000"/>
                <w:sz w:val="20"/>
                <w:szCs w:val="20"/>
              </w:rPr>
            </w:pPr>
            <w:r w:rsidRPr="00AC4363">
              <w:rPr>
                <w:color w:val="000000"/>
                <w:sz w:val="20"/>
                <w:szCs w:val="20"/>
              </w:rPr>
              <w:t>0.7</w:t>
            </w:r>
            <w:r w:rsidR="00EE55B5" w:rsidRPr="00AC4363">
              <w:rPr>
                <w:color w:val="000000"/>
                <w:sz w:val="20"/>
                <w:szCs w:val="20"/>
              </w:rPr>
              <w:t>16</w:t>
            </w:r>
          </w:p>
        </w:tc>
      </w:tr>
      <w:tr w:rsidR="00EE1299" w:rsidRPr="00AC4363" w14:paraId="4A82FBC1" w14:textId="22670130" w:rsidTr="00AC4363">
        <w:tc>
          <w:tcPr>
            <w:tcW w:w="1560" w:type="dxa"/>
            <w:vMerge/>
            <w:shd w:val="clear" w:color="auto" w:fill="C5E0B3" w:themeFill="accent6" w:themeFillTint="66"/>
          </w:tcPr>
          <w:p w14:paraId="4CE43252" w14:textId="77777777" w:rsidR="00EE1299" w:rsidRPr="00AC4363" w:rsidRDefault="00EE1299" w:rsidP="004E0253">
            <w:pPr>
              <w:spacing w:after="0"/>
              <w:contextualSpacing/>
              <w:rPr>
                <w:color w:val="000000"/>
                <w:sz w:val="20"/>
                <w:szCs w:val="20"/>
              </w:rPr>
            </w:pPr>
          </w:p>
        </w:tc>
        <w:tc>
          <w:tcPr>
            <w:tcW w:w="4252" w:type="dxa"/>
            <w:vAlign w:val="center"/>
          </w:tcPr>
          <w:p w14:paraId="696B4469" w14:textId="529E12CA" w:rsidR="00EE1299" w:rsidRPr="00AC4363" w:rsidRDefault="00EE1299" w:rsidP="004E0253">
            <w:pPr>
              <w:spacing w:after="0"/>
              <w:contextualSpacing/>
              <w:rPr>
                <w:sz w:val="20"/>
                <w:szCs w:val="20"/>
              </w:rPr>
            </w:pPr>
            <w:r w:rsidRPr="00AC4363">
              <w:rPr>
                <w:sz w:val="20"/>
                <w:szCs w:val="20"/>
              </w:rPr>
              <w:t>Capacidad de planeación</w:t>
            </w:r>
            <w:r w:rsidR="00F671D6" w:rsidRPr="00AC4363">
              <w:rPr>
                <w:sz w:val="20"/>
                <w:szCs w:val="20"/>
              </w:rPr>
              <w:t>*</w:t>
            </w:r>
          </w:p>
        </w:tc>
        <w:tc>
          <w:tcPr>
            <w:tcW w:w="851" w:type="dxa"/>
            <w:vAlign w:val="center"/>
          </w:tcPr>
          <w:p w14:paraId="532C5B11" w14:textId="77777777" w:rsidR="00EE1299" w:rsidRPr="00AC4363" w:rsidRDefault="00EE1299" w:rsidP="004E0253">
            <w:pPr>
              <w:spacing w:after="0"/>
              <w:contextualSpacing/>
              <w:rPr>
                <w:sz w:val="20"/>
                <w:szCs w:val="20"/>
              </w:rPr>
            </w:pPr>
          </w:p>
        </w:tc>
        <w:tc>
          <w:tcPr>
            <w:tcW w:w="986" w:type="dxa"/>
            <w:vAlign w:val="center"/>
          </w:tcPr>
          <w:p w14:paraId="67AE7CBB" w14:textId="7AD49ABF" w:rsidR="00EE1299" w:rsidRPr="00AC4363" w:rsidRDefault="00F671D6" w:rsidP="004E0253">
            <w:pPr>
              <w:spacing w:after="0"/>
              <w:contextualSpacing/>
              <w:rPr>
                <w:sz w:val="20"/>
                <w:szCs w:val="20"/>
              </w:rPr>
            </w:pPr>
            <w:r w:rsidRPr="00AC4363">
              <w:rPr>
                <w:sz w:val="20"/>
                <w:szCs w:val="20"/>
              </w:rPr>
              <w:t>0</w:t>
            </w:r>
            <w:r w:rsidR="00EE1299" w:rsidRPr="00AC4363">
              <w:rPr>
                <w:sz w:val="20"/>
                <w:szCs w:val="20"/>
              </w:rPr>
              <w:t>.425</w:t>
            </w:r>
          </w:p>
        </w:tc>
        <w:tc>
          <w:tcPr>
            <w:tcW w:w="573" w:type="dxa"/>
          </w:tcPr>
          <w:p w14:paraId="2BF3FECE" w14:textId="2B141656" w:rsidR="00EE1299" w:rsidRPr="00AC4363" w:rsidRDefault="00F671D6" w:rsidP="004E0253">
            <w:pPr>
              <w:spacing w:after="0"/>
              <w:contextualSpacing/>
              <w:rPr>
                <w:sz w:val="20"/>
                <w:szCs w:val="20"/>
              </w:rPr>
            </w:pPr>
            <w:r w:rsidRPr="00AC4363">
              <w:rPr>
                <w:sz w:val="20"/>
                <w:szCs w:val="20"/>
              </w:rPr>
              <w:t>0</w:t>
            </w:r>
            <w:r w:rsidR="00EE1299" w:rsidRPr="00AC4363">
              <w:rPr>
                <w:sz w:val="20"/>
                <w:szCs w:val="20"/>
              </w:rPr>
              <w:t>.647</w:t>
            </w:r>
          </w:p>
        </w:tc>
        <w:tc>
          <w:tcPr>
            <w:tcW w:w="1092" w:type="dxa"/>
            <w:shd w:val="clear" w:color="auto" w:fill="FFFFFF" w:themeFill="background1"/>
          </w:tcPr>
          <w:p w14:paraId="64A545F5" w14:textId="165FFC80" w:rsidR="00EE1299" w:rsidRPr="00AC4363" w:rsidRDefault="00037F84" w:rsidP="004E0253">
            <w:pPr>
              <w:spacing w:after="0"/>
              <w:contextualSpacing/>
              <w:jc w:val="center"/>
              <w:rPr>
                <w:color w:val="000000"/>
                <w:sz w:val="20"/>
                <w:szCs w:val="20"/>
              </w:rPr>
            </w:pPr>
            <w:r w:rsidRPr="00AC4363">
              <w:rPr>
                <w:color w:val="000000"/>
                <w:sz w:val="20"/>
                <w:szCs w:val="20"/>
              </w:rPr>
              <w:t>0.71</w:t>
            </w:r>
            <w:r w:rsidR="00621A18" w:rsidRPr="00AC4363">
              <w:rPr>
                <w:color w:val="000000"/>
                <w:sz w:val="20"/>
                <w:szCs w:val="20"/>
              </w:rPr>
              <w:t>7</w:t>
            </w:r>
          </w:p>
        </w:tc>
      </w:tr>
      <w:tr w:rsidR="00EE1299" w:rsidRPr="00AC4363" w14:paraId="4D42311E" w14:textId="3379B8B2" w:rsidTr="00AC4363">
        <w:tc>
          <w:tcPr>
            <w:tcW w:w="1560" w:type="dxa"/>
            <w:vMerge/>
            <w:shd w:val="clear" w:color="auto" w:fill="C5E0B3" w:themeFill="accent6" w:themeFillTint="66"/>
          </w:tcPr>
          <w:p w14:paraId="1E00E991" w14:textId="77777777" w:rsidR="00EE1299" w:rsidRPr="00AC4363" w:rsidRDefault="00EE1299" w:rsidP="004E0253">
            <w:pPr>
              <w:spacing w:after="0"/>
              <w:contextualSpacing/>
              <w:rPr>
                <w:color w:val="000000"/>
                <w:sz w:val="20"/>
                <w:szCs w:val="20"/>
              </w:rPr>
            </w:pPr>
          </w:p>
        </w:tc>
        <w:tc>
          <w:tcPr>
            <w:tcW w:w="4252" w:type="dxa"/>
            <w:vAlign w:val="center"/>
          </w:tcPr>
          <w:p w14:paraId="240D19F9" w14:textId="477C7582" w:rsidR="00EE1299" w:rsidRPr="00AC4363" w:rsidRDefault="00EE1299" w:rsidP="004E0253">
            <w:pPr>
              <w:spacing w:after="0"/>
              <w:contextualSpacing/>
              <w:rPr>
                <w:sz w:val="20"/>
                <w:szCs w:val="20"/>
              </w:rPr>
            </w:pPr>
            <w:r w:rsidRPr="00AC4363">
              <w:rPr>
                <w:sz w:val="20"/>
                <w:szCs w:val="20"/>
              </w:rPr>
              <w:t>Comunicación efectiva</w:t>
            </w:r>
          </w:p>
        </w:tc>
        <w:tc>
          <w:tcPr>
            <w:tcW w:w="851" w:type="dxa"/>
            <w:vAlign w:val="center"/>
          </w:tcPr>
          <w:p w14:paraId="25AA2513" w14:textId="77777777" w:rsidR="00EE1299" w:rsidRPr="00AC4363" w:rsidRDefault="00EE1299" w:rsidP="004E0253">
            <w:pPr>
              <w:spacing w:after="0"/>
              <w:contextualSpacing/>
              <w:rPr>
                <w:sz w:val="20"/>
                <w:szCs w:val="20"/>
              </w:rPr>
            </w:pPr>
          </w:p>
        </w:tc>
        <w:tc>
          <w:tcPr>
            <w:tcW w:w="986" w:type="dxa"/>
            <w:vAlign w:val="center"/>
          </w:tcPr>
          <w:p w14:paraId="0B5D058C" w14:textId="77777777" w:rsidR="00EE1299" w:rsidRPr="00AC4363" w:rsidRDefault="00EE1299" w:rsidP="004E0253">
            <w:pPr>
              <w:spacing w:after="0"/>
              <w:contextualSpacing/>
              <w:rPr>
                <w:sz w:val="20"/>
                <w:szCs w:val="20"/>
              </w:rPr>
            </w:pPr>
          </w:p>
        </w:tc>
        <w:tc>
          <w:tcPr>
            <w:tcW w:w="573" w:type="dxa"/>
          </w:tcPr>
          <w:p w14:paraId="0AAA95D1" w14:textId="77777777" w:rsidR="00EE1299" w:rsidRPr="00AC4363" w:rsidRDefault="00EE1299" w:rsidP="004E0253">
            <w:pPr>
              <w:spacing w:after="0"/>
              <w:contextualSpacing/>
              <w:rPr>
                <w:sz w:val="20"/>
                <w:szCs w:val="20"/>
              </w:rPr>
            </w:pPr>
          </w:p>
        </w:tc>
        <w:tc>
          <w:tcPr>
            <w:tcW w:w="1092" w:type="dxa"/>
            <w:shd w:val="clear" w:color="auto" w:fill="FFFFFF" w:themeFill="background1"/>
          </w:tcPr>
          <w:p w14:paraId="5FAF65B2" w14:textId="3BD0AFCD" w:rsidR="00EE1299" w:rsidRPr="00AC4363" w:rsidRDefault="00037F84" w:rsidP="004E0253">
            <w:pPr>
              <w:spacing w:after="0"/>
              <w:contextualSpacing/>
              <w:jc w:val="center"/>
              <w:rPr>
                <w:color w:val="000000"/>
                <w:sz w:val="20"/>
                <w:szCs w:val="20"/>
              </w:rPr>
            </w:pPr>
            <w:r w:rsidRPr="00AC4363">
              <w:rPr>
                <w:color w:val="000000"/>
                <w:sz w:val="20"/>
                <w:szCs w:val="20"/>
              </w:rPr>
              <w:t>0.6</w:t>
            </w:r>
            <w:r w:rsidR="00621A18" w:rsidRPr="00AC4363">
              <w:rPr>
                <w:color w:val="000000"/>
                <w:sz w:val="20"/>
                <w:szCs w:val="20"/>
              </w:rPr>
              <w:t>40</w:t>
            </w:r>
          </w:p>
        </w:tc>
      </w:tr>
      <w:tr w:rsidR="00EE1299" w:rsidRPr="00AC4363" w14:paraId="3E96CE64" w14:textId="66DD401E" w:rsidTr="00AC4363">
        <w:tc>
          <w:tcPr>
            <w:tcW w:w="1560" w:type="dxa"/>
            <w:vMerge/>
            <w:shd w:val="clear" w:color="auto" w:fill="C5E0B3" w:themeFill="accent6" w:themeFillTint="66"/>
          </w:tcPr>
          <w:p w14:paraId="7F631C98" w14:textId="77777777" w:rsidR="00EE1299" w:rsidRPr="00AC4363" w:rsidRDefault="00EE1299" w:rsidP="004E0253">
            <w:pPr>
              <w:spacing w:after="0"/>
              <w:contextualSpacing/>
              <w:rPr>
                <w:color w:val="000000"/>
                <w:sz w:val="20"/>
                <w:szCs w:val="20"/>
              </w:rPr>
            </w:pPr>
          </w:p>
        </w:tc>
        <w:tc>
          <w:tcPr>
            <w:tcW w:w="4252" w:type="dxa"/>
            <w:vAlign w:val="center"/>
          </w:tcPr>
          <w:p w14:paraId="184CE51D" w14:textId="44D7CCF2" w:rsidR="00EE1299" w:rsidRPr="00AC4363" w:rsidRDefault="00EE1299" w:rsidP="004E0253">
            <w:pPr>
              <w:spacing w:after="0"/>
              <w:contextualSpacing/>
              <w:rPr>
                <w:sz w:val="20"/>
                <w:szCs w:val="20"/>
              </w:rPr>
            </w:pPr>
            <w:r w:rsidRPr="00AC4363">
              <w:rPr>
                <w:sz w:val="20"/>
                <w:szCs w:val="20"/>
              </w:rPr>
              <w:t>Confianza y dominio del tema</w:t>
            </w:r>
            <w:r w:rsidR="00934D6E" w:rsidRPr="00AC4363">
              <w:rPr>
                <w:sz w:val="20"/>
                <w:szCs w:val="20"/>
              </w:rPr>
              <w:t>*</w:t>
            </w:r>
          </w:p>
        </w:tc>
        <w:tc>
          <w:tcPr>
            <w:tcW w:w="851" w:type="dxa"/>
            <w:vAlign w:val="center"/>
          </w:tcPr>
          <w:p w14:paraId="58FE409B" w14:textId="77777777" w:rsidR="00EE1299" w:rsidRPr="00AC4363" w:rsidRDefault="00EE1299" w:rsidP="004E0253">
            <w:pPr>
              <w:spacing w:after="0"/>
              <w:contextualSpacing/>
              <w:rPr>
                <w:sz w:val="20"/>
                <w:szCs w:val="20"/>
              </w:rPr>
            </w:pPr>
          </w:p>
        </w:tc>
        <w:tc>
          <w:tcPr>
            <w:tcW w:w="986" w:type="dxa"/>
            <w:vAlign w:val="center"/>
          </w:tcPr>
          <w:p w14:paraId="2D01678E" w14:textId="49418081" w:rsidR="00EE1299" w:rsidRPr="00AC4363" w:rsidRDefault="00F671D6" w:rsidP="004E0253">
            <w:pPr>
              <w:spacing w:after="0"/>
              <w:contextualSpacing/>
              <w:rPr>
                <w:sz w:val="20"/>
                <w:szCs w:val="20"/>
              </w:rPr>
            </w:pPr>
            <w:r w:rsidRPr="00AC4363">
              <w:rPr>
                <w:sz w:val="20"/>
                <w:szCs w:val="20"/>
              </w:rPr>
              <w:t>0</w:t>
            </w:r>
            <w:r w:rsidR="00EE1299" w:rsidRPr="00AC4363">
              <w:rPr>
                <w:sz w:val="20"/>
                <w:szCs w:val="20"/>
              </w:rPr>
              <w:t>.413</w:t>
            </w:r>
          </w:p>
        </w:tc>
        <w:tc>
          <w:tcPr>
            <w:tcW w:w="573" w:type="dxa"/>
          </w:tcPr>
          <w:p w14:paraId="29EE85FC" w14:textId="3CA9A14E" w:rsidR="00EE1299" w:rsidRPr="00AC4363" w:rsidRDefault="00F671D6" w:rsidP="004E0253">
            <w:pPr>
              <w:spacing w:after="0"/>
              <w:contextualSpacing/>
              <w:rPr>
                <w:sz w:val="20"/>
                <w:szCs w:val="20"/>
              </w:rPr>
            </w:pPr>
            <w:r w:rsidRPr="00AC4363">
              <w:rPr>
                <w:sz w:val="20"/>
                <w:szCs w:val="20"/>
              </w:rPr>
              <w:t>0</w:t>
            </w:r>
            <w:r w:rsidR="00EE1299" w:rsidRPr="00AC4363">
              <w:rPr>
                <w:sz w:val="20"/>
                <w:szCs w:val="20"/>
              </w:rPr>
              <w:t>.563</w:t>
            </w:r>
          </w:p>
        </w:tc>
        <w:tc>
          <w:tcPr>
            <w:tcW w:w="1092" w:type="dxa"/>
            <w:shd w:val="clear" w:color="auto" w:fill="FFFFFF" w:themeFill="background1"/>
          </w:tcPr>
          <w:p w14:paraId="50F1B2A9" w14:textId="4D4001BD" w:rsidR="00EE1299" w:rsidRPr="00AC4363" w:rsidRDefault="00037F84" w:rsidP="004E0253">
            <w:pPr>
              <w:spacing w:after="0"/>
              <w:contextualSpacing/>
              <w:jc w:val="center"/>
              <w:rPr>
                <w:color w:val="000000"/>
                <w:sz w:val="20"/>
                <w:szCs w:val="20"/>
              </w:rPr>
            </w:pPr>
            <w:r w:rsidRPr="00AC4363">
              <w:rPr>
                <w:color w:val="000000"/>
                <w:sz w:val="20"/>
                <w:szCs w:val="20"/>
              </w:rPr>
              <w:t>0.6</w:t>
            </w:r>
            <w:r w:rsidR="00EE55B5" w:rsidRPr="00AC4363">
              <w:rPr>
                <w:color w:val="000000"/>
                <w:sz w:val="20"/>
                <w:szCs w:val="20"/>
              </w:rPr>
              <w:t>21</w:t>
            </w:r>
          </w:p>
        </w:tc>
      </w:tr>
    </w:tbl>
    <w:p w14:paraId="5C1BFB65" w14:textId="44EDD8D8" w:rsidR="004A4F22" w:rsidRPr="00AC4363" w:rsidRDefault="00A80630" w:rsidP="00AC4363">
      <w:pPr>
        <w:spacing w:after="0" w:line="360" w:lineRule="auto"/>
        <w:jc w:val="center"/>
      </w:pPr>
      <w:r w:rsidRPr="00AC4363">
        <w:rPr>
          <w:i/>
          <w:iCs/>
        </w:rPr>
        <w:t>Nota.</w:t>
      </w:r>
      <w:r w:rsidRPr="00AC4363">
        <w:t xml:space="preserve"> </w:t>
      </w:r>
      <w:r w:rsidR="004A4F22" w:rsidRPr="00AC4363">
        <w:rPr>
          <w:i/>
          <w:iCs/>
        </w:rPr>
        <w:t>N</w:t>
      </w:r>
      <w:r w:rsidR="004A4F22" w:rsidRPr="00AC4363">
        <w:t xml:space="preserve"> = 337. Método de extracción en la primera rotación Varimax. Las cargas factoriales arriba de 0.5 se aprecian en negritas.</w:t>
      </w:r>
    </w:p>
    <w:p w14:paraId="417CC17A" w14:textId="5812CE33" w:rsidR="005A0242" w:rsidRPr="005A0242" w:rsidRDefault="005A0242" w:rsidP="005A0242">
      <w:pPr>
        <w:spacing w:after="0" w:line="360" w:lineRule="auto"/>
        <w:ind w:firstLine="708"/>
        <w:jc w:val="both"/>
        <w:rPr>
          <w:i/>
          <w:iCs/>
        </w:rPr>
      </w:pPr>
      <w:r>
        <w:t>En la Tabla 7</w:t>
      </w:r>
      <w:r w:rsidRPr="005A0242">
        <w:t xml:space="preserve"> se aprecia que la variable observable </w:t>
      </w:r>
      <w:r w:rsidRPr="005A0242">
        <w:rPr>
          <w:i/>
          <w:iCs/>
        </w:rPr>
        <w:t>Capacidad de planeación</w:t>
      </w:r>
      <w:r w:rsidRPr="005A0242">
        <w:t xml:space="preserve"> se tr</w:t>
      </w:r>
      <w:r>
        <w:t>a</w:t>
      </w:r>
      <w:r w:rsidRPr="005A0242">
        <w:t>slapa en dos variables latentes</w:t>
      </w:r>
      <w:r>
        <w:t xml:space="preserve"> diferentes</w:t>
      </w:r>
      <w:r w:rsidRPr="005A0242">
        <w:t>, por lo que decide marcarl</w:t>
      </w:r>
      <w:r w:rsidR="00F86A3A">
        <w:t>a</w:t>
      </w:r>
      <w:r w:rsidRPr="005A0242">
        <w:t xml:space="preserve"> con asterisco para eliminarl</w:t>
      </w:r>
      <w:r w:rsidR="00F86A3A">
        <w:t>a</w:t>
      </w:r>
      <w:r w:rsidRPr="005A0242">
        <w:t xml:space="preserve"> de la variable </w:t>
      </w:r>
      <w:r>
        <w:t xml:space="preserve">latente </w:t>
      </w:r>
      <w:r w:rsidRPr="005A0242">
        <w:rPr>
          <w:i/>
          <w:iCs/>
        </w:rPr>
        <w:t xml:space="preserve">Comunicación y alfabetización digital, </w:t>
      </w:r>
      <w:r w:rsidRPr="005A0242">
        <w:t xml:space="preserve">ya que se considera </w:t>
      </w:r>
      <w:r w:rsidR="00F86A3A">
        <w:t xml:space="preserve">que es </w:t>
      </w:r>
      <w:r w:rsidRPr="005A0242">
        <w:t xml:space="preserve">más pertinente </w:t>
      </w:r>
      <w:r>
        <w:t>para el modelo teórico mantenerl</w:t>
      </w:r>
      <w:r w:rsidR="00F86A3A">
        <w:t>a</w:t>
      </w:r>
      <w:r>
        <w:t xml:space="preserve"> </w:t>
      </w:r>
      <w:r w:rsidRPr="005A0242">
        <w:t xml:space="preserve">en la variable latente </w:t>
      </w:r>
      <w:r w:rsidRPr="005A0242">
        <w:rPr>
          <w:i/>
          <w:iCs/>
        </w:rPr>
        <w:t>Aprendizaje autónomo y autorregulado</w:t>
      </w:r>
      <w:r>
        <w:rPr>
          <w:i/>
          <w:iCs/>
        </w:rPr>
        <w:t>.</w:t>
      </w:r>
    </w:p>
    <w:p w14:paraId="600E39CB" w14:textId="41E37702" w:rsidR="00C47B05" w:rsidRDefault="00C47B05" w:rsidP="0037717A">
      <w:pPr>
        <w:spacing w:after="0" w:line="360" w:lineRule="auto"/>
        <w:ind w:firstLine="708"/>
        <w:jc w:val="both"/>
      </w:pPr>
      <w:r>
        <w:lastRenderedPageBreak/>
        <w:t xml:space="preserve">El AFE realizado para estas variables latentes o constructos arroja los siguientes valores de </w:t>
      </w:r>
      <w:r w:rsidR="00F86A3A">
        <w:t>KMO/Bartlett, adecuación muestral / estructura subyacente</w:t>
      </w:r>
      <w:r w:rsidR="00780F85">
        <w:t xml:space="preserve"> </w:t>
      </w:r>
      <w:r>
        <w:t xml:space="preserve">mostrados en la Tabla </w:t>
      </w:r>
      <w:r w:rsidR="00A85514">
        <w:t>8</w:t>
      </w:r>
      <w:r>
        <w:t>.</w:t>
      </w:r>
      <w:r w:rsidR="00A80630">
        <w:t xml:space="preserve"> Estos índices se corresponden con valores adecuados para </w:t>
      </w:r>
      <w:r w:rsidR="00BB0D52">
        <w:t>el porcentaje de</w:t>
      </w:r>
      <w:r w:rsidR="00A80630">
        <w:t xml:space="preserve"> varianza total explicada, así como para el KMO.</w:t>
      </w:r>
    </w:p>
    <w:p w14:paraId="11865CBF" w14:textId="77777777" w:rsidR="00AC4363" w:rsidRDefault="00AC4363" w:rsidP="0037717A">
      <w:pPr>
        <w:spacing w:after="0" w:line="360" w:lineRule="auto"/>
        <w:ind w:firstLine="708"/>
        <w:jc w:val="both"/>
      </w:pPr>
    </w:p>
    <w:p w14:paraId="22A6A2F0" w14:textId="4AFA0B83" w:rsidR="00C47B05" w:rsidRPr="00A80630" w:rsidRDefault="00C47B05" w:rsidP="00AC4363">
      <w:pPr>
        <w:spacing w:after="0" w:line="360" w:lineRule="auto"/>
        <w:contextualSpacing/>
        <w:jc w:val="center"/>
        <w:rPr>
          <w:i/>
          <w:iCs/>
        </w:rPr>
      </w:pPr>
      <w:r w:rsidRPr="00A80630">
        <w:rPr>
          <w:b/>
          <w:bCs/>
        </w:rPr>
        <w:t xml:space="preserve">Tabla </w:t>
      </w:r>
      <w:r w:rsidR="00A85514">
        <w:rPr>
          <w:b/>
          <w:bCs/>
        </w:rPr>
        <w:t>8</w:t>
      </w:r>
      <w:r w:rsidR="00AC4363">
        <w:rPr>
          <w:b/>
          <w:bCs/>
        </w:rPr>
        <w:t xml:space="preserve">. </w:t>
      </w:r>
      <w:r w:rsidRPr="00AC4363">
        <w:t xml:space="preserve">Valores de KMO y Prueba de Bartlett para Resolver </w:t>
      </w:r>
      <w:r w:rsidR="00B4389B" w:rsidRPr="00AC4363">
        <w:t>p</w:t>
      </w:r>
      <w:r w:rsidRPr="00AC4363">
        <w:t xml:space="preserve">roblemas </w:t>
      </w:r>
      <w:r w:rsidR="00B4389B" w:rsidRPr="00AC4363">
        <w:t>c</w:t>
      </w:r>
      <w:r w:rsidRPr="00AC4363">
        <w:t>omplejos</w:t>
      </w:r>
    </w:p>
    <w:tbl>
      <w:tblPr>
        <w:tblStyle w:val="Tablaconcuadrcula"/>
        <w:tblW w:w="0" w:type="auto"/>
        <w:tblLook w:val="04A0" w:firstRow="1" w:lastRow="0" w:firstColumn="1" w:lastColumn="0" w:noHBand="0" w:noVBand="1"/>
      </w:tblPr>
      <w:tblGrid>
        <w:gridCol w:w="1134"/>
        <w:gridCol w:w="1843"/>
        <w:gridCol w:w="992"/>
        <w:gridCol w:w="1418"/>
        <w:gridCol w:w="2693"/>
      </w:tblGrid>
      <w:tr w:rsidR="00C47B05" w:rsidRPr="00AC4363" w14:paraId="3711AC23" w14:textId="77777777" w:rsidTr="00AC4363">
        <w:tc>
          <w:tcPr>
            <w:tcW w:w="1134" w:type="dxa"/>
            <w:vMerge w:val="restart"/>
          </w:tcPr>
          <w:p w14:paraId="6DC58E07" w14:textId="77777777" w:rsidR="00C47B05" w:rsidRPr="00AC4363" w:rsidRDefault="00C47B05" w:rsidP="004C4804">
            <w:pPr>
              <w:spacing w:after="0"/>
              <w:jc w:val="center"/>
            </w:pPr>
            <w:r w:rsidRPr="00AC4363">
              <w:t>KMO</w:t>
            </w:r>
            <w:r w:rsidRPr="00AC4363">
              <w:rPr>
                <w:vertAlign w:val="superscript"/>
              </w:rPr>
              <w:t>b</w:t>
            </w:r>
          </w:p>
        </w:tc>
        <w:tc>
          <w:tcPr>
            <w:tcW w:w="4253" w:type="dxa"/>
            <w:gridSpan w:val="3"/>
          </w:tcPr>
          <w:p w14:paraId="4EE68F43" w14:textId="7D921AEA" w:rsidR="00C47B05" w:rsidRPr="00AC4363" w:rsidRDefault="00C47B05" w:rsidP="004C4804">
            <w:pPr>
              <w:spacing w:after="0"/>
              <w:jc w:val="center"/>
            </w:pPr>
            <w:r w:rsidRPr="00AC4363">
              <w:t>Prueba de Bartlett: Primera Reducción</w:t>
            </w:r>
            <w:r w:rsidR="00AC20C8" w:rsidRPr="00AC4363">
              <w:rPr>
                <w:vertAlign w:val="superscript"/>
              </w:rPr>
              <w:t>a</w:t>
            </w:r>
          </w:p>
        </w:tc>
        <w:tc>
          <w:tcPr>
            <w:tcW w:w="2693" w:type="dxa"/>
            <w:vMerge w:val="restart"/>
          </w:tcPr>
          <w:p w14:paraId="7E12ECC1" w14:textId="38E6E3F9" w:rsidR="00C47B05" w:rsidRPr="00AC4363" w:rsidRDefault="00C47B05" w:rsidP="004C4804">
            <w:pPr>
              <w:spacing w:after="0"/>
              <w:jc w:val="center"/>
            </w:pPr>
            <w:r w:rsidRPr="00AC4363">
              <w:t>Varianza total explicada</w:t>
            </w:r>
            <w:r w:rsidR="00BB0D52" w:rsidRPr="00AC4363">
              <w:t xml:space="preserve"> (%)</w:t>
            </w:r>
          </w:p>
        </w:tc>
      </w:tr>
      <w:tr w:rsidR="00C47B05" w:rsidRPr="00AC4363" w14:paraId="68859008" w14:textId="77777777" w:rsidTr="00AC4363">
        <w:tc>
          <w:tcPr>
            <w:tcW w:w="1134" w:type="dxa"/>
            <w:vMerge/>
          </w:tcPr>
          <w:p w14:paraId="3C059681" w14:textId="77777777" w:rsidR="00C47B05" w:rsidRPr="00AC4363" w:rsidRDefault="00C47B05" w:rsidP="004C4804">
            <w:pPr>
              <w:spacing w:after="0"/>
              <w:jc w:val="center"/>
            </w:pPr>
          </w:p>
        </w:tc>
        <w:tc>
          <w:tcPr>
            <w:tcW w:w="1843" w:type="dxa"/>
          </w:tcPr>
          <w:p w14:paraId="3D6B99E5" w14:textId="77777777" w:rsidR="00C47B05" w:rsidRPr="00AC4363" w:rsidRDefault="00C47B05" w:rsidP="004C4804">
            <w:pPr>
              <w:spacing w:after="0"/>
              <w:jc w:val="center"/>
            </w:pPr>
            <w:r w:rsidRPr="00AC4363">
              <w:t>Chi cuadrado</w:t>
            </w:r>
          </w:p>
        </w:tc>
        <w:tc>
          <w:tcPr>
            <w:tcW w:w="992" w:type="dxa"/>
          </w:tcPr>
          <w:p w14:paraId="63FBC785" w14:textId="77777777" w:rsidR="00C47B05" w:rsidRPr="00AC4363" w:rsidRDefault="00C47B05" w:rsidP="004C4804">
            <w:pPr>
              <w:spacing w:after="0"/>
              <w:jc w:val="center"/>
            </w:pPr>
            <w:r w:rsidRPr="00AC4363">
              <w:t>gl</w:t>
            </w:r>
          </w:p>
        </w:tc>
        <w:tc>
          <w:tcPr>
            <w:tcW w:w="1418" w:type="dxa"/>
          </w:tcPr>
          <w:p w14:paraId="4D2237A5" w14:textId="77777777" w:rsidR="00C47B05" w:rsidRPr="00AC4363" w:rsidRDefault="00C47B05" w:rsidP="004C4804">
            <w:pPr>
              <w:spacing w:after="0"/>
              <w:jc w:val="center"/>
            </w:pPr>
            <w:r w:rsidRPr="00AC4363">
              <w:t>p-valor</w:t>
            </w:r>
          </w:p>
        </w:tc>
        <w:tc>
          <w:tcPr>
            <w:tcW w:w="2693" w:type="dxa"/>
            <w:vMerge/>
          </w:tcPr>
          <w:p w14:paraId="34BD9839" w14:textId="77777777" w:rsidR="00C47B05" w:rsidRPr="00AC4363" w:rsidRDefault="00C47B05" w:rsidP="004C4804">
            <w:pPr>
              <w:spacing w:after="0"/>
              <w:jc w:val="center"/>
            </w:pPr>
          </w:p>
        </w:tc>
      </w:tr>
      <w:tr w:rsidR="00C47B05" w:rsidRPr="00AC4363" w14:paraId="0A43B820" w14:textId="77777777" w:rsidTr="00AC4363">
        <w:tc>
          <w:tcPr>
            <w:tcW w:w="1134" w:type="dxa"/>
          </w:tcPr>
          <w:p w14:paraId="66F36E20" w14:textId="77777777" w:rsidR="00C47B05" w:rsidRPr="00AC4363" w:rsidRDefault="00C47B05" w:rsidP="004C4804">
            <w:pPr>
              <w:spacing w:after="0"/>
              <w:jc w:val="center"/>
            </w:pPr>
            <w:r w:rsidRPr="00AC4363">
              <w:t>0.974</w:t>
            </w:r>
          </w:p>
        </w:tc>
        <w:tc>
          <w:tcPr>
            <w:tcW w:w="1843" w:type="dxa"/>
          </w:tcPr>
          <w:p w14:paraId="23D4BF0F" w14:textId="77777777" w:rsidR="00C47B05" w:rsidRPr="00AC4363" w:rsidRDefault="00C47B05" w:rsidP="004C4804">
            <w:pPr>
              <w:spacing w:after="0"/>
              <w:jc w:val="center"/>
            </w:pPr>
            <w:r w:rsidRPr="00AC4363">
              <w:t>7663.333</w:t>
            </w:r>
          </w:p>
        </w:tc>
        <w:tc>
          <w:tcPr>
            <w:tcW w:w="992" w:type="dxa"/>
          </w:tcPr>
          <w:p w14:paraId="33B25879" w14:textId="77777777" w:rsidR="00C47B05" w:rsidRPr="00AC4363" w:rsidRDefault="00C47B05" w:rsidP="004C4804">
            <w:pPr>
              <w:spacing w:after="0"/>
              <w:jc w:val="center"/>
            </w:pPr>
            <w:r w:rsidRPr="00AC4363">
              <w:t>276</w:t>
            </w:r>
          </w:p>
        </w:tc>
        <w:tc>
          <w:tcPr>
            <w:tcW w:w="1418" w:type="dxa"/>
          </w:tcPr>
          <w:p w14:paraId="5BF8F25F" w14:textId="2C73DBCB" w:rsidR="00C47B05" w:rsidRPr="00AC4363" w:rsidRDefault="00C47B05" w:rsidP="004C4804">
            <w:pPr>
              <w:spacing w:after="0"/>
              <w:jc w:val="center"/>
            </w:pPr>
            <w:r w:rsidRPr="00AC4363">
              <w:t>0.00</w:t>
            </w:r>
            <w:r w:rsidR="00DC45C2" w:rsidRPr="00AC4363">
              <w:t>1</w:t>
            </w:r>
          </w:p>
        </w:tc>
        <w:tc>
          <w:tcPr>
            <w:tcW w:w="2693" w:type="dxa"/>
          </w:tcPr>
          <w:p w14:paraId="78770D3C" w14:textId="77777777" w:rsidR="00C47B05" w:rsidRPr="00AC4363" w:rsidRDefault="00C47B05" w:rsidP="004C4804">
            <w:pPr>
              <w:spacing w:after="0"/>
              <w:jc w:val="center"/>
            </w:pPr>
            <w:r w:rsidRPr="00AC4363">
              <w:t>72.695</w:t>
            </w:r>
          </w:p>
        </w:tc>
      </w:tr>
      <w:tr w:rsidR="00C47B05" w:rsidRPr="00AC4363" w14:paraId="623A703B" w14:textId="77777777" w:rsidTr="00AC4363">
        <w:tc>
          <w:tcPr>
            <w:tcW w:w="8080" w:type="dxa"/>
            <w:gridSpan w:val="5"/>
          </w:tcPr>
          <w:p w14:paraId="62FB6ABB" w14:textId="11089CC2" w:rsidR="00C47B05" w:rsidRPr="00AC4363" w:rsidRDefault="00C47B05" w:rsidP="004C4804">
            <w:pPr>
              <w:spacing w:after="0"/>
              <w:jc w:val="center"/>
            </w:pPr>
            <w:r w:rsidRPr="00AC4363">
              <w:t xml:space="preserve">Segunda </w:t>
            </w:r>
            <w:r w:rsidR="00226D9C" w:rsidRPr="00AC4363">
              <w:t>r</w:t>
            </w:r>
            <w:r w:rsidRPr="00AC4363">
              <w:t>educción</w:t>
            </w:r>
          </w:p>
        </w:tc>
      </w:tr>
      <w:tr w:rsidR="00C47B05" w:rsidRPr="00AC4363" w14:paraId="117A5278" w14:textId="77777777" w:rsidTr="00AC4363">
        <w:tc>
          <w:tcPr>
            <w:tcW w:w="1134" w:type="dxa"/>
          </w:tcPr>
          <w:p w14:paraId="76F081A3" w14:textId="77777777" w:rsidR="00C47B05" w:rsidRPr="00AC4363" w:rsidRDefault="00C47B05" w:rsidP="004C4804">
            <w:pPr>
              <w:spacing w:after="0"/>
              <w:jc w:val="center"/>
            </w:pPr>
            <w:r w:rsidRPr="00AC4363">
              <w:t>0.968</w:t>
            </w:r>
          </w:p>
        </w:tc>
        <w:tc>
          <w:tcPr>
            <w:tcW w:w="1843" w:type="dxa"/>
          </w:tcPr>
          <w:p w14:paraId="03AA543D" w14:textId="77777777" w:rsidR="00C47B05" w:rsidRPr="00AC4363" w:rsidRDefault="00C47B05" w:rsidP="004C4804">
            <w:pPr>
              <w:spacing w:after="0"/>
              <w:jc w:val="center"/>
            </w:pPr>
            <w:r w:rsidRPr="00AC4363">
              <w:t>5808.404</w:t>
            </w:r>
          </w:p>
        </w:tc>
        <w:tc>
          <w:tcPr>
            <w:tcW w:w="992" w:type="dxa"/>
          </w:tcPr>
          <w:p w14:paraId="386E4B9A" w14:textId="77777777" w:rsidR="00C47B05" w:rsidRPr="00AC4363" w:rsidRDefault="00C47B05" w:rsidP="004C4804">
            <w:pPr>
              <w:spacing w:after="0"/>
              <w:jc w:val="center"/>
            </w:pPr>
            <w:r w:rsidRPr="00AC4363">
              <w:t>171</w:t>
            </w:r>
          </w:p>
        </w:tc>
        <w:tc>
          <w:tcPr>
            <w:tcW w:w="1418" w:type="dxa"/>
          </w:tcPr>
          <w:p w14:paraId="7A57298F" w14:textId="3A213747" w:rsidR="00C47B05" w:rsidRPr="00AC4363" w:rsidRDefault="00C47B05" w:rsidP="004C4804">
            <w:pPr>
              <w:spacing w:after="0"/>
              <w:jc w:val="center"/>
            </w:pPr>
            <w:r w:rsidRPr="00AC4363">
              <w:t>0.00</w:t>
            </w:r>
            <w:r w:rsidR="00DC45C2" w:rsidRPr="00AC4363">
              <w:t>1</w:t>
            </w:r>
          </w:p>
        </w:tc>
        <w:tc>
          <w:tcPr>
            <w:tcW w:w="2693" w:type="dxa"/>
          </w:tcPr>
          <w:p w14:paraId="7CE25240" w14:textId="77777777" w:rsidR="00C47B05" w:rsidRPr="00AC4363" w:rsidRDefault="00C47B05" w:rsidP="004C4804">
            <w:pPr>
              <w:spacing w:after="0"/>
              <w:jc w:val="center"/>
            </w:pPr>
            <w:r w:rsidRPr="00AC4363">
              <w:t>74.290</w:t>
            </w:r>
          </w:p>
        </w:tc>
      </w:tr>
    </w:tbl>
    <w:p w14:paraId="1CBA8AC1" w14:textId="1DB99501" w:rsidR="00C47B05" w:rsidRPr="00AC4363" w:rsidRDefault="00C47B05" w:rsidP="00AC4363">
      <w:pPr>
        <w:spacing w:after="0" w:line="360" w:lineRule="auto"/>
        <w:jc w:val="center"/>
      </w:pPr>
      <w:r w:rsidRPr="00AC4363">
        <w:rPr>
          <w:i/>
          <w:iCs/>
        </w:rPr>
        <w:t>Nota</w:t>
      </w:r>
      <w:r w:rsidR="004A4F22" w:rsidRPr="00AC4363">
        <w:rPr>
          <w:i/>
          <w:iCs/>
        </w:rPr>
        <w:t>.</w:t>
      </w:r>
      <w:r w:rsidRPr="00AC4363">
        <w:t xml:space="preserve"> a. Basado en correlaciones; b. </w:t>
      </w:r>
      <w:r w:rsidR="00A80630" w:rsidRPr="00AC4363">
        <w:t>KMO</w:t>
      </w:r>
      <w:r w:rsidR="003D2DC7" w:rsidRPr="00AC4363">
        <w:t xml:space="preserve">: </w:t>
      </w:r>
      <w:r w:rsidRPr="00AC4363">
        <w:t>Medida de adecuación muestral de Kaiser-Meyer-Olkin</w:t>
      </w:r>
    </w:p>
    <w:p w14:paraId="58AC7A6A" w14:textId="6D909EF3" w:rsidR="00C47B05" w:rsidRPr="00AC4363" w:rsidRDefault="003D2DC7" w:rsidP="007F29C2">
      <w:pPr>
        <w:spacing w:after="0" w:line="360" w:lineRule="auto"/>
        <w:ind w:firstLine="708"/>
        <w:jc w:val="both"/>
      </w:pPr>
      <w:r>
        <w:t>D</w:t>
      </w:r>
      <w:r w:rsidR="00A80630">
        <w:t>espu</w:t>
      </w:r>
      <w:r w:rsidR="007F29C2">
        <w:t>é</w:t>
      </w:r>
      <w:r w:rsidR="00A80630">
        <w:t xml:space="preserve">s de una segunda reducción de componentes con </w:t>
      </w:r>
      <w:r w:rsidR="004E1F3E">
        <w:t>c</w:t>
      </w:r>
      <w:r w:rsidR="00A80630">
        <w:t>arga factorial mínima de 0.5</w:t>
      </w:r>
      <w:r>
        <w:t>, s</w:t>
      </w:r>
      <w:r w:rsidR="00B046CC">
        <w:t xml:space="preserve">e observa </w:t>
      </w:r>
      <w:r>
        <w:t xml:space="preserve">en la Tabla </w:t>
      </w:r>
      <w:r w:rsidR="00A85514">
        <w:t>8</w:t>
      </w:r>
      <w:r>
        <w:t xml:space="preserve"> que el valor de Chi cuadrado </w:t>
      </w:r>
      <w:r w:rsidR="00B046CC">
        <w:t>disminuye</w:t>
      </w:r>
      <w:r>
        <w:t xml:space="preserve">, </w:t>
      </w:r>
      <w:r w:rsidR="00B046CC">
        <w:t>en congruencia con la disminución de los grados de libertad, producto de la disminución de las variables observadas</w:t>
      </w:r>
      <w:r>
        <w:t>.</w:t>
      </w:r>
      <w:r w:rsidR="007F29C2">
        <w:t xml:space="preserve"> </w:t>
      </w:r>
      <w:r>
        <w:t xml:space="preserve">En la </w:t>
      </w:r>
      <w:r w:rsidR="00B046CC">
        <w:t xml:space="preserve">Tabla </w:t>
      </w:r>
      <w:r w:rsidR="00A85514">
        <w:t>9</w:t>
      </w:r>
      <w:r w:rsidR="00B046CC">
        <w:t xml:space="preserve"> agrupa</w:t>
      </w:r>
      <w:r>
        <w:t>n</w:t>
      </w:r>
      <w:r w:rsidR="00B046CC">
        <w:t xml:space="preserve"> las tres variables latentes como resultado</w:t>
      </w:r>
      <w:r w:rsidR="00F86A3A">
        <w:t>s</w:t>
      </w:r>
      <w:r w:rsidR="00B046CC">
        <w:t xml:space="preserve"> de la segunda rotación Varimax con un valor mínimo para las cargas factoriales de 0.5.</w:t>
      </w:r>
      <w:r>
        <w:t xml:space="preserve"> En esta tabla se observa la unión de </w:t>
      </w:r>
      <w:r w:rsidRPr="00AC4363">
        <w:t xml:space="preserve">la variable latente Aprendizaje autónomo y autorregulado con la de </w:t>
      </w:r>
      <w:r w:rsidR="00F86A3A" w:rsidRPr="00AC4363">
        <w:t>Capacidad de r</w:t>
      </w:r>
      <w:r w:rsidRPr="00AC4363">
        <w:t>eso</w:t>
      </w:r>
      <w:r w:rsidR="00F86A3A" w:rsidRPr="00AC4363">
        <w:t>lución de</w:t>
      </w:r>
      <w:r w:rsidRPr="00AC4363">
        <w:t xml:space="preserve"> problemas, lo que simplifica la dimensionalidad del modelo teórico.</w:t>
      </w:r>
      <w:r w:rsidR="00F86A3A" w:rsidRPr="00AC4363">
        <w:t xml:space="preserve"> Ello conduce a renombrar estas dos variables latentes a </w:t>
      </w:r>
      <w:r w:rsidR="001E3A5A" w:rsidRPr="00AC4363">
        <w:t>Aprendizaje autorregulado para la resolución de problemas.</w:t>
      </w:r>
    </w:p>
    <w:p w14:paraId="41A4F833" w14:textId="77777777" w:rsidR="00AC4363" w:rsidRDefault="00AC4363" w:rsidP="007F29C2">
      <w:pPr>
        <w:spacing w:after="0" w:line="360" w:lineRule="auto"/>
        <w:ind w:firstLine="708"/>
        <w:jc w:val="both"/>
      </w:pPr>
    </w:p>
    <w:p w14:paraId="3DC6BECF" w14:textId="77777777" w:rsidR="008E3143" w:rsidRDefault="008E3143" w:rsidP="007F29C2">
      <w:pPr>
        <w:spacing w:after="0" w:line="360" w:lineRule="auto"/>
        <w:ind w:firstLine="708"/>
        <w:jc w:val="both"/>
      </w:pPr>
    </w:p>
    <w:p w14:paraId="78BD3592" w14:textId="77777777" w:rsidR="008E3143" w:rsidRDefault="008E3143" w:rsidP="007F29C2">
      <w:pPr>
        <w:spacing w:after="0" w:line="360" w:lineRule="auto"/>
        <w:ind w:firstLine="708"/>
        <w:jc w:val="both"/>
      </w:pPr>
    </w:p>
    <w:p w14:paraId="2BCED696" w14:textId="77777777" w:rsidR="008E3143" w:rsidRDefault="008E3143" w:rsidP="007F29C2">
      <w:pPr>
        <w:spacing w:after="0" w:line="360" w:lineRule="auto"/>
        <w:ind w:firstLine="708"/>
        <w:jc w:val="both"/>
      </w:pPr>
    </w:p>
    <w:p w14:paraId="74D46633" w14:textId="77777777" w:rsidR="008E3143" w:rsidRDefault="008E3143" w:rsidP="007F29C2">
      <w:pPr>
        <w:spacing w:after="0" w:line="360" w:lineRule="auto"/>
        <w:ind w:firstLine="708"/>
        <w:jc w:val="both"/>
      </w:pPr>
    </w:p>
    <w:p w14:paraId="258B67B0" w14:textId="77777777" w:rsidR="008E3143" w:rsidRDefault="008E3143" w:rsidP="007F29C2">
      <w:pPr>
        <w:spacing w:after="0" w:line="360" w:lineRule="auto"/>
        <w:ind w:firstLine="708"/>
        <w:jc w:val="both"/>
      </w:pPr>
    </w:p>
    <w:p w14:paraId="03D617BA" w14:textId="77777777" w:rsidR="008E3143" w:rsidRDefault="008E3143" w:rsidP="007F29C2">
      <w:pPr>
        <w:spacing w:after="0" w:line="360" w:lineRule="auto"/>
        <w:ind w:firstLine="708"/>
        <w:jc w:val="both"/>
      </w:pPr>
    </w:p>
    <w:p w14:paraId="39665765" w14:textId="77777777" w:rsidR="008E3143" w:rsidRDefault="008E3143" w:rsidP="007F29C2">
      <w:pPr>
        <w:spacing w:after="0" w:line="360" w:lineRule="auto"/>
        <w:ind w:firstLine="708"/>
        <w:jc w:val="both"/>
      </w:pPr>
    </w:p>
    <w:p w14:paraId="23071C91" w14:textId="77777777" w:rsidR="008E3143" w:rsidRDefault="008E3143" w:rsidP="007F29C2">
      <w:pPr>
        <w:spacing w:after="0" w:line="360" w:lineRule="auto"/>
        <w:ind w:firstLine="708"/>
        <w:jc w:val="both"/>
      </w:pPr>
    </w:p>
    <w:p w14:paraId="37465A8C" w14:textId="77777777" w:rsidR="008E3143" w:rsidRDefault="008E3143" w:rsidP="007F29C2">
      <w:pPr>
        <w:spacing w:after="0" w:line="360" w:lineRule="auto"/>
        <w:ind w:firstLine="708"/>
        <w:jc w:val="both"/>
      </w:pPr>
    </w:p>
    <w:p w14:paraId="7819D863" w14:textId="77777777" w:rsidR="008E3143" w:rsidRDefault="008E3143" w:rsidP="007F29C2">
      <w:pPr>
        <w:spacing w:after="0" w:line="360" w:lineRule="auto"/>
        <w:ind w:firstLine="708"/>
        <w:jc w:val="both"/>
      </w:pPr>
    </w:p>
    <w:p w14:paraId="1D12EC40" w14:textId="77777777" w:rsidR="008E3143" w:rsidRPr="00AC4363" w:rsidRDefault="008E3143" w:rsidP="007F29C2">
      <w:pPr>
        <w:spacing w:after="0" w:line="360" w:lineRule="auto"/>
        <w:ind w:firstLine="708"/>
        <w:jc w:val="both"/>
      </w:pPr>
    </w:p>
    <w:p w14:paraId="661EBFEC" w14:textId="35282940" w:rsidR="00F64BCD" w:rsidRPr="00AC4363" w:rsidRDefault="00F64BCD" w:rsidP="00AC4363">
      <w:pPr>
        <w:ind w:right="-713"/>
        <w:jc w:val="center"/>
        <w:rPr>
          <w:color w:val="000000"/>
        </w:rPr>
      </w:pPr>
      <w:r w:rsidRPr="003D2DC7">
        <w:rPr>
          <w:b/>
          <w:bCs/>
          <w:color w:val="000000"/>
        </w:rPr>
        <w:lastRenderedPageBreak/>
        <w:t xml:space="preserve">Tabla </w:t>
      </w:r>
      <w:r w:rsidR="00A85514">
        <w:rPr>
          <w:b/>
          <w:bCs/>
          <w:color w:val="000000"/>
        </w:rPr>
        <w:t>9</w:t>
      </w:r>
      <w:r w:rsidR="00AC4363">
        <w:rPr>
          <w:b/>
          <w:bCs/>
          <w:color w:val="000000"/>
        </w:rPr>
        <w:t xml:space="preserve">. </w:t>
      </w:r>
      <w:r w:rsidR="007F403E" w:rsidRPr="00AC4363">
        <w:rPr>
          <w:color w:val="000000"/>
        </w:rPr>
        <w:t>Cargas factoriales</w:t>
      </w:r>
      <w:r w:rsidRPr="00AC4363">
        <w:rPr>
          <w:color w:val="000000"/>
        </w:rPr>
        <w:t xml:space="preserve"> de la dimensión Resolver </w:t>
      </w:r>
      <w:r w:rsidR="001E3A5A" w:rsidRPr="00AC4363">
        <w:rPr>
          <w:color w:val="000000"/>
        </w:rPr>
        <w:t>p</w:t>
      </w:r>
      <w:r w:rsidRPr="00AC4363">
        <w:rPr>
          <w:color w:val="000000"/>
        </w:rPr>
        <w:t xml:space="preserve">roblemas </w:t>
      </w:r>
      <w:r w:rsidR="00063D96" w:rsidRPr="00AC4363">
        <w:rPr>
          <w:color w:val="000000"/>
        </w:rPr>
        <w:t>c</w:t>
      </w:r>
      <w:r w:rsidRPr="00AC4363">
        <w:rPr>
          <w:color w:val="000000"/>
        </w:rPr>
        <w:t>omplejos</w:t>
      </w:r>
    </w:p>
    <w:tbl>
      <w:tblPr>
        <w:tblW w:w="9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0"/>
        <w:gridCol w:w="3682"/>
        <w:gridCol w:w="566"/>
        <w:gridCol w:w="94"/>
        <w:gridCol w:w="603"/>
        <w:gridCol w:w="57"/>
        <w:gridCol w:w="641"/>
        <w:gridCol w:w="30"/>
        <w:gridCol w:w="1679"/>
      </w:tblGrid>
      <w:tr w:rsidR="00B568E8" w:rsidRPr="00AC4363" w14:paraId="6CACB470" w14:textId="77777777" w:rsidTr="00AC4363">
        <w:trPr>
          <w:cantSplit/>
        </w:trPr>
        <w:tc>
          <w:tcPr>
            <w:tcW w:w="1701" w:type="dxa"/>
            <w:shd w:val="clear" w:color="auto" w:fill="FFFFFF"/>
          </w:tcPr>
          <w:p w14:paraId="2AA065E6" w14:textId="221C3AA9" w:rsidR="00B568E8" w:rsidRPr="00AC4363" w:rsidRDefault="00B568E8" w:rsidP="00DE3094">
            <w:pPr>
              <w:autoSpaceDE w:val="0"/>
              <w:autoSpaceDN w:val="0"/>
              <w:adjustRightInd w:val="0"/>
              <w:spacing w:after="0"/>
              <w:ind w:left="60" w:right="60"/>
              <w:contextualSpacing/>
              <w:rPr>
                <w:color w:val="000000"/>
                <w:sz w:val="20"/>
                <w:szCs w:val="20"/>
              </w:rPr>
            </w:pPr>
            <w:r w:rsidRPr="00AC4363">
              <w:rPr>
                <w:color w:val="000000"/>
                <w:sz w:val="20"/>
                <w:szCs w:val="20"/>
              </w:rPr>
              <w:t>Variables latentes</w:t>
            </w:r>
          </w:p>
        </w:tc>
        <w:tc>
          <w:tcPr>
            <w:tcW w:w="3686" w:type="dxa"/>
            <w:shd w:val="clear" w:color="auto" w:fill="FFFFFF"/>
          </w:tcPr>
          <w:p w14:paraId="66720431" w14:textId="5C085706" w:rsidR="00B568E8" w:rsidRPr="00AC4363" w:rsidRDefault="00B568E8" w:rsidP="00DE3094">
            <w:pPr>
              <w:autoSpaceDE w:val="0"/>
              <w:autoSpaceDN w:val="0"/>
              <w:adjustRightInd w:val="0"/>
              <w:spacing w:after="0"/>
              <w:ind w:left="60" w:right="60"/>
              <w:contextualSpacing/>
              <w:jc w:val="center"/>
              <w:rPr>
                <w:color w:val="000000"/>
                <w:sz w:val="20"/>
                <w:szCs w:val="20"/>
              </w:rPr>
            </w:pPr>
            <w:r w:rsidRPr="00AC4363">
              <w:rPr>
                <w:color w:val="000000"/>
                <w:sz w:val="20"/>
                <w:szCs w:val="20"/>
              </w:rPr>
              <w:t>Variables observables o ítems</w:t>
            </w:r>
          </w:p>
        </w:tc>
        <w:tc>
          <w:tcPr>
            <w:tcW w:w="1984" w:type="dxa"/>
            <w:gridSpan w:val="6"/>
            <w:shd w:val="clear" w:color="auto" w:fill="FFFFFF"/>
          </w:tcPr>
          <w:p w14:paraId="3F17AB43" w14:textId="0F1596FC" w:rsidR="00B568E8" w:rsidRPr="00AC4363" w:rsidRDefault="00B568E8" w:rsidP="00DE3094">
            <w:pPr>
              <w:autoSpaceDE w:val="0"/>
              <w:autoSpaceDN w:val="0"/>
              <w:adjustRightInd w:val="0"/>
              <w:spacing w:after="0"/>
              <w:ind w:left="60" w:right="60"/>
              <w:contextualSpacing/>
              <w:jc w:val="center"/>
              <w:rPr>
                <w:color w:val="000000"/>
                <w:sz w:val="20"/>
                <w:szCs w:val="20"/>
              </w:rPr>
            </w:pPr>
            <w:r w:rsidRPr="00AC4363">
              <w:rPr>
                <w:color w:val="000000"/>
                <w:sz w:val="20"/>
                <w:szCs w:val="20"/>
              </w:rPr>
              <w:t>Cargas factoriales en componentes rotados</w:t>
            </w:r>
          </w:p>
        </w:tc>
        <w:tc>
          <w:tcPr>
            <w:tcW w:w="1681" w:type="dxa"/>
            <w:shd w:val="clear" w:color="auto" w:fill="FFFFFF"/>
          </w:tcPr>
          <w:p w14:paraId="0A11EC8E" w14:textId="2E9D7020" w:rsidR="00B568E8" w:rsidRPr="00AC4363" w:rsidRDefault="00B568E8" w:rsidP="00DE3094">
            <w:pPr>
              <w:autoSpaceDE w:val="0"/>
              <w:autoSpaceDN w:val="0"/>
              <w:adjustRightInd w:val="0"/>
              <w:spacing w:after="0"/>
              <w:ind w:left="60" w:right="60"/>
              <w:contextualSpacing/>
              <w:jc w:val="center"/>
              <w:rPr>
                <w:color w:val="000000"/>
                <w:sz w:val="20"/>
                <w:szCs w:val="20"/>
              </w:rPr>
            </w:pPr>
            <w:r w:rsidRPr="00AC4363">
              <w:rPr>
                <w:color w:val="000000"/>
                <w:sz w:val="20"/>
                <w:szCs w:val="20"/>
              </w:rPr>
              <w:t>Comunalidades</w:t>
            </w:r>
          </w:p>
        </w:tc>
      </w:tr>
      <w:tr w:rsidR="0020549E" w:rsidRPr="00AC4363" w14:paraId="20F9F096" w14:textId="77777777" w:rsidTr="00AC4363">
        <w:trPr>
          <w:cantSplit/>
        </w:trPr>
        <w:tc>
          <w:tcPr>
            <w:tcW w:w="1701" w:type="dxa"/>
            <w:shd w:val="clear" w:color="auto" w:fill="FFFFFF"/>
          </w:tcPr>
          <w:p w14:paraId="3A8FBB8C" w14:textId="77777777" w:rsidR="0020549E" w:rsidRPr="00AC4363" w:rsidRDefault="0020549E" w:rsidP="00DE3094">
            <w:pPr>
              <w:autoSpaceDE w:val="0"/>
              <w:autoSpaceDN w:val="0"/>
              <w:adjustRightInd w:val="0"/>
              <w:spacing w:after="0"/>
              <w:ind w:left="60" w:right="60"/>
              <w:contextualSpacing/>
              <w:rPr>
                <w:color w:val="000000"/>
                <w:sz w:val="20"/>
                <w:szCs w:val="20"/>
              </w:rPr>
            </w:pPr>
          </w:p>
        </w:tc>
        <w:tc>
          <w:tcPr>
            <w:tcW w:w="3686" w:type="dxa"/>
            <w:shd w:val="clear" w:color="auto" w:fill="FFFFFF"/>
          </w:tcPr>
          <w:p w14:paraId="371AB5D6" w14:textId="77777777" w:rsidR="0020549E" w:rsidRPr="00AC4363" w:rsidRDefault="0020549E" w:rsidP="00DE3094">
            <w:pPr>
              <w:autoSpaceDE w:val="0"/>
              <w:autoSpaceDN w:val="0"/>
              <w:adjustRightInd w:val="0"/>
              <w:spacing w:after="0"/>
              <w:ind w:left="60" w:right="60"/>
              <w:contextualSpacing/>
              <w:jc w:val="center"/>
              <w:rPr>
                <w:color w:val="000000"/>
                <w:sz w:val="20"/>
                <w:szCs w:val="20"/>
              </w:rPr>
            </w:pPr>
          </w:p>
        </w:tc>
        <w:tc>
          <w:tcPr>
            <w:tcW w:w="661" w:type="dxa"/>
            <w:gridSpan w:val="2"/>
            <w:shd w:val="clear" w:color="auto" w:fill="FFFFFF"/>
          </w:tcPr>
          <w:p w14:paraId="6D0C2F26" w14:textId="59282666" w:rsidR="0020549E" w:rsidRPr="00AC4363" w:rsidRDefault="0020549E" w:rsidP="00DE3094">
            <w:pPr>
              <w:autoSpaceDE w:val="0"/>
              <w:autoSpaceDN w:val="0"/>
              <w:adjustRightInd w:val="0"/>
              <w:spacing w:after="0"/>
              <w:ind w:left="60" w:right="60"/>
              <w:contextualSpacing/>
              <w:jc w:val="center"/>
              <w:rPr>
                <w:color w:val="000000"/>
                <w:sz w:val="20"/>
                <w:szCs w:val="20"/>
              </w:rPr>
            </w:pPr>
            <w:r w:rsidRPr="00AC4363">
              <w:rPr>
                <w:color w:val="000000"/>
                <w:sz w:val="20"/>
                <w:szCs w:val="20"/>
              </w:rPr>
              <w:t>1</w:t>
            </w:r>
          </w:p>
        </w:tc>
        <w:tc>
          <w:tcPr>
            <w:tcW w:w="661" w:type="dxa"/>
            <w:gridSpan w:val="2"/>
            <w:shd w:val="clear" w:color="auto" w:fill="FFFFFF"/>
          </w:tcPr>
          <w:p w14:paraId="0779BFD7" w14:textId="4F159800" w:rsidR="0020549E" w:rsidRPr="00AC4363" w:rsidRDefault="0020549E" w:rsidP="00DE3094">
            <w:pPr>
              <w:autoSpaceDE w:val="0"/>
              <w:autoSpaceDN w:val="0"/>
              <w:adjustRightInd w:val="0"/>
              <w:spacing w:after="0"/>
              <w:ind w:left="60" w:right="60"/>
              <w:contextualSpacing/>
              <w:jc w:val="center"/>
              <w:rPr>
                <w:color w:val="000000"/>
                <w:sz w:val="20"/>
                <w:szCs w:val="20"/>
              </w:rPr>
            </w:pPr>
            <w:r w:rsidRPr="00AC4363">
              <w:rPr>
                <w:color w:val="000000"/>
                <w:sz w:val="20"/>
                <w:szCs w:val="20"/>
              </w:rPr>
              <w:t>2</w:t>
            </w:r>
          </w:p>
        </w:tc>
        <w:tc>
          <w:tcPr>
            <w:tcW w:w="662" w:type="dxa"/>
            <w:gridSpan w:val="2"/>
            <w:shd w:val="clear" w:color="auto" w:fill="FFFFFF"/>
          </w:tcPr>
          <w:p w14:paraId="16BEB3A1" w14:textId="76BC0BFC" w:rsidR="0020549E" w:rsidRPr="00AC4363" w:rsidRDefault="0020549E" w:rsidP="00DE3094">
            <w:pPr>
              <w:autoSpaceDE w:val="0"/>
              <w:autoSpaceDN w:val="0"/>
              <w:adjustRightInd w:val="0"/>
              <w:spacing w:after="0"/>
              <w:ind w:left="60" w:right="60"/>
              <w:contextualSpacing/>
              <w:jc w:val="center"/>
              <w:rPr>
                <w:color w:val="000000"/>
                <w:sz w:val="20"/>
                <w:szCs w:val="20"/>
              </w:rPr>
            </w:pPr>
            <w:r w:rsidRPr="00AC4363">
              <w:rPr>
                <w:color w:val="000000"/>
                <w:sz w:val="20"/>
                <w:szCs w:val="20"/>
              </w:rPr>
              <w:t>3</w:t>
            </w:r>
          </w:p>
        </w:tc>
        <w:tc>
          <w:tcPr>
            <w:tcW w:w="1681" w:type="dxa"/>
            <w:shd w:val="clear" w:color="auto" w:fill="FFFFFF"/>
          </w:tcPr>
          <w:p w14:paraId="2CFDD5A5" w14:textId="77777777" w:rsidR="0020549E" w:rsidRPr="00AC4363" w:rsidRDefault="0020549E" w:rsidP="00DE3094">
            <w:pPr>
              <w:autoSpaceDE w:val="0"/>
              <w:autoSpaceDN w:val="0"/>
              <w:adjustRightInd w:val="0"/>
              <w:spacing w:after="0"/>
              <w:ind w:left="60" w:right="60"/>
              <w:contextualSpacing/>
              <w:jc w:val="center"/>
              <w:rPr>
                <w:color w:val="000000"/>
                <w:sz w:val="20"/>
                <w:szCs w:val="20"/>
              </w:rPr>
            </w:pPr>
          </w:p>
        </w:tc>
      </w:tr>
      <w:tr w:rsidR="0020549E" w:rsidRPr="00AC4363" w14:paraId="1A0057C0" w14:textId="44D4A392" w:rsidTr="00AC4363">
        <w:trPr>
          <w:cantSplit/>
        </w:trPr>
        <w:tc>
          <w:tcPr>
            <w:tcW w:w="1701" w:type="dxa"/>
            <w:vMerge w:val="restart"/>
            <w:vAlign w:val="center"/>
          </w:tcPr>
          <w:p w14:paraId="6B23CE2C" w14:textId="7DF2A64D" w:rsidR="0020549E" w:rsidRPr="00AC4363" w:rsidRDefault="0020549E" w:rsidP="00BA1858">
            <w:pPr>
              <w:autoSpaceDE w:val="0"/>
              <w:autoSpaceDN w:val="0"/>
              <w:adjustRightInd w:val="0"/>
              <w:spacing w:after="0"/>
              <w:ind w:right="60"/>
              <w:contextualSpacing/>
              <w:rPr>
                <w:color w:val="000000"/>
                <w:sz w:val="20"/>
                <w:szCs w:val="20"/>
              </w:rPr>
            </w:pPr>
            <w:r w:rsidRPr="00AC4363">
              <w:rPr>
                <w:color w:val="000000"/>
                <w:sz w:val="20"/>
                <w:szCs w:val="20"/>
              </w:rPr>
              <w:t>Aprendizaje autónomo y autorregulado para la resolución de problemas complejos</w:t>
            </w:r>
          </w:p>
        </w:tc>
        <w:tc>
          <w:tcPr>
            <w:tcW w:w="3686" w:type="dxa"/>
          </w:tcPr>
          <w:p w14:paraId="76543755" w14:textId="70853497" w:rsidR="0020549E" w:rsidRPr="00AC4363" w:rsidRDefault="0020549E" w:rsidP="00BA1858">
            <w:pPr>
              <w:autoSpaceDE w:val="0"/>
              <w:autoSpaceDN w:val="0"/>
              <w:adjustRightInd w:val="0"/>
              <w:spacing w:after="0"/>
              <w:ind w:right="60"/>
              <w:rPr>
                <w:color w:val="000000"/>
                <w:sz w:val="20"/>
                <w:szCs w:val="20"/>
              </w:rPr>
            </w:pPr>
            <w:r w:rsidRPr="00AC4363">
              <w:rPr>
                <w:color w:val="000000"/>
                <w:sz w:val="20"/>
                <w:szCs w:val="20"/>
              </w:rPr>
              <w:t>Capacidad de gestión y organización</w:t>
            </w:r>
          </w:p>
        </w:tc>
        <w:tc>
          <w:tcPr>
            <w:tcW w:w="567" w:type="dxa"/>
            <w:vAlign w:val="center"/>
          </w:tcPr>
          <w:p w14:paraId="57A9668B" w14:textId="4A477385" w:rsidR="0020549E" w:rsidRPr="00AC4363" w:rsidRDefault="0020549E" w:rsidP="004E1F3E">
            <w:pPr>
              <w:autoSpaceDE w:val="0"/>
              <w:autoSpaceDN w:val="0"/>
              <w:adjustRightInd w:val="0"/>
              <w:spacing w:after="0"/>
              <w:ind w:right="60"/>
              <w:contextualSpacing/>
              <w:rPr>
                <w:color w:val="000000"/>
                <w:sz w:val="20"/>
                <w:szCs w:val="20"/>
              </w:rPr>
            </w:pPr>
            <w:r w:rsidRPr="00AC4363">
              <w:rPr>
                <w:color w:val="000000"/>
                <w:sz w:val="20"/>
                <w:szCs w:val="20"/>
              </w:rPr>
              <w:t>0.757</w:t>
            </w:r>
          </w:p>
        </w:tc>
        <w:tc>
          <w:tcPr>
            <w:tcW w:w="1397" w:type="dxa"/>
            <w:gridSpan w:val="4"/>
            <w:vAlign w:val="center"/>
          </w:tcPr>
          <w:p w14:paraId="18CFC661" w14:textId="77777777" w:rsidR="0020549E" w:rsidRPr="00AC4363" w:rsidRDefault="0020549E" w:rsidP="004E1F3E">
            <w:pPr>
              <w:autoSpaceDE w:val="0"/>
              <w:autoSpaceDN w:val="0"/>
              <w:adjustRightInd w:val="0"/>
              <w:spacing w:after="0"/>
              <w:ind w:left="60" w:right="60"/>
              <w:contextualSpacing/>
              <w:rPr>
                <w:color w:val="000000"/>
                <w:sz w:val="20"/>
                <w:szCs w:val="20"/>
              </w:rPr>
            </w:pPr>
          </w:p>
        </w:tc>
        <w:tc>
          <w:tcPr>
            <w:tcW w:w="20" w:type="dxa"/>
            <w:vAlign w:val="center"/>
          </w:tcPr>
          <w:p w14:paraId="75FA2F95" w14:textId="77777777" w:rsidR="0020549E" w:rsidRPr="00AC4363" w:rsidRDefault="0020549E" w:rsidP="004E1F3E">
            <w:pPr>
              <w:autoSpaceDE w:val="0"/>
              <w:autoSpaceDN w:val="0"/>
              <w:adjustRightInd w:val="0"/>
              <w:spacing w:after="0"/>
              <w:ind w:left="60" w:right="60"/>
              <w:contextualSpacing/>
              <w:rPr>
                <w:color w:val="000000"/>
                <w:sz w:val="20"/>
                <w:szCs w:val="20"/>
              </w:rPr>
            </w:pPr>
          </w:p>
        </w:tc>
        <w:tc>
          <w:tcPr>
            <w:tcW w:w="1681" w:type="dxa"/>
          </w:tcPr>
          <w:p w14:paraId="2C93DEEC" w14:textId="57B5D424" w:rsidR="0020549E" w:rsidRPr="00AC4363" w:rsidRDefault="0020549E" w:rsidP="00BB0D52">
            <w:pPr>
              <w:autoSpaceDE w:val="0"/>
              <w:autoSpaceDN w:val="0"/>
              <w:adjustRightInd w:val="0"/>
              <w:spacing w:after="0"/>
              <w:ind w:left="60" w:right="60"/>
              <w:contextualSpacing/>
              <w:jc w:val="center"/>
              <w:rPr>
                <w:color w:val="000000"/>
                <w:sz w:val="20"/>
                <w:szCs w:val="20"/>
              </w:rPr>
            </w:pPr>
            <w:r w:rsidRPr="00AC4363">
              <w:rPr>
                <w:color w:val="000000"/>
                <w:sz w:val="20"/>
                <w:szCs w:val="20"/>
              </w:rPr>
              <w:t>0.686</w:t>
            </w:r>
          </w:p>
        </w:tc>
      </w:tr>
      <w:tr w:rsidR="0020549E" w:rsidRPr="00AC4363" w14:paraId="571A316D" w14:textId="77777777" w:rsidTr="00AC4363">
        <w:trPr>
          <w:cantSplit/>
        </w:trPr>
        <w:tc>
          <w:tcPr>
            <w:tcW w:w="1701" w:type="dxa"/>
            <w:vMerge/>
            <w:vAlign w:val="center"/>
          </w:tcPr>
          <w:p w14:paraId="1887D97A" w14:textId="77777777" w:rsidR="0020549E" w:rsidRPr="00AC4363" w:rsidRDefault="0020549E" w:rsidP="00BA1858">
            <w:pPr>
              <w:autoSpaceDE w:val="0"/>
              <w:autoSpaceDN w:val="0"/>
              <w:adjustRightInd w:val="0"/>
              <w:spacing w:after="0"/>
              <w:ind w:right="60"/>
              <w:contextualSpacing/>
              <w:rPr>
                <w:color w:val="000000"/>
                <w:sz w:val="20"/>
                <w:szCs w:val="20"/>
              </w:rPr>
            </w:pPr>
          </w:p>
        </w:tc>
        <w:tc>
          <w:tcPr>
            <w:tcW w:w="3686" w:type="dxa"/>
          </w:tcPr>
          <w:p w14:paraId="2EAEDD29" w14:textId="229BFE4A" w:rsidR="0020549E" w:rsidRPr="00AC4363" w:rsidRDefault="0020549E" w:rsidP="00BA1858">
            <w:pPr>
              <w:autoSpaceDE w:val="0"/>
              <w:autoSpaceDN w:val="0"/>
              <w:adjustRightInd w:val="0"/>
              <w:spacing w:after="0"/>
              <w:ind w:right="60"/>
              <w:rPr>
                <w:color w:val="000000"/>
                <w:sz w:val="20"/>
                <w:szCs w:val="20"/>
              </w:rPr>
            </w:pPr>
            <w:r w:rsidRPr="00AC4363">
              <w:rPr>
                <w:color w:val="000000"/>
                <w:sz w:val="20"/>
                <w:szCs w:val="20"/>
              </w:rPr>
              <w:t>Capacidad de seguimiento, desarrollo de proyecto</w:t>
            </w:r>
          </w:p>
        </w:tc>
        <w:tc>
          <w:tcPr>
            <w:tcW w:w="567" w:type="dxa"/>
            <w:vAlign w:val="center"/>
          </w:tcPr>
          <w:p w14:paraId="05673E72" w14:textId="0D22183A" w:rsidR="0020549E" w:rsidRPr="00AC4363" w:rsidRDefault="0020549E" w:rsidP="004E1F3E">
            <w:pPr>
              <w:autoSpaceDE w:val="0"/>
              <w:autoSpaceDN w:val="0"/>
              <w:adjustRightInd w:val="0"/>
              <w:spacing w:after="0"/>
              <w:ind w:right="60"/>
              <w:contextualSpacing/>
              <w:rPr>
                <w:color w:val="000000"/>
                <w:sz w:val="20"/>
                <w:szCs w:val="20"/>
              </w:rPr>
            </w:pPr>
            <w:r w:rsidRPr="00AC4363">
              <w:rPr>
                <w:color w:val="000000"/>
                <w:sz w:val="20"/>
                <w:szCs w:val="20"/>
              </w:rPr>
              <w:t>0.727</w:t>
            </w:r>
          </w:p>
        </w:tc>
        <w:tc>
          <w:tcPr>
            <w:tcW w:w="1397" w:type="dxa"/>
            <w:gridSpan w:val="4"/>
            <w:vAlign w:val="center"/>
          </w:tcPr>
          <w:p w14:paraId="64D35901" w14:textId="77777777" w:rsidR="0020549E" w:rsidRPr="00AC4363" w:rsidRDefault="0020549E" w:rsidP="004E1F3E">
            <w:pPr>
              <w:autoSpaceDE w:val="0"/>
              <w:autoSpaceDN w:val="0"/>
              <w:adjustRightInd w:val="0"/>
              <w:spacing w:after="0"/>
              <w:ind w:left="60" w:right="60"/>
              <w:contextualSpacing/>
              <w:rPr>
                <w:color w:val="000000"/>
                <w:sz w:val="20"/>
                <w:szCs w:val="20"/>
              </w:rPr>
            </w:pPr>
          </w:p>
        </w:tc>
        <w:tc>
          <w:tcPr>
            <w:tcW w:w="20" w:type="dxa"/>
            <w:vAlign w:val="center"/>
          </w:tcPr>
          <w:p w14:paraId="1B0A610B" w14:textId="77777777" w:rsidR="0020549E" w:rsidRPr="00AC4363" w:rsidRDefault="0020549E" w:rsidP="004E1F3E">
            <w:pPr>
              <w:autoSpaceDE w:val="0"/>
              <w:autoSpaceDN w:val="0"/>
              <w:adjustRightInd w:val="0"/>
              <w:spacing w:after="0"/>
              <w:ind w:left="60" w:right="60"/>
              <w:contextualSpacing/>
              <w:rPr>
                <w:color w:val="000000"/>
                <w:sz w:val="20"/>
                <w:szCs w:val="20"/>
              </w:rPr>
            </w:pPr>
          </w:p>
        </w:tc>
        <w:tc>
          <w:tcPr>
            <w:tcW w:w="1681" w:type="dxa"/>
          </w:tcPr>
          <w:p w14:paraId="7839A920" w14:textId="273CA2A7" w:rsidR="0020549E" w:rsidRPr="00AC4363" w:rsidRDefault="0020549E" w:rsidP="00BB0D52">
            <w:pPr>
              <w:autoSpaceDE w:val="0"/>
              <w:autoSpaceDN w:val="0"/>
              <w:adjustRightInd w:val="0"/>
              <w:spacing w:after="0"/>
              <w:ind w:left="60" w:right="60"/>
              <w:contextualSpacing/>
              <w:jc w:val="center"/>
              <w:rPr>
                <w:color w:val="000000"/>
                <w:sz w:val="20"/>
                <w:szCs w:val="20"/>
              </w:rPr>
            </w:pPr>
            <w:r w:rsidRPr="00AC4363">
              <w:rPr>
                <w:color w:val="000000"/>
                <w:sz w:val="20"/>
                <w:szCs w:val="20"/>
              </w:rPr>
              <w:t>0.703</w:t>
            </w:r>
          </w:p>
        </w:tc>
      </w:tr>
      <w:tr w:rsidR="0020549E" w:rsidRPr="00AC4363" w14:paraId="59A07434" w14:textId="77777777" w:rsidTr="00AC4363">
        <w:trPr>
          <w:cantSplit/>
        </w:trPr>
        <w:tc>
          <w:tcPr>
            <w:tcW w:w="1701" w:type="dxa"/>
            <w:vMerge/>
            <w:vAlign w:val="center"/>
          </w:tcPr>
          <w:p w14:paraId="2E5D627D" w14:textId="77777777" w:rsidR="0020549E" w:rsidRPr="00AC4363" w:rsidRDefault="0020549E" w:rsidP="00BA1858">
            <w:pPr>
              <w:autoSpaceDE w:val="0"/>
              <w:autoSpaceDN w:val="0"/>
              <w:adjustRightInd w:val="0"/>
              <w:spacing w:after="0"/>
              <w:ind w:right="60"/>
              <w:contextualSpacing/>
              <w:rPr>
                <w:color w:val="000000"/>
                <w:sz w:val="20"/>
                <w:szCs w:val="20"/>
              </w:rPr>
            </w:pPr>
          </w:p>
        </w:tc>
        <w:tc>
          <w:tcPr>
            <w:tcW w:w="3686" w:type="dxa"/>
          </w:tcPr>
          <w:p w14:paraId="4F981686" w14:textId="2B473ED7" w:rsidR="0020549E" w:rsidRPr="00AC4363" w:rsidRDefault="0020549E" w:rsidP="00BA1858">
            <w:pPr>
              <w:autoSpaceDE w:val="0"/>
              <w:autoSpaceDN w:val="0"/>
              <w:adjustRightInd w:val="0"/>
              <w:spacing w:after="0"/>
              <w:ind w:right="60"/>
              <w:rPr>
                <w:color w:val="000000"/>
                <w:sz w:val="20"/>
                <w:szCs w:val="20"/>
              </w:rPr>
            </w:pPr>
            <w:r w:rsidRPr="00AC4363">
              <w:rPr>
                <w:color w:val="000000"/>
                <w:sz w:val="20"/>
                <w:szCs w:val="20"/>
              </w:rPr>
              <w:t>Capacidad de reflexión</w:t>
            </w:r>
          </w:p>
        </w:tc>
        <w:tc>
          <w:tcPr>
            <w:tcW w:w="567" w:type="dxa"/>
            <w:vAlign w:val="center"/>
          </w:tcPr>
          <w:p w14:paraId="18A4E69A" w14:textId="74CAB345" w:rsidR="0020549E" w:rsidRPr="00AC4363" w:rsidRDefault="0020549E" w:rsidP="004E1F3E">
            <w:pPr>
              <w:autoSpaceDE w:val="0"/>
              <w:autoSpaceDN w:val="0"/>
              <w:adjustRightInd w:val="0"/>
              <w:spacing w:after="0"/>
              <w:ind w:right="60"/>
              <w:contextualSpacing/>
              <w:rPr>
                <w:color w:val="000000"/>
                <w:sz w:val="20"/>
                <w:szCs w:val="20"/>
              </w:rPr>
            </w:pPr>
            <w:r w:rsidRPr="00AC4363">
              <w:rPr>
                <w:color w:val="000000"/>
                <w:sz w:val="20"/>
                <w:szCs w:val="20"/>
              </w:rPr>
              <w:t>0.705</w:t>
            </w:r>
          </w:p>
        </w:tc>
        <w:tc>
          <w:tcPr>
            <w:tcW w:w="1397" w:type="dxa"/>
            <w:gridSpan w:val="4"/>
            <w:vAlign w:val="center"/>
          </w:tcPr>
          <w:p w14:paraId="092F6635" w14:textId="77777777" w:rsidR="0020549E" w:rsidRPr="00AC4363" w:rsidRDefault="0020549E" w:rsidP="004E1F3E">
            <w:pPr>
              <w:autoSpaceDE w:val="0"/>
              <w:autoSpaceDN w:val="0"/>
              <w:adjustRightInd w:val="0"/>
              <w:spacing w:after="0"/>
              <w:ind w:left="60" w:right="60"/>
              <w:contextualSpacing/>
              <w:rPr>
                <w:color w:val="000000"/>
                <w:sz w:val="20"/>
                <w:szCs w:val="20"/>
              </w:rPr>
            </w:pPr>
          </w:p>
        </w:tc>
        <w:tc>
          <w:tcPr>
            <w:tcW w:w="20" w:type="dxa"/>
            <w:vAlign w:val="center"/>
          </w:tcPr>
          <w:p w14:paraId="7A70C4EF" w14:textId="77777777" w:rsidR="0020549E" w:rsidRPr="00AC4363" w:rsidRDefault="0020549E" w:rsidP="004E1F3E">
            <w:pPr>
              <w:autoSpaceDE w:val="0"/>
              <w:autoSpaceDN w:val="0"/>
              <w:adjustRightInd w:val="0"/>
              <w:spacing w:after="0"/>
              <w:ind w:left="60" w:right="60"/>
              <w:contextualSpacing/>
              <w:rPr>
                <w:color w:val="000000"/>
                <w:sz w:val="20"/>
                <w:szCs w:val="20"/>
              </w:rPr>
            </w:pPr>
          </w:p>
        </w:tc>
        <w:tc>
          <w:tcPr>
            <w:tcW w:w="1681" w:type="dxa"/>
          </w:tcPr>
          <w:p w14:paraId="5340022E" w14:textId="3BCD5142" w:rsidR="0020549E" w:rsidRPr="00AC4363" w:rsidRDefault="0020549E" w:rsidP="00BB0D52">
            <w:pPr>
              <w:autoSpaceDE w:val="0"/>
              <w:autoSpaceDN w:val="0"/>
              <w:adjustRightInd w:val="0"/>
              <w:spacing w:after="0"/>
              <w:ind w:left="60" w:right="60"/>
              <w:contextualSpacing/>
              <w:jc w:val="center"/>
              <w:rPr>
                <w:color w:val="000000"/>
                <w:sz w:val="20"/>
                <w:szCs w:val="20"/>
              </w:rPr>
            </w:pPr>
            <w:r w:rsidRPr="00AC4363">
              <w:rPr>
                <w:color w:val="000000"/>
                <w:sz w:val="20"/>
                <w:szCs w:val="20"/>
              </w:rPr>
              <w:t>0.602</w:t>
            </w:r>
          </w:p>
        </w:tc>
      </w:tr>
      <w:tr w:rsidR="0020549E" w:rsidRPr="00AC4363" w14:paraId="780A9184" w14:textId="77777777" w:rsidTr="00AC4363">
        <w:trPr>
          <w:cantSplit/>
        </w:trPr>
        <w:tc>
          <w:tcPr>
            <w:tcW w:w="1701" w:type="dxa"/>
            <w:vMerge/>
            <w:vAlign w:val="center"/>
          </w:tcPr>
          <w:p w14:paraId="260A9756" w14:textId="77777777" w:rsidR="0020549E" w:rsidRPr="00AC4363" w:rsidRDefault="0020549E" w:rsidP="00BA1858">
            <w:pPr>
              <w:autoSpaceDE w:val="0"/>
              <w:autoSpaceDN w:val="0"/>
              <w:adjustRightInd w:val="0"/>
              <w:spacing w:after="0"/>
              <w:ind w:right="60"/>
              <w:contextualSpacing/>
              <w:rPr>
                <w:color w:val="000000"/>
                <w:sz w:val="20"/>
                <w:szCs w:val="20"/>
              </w:rPr>
            </w:pPr>
          </w:p>
        </w:tc>
        <w:tc>
          <w:tcPr>
            <w:tcW w:w="3686" w:type="dxa"/>
          </w:tcPr>
          <w:p w14:paraId="7F5C89C4" w14:textId="602252F6" w:rsidR="0020549E" w:rsidRPr="00AC4363" w:rsidRDefault="0020549E" w:rsidP="00BA1858">
            <w:pPr>
              <w:autoSpaceDE w:val="0"/>
              <w:autoSpaceDN w:val="0"/>
              <w:adjustRightInd w:val="0"/>
              <w:spacing w:after="0"/>
              <w:ind w:right="60"/>
              <w:rPr>
                <w:color w:val="000000"/>
                <w:sz w:val="20"/>
                <w:szCs w:val="20"/>
              </w:rPr>
            </w:pPr>
            <w:r w:rsidRPr="00AC4363">
              <w:rPr>
                <w:color w:val="000000"/>
                <w:sz w:val="20"/>
                <w:szCs w:val="20"/>
              </w:rPr>
              <w:t>Uso de los recursos didácticos</w:t>
            </w:r>
          </w:p>
        </w:tc>
        <w:tc>
          <w:tcPr>
            <w:tcW w:w="567" w:type="dxa"/>
            <w:vAlign w:val="center"/>
          </w:tcPr>
          <w:p w14:paraId="1C1E2801" w14:textId="3D58DAFD" w:rsidR="0020549E" w:rsidRPr="00AC4363" w:rsidRDefault="0020549E" w:rsidP="004E1F3E">
            <w:pPr>
              <w:autoSpaceDE w:val="0"/>
              <w:autoSpaceDN w:val="0"/>
              <w:adjustRightInd w:val="0"/>
              <w:spacing w:after="0"/>
              <w:ind w:right="60"/>
              <w:contextualSpacing/>
              <w:rPr>
                <w:color w:val="000000"/>
                <w:sz w:val="20"/>
                <w:szCs w:val="20"/>
              </w:rPr>
            </w:pPr>
            <w:r w:rsidRPr="00AC4363">
              <w:rPr>
                <w:color w:val="000000"/>
                <w:sz w:val="20"/>
                <w:szCs w:val="20"/>
              </w:rPr>
              <w:t>0.703</w:t>
            </w:r>
          </w:p>
        </w:tc>
        <w:tc>
          <w:tcPr>
            <w:tcW w:w="1397" w:type="dxa"/>
            <w:gridSpan w:val="4"/>
            <w:vAlign w:val="center"/>
          </w:tcPr>
          <w:p w14:paraId="4BF17552" w14:textId="77777777" w:rsidR="0020549E" w:rsidRPr="00AC4363" w:rsidRDefault="0020549E" w:rsidP="004E1F3E">
            <w:pPr>
              <w:autoSpaceDE w:val="0"/>
              <w:autoSpaceDN w:val="0"/>
              <w:adjustRightInd w:val="0"/>
              <w:spacing w:after="0"/>
              <w:ind w:left="60" w:right="60"/>
              <w:contextualSpacing/>
              <w:rPr>
                <w:color w:val="000000"/>
                <w:sz w:val="20"/>
                <w:szCs w:val="20"/>
              </w:rPr>
            </w:pPr>
          </w:p>
        </w:tc>
        <w:tc>
          <w:tcPr>
            <w:tcW w:w="20" w:type="dxa"/>
            <w:vAlign w:val="center"/>
          </w:tcPr>
          <w:p w14:paraId="092EA528" w14:textId="77777777" w:rsidR="0020549E" w:rsidRPr="00AC4363" w:rsidRDefault="0020549E" w:rsidP="004E1F3E">
            <w:pPr>
              <w:autoSpaceDE w:val="0"/>
              <w:autoSpaceDN w:val="0"/>
              <w:adjustRightInd w:val="0"/>
              <w:spacing w:after="0"/>
              <w:ind w:left="60" w:right="60"/>
              <w:contextualSpacing/>
              <w:rPr>
                <w:color w:val="000000"/>
                <w:sz w:val="20"/>
                <w:szCs w:val="20"/>
              </w:rPr>
            </w:pPr>
          </w:p>
        </w:tc>
        <w:tc>
          <w:tcPr>
            <w:tcW w:w="1681" w:type="dxa"/>
          </w:tcPr>
          <w:p w14:paraId="5D82A541" w14:textId="13402DD5" w:rsidR="0020549E" w:rsidRPr="00AC4363" w:rsidRDefault="0020549E" w:rsidP="0020549E">
            <w:pPr>
              <w:autoSpaceDE w:val="0"/>
              <w:autoSpaceDN w:val="0"/>
              <w:adjustRightInd w:val="0"/>
              <w:spacing w:after="0"/>
              <w:ind w:right="60"/>
              <w:contextualSpacing/>
              <w:jc w:val="center"/>
              <w:rPr>
                <w:color w:val="000000"/>
                <w:sz w:val="20"/>
                <w:szCs w:val="20"/>
              </w:rPr>
            </w:pPr>
            <w:r w:rsidRPr="00AC4363">
              <w:rPr>
                <w:color w:val="000000"/>
                <w:sz w:val="20"/>
                <w:szCs w:val="20"/>
              </w:rPr>
              <w:t>0.655</w:t>
            </w:r>
          </w:p>
        </w:tc>
      </w:tr>
      <w:tr w:rsidR="0020549E" w:rsidRPr="00AC4363" w14:paraId="2FA4F628" w14:textId="77777777" w:rsidTr="00AC4363">
        <w:trPr>
          <w:cantSplit/>
        </w:trPr>
        <w:tc>
          <w:tcPr>
            <w:tcW w:w="1701" w:type="dxa"/>
            <w:vMerge/>
            <w:vAlign w:val="center"/>
          </w:tcPr>
          <w:p w14:paraId="3505A9C0" w14:textId="77777777" w:rsidR="0020549E" w:rsidRPr="00AC4363" w:rsidRDefault="0020549E" w:rsidP="00BA1858">
            <w:pPr>
              <w:autoSpaceDE w:val="0"/>
              <w:autoSpaceDN w:val="0"/>
              <w:adjustRightInd w:val="0"/>
              <w:spacing w:after="0"/>
              <w:ind w:right="60"/>
              <w:contextualSpacing/>
              <w:rPr>
                <w:color w:val="000000"/>
                <w:sz w:val="20"/>
                <w:szCs w:val="20"/>
              </w:rPr>
            </w:pPr>
          </w:p>
        </w:tc>
        <w:tc>
          <w:tcPr>
            <w:tcW w:w="3686" w:type="dxa"/>
          </w:tcPr>
          <w:p w14:paraId="354DFD19" w14:textId="02527765" w:rsidR="0020549E" w:rsidRPr="00AC4363" w:rsidRDefault="0020549E" w:rsidP="00BA1858">
            <w:pPr>
              <w:autoSpaceDE w:val="0"/>
              <w:autoSpaceDN w:val="0"/>
              <w:adjustRightInd w:val="0"/>
              <w:spacing w:after="0"/>
              <w:ind w:right="60"/>
              <w:rPr>
                <w:color w:val="000000"/>
                <w:sz w:val="20"/>
                <w:szCs w:val="20"/>
              </w:rPr>
            </w:pPr>
            <w:r w:rsidRPr="00AC4363">
              <w:rPr>
                <w:color w:val="000000"/>
                <w:sz w:val="20"/>
                <w:szCs w:val="20"/>
              </w:rPr>
              <w:t>Capacidad de planeación</w:t>
            </w:r>
          </w:p>
        </w:tc>
        <w:tc>
          <w:tcPr>
            <w:tcW w:w="567" w:type="dxa"/>
            <w:vAlign w:val="center"/>
          </w:tcPr>
          <w:p w14:paraId="0BF37377" w14:textId="37B9FDCF" w:rsidR="0020549E" w:rsidRPr="00AC4363" w:rsidRDefault="0020549E" w:rsidP="004E1F3E">
            <w:pPr>
              <w:autoSpaceDE w:val="0"/>
              <w:autoSpaceDN w:val="0"/>
              <w:adjustRightInd w:val="0"/>
              <w:spacing w:after="0"/>
              <w:ind w:right="60"/>
              <w:contextualSpacing/>
              <w:rPr>
                <w:color w:val="000000"/>
                <w:sz w:val="20"/>
                <w:szCs w:val="20"/>
              </w:rPr>
            </w:pPr>
            <w:r w:rsidRPr="00AC4363">
              <w:rPr>
                <w:color w:val="000000"/>
                <w:sz w:val="20"/>
                <w:szCs w:val="20"/>
              </w:rPr>
              <w:t>0.701</w:t>
            </w:r>
          </w:p>
        </w:tc>
        <w:tc>
          <w:tcPr>
            <w:tcW w:w="1397" w:type="dxa"/>
            <w:gridSpan w:val="4"/>
            <w:vAlign w:val="center"/>
          </w:tcPr>
          <w:p w14:paraId="15A1455E" w14:textId="77777777" w:rsidR="0020549E" w:rsidRPr="00AC4363" w:rsidRDefault="0020549E" w:rsidP="004E1F3E">
            <w:pPr>
              <w:autoSpaceDE w:val="0"/>
              <w:autoSpaceDN w:val="0"/>
              <w:adjustRightInd w:val="0"/>
              <w:spacing w:after="0"/>
              <w:ind w:left="60" w:right="60"/>
              <w:contextualSpacing/>
              <w:rPr>
                <w:color w:val="000000"/>
                <w:sz w:val="20"/>
                <w:szCs w:val="20"/>
              </w:rPr>
            </w:pPr>
          </w:p>
        </w:tc>
        <w:tc>
          <w:tcPr>
            <w:tcW w:w="20" w:type="dxa"/>
            <w:vAlign w:val="center"/>
          </w:tcPr>
          <w:p w14:paraId="66EEF645" w14:textId="77777777" w:rsidR="0020549E" w:rsidRPr="00AC4363" w:rsidRDefault="0020549E" w:rsidP="004E1F3E">
            <w:pPr>
              <w:autoSpaceDE w:val="0"/>
              <w:autoSpaceDN w:val="0"/>
              <w:adjustRightInd w:val="0"/>
              <w:spacing w:after="0"/>
              <w:ind w:left="60" w:right="60"/>
              <w:contextualSpacing/>
              <w:rPr>
                <w:color w:val="000000"/>
                <w:sz w:val="20"/>
                <w:szCs w:val="20"/>
              </w:rPr>
            </w:pPr>
          </w:p>
        </w:tc>
        <w:tc>
          <w:tcPr>
            <w:tcW w:w="1681" w:type="dxa"/>
          </w:tcPr>
          <w:p w14:paraId="786AAE13" w14:textId="5561DB8F" w:rsidR="0020549E" w:rsidRPr="00AC4363" w:rsidRDefault="0020549E" w:rsidP="0020549E">
            <w:pPr>
              <w:autoSpaceDE w:val="0"/>
              <w:autoSpaceDN w:val="0"/>
              <w:adjustRightInd w:val="0"/>
              <w:spacing w:after="0"/>
              <w:ind w:right="60"/>
              <w:contextualSpacing/>
              <w:jc w:val="center"/>
              <w:rPr>
                <w:color w:val="000000"/>
                <w:sz w:val="20"/>
                <w:szCs w:val="20"/>
              </w:rPr>
            </w:pPr>
            <w:r w:rsidRPr="00AC4363">
              <w:rPr>
                <w:color w:val="000000"/>
                <w:sz w:val="20"/>
                <w:szCs w:val="20"/>
              </w:rPr>
              <w:t>0.677</w:t>
            </w:r>
          </w:p>
        </w:tc>
      </w:tr>
      <w:tr w:rsidR="0020549E" w:rsidRPr="00AC4363" w14:paraId="78376666" w14:textId="77777777" w:rsidTr="00AC4363">
        <w:trPr>
          <w:cantSplit/>
        </w:trPr>
        <w:tc>
          <w:tcPr>
            <w:tcW w:w="1701" w:type="dxa"/>
            <w:vMerge/>
            <w:vAlign w:val="center"/>
          </w:tcPr>
          <w:p w14:paraId="7413867C" w14:textId="77777777" w:rsidR="0020549E" w:rsidRPr="00AC4363" w:rsidRDefault="0020549E" w:rsidP="0020549E">
            <w:pPr>
              <w:autoSpaceDE w:val="0"/>
              <w:autoSpaceDN w:val="0"/>
              <w:adjustRightInd w:val="0"/>
              <w:spacing w:after="0"/>
              <w:ind w:right="60"/>
              <w:contextualSpacing/>
              <w:rPr>
                <w:color w:val="000000"/>
                <w:sz w:val="20"/>
                <w:szCs w:val="20"/>
              </w:rPr>
            </w:pPr>
          </w:p>
        </w:tc>
        <w:tc>
          <w:tcPr>
            <w:tcW w:w="3686" w:type="dxa"/>
          </w:tcPr>
          <w:p w14:paraId="2C1B3504" w14:textId="00C797B2" w:rsidR="0020549E" w:rsidRPr="00AC4363" w:rsidRDefault="0020549E" w:rsidP="0020549E">
            <w:pPr>
              <w:autoSpaceDE w:val="0"/>
              <w:autoSpaceDN w:val="0"/>
              <w:adjustRightInd w:val="0"/>
              <w:spacing w:after="0"/>
              <w:ind w:right="60"/>
              <w:rPr>
                <w:color w:val="000000"/>
                <w:sz w:val="20"/>
                <w:szCs w:val="20"/>
              </w:rPr>
            </w:pPr>
            <w:r w:rsidRPr="00AC4363">
              <w:rPr>
                <w:color w:val="000000"/>
                <w:sz w:val="20"/>
                <w:szCs w:val="20"/>
              </w:rPr>
              <w:t>Autoevaluación del desempeño:</w:t>
            </w:r>
          </w:p>
        </w:tc>
        <w:tc>
          <w:tcPr>
            <w:tcW w:w="567" w:type="dxa"/>
            <w:vAlign w:val="center"/>
          </w:tcPr>
          <w:p w14:paraId="2ACD9892" w14:textId="04CDF9BE" w:rsidR="0020549E" w:rsidRPr="00AC4363" w:rsidRDefault="0020549E" w:rsidP="0020549E">
            <w:pPr>
              <w:autoSpaceDE w:val="0"/>
              <w:autoSpaceDN w:val="0"/>
              <w:adjustRightInd w:val="0"/>
              <w:spacing w:after="0"/>
              <w:ind w:right="60"/>
              <w:contextualSpacing/>
              <w:rPr>
                <w:color w:val="000000"/>
                <w:sz w:val="20"/>
                <w:szCs w:val="20"/>
              </w:rPr>
            </w:pPr>
            <w:r w:rsidRPr="00AC4363">
              <w:rPr>
                <w:color w:val="000000"/>
                <w:sz w:val="20"/>
                <w:szCs w:val="20"/>
              </w:rPr>
              <w:t>0.663</w:t>
            </w:r>
          </w:p>
        </w:tc>
        <w:tc>
          <w:tcPr>
            <w:tcW w:w="1397" w:type="dxa"/>
            <w:gridSpan w:val="4"/>
            <w:vAlign w:val="center"/>
          </w:tcPr>
          <w:p w14:paraId="2C62E2C5" w14:textId="77777777" w:rsidR="0020549E" w:rsidRPr="00AC4363" w:rsidRDefault="0020549E" w:rsidP="0020549E">
            <w:pPr>
              <w:autoSpaceDE w:val="0"/>
              <w:autoSpaceDN w:val="0"/>
              <w:adjustRightInd w:val="0"/>
              <w:spacing w:after="0"/>
              <w:ind w:left="60" w:right="60"/>
              <w:contextualSpacing/>
              <w:rPr>
                <w:color w:val="000000"/>
                <w:sz w:val="20"/>
                <w:szCs w:val="20"/>
              </w:rPr>
            </w:pPr>
          </w:p>
        </w:tc>
        <w:tc>
          <w:tcPr>
            <w:tcW w:w="20" w:type="dxa"/>
            <w:vAlign w:val="center"/>
          </w:tcPr>
          <w:p w14:paraId="68A26F37" w14:textId="77777777" w:rsidR="0020549E" w:rsidRPr="00AC4363" w:rsidRDefault="0020549E" w:rsidP="0020549E">
            <w:pPr>
              <w:autoSpaceDE w:val="0"/>
              <w:autoSpaceDN w:val="0"/>
              <w:adjustRightInd w:val="0"/>
              <w:spacing w:after="0"/>
              <w:ind w:left="60" w:right="60"/>
              <w:contextualSpacing/>
              <w:rPr>
                <w:color w:val="000000"/>
                <w:sz w:val="20"/>
                <w:szCs w:val="20"/>
              </w:rPr>
            </w:pPr>
          </w:p>
        </w:tc>
        <w:tc>
          <w:tcPr>
            <w:tcW w:w="1681" w:type="dxa"/>
          </w:tcPr>
          <w:p w14:paraId="3A916E0B" w14:textId="6CF2931C" w:rsidR="0020549E" w:rsidRPr="00AC4363" w:rsidRDefault="0020549E" w:rsidP="0020549E">
            <w:pPr>
              <w:autoSpaceDE w:val="0"/>
              <w:autoSpaceDN w:val="0"/>
              <w:adjustRightInd w:val="0"/>
              <w:spacing w:after="0"/>
              <w:ind w:right="60"/>
              <w:contextualSpacing/>
              <w:jc w:val="center"/>
              <w:rPr>
                <w:color w:val="000000"/>
                <w:sz w:val="20"/>
                <w:szCs w:val="20"/>
              </w:rPr>
            </w:pPr>
            <w:r w:rsidRPr="00AC4363">
              <w:rPr>
                <w:color w:val="000000"/>
                <w:sz w:val="20"/>
                <w:szCs w:val="20"/>
              </w:rPr>
              <w:t>0.586</w:t>
            </w:r>
          </w:p>
        </w:tc>
      </w:tr>
      <w:tr w:rsidR="0020549E" w:rsidRPr="00AC4363" w14:paraId="7C613541" w14:textId="77777777" w:rsidTr="00AC4363">
        <w:trPr>
          <w:cantSplit/>
        </w:trPr>
        <w:tc>
          <w:tcPr>
            <w:tcW w:w="1701" w:type="dxa"/>
            <w:vMerge/>
            <w:vAlign w:val="center"/>
          </w:tcPr>
          <w:p w14:paraId="4A822CFD" w14:textId="77777777" w:rsidR="0020549E" w:rsidRPr="00AC4363" w:rsidRDefault="0020549E" w:rsidP="0020549E">
            <w:pPr>
              <w:autoSpaceDE w:val="0"/>
              <w:autoSpaceDN w:val="0"/>
              <w:adjustRightInd w:val="0"/>
              <w:spacing w:after="0"/>
              <w:ind w:right="60"/>
              <w:contextualSpacing/>
              <w:rPr>
                <w:color w:val="000000"/>
                <w:sz w:val="20"/>
                <w:szCs w:val="20"/>
              </w:rPr>
            </w:pPr>
          </w:p>
        </w:tc>
        <w:tc>
          <w:tcPr>
            <w:tcW w:w="3686" w:type="dxa"/>
          </w:tcPr>
          <w:p w14:paraId="7F04BB40" w14:textId="31029601" w:rsidR="0020549E" w:rsidRPr="00AC4363" w:rsidRDefault="0020549E" w:rsidP="0020549E">
            <w:pPr>
              <w:autoSpaceDE w:val="0"/>
              <w:autoSpaceDN w:val="0"/>
              <w:adjustRightInd w:val="0"/>
              <w:spacing w:after="0"/>
              <w:ind w:right="60"/>
              <w:rPr>
                <w:color w:val="000000"/>
                <w:sz w:val="20"/>
                <w:szCs w:val="20"/>
              </w:rPr>
            </w:pPr>
            <w:r w:rsidRPr="00AC4363">
              <w:rPr>
                <w:sz w:val="20"/>
                <w:szCs w:val="20"/>
              </w:rPr>
              <w:t>Propuesta de mejoras</w:t>
            </w:r>
          </w:p>
        </w:tc>
        <w:tc>
          <w:tcPr>
            <w:tcW w:w="567" w:type="dxa"/>
            <w:vAlign w:val="center"/>
          </w:tcPr>
          <w:p w14:paraId="7390822E" w14:textId="4B416F5E" w:rsidR="0020549E" w:rsidRPr="00AC4363" w:rsidRDefault="0020549E" w:rsidP="0020549E">
            <w:pPr>
              <w:autoSpaceDE w:val="0"/>
              <w:autoSpaceDN w:val="0"/>
              <w:adjustRightInd w:val="0"/>
              <w:spacing w:after="0"/>
              <w:ind w:right="60"/>
              <w:contextualSpacing/>
              <w:rPr>
                <w:color w:val="000000"/>
                <w:sz w:val="20"/>
                <w:szCs w:val="20"/>
              </w:rPr>
            </w:pPr>
            <w:r w:rsidRPr="00AC4363">
              <w:rPr>
                <w:color w:val="000000"/>
                <w:sz w:val="20"/>
                <w:szCs w:val="20"/>
              </w:rPr>
              <w:t>0.612</w:t>
            </w:r>
          </w:p>
        </w:tc>
        <w:tc>
          <w:tcPr>
            <w:tcW w:w="1397" w:type="dxa"/>
            <w:gridSpan w:val="4"/>
            <w:vAlign w:val="center"/>
          </w:tcPr>
          <w:p w14:paraId="09DF0930" w14:textId="77777777" w:rsidR="0020549E" w:rsidRPr="00AC4363" w:rsidRDefault="0020549E" w:rsidP="0020549E">
            <w:pPr>
              <w:autoSpaceDE w:val="0"/>
              <w:autoSpaceDN w:val="0"/>
              <w:adjustRightInd w:val="0"/>
              <w:spacing w:after="0"/>
              <w:ind w:left="60" w:right="60"/>
              <w:contextualSpacing/>
              <w:rPr>
                <w:color w:val="000000"/>
                <w:sz w:val="20"/>
                <w:szCs w:val="20"/>
              </w:rPr>
            </w:pPr>
          </w:p>
        </w:tc>
        <w:tc>
          <w:tcPr>
            <w:tcW w:w="20" w:type="dxa"/>
            <w:vAlign w:val="center"/>
          </w:tcPr>
          <w:p w14:paraId="4C702E42" w14:textId="77777777" w:rsidR="0020549E" w:rsidRPr="00AC4363" w:rsidRDefault="0020549E" w:rsidP="0020549E">
            <w:pPr>
              <w:autoSpaceDE w:val="0"/>
              <w:autoSpaceDN w:val="0"/>
              <w:adjustRightInd w:val="0"/>
              <w:spacing w:after="0"/>
              <w:ind w:left="60" w:right="60"/>
              <w:contextualSpacing/>
              <w:rPr>
                <w:color w:val="000000"/>
                <w:sz w:val="20"/>
                <w:szCs w:val="20"/>
              </w:rPr>
            </w:pPr>
          </w:p>
        </w:tc>
        <w:tc>
          <w:tcPr>
            <w:tcW w:w="1681" w:type="dxa"/>
          </w:tcPr>
          <w:p w14:paraId="06AB802F" w14:textId="2C69CAA9" w:rsidR="0020549E" w:rsidRPr="00AC4363" w:rsidRDefault="0020549E" w:rsidP="0020549E">
            <w:pPr>
              <w:autoSpaceDE w:val="0"/>
              <w:autoSpaceDN w:val="0"/>
              <w:adjustRightInd w:val="0"/>
              <w:spacing w:after="0"/>
              <w:ind w:right="60"/>
              <w:contextualSpacing/>
              <w:jc w:val="center"/>
              <w:rPr>
                <w:color w:val="000000"/>
                <w:sz w:val="20"/>
                <w:szCs w:val="20"/>
              </w:rPr>
            </w:pPr>
            <w:r w:rsidRPr="00AC4363">
              <w:rPr>
                <w:color w:val="000000"/>
                <w:sz w:val="20"/>
                <w:szCs w:val="20"/>
              </w:rPr>
              <w:t>0.60</w:t>
            </w:r>
            <w:r w:rsidR="00D92922" w:rsidRPr="00AC4363">
              <w:rPr>
                <w:color w:val="000000"/>
                <w:sz w:val="20"/>
                <w:szCs w:val="20"/>
              </w:rPr>
              <w:t>0</w:t>
            </w:r>
          </w:p>
        </w:tc>
      </w:tr>
      <w:tr w:rsidR="0020549E" w:rsidRPr="00AC4363" w14:paraId="10DD119C" w14:textId="77777777" w:rsidTr="00AC4363">
        <w:trPr>
          <w:cantSplit/>
        </w:trPr>
        <w:tc>
          <w:tcPr>
            <w:tcW w:w="1701" w:type="dxa"/>
            <w:vMerge/>
            <w:vAlign w:val="center"/>
          </w:tcPr>
          <w:p w14:paraId="10200F83" w14:textId="77777777" w:rsidR="0020549E" w:rsidRPr="00AC4363" w:rsidRDefault="0020549E" w:rsidP="0020549E">
            <w:pPr>
              <w:autoSpaceDE w:val="0"/>
              <w:autoSpaceDN w:val="0"/>
              <w:adjustRightInd w:val="0"/>
              <w:spacing w:after="0"/>
              <w:ind w:right="60"/>
              <w:contextualSpacing/>
              <w:rPr>
                <w:color w:val="000000"/>
                <w:sz w:val="20"/>
                <w:szCs w:val="20"/>
              </w:rPr>
            </w:pPr>
          </w:p>
        </w:tc>
        <w:tc>
          <w:tcPr>
            <w:tcW w:w="3686" w:type="dxa"/>
          </w:tcPr>
          <w:p w14:paraId="38FFC42C" w14:textId="28C3215A" w:rsidR="0020549E" w:rsidRPr="00AC4363" w:rsidRDefault="0020549E" w:rsidP="0020549E">
            <w:pPr>
              <w:autoSpaceDE w:val="0"/>
              <w:autoSpaceDN w:val="0"/>
              <w:adjustRightInd w:val="0"/>
              <w:spacing w:after="0"/>
              <w:ind w:right="60"/>
              <w:rPr>
                <w:color w:val="000000"/>
                <w:sz w:val="20"/>
                <w:szCs w:val="20"/>
              </w:rPr>
            </w:pPr>
            <w:r w:rsidRPr="00AC4363">
              <w:rPr>
                <w:sz w:val="20"/>
                <w:szCs w:val="20"/>
              </w:rPr>
              <w:t>Evaluación de alternativas de solución</w:t>
            </w:r>
          </w:p>
        </w:tc>
        <w:tc>
          <w:tcPr>
            <w:tcW w:w="567" w:type="dxa"/>
            <w:vAlign w:val="center"/>
          </w:tcPr>
          <w:p w14:paraId="47158C93" w14:textId="60E34A77" w:rsidR="0020549E" w:rsidRPr="00AC4363" w:rsidRDefault="0020549E" w:rsidP="0020549E">
            <w:pPr>
              <w:autoSpaceDE w:val="0"/>
              <w:autoSpaceDN w:val="0"/>
              <w:adjustRightInd w:val="0"/>
              <w:spacing w:after="0"/>
              <w:ind w:right="60"/>
              <w:contextualSpacing/>
              <w:rPr>
                <w:color w:val="000000"/>
                <w:sz w:val="20"/>
                <w:szCs w:val="20"/>
              </w:rPr>
            </w:pPr>
            <w:r w:rsidRPr="00AC4363">
              <w:rPr>
                <w:color w:val="000000"/>
                <w:sz w:val="20"/>
                <w:szCs w:val="20"/>
              </w:rPr>
              <w:t>0.574</w:t>
            </w:r>
          </w:p>
        </w:tc>
        <w:tc>
          <w:tcPr>
            <w:tcW w:w="1397" w:type="dxa"/>
            <w:gridSpan w:val="4"/>
            <w:vAlign w:val="center"/>
          </w:tcPr>
          <w:p w14:paraId="20BEACE9" w14:textId="77777777" w:rsidR="0020549E" w:rsidRPr="00AC4363" w:rsidRDefault="0020549E" w:rsidP="0020549E">
            <w:pPr>
              <w:autoSpaceDE w:val="0"/>
              <w:autoSpaceDN w:val="0"/>
              <w:adjustRightInd w:val="0"/>
              <w:spacing w:after="0"/>
              <w:ind w:left="60" w:right="60"/>
              <w:contextualSpacing/>
              <w:rPr>
                <w:color w:val="000000"/>
                <w:sz w:val="20"/>
                <w:szCs w:val="20"/>
              </w:rPr>
            </w:pPr>
          </w:p>
        </w:tc>
        <w:tc>
          <w:tcPr>
            <w:tcW w:w="20" w:type="dxa"/>
            <w:vAlign w:val="center"/>
          </w:tcPr>
          <w:p w14:paraId="4DFC2163" w14:textId="77777777" w:rsidR="0020549E" w:rsidRPr="00AC4363" w:rsidRDefault="0020549E" w:rsidP="0020549E">
            <w:pPr>
              <w:autoSpaceDE w:val="0"/>
              <w:autoSpaceDN w:val="0"/>
              <w:adjustRightInd w:val="0"/>
              <w:spacing w:after="0"/>
              <w:ind w:left="60" w:right="60"/>
              <w:contextualSpacing/>
              <w:rPr>
                <w:color w:val="000000"/>
                <w:sz w:val="20"/>
                <w:szCs w:val="20"/>
              </w:rPr>
            </w:pPr>
          </w:p>
        </w:tc>
        <w:tc>
          <w:tcPr>
            <w:tcW w:w="1681" w:type="dxa"/>
          </w:tcPr>
          <w:p w14:paraId="5C99BC63" w14:textId="0AACB018" w:rsidR="0020549E" w:rsidRPr="00AC4363" w:rsidRDefault="0020549E" w:rsidP="0020549E">
            <w:pPr>
              <w:autoSpaceDE w:val="0"/>
              <w:autoSpaceDN w:val="0"/>
              <w:adjustRightInd w:val="0"/>
              <w:spacing w:after="0"/>
              <w:ind w:right="60"/>
              <w:contextualSpacing/>
              <w:jc w:val="center"/>
              <w:rPr>
                <w:color w:val="000000"/>
                <w:sz w:val="20"/>
                <w:szCs w:val="20"/>
              </w:rPr>
            </w:pPr>
            <w:r w:rsidRPr="00AC4363">
              <w:rPr>
                <w:color w:val="000000"/>
                <w:sz w:val="20"/>
                <w:szCs w:val="20"/>
              </w:rPr>
              <w:t>0.590</w:t>
            </w:r>
          </w:p>
        </w:tc>
      </w:tr>
      <w:tr w:rsidR="00951A73" w:rsidRPr="00AC4363" w14:paraId="2D27CFA1" w14:textId="42348E87" w:rsidTr="00AC4363">
        <w:trPr>
          <w:cantSplit/>
        </w:trPr>
        <w:tc>
          <w:tcPr>
            <w:tcW w:w="1701" w:type="dxa"/>
            <w:vAlign w:val="center"/>
          </w:tcPr>
          <w:p w14:paraId="4C857907" w14:textId="0FBFAAE1" w:rsidR="00951A73" w:rsidRPr="00AC4363" w:rsidRDefault="00951A73" w:rsidP="00226D9C">
            <w:pPr>
              <w:autoSpaceDE w:val="0"/>
              <w:autoSpaceDN w:val="0"/>
              <w:adjustRightInd w:val="0"/>
              <w:spacing w:after="0"/>
              <w:ind w:left="60" w:right="60"/>
              <w:contextualSpacing/>
              <w:rPr>
                <w:color w:val="000000"/>
                <w:sz w:val="20"/>
                <w:szCs w:val="20"/>
              </w:rPr>
            </w:pPr>
          </w:p>
        </w:tc>
        <w:tc>
          <w:tcPr>
            <w:tcW w:w="3686" w:type="dxa"/>
          </w:tcPr>
          <w:p w14:paraId="135AFCEA" w14:textId="470B3B4D" w:rsidR="00951A73" w:rsidRPr="00AC4363" w:rsidRDefault="00951A73" w:rsidP="00226D9C">
            <w:pPr>
              <w:autoSpaceDE w:val="0"/>
              <w:autoSpaceDN w:val="0"/>
              <w:adjustRightInd w:val="0"/>
              <w:spacing w:after="0"/>
              <w:ind w:right="60"/>
              <w:rPr>
                <w:color w:val="000000"/>
                <w:sz w:val="20"/>
                <w:szCs w:val="20"/>
              </w:rPr>
            </w:pPr>
            <w:r w:rsidRPr="00AC4363">
              <w:rPr>
                <w:color w:val="000000"/>
                <w:sz w:val="20"/>
                <w:szCs w:val="20"/>
              </w:rPr>
              <w:t>Adaptación digital</w:t>
            </w:r>
          </w:p>
        </w:tc>
        <w:tc>
          <w:tcPr>
            <w:tcW w:w="567" w:type="dxa"/>
            <w:vAlign w:val="center"/>
          </w:tcPr>
          <w:p w14:paraId="3780D3AA" w14:textId="2D6EEBDB" w:rsidR="00951A73" w:rsidRPr="00AC4363" w:rsidRDefault="00951A73" w:rsidP="00226D9C">
            <w:pPr>
              <w:autoSpaceDE w:val="0"/>
              <w:autoSpaceDN w:val="0"/>
              <w:adjustRightInd w:val="0"/>
              <w:spacing w:after="0"/>
              <w:ind w:left="60" w:right="60"/>
              <w:contextualSpacing/>
              <w:rPr>
                <w:color w:val="000000"/>
                <w:sz w:val="20"/>
                <w:szCs w:val="20"/>
              </w:rPr>
            </w:pPr>
          </w:p>
        </w:tc>
        <w:tc>
          <w:tcPr>
            <w:tcW w:w="1397" w:type="dxa"/>
            <w:gridSpan w:val="4"/>
            <w:vAlign w:val="center"/>
          </w:tcPr>
          <w:p w14:paraId="6444FD98" w14:textId="62BAB63A" w:rsidR="00951A73" w:rsidRPr="00AC4363" w:rsidRDefault="00DE4142" w:rsidP="00226D9C">
            <w:pPr>
              <w:autoSpaceDE w:val="0"/>
              <w:autoSpaceDN w:val="0"/>
              <w:adjustRightInd w:val="0"/>
              <w:spacing w:after="0"/>
              <w:ind w:left="60" w:right="60"/>
              <w:contextualSpacing/>
              <w:rPr>
                <w:color w:val="000000"/>
                <w:sz w:val="20"/>
                <w:szCs w:val="20"/>
              </w:rPr>
            </w:pPr>
            <w:r w:rsidRPr="00AC4363">
              <w:rPr>
                <w:color w:val="000000"/>
                <w:sz w:val="20"/>
                <w:szCs w:val="20"/>
              </w:rPr>
              <w:t>0</w:t>
            </w:r>
            <w:r w:rsidR="00951A73" w:rsidRPr="00AC4363">
              <w:rPr>
                <w:color w:val="000000"/>
                <w:sz w:val="20"/>
                <w:szCs w:val="20"/>
              </w:rPr>
              <w:t>.783</w:t>
            </w:r>
          </w:p>
        </w:tc>
        <w:tc>
          <w:tcPr>
            <w:tcW w:w="20" w:type="dxa"/>
            <w:vAlign w:val="center"/>
          </w:tcPr>
          <w:p w14:paraId="45C18C15" w14:textId="77777777" w:rsidR="00951A73" w:rsidRPr="00AC4363" w:rsidRDefault="00951A73" w:rsidP="00226D9C">
            <w:pPr>
              <w:autoSpaceDE w:val="0"/>
              <w:autoSpaceDN w:val="0"/>
              <w:adjustRightInd w:val="0"/>
              <w:spacing w:after="0"/>
              <w:ind w:left="60" w:right="60"/>
              <w:contextualSpacing/>
              <w:rPr>
                <w:color w:val="000000"/>
                <w:sz w:val="20"/>
                <w:szCs w:val="20"/>
              </w:rPr>
            </w:pPr>
          </w:p>
        </w:tc>
        <w:tc>
          <w:tcPr>
            <w:tcW w:w="1681" w:type="dxa"/>
          </w:tcPr>
          <w:p w14:paraId="754C9DFE" w14:textId="70ECD1EB" w:rsidR="00951A73" w:rsidRPr="00AC4363" w:rsidRDefault="00951A73" w:rsidP="00226D9C">
            <w:pPr>
              <w:autoSpaceDE w:val="0"/>
              <w:autoSpaceDN w:val="0"/>
              <w:adjustRightInd w:val="0"/>
              <w:spacing w:after="0"/>
              <w:ind w:left="60" w:right="60"/>
              <w:contextualSpacing/>
              <w:jc w:val="center"/>
              <w:rPr>
                <w:color w:val="000000"/>
                <w:sz w:val="20"/>
                <w:szCs w:val="20"/>
              </w:rPr>
            </w:pPr>
            <w:r w:rsidRPr="00AC4363">
              <w:rPr>
                <w:color w:val="000000"/>
                <w:sz w:val="20"/>
                <w:szCs w:val="20"/>
              </w:rPr>
              <w:t>0.7</w:t>
            </w:r>
            <w:r w:rsidR="00147AFB" w:rsidRPr="00AC4363">
              <w:rPr>
                <w:color w:val="000000"/>
                <w:sz w:val="20"/>
                <w:szCs w:val="20"/>
              </w:rPr>
              <w:t>77</w:t>
            </w:r>
          </w:p>
        </w:tc>
      </w:tr>
      <w:tr w:rsidR="00951A73" w:rsidRPr="00AC4363" w14:paraId="532761C5" w14:textId="17560805" w:rsidTr="00AC4363">
        <w:trPr>
          <w:cantSplit/>
        </w:trPr>
        <w:tc>
          <w:tcPr>
            <w:tcW w:w="1701" w:type="dxa"/>
            <w:vAlign w:val="center"/>
          </w:tcPr>
          <w:p w14:paraId="6B5530B2" w14:textId="6F584EAC" w:rsidR="00951A73" w:rsidRPr="00AC4363" w:rsidRDefault="00951A73" w:rsidP="00226D9C">
            <w:pPr>
              <w:autoSpaceDE w:val="0"/>
              <w:autoSpaceDN w:val="0"/>
              <w:adjustRightInd w:val="0"/>
              <w:spacing w:after="0"/>
              <w:ind w:left="60" w:right="60"/>
              <w:contextualSpacing/>
              <w:rPr>
                <w:color w:val="000000"/>
                <w:sz w:val="20"/>
                <w:szCs w:val="20"/>
              </w:rPr>
            </w:pPr>
          </w:p>
        </w:tc>
        <w:tc>
          <w:tcPr>
            <w:tcW w:w="3686" w:type="dxa"/>
          </w:tcPr>
          <w:p w14:paraId="759490A3" w14:textId="242A1C53" w:rsidR="00951A73" w:rsidRPr="00AC4363" w:rsidRDefault="00951A73" w:rsidP="00226D9C">
            <w:pPr>
              <w:autoSpaceDE w:val="0"/>
              <w:autoSpaceDN w:val="0"/>
              <w:adjustRightInd w:val="0"/>
              <w:spacing w:after="0"/>
              <w:ind w:right="60"/>
              <w:rPr>
                <w:color w:val="000000"/>
                <w:sz w:val="20"/>
                <w:szCs w:val="20"/>
              </w:rPr>
            </w:pPr>
            <w:r w:rsidRPr="00AC4363">
              <w:rPr>
                <w:color w:val="000000"/>
                <w:sz w:val="20"/>
                <w:szCs w:val="20"/>
              </w:rPr>
              <w:t>Uso de herramientas digitales en presentaciones</w:t>
            </w:r>
          </w:p>
        </w:tc>
        <w:tc>
          <w:tcPr>
            <w:tcW w:w="567" w:type="dxa"/>
            <w:vAlign w:val="center"/>
          </w:tcPr>
          <w:p w14:paraId="3E3A1B5E" w14:textId="24A55402" w:rsidR="00951A73" w:rsidRPr="00AC4363" w:rsidRDefault="00951A73" w:rsidP="00226D9C">
            <w:pPr>
              <w:autoSpaceDE w:val="0"/>
              <w:autoSpaceDN w:val="0"/>
              <w:adjustRightInd w:val="0"/>
              <w:spacing w:after="0"/>
              <w:ind w:left="60" w:right="60"/>
              <w:contextualSpacing/>
              <w:rPr>
                <w:color w:val="000000"/>
                <w:sz w:val="20"/>
                <w:szCs w:val="20"/>
              </w:rPr>
            </w:pPr>
          </w:p>
        </w:tc>
        <w:tc>
          <w:tcPr>
            <w:tcW w:w="1397" w:type="dxa"/>
            <w:gridSpan w:val="4"/>
            <w:vAlign w:val="center"/>
          </w:tcPr>
          <w:p w14:paraId="5638C4FB" w14:textId="2FEDBF9D" w:rsidR="00951A73" w:rsidRPr="00AC4363" w:rsidRDefault="00DE4142" w:rsidP="00226D9C">
            <w:pPr>
              <w:autoSpaceDE w:val="0"/>
              <w:autoSpaceDN w:val="0"/>
              <w:adjustRightInd w:val="0"/>
              <w:spacing w:after="0"/>
              <w:ind w:left="60" w:right="60"/>
              <w:contextualSpacing/>
              <w:rPr>
                <w:color w:val="000000"/>
                <w:sz w:val="20"/>
                <w:szCs w:val="20"/>
              </w:rPr>
            </w:pPr>
            <w:r w:rsidRPr="00AC4363">
              <w:rPr>
                <w:color w:val="000000"/>
                <w:sz w:val="20"/>
                <w:szCs w:val="20"/>
              </w:rPr>
              <w:t>0</w:t>
            </w:r>
            <w:r w:rsidR="00951A73" w:rsidRPr="00AC4363">
              <w:rPr>
                <w:color w:val="000000"/>
                <w:sz w:val="20"/>
                <w:szCs w:val="20"/>
              </w:rPr>
              <w:t>.762</w:t>
            </w:r>
          </w:p>
        </w:tc>
        <w:tc>
          <w:tcPr>
            <w:tcW w:w="20" w:type="dxa"/>
            <w:vAlign w:val="center"/>
          </w:tcPr>
          <w:p w14:paraId="5AE9B73C" w14:textId="77777777" w:rsidR="00951A73" w:rsidRPr="00AC4363" w:rsidRDefault="00951A73" w:rsidP="00226D9C">
            <w:pPr>
              <w:autoSpaceDE w:val="0"/>
              <w:autoSpaceDN w:val="0"/>
              <w:adjustRightInd w:val="0"/>
              <w:spacing w:after="0"/>
              <w:ind w:left="60" w:right="60"/>
              <w:contextualSpacing/>
              <w:rPr>
                <w:color w:val="000000"/>
                <w:sz w:val="20"/>
                <w:szCs w:val="20"/>
              </w:rPr>
            </w:pPr>
          </w:p>
        </w:tc>
        <w:tc>
          <w:tcPr>
            <w:tcW w:w="1681" w:type="dxa"/>
          </w:tcPr>
          <w:p w14:paraId="5A7E6D20" w14:textId="3DA457DB" w:rsidR="00951A73" w:rsidRPr="00AC4363" w:rsidRDefault="00951A73" w:rsidP="00226D9C">
            <w:pPr>
              <w:autoSpaceDE w:val="0"/>
              <w:autoSpaceDN w:val="0"/>
              <w:adjustRightInd w:val="0"/>
              <w:spacing w:after="0"/>
              <w:ind w:left="60" w:right="60"/>
              <w:contextualSpacing/>
              <w:jc w:val="center"/>
              <w:rPr>
                <w:color w:val="000000"/>
                <w:sz w:val="20"/>
                <w:szCs w:val="20"/>
              </w:rPr>
            </w:pPr>
            <w:r w:rsidRPr="00AC4363">
              <w:rPr>
                <w:color w:val="000000"/>
                <w:sz w:val="20"/>
                <w:szCs w:val="20"/>
              </w:rPr>
              <w:t>0.7</w:t>
            </w:r>
            <w:r w:rsidR="00147AFB" w:rsidRPr="00AC4363">
              <w:rPr>
                <w:color w:val="000000"/>
                <w:sz w:val="20"/>
                <w:szCs w:val="20"/>
              </w:rPr>
              <w:t>44</w:t>
            </w:r>
          </w:p>
        </w:tc>
      </w:tr>
      <w:tr w:rsidR="00951A73" w:rsidRPr="00AC4363" w14:paraId="67EE0C00" w14:textId="3F2D3F24" w:rsidTr="00AC4363">
        <w:trPr>
          <w:cantSplit/>
        </w:trPr>
        <w:tc>
          <w:tcPr>
            <w:tcW w:w="1701" w:type="dxa"/>
            <w:vAlign w:val="center"/>
          </w:tcPr>
          <w:p w14:paraId="28DEAEC4" w14:textId="06333A48" w:rsidR="00951A73" w:rsidRPr="00AC4363" w:rsidRDefault="00B63BCE" w:rsidP="00226D9C">
            <w:pPr>
              <w:autoSpaceDE w:val="0"/>
              <w:autoSpaceDN w:val="0"/>
              <w:adjustRightInd w:val="0"/>
              <w:spacing w:after="0"/>
              <w:ind w:right="60"/>
              <w:contextualSpacing/>
              <w:rPr>
                <w:color w:val="000000"/>
                <w:sz w:val="20"/>
                <w:szCs w:val="20"/>
              </w:rPr>
            </w:pPr>
            <w:r w:rsidRPr="00AC4363">
              <w:rPr>
                <w:color w:val="000000"/>
                <w:sz w:val="20"/>
                <w:szCs w:val="20"/>
              </w:rPr>
              <w:t xml:space="preserve">Comunicación y </w:t>
            </w:r>
          </w:p>
        </w:tc>
        <w:tc>
          <w:tcPr>
            <w:tcW w:w="3686" w:type="dxa"/>
          </w:tcPr>
          <w:p w14:paraId="757F678D" w14:textId="57F54DF4" w:rsidR="00951A73" w:rsidRPr="00AC4363" w:rsidRDefault="00951A73" w:rsidP="00226D9C">
            <w:pPr>
              <w:autoSpaceDE w:val="0"/>
              <w:autoSpaceDN w:val="0"/>
              <w:adjustRightInd w:val="0"/>
              <w:spacing w:after="0"/>
              <w:ind w:right="60"/>
              <w:rPr>
                <w:color w:val="000000"/>
                <w:sz w:val="20"/>
                <w:szCs w:val="20"/>
              </w:rPr>
            </w:pPr>
            <w:r w:rsidRPr="00AC4363">
              <w:rPr>
                <w:color w:val="000000"/>
                <w:sz w:val="20"/>
                <w:szCs w:val="20"/>
              </w:rPr>
              <w:t>Mejora de la comunicación digital:</w:t>
            </w:r>
          </w:p>
        </w:tc>
        <w:tc>
          <w:tcPr>
            <w:tcW w:w="567" w:type="dxa"/>
            <w:vAlign w:val="center"/>
          </w:tcPr>
          <w:p w14:paraId="01E353C6" w14:textId="5F7DBB18" w:rsidR="00951A73" w:rsidRPr="00AC4363" w:rsidRDefault="00951A73" w:rsidP="00226D9C">
            <w:pPr>
              <w:autoSpaceDE w:val="0"/>
              <w:autoSpaceDN w:val="0"/>
              <w:adjustRightInd w:val="0"/>
              <w:spacing w:after="0"/>
              <w:ind w:left="60" w:right="60"/>
              <w:contextualSpacing/>
              <w:rPr>
                <w:color w:val="000000"/>
                <w:sz w:val="20"/>
                <w:szCs w:val="20"/>
              </w:rPr>
            </w:pPr>
          </w:p>
        </w:tc>
        <w:tc>
          <w:tcPr>
            <w:tcW w:w="1397" w:type="dxa"/>
            <w:gridSpan w:val="4"/>
            <w:vAlign w:val="center"/>
          </w:tcPr>
          <w:p w14:paraId="091179BF" w14:textId="4EDCBD21" w:rsidR="00951A73" w:rsidRPr="00AC4363" w:rsidRDefault="00DE4142" w:rsidP="00226D9C">
            <w:pPr>
              <w:autoSpaceDE w:val="0"/>
              <w:autoSpaceDN w:val="0"/>
              <w:adjustRightInd w:val="0"/>
              <w:spacing w:after="0"/>
              <w:ind w:left="60" w:right="60"/>
              <w:contextualSpacing/>
              <w:rPr>
                <w:color w:val="000000"/>
                <w:sz w:val="20"/>
                <w:szCs w:val="20"/>
              </w:rPr>
            </w:pPr>
            <w:r w:rsidRPr="00AC4363">
              <w:rPr>
                <w:color w:val="000000"/>
                <w:sz w:val="20"/>
                <w:szCs w:val="20"/>
              </w:rPr>
              <w:t>0</w:t>
            </w:r>
            <w:r w:rsidR="00951A73" w:rsidRPr="00AC4363">
              <w:rPr>
                <w:color w:val="000000"/>
                <w:sz w:val="20"/>
                <w:szCs w:val="20"/>
              </w:rPr>
              <w:t>.736</w:t>
            </w:r>
          </w:p>
        </w:tc>
        <w:tc>
          <w:tcPr>
            <w:tcW w:w="20" w:type="dxa"/>
            <w:vAlign w:val="center"/>
          </w:tcPr>
          <w:p w14:paraId="7E784B4F" w14:textId="77777777" w:rsidR="00951A73" w:rsidRPr="00AC4363" w:rsidRDefault="00951A73" w:rsidP="00226D9C">
            <w:pPr>
              <w:autoSpaceDE w:val="0"/>
              <w:autoSpaceDN w:val="0"/>
              <w:adjustRightInd w:val="0"/>
              <w:spacing w:after="0"/>
              <w:ind w:left="60" w:right="60"/>
              <w:contextualSpacing/>
              <w:rPr>
                <w:color w:val="000000"/>
                <w:sz w:val="20"/>
                <w:szCs w:val="20"/>
              </w:rPr>
            </w:pPr>
          </w:p>
        </w:tc>
        <w:tc>
          <w:tcPr>
            <w:tcW w:w="1681" w:type="dxa"/>
          </w:tcPr>
          <w:p w14:paraId="45DC0BBD" w14:textId="5F2FF3BE" w:rsidR="00951A73" w:rsidRPr="00AC4363" w:rsidRDefault="00951A73" w:rsidP="00226D9C">
            <w:pPr>
              <w:autoSpaceDE w:val="0"/>
              <w:autoSpaceDN w:val="0"/>
              <w:adjustRightInd w:val="0"/>
              <w:spacing w:after="0"/>
              <w:ind w:left="60" w:right="60"/>
              <w:contextualSpacing/>
              <w:jc w:val="center"/>
              <w:rPr>
                <w:color w:val="000000"/>
                <w:sz w:val="20"/>
                <w:szCs w:val="20"/>
              </w:rPr>
            </w:pPr>
            <w:r w:rsidRPr="00AC4363">
              <w:rPr>
                <w:color w:val="000000"/>
                <w:sz w:val="20"/>
                <w:szCs w:val="20"/>
              </w:rPr>
              <w:t>0.7</w:t>
            </w:r>
            <w:r w:rsidR="00147AFB" w:rsidRPr="00AC4363">
              <w:rPr>
                <w:color w:val="000000"/>
                <w:sz w:val="20"/>
                <w:szCs w:val="20"/>
              </w:rPr>
              <w:t>38</w:t>
            </w:r>
          </w:p>
        </w:tc>
      </w:tr>
      <w:tr w:rsidR="00951A73" w:rsidRPr="00AC4363" w14:paraId="7F6652E5" w14:textId="566DC12C" w:rsidTr="00AC4363">
        <w:trPr>
          <w:cantSplit/>
          <w:trHeight w:val="357"/>
        </w:trPr>
        <w:tc>
          <w:tcPr>
            <w:tcW w:w="1701" w:type="dxa"/>
            <w:vAlign w:val="center"/>
          </w:tcPr>
          <w:p w14:paraId="400C24AD" w14:textId="2AB98EB3" w:rsidR="00951A73" w:rsidRPr="00AC4363" w:rsidRDefault="00934D6E" w:rsidP="00226D9C">
            <w:pPr>
              <w:autoSpaceDE w:val="0"/>
              <w:autoSpaceDN w:val="0"/>
              <w:adjustRightInd w:val="0"/>
              <w:spacing w:after="0"/>
              <w:ind w:right="60"/>
              <w:contextualSpacing/>
              <w:rPr>
                <w:color w:val="000000"/>
                <w:sz w:val="20"/>
                <w:szCs w:val="20"/>
              </w:rPr>
            </w:pPr>
            <w:r w:rsidRPr="00AC4363">
              <w:rPr>
                <w:color w:val="000000"/>
                <w:sz w:val="20"/>
                <w:szCs w:val="20"/>
              </w:rPr>
              <w:t>a</w:t>
            </w:r>
            <w:r w:rsidR="00BA1858" w:rsidRPr="00AC4363">
              <w:rPr>
                <w:color w:val="000000"/>
                <w:sz w:val="20"/>
                <w:szCs w:val="20"/>
              </w:rPr>
              <w:t xml:space="preserve">lfabetización </w:t>
            </w:r>
            <w:r w:rsidRPr="00AC4363">
              <w:rPr>
                <w:color w:val="000000"/>
                <w:sz w:val="20"/>
                <w:szCs w:val="20"/>
              </w:rPr>
              <w:t>d</w:t>
            </w:r>
            <w:r w:rsidR="00BA1858" w:rsidRPr="00AC4363">
              <w:rPr>
                <w:color w:val="000000"/>
                <w:sz w:val="20"/>
                <w:szCs w:val="20"/>
              </w:rPr>
              <w:t>igital</w:t>
            </w:r>
          </w:p>
        </w:tc>
        <w:tc>
          <w:tcPr>
            <w:tcW w:w="3686" w:type="dxa"/>
          </w:tcPr>
          <w:p w14:paraId="4136CAF7" w14:textId="5BD7F1F8" w:rsidR="00951A73" w:rsidRPr="00AC4363" w:rsidRDefault="00951A73" w:rsidP="00226D9C">
            <w:pPr>
              <w:autoSpaceDE w:val="0"/>
              <w:autoSpaceDN w:val="0"/>
              <w:adjustRightInd w:val="0"/>
              <w:spacing w:after="0"/>
              <w:ind w:right="60"/>
              <w:rPr>
                <w:color w:val="000000"/>
                <w:sz w:val="20"/>
                <w:szCs w:val="20"/>
              </w:rPr>
            </w:pPr>
            <w:r w:rsidRPr="00AC4363">
              <w:rPr>
                <w:color w:val="000000"/>
                <w:sz w:val="20"/>
                <w:szCs w:val="20"/>
              </w:rPr>
              <w:t>Comunicación efectiva</w:t>
            </w:r>
          </w:p>
        </w:tc>
        <w:tc>
          <w:tcPr>
            <w:tcW w:w="567" w:type="dxa"/>
            <w:vAlign w:val="center"/>
          </w:tcPr>
          <w:p w14:paraId="2CE7E734" w14:textId="4A97EB9D" w:rsidR="00951A73" w:rsidRPr="00AC4363" w:rsidRDefault="00951A73" w:rsidP="00226D9C">
            <w:pPr>
              <w:autoSpaceDE w:val="0"/>
              <w:autoSpaceDN w:val="0"/>
              <w:adjustRightInd w:val="0"/>
              <w:spacing w:after="0"/>
              <w:ind w:left="60" w:right="60"/>
              <w:contextualSpacing/>
              <w:rPr>
                <w:color w:val="000000"/>
                <w:sz w:val="20"/>
                <w:szCs w:val="20"/>
              </w:rPr>
            </w:pPr>
          </w:p>
        </w:tc>
        <w:tc>
          <w:tcPr>
            <w:tcW w:w="1397" w:type="dxa"/>
            <w:gridSpan w:val="4"/>
            <w:vAlign w:val="center"/>
          </w:tcPr>
          <w:p w14:paraId="579D6E03" w14:textId="055085B1" w:rsidR="00951A73" w:rsidRPr="00AC4363" w:rsidRDefault="00DE4142" w:rsidP="00226D9C">
            <w:pPr>
              <w:autoSpaceDE w:val="0"/>
              <w:autoSpaceDN w:val="0"/>
              <w:adjustRightInd w:val="0"/>
              <w:spacing w:after="0"/>
              <w:ind w:left="60" w:right="60"/>
              <w:contextualSpacing/>
              <w:rPr>
                <w:color w:val="000000"/>
                <w:sz w:val="20"/>
                <w:szCs w:val="20"/>
              </w:rPr>
            </w:pPr>
            <w:r w:rsidRPr="00AC4363">
              <w:rPr>
                <w:color w:val="000000"/>
                <w:sz w:val="20"/>
                <w:szCs w:val="20"/>
              </w:rPr>
              <w:t>0</w:t>
            </w:r>
            <w:r w:rsidR="00951A73" w:rsidRPr="00AC4363">
              <w:rPr>
                <w:color w:val="000000"/>
                <w:sz w:val="20"/>
                <w:szCs w:val="20"/>
              </w:rPr>
              <w:t>.637</w:t>
            </w:r>
          </w:p>
        </w:tc>
        <w:tc>
          <w:tcPr>
            <w:tcW w:w="20" w:type="dxa"/>
            <w:vAlign w:val="center"/>
          </w:tcPr>
          <w:p w14:paraId="4D9244CD" w14:textId="77777777" w:rsidR="00951A73" w:rsidRPr="00AC4363" w:rsidRDefault="00951A73" w:rsidP="00226D9C">
            <w:pPr>
              <w:autoSpaceDE w:val="0"/>
              <w:autoSpaceDN w:val="0"/>
              <w:adjustRightInd w:val="0"/>
              <w:spacing w:after="0"/>
              <w:ind w:left="60" w:right="60"/>
              <w:contextualSpacing/>
              <w:rPr>
                <w:color w:val="000000"/>
                <w:sz w:val="20"/>
                <w:szCs w:val="20"/>
              </w:rPr>
            </w:pPr>
          </w:p>
        </w:tc>
        <w:tc>
          <w:tcPr>
            <w:tcW w:w="1681" w:type="dxa"/>
          </w:tcPr>
          <w:p w14:paraId="4B988755" w14:textId="665E1CF5" w:rsidR="00951A73" w:rsidRPr="00AC4363" w:rsidRDefault="00951A73" w:rsidP="00226D9C">
            <w:pPr>
              <w:autoSpaceDE w:val="0"/>
              <w:autoSpaceDN w:val="0"/>
              <w:adjustRightInd w:val="0"/>
              <w:spacing w:after="0"/>
              <w:ind w:left="60" w:right="60"/>
              <w:contextualSpacing/>
              <w:jc w:val="center"/>
              <w:rPr>
                <w:color w:val="000000"/>
                <w:sz w:val="20"/>
                <w:szCs w:val="20"/>
              </w:rPr>
            </w:pPr>
            <w:r w:rsidRPr="00AC4363">
              <w:rPr>
                <w:color w:val="000000"/>
                <w:sz w:val="20"/>
                <w:szCs w:val="20"/>
              </w:rPr>
              <w:t>0.64</w:t>
            </w:r>
            <w:r w:rsidR="00147AFB" w:rsidRPr="00AC4363">
              <w:rPr>
                <w:color w:val="000000"/>
                <w:sz w:val="20"/>
                <w:szCs w:val="20"/>
              </w:rPr>
              <w:t>5</w:t>
            </w:r>
          </w:p>
        </w:tc>
      </w:tr>
      <w:tr w:rsidR="00951A73" w:rsidRPr="00AC4363" w14:paraId="0829B55A" w14:textId="358C9342" w:rsidTr="00AC4363">
        <w:trPr>
          <w:cantSplit/>
        </w:trPr>
        <w:tc>
          <w:tcPr>
            <w:tcW w:w="1701" w:type="dxa"/>
            <w:vAlign w:val="center"/>
          </w:tcPr>
          <w:p w14:paraId="13872703" w14:textId="34617752" w:rsidR="00951A73" w:rsidRPr="00AC4363" w:rsidRDefault="00951A73" w:rsidP="00226D9C">
            <w:pPr>
              <w:autoSpaceDE w:val="0"/>
              <w:autoSpaceDN w:val="0"/>
              <w:adjustRightInd w:val="0"/>
              <w:spacing w:after="0"/>
              <w:ind w:left="60" w:right="60"/>
              <w:contextualSpacing/>
              <w:rPr>
                <w:color w:val="000000"/>
                <w:sz w:val="20"/>
                <w:szCs w:val="20"/>
              </w:rPr>
            </w:pPr>
          </w:p>
        </w:tc>
        <w:tc>
          <w:tcPr>
            <w:tcW w:w="3686" w:type="dxa"/>
          </w:tcPr>
          <w:p w14:paraId="3E4ECB91" w14:textId="1A2B624D" w:rsidR="00951A73" w:rsidRPr="00AC4363" w:rsidRDefault="00951A73" w:rsidP="00226D9C">
            <w:pPr>
              <w:autoSpaceDE w:val="0"/>
              <w:autoSpaceDN w:val="0"/>
              <w:adjustRightInd w:val="0"/>
              <w:spacing w:after="0"/>
              <w:ind w:right="60"/>
              <w:rPr>
                <w:color w:val="000000"/>
                <w:sz w:val="20"/>
                <w:szCs w:val="20"/>
              </w:rPr>
            </w:pPr>
            <w:r w:rsidRPr="00AC4363">
              <w:rPr>
                <w:color w:val="000000"/>
                <w:sz w:val="20"/>
                <w:szCs w:val="20"/>
              </w:rPr>
              <w:t>Confianza y dominio del tema</w:t>
            </w:r>
          </w:p>
        </w:tc>
        <w:tc>
          <w:tcPr>
            <w:tcW w:w="567" w:type="dxa"/>
            <w:vAlign w:val="center"/>
          </w:tcPr>
          <w:p w14:paraId="42F04F51" w14:textId="6E1532E7" w:rsidR="00951A73" w:rsidRPr="00AC4363" w:rsidRDefault="00951A73" w:rsidP="00226D9C">
            <w:pPr>
              <w:autoSpaceDE w:val="0"/>
              <w:autoSpaceDN w:val="0"/>
              <w:adjustRightInd w:val="0"/>
              <w:spacing w:after="0"/>
              <w:ind w:left="60" w:right="60"/>
              <w:contextualSpacing/>
              <w:rPr>
                <w:color w:val="000000"/>
                <w:sz w:val="20"/>
                <w:szCs w:val="20"/>
              </w:rPr>
            </w:pPr>
          </w:p>
        </w:tc>
        <w:tc>
          <w:tcPr>
            <w:tcW w:w="1397" w:type="dxa"/>
            <w:gridSpan w:val="4"/>
            <w:vAlign w:val="center"/>
          </w:tcPr>
          <w:p w14:paraId="181FBD3B" w14:textId="7D257D96" w:rsidR="00951A73" w:rsidRPr="00AC4363" w:rsidRDefault="00DE4142" w:rsidP="00226D9C">
            <w:pPr>
              <w:autoSpaceDE w:val="0"/>
              <w:autoSpaceDN w:val="0"/>
              <w:adjustRightInd w:val="0"/>
              <w:spacing w:after="0"/>
              <w:ind w:left="60" w:right="60"/>
              <w:contextualSpacing/>
              <w:rPr>
                <w:color w:val="000000"/>
                <w:sz w:val="20"/>
                <w:szCs w:val="20"/>
              </w:rPr>
            </w:pPr>
            <w:r w:rsidRPr="00AC4363">
              <w:rPr>
                <w:color w:val="000000"/>
                <w:sz w:val="20"/>
                <w:szCs w:val="20"/>
              </w:rPr>
              <w:t>0</w:t>
            </w:r>
            <w:r w:rsidR="00951A73" w:rsidRPr="00AC4363">
              <w:rPr>
                <w:color w:val="000000"/>
                <w:sz w:val="20"/>
                <w:szCs w:val="20"/>
              </w:rPr>
              <w:t>.578</w:t>
            </w:r>
          </w:p>
        </w:tc>
        <w:tc>
          <w:tcPr>
            <w:tcW w:w="20" w:type="dxa"/>
            <w:vAlign w:val="center"/>
          </w:tcPr>
          <w:p w14:paraId="14AB3C01" w14:textId="77777777" w:rsidR="00951A73" w:rsidRPr="00AC4363" w:rsidRDefault="00951A73" w:rsidP="00226D9C">
            <w:pPr>
              <w:autoSpaceDE w:val="0"/>
              <w:autoSpaceDN w:val="0"/>
              <w:adjustRightInd w:val="0"/>
              <w:spacing w:after="0"/>
              <w:ind w:left="60" w:right="60"/>
              <w:contextualSpacing/>
              <w:rPr>
                <w:color w:val="000000"/>
                <w:sz w:val="20"/>
                <w:szCs w:val="20"/>
              </w:rPr>
            </w:pPr>
          </w:p>
        </w:tc>
        <w:tc>
          <w:tcPr>
            <w:tcW w:w="1681" w:type="dxa"/>
          </w:tcPr>
          <w:p w14:paraId="6CFA1A79" w14:textId="29376F32" w:rsidR="00951A73" w:rsidRPr="00AC4363" w:rsidRDefault="00951A73" w:rsidP="00226D9C">
            <w:pPr>
              <w:autoSpaceDE w:val="0"/>
              <w:autoSpaceDN w:val="0"/>
              <w:adjustRightInd w:val="0"/>
              <w:spacing w:after="0"/>
              <w:ind w:left="60" w:right="60"/>
              <w:contextualSpacing/>
              <w:jc w:val="center"/>
              <w:rPr>
                <w:color w:val="000000"/>
                <w:sz w:val="20"/>
                <w:szCs w:val="20"/>
              </w:rPr>
            </w:pPr>
            <w:r w:rsidRPr="00AC4363">
              <w:rPr>
                <w:color w:val="000000"/>
                <w:sz w:val="20"/>
                <w:szCs w:val="20"/>
              </w:rPr>
              <w:t>0.624</w:t>
            </w:r>
          </w:p>
        </w:tc>
      </w:tr>
      <w:tr w:rsidR="00DE4142" w:rsidRPr="00AC4363" w14:paraId="2ECA862E" w14:textId="77777777" w:rsidTr="00AC4363">
        <w:trPr>
          <w:cantSplit/>
        </w:trPr>
        <w:tc>
          <w:tcPr>
            <w:tcW w:w="1701" w:type="dxa"/>
            <w:vMerge w:val="restart"/>
            <w:vAlign w:val="center"/>
          </w:tcPr>
          <w:p w14:paraId="2E5850B7" w14:textId="0BF48620" w:rsidR="00DE4142" w:rsidRPr="00AC4363" w:rsidRDefault="00DE4142" w:rsidP="00226D9C">
            <w:pPr>
              <w:autoSpaceDE w:val="0"/>
              <w:autoSpaceDN w:val="0"/>
              <w:adjustRightInd w:val="0"/>
              <w:spacing w:after="0"/>
              <w:ind w:right="62"/>
              <w:contextualSpacing/>
              <w:rPr>
                <w:color w:val="000000"/>
                <w:sz w:val="20"/>
                <w:szCs w:val="20"/>
              </w:rPr>
            </w:pPr>
            <w:r w:rsidRPr="00AC4363">
              <w:rPr>
                <w:color w:val="000000"/>
                <w:sz w:val="20"/>
                <w:szCs w:val="20"/>
              </w:rPr>
              <w:t>Capacidad para investigar</w:t>
            </w:r>
          </w:p>
        </w:tc>
        <w:tc>
          <w:tcPr>
            <w:tcW w:w="3686" w:type="dxa"/>
          </w:tcPr>
          <w:p w14:paraId="0D1D4218" w14:textId="4A8D4F0A" w:rsidR="00DE4142" w:rsidRPr="00AC4363" w:rsidRDefault="00DE4142" w:rsidP="00226D9C">
            <w:pPr>
              <w:autoSpaceDE w:val="0"/>
              <w:autoSpaceDN w:val="0"/>
              <w:adjustRightInd w:val="0"/>
              <w:spacing w:after="0"/>
              <w:ind w:right="62"/>
              <w:contextualSpacing/>
              <w:rPr>
                <w:color w:val="000000"/>
                <w:sz w:val="20"/>
                <w:szCs w:val="20"/>
              </w:rPr>
            </w:pPr>
            <w:r w:rsidRPr="00AC4363">
              <w:rPr>
                <w:color w:val="000000"/>
                <w:sz w:val="20"/>
                <w:szCs w:val="20"/>
              </w:rPr>
              <w:t>Capacidad de diseñar experimentos</w:t>
            </w:r>
          </w:p>
        </w:tc>
        <w:tc>
          <w:tcPr>
            <w:tcW w:w="567" w:type="dxa"/>
            <w:vAlign w:val="center"/>
          </w:tcPr>
          <w:p w14:paraId="367D3C61" w14:textId="77777777" w:rsidR="00DE4142" w:rsidRPr="00AC4363" w:rsidRDefault="00DE4142" w:rsidP="00226D9C">
            <w:pPr>
              <w:autoSpaceDE w:val="0"/>
              <w:autoSpaceDN w:val="0"/>
              <w:adjustRightInd w:val="0"/>
              <w:spacing w:after="0"/>
              <w:ind w:left="60" w:right="62"/>
              <w:contextualSpacing/>
              <w:rPr>
                <w:color w:val="000000"/>
                <w:sz w:val="20"/>
                <w:szCs w:val="20"/>
              </w:rPr>
            </w:pPr>
          </w:p>
        </w:tc>
        <w:tc>
          <w:tcPr>
            <w:tcW w:w="698" w:type="dxa"/>
            <w:gridSpan w:val="2"/>
            <w:vAlign w:val="center"/>
          </w:tcPr>
          <w:p w14:paraId="637BB121" w14:textId="77777777" w:rsidR="00DE4142" w:rsidRPr="00AC4363" w:rsidRDefault="00DE4142" w:rsidP="00226D9C">
            <w:pPr>
              <w:autoSpaceDE w:val="0"/>
              <w:autoSpaceDN w:val="0"/>
              <w:adjustRightInd w:val="0"/>
              <w:spacing w:after="0"/>
              <w:ind w:left="60" w:right="62"/>
              <w:contextualSpacing/>
              <w:rPr>
                <w:color w:val="000000"/>
                <w:sz w:val="20"/>
                <w:szCs w:val="20"/>
              </w:rPr>
            </w:pPr>
          </w:p>
        </w:tc>
        <w:tc>
          <w:tcPr>
            <w:tcW w:w="699" w:type="dxa"/>
            <w:gridSpan w:val="2"/>
            <w:vAlign w:val="center"/>
          </w:tcPr>
          <w:p w14:paraId="7D822EC6" w14:textId="01A374FF" w:rsidR="00DE4142" w:rsidRPr="00AC4363" w:rsidRDefault="00DE4142" w:rsidP="00226D9C">
            <w:pPr>
              <w:autoSpaceDE w:val="0"/>
              <w:autoSpaceDN w:val="0"/>
              <w:adjustRightInd w:val="0"/>
              <w:spacing w:after="0"/>
              <w:ind w:left="60" w:right="62"/>
              <w:contextualSpacing/>
              <w:rPr>
                <w:color w:val="000000"/>
                <w:sz w:val="20"/>
                <w:szCs w:val="20"/>
              </w:rPr>
            </w:pPr>
            <w:r w:rsidRPr="00AC4363">
              <w:rPr>
                <w:color w:val="000000"/>
                <w:sz w:val="20"/>
                <w:szCs w:val="20"/>
              </w:rPr>
              <w:t>0.779</w:t>
            </w:r>
          </w:p>
        </w:tc>
        <w:tc>
          <w:tcPr>
            <w:tcW w:w="20" w:type="dxa"/>
            <w:vAlign w:val="center"/>
          </w:tcPr>
          <w:p w14:paraId="06496475" w14:textId="77777777" w:rsidR="00DE4142" w:rsidRPr="00AC4363" w:rsidRDefault="00DE4142" w:rsidP="00226D9C">
            <w:pPr>
              <w:autoSpaceDE w:val="0"/>
              <w:autoSpaceDN w:val="0"/>
              <w:adjustRightInd w:val="0"/>
              <w:spacing w:after="0"/>
              <w:ind w:left="60" w:right="62"/>
              <w:contextualSpacing/>
              <w:rPr>
                <w:color w:val="000000"/>
                <w:sz w:val="20"/>
                <w:szCs w:val="20"/>
              </w:rPr>
            </w:pPr>
          </w:p>
        </w:tc>
        <w:tc>
          <w:tcPr>
            <w:tcW w:w="1681" w:type="dxa"/>
          </w:tcPr>
          <w:p w14:paraId="489FA004" w14:textId="3189664C" w:rsidR="00DE4142" w:rsidRPr="00AC4363" w:rsidRDefault="00DE4142" w:rsidP="00226D9C">
            <w:pPr>
              <w:autoSpaceDE w:val="0"/>
              <w:autoSpaceDN w:val="0"/>
              <w:adjustRightInd w:val="0"/>
              <w:spacing w:after="0"/>
              <w:ind w:left="60" w:right="62"/>
              <w:contextualSpacing/>
              <w:jc w:val="center"/>
              <w:rPr>
                <w:color w:val="000000"/>
                <w:sz w:val="20"/>
                <w:szCs w:val="20"/>
              </w:rPr>
            </w:pPr>
            <w:r w:rsidRPr="00AC4363">
              <w:rPr>
                <w:color w:val="000000"/>
                <w:sz w:val="20"/>
                <w:szCs w:val="20"/>
              </w:rPr>
              <w:t>0.774</w:t>
            </w:r>
          </w:p>
        </w:tc>
      </w:tr>
      <w:tr w:rsidR="00DE4142" w:rsidRPr="00AC4363" w14:paraId="16448452" w14:textId="77777777" w:rsidTr="00AC4363">
        <w:trPr>
          <w:cantSplit/>
        </w:trPr>
        <w:tc>
          <w:tcPr>
            <w:tcW w:w="1701" w:type="dxa"/>
            <w:vMerge/>
            <w:vAlign w:val="center"/>
          </w:tcPr>
          <w:p w14:paraId="3544A72F" w14:textId="77777777" w:rsidR="00DE4142" w:rsidRPr="00AC4363" w:rsidRDefault="00DE4142" w:rsidP="00226D9C">
            <w:pPr>
              <w:autoSpaceDE w:val="0"/>
              <w:autoSpaceDN w:val="0"/>
              <w:adjustRightInd w:val="0"/>
              <w:spacing w:after="0"/>
              <w:ind w:right="62"/>
              <w:contextualSpacing/>
              <w:rPr>
                <w:color w:val="000000"/>
                <w:sz w:val="20"/>
                <w:szCs w:val="20"/>
              </w:rPr>
            </w:pPr>
          </w:p>
        </w:tc>
        <w:tc>
          <w:tcPr>
            <w:tcW w:w="3686" w:type="dxa"/>
          </w:tcPr>
          <w:p w14:paraId="25CE8679" w14:textId="47B73FEE" w:rsidR="00DE4142" w:rsidRPr="00AC4363" w:rsidRDefault="00DE4142" w:rsidP="00226D9C">
            <w:pPr>
              <w:autoSpaceDE w:val="0"/>
              <w:autoSpaceDN w:val="0"/>
              <w:adjustRightInd w:val="0"/>
              <w:spacing w:after="0"/>
              <w:ind w:right="62"/>
              <w:contextualSpacing/>
              <w:rPr>
                <w:color w:val="000000"/>
                <w:sz w:val="20"/>
                <w:szCs w:val="20"/>
              </w:rPr>
            </w:pPr>
            <w:r w:rsidRPr="00AC4363">
              <w:rPr>
                <w:color w:val="000000"/>
                <w:sz w:val="20"/>
                <w:szCs w:val="20"/>
              </w:rPr>
              <w:t>Justificación y relevancia suficiente</w:t>
            </w:r>
          </w:p>
        </w:tc>
        <w:tc>
          <w:tcPr>
            <w:tcW w:w="567" w:type="dxa"/>
            <w:vAlign w:val="center"/>
          </w:tcPr>
          <w:p w14:paraId="7F09A5F9" w14:textId="77777777" w:rsidR="00DE4142" w:rsidRPr="00AC4363" w:rsidRDefault="00DE4142" w:rsidP="00226D9C">
            <w:pPr>
              <w:autoSpaceDE w:val="0"/>
              <w:autoSpaceDN w:val="0"/>
              <w:adjustRightInd w:val="0"/>
              <w:spacing w:after="0"/>
              <w:ind w:left="60" w:right="62"/>
              <w:contextualSpacing/>
              <w:rPr>
                <w:color w:val="000000"/>
                <w:sz w:val="20"/>
                <w:szCs w:val="20"/>
              </w:rPr>
            </w:pPr>
          </w:p>
        </w:tc>
        <w:tc>
          <w:tcPr>
            <w:tcW w:w="698" w:type="dxa"/>
            <w:gridSpan w:val="2"/>
            <w:vAlign w:val="center"/>
          </w:tcPr>
          <w:p w14:paraId="4A111454" w14:textId="77777777" w:rsidR="00DE4142" w:rsidRPr="00AC4363" w:rsidRDefault="00DE4142" w:rsidP="00226D9C">
            <w:pPr>
              <w:autoSpaceDE w:val="0"/>
              <w:autoSpaceDN w:val="0"/>
              <w:adjustRightInd w:val="0"/>
              <w:spacing w:after="0"/>
              <w:ind w:left="60" w:right="62"/>
              <w:contextualSpacing/>
              <w:rPr>
                <w:color w:val="000000"/>
                <w:sz w:val="20"/>
                <w:szCs w:val="20"/>
              </w:rPr>
            </w:pPr>
          </w:p>
        </w:tc>
        <w:tc>
          <w:tcPr>
            <w:tcW w:w="699" w:type="dxa"/>
            <w:gridSpan w:val="2"/>
            <w:vAlign w:val="center"/>
          </w:tcPr>
          <w:p w14:paraId="30312F61" w14:textId="5AF1BDD4" w:rsidR="00DE4142" w:rsidRPr="00AC4363" w:rsidRDefault="00226D9C" w:rsidP="00226D9C">
            <w:pPr>
              <w:autoSpaceDE w:val="0"/>
              <w:autoSpaceDN w:val="0"/>
              <w:adjustRightInd w:val="0"/>
              <w:spacing w:after="0"/>
              <w:ind w:left="60" w:right="62"/>
              <w:contextualSpacing/>
              <w:rPr>
                <w:color w:val="000000"/>
                <w:sz w:val="20"/>
                <w:szCs w:val="20"/>
              </w:rPr>
            </w:pPr>
            <w:r w:rsidRPr="00AC4363">
              <w:rPr>
                <w:color w:val="000000"/>
                <w:sz w:val="20"/>
                <w:szCs w:val="20"/>
              </w:rPr>
              <w:t>0.767</w:t>
            </w:r>
          </w:p>
        </w:tc>
        <w:tc>
          <w:tcPr>
            <w:tcW w:w="20" w:type="dxa"/>
            <w:vAlign w:val="center"/>
          </w:tcPr>
          <w:p w14:paraId="69F361B2" w14:textId="77777777" w:rsidR="00DE4142" w:rsidRPr="00AC4363" w:rsidRDefault="00DE4142" w:rsidP="00226D9C">
            <w:pPr>
              <w:autoSpaceDE w:val="0"/>
              <w:autoSpaceDN w:val="0"/>
              <w:adjustRightInd w:val="0"/>
              <w:spacing w:after="0"/>
              <w:ind w:left="60" w:right="62"/>
              <w:contextualSpacing/>
              <w:rPr>
                <w:color w:val="000000"/>
                <w:sz w:val="20"/>
                <w:szCs w:val="20"/>
              </w:rPr>
            </w:pPr>
          </w:p>
        </w:tc>
        <w:tc>
          <w:tcPr>
            <w:tcW w:w="1681" w:type="dxa"/>
          </w:tcPr>
          <w:p w14:paraId="38F7D21D" w14:textId="2F9A7FAE" w:rsidR="00DE4142" w:rsidRPr="00AC4363" w:rsidRDefault="00DE4142" w:rsidP="00226D9C">
            <w:pPr>
              <w:autoSpaceDE w:val="0"/>
              <w:autoSpaceDN w:val="0"/>
              <w:adjustRightInd w:val="0"/>
              <w:spacing w:after="0"/>
              <w:ind w:left="60" w:right="62"/>
              <w:contextualSpacing/>
              <w:jc w:val="center"/>
              <w:rPr>
                <w:color w:val="000000"/>
                <w:sz w:val="20"/>
                <w:szCs w:val="20"/>
              </w:rPr>
            </w:pPr>
            <w:r w:rsidRPr="00AC4363">
              <w:rPr>
                <w:color w:val="000000"/>
                <w:sz w:val="20"/>
                <w:szCs w:val="20"/>
              </w:rPr>
              <w:t>0.734</w:t>
            </w:r>
          </w:p>
        </w:tc>
      </w:tr>
      <w:tr w:rsidR="00DE4142" w:rsidRPr="00AC4363" w14:paraId="4987AF90" w14:textId="77777777" w:rsidTr="00AC4363">
        <w:trPr>
          <w:cantSplit/>
        </w:trPr>
        <w:tc>
          <w:tcPr>
            <w:tcW w:w="1701" w:type="dxa"/>
            <w:vMerge/>
            <w:vAlign w:val="center"/>
          </w:tcPr>
          <w:p w14:paraId="06BFD87A" w14:textId="77777777" w:rsidR="00DE4142" w:rsidRPr="00AC4363" w:rsidRDefault="00DE4142" w:rsidP="00226D9C">
            <w:pPr>
              <w:autoSpaceDE w:val="0"/>
              <w:autoSpaceDN w:val="0"/>
              <w:adjustRightInd w:val="0"/>
              <w:spacing w:after="0"/>
              <w:ind w:right="62"/>
              <w:contextualSpacing/>
              <w:rPr>
                <w:color w:val="000000"/>
                <w:sz w:val="20"/>
                <w:szCs w:val="20"/>
              </w:rPr>
            </w:pPr>
          </w:p>
        </w:tc>
        <w:tc>
          <w:tcPr>
            <w:tcW w:w="3686" w:type="dxa"/>
          </w:tcPr>
          <w:p w14:paraId="08E0840F" w14:textId="328E6896" w:rsidR="00DE4142" w:rsidRPr="00AC4363" w:rsidRDefault="00DE4142" w:rsidP="00226D9C">
            <w:pPr>
              <w:autoSpaceDE w:val="0"/>
              <w:autoSpaceDN w:val="0"/>
              <w:adjustRightInd w:val="0"/>
              <w:spacing w:after="0"/>
              <w:ind w:right="62"/>
              <w:contextualSpacing/>
              <w:rPr>
                <w:color w:val="000000"/>
                <w:sz w:val="20"/>
                <w:szCs w:val="20"/>
              </w:rPr>
            </w:pPr>
            <w:r w:rsidRPr="00AC4363">
              <w:rPr>
                <w:color w:val="000000"/>
                <w:sz w:val="20"/>
                <w:szCs w:val="20"/>
              </w:rPr>
              <w:t>Aplicación de métodos estadísticos</w:t>
            </w:r>
          </w:p>
        </w:tc>
        <w:tc>
          <w:tcPr>
            <w:tcW w:w="567" w:type="dxa"/>
            <w:vAlign w:val="center"/>
          </w:tcPr>
          <w:p w14:paraId="2836EEB8" w14:textId="77777777" w:rsidR="00DE4142" w:rsidRPr="00AC4363" w:rsidRDefault="00DE4142" w:rsidP="00226D9C">
            <w:pPr>
              <w:autoSpaceDE w:val="0"/>
              <w:autoSpaceDN w:val="0"/>
              <w:adjustRightInd w:val="0"/>
              <w:spacing w:after="0"/>
              <w:ind w:left="60" w:right="62"/>
              <w:contextualSpacing/>
              <w:rPr>
                <w:color w:val="000000"/>
                <w:sz w:val="20"/>
                <w:szCs w:val="20"/>
              </w:rPr>
            </w:pPr>
          </w:p>
        </w:tc>
        <w:tc>
          <w:tcPr>
            <w:tcW w:w="698" w:type="dxa"/>
            <w:gridSpan w:val="2"/>
            <w:vAlign w:val="center"/>
          </w:tcPr>
          <w:p w14:paraId="26491352" w14:textId="77777777" w:rsidR="00DE4142" w:rsidRPr="00AC4363" w:rsidRDefault="00DE4142" w:rsidP="00226D9C">
            <w:pPr>
              <w:autoSpaceDE w:val="0"/>
              <w:autoSpaceDN w:val="0"/>
              <w:adjustRightInd w:val="0"/>
              <w:spacing w:after="0"/>
              <w:ind w:left="60" w:right="62"/>
              <w:contextualSpacing/>
              <w:rPr>
                <w:color w:val="000000"/>
                <w:sz w:val="20"/>
                <w:szCs w:val="20"/>
              </w:rPr>
            </w:pPr>
          </w:p>
        </w:tc>
        <w:tc>
          <w:tcPr>
            <w:tcW w:w="699" w:type="dxa"/>
            <w:gridSpan w:val="2"/>
            <w:vAlign w:val="center"/>
          </w:tcPr>
          <w:p w14:paraId="5E70D651" w14:textId="0BE20130" w:rsidR="00DE4142" w:rsidRPr="00AC4363" w:rsidRDefault="00226D9C" w:rsidP="00226D9C">
            <w:pPr>
              <w:autoSpaceDE w:val="0"/>
              <w:autoSpaceDN w:val="0"/>
              <w:adjustRightInd w:val="0"/>
              <w:spacing w:after="0"/>
              <w:ind w:left="60" w:right="62"/>
              <w:contextualSpacing/>
              <w:rPr>
                <w:color w:val="000000"/>
                <w:sz w:val="20"/>
                <w:szCs w:val="20"/>
              </w:rPr>
            </w:pPr>
            <w:r w:rsidRPr="00AC4363">
              <w:rPr>
                <w:color w:val="000000"/>
                <w:sz w:val="20"/>
                <w:szCs w:val="20"/>
              </w:rPr>
              <w:t>0.692</w:t>
            </w:r>
          </w:p>
        </w:tc>
        <w:tc>
          <w:tcPr>
            <w:tcW w:w="20" w:type="dxa"/>
            <w:vAlign w:val="center"/>
          </w:tcPr>
          <w:p w14:paraId="29DADA96" w14:textId="77777777" w:rsidR="00DE4142" w:rsidRPr="00AC4363" w:rsidRDefault="00DE4142" w:rsidP="00226D9C">
            <w:pPr>
              <w:autoSpaceDE w:val="0"/>
              <w:autoSpaceDN w:val="0"/>
              <w:adjustRightInd w:val="0"/>
              <w:spacing w:after="0"/>
              <w:ind w:left="60" w:right="62"/>
              <w:contextualSpacing/>
              <w:rPr>
                <w:color w:val="000000"/>
                <w:sz w:val="20"/>
                <w:szCs w:val="20"/>
              </w:rPr>
            </w:pPr>
          </w:p>
        </w:tc>
        <w:tc>
          <w:tcPr>
            <w:tcW w:w="1681" w:type="dxa"/>
          </w:tcPr>
          <w:p w14:paraId="4C007B51" w14:textId="1651AF11" w:rsidR="00DE4142" w:rsidRPr="00AC4363" w:rsidRDefault="00DE4142" w:rsidP="00226D9C">
            <w:pPr>
              <w:autoSpaceDE w:val="0"/>
              <w:autoSpaceDN w:val="0"/>
              <w:adjustRightInd w:val="0"/>
              <w:spacing w:after="0"/>
              <w:ind w:left="60" w:right="62"/>
              <w:contextualSpacing/>
              <w:jc w:val="center"/>
              <w:rPr>
                <w:color w:val="000000"/>
                <w:sz w:val="20"/>
                <w:szCs w:val="20"/>
              </w:rPr>
            </w:pPr>
            <w:r w:rsidRPr="00AC4363">
              <w:rPr>
                <w:color w:val="000000"/>
                <w:sz w:val="20"/>
                <w:szCs w:val="20"/>
              </w:rPr>
              <w:t>0.716</w:t>
            </w:r>
          </w:p>
        </w:tc>
      </w:tr>
      <w:tr w:rsidR="00DE4142" w:rsidRPr="00AC4363" w14:paraId="1894126C" w14:textId="77777777" w:rsidTr="00AC4363">
        <w:trPr>
          <w:cantSplit/>
        </w:trPr>
        <w:tc>
          <w:tcPr>
            <w:tcW w:w="1701" w:type="dxa"/>
            <w:vMerge/>
            <w:vAlign w:val="center"/>
          </w:tcPr>
          <w:p w14:paraId="569A0CD4" w14:textId="77777777" w:rsidR="00DE4142" w:rsidRPr="00AC4363" w:rsidRDefault="00DE4142" w:rsidP="00226D9C">
            <w:pPr>
              <w:autoSpaceDE w:val="0"/>
              <w:autoSpaceDN w:val="0"/>
              <w:adjustRightInd w:val="0"/>
              <w:spacing w:after="0"/>
              <w:ind w:right="62"/>
              <w:contextualSpacing/>
              <w:rPr>
                <w:color w:val="000000"/>
                <w:sz w:val="20"/>
                <w:szCs w:val="20"/>
              </w:rPr>
            </w:pPr>
          </w:p>
        </w:tc>
        <w:tc>
          <w:tcPr>
            <w:tcW w:w="3686" w:type="dxa"/>
          </w:tcPr>
          <w:p w14:paraId="6EEB07AA" w14:textId="6284A57D" w:rsidR="00DE4142" w:rsidRPr="00AC4363" w:rsidRDefault="00DE4142" w:rsidP="00226D9C">
            <w:pPr>
              <w:autoSpaceDE w:val="0"/>
              <w:autoSpaceDN w:val="0"/>
              <w:adjustRightInd w:val="0"/>
              <w:spacing w:after="0"/>
              <w:ind w:right="62"/>
              <w:contextualSpacing/>
              <w:rPr>
                <w:color w:val="000000"/>
                <w:sz w:val="20"/>
                <w:szCs w:val="20"/>
              </w:rPr>
            </w:pPr>
            <w:r w:rsidRPr="00AC4363">
              <w:rPr>
                <w:color w:val="000000"/>
                <w:sz w:val="20"/>
                <w:szCs w:val="20"/>
              </w:rPr>
              <w:t>Formulación clara y precisa del problema de investigación</w:t>
            </w:r>
          </w:p>
        </w:tc>
        <w:tc>
          <w:tcPr>
            <w:tcW w:w="567" w:type="dxa"/>
            <w:vAlign w:val="center"/>
          </w:tcPr>
          <w:p w14:paraId="4991FF1E" w14:textId="77777777" w:rsidR="00DE4142" w:rsidRPr="00AC4363" w:rsidRDefault="00DE4142" w:rsidP="00226D9C">
            <w:pPr>
              <w:autoSpaceDE w:val="0"/>
              <w:autoSpaceDN w:val="0"/>
              <w:adjustRightInd w:val="0"/>
              <w:spacing w:after="0"/>
              <w:ind w:left="60" w:right="62"/>
              <w:contextualSpacing/>
              <w:rPr>
                <w:color w:val="000000"/>
                <w:sz w:val="20"/>
                <w:szCs w:val="20"/>
              </w:rPr>
            </w:pPr>
          </w:p>
        </w:tc>
        <w:tc>
          <w:tcPr>
            <w:tcW w:w="698" w:type="dxa"/>
            <w:gridSpan w:val="2"/>
            <w:vAlign w:val="center"/>
          </w:tcPr>
          <w:p w14:paraId="489E9CBB" w14:textId="77777777" w:rsidR="00DE4142" w:rsidRPr="00AC4363" w:rsidRDefault="00DE4142" w:rsidP="00226D9C">
            <w:pPr>
              <w:autoSpaceDE w:val="0"/>
              <w:autoSpaceDN w:val="0"/>
              <w:adjustRightInd w:val="0"/>
              <w:spacing w:after="0"/>
              <w:ind w:left="60" w:right="62"/>
              <w:contextualSpacing/>
              <w:rPr>
                <w:color w:val="000000"/>
                <w:sz w:val="20"/>
                <w:szCs w:val="20"/>
              </w:rPr>
            </w:pPr>
          </w:p>
        </w:tc>
        <w:tc>
          <w:tcPr>
            <w:tcW w:w="699" w:type="dxa"/>
            <w:gridSpan w:val="2"/>
            <w:vAlign w:val="center"/>
          </w:tcPr>
          <w:p w14:paraId="00F4ED35" w14:textId="27162D40" w:rsidR="00DE4142" w:rsidRPr="00AC4363" w:rsidRDefault="00226D9C" w:rsidP="00226D9C">
            <w:pPr>
              <w:autoSpaceDE w:val="0"/>
              <w:autoSpaceDN w:val="0"/>
              <w:adjustRightInd w:val="0"/>
              <w:spacing w:after="0"/>
              <w:ind w:left="60" w:right="62"/>
              <w:contextualSpacing/>
              <w:rPr>
                <w:color w:val="000000"/>
                <w:sz w:val="20"/>
                <w:szCs w:val="20"/>
              </w:rPr>
            </w:pPr>
            <w:r w:rsidRPr="00AC4363">
              <w:rPr>
                <w:color w:val="000000"/>
                <w:sz w:val="20"/>
                <w:szCs w:val="20"/>
              </w:rPr>
              <w:t>0.606</w:t>
            </w:r>
          </w:p>
        </w:tc>
        <w:tc>
          <w:tcPr>
            <w:tcW w:w="20" w:type="dxa"/>
            <w:vAlign w:val="center"/>
          </w:tcPr>
          <w:p w14:paraId="4F3CAC6C" w14:textId="77777777" w:rsidR="00DE4142" w:rsidRPr="00AC4363" w:rsidRDefault="00DE4142" w:rsidP="00226D9C">
            <w:pPr>
              <w:autoSpaceDE w:val="0"/>
              <w:autoSpaceDN w:val="0"/>
              <w:adjustRightInd w:val="0"/>
              <w:spacing w:after="0"/>
              <w:ind w:left="60" w:right="62"/>
              <w:contextualSpacing/>
              <w:rPr>
                <w:color w:val="000000"/>
                <w:sz w:val="20"/>
                <w:szCs w:val="20"/>
              </w:rPr>
            </w:pPr>
          </w:p>
        </w:tc>
        <w:tc>
          <w:tcPr>
            <w:tcW w:w="1681" w:type="dxa"/>
          </w:tcPr>
          <w:p w14:paraId="65AF7E7B" w14:textId="0A0A4DBC" w:rsidR="00DE4142" w:rsidRPr="00AC4363" w:rsidRDefault="00DE4142" w:rsidP="00226D9C">
            <w:pPr>
              <w:autoSpaceDE w:val="0"/>
              <w:autoSpaceDN w:val="0"/>
              <w:adjustRightInd w:val="0"/>
              <w:spacing w:after="0"/>
              <w:ind w:left="60" w:right="62"/>
              <w:contextualSpacing/>
              <w:jc w:val="center"/>
              <w:rPr>
                <w:color w:val="000000"/>
                <w:sz w:val="20"/>
                <w:szCs w:val="20"/>
              </w:rPr>
            </w:pPr>
            <w:r w:rsidRPr="00AC4363">
              <w:rPr>
                <w:color w:val="000000"/>
                <w:sz w:val="20"/>
                <w:szCs w:val="20"/>
              </w:rPr>
              <w:t>0.721</w:t>
            </w:r>
          </w:p>
        </w:tc>
      </w:tr>
      <w:tr w:rsidR="00226D9C" w:rsidRPr="00AC4363" w14:paraId="190D9C24" w14:textId="77777777" w:rsidTr="00AC4363">
        <w:trPr>
          <w:cantSplit/>
        </w:trPr>
        <w:tc>
          <w:tcPr>
            <w:tcW w:w="1701" w:type="dxa"/>
            <w:vMerge/>
            <w:vAlign w:val="center"/>
          </w:tcPr>
          <w:p w14:paraId="68AE439B" w14:textId="77777777" w:rsidR="00226D9C" w:rsidRPr="00AC4363" w:rsidRDefault="00226D9C" w:rsidP="00226D9C">
            <w:pPr>
              <w:autoSpaceDE w:val="0"/>
              <w:autoSpaceDN w:val="0"/>
              <w:adjustRightInd w:val="0"/>
              <w:spacing w:after="0"/>
              <w:ind w:right="62"/>
              <w:contextualSpacing/>
              <w:rPr>
                <w:color w:val="000000"/>
                <w:sz w:val="20"/>
                <w:szCs w:val="20"/>
              </w:rPr>
            </w:pPr>
          </w:p>
        </w:tc>
        <w:tc>
          <w:tcPr>
            <w:tcW w:w="3686" w:type="dxa"/>
          </w:tcPr>
          <w:p w14:paraId="0064866D" w14:textId="23F5BB46" w:rsidR="00226D9C" w:rsidRPr="00AC4363" w:rsidRDefault="00226D9C" w:rsidP="00226D9C">
            <w:pPr>
              <w:autoSpaceDE w:val="0"/>
              <w:autoSpaceDN w:val="0"/>
              <w:adjustRightInd w:val="0"/>
              <w:spacing w:after="0"/>
              <w:ind w:right="62"/>
              <w:contextualSpacing/>
              <w:rPr>
                <w:color w:val="000000"/>
                <w:sz w:val="20"/>
                <w:szCs w:val="20"/>
              </w:rPr>
            </w:pPr>
            <w:r w:rsidRPr="00AC4363">
              <w:rPr>
                <w:color w:val="000000"/>
                <w:sz w:val="20"/>
                <w:szCs w:val="20"/>
              </w:rPr>
              <w:t>Interpretación ética de los datos</w:t>
            </w:r>
          </w:p>
        </w:tc>
        <w:tc>
          <w:tcPr>
            <w:tcW w:w="567" w:type="dxa"/>
            <w:vAlign w:val="center"/>
          </w:tcPr>
          <w:p w14:paraId="2B85B367" w14:textId="77777777" w:rsidR="00226D9C" w:rsidRPr="00AC4363" w:rsidRDefault="00226D9C" w:rsidP="00226D9C">
            <w:pPr>
              <w:autoSpaceDE w:val="0"/>
              <w:autoSpaceDN w:val="0"/>
              <w:adjustRightInd w:val="0"/>
              <w:spacing w:after="0"/>
              <w:ind w:left="60" w:right="62"/>
              <w:contextualSpacing/>
              <w:rPr>
                <w:color w:val="000000"/>
                <w:sz w:val="20"/>
                <w:szCs w:val="20"/>
              </w:rPr>
            </w:pPr>
          </w:p>
        </w:tc>
        <w:tc>
          <w:tcPr>
            <w:tcW w:w="698" w:type="dxa"/>
            <w:gridSpan w:val="2"/>
            <w:vAlign w:val="center"/>
          </w:tcPr>
          <w:p w14:paraId="451A174B" w14:textId="77777777" w:rsidR="00226D9C" w:rsidRPr="00AC4363" w:rsidRDefault="00226D9C" w:rsidP="00226D9C">
            <w:pPr>
              <w:autoSpaceDE w:val="0"/>
              <w:autoSpaceDN w:val="0"/>
              <w:adjustRightInd w:val="0"/>
              <w:spacing w:after="0"/>
              <w:ind w:left="60" w:right="62"/>
              <w:contextualSpacing/>
              <w:rPr>
                <w:color w:val="000000"/>
                <w:sz w:val="20"/>
                <w:szCs w:val="20"/>
              </w:rPr>
            </w:pPr>
          </w:p>
        </w:tc>
        <w:tc>
          <w:tcPr>
            <w:tcW w:w="699" w:type="dxa"/>
            <w:gridSpan w:val="2"/>
            <w:vAlign w:val="center"/>
          </w:tcPr>
          <w:p w14:paraId="43404BEA" w14:textId="0B065B9F" w:rsidR="00226D9C" w:rsidRPr="00AC4363" w:rsidRDefault="00226D9C" w:rsidP="00226D9C">
            <w:pPr>
              <w:autoSpaceDE w:val="0"/>
              <w:autoSpaceDN w:val="0"/>
              <w:adjustRightInd w:val="0"/>
              <w:spacing w:after="0"/>
              <w:ind w:left="60" w:right="62"/>
              <w:contextualSpacing/>
              <w:rPr>
                <w:color w:val="000000"/>
                <w:sz w:val="20"/>
                <w:szCs w:val="20"/>
              </w:rPr>
            </w:pPr>
            <w:r w:rsidRPr="00AC4363">
              <w:rPr>
                <w:color w:val="000000"/>
                <w:sz w:val="20"/>
                <w:szCs w:val="20"/>
              </w:rPr>
              <w:t>0.597</w:t>
            </w:r>
          </w:p>
        </w:tc>
        <w:tc>
          <w:tcPr>
            <w:tcW w:w="20" w:type="dxa"/>
            <w:vAlign w:val="center"/>
          </w:tcPr>
          <w:p w14:paraId="14AD1B8A" w14:textId="77777777" w:rsidR="00226D9C" w:rsidRPr="00AC4363" w:rsidRDefault="00226D9C" w:rsidP="00226D9C">
            <w:pPr>
              <w:autoSpaceDE w:val="0"/>
              <w:autoSpaceDN w:val="0"/>
              <w:adjustRightInd w:val="0"/>
              <w:spacing w:after="0"/>
              <w:ind w:left="60" w:right="62"/>
              <w:contextualSpacing/>
              <w:rPr>
                <w:color w:val="000000"/>
                <w:sz w:val="20"/>
                <w:szCs w:val="20"/>
              </w:rPr>
            </w:pPr>
          </w:p>
        </w:tc>
        <w:tc>
          <w:tcPr>
            <w:tcW w:w="1681" w:type="dxa"/>
          </w:tcPr>
          <w:p w14:paraId="50063434" w14:textId="00F100CE" w:rsidR="00226D9C" w:rsidRPr="00AC4363" w:rsidRDefault="00226D9C" w:rsidP="00226D9C">
            <w:pPr>
              <w:autoSpaceDE w:val="0"/>
              <w:autoSpaceDN w:val="0"/>
              <w:adjustRightInd w:val="0"/>
              <w:spacing w:after="0"/>
              <w:ind w:left="60" w:right="62"/>
              <w:contextualSpacing/>
              <w:jc w:val="center"/>
              <w:rPr>
                <w:color w:val="000000"/>
                <w:sz w:val="20"/>
                <w:szCs w:val="20"/>
              </w:rPr>
            </w:pPr>
            <w:r w:rsidRPr="00AC4363">
              <w:rPr>
                <w:color w:val="000000"/>
                <w:sz w:val="20"/>
                <w:szCs w:val="20"/>
              </w:rPr>
              <w:t>0.589</w:t>
            </w:r>
          </w:p>
        </w:tc>
      </w:tr>
      <w:tr w:rsidR="00226D9C" w:rsidRPr="00AC4363" w14:paraId="37F65C10" w14:textId="77777777" w:rsidTr="00AC4363">
        <w:trPr>
          <w:cantSplit/>
        </w:trPr>
        <w:tc>
          <w:tcPr>
            <w:tcW w:w="1701" w:type="dxa"/>
            <w:vMerge/>
            <w:vAlign w:val="center"/>
          </w:tcPr>
          <w:p w14:paraId="0CCB3205" w14:textId="77777777" w:rsidR="00226D9C" w:rsidRPr="00AC4363" w:rsidRDefault="00226D9C" w:rsidP="00226D9C">
            <w:pPr>
              <w:autoSpaceDE w:val="0"/>
              <w:autoSpaceDN w:val="0"/>
              <w:adjustRightInd w:val="0"/>
              <w:spacing w:after="0"/>
              <w:ind w:right="62"/>
              <w:contextualSpacing/>
              <w:rPr>
                <w:color w:val="000000"/>
                <w:sz w:val="20"/>
                <w:szCs w:val="20"/>
              </w:rPr>
            </w:pPr>
          </w:p>
        </w:tc>
        <w:tc>
          <w:tcPr>
            <w:tcW w:w="3686" w:type="dxa"/>
          </w:tcPr>
          <w:p w14:paraId="6A4A980B" w14:textId="4015E222" w:rsidR="00226D9C" w:rsidRPr="00AC4363" w:rsidRDefault="00226D9C" w:rsidP="00226D9C">
            <w:pPr>
              <w:autoSpaceDE w:val="0"/>
              <w:autoSpaceDN w:val="0"/>
              <w:adjustRightInd w:val="0"/>
              <w:spacing w:after="0"/>
              <w:ind w:right="62"/>
              <w:contextualSpacing/>
              <w:rPr>
                <w:color w:val="000000"/>
                <w:sz w:val="20"/>
                <w:szCs w:val="20"/>
              </w:rPr>
            </w:pPr>
            <w:r w:rsidRPr="00AC4363">
              <w:rPr>
                <w:color w:val="000000"/>
                <w:sz w:val="20"/>
                <w:szCs w:val="20"/>
              </w:rPr>
              <w:t>Aplicación sistémica de causa efecto</w:t>
            </w:r>
          </w:p>
        </w:tc>
        <w:tc>
          <w:tcPr>
            <w:tcW w:w="567" w:type="dxa"/>
            <w:vAlign w:val="center"/>
          </w:tcPr>
          <w:p w14:paraId="4AB7E0F8" w14:textId="77777777" w:rsidR="00226D9C" w:rsidRPr="00AC4363" w:rsidRDefault="00226D9C" w:rsidP="00226D9C">
            <w:pPr>
              <w:autoSpaceDE w:val="0"/>
              <w:autoSpaceDN w:val="0"/>
              <w:adjustRightInd w:val="0"/>
              <w:spacing w:after="0"/>
              <w:ind w:left="60" w:right="62"/>
              <w:contextualSpacing/>
              <w:rPr>
                <w:color w:val="000000"/>
                <w:sz w:val="20"/>
                <w:szCs w:val="20"/>
              </w:rPr>
            </w:pPr>
          </w:p>
        </w:tc>
        <w:tc>
          <w:tcPr>
            <w:tcW w:w="698" w:type="dxa"/>
            <w:gridSpan w:val="2"/>
            <w:vAlign w:val="center"/>
          </w:tcPr>
          <w:p w14:paraId="033EB8CF" w14:textId="77777777" w:rsidR="00226D9C" w:rsidRPr="00AC4363" w:rsidRDefault="00226D9C" w:rsidP="00226D9C">
            <w:pPr>
              <w:autoSpaceDE w:val="0"/>
              <w:autoSpaceDN w:val="0"/>
              <w:adjustRightInd w:val="0"/>
              <w:spacing w:after="0"/>
              <w:ind w:left="60" w:right="62"/>
              <w:contextualSpacing/>
              <w:rPr>
                <w:color w:val="000000"/>
                <w:sz w:val="20"/>
                <w:szCs w:val="20"/>
              </w:rPr>
            </w:pPr>
          </w:p>
        </w:tc>
        <w:tc>
          <w:tcPr>
            <w:tcW w:w="699" w:type="dxa"/>
            <w:gridSpan w:val="2"/>
            <w:vAlign w:val="center"/>
          </w:tcPr>
          <w:p w14:paraId="0B3E776B" w14:textId="77AA7E7E" w:rsidR="00226D9C" w:rsidRPr="00AC4363" w:rsidRDefault="00226D9C" w:rsidP="00226D9C">
            <w:pPr>
              <w:autoSpaceDE w:val="0"/>
              <w:autoSpaceDN w:val="0"/>
              <w:adjustRightInd w:val="0"/>
              <w:spacing w:after="0"/>
              <w:ind w:left="60" w:right="62"/>
              <w:contextualSpacing/>
              <w:rPr>
                <w:color w:val="000000"/>
                <w:sz w:val="20"/>
                <w:szCs w:val="20"/>
              </w:rPr>
            </w:pPr>
            <w:r w:rsidRPr="00AC4363">
              <w:rPr>
                <w:color w:val="000000"/>
                <w:sz w:val="20"/>
                <w:szCs w:val="20"/>
              </w:rPr>
              <w:t>0.648</w:t>
            </w:r>
          </w:p>
        </w:tc>
        <w:tc>
          <w:tcPr>
            <w:tcW w:w="20" w:type="dxa"/>
            <w:vAlign w:val="center"/>
          </w:tcPr>
          <w:p w14:paraId="7677F7DE" w14:textId="77777777" w:rsidR="00226D9C" w:rsidRPr="00AC4363" w:rsidRDefault="00226D9C" w:rsidP="00226D9C">
            <w:pPr>
              <w:autoSpaceDE w:val="0"/>
              <w:autoSpaceDN w:val="0"/>
              <w:adjustRightInd w:val="0"/>
              <w:spacing w:after="0"/>
              <w:ind w:left="60" w:right="62"/>
              <w:contextualSpacing/>
              <w:rPr>
                <w:color w:val="000000"/>
                <w:sz w:val="20"/>
                <w:szCs w:val="20"/>
              </w:rPr>
            </w:pPr>
          </w:p>
        </w:tc>
        <w:tc>
          <w:tcPr>
            <w:tcW w:w="1681" w:type="dxa"/>
          </w:tcPr>
          <w:p w14:paraId="736D0219" w14:textId="2C307601" w:rsidR="00226D9C" w:rsidRPr="00AC4363" w:rsidRDefault="00226D9C" w:rsidP="00226D9C">
            <w:pPr>
              <w:autoSpaceDE w:val="0"/>
              <w:autoSpaceDN w:val="0"/>
              <w:adjustRightInd w:val="0"/>
              <w:spacing w:after="0"/>
              <w:ind w:left="60" w:right="62"/>
              <w:contextualSpacing/>
              <w:jc w:val="center"/>
              <w:rPr>
                <w:color w:val="000000"/>
                <w:sz w:val="20"/>
                <w:szCs w:val="20"/>
              </w:rPr>
            </w:pPr>
            <w:r w:rsidRPr="00AC4363">
              <w:rPr>
                <w:color w:val="000000"/>
                <w:sz w:val="20"/>
                <w:szCs w:val="20"/>
              </w:rPr>
              <w:t>0.639</w:t>
            </w:r>
          </w:p>
        </w:tc>
      </w:tr>
    </w:tbl>
    <w:p w14:paraId="1BBE4EF6" w14:textId="70D28F9F" w:rsidR="00DE3094" w:rsidRPr="00AC4363" w:rsidRDefault="004A4F22" w:rsidP="00AC4363">
      <w:pPr>
        <w:spacing w:after="0" w:line="360" w:lineRule="auto"/>
        <w:jc w:val="center"/>
      </w:pPr>
      <w:r w:rsidRPr="00AC4363">
        <w:rPr>
          <w:i/>
          <w:iCs/>
        </w:rPr>
        <w:t>Nota.</w:t>
      </w:r>
      <w:r w:rsidRPr="00AC4363">
        <w:t xml:space="preserve"> </w:t>
      </w:r>
      <w:r w:rsidRPr="00AC4363">
        <w:rPr>
          <w:i/>
          <w:iCs/>
        </w:rPr>
        <w:t>N</w:t>
      </w:r>
      <w:r w:rsidRPr="00AC4363">
        <w:t xml:space="preserve"> = 337. Método de extracción en la segunda rotación Varimax. Las cargas factoriales arriba de 0.5 se aprecian en negritas</w:t>
      </w:r>
      <w:r w:rsidRPr="00AC4363">
        <w:rPr>
          <w:color w:val="000000"/>
        </w:rPr>
        <w:t xml:space="preserve">. </w:t>
      </w:r>
      <w:r w:rsidR="00DE3094" w:rsidRPr="00AC4363">
        <w:rPr>
          <w:color w:val="000000"/>
        </w:rPr>
        <w:t>La rotación ha convergido en 6 iteraciones.</w:t>
      </w:r>
    </w:p>
    <w:p w14:paraId="17934F39" w14:textId="5FDE68D8" w:rsidR="006877FA" w:rsidRDefault="009E34A2" w:rsidP="007F29C2">
      <w:pPr>
        <w:spacing w:after="0" w:line="360" w:lineRule="auto"/>
        <w:ind w:firstLine="708"/>
        <w:jc w:val="both"/>
      </w:pPr>
      <w:r>
        <w:t xml:space="preserve">También se observa cómo la variable latente </w:t>
      </w:r>
      <w:r w:rsidRPr="003D2DC7">
        <w:rPr>
          <w:i/>
          <w:iCs/>
        </w:rPr>
        <w:t xml:space="preserve">Capacidad </w:t>
      </w:r>
      <w:r w:rsidR="00DE4142">
        <w:rPr>
          <w:i/>
          <w:iCs/>
        </w:rPr>
        <w:t>para</w:t>
      </w:r>
      <w:r w:rsidRPr="003D2DC7">
        <w:rPr>
          <w:i/>
          <w:iCs/>
        </w:rPr>
        <w:t xml:space="preserve"> investigar</w:t>
      </w:r>
      <w:r>
        <w:t xml:space="preserve"> suma otra variable observa</w:t>
      </w:r>
      <w:r w:rsidR="00DE4142">
        <w:t>ble</w:t>
      </w:r>
      <w:r w:rsidR="00780F85">
        <w:t>,</w:t>
      </w:r>
      <w:r>
        <w:t xml:space="preserve"> </w:t>
      </w:r>
      <w:r w:rsidRPr="003D2DC7">
        <w:rPr>
          <w:i/>
          <w:iCs/>
        </w:rPr>
        <w:t>Aplicación sistémica de causa</w:t>
      </w:r>
      <w:r w:rsidR="00D92922">
        <w:t>–</w:t>
      </w:r>
      <w:r w:rsidRPr="003D2DC7">
        <w:rPr>
          <w:i/>
          <w:iCs/>
        </w:rPr>
        <w:t>efecto</w:t>
      </w:r>
      <w:r>
        <w:t xml:space="preserve">, originalmente integrada a la variable latente </w:t>
      </w:r>
      <w:r w:rsidRPr="003D2DC7">
        <w:rPr>
          <w:i/>
          <w:iCs/>
        </w:rPr>
        <w:t>Capacidad para resolver problemas</w:t>
      </w:r>
      <w:r>
        <w:t>.</w:t>
      </w:r>
      <w:r w:rsidR="003D2DC7">
        <w:t xml:space="preserve"> En opinión de los panelistas, esta variable observa</w:t>
      </w:r>
      <w:r w:rsidR="00D92922">
        <w:t>ble</w:t>
      </w:r>
      <w:r w:rsidR="003D2DC7">
        <w:t xml:space="preserve"> da origen al tipo de investigación de causa–efecto.</w:t>
      </w:r>
      <w:r w:rsidR="004E1F3E">
        <w:t xml:space="preserve"> </w:t>
      </w:r>
      <w:r w:rsidR="00A85514">
        <w:t>Finalmente, e</w:t>
      </w:r>
      <w:r w:rsidR="004E1F3E">
        <w:t xml:space="preserve">s </w:t>
      </w:r>
      <w:r w:rsidR="00A85514">
        <w:t>responsabilidad de los investigadores analizar la ubicación final de los ítems, conforme al modelo teórico del estudio.</w:t>
      </w:r>
    </w:p>
    <w:p w14:paraId="183CB19F" w14:textId="77777777" w:rsidR="00913F75" w:rsidRDefault="00913F75" w:rsidP="006877FA">
      <w:pPr>
        <w:spacing w:after="0" w:line="360" w:lineRule="auto"/>
        <w:rPr>
          <w:b/>
          <w:bCs/>
        </w:rPr>
      </w:pPr>
    </w:p>
    <w:p w14:paraId="6C68D03A" w14:textId="52654BBB" w:rsidR="000871F2" w:rsidRPr="00D945F3" w:rsidRDefault="000871F2" w:rsidP="00D945F3">
      <w:pPr>
        <w:spacing w:after="0" w:line="360" w:lineRule="auto"/>
        <w:jc w:val="center"/>
        <w:rPr>
          <w:b/>
          <w:bCs/>
          <w:sz w:val="28"/>
          <w:szCs w:val="28"/>
        </w:rPr>
      </w:pPr>
      <w:r w:rsidRPr="00D945F3">
        <w:rPr>
          <w:b/>
          <w:bCs/>
          <w:sz w:val="28"/>
          <w:szCs w:val="28"/>
        </w:rPr>
        <w:t xml:space="preserve">Análisis </w:t>
      </w:r>
      <w:r w:rsidR="00DB2852" w:rsidRPr="00D945F3">
        <w:rPr>
          <w:b/>
          <w:bCs/>
          <w:sz w:val="28"/>
          <w:szCs w:val="28"/>
        </w:rPr>
        <w:t>f</w:t>
      </w:r>
      <w:r w:rsidRPr="00D945F3">
        <w:rPr>
          <w:b/>
          <w:bCs/>
          <w:sz w:val="28"/>
          <w:szCs w:val="28"/>
        </w:rPr>
        <w:t xml:space="preserve">actorial </w:t>
      </w:r>
      <w:r w:rsidR="00D92922" w:rsidRPr="00D945F3">
        <w:rPr>
          <w:b/>
          <w:bCs/>
          <w:sz w:val="28"/>
          <w:szCs w:val="28"/>
        </w:rPr>
        <w:t>e</w:t>
      </w:r>
      <w:r w:rsidRPr="00D945F3">
        <w:rPr>
          <w:b/>
          <w:bCs/>
          <w:sz w:val="28"/>
          <w:szCs w:val="28"/>
        </w:rPr>
        <w:t xml:space="preserve">xploratorio </w:t>
      </w:r>
      <w:r w:rsidR="00D92922" w:rsidRPr="00D945F3">
        <w:rPr>
          <w:b/>
          <w:bCs/>
          <w:sz w:val="28"/>
          <w:szCs w:val="28"/>
        </w:rPr>
        <w:t>d</w:t>
      </w:r>
      <w:r w:rsidRPr="00D945F3">
        <w:rPr>
          <w:b/>
          <w:bCs/>
          <w:sz w:val="28"/>
          <w:szCs w:val="28"/>
        </w:rPr>
        <w:t xml:space="preserve">imensión Gestión e </w:t>
      </w:r>
      <w:r w:rsidR="00D92922" w:rsidRPr="00D945F3">
        <w:rPr>
          <w:b/>
          <w:bCs/>
          <w:sz w:val="28"/>
          <w:szCs w:val="28"/>
        </w:rPr>
        <w:t>i</w:t>
      </w:r>
      <w:r w:rsidRPr="00D945F3">
        <w:rPr>
          <w:b/>
          <w:bCs/>
          <w:sz w:val="28"/>
          <w:szCs w:val="28"/>
        </w:rPr>
        <w:t xml:space="preserve">nnovación de </w:t>
      </w:r>
      <w:r w:rsidR="00D92922" w:rsidRPr="00D945F3">
        <w:rPr>
          <w:b/>
          <w:bCs/>
          <w:sz w:val="28"/>
          <w:szCs w:val="28"/>
        </w:rPr>
        <w:t>p</w:t>
      </w:r>
      <w:r w:rsidRPr="00D945F3">
        <w:rPr>
          <w:b/>
          <w:bCs/>
          <w:sz w:val="28"/>
          <w:szCs w:val="28"/>
        </w:rPr>
        <w:t xml:space="preserve">rocesos y </w:t>
      </w:r>
      <w:r w:rsidR="00D92922" w:rsidRPr="00D945F3">
        <w:rPr>
          <w:b/>
          <w:bCs/>
          <w:sz w:val="28"/>
          <w:szCs w:val="28"/>
        </w:rPr>
        <w:t>p</w:t>
      </w:r>
      <w:r w:rsidRPr="00D945F3">
        <w:rPr>
          <w:b/>
          <w:bCs/>
          <w:sz w:val="28"/>
          <w:szCs w:val="28"/>
        </w:rPr>
        <w:t>royectos</w:t>
      </w:r>
    </w:p>
    <w:p w14:paraId="4EC78090" w14:textId="1D700D2C" w:rsidR="006877FA" w:rsidRDefault="00780F85" w:rsidP="00063D96">
      <w:pPr>
        <w:spacing w:after="0" w:line="360" w:lineRule="auto"/>
        <w:ind w:right="48" w:firstLine="708"/>
        <w:jc w:val="both"/>
        <w:rPr>
          <w:color w:val="000000"/>
        </w:rPr>
      </w:pPr>
      <w:r>
        <w:rPr>
          <w:color w:val="000000"/>
        </w:rPr>
        <w:t>Para</w:t>
      </w:r>
      <w:r w:rsidR="006877FA">
        <w:rPr>
          <w:color w:val="000000"/>
        </w:rPr>
        <w:t xml:space="preserve"> la dimensión </w:t>
      </w:r>
      <w:r w:rsidRPr="004E1F3E">
        <w:rPr>
          <w:i/>
          <w:iCs/>
          <w:color w:val="000000"/>
        </w:rPr>
        <w:t>G</w:t>
      </w:r>
      <w:r w:rsidR="006877FA" w:rsidRPr="004E1F3E">
        <w:rPr>
          <w:i/>
          <w:iCs/>
          <w:color w:val="000000"/>
        </w:rPr>
        <w:t>estión e innovación de procesos y proyectos</w:t>
      </w:r>
      <w:r w:rsidR="006877FA">
        <w:rPr>
          <w:color w:val="000000"/>
        </w:rPr>
        <w:t xml:space="preserve">, la Tabla </w:t>
      </w:r>
      <w:r w:rsidR="00A85514">
        <w:rPr>
          <w:color w:val="000000"/>
        </w:rPr>
        <w:t>10</w:t>
      </w:r>
      <w:r w:rsidR="006877FA">
        <w:rPr>
          <w:color w:val="000000"/>
        </w:rPr>
        <w:t xml:space="preserve"> muestra en las líneas en rojo las variables observa</w:t>
      </w:r>
      <w:r w:rsidR="00D92922">
        <w:rPr>
          <w:color w:val="000000"/>
        </w:rPr>
        <w:t>bles</w:t>
      </w:r>
      <w:r w:rsidR="006877FA">
        <w:rPr>
          <w:color w:val="000000"/>
        </w:rPr>
        <w:t xml:space="preserve"> que después de la primera rotación Varimax</w:t>
      </w:r>
      <w:r w:rsidR="00A305AD">
        <w:rPr>
          <w:color w:val="000000"/>
        </w:rPr>
        <w:t xml:space="preserve"> </w:t>
      </w:r>
      <w:r w:rsidR="006877FA">
        <w:rPr>
          <w:color w:val="000000"/>
        </w:rPr>
        <w:t xml:space="preserve">las cargas factoriales se ubican en dos o más </w:t>
      </w:r>
      <w:r w:rsidR="00A305AD">
        <w:rPr>
          <w:color w:val="000000"/>
        </w:rPr>
        <w:t>componentes</w:t>
      </w:r>
      <w:r w:rsidR="006877FA">
        <w:rPr>
          <w:color w:val="000000"/>
        </w:rPr>
        <w:t>. También aquellos en donde hay redunda</w:t>
      </w:r>
      <w:r w:rsidR="00D92922">
        <w:rPr>
          <w:color w:val="000000"/>
        </w:rPr>
        <w:t>n</w:t>
      </w:r>
      <w:r w:rsidR="006877FA">
        <w:rPr>
          <w:color w:val="000000"/>
        </w:rPr>
        <w:t xml:space="preserve">cia conceptual, tal como en los </w:t>
      </w:r>
      <w:r w:rsidR="00A305AD">
        <w:rPr>
          <w:color w:val="000000"/>
        </w:rPr>
        <w:t>resultados de aprendizaje</w:t>
      </w:r>
      <w:r w:rsidR="006877FA">
        <w:rPr>
          <w:color w:val="000000"/>
        </w:rPr>
        <w:t xml:space="preserve"> relacionados con la </w:t>
      </w:r>
      <w:r w:rsidR="00A305AD" w:rsidRPr="00722F88">
        <w:rPr>
          <w:i/>
          <w:iCs/>
          <w:color w:val="000000"/>
        </w:rPr>
        <w:t>R</w:t>
      </w:r>
      <w:r w:rsidR="006877FA" w:rsidRPr="00722F88">
        <w:rPr>
          <w:i/>
          <w:iCs/>
          <w:color w:val="000000"/>
        </w:rPr>
        <w:t>esponsabilidad ambiental</w:t>
      </w:r>
      <w:r w:rsidR="00722F88">
        <w:rPr>
          <w:i/>
          <w:iCs/>
          <w:color w:val="000000"/>
        </w:rPr>
        <w:t xml:space="preserve">, </w:t>
      </w:r>
      <w:r w:rsidR="00722F88">
        <w:rPr>
          <w:color w:val="000000"/>
        </w:rPr>
        <w:t>ta</w:t>
      </w:r>
      <w:r w:rsidR="00D92922">
        <w:rPr>
          <w:color w:val="000000"/>
        </w:rPr>
        <w:t>m</w:t>
      </w:r>
      <w:r w:rsidR="00722F88">
        <w:rPr>
          <w:color w:val="000000"/>
        </w:rPr>
        <w:t>bién marcada</w:t>
      </w:r>
      <w:r w:rsidR="00D92922">
        <w:rPr>
          <w:color w:val="000000"/>
        </w:rPr>
        <w:t>con asterisco para su eliminación</w:t>
      </w:r>
      <w:r w:rsidR="006877FA">
        <w:rPr>
          <w:color w:val="000000"/>
        </w:rPr>
        <w:t>.</w:t>
      </w:r>
    </w:p>
    <w:p w14:paraId="2FDAC69A" w14:textId="77777777" w:rsidR="00AC4363" w:rsidRDefault="00AC4363" w:rsidP="00063D96">
      <w:pPr>
        <w:spacing w:after="0" w:line="360" w:lineRule="auto"/>
        <w:ind w:right="48" w:firstLine="708"/>
        <w:jc w:val="both"/>
        <w:rPr>
          <w:color w:val="000000"/>
        </w:rPr>
      </w:pPr>
    </w:p>
    <w:p w14:paraId="388912AF" w14:textId="295C1EA8" w:rsidR="00F64BCD" w:rsidRPr="004E1F3E" w:rsidRDefault="00F64BCD" w:rsidP="00AC4363">
      <w:pPr>
        <w:spacing w:after="0" w:line="360" w:lineRule="auto"/>
        <w:ind w:right="-713"/>
        <w:jc w:val="center"/>
        <w:rPr>
          <w:i/>
          <w:iCs/>
          <w:color w:val="000000"/>
        </w:rPr>
      </w:pPr>
      <w:r w:rsidRPr="004E1F3E">
        <w:rPr>
          <w:b/>
          <w:bCs/>
          <w:color w:val="000000"/>
        </w:rPr>
        <w:lastRenderedPageBreak/>
        <w:t xml:space="preserve">Tabla </w:t>
      </w:r>
      <w:r w:rsidR="00A85514">
        <w:rPr>
          <w:b/>
          <w:bCs/>
          <w:color w:val="000000"/>
        </w:rPr>
        <w:t>10</w:t>
      </w:r>
      <w:r w:rsidR="00AC4363">
        <w:rPr>
          <w:b/>
          <w:bCs/>
          <w:color w:val="000000"/>
        </w:rPr>
        <w:t xml:space="preserve">. </w:t>
      </w:r>
      <w:r w:rsidR="007F403E" w:rsidRPr="00AC4363">
        <w:rPr>
          <w:color w:val="000000"/>
        </w:rPr>
        <w:t>Cargas factoriales de</w:t>
      </w:r>
      <w:r w:rsidRPr="00AC4363">
        <w:rPr>
          <w:color w:val="000000"/>
        </w:rPr>
        <w:t xml:space="preserve"> la dimensión </w:t>
      </w:r>
      <w:r w:rsidR="007F403E" w:rsidRPr="00AC4363">
        <w:rPr>
          <w:color w:val="000000"/>
        </w:rPr>
        <w:t>G</w:t>
      </w:r>
      <w:r w:rsidRPr="00AC4363">
        <w:rPr>
          <w:color w:val="000000"/>
        </w:rPr>
        <w:t xml:space="preserve">estión e </w:t>
      </w:r>
      <w:r w:rsidR="004E1F3E" w:rsidRPr="00AC4363">
        <w:rPr>
          <w:color w:val="000000"/>
        </w:rPr>
        <w:t>i</w:t>
      </w:r>
      <w:r w:rsidRPr="00AC4363">
        <w:rPr>
          <w:color w:val="000000"/>
        </w:rPr>
        <w:t xml:space="preserve">nnovación de </w:t>
      </w:r>
      <w:r w:rsidR="00F37E0C" w:rsidRPr="00AC4363">
        <w:rPr>
          <w:color w:val="000000"/>
        </w:rPr>
        <w:t>p</w:t>
      </w:r>
      <w:r w:rsidRPr="00AC4363">
        <w:rPr>
          <w:color w:val="000000"/>
        </w:rPr>
        <w:t xml:space="preserve">rocesos y </w:t>
      </w:r>
      <w:r w:rsidR="00F37E0C" w:rsidRPr="00AC4363">
        <w:rPr>
          <w:color w:val="000000"/>
        </w:rPr>
        <w:t>p</w:t>
      </w:r>
      <w:r w:rsidRPr="00AC4363">
        <w:rPr>
          <w:color w:val="000000"/>
        </w:rPr>
        <w:t>royectos</w:t>
      </w:r>
    </w:p>
    <w:tbl>
      <w:tblPr>
        <w:tblStyle w:val="Tablaconcuadrcula2"/>
        <w:tblW w:w="0" w:type="auto"/>
        <w:tblLayout w:type="fixed"/>
        <w:tblLook w:val="04A0" w:firstRow="1" w:lastRow="0" w:firstColumn="1" w:lastColumn="0" w:noHBand="0" w:noVBand="1"/>
      </w:tblPr>
      <w:tblGrid>
        <w:gridCol w:w="1555"/>
        <w:gridCol w:w="3969"/>
        <w:gridCol w:w="708"/>
        <w:gridCol w:w="709"/>
        <w:gridCol w:w="709"/>
        <w:gridCol w:w="1559"/>
      </w:tblGrid>
      <w:tr w:rsidR="00E04C70" w:rsidRPr="00AC4363" w14:paraId="2AA601A1" w14:textId="6326A0C4" w:rsidTr="00AC4363">
        <w:tc>
          <w:tcPr>
            <w:tcW w:w="1555" w:type="dxa"/>
            <w:vMerge w:val="restart"/>
          </w:tcPr>
          <w:p w14:paraId="0318ECAE" w14:textId="77777777" w:rsidR="00E04C70" w:rsidRPr="00AC4363" w:rsidRDefault="00E04C70" w:rsidP="00722F88">
            <w:pPr>
              <w:jc w:val="center"/>
              <w:rPr>
                <w:rFonts w:eastAsiaTheme="minorHAnsi"/>
                <w:sz w:val="20"/>
                <w:szCs w:val="20"/>
                <w:lang w:eastAsia="en-US"/>
              </w:rPr>
            </w:pPr>
          </w:p>
          <w:p w14:paraId="3815F098" w14:textId="264B8118" w:rsidR="00E04C70" w:rsidRPr="00AC4363" w:rsidRDefault="00E04C70" w:rsidP="00722F88">
            <w:pPr>
              <w:jc w:val="center"/>
              <w:rPr>
                <w:rFonts w:eastAsiaTheme="minorHAnsi"/>
                <w:sz w:val="20"/>
                <w:szCs w:val="20"/>
                <w:lang w:eastAsia="en-US"/>
              </w:rPr>
            </w:pPr>
            <w:r w:rsidRPr="00AC4363">
              <w:rPr>
                <w:rFonts w:eastAsiaTheme="minorHAnsi"/>
                <w:sz w:val="20"/>
                <w:szCs w:val="20"/>
                <w:lang w:eastAsia="en-US"/>
              </w:rPr>
              <w:t>Variables latentes</w:t>
            </w:r>
          </w:p>
        </w:tc>
        <w:tc>
          <w:tcPr>
            <w:tcW w:w="3969" w:type="dxa"/>
            <w:vMerge w:val="restart"/>
          </w:tcPr>
          <w:p w14:paraId="209700D3" w14:textId="77777777" w:rsidR="00E04C70" w:rsidRPr="00AC4363" w:rsidRDefault="00E04C70" w:rsidP="00722F88">
            <w:pPr>
              <w:jc w:val="center"/>
              <w:rPr>
                <w:rFonts w:eastAsiaTheme="minorHAnsi"/>
                <w:sz w:val="20"/>
                <w:szCs w:val="20"/>
                <w:lang w:eastAsia="en-US"/>
              </w:rPr>
            </w:pPr>
          </w:p>
          <w:p w14:paraId="02A0915C" w14:textId="39791E9A" w:rsidR="00E04C70" w:rsidRPr="00AC4363" w:rsidRDefault="00E04C70" w:rsidP="00722F88">
            <w:pPr>
              <w:jc w:val="center"/>
              <w:rPr>
                <w:rFonts w:eastAsiaTheme="minorHAnsi"/>
                <w:sz w:val="20"/>
                <w:szCs w:val="20"/>
                <w:lang w:eastAsia="en-US"/>
              </w:rPr>
            </w:pPr>
            <w:r w:rsidRPr="00AC4363">
              <w:rPr>
                <w:rFonts w:eastAsiaTheme="minorHAnsi"/>
                <w:sz w:val="20"/>
                <w:szCs w:val="20"/>
                <w:lang w:eastAsia="en-US"/>
              </w:rPr>
              <w:t>Variables observables o ítems</w:t>
            </w:r>
          </w:p>
        </w:tc>
        <w:tc>
          <w:tcPr>
            <w:tcW w:w="2126" w:type="dxa"/>
            <w:gridSpan w:val="3"/>
          </w:tcPr>
          <w:p w14:paraId="64F51EA8" w14:textId="62D57E53" w:rsidR="00E04C70" w:rsidRPr="00AC4363" w:rsidRDefault="00E04C70" w:rsidP="00722F88">
            <w:pPr>
              <w:jc w:val="center"/>
              <w:rPr>
                <w:rFonts w:eastAsiaTheme="minorHAnsi"/>
                <w:color w:val="000000"/>
                <w:sz w:val="20"/>
                <w:szCs w:val="20"/>
                <w:lang w:eastAsia="en-US"/>
              </w:rPr>
            </w:pPr>
            <w:r w:rsidRPr="00AC4363">
              <w:rPr>
                <w:rFonts w:eastAsiaTheme="minorHAnsi"/>
                <w:color w:val="000000"/>
                <w:sz w:val="20"/>
                <w:szCs w:val="20"/>
                <w:lang w:eastAsia="en-US"/>
              </w:rPr>
              <w:t>Cargas factoriales de componentes rotados</w:t>
            </w:r>
          </w:p>
        </w:tc>
        <w:tc>
          <w:tcPr>
            <w:tcW w:w="1559" w:type="dxa"/>
            <w:vMerge w:val="restart"/>
          </w:tcPr>
          <w:p w14:paraId="07398748" w14:textId="77777777" w:rsidR="00E04C70" w:rsidRPr="00AC4363" w:rsidRDefault="00E04C70" w:rsidP="00722F88">
            <w:pPr>
              <w:jc w:val="center"/>
              <w:rPr>
                <w:rFonts w:eastAsiaTheme="minorHAnsi"/>
                <w:color w:val="000000"/>
                <w:sz w:val="20"/>
                <w:szCs w:val="20"/>
                <w:lang w:eastAsia="en-US"/>
              </w:rPr>
            </w:pPr>
          </w:p>
          <w:p w14:paraId="5BF274B0" w14:textId="43D96D0E" w:rsidR="00E04C70" w:rsidRPr="00AC4363" w:rsidRDefault="00E04C70" w:rsidP="00722F88">
            <w:pPr>
              <w:jc w:val="center"/>
              <w:rPr>
                <w:rFonts w:eastAsiaTheme="minorHAnsi"/>
                <w:color w:val="000000"/>
                <w:sz w:val="20"/>
                <w:szCs w:val="20"/>
                <w:lang w:eastAsia="en-US"/>
              </w:rPr>
            </w:pPr>
            <w:r w:rsidRPr="00AC4363">
              <w:rPr>
                <w:rFonts w:eastAsiaTheme="minorHAnsi"/>
                <w:color w:val="000000"/>
                <w:sz w:val="20"/>
                <w:szCs w:val="20"/>
                <w:lang w:eastAsia="en-US"/>
              </w:rPr>
              <w:t>Comunalidades</w:t>
            </w:r>
          </w:p>
        </w:tc>
      </w:tr>
      <w:tr w:rsidR="00E04C70" w:rsidRPr="00AC4363" w14:paraId="1B06AED2" w14:textId="7F737CF1" w:rsidTr="00AC4363">
        <w:tc>
          <w:tcPr>
            <w:tcW w:w="1555" w:type="dxa"/>
            <w:vMerge/>
          </w:tcPr>
          <w:p w14:paraId="6EB67486" w14:textId="4142215A" w:rsidR="00E04C70" w:rsidRPr="00AC4363" w:rsidRDefault="00E04C70" w:rsidP="00A305AD">
            <w:pPr>
              <w:rPr>
                <w:rFonts w:eastAsiaTheme="minorHAnsi"/>
                <w:sz w:val="20"/>
                <w:szCs w:val="20"/>
                <w:lang w:eastAsia="en-US"/>
              </w:rPr>
            </w:pPr>
          </w:p>
        </w:tc>
        <w:tc>
          <w:tcPr>
            <w:tcW w:w="3969" w:type="dxa"/>
            <w:vMerge/>
          </w:tcPr>
          <w:p w14:paraId="3D994BDD" w14:textId="2F13DDA2" w:rsidR="00E04C70" w:rsidRPr="00AC4363" w:rsidRDefault="00E04C70" w:rsidP="00A305AD">
            <w:pPr>
              <w:rPr>
                <w:rFonts w:eastAsiaTheme="minorHAnsi"/>
                <w:sz w:val="20"/>
                <w:szCs w:val="20"/>
                <w:lang w:eastAsia="en-US"/>
              </w:rPr>
            </w:pPr>
          </w:p>
        </w:tc>
        <w:tc>
          <w:tcPr>
            <w:tcW w:w="708" w:type="dxa"/>
          </w:tcPr>
          <w:p w14:paraId="3D0036FA" w14:textId="77777777" w:rsidR="00E04C70" w:rsidRPr="00AC4363" w:rsidRDefault="00E04C70" w:rsidP="00A305AD">
            <w:pPr>
              <w:rPr>
                <w:rFonts w:eastAsiaTheme="minorHAnsi"/>
                <w:sz w:val="20"/>
                <w:szCs w:val="20"/>
                <w:lang w:eastAsia="en-US"/>
              </w:rPr>
            </w:pPr>
            <w:r w:rsidRPr="00AC4363">
              <w:rPr>
                <w:rFonts w:eastAsiaTheme="minorHAnsi"/>
                <w:sz w:val="20"/>
                <w:szCs w:val="20"/>
                <w:lang w:eastAsia="en-US"/>
              </w:rPr>
              <w:t>1</w:t>
            </w:r>
          </w:p>
        </w:tc>
        <w:tc>
          <w:tcPr>
            <w:tcW w:w="709" w:type="dxa"/>
            <w:vAlign w:val="center"/>
          </w:tcPr>
          <w:p w14:paraId="4C49D88E" w14:textId="77777777" w:rsidR="00E04C70" w:rsidRPr="00AC4363" w:rsidRDefault="00E04C70" w:rsidP="00A305AD">
            <w:pPr>
              <w:rPr>
                <w:rFonts w:eastAsiaTheme="minorHAnsi"/>
                <w:color w:val="000000"/>
                <w:sz w:val="20"/>
                <w:szCs w:val="20"/>
                <w:lang w:eastAsia="en-US"/>
              </w:rPr>
            </w:pPr>
            <w:r w:rsidRPr="00AC4363">
              <w:rPr>
                <w:rFonts w:eastAsiaTheme="minorHAnsi"/>
                <w:color w:val="000000"/>
                <w:sz w:val="20"/>
                <w:szCs w:val="20"/>
                <w:lang w:eastAsia="en-US"/>
              </w:rPr>
              <w:t>2</w:t>
            </w:r>
          </w:p>
        </w:tc>
        <w:tc>
          <w:tcPr>
            <w:tcW w:w="709" w:type="dxa"/>
          </w:tcPr>
          <w:p w14:paraId="4805A138" w14:textId="77777777" w:rsidR="00E04C70" w:rsidRPr="00AC4363" w:rsidRDefault="00E04C70" w:rsidP="00A305AD">
            <w:pPr>
              <w:rPr>
                <w:rFonts w:eastAsiaTheme="minorHAnsi"/>
                <w:color w:val="000000"/>
                <w:sz w:val="20"/>
                <w:szCs w:val="20"/>
                <w:lang w:eastAsia="en-US"/>
              </w:rPr>
            </w:pPr>
            <w:r w:rsidRPr="00AC4363">
              <w:rPr>
                <w:rFonts w:eastAsiaTheme="minorHAnsi"/>
                <w:color w:val="000000"/>
                <w:sz w:val="20"/>
                <w:szCs w:val="20"/>
                <w:lang w:eastAsia="en-US"/>
              </w:rPr>
              <w:t>3</w:t>
            </w:r>
          </w:p>
        </w:tc>
        <w:tc>
          <w:tcPr>
            <w:tcW w:w="1559" w:type="dxa"/>
            <w:vMerge/>
          </w:tcPr>
          <w:p w14:paraId="0C8D372B" w14:textId="77777777" w:rsidR="00E04C70" w:rsidRPr="00AC4363" w:rsidRDefault="00E04C70" w:rsidP="00A305AD">
            <w:pPr>
              <w:rPr>
                <w:rFonts w:eastAsiaTheme="minorHAnsi"/>
                <w:color w:val="000000"/>
                <w:sz w:val="20"/>
                <w:szCs w:val="20"/>
                <w:lang w:eastAsia="en-US"/>
              </w:rPr>
            </w:pPr>
          </w:p>
        </w:tc>
      </w:tr>
      <w:tr w:rsidR="00D53457" w:rsidRPr="00AC4363" w14:paraId="26A26618" w14:textId="208A2BCA" w:rsidTr="00AC4363">
        <w:tc>
          <w:tcPr>
            <w:tcW w:w="1555" w:type="dxa"/>
            <w:vMerge w:val="restart"/>
          </w:tcPr>
          <w:p w14:paraId="2E63F58C" w14:textId="77777777" w:rsidR="000220F7" w:rsidRPr="00AC4363" w:rsidRDefault="000220F7" w:rsidP="00E04C70">
            <w:pPr>
              <w:rPr>
                <w:rFonts w:eastAsiaTheme="minorHAnsi"/>
                <w:sz w:val="20"/>
                <w:szCs w:val="20"/>
                <w:lang w:eastAsia="en-US"/>
              </w:rPr>
            </w:pPr>
          </w:p>
          <w:p w14:paraId="7F6B7267" w14:textId="77777777" w:rsidR="000220F7" w:rsidRPr="00AC4363" w:rsidRDefault="000220F7" w:rsidP="00E04C70">
            <w:pPr>
              <w:rPr>
                <w:rFonts w:eastAsiaTheme="minorHAnsi"/>
                <w:sz w:val="20"/>
                <w:szCs w:val="20"/>
                <w:lang w:eastAsia="en-US"/>
              </w:rPr>
            </w:pPr>
          </w:p>
          <w:p w14:paraId="6A6D8115" w14:textId="4BCFD6AC" w:rsidR="00D53457" w:rsidRPr="00AC4363" w:rsidRDefault="00D53457" w:rsidP="00E04C70">
            <w:pPr>
              <w:rPr>
                <w:rFonts w:eastAsiaTheme="minorHAnsi"/>
                <w:sz w:val="20"/>
                <w:szCs w:val="20"/>
                <w:lang w:eastAsia="en-US"/>
              </w:rPr>
            </w:pPr>
            <w:r w:rsidRPr="00AC4363">
              <w:rPr>
                <w:rFonts w:eastAsiaTheme="minorHAnsi"/>
                <w:sz w:val="20"/>
                <w:szCs w:val="20"/>
                <w:lang w:eastAsia="en-US"/>
              </w:rPr>
              <w:t>Liderazgo y trabajo en equipo</w:t>
            </w:r>
          </w:p>
        </w:tc>
        <w:tc>
          <w:tcPr>
            <w:tcW w:w="3969" w:type="dxa"/>
            <w:vAlign w:val="center"/>
          </w:tcPr>
          <w:p w14:paraId="05FDF7D2" w14:textId="77777777" w:rsidR="00D53457" w:rsidRPr="00AC4363" w:rsidRDefault="00D53457" w:rsidP="00E04C70">
            <w:pPr>
              <w:rPr>
                <w:rFonts w:eastAsiaTheme="minorHAnsi"/>
                <w:sz w:val="20"/>
                <w:szCs w:val="20"/>
                <w:lang w:eastAsia="en-US"/>
              </w:rPr>
            </w:pPr>
            <w:r w:rsidRPr="00AC4363">
              <w:rPr>
                <w:rFonts w:eastAsiaTheme="minorHAnsi"/>
                <w:color w:val="000000"/>
                <w:sz w:val="20"/>
                <w:szCs w:val="20"/>
                <w:lang w:eastAsia="en-US"/>
              </w:rPr>
              <w:t>Roles y responsabilidades</w:t>
            </w:r>
          </w:p>
        </w:tc>
        <w:tc>
          <w:tcPr>
            <w:tcW w:w="708" w:type="dxa"/>
            <w:vAlign w:val="center"/>
          </w:tcPr>
          <w:p w14:paraId="7B18EA0F" w14:textId="0A4FDE01" w:rsidR="00D53457" w:rsidRPr="00AC4363" w:rsidRDefault="00D92922" w:rsidP="00E04C70">
            <w:pPr>
              <w:rPr>
                <w:rFonts w:eastAsiaTheme="minorHAnsi"/>
                <w:sz w:val="20"/>
                <w:szCs w:val="20"/>
                <w:lang w:eastAsia="en-US"/>
              </w:rPr>
            </w:pPr>
            <w:r w:rsidRPr="00AC4363">
              <w:rPr>
                <w:rFonts w:eastAsiaTheme="minorHAnsi"/>
                <w:color w:val="000000"/>
                <w:sz w:val="20"/>
                <w:szCs w:val="20"/>
                <w:lang w:eastAsia="en-US"/>
              </w:rPr>
              <w:t>0</w:t>
            </w:r>
            <w:r w:rsidR="00D53457" w:rsidRPr="00AC4363">
              <w:rPr>
                <w:rFonts w:eastAsiaTheme="minorHAnsi"/>
                <w:color w:val="000000"/>
                <w:sz w:val="20"/>
                <w:szCs w:val="20"/>
                <w:lang w:eastAsia="en-US"/>
              </w:rPr>
              <w:t>.801</w:t>
            </w:r>
          </w:p>
        </w:tc>
        <w:tc>
          <w:tcPr>
            <w:tcW w:w="709" w:type="dxa"/>
            <w:vAlign w:val="center"/>
          </w:tcPr>
          <w:p w14:paraId="05D83930" w14:textId="77777777" w:rsidR="00D53457" w:rsidRPr="00AC4363" w:rsidRDefault="00D53457" w:rsidP="00E04C70">
            <w:pPr>
              <w:rPr>
                <w:rFonts w:eastAsiaTheme="minorHAnsi"/>
                <w:sz w:val="20"/>
                <w:szCs w:val="20"/>
                <w:lang w:eastAsia="en-US"/>
              </w:rPr>
            </w:pPr>
          </w:p>
        </w:tc>
        <w:tc>
          <w:tcPr>
            <w:tcW w:w="709" w:type="dxa"/>
          </w:tcPr>
          <w:p w14:paraId="5316A41A" w14:textId="77777777" w:rsidR="00D53457" w:rsidRPr="00AC4363" w:rsidRDefault="00D53457" w:rsidP="00E04C70">
            <w:pPr>
              <w:rPr>
                <w:rFonts w:eastAsiaTheme="minorHAnsi"/>
                <w:color w:val="000000"/>
                <w:sz w:val="20"/>
                <w:szCs w:val="20"/>
                <w:lang w:eastAsia="en-US"/>
              </w:rPr>
            </w:pPr>
          </w:p>
        </w:tc>
        <w:tc>
          <w:tcPr>
            <w:tcW w:w="1559" w:type="dxa"/>
          </w:tcPr>
          <w:p w14:paraId="6FBE9C94" w14:textId="56EABA0A" w:rsidR="00D53457" w:rsidRPr="00AC4363" w:rsidRDefault="00D53457" w:rsidP="00E04C70">
            <w:pPr>
              <w:jc w:val="center"/>
              <w:rPr>
                <w:rFonts w:eastAsiaTheme="minorHAnsi"/>
                <w:color w:val="000000"/>
                <w:sz w:val="20"/>
                <w:szCs w:val="20"/>
                <w:lang w:eastAsia="en-US"/>
              </w:rPr>
            </w:pPr>
            <w:r w:rsidRPr="00AC4363">
              <w:rPr>
                <w:rFonts w:eastAsiaTheme="minorHAnsi"/>
                <w:color w:val="000000"/>
                <w:sz w:val="20"/>
                <w:szCs w:val="20"/>
                <w:lang w:eastAsia="en-US"/>
              </w:rPr>
              <w:t>0.</w:t>
            </w:r>
            <w:r w:rsidR="00166F56" w:rsidRPr="00AC4363">
              <w:rPr>
                <w:rFonts w:eastAsiaTheme="minorHAnsi"/>
                <w:color w:val="000000"/>
                <w:sz w:val="20"/>
                <w:szCs w:val="20"/>
                <w:lang w:eastAsia="en-US"/>
              </w:rPr>
              <w:t>796</w:t>
            </w:r>
          </w:p>
        </w:tc>
      </w:tr>
      <w:tr w:rsidR="00D53457" w:rsidRPr="00AC4363" w14:paraId="739DE124" w14:textId="7E89BC71" w:rsidTr="00AC4363">
        <w:trPr>
          <w:trHeight w:val="264"/>
        </w:trPr>
        <w:tc>
          <w:tcPr>
            <w:tcW w:w="1555" w:type="dxa"/>
            <w:vMerge/>
          </w:tcPr>
          <w:p w14:paraId="3F3368BB" w14:textId="77777777" w:rsidR="00D53457" w:rsidRPr="00AC4363" w:rsidRDefault="00D53457" w:rsidP="00E04C70">
            <w:pPr>
              <w:rPr>
                <w:rFonts w:eastAsiaTheme="minorHAnsi"/>
                <w:sz w:val="20"/>
                <w:szCs w:val="20"/>
                <w:lang w:eastAsia="en-US"/>
              </w:rPr>
            </w:pPr>
          </w:p>
        </w:tc>
        <w:tc>
          <w:tcPr>
            <w:tcW w:w="3969" w:type="dxa"/>
            <w:vAlign w:val="center"/>
          </w:tcPr>
          <w:p w14:paraId="3245A8BF" w14:textId="77777777" w:rsidR="00D53457" w:rsidRPr="00AC4363" w:rsidRDefault="00D53457" w:rsidP="00E04C70">
            <w:pPr>
              <w:rPr>
                <w:rFonts w:eastAsiaTheme="minorHAnsi"/>
                <w:sz w:val="20"/>
                <w:szCs w:val="20"/>
                <w:lang w:eastAsia="en-US"/>
              </w:rPr>
            </w:pPr>
            <w:r w:rsidRPr="00AC4363">
              <w:rPr>
                <w:rFonts w:eastAsiaTheme="minorHAnsi"/>
                <w:color w:val="000000"/>
                <w:sz w:val="20"/>
                <w:szCs w:val="20"/>
                <w:lang w:eastAsia="en-US"/>
              </w:rPr>
              <w:t>Colaboración efectiva</w:t>
            </w:r>
          </w:p>
        </w:tc>
        <w:tc>
          <w:tcPr>
            <w:tcW w:w="708" w:type="dxa"/>
            <w:vAlign w:val="center"/>
          </w:tcPr>
          <w:p w14:paraId="356786EC" w14:textId="57E3B65C" w:rsidR="00D53457" w:rsidRPr="00AC4363" w:rsidRDefault="00D92922" w:rsidP="00E04C70">
            <w:pPr>
              <w:rPr>
                <w:rFonts w:eastAsiaTheme="minorHAnsi"/>
                <w:sz w:val="20"/>
                <w:szCs w:val="20"/>
                <w:lang w:eastAsia="en-US"/>
              </w:rPr>
            </w:pPr>
            <w:r w:rsidRPr="00AC4363">
              <w:rPr>
                <w:rFonts w:eastAsiaTheme="minorHAnsi"/>
                <w:color w:val="000000"/>
                <w:sz w:val="20"/>
                <w:szCs w:val="20"/>
                <w:lang w:eastAsia="en-US"/>
              </w:rPr>
              <w:t>0</w:t>
            </w:r>
            <w:r w:rsidR="00D53457" w:rsidRPr="00AC4363">
              <w:rPr>
                <w:rFonts w:eastAsiaTheme="minorHAnsi"/>
                <w:color w:val="000000"/>
                <w:sz w:val="20"/>
                <w:szCs w:val="20"/>
                <w:lang w:eastAsia="en-US"/>
              </w:rPr>
              <w:t>.8</w:t>
            </w:r>
            <w:r w:rsidR="005106B5" w:rsidRPr="00AC4363">
              <w:rPr>
                <w:rFonts w:eastAsiaTheme="minorHAnsi"/>
                <w:color w:val="000000"/>
                <w:sz w:val="20"/>
                <w:szCs w:val="20"/>
                <w:lang w:eastAsia="en-US"/>
              </w:rPr>
              <w:t>14</w:t>
            </w:r>
          </w:p>
        </w:tc>
        <w:tc>
          <w:tcPr>
            <w:tcW w:w="709" w:type="dxa"/>
            <w:vAlign w:val="center"/>
          </w:tcPr>
          <w:p w14:paraId="5FAFD5E9" w14:textId="77777777" w:rsidR="00D53457" w:rsidRPr="00AC4363" w:rsidRDefault="00D53457" w:rsidP="00E04C70">
            <w:pPr>
              <w:rPr>
                <w:rFonts w:eastAsiaTheme="minorHAnsi"/>
                <w:sz w:val="20"/>
                <w:szCs w:val="20"/>
                <w:lang w:eastAsia="en-US"/>
              </w:rPr>
            </w:pPr>
          </w:p>
        </w:tc>
        <w:tc>
          <w:tcPr>
            <w:tcW w:w="709" w:type="dxa"/>
          </w:tcPr>
          <w:p w14:paraId="77AE451A" w14:textId="77777777" w:rsidR="00D53457" w:rsidRPr="00AC4363" w:rsidRDefault="00D53457" w:rsidP="00E04C70">
            <w:pPr>
              <w:rPr>
                <w:rFonts w:eastAsiaTheme="minorHAnsi"/>
                <w:color w:val="000000"/>
                <w:sz w:val="20"/>
                <w:szCs w:val="20"/>
                <w:lang w:eastAsia="en-US"/>
              </w:rPr>
            </w:pPr>
          </w:p>
        </w:tc>
        <w:tc>
          <w:tcPr>
            <w:tcW w:w="1559" w:type="dxa"/>
          </w:tcPr>
          <w:p w14:paraId="050F43CD" w14:textId="7A234992" w:rsidR="00D53457" w:rsidRPr="00AC4363" w:rsidRDefault="00D53457" w:rsidP="00E04C70">
            <w:pPr>
              <w:jc w:val="center"/>
              <w:rPr>
                <w:rFonts w:eastAsiaTheme="minorHAnsi"/>
                <w:color w:val="000000"/>
                <w:sz w:val="20"/>
                <w:szCs w:val="20"/>
                <w:lang w:eastAsia="en-US"/>
              </w:rPr>
            </w:pPr>
            <w:r w:rsidRPr="00AC4363">
              <w:rPr>
                <w:rFonts w:eastAsiaTheme="minorHAnsi"/>
                <w:color w:val="000000"/>
                <w:sz w:val="20"/>
                <w:szCs w:val="20"/>
                <w:lang w:eastAsia="en-US"/>
              </w:rPr>
              <w:t>0.7</w:t>
            </w:r>
            <w:r w:rsidR="00166F56" w:rsidRPr="00AC4363">
              <w:rPr>
                <w:rFonts w:eastAsiaTheme="minorHAnsi"/>
                <w:color w:val="000000"/>
                <w:sz w:val="20"/>
                <w:szCs w:val="20"/>
                <w:lang w:eastAsia="en-US"/>
              </w:rPr>
              <w:t>59</w:t>
            </w:r>
          </w:p>
        </w:tc>
      </w:tr>
      <w:tr w:rsidR="00D53457" w:rsidRPr="00AC4363" w14:paraId="4542697F" w14:textId="35A8AF9E" w:rsidTr="00AC4363">
        <w:tc>
          <w:tcPr>
            <w:tcW w:w="1555" w:type="dxa"/>
            <w:vMerge/>
          </w:tcPr>
          <w:p w14:paraId="0AD31519" w14:textId="77777777" w:rsidR="00D53457" w:rsidRPr="00AC4363" w:rsidRDefault="00D53457" w:rsidP="00E04C70">
            <w:pPr>
              <w:rPr>
                <w:rFonts w:eastAsiaTheme="minorHAnsi"/>
                <w:sz w:val="20"/>
                <w:szCs w:val="20"/>
                <w:lang w:eastAsia="en-US"/>
              </w:rPr>
            </w:pPr>
          </w:p>
        </w:tc>
        <w:tc>
          <w:tcPr>
            <w:tcW w:w="3969" w:type="dxa"/>
            <w:vAlign w:val="center"/>
          </w:tcPr>
          <w:p w14:paraId="5EDD0CAA" w14:textId="77777777" w:rsidR="00D53457" w:rsidRPr="00AC4363" w:rsidRDefault="00D53457" w:rsidP="00E04C70">
            <w:pPr>
              <w:rPr>
                <w:rFonts w:eastAsiaTheme="minorHAnsi"/>
                <w:sz w:val="20"/>
                <w:szCs w:val="20"/>
                <w:lang w:eastAsia="en-US"/>
              </w:rPr>
            </w:pPr>
            <w:r w:rsidRPr="00AC4363">
              <w:rPr>
                <w:rFonts w:eastAsiaTheme="minorHAnsi"/>
                <w:color w:val="000000"/>
                <w:sz w:val="20"/>
                <w:szCs w:val="20"/>
                <w:lang w:eastAsia="en-US"/>
              </w:rPr>
              <w:t>Toma de decisiones:</w:t>
            </w:r>
          </w:p>
        </w:tc>
        <w:tc>
          <w:tcPr>
            <w:tcW w:w="708" w:type="dxa"/>
            <w:vAlign w:val="center"/>
          </w:tcPr>
          <w:p w14:paraId="613BB284" w14:textId="55D7D15F" w:rsidR="00D53457" w:rsidRPr="00AC4363" w:rsidRDefault="00D92922" w:rsidP="00E04C70">
            <w:pPr>
              <w:rPr>
                <w:rFonts w:eastAsiaTheme="minorHAnsi"/>
                <w:sz w:val="20"/>
                <w:szCs w:val="20"/>
                <w:lang w:eastAsia="en-US"/>
              </w:rPr>
            </w:pPr>
            <w:r w:rsidRPr="00AC4363">
              <w:rPr>
                <w:rFonts w:eastAsiaTheme="minorHAnsi"/>
                <w:color w:val="000000"/>
                <w:sz w:val="20"/>
                <w:szCs w:val="20"/>
                <w:lang w:eastAsia="en-US"/>
              </w:rPr>
              <w:t>0</w:t>
            </w:r>
            <w:r w:rsidR="00D53457" w:rsidRPr="00AC4363">
              <w:rPr>
                <w:rFonts w:eastAsiaTheme="minorHAnsi"/>
                <w:color w:val="000000"/>
                <w:sz w:val="20"/>
                <w:szCs w:val="20"/>
                <w:lang w:eastAsia="en-US"/>
              </w:rPr>
              <w:t>.777</w:t>
            </w:r>
          </w:p>
        </w:tc>
        <w:tc>
          <w:tcPr>
            <w:tcW w:w="709" w:type="dxa"/>
            <w:vAlign w:val="center"/>
          </w:tcPr>
          <w:p w14:paraId="4A3C6D36" w14:textId="77777777" w:rsidR="00D53457" w:rsidRPr="00AC4363" w:rsidRDefault="00D53457" w:rsidP="00E04C70">
            <w:pPr>
              <w:rPr>
                <w:rFonts w:eastAsiaTheme="minorHAnsi"/>
                <w:sz w:val="20"/>
                <w:szCs w:val="20"/>
                <w:lang w:eastAsia="en-US"/>
              </w:rPr>
            </w:pPr>
          </w:p>
        </w:tc>
        <w:tc>
          <w:tcPr>
            <w:tcW w:w="709" w:type="dxa"/>
          </w:tcPr>
          <w:p w14:paraId="0B3682BE" w14:textId="77777777" w:rsidR="00D53457" w:rsidRPr="00AC4363" w:rsidRDefault="00D53457" w:rsidP="00E04C70">
            <w:pPr>
              <w:rPr>
                <w:rFonts w:eastAsiaTheme="minorHAnsi"/>
                <w:color w:val="000000"/>
                <w:sz w:val="20"/>
                <w:szCs w:val="20"/>
                <w:lang w:eastAsia="en-US"/>
              </w:rPr>
            </w:pPr>
          </w:p>
        </w:tc>
        <w:tc>
          <w:tcPr>
            <w:tcW w:w="1559" w:type="dxa"/>
          </w:tcPr>
          <w:p w14:paraId="23661751" w14:textId="6489E8CA" w:rsidR="00D53457" w:rsidRPr="00AC4363" w:rsidRDefault="00D53457" w:rsidP="00E04C70">
            <w:pPr>
              <w:jc w:val="center"/>
              <w:rPr>
                <w:rFonts w:eastAsiaTheme="minorHAnsi"/>
                <w:color w:val="000000"/>
                <w:sz w:val="20"/>
                <w:szCs w:val="20"/>
                <w:lang w:eastAsia="en-US"/>
              </w:rPr>
            </w:pPr>
            <w:r w:rsidRPr="00AC4363">
              <w:rPr>
                <w:rFonts w:eastAsiaTheme="minorHAnsi"/>
                <w:color w:val="000000"/>
                <w:sz w:val="20"/>
                <w:szCs w:val="20"/>
                <w:lang w:eastAsia="en-US"/>
              </w:rPr>
              <w:t>0.7</w:t>
            </w:r>
            <w:r w:rsidR="00166F56" w:rsidRPr="00AC4363">
              <w:rPr>
                <w:rFonts w:eastAsiaTheme="minorHAnsi"/>
                <w:color w:val="000000"/>
                <w:sz w:val="20"/>
                <w:szCs w:val="20"/>
                <w:lang w:eastAsia="en-US"/>
              </w:rPr>
              <w:t>66</w:t>
            </w:r>
          </w:p>
        </w:tc>
      </w:tr>
      <w:tr w:rsidR="00D53457" w:rsidRPr="00AC4363" w14:paraId="5E551112" w14:textId="1E994CE1" w:rsidTr="00AC4363">
        <w:tc>
          <w:tcPr>
            <w:tcW w:w="1555" w:type="dxa"/>
            <w:vMerge/>
          </w:tcPr>
          <w:p w14:paraId="1FD60900" w14:textId="77777777" w:rsidR="00D53457" w:rsidRPr="00AC4363" w:rsidRDefault="00D53457" w:rsidP="00E04C70">
            <w:pPr>
              <w:rPr>
                <w:rFonts w:eastAsiaTheme="minorHAnsi"/>
                <w:color w:val="000000"/>
                <w:sz w:val="20"/>
                <w:szCs w:val="20"/>
                <w:lang w:eastAsia="en-US"/>
              </w:rPr>
            </w:pPr>
          </w:p>
        </w:tc>
        <w:tc>
          <w:tcPr>
            <w:tcW w:w="3969" w:type="dxa"/>
            <w:vAlign w:val="center"/>
          </w:tcPr>
          <w:p w14:paraId="712412FF" w14:textId="3A114C56" w:rsidR="00D53457" w:rsidRPr="00AC4363" w:rsidRDefault="00D53457" w:rsidP="00E04C70">
            <w:pPr>
              <w:rPr>
                <w:rFonts w:eastAsiaTheme="minorHAnsi"/>
                <w:sz w:val="20"/>
                <w:szCs w:val="20"/>
                <w:lang w:eastAsia="en-US"/>
              </w:rPr>
            </w:pPr>
            <w:r w:rsidRPr="00AC4363">
              <w:rPr>
                <w:rFonts w:eastAsiaTheme="minorHAnsi"/>
                <w:color w:val="000000"/>
                <w:sz w:val="20"/>
                <w:szCs w:val="20"/>
                <w:lang w:eastAsia="en-US"/>
              </w:rPr>
              <w:t>L</w:t>
            </w:r>
            <w:r w:rsidR="000220F7" w:rsidRPr="00AC4363">
              <w:rPr>
                <w:rFonts w:eastAsiaTheme="minorHAnsi"/>
                <w:color w:val="000000"/>
                <w:sz w:val="20"/>
                <w:szCs w:val="20"/>
                <w:lang w:eastAsia="en-US"/>
              </w:rPr>
              <w:t>i</w:t>
            </w:r>
            <w:r w:rsidRPr="00AC4363">
              <w:rPr>
                <w:rFonts w:eastAsiaTheme="minorHAnsi"/>
                <w:color w:val="000000"/>
                <w:sz w:val="20"/>
                <w:szCs w:val="20"/>
                <w:lang w:eastAsia="en-US"/>
              </w:rPr>
              <w:t>derazgo y mediación de conflictos</w:t>
            </w:r>
          </w:p>
        </w:tc>
        <w:tc>
          <w:tcPr>
            <w:tcW w:w="708" w:type="dxa"/>
            <w:vAlign w:val="center"/>
          </w:tcPr>
          <w:p w14:paraId="0FF9C437" w14:textId="5387FD35" w:rsidR="00D53457" w:rsidRPr="00AC4363" w:rsidRDefault="00D92922" w:rsidP="00E04C70">
            <w:pPr>
              <w:rPr>
                <w:rFonts w:eastAsiaTheme="minorHAnsi"/>
                <w:sz w:val="20"/>
                <w:szCs w:val="20"/>
                <w:lang w:eastAsia="en-US"/>
              </w:rPr>
            </w:pPr>
            <w:r w:rsidRPr="00AC4363">
              <w:rPr>
                <w:rFonts w:eastAsiaTheme="minorHAnsi"/>
                <w:color w:val="000000"/>
                <w:sz w:val="20"/>
                <w:szCs w:val="20"/>
                <w:lang w:eastAsia="en-US"/>
              </w:rPr>
              <w:t>0</w:t>
            </w:r>
            <w:r w:rsidR="00D53457" w:rsidRPr="00AC4363">
              <w:rPr>
                <w:rFonts w:eastAsiaTheme="minorHAnsi"/>
                <w:color w:val="000000"/>
                <w:sz w:val="20"/>
                <w:szCs w:val="20"/>
                <w:lang w:eastAsia="en-US"/>
              </w:rPr>
              <w:t>.764</w:t>
            </w:r>
          </w:p>
        </w:tc>
        <w:tc>
          <w:tcPr>
            <w:tcW w:w="709" w:type="dxa"/>
            <w:vAlign w:val="center"/>
          </w:tcPr>
          <w:p w14:paraId="7BE923F4" w14:textId="77777777" w:rsidR="00D53457" w:rsidRPr="00AC4363" w:rsidRDefault="00D53457" w:rsidP="00E04C70">
            <w:pPr>
              <w:rPr>
                <w:rFonts w:eastAsiaTheme="minorHAnsi"/>
                <w:sz w:val="20"/>
                <w:szCs w:val="20"/>
                <w:lang w:eastAsia="en-US"/>
              </w:rPr>
            </w:pPr>
          </w:p>
        </w:tc>
        <w:tc>
          <w:tcPr>
            <w:tcW w:w="709" w:type="dxa"/>
          </w:tcPr>
          <w:p w14:paraId="3A154DC3" w14:textId="77777777" w:rsidR="00D53457" w:rsidRPr="00AC4363" w:rsidRDefault="00D53457" w:rsidP="00E04C70">
            <w:pPr>
              <w:rPr>
                <w:rFonts w:eastAsiaTheme="minorHAnsi"/>
                <w:color w:val="000000"/>
                <w:sz w:val="20"/>
                <w:szCs w:val="20"/>
                <w:lang w:eastAsia="en-US"/>
              </w:rPr>
            </w:pPr>
          </w:p>
        </w:tc>
        <w:tc>
          <w:tcPr>
            <w:tcW w:w="1559" w:type="dxa"/>
          </w:tcPr>
          <w:p w14:paraId="7A270E07" w14:textId="0A854F85" w:rsidR="00D53457" w:rsidRPr="00AC4363" w:rsidRDefault="00D53457" w:rsidP="00E04C70">
            <w:pPr>
              <w:jc w:val="center"/>
              <w:rPr>
                <w:rFonts w:eastAsiaTheme="minorHAnsi"/>
                <w:color w:val="000000"/>
                <w:sz w:val="20"/>
                <w:szCs w:val="20"/>
                <w:lang w:eastAsia="en-US"/>
              </w:rPr>
            </w:pPr>
            <w:r w:rsidRPr="00AC4363">
              <w:rPr>
                <w:rFonts w:eastAsiaTheme="minorHAnsi"/>
                <w:color w:val="000000"/>
                <w:sz w:val="20"/>
                <w:szCs w:val="20"/>
                <w:lang w:eastAsia="en-US"/>
              </w:rPr>
              <w:t>0.71</w:t>
            </w:r>
            <w:r w:rsidR="00166F56" w:rsidRPr="00AC4363">
              <w:rPr>
                <w:rFonts w:eastAsiaTheme="minorHAnsi"/>
                <w:color w:val="000000"/>
                <w:sz w:val="20"/>
                <w:szCs w:val="20"/>
                <w:lang w:eastAsia="en-US"/>
              </w:rPr>
              <w:t>5</w:t>
            </w:r>
          </w:p>
        </w:tc>
      </w:tr>
      <w:tr w:rsidR="00D53457" w:rsidRPr="00AC4363" w14:paraId="3AEFE0A1" w14:textId="47522EE2" w:rsidTr="00AC4363">
        <w:tc>
          <w:tcPr>
            <w:tcW w:w="1555" w:type="dxa"/>
            <w:vMerge/>
          </w:tcPr>
          <w:p w14:paraId="007CDA93" w14:textId="77777777" w:rsidR="00D53457" w:rsidRPr="00AC4363" w:rsidRDefault="00D53457" w:rsidP="00E04C70">
            <w:pPr>
              <w:rPr>
                <w:rFonts w:eastAsiaTheme="minorHAnsi"/>
                <w:color w:val="000000"/>
                <w:sz w:val="20"/>
                <w:szCs w:val="20"/>
                <w:lang w:eastAsia="en-US"/>
              </w:rPr>
            </w:pPr>
          </w:p>
        </w:tc>
        <w:tc>
          <w:tcPr>
            <w:tcW w:w="3969" w:type="dxa"/>
            <w:vAlign w:val="center"/>
          </w:tcPr>
          <w:p w14:paraId="50D9F69E" w14:textId="77777777" w:rsidR="00D53457" w:rsidRPr="00AC4363" w:rsidRDefault="00D53457" w:rsidP="00E04C70">
            <w:pPr>
              <w:rPr>
                <w:rFonts w:eastAsiaTheme="minorHAnsi"/>
                <w:sz w:val="20"/>
                <w:szCs w:val="20"/>
                <w:lang w:eastAsia="en-US"/>
              </w:rPr>
            </w:pPr>
            <w:r w:rsidRPr="00AC4363">
              <w:rPr>
                <w:rFonts w:eastAsiaTheme="minorHAnsi"/>
                <w:color w:val="000000"/>
                <w:sz w:val="20"/>
                <w:szCs w:val="20"/>
                <w:lang w:eastAsia="en-US"/>
              </w:rPr>
              <w:t>Proponer ideas y soluciones</w:t>
            </w:r>
          </w:p>
        </w:tc>
        <w:tc>
          <w:tcPr>
            <w:tcW w:w="708" w:type="dxa"/>
            <w:vAlign w:val="center"/>
          </w:tcPr>
          <w:p w14:paraId="54D6F499" w14:textId="2309AFF9" w:rsidR="00D53457" w:rsidRPr="00AC4363" w:rsidRDefault="00D92922" w:rsidP="00E04C70">
            <w:pPr>
              <w:rPr>
                <w:rFonts w:eastAsiaTheme="minorHAnsi"/>
                <w:sz w:val="20"/>
                <w:szCs w:val="20"/>
                <w:lang w:eastAsia="en-US"/>
              </w:rPr>
            </w:pPr>
            <w:r w:rsidRPr="00AC4363">
              <w:rPr>
                <w:rFonts w:eastAsiaTheme="minorHAnsi"/>
                <w:color w:val="000000"/>
                <w:sz w:val="20"/>
                <w:szCs w:val="20"/>
                <w:lang w:eastAsia="en-US"/>
              </w:rPr>
              <w:t>0</w:t>
            </w:r>
            <w:r w:rsidR="00D53457" w:rsidRPr="00AC4363">
              <w:rPr>
                <w:rFonts w:eastAsiaTheme="minorHAnsi"/>
                <w:color w:val="000000"/>
                <w:sz w:val="20"/>
                <w:szCs w:val="20"/>
                <w:lang w:eastAsia="en-US"/>
              </w:rPr>
              <w:t>.747</w:t>
            </w:r>
          </w:p>
        </w:tc>
        <w:tc>
          <w:tcPr>
            <w:tcW w:w="709" w:type="dxa"/>
            <w:vAlign w:val="center"/>
          </w:tcPr>
          <w:p w14:paraId="557277C9" w14:textId="77777777" w:rsidR="00D53457" w:rsidRPr="00AC4363" w:rsidRDefault="00D53457" w:rsidP="00E04C70">
            <w:pPr>
              <w:rPr>
                <w:rFonts w:eastAsiaTheme="minorHAnsi"/>
                <w:sz w:val="20"/>
                <w:szCs w:val="20"/>
                <w:lang w:eastAsia="en-US"/>
              </w:rPr>
            </w:pPr>
          </w:p>
        </w:tc>
        <w:tc>
          <w:tcPr>
            <w:tcW w:w="709" w:type="dxa"/>
          </w:tcPr>
          <w:p w14:paraId="236A2A92" w14:textId="77777777" w:rsidR="00D53457" w:rsidRPr="00AC4363" w:rsidRDefault="00D53457" w:rsidP="00E04C70">
            <w:pPr>
              <w:rPr>
                <w:rFonts w:eastAsiaTheme="minorHAnsi"/>
                <w:color w:val="000000"/>
                <w:sz w:val="20"/>
                <w:szCs w:val="20"/>
                <w:lang w:eastAsia="en-US"/>
              </w:rPr>
            </w:pPr>
          </w:p>
        </w:tc>
        <w:tc>
          <w:tcPr>
            <w:tcW w:w="1559" w:type="dxa"/>
          </w:tcPr>
          <w:p w14:paraId="36DD762F" w14:textId="6D87DA4D" w:rsidR="00D53457" w:rsidRPr="00AC4363" w:rsidRDefault="00D53457" w:rsidP="00E04C70">
            <w:pPr>
              <w:jc w:val="center"/>
              <w:rPr>
                <w:rFonts w:eastAsiaTheme="minorHAnsi"/>
                <w:color w:val="000000"/>
                <w:sz w:val="20"/>
                <w:szCs w:val="20"/>
                <w:lang w:eastAsia="en-US"/>
              </w:rPr>
            </w:pPr>
            <w:r w:rsidRPr="00AC4363">
              <w:rPr>
                <w:rFonts w:eastAsiaTheme="minorHAnsi"/>
                <w:color w:val="000000"/>
                <w:sz w:val="20"/>
                <w:szCs w:val="20"/>
                <w:lang w:eastAsia="en-US"/>
              </w:rPr>
              <w:t>0.77</w:t>
            </w:r>
            <w:r w:rsidR="00166F56" w:rsidRPr="00AC4363">
              <w:rPr>
                <w:rFonts w:eastAsiaTheme="minorHAnsi"/>
                <w:color w:val="000000"/>
                <w:sz w:val="20"/>
                <w:szCs w:val="20"/>
                <w:lang w:eastAsia="en-US"/>
              </w:rPr>
              <w:t>0</w:t>
            </w:r>
          </w:p>
        </w:tc>
      </w:tr>
      <w:tr w:rsidR="00D53457" w:rsidRPr="00AC4363" w14:paraId="4455F9E1" w14:textId="690BB9FF" w:rsidTr="00AC4363">
        <w:tc>
          <w:tcPr>
            <w:tcW w:w="1555" w:type="dxa"/>
            <w:vMerge/>
          </w:tcPr>
          <w:p w14:paraId="1F89662B" w14:textId="77777777" w:rsidR="00D53457" w:rsidRPr="00AC4363" w:rsidRDefault="00D53457" w:rsidP="00E04C70">
            <w:pPr>
              <w:rPr>
                <w:rFonts w:eastAsiaTheme="minorHAnsi"/>
                <w:color w:val="000000"/>
                <w:sz w:val="20"/>
                <w:szCs w:val="20"/>
                <w:lang w:eastAsia="en-US"/>
              </w:rPr>
            </w:pPr>
          </w:p>
        </w:tc>
        <w:tc>
          <w:tcPr>
            <w:tcW w:w="3969" w:type="dxa"/>
            <w:vAlign w:val="center"/>
          </w:tcPr>
          <w:p w14:paraId="752145C0" w14:textId="77777777" w:rsidR="00D53457" w:rsidRPr="00AC4363" w:rsidRDefault="00D53457" w:rsidP="00E04C70">
            <w:pPr>
              <w:rPr>
                <w:rFonts w:eastAsiaTheme="minorHAnsi"/>
                <w:sz w:val="20"/>
                <w:szCs w:val="20"/>
                <w:lang w:eastAsia="en-US"/>
              </w:rPr>
            </w:pPr>
            <w:r w:rsidRPr="00AC4363">
              <w:rPr>
                <w:rFonts w:eastAsiaTheme="minorHAnsi"/>
                <w:color w:val="000000"/>
                <w:sz w:val="20"/>
                <w:szCs w:val="20"/>
                <w:lang w:eastAsia="en-US"/>
              </w:rPr>
              <w:t>Dinámica de trabajo</w:t>
            </w:r>
          </w:p>
        </w:tc>
        <w:tc>
          <w:tcPr>
            <w:tcW w:w="708" w:type="dxa"/>
            <w:vAlign w:val="center"/>
          </w:tcPr>
          <w:p w14:paraId="187DD78E" w14:textId="45B0B581" w:rsidR="00D53457" w:rsidRPr="00AC4363" w:rsidRDefault="00D92922" w:rsidP="00E04C70">
            <w:pPr>
              <w:rPr>
                <w:rFonts w:eastAsiaTheme="minorHAnsi"/>
                <w:sz w:val="20"/>
                <w:szCs w:val="20"/>
                <w:lang w:eastAsia="en-US"/>
              </w:rPr>
            </w:pPr>
            <w:r w:rsidRPr="00AC4363">
              <w:rPr>
                <w:rFonts w:eastAsiaTheme="minorHAnsi"/>
                <w:color w:val="000000"/>
                <w:sz w:val="20"/>
                <w:szCs w:val="20"/>
                <w:lang w:eastAsia="en-US"/>
              </w:rPr>
              <w:t>0</w:t>
            </w:r>
            <w:r w:rsidR="00D53457" w:rsidRPr="00AC4363">
              <w:rPr>
                <w:rFonts w:eastAsiaTheme="minorHAnsi"/>
                <w:color w:val="000000"/>
                <w:sz w:val="20"/>
                <w:szCs w:val="20"/>
                <w:lang w:eastAsia="en-US"/>
              </w:rPr>
              <w:t>.671</w:t>
            </w:r>
          </w:p>
        </w:tc>
        <w:tc>
          <w:tcPr>
            <w:tcW w:w="709" w:type="dxa"/>
            <w:vAlign w:val="center"/>
          </w:tcPr>
          <w:p w14:paraId="2EC31F5B" w14:textId="77777777" w:rsidR="00D53457" w:rsidRPr="00AC4363" w:rsidRDefault="00D53457" w:rsidP="00E04C70">
            <w:pPr>
              <w:rPr>
                <w:rFonts w:eastAsiaTheme="minorHAnsi"/>
                <w:sz w:val="20"/>
                <w:szCs w:val="20"/>
                <w:lang w:eastAsia="en-US"/>
              </w:rPr>
            </w:pPr>
          </w:p>
        </w:tc>
        <w:tc>
          <w:tcPr>
            <w:tcW w:w="709" w:type="dxa"/>
          </w:tcPr>
          <w:p w14:paraId="0E96A574" w14:textId="77777777" w:rsidR="00D53457" w:rsidRPr="00AC4363" w:rsidRDefault="00D53457" w:rsidP="00E04C70">
            <w:pPr>
              <w:rPr>
                <w:rFonts w:eastAsiaTheme="minorHAnsi"/>
                <w:color w:val="000000"/>
                <w:sz w:val="20"/>
                <w:szCs w:val="20"/>
                <w:lang w:eastAsia="en-US"/>
              </w:rPr>
            </w:pPr>
          </w:p>
        </w:tc>
        <w:tc>
          <w:tcPr>
            <w:tcW w:w="1559" w:type="dxa"/>
          </w:tcPr>
          <w:p w14:paraId="01EB4C13" w14:textId="42FA31F2" w:rsidR="00D53457" w:rsidRPr="00AC4363" w:rsidRDefault="00D53457" w:rsidP="00E04C70">
            <w:pPr>
              <w:jc w:val="center"/>
              <w:rPr>
                <w:rFonts w:eastAsiaTheme="minorHAnsi"/>
                <w:color w:val="000000"/>
                <w:sz w:val="20"/>
                <w:szCs w:val="20"/>
                <w:lang w:eastAsia="en-US"/>
              </w:rPr>
            </w:pPr>
            <w:r w:rsidRPr="00AC4363">
              <w:rPr>
                <w:rFonts w:eastAsiaTheme="minorHAnsi"/>
                <w:color w:val="000000"/>
                <w:sz w:val="20"/>
                <w:szCs w:val="20"/>
                <w:lang w:eastAsia="en-US"/>
              </w:rPr>
              <w:t>0.6</w:t>
            </w:r>
            <w:r w:rsidR="00166F56" w:rsidRPr="00AC4363">
              <w:rPr>
                <w:rFonts w:eastAsiaTheme="minorHAnsi"/>
                <w:color w:val="000000"/>
                <w:sz w:val="20"/>
                <w:szCs w:val="20"/>
                <w:lang w:eastAsia="en-US"/>
              </w:rPr>
              <w:t>83</w:t>
            </w:r>
          </w:p>
        </w:tc>
      </w:tr>
      <w:tr w:rsidR="000220F7" w:rsidRPr="00AC4363" w14:paraId="013482C0" w14:textId="77777777" w:rsidTr="00AC4363">
        <w:tc>
          <w:tcPr>
            <w:tcW w:w="1555" w:type="dxa"/>
            <w:vMerge w:val="restart"/>
          </w:tcPr>
          <w:p w14:paraId="60117643" w14:textId="77777777" w:rsidR="000220F7" w:rsidRPr="00AC4363" w:rsidRDefault="000220F7" w:rsidP="00E04C70">
            <w:pPr>
              <w:rPr>
                <w:rFonts w:eastAsiaTheme="minorHAnsi"/>
                <w:sz w:val="20"/>
                <w:szCs w:val="20"/>
                <w:lang w:eastAsia="en-US"/>
              </w:rPr>
            </w:pPr>
          </w:p>
          <w:p w14:paraId="37C4C5B5" w14:textId="77777777" w:rsidR="000220F7" w:rsidRPr="00AC4363" w:rsidRDefault="000220F7" w:rsidP="00E04C70">
            <w:pPr>
              <w:rPr>
                <w:rFonts w:eastAsiaTheme="minorHAnsi"/>
                <w:sz w:val="20"/>
                <w:szCs w:val="20"/>
                <w:lang w:eastAsia="en-US"/>
              </w:rPr>
            </w:pPr>
          </w:p>
          <w:p w14:paraId="0D0AAEBE" w14:textId="3471E910" w:rsidR="000220F7" w:rsidRPr="00AC4363" w:rsidRDefault="000220F7" w:rsidP="00E04C70">
            <w:pPr>
              <w:rPr>
                <w:rFonts w:eastAsiaTheme="minorHAnsi"/>
                <w:sz w:val="20"/>
                <w:szCs w:val="20"/>
                <w:lang w:eastAsia="en-US"/>
              </w:rPr>
            </w:pPr>
            <w:r w:rsidRPr="00AC4363">
              <w:rPr>
                <w:rFonts w:eastAsiaTheme="minorHAnsi"/>
                <w:sz w:val="20"/>
                <w:szCs w:val="20"/>
                <w:lang w:eastAsia="en-US"/>
              </w:rPr>
              <w:t xml:space="preserve">Enseñanza de la comprensión y </w:t>
            </w:r>
            <w:r w:rsidR="003E62FD" w:rsidRPr="00AC4363">
              <w:rPr>
                <w:rFonts w:eastAsiaTheme="minorHAnsi"/>
                <w:sz w:val="20"/>
                <w:szCs w:val="20"/>
                <w:lang w:eastAsia="en-US"/>
              </w:rPr>
              <w:t xml:space="preserve">de </w:t>
            </w:r>
            <w:r w:rsidRPr="00AC4363">
              <w:rPr>
                <w:rFonts w:eastAsiaTheme="minorHAnsi"/>
                <w:sz w:val="20"/>
                <w:szCs w:val="20"/>
                <w:lang w:eastAsia="en-US"/>
              </w:rPr>
              <w:t>la condición humana</w:t>
            </w:r>
          </w:p>
        </w:tc>
        <w:tc>
          <w:tcPr>
            <w:tcW w:w="3969" w:type="dxa"/>
            <w:vAlign w:val="center"/>
          </w:tcPr>
          <w:p w14:paraId="6DDE5E4D" w14:textId="6BE0D6A3" w:rsidR="000220F7" w:rsidRPr="00AC4363" w:rsidRDefault="000220F7" w:rsidP="00E04C70">
            <w:pPr>
              <w:rPr>
                <w:rFonts w:eastAsiaTheme="minorHAnsi"/>
                <w:sz w:val="20"/>
                <w:szCs w:val="20"/>
                <w:lang w:eastAsia="en-US"/>
              </w:rPr>
            </w:pPr>
            <w:r w:rsidRPr="00AC4363">
              <w:rPr>
                <w:rFonts w:eastAsiaTheme="minorHAnsi"/>
                <w:sz w:val="20"/>
                <w:szCs w:val="20"/>
                <w:lang w:eastAsia="en-US"/>
              </w:rPr>
              <w:t>Empatía y comprensión cultural</w:t>
            </w:r>
          </w:p>
        </w:tc>
        <w:tc>
          <w:tcPr>
            <w:tcW w:w="708" w:type="dxa"/>
            <w:vAlign w:val="center"/>
          </w:tcPr>
          <w:p w14:paraId="06D4A16B" w14:textId="40E98A1D" w:rsidR="000220F7" w:rsidRPr="00AC4363" w:rsidRDefault="000220F7" w:rsidP="00E04C70">
            <w:pPr>
              <w:rPr>
                <w:rFonts w:eastAsiaTheme="minorHAnsi"/>
                <w:sz w:val="20"/>
                <w:szCs w:val="20"/>
                <w:lang w:eastAsia="en-US"/>
              </w:rPr>
            </w:pPr>
            <w:r w:rsidRPr="00AC4363">
              <w:rPr>
                <w:rFonts w:eastAsiaTheme="minorHAnsi"/>
                <w:sz w:val="20"/>
                <w:szCs w:val="20"/>
                <w:lang w:eastAsia="en-US"/>
              </w:rPr>
              <w:t>0.611</w:t>
            </w:r>
          </w:p>
        </w:tc>
        <w:tc>
          <w:tcPr>
            <w:tcW w:w="709" w:type="dxa"/>
            <w:vAlign w:val="center"/>
          </w:tcPr>
          <w:p w14:paraId="26413980" w14:textId="01946304" w:rsidR="000220F7" w:rsidRPr="00AC4363" w:rsidRDefault="000220F7" w:rsidP="00E04C70">
            <w:pPr>
              <w:rPr>
                <w:rFonts w:eastAsiaTheme="minorHAnsi"/>
                <w:sz w:val="20"/>
                <w:szCs w:val="20"/>
                <w:lang w:eastAsia="en-US"/>
              </w:rPr>
            </w:pPr>
            <w:r w:rsidRPr="00AC4363">
              <w:rPr>
                <w:rFonts w:eastAsiaTheme="minorHAnsi"/>
                <w:sz w:val="20"/>
                <w:szCs w:val="20"/>
                <w:lang w:eastAsia="en-US"/>
              </w:rPr>
              <w:t>0.485</w:t>
            </w:r>
          </w:p>
        </w:tc>
        <w:tc>
          <w:tcPr>
            <w:tcW w:w="709" w:type="dxa"/>
          </w:tcPr>
          <w:p w14:paraId="2F479CBF" w14:textId="77777777" w:rsidR="000220F7" w:rsidRPr="00AC4363" w:rsidRDefault="000220F7" w:rsidP="00E04C70">
            <w:pPr>
              <w:rPr>
                <w:rFonts w:eastAsiaTheme="minorHAnsi"/>
                <w:sz w:val="20"/>
                <w:szCs w:val="20"/>
                <w:lang w:eastAsia="en-US"/>
              </w:rPr>
            </w:pPr>
          </w:p>
        </w:tc>
        <w:tc>
          <w:tcPr>
            <w:tcW w:w="1559" w:type="dxa"/>
          </w:tcPr>
          <w:p w14:paraId="69551C88" w14:textId="6A6FD5F8" w:rsidR="000220F7" w:rsidRPr="00AC4363" w:rsidRDefault="000220F7" w:rsidP="00E04C70">
            <w:pPr>
              <w:jc w:val="center"/>
              <w:rPr>
                <w:rFonts w:eastAsiaTheme="minorHAnsi"/>
                <w:sz w:val="20"/>
                <w:szCs w:val="20"/>
                <w:lang w:eastAsia="en-US"/>
              </w:rPr>
            </w:pPr>
            <w:r w:rsidRPr="00AC4363">
              <w:rPr>
                <w:rFonts w:eastAsiaTheme="minorHAnsi"/>
                <w:sz w:val="20"/>
                <w:szCs w:val="20"/>
                <w:lang w:eastAsia="en-US"/>
              </w:rPr>
              <w:t>0.697</w:t>
            </w:r>
          </w:p>
        </w:tc>
      </w:tr>
      <w:tr w:rsidR="000220F7" w:rsidRPr="00AC4363" w14:paraId="21BC0BA7" w14:textId="77777777" w:rsidTr="00AC4363">
        <w:tc>
          <w:tcPr>
            <w:tcW w:w="1555" w:type="dxa"/>
            <w:vMerge/>
          </w:tcPr>
          <w:p w14:paraId="6732B4CF" w14:textId="77777777" w:rsidR="000220F7" w:rsidRPr="00AC4363" w:rsidRDefault="000220F7" w:rsidP="00E04C70">
            <w:pPr>
              <w:rPr>
                <w:rFonts w:eastAsiaTheme="minorHAnsi"/>
                <w:sz w:val="20"/>
                <w:szCs w:val="20"/>
                <w:lang w:eastAsia="en-US"/>
              </w:rPr>
            </w:pPr>
          </w:p>
        </w:tc>
        <w:tc>
          <w:tcPr>
            <w:tcW w:w="3969" w:type="dxa"/>
            <w:vAlign w:val="center"/>
          </w:tcPr>
          <w:p w14:paraId="1F4F4789" w14:textId="1A378053" w:rsidR="000220F7" w:rsidRPr="00AC4363" w:rsidRDefault="000220F7" w:rsidP="00E04C70">
            <w:pPr>
              <w:rPr>
                <w:rFonts w:eastAsiaTheme="minorHAnsi"/>
                <w:sz w:val="20"/>
                <w:szCs w:val="20"/>
                <w:lang w:eastAsia="en-US"/>
              </w:rPr>
            </w:pPr>
            <w:r w:rsidRPr="00AC4363">
              <w:rPr>
                <w:rFonts w:eastAsiaTheme="minorHAnsi"/>
                <w:sz w:val="20"/>
                <w:szCs w:val="20"/>
                <w:lang w:eastAsia="en-US"/>
              </w:rPr>
              <w:t>Colaboración interdisciplinaria y transdisciplinaria</w:t>
            </w:r>
          </w:p>
        </w:tc>
        <w:tc>
          <w:tcPr>
            <w:tcW w:w="708" w:type="dxa"/>
            <w:vAlign w:val="center"/>
          </w:tcPr>
          <w:p w14:paraId="3F78208C" w14:textId="564C77B7" w:rsidR="000220F7" w:rsidRPr="00AC4363" w:rsidRDefault="000220F7" w:rsidP="00E04C70">
            <w:pPr>
              <w:rPr>
                <w:rFonts w:eastAsiaTheme="minorHAnsi"/>
                <w:sz w:val="20"/>
                <w:szCs w:val="20"/>
                <w:lang w:eastAsia="en-US"/>
              </w:rPr>
            </w:pPr>
            <w:r w:rsidRPr="00AC4363">
              <w:rPr>
                <w:rFonts w:eastAsiaTheme="minorHAnsi"/>
                <w:sz w:val="20"/>
                <w:szCs w:val="20"/>
                <w:lang w:eastAsia="en-US"/>
              </w:rPr>
              <w:t>0.555</w:t>
            </w:r>
          </w:p>
        </w:tc>
        <w:tc>
          <w:tcPr>
            <w:tcW w:w="709" w:type="dxa"/>
            <w:vAlign w:val="center"/>
          </w:tcPr>
          <w:p w14:paraId="7E856329" w14:textId="0628979A" w:rsidR="000220F7" w:rsidRPr="00AC4363" w:rsidRDefault="000220F7" w:rsidP="00E04C70">
            <w:pPr>
              <w:rPr>
                <w:rFonts w:eastAsiaTheme="minorHAnsi"/>
                <w:sz w:val="20"/>
                <w:szCs w:val="20"/>
                <w:lang w:eastAsia="en-US"/>
              </w:rPr>
            </w:pPr>
            <w:r w:rsidRPr="00AC4363">
              <w:rPr>
                <w:rFonts w:eastAsiaTheme="minorHAnsi"/>
                <w:sz w:val="20"/>
                <w:szCs w:val="20"/>
                <w:lang w:eastAsia="en-US"/>
              </w:rPr>
              <w:t>0.504</w:t>
            </w:r>
          </w:p>
        </w:tc>
        <w:tc>
          <w:tcPr>
            <w:tcW w:w="709" w:type="dxa"/>
          </w:tcPr>
          <w:p w14:paraId="5E3A26F6" w14:textId="77777777" w:rsidR="000220F7" w:rsidRPr="00AC4363" w:rsidRDefault="000220F7" w:rsidP="00E04C70">
            <w:pPr>
              <w:rPr>
                <w:rFonts w:eastAsiaTheme="minorHAnsi"/>
                <w:sz w:val="20"/>
                <w:szCs w:val="20"/>
                <w:lang w:eastAsia="en-US"/>
              </w:rPr>
            </w:pPr>
          </w:p>
        </w:tc>
        <w:tc>
          <w:tcPr>
            <w:tcW w:w="1559" w:type="dxa"/>
          </w:tcPr>
          <w:p w14:paraId="77F58A00" w14:textId="0678C8AC" w:rsidR="000220F7" w:rsidRPr="00AC4363" w:rsidRDefault="000220F7" w:rsidP="00E04C70">
            <w:pPr>
              <w:jc w:val="center"/>
              <w:rPr>
                <w:rFonts w:eastAsiaTheme="minorHAnsi"/>
                <w:sz w:val="20"/>
                <w:szCs w:val="20"/>
                <w:lang w:eastAsia="en-US"/>
              </w:rPr>
            </w:pPr>
            <w:r w:rsidRPr="00AC4363">
              <w:rPr>
                <w:rFonts w:eastAsiaTheme="minorHAnsi"/>
                <w:sz w:val="20"/>
                <w:szCs w:val="20"/>
                <w:lang w:eastAsia="en-US"/>
              </w:rPr>
              <w:t>0.742</w:t>
            </w:r>
          </w:p>
        </w:tc>
      </w:tr>
      <w:tr w:rsidR="000220F7" w:rsidRPr="00AC4363" w14:paraId="7E7A8C26" w14:textId="77777777" w:rsidTr="00AC4363">
        <w:tc>
          <w:tcPr>
            <w:tcW w:w="1555" w:type="dxa"/>
            <w:vMerge/>
          </w:tcPr>
          <w:p w14:paraId="597EB5D1" w14:textId="77777777" w:rsidR="000220F7" w:rsidRPr="00AC4363" w:rsidRDefault="000220F7" w:rsidP="00E04C70">
            <w:pPr>
              <w:rPr>
                <w:rFonts w:eastAsiaTheme="minorHAnsi"/>
                <w:sz w:val="20"/>
                <w:szCs w:val="20"/>
                <w:lang w:eastAsia="en-US"/>
              </w:rPr>
            </w:pPr>
          </w:p>
        </w:tc>
        <w:tc>
          <w:tcPr>
            <w:tcW w:w="3969" w:type="dxa"/>
            <w:vAlign w:val="center"/>
          </w:tcPr>
          <w:p w14:paraId="6D11F5FB" w14:textId="5CFA2BD7" w:rsidR="000220F7" w:rsidRPr="00AC4363" w:rsidRDefault="000220F7" w:rsidP="00E04C70">
            <w:pPr>
              <w:rPr>
                <w:rFonts w:eastAsiaTheme="minorHAnsi"/>
                <w:sz w:val="20"/>
                <w:szCs w:val="20"/>
                <w:lang w:eastAsia="en-US"/>
              </w:rPr>
            </w:pPr>
            <w:r w:rsidRPr="00AC4363">
              <w:rPr>
                <w:rFonts w:eastAsiaTheme="minorHAnsi"/>
                <w:sz w:val="20"/>
                <w:szCs w:val="20"/>
                <w:lang w:eastAsia="en-US"/>
              </w:rPr>
              <w:t>Asertividad en la toma de decisiones*</w:t>
            </w:r>
          </w:p>
        </w:tc>
        <w:tc>
          <w:tcPr>
            <w:tcW w:w="708" w:type="dxa"/>
            <w:vAlign w:val="center"/>
          </w:tcPr>
          <w:p w14:paraId="65167CF7" w14:textId="3C01B654" w:rsidR="000220F7" w:rsidRPr="00AC4363" w:rsidRDefault="000220F7" w:rsidP="00E04C70">
            <w:pPr>
              <w:rPr>
                <w:rFonts w:eastAsiaTheme="minorHAnsi"/>
                <w:sz w:val="20"/>
                <w:szCs w:val="20"/>
                <w:lang w:eastAsia="en-US"/>
              </w:rPr>
            </w:pPr>
            <w:r w:rsidRPr="00AC4363">
              <w:rPr>
                <w:rFonts w:eastAsiaTheme="minorHAnsi"/>
                <w:sz w:val="20"/>
                <w:szCs w:val="20"/>
                <w:lang w:eastAsia="en-US"/>
              </w:rPr>
              <w:t>0.539</w:t>
            </w:r>
          </w:p>
        </w:tc>
        <w:tc>
          <w:tcPr>
            <w:tcW w:w="709" w:type="dxa"/>
            <w:vAlign w:val="center"/>
          </w:tcPr>
          <w:p w14:paraId="2AC50764" w14:textId="39A933B9" w:rsidR="000220F7" w:rsidRPr="00AC4363" w:rsidRDefault="000220F7" w:rsidP="00E04C70">
            <w:pPr>
              <w:rPr>
                <w:rFonts w:eastAsiaTheme="minorHAnsi"/>
                <w:sz w:val="20"/>
                <w:szCs w:val="20"/>
                <w:lang w:eastAsia="en-US"/>
              </w:rPr>
            </w:pPr>
            <w:r w:rsidRPr="00AC4363">
              <w:rPr>
                <w:rFonts w:eastAsiaTheme="minorHAnsi"/>
                <w:sz w:val="20"/>
                <w:szCs w:val="20"/>
                <w:lang w:eastAsia="en-US"/>
              </w:rPr>
              <w:t>0.476</w:t>
            </w:r>
          </w:p>
        </w:tc>
        <w:tc>
          <w:tcPr>
            <w:tcW w:w="709" w:type="dxa"/>
          </w:tcPr>
          <w:p w14:paraId="63B9643D" w14:textId="77777777" w:rsidR="000220F7" w:rsidRPr="00AC4363" w:rsidRDefault="000220F7" w:rsidP="00E04C70">
            <w:pPr>
              <w:rPr>
                <w:rFonts w:eastAsiaTheme="minorHAnsi"/>
                <w:sz w:val="20"/>
                <w:szCs w:val="20"/>
                <w:lang w:eastAsia="en-US"/>
              </w:rPr>
            </w:pPr>
          </w:p>
        </w:tc>
        <w:tc>
          <w:tcPr>
            <w:tcW w:w="1559" w:type="dxa"/>
          </w:tcPr>
          <w:p w14:paraId="5A475AFD" w14:textId="58949596" w:rsidR="000220F7" w:rsidRPr="00AC4363" w:rsidRDefault="000220F7" w:rsidP="00E04C70">
            <w:pPr>
              <w:jc w:val="center"/>
              <w:rPr>
                <w:rFonts w:eastAsiaTheme="minorHAnsi"/>
                <w:sz w:val="20"/>
                <w:szCs w:val="20"/>
                <w:lang w:eastAsia="en-US"/>
              </w:rPr>
            </w:pPr>
            <w:r w:rsidRPr="00AC4363">
              <w:rPr>
                <w:rFonts w:eastAsiaTheme="minorHAnsi"/>
                <w:sz w:val="20"/>
                <w:szCs w:val="20"/>
                <w:lang w:eastAsia="en-US"/>
              </w:rPr>
              <w:t>0.657</w:t>
            </w:r>
          </w:p>
        </w:tc>
      </w:tr>
      <w:tr w:rsidR="000220F7" w:rsidRPr="00AC4363" w14:paraId="06963F92" w14:textId="77777777" w:rsidTr="00AC4363">
        <w:tc>
          <w:tcPr>
            <w:tcW w:w="1555" w:type="dxa"/>
            <w:vMerge/>
          </w:tcPr>
          <w:p w14:paraId="18075113" w14:textId="77777777" w:rsidR="000220F7" w:rsidRPr="00AC4363" w:rsidRDefault="000220F7" w:rsidP="00E04C70">
            <w:pPr>
              <w:rPr>
                <w:rFonts w:eastAsiaTheme="minorHAnsi"/>
                <w:sz w:val="20"/>
                <w:szCs w:val="20"/>
                <w:lang w:eastAsia="en-US"/>
              </w:rPr>
            </w:pPr>
          </w:p>
        </w:tc>
        <w:tc>
          <w:tcPr>
            <w:tcW w:w="3969" w:type="dxa"/>
            <w:vAlign w:val="center"/>
          </w:tcPr>
          <w:p w14:paraId="6BBDF7E1" w14:textId="524FEAA0" w:rsidR="000220F7" w:rsidRPr="00AC4363" w:rsidRDefault="000220F7" w:rsidP="00E04C70">
            <w:pPr>
              <w:rPr>
                <w:rFonts w:eastAsiaTheme="minorHAnsi"/>
                <w:sz w:val="20"/>
                <w:szCs w:val="20"/>
                <w:lang w:eastAsia="en-US"/>
              </w:rPr>
            </w:pPr>
            <w:r w:rsidRPr="00AC4363">
              <w:rPr>
                <w:rFonts w:eastAsiaTheme="minorHAnsi"/>
                <w:sz w:val="20"/>
                <w:szCs w:val="20"/>
                <w:lang w:eastAsia="en-US"/>
              </w:rPr>
              <w:t>Formación reflexiva del desarrollo humano</w:t>
            </w:r>
          </w:p>
        </w:tc>
        <w:tc>
          <w:tcPr>
            <w:tcW w:w="708" w:type="dxa"/>
            <w:vAlign w:val="center"/>
          </w:tcPr>
          <w:p w14:paraId="71DB527E" w14:textId="6071AD68" w:rsidR="000220F7" w:rsidRPr="00AC4363" w:rsidRDefault="000220F7" w:rsidP="00E04C70">
            <w:pPr>
              <w:rPr>
                <w:rFonts w:eastAsiaTheme="minorHAnsi"/>
                <w:sz w:val="20"/>
                <w:szCs w:val="20"/>
                <w:lang w:eastAsia="en-US"/>
              </w:rPr>
            </w:pPr>
            <w:r w:rsidRPr="00AC4363">
              <w:rPr>
                <w:rFonts w:eastAsiaTheme="minorHAnsi"/>
                <w:sz w:val="20"/>
                <w:szCs w:val="20"/>
                <w:lang w:eastAsia="en-US"/>
              </w:rPr>
              <w:t>0.540</w:t>
            </w:r>
          </w:p>
        </w:tc>
        <w:tc>
          <w:tcPr>
            <w:tcW w:w="709" w:type="dxa"/>
            <w:vAlign w:val="center"/>
          </w:tcPr>
          <w:p w14:paraId="05F8B139" w14:textId="714B04A5" w:rsidR="000220F7" w:rsidRPr="00AC4363" w:rsidRDefault="000220F7" w:rsidP="00E04C70">
            <w:pPr>
              <w:rPr>
                <w:rFonts w:eastAsiaTheme="minorHAnsi"/>
                <w:sz w:val="20"/>
                <w:szCs w:val="20"/>
                <w:lang w:eastAsia="en-US"/>
              </w:rPr>
            </w:pPr>
            <w:r w:rsidRPr="00AC4363">
              <w:rPr>
                <w:rFonts w:eastAsiaTheme="minorHAnsi"/>
                <w:sz w:val="20"/>
                <w:szCs w:val="20"/>
                <w:lang w:eastAsia="en-US"/>
              </w:rPr>
              <w:t>0.651</w:t>
            </w:r>
          </w:p>
        </w:tc>
        <w:tc>
          <w:tcPr>
            <w:tcW w:w="709" w:type="dxa"/>
          </w:tcPr>
          <w:p w14:paraId="30B39E84" w14:textId="77777777" w:rsidR="000220F7" w:rsidRPr="00AC4363" w:rsidRDefault="000220F7" w:rsidP="00E04C70">
            <w:pPr>
              <w:rPr>
                <w:rFonts w:eastAsiaTheme="minorHAnsi"/>
                <w:sz w:val="20"/>
                <w:szCs w:val="20"/>
                <w:lang w:eastAsia="en-US"/>
              </w:rPr>
            </w:pPr>
          </w:p>
        </w:tc>
        <w:tc>
          <w:tcPr>
            <w:tcW w:w="1559" w:type="dxa"/>
          </w:tcPr>
          <w:p w14:paraId="75D4FA61" w14:textId="0822AA62" w:rsidR="000220F7" w:rsidRPr="00AC4363" w:rsidRDefault="000220F7" w:rsidP="00E04C70">
            <w:pPr>
              <w:jc w:val="center"/>
              <w:rPr>
                <w:rFonts w:eastAsiaTheme="minorHAnsi"/>
                <w:sz w:val="20"/>
                <w:szCs w:val="20"/>
                <w:lang w:eastAsia="en-US"/>
              </w:rPr>
            </w:pPr>
            <w:r w:rsidRPr="00AC4363">
              <w:rPr>
                <w:rFonts w:eastAsiaTheme="minorHAnsi"/>
                <w:sz w:val="20"/>
                <w:szCs w:val="20"/>
                <w:lang w:eastAsia="en-US"/>
              </w:rPr>
              <w:t>0.618</w:t>
            </w:r>
          </w:p>
        </w:tc>
      </w:tr>
      <w:tr w:rsidR="000220F7" w:rsidRPr="00AC4363" w14:paraId="533F64FE" w14:textId="77777777" w:rsidTr="00AC4363">
        <w:tc>
          <w:tcPr>
            <w:tcW w:w="1555" w:type="dxa"/>
            <w:vMerge/>
          </w:tcPr>
          <w:p w14:paraId="044B0570" w14:textId="77777777" w:rsidR="000220F7" w:rsidRPr="00AC4363" w:rsidRDefault="000220F7" w:rsidP="00AE4243">
            <w:pPr>
              <w:rPr>
                <w:rFonts w:eastAsiaTheme="minorHAnsi"/>
                <w:sz w:val="20"/>
                <w:szCs w:val="20"/>
                <w:lang w:eastAsia="en-US"/>
              </w:rPr>
            </w:pPr>
          </w:p>
        </w:tc>
        <w:tc>
          <w:tcPr>
            <w:tcW w:w="3969" w:type="dxa"/>
            <w:vAlign w:val="center"/>
          </w:tcPr>
          <w:p w14:paraId="4D1C5EB2" w14:textId="11650A26" w:rsidR="000220F7" w:rsidRPr="00AC4363" w:rsidRDefault="000220F7" w:rsidP="00AE4243">
            <w:pPr>
              <w:rPr>
                <w:rFonts w:eastAsiaTheme="minorHAnsi"/>
                <w:sz w:val="20"/>
                <w:szCs w:val="20"/>
                <w:lang w:eastAsia="en-US"/>
              </w:rPr>
            </w:pPr>
            <w:r w:rsidRPr="00AC4363">
              <w:rPr>
                <w:rFonts w:eastAsiaTheme="minorHAnsi"/>
                <w:sz w:val="20"/>
                <w:szCs w:val="20"/>
                <w:lang w:eastAsia="en-US"/>
              </w:rPr>
              <w:t>Iniciativa para reducir impacto ambiental</w:t>
            </w:r>
          </w:p>
        </w:tc>
        <w:tc>
          <w:tcPr>
            <w:tcW w:w="708" w:type="dxa"/>
            <w:vAlign w:val="center"/>
          </w:tcPr>
          <w:p w14:paraId="5469B7AB" w14:textId="77777777" w:rsidR="000220F7" w:rsidRPr="00AC4363" w:rsidRDefault="000220F7" w:rsidP="00AE4243">
            <w:pPr>
              <w:rPr>
                <w:rFonts w:eastAsiaTheme="minorHAnsi"/>
                <w:sz w:val="20"/>
                <w:szCs w:val="20"/>
                <w:lang w:eastAsia="en-US"/>
              </w:rPr>
            </w:pPr>
          </w:p>
        </w:tc>
        <w:tc>
          <w:tcPr>
            <w:tcW w:w="709" w:type="dxa"/>
            <w:vAlign w:val="center"/>
          </w:tcPr>
          <w:p w14:paraId="76B7EF43" w14:textId="3E26FE78" w:rsidR="000220F7" w:rsidRPr="00AC4363" w:rsidRDefault="000220F7" w:rsidP="00AE4243">
            <w:pPr>
              <w:rPr>
                <w:rFonts w:eastAsiaTheme="minorHAnsi"/>
                <w:sz w:val="20"/>
                <w:szCs w:val="20"/>
                <w:lang w:eastAsia="en-US"/>
              </w:rPr>
            </w:pPr>
            <w:r w:rsidRPr="00AC4363">
              <w:rPr>
                <w:rFonts w:eastAsiaTheme="minorHAnsi"/>
                <w:sz w:val="20"/>
                <w:szCs w:val="20"/>
                <w:lang w:eastAsia="en-US"/>
              </w:rPr>
              <w:t>0.730</w:t>
            </w:r>
          </w:p>
        </w:tc>
        <w:tc>
          <w:tcPr>
            <w:tcW w:w="709" w:type="dxa"/>
          </w:tcPr>
          <w:p w14:paraId="0962DCDF" w14:textId="77777777" w:rsidR="000220F7" w:rsidRPr="00AC4363" w:rsidRDefault="000220F7" w:rsidP="00AE4243">
            <w:pPr>
              <w:rPr>
                <w:rFonts w:eastAsiaTheme="minorHAnsi"/>
                <w:sz w:val="20"/>
                <w:szCs w:val="20"/>
                <w:lang w:eastAsia="en-US"/>
              </w:rPr>
            </w:pPr>
          </w:p>
        </w:tc>
        <w:tc>
          <w:tcPr>
            <w:tcW w:w="1559" w:type="dxa"/>
          </w:tcPr>
          <w:p w14:paraId="30C01055" w14:textId="2D3643BF" w:rsidR="000220F7" w:rsidRPr="00AC4363" w:rsidRDefault="000220F7" w:rsidP="00AE4243">
            <w:pPr>
              <w:jc w:val="center"/>
              <w:rPr>
                <w:rFonts w:eastAsiaTheme="minorHAnsi"/>
                <w:sz w:val="20"/>
                <w:szCs w:val="20"/>
                <w:lang w:eastAsia="en-US"/>
              </w:rPr>
            </w:pPr>
            <w:r w:rsidRPr="00AC4363">
              <w:rPr>
                <w:rFonts w:eastAsiaTheme="minorHAnsi"/>
                <w:sz w:val="20"/>
                <w:szCs w:val="20"/>
                <w:lang w:eastAsia="en-US"/>
              </w:rPr>
              <w:t>0.763</w:t>
            </w:r>
          </w:p>
        </w:tc>
      </w:tr>
      <w:tr w:rsidR="000220F7" w:rsidRPr="00AC4363" w14:paraId="16A4EFC0" w14:textId="77777777" w:rsidTr="00AC4363">
        <w:tc>
          <w:tcPr>
            <w:tcW w:w="1555" w:type="dxa"/>
            <w:vMerge/>
          </w:tcPr>
          <w:p w14:paraId="305903EF" w14:textId="77777777" w:rsidR="000220F7" w:rsidRPr="00AC4363" w:rsidRDefault="000220F7" w:rsidP="00AE4243">
            <w:pPr>
              <w:rPr>
                <w:rFonts w:eastAsiaTheme="minorHAnsi"/>
                <w:sz w:val="20"/>
                <w:szCs w:val="20"/>
                <w:lang w:eastAsia="en-US"/>
              </w:rPr>
            </w:pPr>
          </w:p>
        </w:tc>
        <w:tc>
          <w:tcPr>
            <w:tcW w:w="3969" w:type="dxa"/>
            <w:vAlign w:val="center"/>
          </w:tcPr>
          <w:p w14:paraId="61F8A2F1" w14:textId="6DE136E3" w:rsidR="000220F7" w:rsidRPr="00AC4363" w:rsidRDefault="000220F7" w:rsidP="00AE4243">
            <w:pPr>
              <w:rPr>
                <w:rFonts w:eastAsiaTheme="minorHAnsi"/>
                <w:sz w:val="20"/>
                <w:szCs w:val="20"/>
                <w:lang w:eastAsia="en-US"/>
              </w:rPr>
            </w:pPr>
            <w:r w:rsidRPr="00AC4363">
              <w:rPr>
                <w:rFonts w:eastAsiaTheme="minorHAnsi"/>
                <w:sz w:val="20"/>
                <w:szCs w:val="20"/>
                <w:lang w:eastAsia="en-US"/>
              </w:rPr>
              <w:t>Administración de la resiliencia*</w:t>
            </w:r>
          </w:p>
        </w:tc>
        <w:tc>
          <w:tcPr>
            <w:tcW w:w="708" w:type="dxa"/>
            <w:vAlign w:val="center"/>
          </w:tcPr>
          <w:p w14:paraId="1A8FDD75" w14:textId="12DCEF96" w:rsidR="000220F7" w:rsidRPr="00AC4363" w:rsidRDefault="000220F7" w:rsidP="00AE4243">
            <w:pPr>
              <w:rPr>
                <w:rFonts w:eastAsiaTheme="minorHAnsi"/>
                <w:sz w:val="20"/>
                <w:szCs w:val="20"/>
                <w:lang w:eastAsia="en-US"/>
              </w:rPr>
            </w:pPr>
            <w:r w:rsidRPr="00AC4363">
              <w:rPr>
                <w:rFonts w:eastAsiaTheme="minorHAnsi"/>
                <w:sz w:val="20"/>
                <w:szCs w:val="20"/>
                <w:lang w:eastAsia="en-US"/>
              </w:rPr>
              <w:t>0.460</w:t>
            </w:r>
          </w:p>
        </w:tc>
        <w:tc>
          <w:tcPr>
            <w:tcW w:w="709" w:type="dxa"/>
            <w:vAlign w:val="center"/>
          </w:tcPr>
          <w:p w14:paraId="1C2F862E" w14:textId="58E8FE40" w:rsidR="000220F7" w:rsidRPr="00AC4363" w:rsidRDefault="000220F7" w:rsidP="00AE4243">
            <w:pPr>
              <w:rPr>
                <w:rFonts w:eastAsiaTheme="minorHAnsi"/>
                <w:sz w:val="20"/>
                <w:szCs w:val="20"/>
                <w:lang w:eastAsia="en-US"/>
              </w:rPr>
            </w:pPr>
            <w:r w:rsidRPr="00AC4363">
              <w:rPr>
                <w:rFonts w:eastAsiaTheme="minorHAnsi"/>
                <w:sz w:val="20"/>
                <w:szCs w:val="20"/>
                <w:lang w:eastAsia="en-US"/>
              </w:rPr>
              <w:t>0.554</w:t>
            </w:r>
          </w:p>
        </w:tc>
        <w:tc>
          <w:tcPr>
            <w:tcW w:w="709" w:type="dxa"/>
          </w:tcPr>
          <w:p w14:paraId="663B60C9" w14:textId="0BF5F195" w:rsidR="000220F7" w:rsidRPr="00AC4363" w:rsidRDefault="000220F7" w:rsidP="00AE4243">
            <w:pPr>
              <w:rPr>
                <w:rFonts w:eastAsiaTheme="minorHAnsi"/>
                <w:sz w:val="20"/>
                <w:szCs w:val="20"/>
                <w:lang w:eastAsia="en-US"/>
              </w:rPr>
            </w:pPr>
            <w:r w:rsidRPr="00AC4363">
              <w:rPr>
                <w:rFonts w:eastAsiaTheme="minorHAnsi"/>
                <w:sz w:val="20"/>
                <w:szCs w:val="20"/>
                <w:lang w:eastAsia="en-US"/>
              </w:rPr>
              <w:t>0.403</w:t>
            </w:r>
          </w:p>
        </w:tc>
        <w:tc>
          <w:tcPr>
            <w:tcW w:w="1559" w:type="dxa"/>
          </w:tcPr>
          <w:p w14:paraId="0EFCE334" w14:textId="7B8860CB" w:rsidR="000220F7" w:rsidRPr="00AC4363" w:rsidRDefault="000220F7" w:rsidP="00AE4243">
            <w:pPr>
              <w:jc w:val="center"/>
              <w:rPr>
                <w:rFonts w:eastAsiaTheme="minorHAnsi"/>
                <w:sz w:val="20"/>
                <w:szCs w:val="20"/>
                <w:lang w:eastAsia="en-US"/>
              </w:rPr>
            </w:pPr>
            <w:r w:rsidRPr="00AC4363">
              <w:rPr>
                <w:rFonts w:eastAsiaTheme="minorHAnsi"/>
                <w:sz w:val="20"/>
                <w:szCs w:val="20"/>
                <w:lang w:eastAsia="en-US"/>
              </w:rPr>
              <w:t>0.672</w:t>
            </w:r>
          </w:p>
        </w:tc>
      </w:tr>
      <w:tr w:rsidR="00AE4243" w:rsidRPr="00AC4363" w14:paraId="73EECFFC" w14:textId="3CFA9DBC" w:rsidTr="00AC4363">
        <w:tc>
          <w:tcPr>
            <w:tcW w:w="1555" w:type="dxa"/>
            <w:vMerge w:val="restart"/>
          </w:tcPr>
          <w:p w14:paraId="02B43D3B" w14:textId="77777777" w:rsidR="00AE4243" w:rsidRPr="00AC4363" w:rsidRDefault="00AE4243" w:rsidP="00AE4243">
            <w:pPr>
              <w:rPr>
                <w:rFonts w:eastAsiaTheme="minorHAnsi"/>
                <w:sz w:val="20"/>
                <w:szCs w:val="20"/>
                <w:lang w:eastAsia="en-US"/>
              </w:rPr>
            </w:pPr>
          </w:p>
          <w:p w14:paraId="57B86711" w14:textId="77777777" w:rsidR="00AE4243" w:rsidRPr="00AC4363" w:rsidRDefault="00AE4243" w:rsidP="00AE4243">
            <w:pPr>
              <w:rPr>
                <w:rFonts w:eastAsiaTheme="minorHAnsi"/>
                <w:sz w:val="20"/>
                <w:szCs w:val="20"/>
                <w:lang w:eastAsia="en-US"/>
              </w:rPr>
            </w:pPr>
          </w:p>
          <w:p w14:paraId="52CD6494" w14:textId="546EBBC4" w:rsidR="00AE4243" w:rsidRPr="00AC4363" w:rsidRDefault="00AE4243" w:rsidP="00AE4243">
            <w:pPr>
              <w:rPr>
                <w:rFonts w:eastAsiaTheme="minorHAnsi"/>
                <w:sz w:val="20"/>
                <w:szCs w:val="20"/>
                <w:lang w:eastAsia="en-US"/>
              </w:rPr>
            </w:pPr>
            <w:r w:rsidRPr="00AC4363">
              <w:rPr>
                <w:rFonts w:eastAsiaTheme="minorHAnsi"/>
                <w:sz w:val="20"/>
                <w:szCs w:val="20"/>
                <w:lang w:eastAsia="en-US"/>
              </w:rPr>
              <w:t xml:space="preserve">Responsabilidad </w:t>
            </w:r>
            <w:r w:rsidR="000220F7" w:rsidRPr="00AC4363">
              <w:rPr>
                <w:rFonts w:eastAsiaTheme="minorHAnsi"/>
                <w:sz w:val="20"/>
                <w:szCs w:val="20"/>
                <w:lang w:eastAsia="en-US"/>
              </w:rPr>
              <w:t>social y ambienta</w:t>
            </w:r>
            <w:r w:rsidR="00CE79DD" w:rsidRPr="00AC4363">
              <w:rPr>
                <w:rFonts w:eastAsiaTheme="minorHAnsi"/>
                <w:sz w:val="20"/>
                <w:szCs w:val="20"/>
                <w:lang w:eastAsia="en-US"/>
              </w:rPr>
              <w:t>l</w:t>
            </w:r>
          </w:p>
          <w:p w14:paraId="091A0FE8" w14:textId="3EB00B36" w:rsidR="00AE4243" w:rsidRPr="00AC4363" w:rsidRDefault="00AE4243" w:rsidP="00AE4243">
            <w:pPr>
              <w:rPr>
                <w:rFonts w:eastAsiaTheme="minorHAnsi"/>
                <w:sz w:val="20"/>
                <w:szCs w:val="20"/>
                <w:lang w:eastAsia="en-US"/>
              </w:rPr>
            </w:pPr>
          </w:p>
        </w:tc>
        <w:tc>
          <w:tcPr>
            <w:tcW w:w="3969" w:type="dxa"/>
            <w:vAlign w:val="center"/>
          </w:tcPr>
          <w:p w14:paraId="47E0E5A9" w14:textId="4194BB5A" w:rsidR="00AE4243" w:rsidRPr="00AC4363" w:rsidRDefault="00AE4243" w:rsidP="00AE4243">
            <w:pPr>
              <w:rPr>
                <w:rFonts w:eastAsiaTheme="minorHAnsi"/>
                <w:sz w:val="20"/>
                <w:szCs w:val="20"/>
                <w:lang w:eastAsia="en-US"/>
              </w:rPr>
            </w:pPr>
            <w:r w:rsidRPr="00AC4363">
              <w:rPr>
                <w:rFonts w:eastAsiaTheme="minorHAnsi"/>
                <w:sz w:val="20"/>
                <w:szCs w:val="20"/>
                <w:lang w:eastAsia="en-US"/>
              </w:rPr>
              <w:t>Responsabilidad ética y moral</w:t>
            </w:r>
          </w:p>
        </w:tc>
        <w:tc>
          <w:tcPr>
            <w:tcW w:w="708" w:type="dxa"/>
            <w:vAlign w:val="center"/>
          </w:tcPr>
          <w:p w14:paraId="19D76EF2" w14:textId="77777777" w:rsidR="00AE4243" w:rsidRPr="00AC4363" w:rsidRDefault="00AE4243" w:rsidP="00AE4243">
            <w:pPr>
              <w:rPr>
                <w:rFonts w:eastAsiaTheme="minorHAnsi"/>
                <w:sz w:val="20"/>
                <w:szCs w:val="20"/>
                <w:lang w:eastAsia="en-US"/>
              </w:rPr>
            </w:pPr>
          </w:p>
        </w:tc>
        <w:tc>
          <w:tcPr>
            <w:tcW w:w="709" w:type="dxa"/>
            <w:vAlign w:val="center"/>
          </w:tcPr>
          <w:p w14:paraId="78C7F8A0" w14:textId="5672247D" w:rsidR="00AE4243" w:rsidRPr="00AC4363" w:rsidRDefault="00AE4243" w:rsidP="00AE4243">
            <w:pPr>
              <w:rPr>
                <w:rFonts w:eastAsiaTheme="minorHAnsi"/>
                <w:sz w:val="20"/>
                <w:szCs w:val="20"/>
                <w:lang w:eastAsia="en-US"/>
              </w:rPr>
            </w:pPr>
            <w:r w:rsidRPr="00AC4363">
              <w:rPr>
                <w:rFonts w:eastAsiaTheme="minorHAnsi"/>
                <w:sz w:val="20"/>
                <w:szCs w:val="20"/>
                <w:lang w:eastAsia="en-US"/>
              </w:rPr>
              <w:t>0.720</w:t>
            </w:r>
          </w:p>
        </w:tc>
        <w:tc>
          <w:tcPr>
            <w:tcW w:w="709" w:type="dxa"/>
          </w:tcPr>
          <w:p w14:paraId="2A9A139A" w14:textId="77777777" w:rsidR="00AE4243" w:rsidRPr="00AC4363" w:rsidRDefault="00AE4243" w:rsidP="00AE4243">
            <w:pPr>
              <w:rPr>
                <w:rFonts w:eastAsiaTheme="minorHAnsi"/>
                <w:sz w:val="20"/>
                <w:szCs w:val="20"/>
                <w:lang w:eastAsia="en-US"/>
              </w:rPr>
            </w:pPr>
          </w:p>
        </w:tc>
        <w:tc>
          <w:tcPr>
            <w:tcW w:w="1559" w:type="dxa"/>
          </w:tcPr>
          <w:p w14:paraId="758203E5" w14:textId="2B53304F" w:rsidR="00AE4243" w:rsidRPr="00AC4363" w:rsidRDefault="00AE4243" w:rsidP="00AE4243">
            <w:pPr>
              <w:jc w:val="center"/>
              <w:rPr>
                <w:rFonts w:eastAsiaTheme="minorHAnsi"/>
                <w:sz w:val="20"/>
                <w:szCs w:val="20"/>
                <w:lang w:eastAsia="en-US"/>
              </w:rPr>
            </w:pPr>
            <w:r w:rsidRPr="00AC4363">
              <w:rPr>
                <w:rFonts w:eastAsiaTheme="minorHAnsi"/>
                <w:sz w:val="20"/>
                <w:szCs w:val="20"/>
                <w:lang w:eastAsia="en-US"/>
              </w:rPr>
              <w:t>0.679</w:t>
            </w:r>
          </w:p>
        </w:tc>
      </w:tr>
      <w:tr w:rsidR="00AE4243" w:rsidRPr="00AC4363" w14:paraId="0B87C4BB" w14:textId="17DC56CA" w:rsidTr="00AC4363">
        <w:tc>
          <w:tcPr>
            <w:tcW w:w="1555" w:type="dxa"/>
            <w:vMerge/>
          </w:tcPr>
          <w:p w14:paraId="2BADFCF8" w14:textId="77777777" w:rsidR="00AE4243" w:rsidRPr="00AC4363" w:rsidRDefault="00AE4243" w:rsidP="00AE4243">
            <w:pPr>
              <w:rPr>
                <w:rFonts w:eastAsiaTheme="minorHAnsi"/>
                <w:sz w:val="20"/>
                <w:szCs w:val="20"/>
                <w:lang w:eastAsia="en-US"/>
              </w:rPr>
            </w:pPr>
          </w:p>
        </w:tc>
        <w:tc>
          <w:tcPr>
            <w:tcW w:w="3969" w:type="dxa"/>
            <w:vAlign w:val="center"/>
          </w:tcPr>
          <w:p w14:paraId="4CCE8AD6" w14:textId="66C5A800" w:rsidR="00AE4243" w:rsidRPr="00AC4363" w:rsidRDefault="00AE4243" w:rsidP="00AE4243">
            <w:pPr>
              <w:rPr>
                <w:rFonts w:eastAsiaTheme="minorHAnsi"/>
                <w:sz w:val="20"/>
                <w:szCs w:val="20"/>
                <w:lang w:eastAsia="en-US"/>
              </w:rPr>
            </w:pPr>
            <w:r w:rsidRPr="00AC4363">
              <w:rPr>
                <w:rFonts w:eastAsiaTheme="minorHAnsi"/>
                <w:sz w:val="20"/>
                <w:szCs w:val="20"/>
                <w:lang w:eastAsia="en-US"/>
              </w:rPr>
              <w:t>Fomento de la concientización ambiental*</w:t>
            </w:r>
          </w:p>
        </w:tc>
        <w:tc>
          <w:tcPr>
            <w:tcW w:w="708" w:type="dxa"/>
            <w:vAlign w:val="center"/>
          </w:tcPr>
          <w:p w14:paraId="2AB11E4B" w14:textId="77777777" w:rsidR="00AE4243" w:rsidRPr="00AC4363" w:rsidRDefault="00AE4243" w:rsidP="00AE4243">
            <w:pPr>
              <w:rPr>
                <w:rFonts w:eastAsiaTheme="minorHAnsi"/>
                <w:sz w:val="20"/>
                <w:szCs w:val="20"/>
                <w:lang w:eastAsia="en-US"/>
              </w:rPr>
            </w:pPr>
          </w:p>
        </w:tc>
        <w:tc>
          <w:tcPr>
            <w:tcW w:w="709" w:type="dxa"/>
            <w:vAlign w:val="center"/>
          </w:tcPr>
          <w:p w14:paraId="67E3E1F5" w14:textId="73EEC33F" w:rsidR="00AE4243" w:rsidRPr="00AC4363" w:rsidRDefault="00AE4243" w:rsidP="00AE4243">
            <w:pPr>
              <w:rPr>
                <w:rFonts w:eastAsiaTheme="minorHAnsi"/>
                <w:sz w:val="20"/>
                <w:szCs w:val="20"/>
                <w:lang w:eastAsia="en-US"/>
              </w:rPr>
            </w:pPr>
            <w:r w:rsidRPr="00AC4363">
              <w:rPr>
                <w:rFonts w:eastAsiaTheme="minorHAnsi"/>
                <w:sz w:val="20"/>
                <w:szCs w:val="20"/>
                <w:lang w:eastAsia="en-US"/>
              </w:rPr>
              <w:t>0.751</w:t>
            </w:r>
          </w:p>
        </w:tc>
        <w:tc>
          <w:tcPr>
            <w:tcW w:w="709" w:type="dxa"/>
          </w:tcPr>
          <w:p w14:paraId="2C60757B" w14:textId="77777777" w:rsidR="00AE4243" w:rsidRPr="00AC4363" w:rsidRDefault="00AE4243" w:rsidP="00AE4243">
            <w:pPr>
              <w:rPr>
                <w:rFonts w:eastAsiaTheme="minorHAnsi"/>
                <w:sz w:val="20"/>
                <w:szCs w:val="20"/>
                <w:lang w:eastAsia="en-US"/>
              </w:rPr>
            </w:pPr>
          </w:p>
        </w:tc>
        <w:tc>
          <w:tcPr>
            <w:tcW w:w="1559" w:type="dxa"/>
          </w:tcPr>
          <w:p w14:paraId="7AFA3AC0" w14:textId="15D0038E" w:rsidR="00AE4243" w:rsidRPr="00AC4363" w:rsidRDefault="00AE4243" w:rsidP="00AE4243">
            <w:pPr>
              <w:jc w:val="center"/>
              <w:rPr>
                <w:rFonts w:eastAsiaTheme="minorHAnsi"/>
                <w:sz w:val="20"/>
                <w:szCs w:val="20"/>
                <w:lang w:eastAsia="en-US"/>
              </w:rPr>
            </w:pPr>
            <w:r w:rsidRPr="00AC4363">
              <w:rPr>
                <w:rFonts w:eastAsiaTheme="minorHAnsi"/>
                <w:sz w:val="20"/>
                <w:szCs w:val="20"/>
                <w:lang w:eastAsia="en-US"/>
              </w:rPr>
              <w:t>0.741</w:t>
            </w:r>
          </w:p>
        </w:tc>
      </w:tr>
      <w:tr w:rsidR="00AE4243" w:rsidRPr="00AC4363" w14:paraId="588CDCA6" w14:textId="6CACE0DE" w:rsidTr="00AC4363">
        <w:tc>
          <w:tcPr>
            <w:tcW w:w="1555" w:type="dxa"/>
            <w:vMerge/>
          </w:tcPr>
          <w:p w14:paraId="7292F3A0" w14:textId="77777777" w:rsidR="00AE4243" w:rsidRPr="00AC4363" w:rsidRDefault="00AE4243" w:rsidP="00AE4243">
            <w:pPr>
              <w:rPr>
                <w:rFonts w:eastAsiaTheme="minorHAnsi"/>
                <w:sz w:val="20"/>
                <w:szCs w:val="20"/>
                <w:lang w:eastAsia="en-US"/>
              </w:rPr>
            </w:pPr>
          </w:p>
        </w:tc>
        <w:tc>
          <w:tcPr>
            <w:tcW w:w="3969" w:type="dxa"/>
            <w:vAlign w:val="center"/>
          </w:tcPr>
          <w:p w14:paraId="0A993C16" w14:textId="47CB0654" w:rsidR="00AE4243" w:rsidRPr="00AC4363" w:rsidRDefault="00AE4243" w:rsidP="00AE4243">
            <w:pPr>
              <w:rPr>
                <w:rFonts w:eastAsiaTheme="minorHAnsi"/>
                <w:sz w:val="20"/>
                <w:szCs w:val="20"/>
                <w:lang w:eastAsia="en-US"/>
              </w:rPr>
            </w:pPr>
            <w:r w:rsidRPr="00AC4363">
              <w:rPr>
                <w:rFonts w:eastAsiaTheme="minorHAnsi"/>
                <w:sz w:val="20"/>
                <w:szCs w:val="20"/>
                <w:lang w:eastAsia="en-US"/>
              </w:rPr>
              <w:t>Indicadores de calidad ambiental*</w:t>
            </w:r>
          </w:p>
        </w:tc>
        <w:tc>
          <w:tcPr>
            <w:tcW w:w="708" w:type="dxa"/>
            <w:vAlign w:val="center"/>
          </w:tcPr>
          <w:p w14:paraId="33A2CE51" w14:textId="77777777" w:rsidR="00AE4243" w:rsidRPr="00AC4363" w:rsidRDefault="00AE4243" w:rsidP="00AE4243">
            <w:pPr>
              <w:rPr>
                <w:rFonts w:eastAsiaTheme="minorHAnsi"/>
                <w:sz w:val="20"/>
                <w:szCs w:val="20"/>
                <w:lang w:eastAsia="en-US"/>
              </w:rPr>
            </w:pPr>
          </w:p>
        </w:tc>
        <w:tc>
          <w:tcPr>
            <w:tcW w:w="709" w:type="dxa"/>
            <w:vAlign w:val="center"/>
          </w:tcPr>
          <w:p w14:paraId="07D1C75B" w14:textId="29C5410C" w:rsidR="00AE4243" w:rsidRPr="00AC4363" w:rsidRDefault="00AE4243" w:rsidP="00AE4243">
            <w:pPr>
              <w:rPr>
                <w:rFonts w:eastAsiaTheme="minorHAnsi"/>
                <w:sz w:val="20"/>
                <w:szCs w:val="20"/>
                <w:lang w:eastAsia="en-US"/>
              </w:rPr>
            </w:pPr>
            <w:r w:rsidRPr="00AC4363">
              <w:rPr>
                <w:rFonts w:eastAsiaTheme="minorHAnsi"/>
                <w:sz w:val="20"/>
                <w:szCs w:val="20"/>
                <w:lang w:eastAsia="en-US"/>
              </w:rPr>
              <w:t>0.671</w:t>
            </w:r>
          </w:p>
        </w:tc>
        <w:tc>
          <w:tcPr>
            <w:tcW w:w="709" w:type="dxa"/>
          </w:tcPr>
          <w:p w14:paraId="15D99DF1" w14:textId="6502A5FE" w:rsidR="00AE4243" w:rsidRPr="00AC4363" w:rsidRDefault="00AE4243" w:rsidP="00AE4243">
            <w:pPr>
              <w:rPr>
                <w:rFonts w:eastAsiaTheme="minorHAnsi"/>
                <w:sz w:val="20"/>
                <w:szCs w:val="20"/>
                <w:lang w:eastAsia="en-US"/>
              </w:rPr>
            </w:pPr>
            <w:r w:rsidRPr="00AC4363">
              <w:rPr>
                <w:rFonts w:eastAsiaTheme="minorHAnsi"/>
                <w:sz w:val="20"/>
                <w:szCs w:val="20"/>
                <w:lang w:eastAsia="en-US"/>
              </w:rPr>
              <w:t>0.425</w:t>
            </w:r>
          </w:p>
        </w:tc>
        <w:tc>
          <w:tcPr>
            <w:tcW w:w="1559" w:type="dxa"/>
          </w:tcPr>
          <w:p w14:paraId="3F3B8E13" w14:textId="067C9D76" w:rsidR="00AE4243" w:rsidRPr="00AC4363" w:rsidRDefault="00AE4243" w:rsidP="00AE4243">
            <w:pPr>
              <w:jc w:val="center"/>
              <w:rPr>
                <w:rFonts w:eastAsiaTheme="minorHAnsi"/>
                <w:sz w:val="20"/>
                <w:szCs w:val="20"/>
                <w:lang w:eastAsia="en-US"/>
              </w:rPr>
            </w:pPr>
            <w:r w:rsidRPr="00AC4363">
              <w:rPr>
                <w:rFonts w:eastAsiaTheme="minorHAnsi"/>
                <w:sz w:val="20"/>
                <w:szCs w:val="20"/>
                <w:lang w:eastAsia="en-US"/>
              </w:rPr>
              <w:t>0.753</w:t>
            </w:r>
          </w:p>
        </w:tc>
      </w:tr>
      <w:tr w:rsidR="00AE4243" w:rsidRPr="00AC4363" w14:paraId="70334868" w14:textId="6AC63841" w:rsidTr="00AC4363">
        <w:tc>
          <w:tcPr>
            <w:tcW w:w="1555" w:type="dxa"/>
            <w:vMerge/>
          </w:tcPr>
          <w:p w14:paraId="2EF9ABB1" w14:textId="77777777" w:rsidR="00AE4243" w:rsidRPr="00AC4363" w:rsidRDefault="00AE4243" w:rsidP="00AE4243">
            <w:pPr>
              <w:rPr>
                <w:rFonts w:eastAsiaTheme="minorHAnsi"/>
                <w:sz w:val="20"/>
                <w:szCs w:val="20"/>
                <w:lang w:eastAsia="en-US"/>
              </w:rPr>
            </w:pPr>
          </w:p>
        </w:tc>
        <w:tc>
          <w:tcPr>
            <w:tcW w:w="3969" w:type="dxa"/>
            <w:vAlign w:val="center"/>
          </w:tcPr>
          <w:p w14:paraId="3B3C618B" w14:textId="52BEA7CB" w:rsidR="00AE4243" w:rsidRPr="00AC4363" w:rsidRDefault="00AE4243" w:rsidP="00AE4243">
            <w:pPr>
              <w:rPr>
                <w:rFonts w:eastAsiaTheme="minorHAnsi"/>
                <w:sz w:val="20"/>
                <w:szCs w:val="20"/>
                <w:lang w:eastAsia="en-US"/>
              </w:rPr>
            </w:pPr>
            <w:r w:rsidRPr="00AC4363">
              <w:rPr>
                <w:rFonts w:eastAsiaTheme="minorHAnsi"/>
                <w:sz w:val="20"/>
                <w:szCs w:val="20"/>
                <w:lang w:eastAsia="en-US"/>
              </w:rPr>
              <w:t>Toma de conciencia del impacto del proyecto*</w:t>
            </w:r>
          </w:p>
        </w:tc>
        <w:tc>
          <w:tcPr>
            <w:tcW w:w="708" w:type="dxa"/>
            <w:vAlign w:val="center"/>
          </w:tcPr>
          <w:p w14:paraId="1676ECD6" w14:textId="7BF1349A" w:rsidR="00AE4243" w:rsidRPr="00AC4363" w:rsidRDefault="00AE4243" w:rsidP="00AE4243">
            <w:pPr>
              <w:rPr>
                <w:rFonts w:eastAsiaTheme="minorHAnsi"/>
                <w:sz w:val="20"/>
                <w:szCs w:val="20"/>
                <w:lang w:eastAsia="en-US"/>
              </w:rPr>
            </w:pPr>
            <w:r w:rsidRPr="00AC4363">
              <w:rPr>
                <w:rFonts w:eastAsiaTheme="minorHAnsi"/>
                <w:sz w:val="20"/>
                <w:szCs w:val="20"/>
                <w:lang w:eastAsia="en-US"/>
              </w:rPr>
              <w:t>0.441</w:t>
            </w:r>
          </w:p>
        </w:tc>
        <w:tc>
          <w:tcPr>
            <w:tcW w:w="709" w:type="dxa"/>
            <w:vAlign w:val="center"/>
          </w:tcPr>
          <w:p w14:paraId="6B689153" w14:textId="0F5D3843" w:rsidR="00AE4243" w:rsidRPr="00AC4363" w:rsidRDefault="00AE4243" w:rsidP="00AE4243">
            <w:pPr>
              <w:rPr>
                <w:rFonts w:eastAsiaTheme="minorHAnsi"/>
                <w:sz w:val="20"/>
                <w:szCs w:val="20"/>
                <w:lang w:eastAsia="en-US"/>
              </w:rPr>
            </w:pPr>
            <w:r w:rsidRPr="00AC4363">
              <w:rPr>
                <w:rFonts w:eastAsiaTheme="minorHAnsi"/>
                <w:sz w:val="20"/>
                <w:szCs w:val="20"/>
                <w:lang w:eastAsia="en-US"/>
              </w:rPr>
              <w:t>0.599</w:t>
            </w:r>
          </w:p>
        </w:tc>
        <w:tc>
          <w:tcPr>
            <w:tcW w:w="709" w:type="dxa"/>
          </w:tcPr>
          <w:p w14:paraId="259C1736" w14:textId="77777777" w:rsidR="00AE4243" w:rsidRPr="00AC4363" w:rsidRDefault="00AE4243" w:rsidP="00AE4243">
            <w:pPr>
              <w:rPr>
                <w:rFonts w:eastAsiaTheme="minorHAnsi"/>
                <w:sz w:val="20"/>
                <w:szCs w:val="20"/>
                <w:lang w:eastAsia="en-US"/>
              </w:rPr>
            </w:pPr>
          </w:p>
        </w:tc>
        <w:tc>
          <w:tcPr>
            <w:tcW w:w="1559" w:type="dxa"/>
          </w:tcPr>
          <w:p w14:paraId="51690F25" w14:textId="10968E39" w:rsidR="00AE4243" w:rsidRPr="00AC4363" w:rsidRDefault="00AE4243" w:rsidP="00AE4243">
            <w:pPr>
              <w:jc w:val="center"/>
              <w:rPr>
                <w:rFonts w:eastAsiaTheme="minorHAnsi"/>
                <w:sz w:val="20"/>
                <w:szCs w:val="20"/>
                <w:lang w:eastAsia="en-US"/>
              </w:rPr>
            </w:pPr>
            <w:r w:rsidRPr="00AC4363">
              <w:rPr>
                <w:rFonts w:eastAsiaTheme="minorHAnsi"/>
                <w:sz w:val="20"/>
                <w:szCs w:val="20"/>
                <w:lang w:eastAsia="en-US"/>
              </w:rPr>
              <w:t>0.668</w:t>
            </w:r>
          </w:p>
        </w:tc>
      </w:tr>
      <w:tr w:rsidR="00AE4243" w:rsidRPr="00AC4363" w14:paraId="50A95788" w14:textId="4676F042" w:rsidTr="00AC4363">
        <w:tc>
          <w:tcPr>
            <w:tcW w:w="1555" w:type="dxa"/>
            <w:vMerge/>
          </w:tcPr>
          <w:p w14:paraId="7A6DBD28" w14:textId="77777777" w:rsidR="00AE4243" w:rsidRPr="00AC4363" w:rsidRDefault="00AE4243" w:rsidP="00AE4243">
            <w:pPr>
              <w:rPr>
                <w:rFonts w:eastAsiaTheme="minorHAnsi"/>
                <w:sz w:val="20"/>
                <w:szCs w:val="20"/>
                <w:lang w:eastAsia="en-US"/>
              </w:rPr>
            </w:pPr>
          </w:p>
        </w:tc>
        <w:tc>
          <w:tcPr>
            <w:tcW w:w="3969" w:type="dxa"/>
            <w:vAlign w:val="center"/>
          </w:tcPr>
          <w:p w14:paraId="5EFE9FA4" w14:textId="3BF52F8C" w:rsidR="00AE4243" w:rsidRPr="00AC4363" w:rsidRDefault="00AE4243" w:rsidP="00AE4243">
            <w:pPr>
              <w:rPr>
                <w:rFonts w:eastAsiaTheme="minorHAnsi"/>
                <w:sz w:val="20"/>
                <w:szCs w:val="20"/>
                <w:lang w:eastAsia="en-US"/>
              </w:rPr>
            </w:pPr>
            <w:r w:rsidRPr="00AC4363">
              <w:rPr>
                <w:rFonts w:eastAsiaTheme="minorHAnsi"/>
                <w:sz w:val="20"/>
                <w:szCs w:val="20"/>
                <w:lang w:eastAsia="en-US"/>
              </w:rPr>
              <w:t>Aplicación de soluciones éticas*</w:t>
            </w:r>
          </w:p>
        </w:tc>
        <w:tc>
          <w:tcPr>
            <w:tcW w:w="708" w:type="dxa"/>
            <w:vAlign w:val="center"/>
          </w:tcPr>
          <w:p w14:paraId="693F3702" w14:textId="6F7BE8A3" w:rsidR="00AE4243" w:rsidRPr="00AC4363" w:rsidRDefault="00AE4243" w:rsidP="00AE4243">
            <w:pPr>
              <w:rPr>
                <w:rFonts w:eastAsiaTheme="minorHAnsi"/>
                <w:sz w:val="20"/>
                <w:szCs w:val="20"/>
                <w:lang w:eastAsia="en-US"/>
              </w:rPr>
            </w:pPr>
            <w:r w:rsidRPr="00AC4363">
              <w:rPr>
                <w:rFonts w:eastAsiaTheme="minorHAnsi"/>
                <w:sz w:val="20"/>
                <w:szCs w:val="20"/>
                <w:lang w:eastAsia="en-US"/>
              </w:rPr>
              <w:t>0.487</w:t>
            </w:r>
          </w:p>
        </w:tc>
        <w:tc>
          <w:tcPr>
            <w:tcW w:w="709" w:type="dxa"/>
            <w:vAlign w:val="center"/>
          </w:tcPr>
          <w:p w14:paraId="392E3F2A" w14:textId="06442016" w:rsidR="00AE4243" w:rsidRPr="00AC4363" w:rsidRDefault="00AE4243" w:rsidP="00AE4243">
            <w:pPr>
              <w:rPr>
                <w:rFonts w:eastAsiaTheme="minorHAnsi"/>
                <w:sz w:val="20"/>
                <w:szCs w:val="20"/>
                <w:lang w:eastAsia="en-US"/>
              </w:rPr>
            </w:pPr>
            <w:r w:rsidRPr="00AC4363">
              <w:rPr>
                <w:rFonts w:eastAsiaTheme="minorHAnsi"/>
                <w:sz w:val="20"/>
                <w:szCs w:val="20"/>
                <w:lang w:eastAsia="en-US"/>
              </w:rPr>
              <w:t>0.540</w:t>
            </w:r>
          </w:p>
        </w:tc>
        <w:tc>
          <w:tcPr>
            <w:tcW w:w="709" w:type="dxa"/>
          </w:tcPr>
          <w:p w14:paraId="3E39F644" w14:textId="696476E0" w:rsidR="00AE4243" w:rsidRPr="00AC4363" w:rsidRDefault="00AE4243" w:rsidP="00AE4243">
            <w:pPr>
              <w:rPr>
                <w:rFonts w:eastAsiaTheme="minorHAnsi"/>
                <w:sz w:val="20"/>
                <w:szCs w:val="20"/>
                <w:lang w:eastAsia="en-US"/>
              </w:rPr>
            </w:pPr>
            <w:r w:rsidRPr="00AC4363">
              <w:rPr>
                <w:rFonts w:eastAsiaTheme="minorHAnsi"/>
                <w:sz w:val="20"/>
                <w:szCs w:val="20"/>
                <w:lang w:eastAsia="en-US"/>
              </w:rPr>
              <w:t>0.438</w:t>
            </w:r>
          </w:p>
        </w:tc>
        <w:tc>
          <w:tcPr>
            <w:tcW w:w="1559" w:type="dxa"/>
          </w:tcPr>
          <w:p w14:paraId="5BEBEA71" w14:textId="2AA2E06B" w:rsidR="00AE4243" w:rsidRPr="00AC4363" w:rsidRDefault="00AE4243" w:rsidP="00AE4243">
            <w:pPr>
              <w:jc w:val="center"/>
              <w:rPr>
                <w:rFonts w:eastAsiaTheme="minorHAnsi"/>
                <w:sz w:val="20"/>
                <w:szCs w:val="20"/>
                <w:lang w:eastAsia="en-US"/>
              </w:rPr>
            </w:pPr>
            <w:r w:rsidRPr="00AC4363">
              <w:rPr>
                <w:rFonts w:eastAsiaTheme="minorHAnsi"/>
                <w:sz w:val="20"/>
                <w:szCs w:val="20"/>
                <w:lang w:eastAsia="en-US"/>
              </w:rPr>
              <w:t>0.736</w:t>
            </w:r>
          </w:p>
        </w:tc>
      </w:tr>
      <w:tr w:rsidR="00AE4243" w:rsidRPr="00AC4363" w14:paraId="221FCAC3" w14:textId="048DE26C" w:rsidTr="00AC4363">
        <w:tc>
          <w:tcPr>
            <w:tcW w:w="1555" w:type="dxa"/>
            <w:vMerge/>
          </w:tcPr>
          <w:p w14:paraId="0B8FEB87" w14:textId="77777777" w:rsidR="00AE4243" w:rsidRPr="00AC4363" w:rsidRDefault="00AE4243" w:rsidP="00AE4243">
            <w:pPr>
              <w:rPr>
                <w:rFonts w:eastAsiaTheme="minorHAnsi"/>
                <w:sz w:val="20"/>
                <w:szCs w:val="20"/>
                <w:lang w:eastAsia="en-US"/>
              </w:rPr>
            </w:pPr>
          </w:p>
        </w:tc>
        <w:tc>
          <w:tcPr>
            <w:tcW w:w="3969" w:type="dxa"/>
            <w:vAlign w:val="center"/>
          </w:tcPr>
          <w:p w14:paraId="2B4B5BD5" w14:textId="5109B542" w:rsidR="00AE4243" w:rsidRPr="00AC4363" w:rsidRDefault="00AE4243" w:rsidP="00AE4243">
            <w:pPr>
              <w:rPr>
                <w:rFonts w:eastAsiaTheme="minorHAnsi"/>
                <w:sz w:val="20"/>
                <w:szCs w:val="20"/>
                <w:lang w:eastAsia="en-US"/>
              </w:rPr>
            </w:pPr>
            <w:r w:rsidRPr="00AC4363">
              <w:rPr>
                <w:rFonts w:eastAsiaTheme="minorHAnsi"/>
                <w:sz w:val="20"/>
                <w:szCs w:val="20"/>
                <w:lang w:eastAsia="en-US"/>
              </w:rPr>
              <w:t>Promoción del bienestar social y sostenibilidad</w:t>
            </w:r>
          </w:p>
        </w:tc>
        <w:tc>
          <w:tcPr>
            <w:tcW w:w="708" w:type="dxa"/>
            <w:vAlign w:val="center"/>
          </w:tcPr>
          <w:p w14:paraId="61272285" w14:textId="77777777" w:rsidR="00DB2852" w:rsidRPr="00AC4363" w:rsidRDefault="00DB2852" w:rsidP="00AE4243">
            <w:pPr>
              <w:rPr>
                <w:rFonts w:eastAsiaTheme="minorHAnsi"/>
                <w:sz w:val="20"/>
                <w:szCs w:val="20"/>
                <w:lang w:eastAsia="en-US"/>
              </w:rPr>
            </w:pPr>
          </w:p>
          <w:p w14:paraId="050EC04A" w14:textId="2E7BDF02" w:rsidR="00AE4243" w:rsidRPr="00AC4363" w:rsidRDefault="00AE4243" w:rsidP="00AE4243">
            <w:pPr>
              <w:rPr>
                <w:rFonts w:eastAsiaTheme="minorHAnsi"/>
                <w:sz w:val="20"/>
                <w:szCs w:val="20"/>
                <w:lang w:eastAsia="en-US"/>
              </w:rPr>
            </w:pPr>
            <w:r w:rsidRPr="00AC4363">
              <w:rPr>
                <w:rFonts w:eastAsiaTheme="minorHAnsi"/>
                <w:sz w:val="20"/>
                <w:szCs w:val="20"/>
                <w:lang w:eastAsia="en-US"/>
              </w:rPr>
              <w:t>0.743</w:t>
            </w:r>
          </w:p>
        </w:tc>
        <w:tc>
          <w:tcPr>
            <w:tcW w:w="709" w:type="dxa"/>
            <w:vAlign w:val="center"/>
          </w:tcPr>
          <w:p w14:paraId="21F39C6B" w14:textId="1B691A91" w:rsidR="00AE4243" w:rsidRPr="00AC4363" w:rsidRDefault="00AE4243" w:rsidP="00AE4243">
            <w:pPr>
              <w:rPr>
                <w:rFonts w:eastAsiaTheme="minorHAnsi"/>
                <w:sz w:val="20"/>
                <w:szCs w:val="20"/>
                <w:lang w:eastAsia="en-US"/>
              </w:rPr>
            </w:pPr>
          </w:p>
        </w:tc>
        <w:tc>
          <w:tcPr>
            <w:tcW w:w="709" w:type="dxa"/>
            <w:vAlign w:val="center"/>
          </w:tcPr>
          <w:p w14:paraId="19C47DEE" w14:textId="77777777" w:rsidR="00AE4243" w:rsidRPr="00AC4363" w:rsidRDefault="00AE4243" w:rsidP="00AE4243">
            <w:pPr>
              <w:rPr>
                <w:rFonts w:eastAsiaTheme="minorHAnsi"/>
                <w:sz w:val="20"/>
                <w:szCs w:val="20"/>
                <w:lang w:eastAsia="en-US"/>
              </w:rPr>
            </w:pPr>
          </w:p>
        </w:tc>
        <w:tc>
          <w:tcPr>
            <w:tcW w:w="1559" w:type="dxa"/>
          </w:tcPr>
          <w:p w14:paraId="5233F5E4" w14:textId="3CC46A96" w:rsidR="00AE4243" w:rsidRPr="00AC4363" w:rsidRDefault="00AE4243" w:rsidP="00AE4243">
            <w:pPr>
              <w:jc w:val="center"/>
              <w:rPr>
                <w:rFonts w:eastAsiaTheme="minorHAnsi"/>
                <w:sz w:val="20"/>
                <w:szCs w:val="20"/>
                <w:lang w:eastAsia="en-US"/>
              </w:rPr>
            </w:pPr>
            <w:r w:rsidRPr="00AC4363">
              <w:rPr>
                <w:rFonts w:eastAsiaTheme="minorHAnsi"/>
                <w:sz w:val="20"/>
                <w:szCs w:val="20"/>
                <w:lang w:eastAsia="en-US"/>
              </w:rPr>
              <w:t>0.766</w:t>
            </w:r>
          </w:p>
        </w:tc>
      </w:tr>
      <w:tr w:rsidR="00AE4243" w:rsidRPr="00AC4363" w14:paraId="7262BDA2" w14:textId="2E6D0F8F" w:rsidTr="00AC4363">
        <w:tc>
          <w:tcPr>
            <w:tcW w:w="1555" w:type="dxa"/>
            <w:vMerge w:val="restart"/>
          </w:tcPr>
          <w:p w14:paraId="4BC07C1A" w14:textId="77777777" w:rsidR="00AE4243" w:rsidRPr="00AC4363" w:rsidRDefault="00AE4243" w:rsidP="00AE4243">
            <w:pPr>
              <w:rPr>
                <w:rFonts w:eastAsiaTheme="minorHAnsi"/>
                <w:sz w:val="20"/>
                <w:szCs w:val="20"/>
                <w:lang w:eastAsia="en-US"/>
              </w:rPr>
            </w:pPr>
          </w:p>
          <w:p w14:paraId="38B25044" w14:textId="01FC6BCE" w:rsidR="00AE4243" w:rsidRPr="00AC4363" w:rsidRDefault="00AE4243" w:rsidP="00AE4243">
            <w:pPr>
              <w:rPr>
                <w:rFonts w:eastAsiaTheme="minorHAnsi"/>
                <w:sz w:val="20"/>
                <w:szCs w:val="20"/>
                <w:lang w:eastAsia="en-US"/>
              </w:rPr>
            </w:pPr>
            <w:r w:rsidRPr="00AC4363">
              <w:rPr>
                <w:rFonts w:eastAsiaTheme="minorHAnsi"/>
                <w:sz w:val="20"/>
                <w:szCs w:val="20"/>
                <w:lang w:eastAsia="en-US"/>
              </w:rPr>
              <w:t>Gestión e innovación de procesos y proyectos</w:t>
            </w:r>
          </w:p>
        </w:tc>
        <w:tc>
          <w:tcPr>
            <w:tcW w:w="3969" w:type="dxa"/>
            <w:vAlign w:val="center"/>
          </w:tcPr>
          <w:p w14:paraId="2BBE07BD" w14:textId="77777777" w:rsidR="00AE4243" w:rsidRPr="00AC4363" w:rsidRDefault="00AE4243" w:rsidP="00AE4243">
            <w:pPr>
              <w:rPr>
                <w:rFonts w:eastAsiaTheme="minorHAnsi"/>
                <w:sz w:val="20"/>
                <w:szCs w:val="20"/>
                <w:lang w:eastAsia="en-US"/>
              </w:rPr>
            </w:pPr>
            <w:r w:rsidRPr="00AC4363">
              <w:rPr>
                <w:rFonts w:eastAsiaTheme="minorHAnsi"/>
                <w:sz w:val="20"/>
                <w:szCs w:val="20"/>
                <w:lang w:eastAsia="en-US"/>
              </w:rPr>
              <w:t>Elaboración de proyectos de mejora continua</w:t>
            </w:r>
          </w:p>
        </w:tc>
        <w:tc>
          <w:tcPr>
            <w:tcW w:w="708" w:type="dxa"/>
            <w:vAlign w:val="center"/>
          </w:tcPr>
          <w:p w14:paraId="343B98A1" w14:textId="77777777" w:rsidR="00AE4243" w:rsidRPr="00AC4363" w:rsidRDefault="00AE4243" w:rsidP="00AE4243">
            <w:pPr>
              <w:rPr>
                <w:rFonts w:eastAsiaTheme="minorHAnsi"/>
                <w:sz w:val="20"/>
                <w:szCs w:val="20"/>
                <w:lang w:eastAsia="en-US"/>
              </w:rPr>
            </w:pPr>
          </w:p>
        </w:tc>
        <w:tc>
          <w:tcPr>
            <w:tcW w:w="709" w:type="dxa"/>
            <w:vAlign w:val="center"/>
          </w:tcPr>
          <w:p w14:paraId="6D5B3074" w14:textId="77777777" w:rsidR="00AE4243" w:rsidRPr="00AC4363" w:rsidRDefault="00AE4243" w:rsidP="00AE4243">
            <w:pPr>
              <w:rPr>
                <w:rFonts w:eastAsiaTheme="minorHAnsi"/>
                <w:sz w:val="20"/>
                <w:szCs w:val="20"/>
                <w:lang w:eastAsia="en-US"/>
              </w:rPr>
            </w:pPr>
          </w:p>
        </w:tc>
        <w:tc>
          <w:tcPr>
            <w:tcW w:w="709" w:type="dxa"/>
            <w:vAlign w:val="center"/>
          </w:tcPr>
          <w:p w14:paraId="5E5EB56B" w14:textId="64D84266" w:rsidR="00AE4243" w:rsidRPr="00AC4363" w:rsidRDefault="00AE4243" w:rsidP="00AE4243">
            <w:pPr>
              <w:rPr>
                <w:rFonts w:eastAsiaTheme="minorHAnsi"/>
                <w:sz w:val="20"/>
                <w:szCs w:val="20"/>
                <w:lang w:eastAsia="en-US"/>
              </w:rPr>
            </w:pPr>
            <w:r w:rsidRPr="00AC4363">
              <w:rPr>
                <w:rFonts w:eastAsiaTheme="minorHAnsi"/>
                <w:sz w:val="20"/>
                <w:szCs w:val="20"/>
                <w:lang w:eastAsia="en-US"/>
              </w:rPr>
              <w:t>0.838</w:t>
            </w:r>
          </w:p>
        </w:tc>
        <w:tc>
          <w:tcPr>
            <w:tcW w:w="1559" w:type="dxa"/>
          </w:tcPr>
          <w:p w14:paraId="28FAB1B9" w14:textId="37205D3E" w:rsidR="00AE4243" w:rsidRPr="00AC4363" w:rsidRDefault="00AE4243" w:rsidP="00AE4243">
            <w:pPr>
              <w:jc w:val="center"/>
              <w:rPr>
                <w:rFonts w:eastAsiaTheme="minorHAnsi"/>
                <w:sz w:val="20"/>
                <w:szCs w:val="20"/>
                <w:lang w:eastAsia="en-US"/>
              </w:rPr>
            </w:pPr>
            <w:r w:rsidRPr="00AC4363">
              <w:rPr>
                <w:rFonts w:eastAsiaTheme="minorHAnsi"/>
                <w:sz w:val="20"/>
                <w:szCs w:val="20"/>
                <w:lang w:eastAsia="en-US"/>
              </w:rPr>
              <w:t>0.821</w:t>
            </w:r>
          </w:p>
        </w:tc>
      </w:tr>
      <w:tr w:rsidR="00AE4243" w:rsidRPr="00AC4363" w14:paraId="6C129A75" w14:textId="3480D8B4" w:rsidTr="00AC4363">
        <w:tc>
          <w:tcPr>
            <w:tcW w:w="1555" w:type="dxa"/>
            <w:vMerge/>
          </w:tcPr>
          <w:p w14:paraId="5111E20B" w14:textId="77777777" w:rsidR="00AE4243" w:rsidRPr="00AC4363" w:rsidRDefault="00AE4243" w:rsidP="00AE4243">
            <w:pPr>
              <w:rPr>
                <w:rFonts w:eastAsiaTheme="minorHAnsi"/>
                <w:sz w:val="20"/>
                <w:szCs w:val="20"/>
                <w:lang w:eastAsia="en-US"/>
              </w:rPr>
            </w:pPr>
          </w:p>
        </w:tc>
        <w:tc>
          <w:tcPr>
            <w:tcW w:w="3969" w:type="dxa"/>
            <w:vAlign w:val="center"/>
          </w:tcPr>
          <w:p w14:paraId="361992F1" w14:textId="77777777" w:rsidR="00AE4243" w:rsidRPr="00AC4363" w:rsidRDefault="00AE4243" w:rsidP="00AE4243">
            <w:pPr>
              <w:rPr>
                <w:rFonts w:eastAsiaTheme="minorHAnsi"/>
                <w:sz w:val="20"/>
                <w:szCs w:val="20"/>
                <w:lang w:eastAsia="en-US"/>
              </w:rPr>
            </w:pPr>
            <w:r w:rsidRPr="00AC4363">
              <w:rPr>
                <w:rFonts w:eastAsiaTheme="minorHAnsi"/>
                <w:sz w:val="20"/>
                <w:szCs w:val="20"/>
                <w:lang w:eastAsia="en-US"/>
              </w:rPr>
              <w:t>Diseño de procesos</w:t>
            </w:r>
          </w:p>
        </w:tc>
        <w:tc>
          <w:tcPr>
            <w:tcW w:w="708" w:type="dxa"/>
            <w:vAlign w:val="center"/>
          </w:tcPr>
          <w:p w14:paraId="0E270451" w14:textId="77777777" w:rsidR="00AE4243" w:rsidRPr="00AC4363" w:rsidRDefault="00AE4243" w:rsidP="00AE4243">
            <w:pPr>
              <w:rPr>
                <w:rFonts w:eastAsiaTheme="minorHAnsi"/>
                <w:sz w:val="20"/>
                <w:szCs w:val="20"/>
                <w:lang w:eastAsia="en-US"/>
              </w:rPr>
            </w:pPr>
          </w:p>
        </w:tc>
        <w:tc>
          <w:tcPr>
            <w:tcW w:w="709" w:type="dxa"/>
            <w:vAlign w:val="center"/>
          </w:tcPr>
          <w:p w14:paraId="09DD45F6" w14:textId="77777777" w:rsidR="00AE4243" w:rsidRPr="00AC4363" w:rsidRDefault="00AE4243" w:rsidP="00AE4243">
            <w:pPr>
              <w:rPr>
                <w:rFonts w:eastAsiaTheme="minorHAnsi"/>
                <w:sz w:val="20"/>
                <w:szCs w:val="20"/>
                <w:lang w:eastAsia="en-US"/>
              </w:rPr>
            </w:pPr>
          </w:p>
        </w:tc>
        <w:tc>
          <w:tcPr>
            <w:tcW w:w="709" w:type="dxa"/>
            <w:vAlign w:val="center"/>
          </w:tcPr>
          <w:p w14:paraId="08D19A21" w14:textId="41C84A57" w:rsidR="00AE4243" w:rsidRPr="00AC4363" w:rsidRDefault="00AE4243" w:rsidP="00AE4243">
            <w:pPr>
              <w:rPr>
                <w:rFonts w:eastAsiaTheme="minorHAnsi"/>
                <w:sz w:val="20"/>
                <w:szCs w:val="20"/>
                <w:lang w:eastAsia="en-US"/>
              </w:rPr>
            </w:pPr>
            <w:r w:rsidRPr="00AC4363">
              <w:rPr>
                <w:rFonts w:eastAsiaTheme="minorHAnsi"/>
                <w:sz w:val="20"/>
                <w:szCs w:val="20"/>
                <w:lang w:eastAsia="en-US"/>
              </w:rPr>
              <w:t>0.770</w:t>
            </w:r>
          </w:p>
        </w:tc>
        <w:tc>
          <w:tcPr>
            <w:tcW w:w="1559" w:type="dxa"/>
          </w:tcPr>
          <w:p w14:paraId="4E064AB4" w14:textId="07D6C82F" w:rsidR="00AE4243" w:rsidRPr="00AC4363" w:rsidRDefault="00AE4243" w:rsidP="00AE4243">
            <w:pPr>
              <w:jc w:val="center"/>
              <w:rPr>
                <w:rFonts w:eastAsiaTheme="minorHAnsi"/>
                <w:sz w:val="20"/>
                <w:szCs w:val="20"/>
                <w:lang w:eastAsia="en-US"/>
              </w:rPr>
            </w:pPr>
            <w:r w:rsidRPr="00AC4363">
              <w:rPr>
                <w:rFonts w:eastAsiaTheme="minorHAnsi"/>
                <w:sz w:val="20"/>
                <w:szCs w:val="20"/>
                <w:lang w:eastAsia="en-US"/>
              </w:rPr>
              <w:t>0.788</w:t>
            </w:r>
          </w:p>
        </w:tc>
      </w:tr>
      <w:tr w:rsidR="00AE4243" w:rsidRPr="00AC4363" w14:paraId="7E940B90" w14:textId="626CC902" w:rsidTr="00AC4363">
        <w:tc>
          <w:tcPr>
            <w:tcW w:w="1555" w:type="dxa"/>
            <w:vMerge/>
          </w:tcPr>
          <w:p w14:paraId="20BC7CBB" w14:textId="77777777" w:rsidR="00AE4243" w:rsidRPr="00AC4363" w:rsidRDefault="00AE4243" w:rsidP="00AE4243">
            <w:pPr>
              <w:rPr>
                <w:rFonts w:eastAsiaTheme="minorHAnsi"/>
                <w:sz w:val="20"/>
                <w:szCs w:val="20"/>
                <w:lang w:eastAsia="en-US"/>
              </w:rPr>
            </w:pPr>
          </w:p>
        </w:tc>
        <w:tc>
          <w:tcPr>
            <w:tcW w:w="3969" w:type="dxa"/>
            <w:vAlign w:val="center"/>
          </w:tcPr>
          <w:p w14:paraId="7A09E015" w14:textId="01E452CD" w:rsidR="00AE4243" w:rsidRPr="00AC4363" w:rsidRDefault="00AE4243" w:rsidP="00AE4243">
            <w:pPr>
              <w:rPr>
                <w:rFonts w:eastAsiaTheme="minorHAnsi"/>
                <w:sz w:val="20"/>
                <w:szCs w:val="20"/>
                <w:lang w:eastAsia="en-US"/>
              </w:rPr>
            </w:pPr>
            <w:r w:rsidRPr="00AC4363">
              <w:rPr>
                <w:rFonts w:eastAsiaTheme="minorHAnsi"/>
                <w:sz w:val="20"/>
                <w:szCs w:val="20"/>
                <w:lang w:eastAsia="en-US"/>
              </w:rPr>
              <w:t>Digitalización para optimización de procesos*</w:t>
            </w:r>
          </w:p>
        </w:tc>
        <w:tc>
          <w:tcPr>
            <w:tcW w:w="1417" w:type="dxa"/>
            <w:gridSpan w:val="2"/>
            <w:vAlign w:val="center"/>
          </w:tcPr>
          <w:p w14:paraId="0E81528B" w14:textId="39258E62" w:rsidR="00AE4243" w:rsidRPr="00AC4363" w:rsidRDefault="00AE4243" w:rsidP="00AE4243">
            <w:pPr>
              <w:rPr>
                <w:rFonts w:eastAsiaTheme="minorHAnsi"/>
                <w:sz w:val="20"/>
                <w:szCs w:val="20"/>
                <w:lang w:eastAsia="en-US"/>
              </w:rPr>
            </w:pPr>
            <w:r w:rsidRPr="00AC4363">
              <w:rPr>
                <w:rFonts w:eastAsiaTheme="minorHAnsi"/>
                <w:sz w:val="20"/>
                <w:szCs w:val="20"/>
                <w:lang w:eastAsia="en-US"/>
              </w:rPr>
              <w:t>0.423</w:t>
            </w:r>
          </w:p>
        </w:tc>
        <w:tc>
          <w:tcPr>
            <w:tcW w:w="709" w:type="dxa"/>
            <w:vAlign w:val="center"/>
          </w:tcPr>
          <w:p w14:paraId="12486695" w14:textId="071E2C73" w:rsidR="00AE4243" w:rsidRPr="00AC4363" w:rsidRDefault="00AE4243" w:rsidP="00AE4243">
            <w:pPr>
              <w:rPr>
                <w:rFonts w:eastAsiaTheme="minorHAnsi"/>
                <w:sz w:val="20"/>
                <w:szCs w:val="20"/>
                <w:lang w:eastAsia="en-US"/>
              </w:rPr>
            </w:pPr>
            <w:r w:rsidRPr="00AC4363">
              <w:rPr>
                <w:rFonts w:eastAsiaTheme="minorHAnsi"/>
                <w:sz w:val="20"/>
                <w:szCs w:val="20"/>
                <w:lang w:eastAsia="en-US"/>
              </w:rPr>
              <w:t>0.657</w:t>
            </w:r>
          </w:p>
        </w:tc>
        <w:tc>
          <w:tcPr>
            <w:tcW w:w="1559" w:type="dxa"/>
          </w:tcPr>
          <w:p w14:paraId="026847F8" w14:textId="31D7BBCD" w:rsidR="00AE4243" w:rsidRPr="00AC4363" w:rsidRDefault="00AE4243" w:rsidP="00AE4243">
            <w:pPr>
              <w:jc w:val="center"/>
              <w:rPr>
                <w:rFonts w:eastAsiaTheme="minorHAnsi"/>
                <w:sz w:val="20"/>
                <w:szCs w:val="20"/>
                <w:lang w:eastAsia="en-US"/>
              </w:rPr>
            </w:pPr>
            <w:r w:rsidRPr="00AC4363">
              <w:rPr>
                <w:rFonts w:eastAsiaTheme="minorHAnsi"/>
                <w:sz w:val="20"/>
                <w:szCs w:val="20"/>
                <w:lang w:eastAsia="en-US"/>
              </w:rPr>
              <w:t>0.753</w:t>
            </w:r>
          </w:p>
        </w:tc>
      </w:tr>
      <w:tr w:rsidR="00AE4243" w:rsidRPr="00AC4363" w14:paraId="070E5378" w14:textId="759D9A55" w:rsidTr="00AC4363">
        <w:tc>
          <w:tcPr>
            <w:tcW w:w="1555" w:type="dxa"/>
            <w:vMerge/>
          </w:tcPr>
          <w:p w14:paraId="108C7E50" w14:textId="77777777" w:rsidR="00AE4243" w:rsidRPr="00AC4363" w:rsidRDefault="00AE4243" w:rsidP="00AE4243">
            <w:pPr>
              <w:rPr>
                <w:rFonts w:eastAsiaTheme="minorHAnsi"/>
                <w:sz w:val="20"/>
                <w:szCs w:val="20"/>
                <w:lang w:eastAsia="en-US"/>
              </w:rPr>
            </w:pPr>
          </w:p>
        </w:tc>
        <w:tc>
          <w:tcPr>
            <w:tcW w:w="3969" w:type="dxa"/>
            <w:vAlign w:val="center"/>
          </w:tcPr>
          <w:p w14:paraId="78D68539" w14:textId="77777777" w:rsidR="00AE4243" w:rsidRPr="00AC4363" w:rsidRDefault="00AE4243" w:rsidP="00AE4243">
            <w:pPr>
              <w:rPr>
                <w:rFonts w:eastAsiaTheme="minorHAnsi"/>
                <w:sz w:val="20"/>
                <w:szCs w:val="20"/>
                <w:lang w:eastAsia="en-US"/>
              </w:rPr>
            </w:pPr>
            <w:r w:rsidRPr="00AC4363">
              <w:rPr>
                <w:rFonts w:eastAsiaTheme="minorHAnsi"/>
                <w:sz w:val="20"/>
                <w:szCs w:val="20"/>
                <w:lang w:eastAsia="en-US"/>
              </w:rPr>
              <w:t>Evaluación sistémica</w:t>
            </w:r>
          </w:p>
        </w:tc>
        <w:tc>
          <w:tcPr>
            <w:tcW w:w="708" w:type="dxa"/>
            <w:vAlign w:val="center"/>
          </w:tcPr>
          <w:p w14:paraId="58C1C475" w14:textId="77777777" w:rsidR="00AE4243" w:rsidRPr="00AC4363" w:rsidRDefault="00AE4243" w:rsidP="00AE4243">
            <w:pPr>
              <w:rPr>
                <w:rFonts w:eastAsiaTheme="minorHAnsi"/>
                <w:sz w:val="20"/>
                <w:szCs w:val="20"/>
                <w:lang w:eastAsia="en-US"/>
              </w:rPr>
            </w:pPr>
          </w:p>
        </w:tc>
        <w:tc>
          <w:tcPr>
            <w:tcW w:w="709" w:type="dxa"/>
            <w:vAlign w:val="center"/>
          </w:tcPr>
          <w:p w14:paraId="1C9A93F3" w14:textId="77777777" w:rsidR="00AE4243" w:rsidRPr="00AC4363" w:rsidRDefault="00AE4243" w:rsidP="00AE4243">
            <w:pPr>
              <w:rPr>
                <w:rFonts w:eastAsiaTheme="minorHAnsi"/>
                <w:sz w:val="20"/>
                <w:szCs w:val="20"/>
                <w:lang w:eastAsia="en-US"/>
              </w:rPr>
            </w:pPr>
          </w:p>
        </w:tc>
        <w:tc>
          <w:tcPr>
            <w:tcW w:w="709" w:type="dxa"/>
            <w:vAlign w:val="center"/>
          </w:tcPr>
          <w:p w14:paraId="712A83C7" w14:textId="19745914" w:rsidR="00AE4243" w:rsidRPr="00AC4363" w:rsidRDefault="00AE4243" w:rsidP="00AE4243">
            <w:pPr>
              <w:rPr>
                <w:rFonts w:eastAsiaTheme="minorHAnsi"/>
                <w:sz w:val="20"/>
                <w:szCs w:val="20"/>
                <w:lang w:eastAsia="en-US"/>
              </w:rPr>
            </w:pPr>
            <w:r w:rsidRPr="00AC4363">
              <w:rPr>
                <w:rFonts w:eastAsiaTheme="minorHAnsi"/>
                <w:sz w:val="20"/>
                <w:szCs w:val="20"/>
                <w:lang w:eastAsia="en-US"/>
              </w:rPr>
              <w:t>0.678</w:t>
            </w:r>
          </w:p>
        </w:tc>
        <w:tc>
          <w:tcPr>
            <w:tcW w:w="1559" w:type="dxa"/>
          </w:tcPr>
          <w:p w14:paraId="3A369349" w14:textId="3C8DE3A5" w:rsidR="00AE4243" w:rsidRPr="00AC4363" w:rsidRDefault="00AE4243" w:rsidP="00AE4243">
            <w:pPr>
              <w:jc w:val="center"/>
              <w:rPr>
                <w:rFonts w:eastAsiaTheme="minorHAnsi"/>
                <w:sz w:val="20"/>
                <w:szCs w:val="20"/>
                <w:lang w:eastAsia="en-US"/>
              </w:rPr>
            </w:pPr>
            <w:r w:rsidRPr="00AC4363">
              <w:rPr>
                <w:rFonts w:eastAsiaTheme="minorHAnsi"/>
                <w:sz w:val="20"/>
                <w:szCs w:val="20"/>
                <w:lang w:eastAsia="en-US"/>
              </w:rPr>
              <w:t>0.696</w:t>
            </w:r>
          </w:p>
        </w:tc>
      </w:tr>
      <w:tr w:rsidR="00AE4243" w:rsidRPr="00AC4363" w14:paraId="037F1B39" w14:textId="5ABD315B" w:rsidTr="00AC4363">
        <w:tc>
          <w:tcPr>
            <w:tcW w:w="1555" w:type="dxa"/>
            <w:vMerge/>
          </w:tcPr>
          <w:p w14:paraId="4BA4E4E8" w14:textId="77777777" w:rsidR="00AE4243" w:rsidRPr="00AC4363" w:rsidRDefault="00AE4243" w:rsidP="00AE4243">
            <w:pPr>
              <w:rPr>
                <w:rFonts w:eastAsiaTheme="minorHAnsi"/>
                <w:sz w:val="20"/>
                <w:szCs w:val="20"/>
                <w:lang w:eastAsia="en-US"/>
              </w:rPr>
            </w:pPr>
          </w:p>
        </w:tc>
        <w:tc>
          <w:tcPr>
            <w:tcW w:w="3969" w:type="dxa"/>
            <w:vAlign w:val="center"/>
          </w:tcPr>
          <w:p w14:paraId="0FEE689C" w14:textId="77777777" w:rsidR="00AE4243" w:rsidRPr="00AC4363" w:rsidRDefault="00AE4243" w:rsidP="00AE4243">
            <w:pPr>
              <w:rPr>
                <w:rFonts w:eastAsiaTheme="minorHAnsi"/>
                <w:sz w:val="20"/>
                <w:szCs w:val="20"/>
                <w:lang w:eastAsia="en-US"/>
              </w:rPr>
            </w:pPr>
            <w:r w:rsidRPr="00AC4363">
              <w:rPr>
                <w:rFonts w:eastAsiaTheme="minorHAnsi"/>
                <w:sz w:val="20"/>
                <w:szCs w:val="20"/>
                <w:lang w:eastAsia="en-US"/>
              </w:rPr>
              <w:t>Gestión eficiente de recursos</w:t>
            </w:r>
          </w:p>
        </w:tc>
        <w:tc>
          <w:tcPr>
            <w:tcW w:w="708" w:type="dxa"/>
            <w:vAlign w:val="center"/>
          </w:tcPr>
          <w:p w14:paraId="482FD15C" w14:textId="77777777" w:rsidR="00AE4243" w:rsidRPr="00AC4363" w:rsidRDefault="00AE4243" w:rsidP="00AE4243">
            <w:pPr>
              <w:rPr>
                <w:rFonts w:eastAsiaTheme="minorHAnsi"/>
                <w:sz w:val="20"/>
                <w:szCs w:val="20"/>
                <w:lang w:eastAsia="en-US"/>
              </w:rPr>
            </w:pPr>
          </w:p>
        </w:tc>
        <w:tc>
          <w:tcPr>
            <w:tcW w:w="709" w:type="dxa"/>
            <w:vAlign w:val="center"/>
          </w:tcPr>
          <w:p w14:paraId="6D7F8219" w14:textId="35643D81" w:rsidR="00AE4243" w:rsidRPr="00AC4363" w:rsidRDefault="00AE4243" w:rsidP="00AE4243">
            <w:pPr>
              <w:rPr>
                <w:rFonts w:eastAsiaTheme="minorHAnsi"/>
                <w:sz w:val="20"/>
                <w:szCs w:val="20"/>
                <w:lang w:eastAsia="en-US"/>
              </w:rPr>
            </w:pPr>
            <w:r w:rsidRPr="00AC4363">
              <w:rPr>
                <w:rFonts w:eastAsiaTheme="minorHAnsi"/>
                <w:sz w:val="20"/>
                <w:szCs w:val="20"/>
                <w:lang w:eastAsia="en-US"/>
              </w:rPr>
              <w:t>0.403</w:t>
            </w:r>
          </w:p>
        </w:tc>
        <w:tc>
          <w:tcPr>
            <w:tcW w:w="709" w:type="dxa"/>
            <w:vAlign w:val="center"/>
          </w:tcPr>
          <w:p w14:paraId="4FAEE474" w14:textId="0F79FD20" w:rsidR="00AE4243" w:rsidRPr="00AC4363" w:rsidRDefault="00AE4243" w:rsidP="00AE4243">
            <w:pPr>
              <w:rPr>
                <w:rFonts w:eastAsiaTheme="minorHAnsi"/>
                <w:sz w:val="20"/>
                <w:szCs w:val="20"/>
                <w:lang w:eastAsia="en-US"/>
              </w:rPr>
            </w:pPr>
            <w:r w:rsidRPr="00AC4363">
              <w:rPr>
                <w:rFonts w:eastAsiaTheme="minorHAnsi"/>
                <w:sz w:val="20"/>
                <w:szCs w:val="20"/>
                <w:lang w:eastAsia="en-US"/>
              </w:rPr>
              <w:t>0.660</w:t>
            </w:r>
          </w:p>
        </w:tc>
        <w:tc>
          <w:tcPr>
            <w:tcW w:w="1559" w:type="dxa"/>
          </w:tcPr>
          <w:p w14:paraId="271B6818" w14:textId="5DFE2C40" w:rsidR="00AE4243" w:rsidRPr="00AC4363" w:rsidRDefault="00AE4243" w:rsidP="00AE4243">
            <w:pPr>
              <w:jc w:val="center"/>
              <w:rPr>
                <w:rFonts w:eastAsiaTheme="minorHAnsi"/>
                <w:sz w:val="20"/>
                <w:szCs w:val="20"/>
                <w:lang w:eastAsia="en-US"/>
              </w:rPr>
            </w:pPr>
            <w:r w:rsidRPr="00AC4363">
              <w:rPr>
                <w:rFonts w:eastAsiaTheme="minorHAnsi"/>
                <w:sz w:val="20"/>
                <w:szCs w:val="20"/>
                <w:lang w:eastAsia="en-US"/>
              </w:rPr>
              <w:t>0.723</w:t>
            </w:r>
          </w:p>
        </w:tc>
      </w:tr>
      <w:tr w:rsidR="00AE4243" w:rsidRPr="00AC4363" w14:paraId="2FC71EEE" w14:textId="61753A1B" w:rsidTr="00AC4363">
        <w:tc>
          <w:tcPr>
            <w:tcW w:w="1555" w:type="dxa"/>
            <w:vMerge/>
          </w:tcPr>
          <w:p w14:paraId="3E440E75" w14:textId="77777777" w:rsidR="00AE4243" w:rsidRPr="00AC4363" w:rsidRDefault="00AE4243" w:rsidP="00AE4243">
            <w:pPr>
              <w:rPr>
                <w:rFonts w:eastAsiaTheme="minorHAnsi"/>
                <w:sz w:val="20"/>
                <w:szCs w:val="20"/>
                <w:lang w:eastAsia="en-US"/>
              </w:rPr>
            </w:pPr>
          </w:p>
        </w:tc>
        <w:tc>
          <w:tcPr>
            <w:tcW w:w="3969" w:type="dxa"/>
            <w:vAlign w:val="center"/>
          </w:tcPr>
          <w:p w14:paraId="53EB738C" w14:textId="77777777" w:rsidR="00AE4243" w:rsidRPr="00AC4363" w:rsidRDefault="00AE4243" w:rsidP="00AE4243">
            <w:pPr>
              <w:rPr>
                <w:rFonts w:eastAsiaTheme="minorHAnsi"/>
                <w:sz w:val="20"/>
                <w:szCs w:val="20"/>
                <w:lang w:eastAsia="en-US"/>
              </w:rPr>
            </w:pPr>
            <w:r w:rsidRPr="00AC4363">
              <w:rPr>
                <w:rFonts w:eastAsiaTheme="minorHAnsi"/>
                <w:sz w:val="20"/>
                <w:szCs w:val="20"/>
                <w:lang w:eastAsia="en-US"/>
              </w:rPr>
              <w:t>Pensamiento de diseño</w:t>
            </w:r>
          </w:p>
        </w:tc>
        <w:tc>
          <w:tcPr>
            <w:tcW w:w="708" w:type="dxa"/>
            <w:vAlign w:val="center"/>
          </w:tcPr>
          <w:p w14:paraId="0ABCA1EC" w14:textId="77777777" w:rsidR="00AE4243" w:rsidRPr="00AC4363" w:rsidRDefault="00AE4243" w:rsidP="00AE4243">
            <w:pPr>
              <w:rPr>
                <w:rFonts w:eastAsiaTheme="minorHAnsi"/>
                <w:sz w:val="20"/>
                <w:szCs w:val="20"/>
                <w:lang w:eastAsia="en-US"/>
              </w:rPr>
            </w:pPr>
          </w:p>
        </w:tc>
        <w:tc>
          <w:tcPr>
            <w:tcW w:w="709" w:type="dxa"/>
            <w:vAlign w:val="center"/>
          </w:tcPr>
          <w:p w14:paraId="019C88F8" w14:textId="77777777" w:rsidR="00AE4243" w:rsidRPr="00AC4363" w:rsidRDefault="00AE4243" w:rsidP="00AE4243">
            <w:pPr>
              <w:rPr>
                <w:rFonts w:eastAsiaTheme="minorHAnsi"/>
                <w:sz w:val="20"/>
                <w:szCs w:val="20"/>
                <w:lang w:eastAsia="en-US"/>
              </w:rPr>
            </w:pPr>
          </w:p>
        </w:tc>
        <w:tc>
          <w:tcPr>
            <w:tcW w:w="709" w:type="dxa"/>
            <w:vAlign w:val="center"/>
          </w:tcPr>
          <w:p w14:paraId="6D3F4857" w14:textId="2ADE5021" w:rsidR="00AE4243" w:rsidRPr="00AC4363" w:rsidRDefault="00AE4243" w:rsidP="00AE4243">
            <w:pPr>
              <w:rPr>
                <w:rFonts w:eastAsiaTheme="minorHAnsi"/>
                <w:sz w:val="20"/>
                <w:szCs w:val="20"/>
                <w:lang w:eastAsia="en-US"/>
              </w:rPr>
            </w:pPr>
            <w:r w:rsidRPr="00AC4363">
              <w:rPr>
                <w:rFonts w:eastAsiaTheme="minorHAnsi"/>
                <w:sz w:val="20"/>
                <w:szCs w:val="20"/>
                <w:lang w:eastAsia="en-US"/>
              </w:rPr>
              <w:t>0.629</w:t>
            </w:r>
          </w:p>
        </w:tc>
        <w:tc>
          <w:tcPr>
            <w:tcW w:w="1559" w:type="dxa"/>
          </w:tcPr>
          <w:p w14:paraId="69431265" w14:textId="38C40311" w:rsidR="00AE4243" w:rsidRPr="00AC4363" w:rsidRDefault="00AE4243" w:rsidP="00AE4243">
            <w:pPr>
              <w:jc w:val="center"/>
              <w:rPr>
                <w:rFonts w:eastAsiaTheme="minorHAnsi"/>
                <w:sz w:val="20"/>
                <w:szCs w:val="20"/>
                <w:lang w:eastAsia="en-US"/>
              </w:rPr>
            </w:pPr>
            <w:r w:rsidRPr="00AC4363">
              <w:rPr>
                <w:rFonts w:eastAsiaTheme="minorHAnsi"/>
                <w:sz w:val="20"/>
                <w:szCs w:val="20"/>
                <w:lang w:eastAsia="en-US"/>
              </w:rPr>
              <w:t>0.691</w:t>
            </w:r>
          </w:p>
        </w:tc>
      </w:tr>
    </w:tbl>
    <w:p w14:paraId="78D23CC6" w14:textId="4E10D0EC" w:rsidR="004A4F22" w:rsidRPr="00AC4363" w:rsidRDefault="004A4F22" w:rsidP="00AC4363">
      <w:pPr>
        <w:spacing w:after="0" w:line="360" w:lineRule="auto"/>
        <w:jc w:val="center"/>
      </w:pPr>
      <w:r w:rsidRPr="00AC4363">
        <w:rPr>
          <w:i/>
          <w:iCs/>
        </w:rPr>
        <w:t>Nota.</w:t>
      </w:r>
      <w:r w:rsidRPr="00AC4363">
        <w:t xml:space="preserve"> </w:t>
      </w:r>
      <w:r w:rsidRPr="00AC4363">
        <w:rPr>
          <w:i/>
          <w:iCs/>
        </w:rPr>
        <w:t>N</w:t>
      </w:r>
      <w:r w:rsidRPr="00AC4363">
        <w:t xml:space="preserve"> = 337. Método de extracción en la primera rotación Varimax. Las cargas factoriales arriba de 0.5 se aprecian en negritas.</w:t>
      </w:r>
    </w:p>
    <w:p w14:paraId="09B52472" w14:textId="56240EC4" w:rsidR="006877FA" w:rsidRDefault="006877FA" w:rsidP="00B4389B">
      <w:pPr>
        <w:spacing w:after="0" w:line="360" w:lineRule="auto"/>
        <w:ind w:firstLine="708"/>
        <w:jc w:val="both"/>
      </w:pPr>
      <w:r>
        <w:t>Estas variables observa</w:t>
      </w:r>
      <w:r w:rsidR="000220F7">
        <w:t>bles marcadas con asterisco</w:t>
      </w:r>
      <w:r>
        <w:t xml:space="preserve"> se eliminaron al realizar la segunda rotación </w:t>
      </w:r>
      <w:r w:rsidR="00932E09">
        <w:t>Varimax</w:t>
      </w:r>
      <w:r w:rsidR="00722F88">
        <w:t xml:space="preserve"> para simplificar el modelo teórico</w:t>
      </w:r>
      <w:r w:rsidR="00932E09">
        <w:t xml:space="preserve">. </w:t>
      </w:r>
      <w:r w:rsidR="00A305AD">
        <w:t>La Tabla 1</w:t>
      </w:r>
      <w:r w:rsidR="007F29C2">
        <w:t>1</w:t>
      </w:r>
      <w:r w:rsidR="00932E09">
        <w:t xml:space="preserve"> </w:t>
      </w:r>
      <w:r w:rsidR="00A305AD">
        <w:t xml:space="preserve">presenta los valores </w:t>
      </w:r>
      <w:r w:rsidR="000220F7">
        <w:t>en po</w:t>
      </w:r>
      <w:r w:rsidR="003E62FD">
        <w:t>r</w:t>
      </w:r>
      <w:r w:rsidR="000220F7">
        <w:t xml:space="preserve">centaje </w:t>
      </w:r>
      <w:r w:rsidR="00A305AD">
        <w:t>de</w:t>
      </w:r>
      <w:r w:rsidR="000220F7">
        <w:t xml:space="preserve"> la</w:t>
      </w:r>
      <w:r w:rsidR="00932E09">
        <w:t xml:space="preserve"> varianza total observada</w:t>
      </w:r>
      <w:r w:rsidR="000220F7">
        <w:t>, con valor de</w:t>
      </w:r>
      <w:r w:rsidR="00932E09">
        <w:t xml:space="preserve"> 66.735 y </w:t>
      </w:r>
      <w:r w:rsidR="00A305AD">
        <w:t>los</w:t>
      </w:r>
      <w:r w:rsidR="00932E09">
        <w:t xml:space="preserve"> índice</w:t>
      </w:r>
      <w:r w:rsidR="00A305AD">
        <w:t>s de</w:t>
      </w:r>
      <w:r w:rsidR="00932E09">
        <w:t xml:space="preserve"> KMO de 0.97</w:t>
      </w:r>
      <w:r w:rsidR="003E62FD">
        <w:t>,</w:t>
      </w:r>
      <w:r w:rsidR="00A305AD">
        <w:t xml:space="preserve"> arriba de 0.95 para los dos procesos de reducción, que se consideran</w:t>
      </w:r>
      <w:r w:rsidR="00932E09">
        <w:t xml:space="preserve"> aceptables</w:t>
      </w:r>
      <w:r w:rsidR="00A305AD">
        <w:t>.</w:t>
      </w:r>
    </w:p>
    <w:p w14:paraId="263D06BB" w14:textId="77777777" w:rsidR="008E3143" w:rsidRDefault="008E3143" w:rsidP="00B4389B">
      <w:pPr>
        <w:spacing w:after="0" w:line="360" w:lineRule="auto"/>
        <w:ind w:firstLine="708"/>
        <w:jc w:val="both"/>
      </w:pPr>
    </w:p>
    <w:p w14:paraId="5E9E1036" w14:textId="08BCB248" w:rsidR="00F37E0C" w:rsidRPr="00AC4363" w:rsidRDefault="00F37E0C" w:rsidP="00AC4363">
      <w:pPr>
        <w:spacing w:after="0" w:line="360" w:lineRule="auto"/>
        <w:ind w:right="-713"/>
        <w:jc w:val="center"/>
        <w:rPr>
          <w:color w:val="000000"/>
        </w:rPr>
      </w:pPr>
      <w:r w:rsidRPr="004E1F3E">
        <w:rPr>
          <w:b/>
          <w:bCs/>
          <w:color w:val="000000"/>
        </w:rPr>
        <w:t>Tabla 1</w:t>
      </w:r>
      <w:r w:rsidR="00A85514">
        <w:rPr>
          <w:b/>
          <w:bCs/>
          <w:color w:val="000000"/>
        </w:rPr>
        <w:t>1</w:t>
      </w:r>
      <w:r w:rsidR="00AC4363">
        <w:rPr>
          <w:b/>
          <w:bCs/>
          <w:color w:val="000000"/>
        </w:rPr>
        <w:t xml:space="preserve">. </w:t>
      </w:r>
      <w:r w:rsidR="00A305AD" w:rsidRPr="00AC4363">
        <w:rPr>
          <w:color w:val="000000"/>
        </w:rPr>
        <w:t>R</w:t>
      </w:r>
      <w:r w:rsidRPr="00AC4363">
        <w:rPr>
          <w:color w:val="000000"/>
        </w:rPr>
        <w:t xml:space="preserve">otación </w:t>
      </w:r>
      <w:r w:rsidR="00932E09" w:rsidRPr="00AC4363">
        <w:rPr>
          <w:color w:val="000000"/>
        </w:rPr>
        <w:t>en</w:t>
      </w:r>
      <w:r w:rsidRPr="00AC4363">
        <w:rPr>
          <w:color w:val="000000"/>
        </w:rPr>
        <w:t xml:space="preserve"> la dimensión Gestión e innovación de procesos y proyectos</w:t>
      </w:r>
    </w:p>
    <w:tbl>
      <w:tblPr>
        <w:tblStyle w:val="Tablaconcuadrcula"/>
        <w:tblW w:w="0" w:type="auto"/>
        <w:jc w:val="center"/>
        <w:tblLook w:val="04A0" w:firstRow="1" w:lastRow="0" w:firstColumn="1" w:lastColumn="0" w:noHBand="0" w:noVBand="1"/>
      </w:tblPr>
      <w:tblGrid>
        <w:gridCol w:w="1134"/>
        <w:gridCol w:w="1843"/>
        <w:gridCol w:w="992"/>
        <w:gridCol w:w="1418"/>
        <w:gridCol w:w="2693"/>
      </w:tblGrid>
      <w:tr w:rsidR="007C3399" w:rsidRPr="00AC4363" w14:paraId="2E97FE6D" w14:textId="77777777" w:rsidTr="00AC4363">
        <w:trPr>
          <w:jc w:val="center"/>
        </w:trPr>
        <w:tc>
          <w:tcPr>
            <w:tcW w:w="1134" w:type="dxa"/>
            <w:vMerge w:val="restart"/>
          </w:tcPr>
          <w:p w14:paraId="09F958DC" w14:textId="77777777" w:rsidR="007C3399" w:rsidRPr="00AC4363" w:rsidRDefault="007C3399" w:rsidP="00D37784">
            <w:pPr>
              <w:spacing w:after="0"/>
              <w:jc w:val="center"/>
            </w:pPr>
            <w:r w:rsidRPr="00AC4363">
              <w:t>KMO</w:t>
            </w:r>
            <w:r w:rsidRPr="00AC4363">
              <w:rPr>
                <w:vertAlign w:val="superscript"/>
              </w:rPr>
              <w:t>b</w:t>
            </w:r>
          </w:p>
        </w:tc>
        <w:tc>
          <w:tcPr>
            <w:tcW w:w="4253" w:type="dxa"/>
            <w:gridSpan w:val="3"/>
          </w:tcPr>
          <w:p w14:paraId="3DD29ADB" w14:textId="32505AFB" w:rsidR="007C3399" w:rsidRPr="00AC4363" w:rsidRDefault="007C3399" w:rsidP="00D37784">
            <w:pPr>
              <w:spacing w:after="0"/>
              <w:jc w:val="center"/>
            </w:pPr>
            <w:r w:rsidRPr="00AC4363">
              <w:t>Prueba de Bartlett: Primera Reducción</w:t>
            </w:r>
            <w:r w:rsidR="00AC20C8" w:rsidRPr="00AC4363">
              <w:rPr>
                <w:vertAlign w:val="superscript"/>
              </w:rPr>
              <w:t>a</w:t>
            </w:r>
          </w:p>
        </w:tc>
        <w:tc>
          <w:tcPr>
            <w:tcW w:w="2693" w:type="dxa"/>
            <w:vMerge w:val="restart"/>
          </w:tcPr>
          <w:p w14:paraId="538BA078" w14:textId="5A480D91" w:rsidR="007C3399" w:rsidRPr="00AC4363" w:rsidRDefault="007C3399" w:rsidP="00D37784">
            <w:pPr>
              <w:spacing w:after="0"/>
              <w:jc w:val="center"/>
            </w:pPr>
            <w:r w:rsidRPr="00AC4363">
              <w:t>Varianza total explicada</w:t>
            </w:r>
            <w:r w:rsidR="003E62FD" w:rsidRPr="00AC4363">
              <w:t xml:space="preserve"> %</w:t>
            </w:r>
          </w:p>
        </w:tc>
      </w:tr>
      <w:tr w:rsidR="007C3399" w:rsidRPr="00AC4363" w14:paraId="58794E15" w14:textId="77777777" w:rsidTr="00AC4363">
        <w:trPr>
          <w:jc w:val="center"/>
        </w:trPr>
        <w:tc>
          <w:tcPr>
            <w:tcW w:w="1134" w:type="dxa"/>
            <w:vMerge/>
          </w:tcPr>
          <w:p w14:paraId="1808657B" w14:textId="77777777" w:rsidR="007C3399" w:rsidRPr="00AC4363" w:rsidRDefault="007C3399" w:rsidP="00D37784">
            <w:pPr>
              <w:spacing w:after="0"/>
              <w:jc w:val="center"/>
            </w:pPr>
          </w:p>
        </w:tc>
        <w:tc>
          <w:tcPr>
            <w:tcW w:w="1843" w:type="dxa"/>
          </w:tcPr>
          <w:p w14:paraId="1529D6E9" w14:textId="77777777" w:rsidR="007C3399" w:rsidRPr="00AC4363" w:rsidRDefault="007C3399" w:rsidP="00D37784">
            <w:pPr>
              <w:spacing w:after="0"/>
              <w:jc w:val="center"/>
            </w:pPr>
            <w:r w:rsidRPr="00AC4363">
              <w:t>Chi cuadrado</w:t>
            </w:r>
          </w:p>
        </w:tc>
        <w:tc>
          <w:tcPr>
            <w:tcW w:w="992" w:type="dxa"/>
          </w:tcPr>
          <w:p w14:paraId="0126571B" w14:textId="77777777" w:rsidR="007C3399" w:rsidRPr="00AC4363" w:rsidRDefault="007C3399" w:rsidP="00D37784">
            <w:pPr>
              <w:spacing w:after="0"/>
              <w:jc w:val="center"/>
            </w:pPr>
            <w:r w:rsidRPr="00AC4363">
              <w:t>gl</w:t>
            </w:r>
          </w:p>
        </w:tc>
        <w:tc>
          <w:tcPr>
            <w:tcW w:w="1418" w:type="dxa"/>
          </w:tcPr>
          <w:p w14:paraId="36E84B99" w14:textId="77777777" w:rsidR="007C3399" w:rsidRPr="00AC4363" w:rsidRDefault="007C3399" w:rsidP="00D37784">
            <w:pPr>
              <w:spacing w:after="0"/>
              <w:jc w:val="center"/>
            </w:pPr>
            <w:r w:rsidRPr="00AC4363">
              <w:t>p-valor</w:t>
            </w:r>
          </w:p>
        </w:tc>
        <w:tc>
          <w:tcPr>
            <w:tcW w:w="2693" w:type="dxa"/>
            <w:vMerge/>
          </w:tcPr>
          <w:p w14:paraId="08A90D8B" w14:textId="77777777" w:rsidR="007C3399" w:rsidRPr="00AC4363" w:rsidRDefault="007C3399" w:rsidP="00D37784">
            <w:pPr>
              <w:spacing w:after="0"/>
              <w:jc w:val="center"/>
            </w:pPr>
          </w:p>
        </w:tc>
      </w:tr>
      <w:tr w:rsidR="007C3399" w:rsidRPr="00AC4363" w14:paraId="25010B98" w14:textId="77777777" w:rsidTr="00AC4363">
        <w:trPr>
          <w:jc w:val="center"/>
        </w:trPr>
        <w:tc>
          <w:tcPr>
            <w:tcW w:w="1134" w:type="dxa"/>
          </w:tcPr>
          <w:p w14:paraId="40B56B7F" w14:textId="77777777" w:rsidR="007C3399" w:rsidRPr="00AC4363" w:rsidRDefault="007C3399" w:rsidP="00D37784">
            <w:pPr>
              <w:spacing w:after="0"/>
              <w:jc w:val="center"/>
            </w:pPr>
            <w:r w:rsidRPr="00AC4363">
              <w:t>0.970</w:t>
            </w:r>
          </w:p>
        </w:tc>
        <w:tc>
          <w:tcPr>
            <w:tcW w:w="1843" w:type="dxa"/>
          </w:tcPr>
          <w:p w14:paraId="0AE9C83F" w14:textId="77777777" w:rsidR="007C3399" w:rsidRPr="00AC4363" w:rsidRDefault="007C3399" w:rsidP="00D37784">
            <w:pPr>
              <w:spacing w:after="0"/>
              <w:jc w:val="center"/>
            </w:pPr>
            <w:r w:rsidRPr="00AC4363">
              <w:t>5852.096</w:t>
            </w:r>
          </w:p>
        </w:tc>
        <w:tc>
          <w:tcPr>
            <w:tcW w:w="992" w:type="dxa"/>
          </w:tcPr>
          <w:p w14:paraId="45B3DBF3" w14:textId="77777777" w:rsidR="007C3399" w:rsidRPr="00AC4363" w:rsidRDefault="007C3399" w:rsidP="00D37784">
            <w:pPr>
              <w:spacing w:after="0"/>
              <w:jc w:val="center"/>
            </w:pPr>
            <w:r w:rsidRPr="00AC4363">
              <w:t>253</w:t>
            </w:r>
          </w:p>
        </w:tc>
        <w:tc>
          <w:tcPr>
            <w:tcW w:w="1418" w:type="dxa"/>
          </w:tcPr>
          <w:p w14:paraId="2009C28F" w14:textId="21553740" w:rsidR="007C3399" w:rsidRPr="00AC4363" w:rsidRDefault="007C3399" w:rsidP="00D37784">
            <w:pPr>
              <w:spacing w:after="0"/>
              <w:jc w:val="center"/>
            </w:pPr>
            <w:r w:rsidRPr="00AC4363">
              <w:t>0.00</w:t>
            </w:r>
            <w:r w:rsidR="00DC45C2" w:rsidRPr="00AC4363">
              <w:t>1</w:t>
            </w:r>
          </w:p>
        </w:tc>
        <w:tc>
          <w:tcPr>
            <w:tcW w:w="2693" w:type="dxa"/>
          </w:tcPr>
          <w:p w14:paraId="3179B427" w14:textId="77777777" w:rsidR="007C3399" w:rsidRPr="00AC4363" w:rsidRDefault="007C3399" w:rsidP="00D37784">
            <w:pPr>
              <w:spacing w:after="0"/>
              <w:jc w:val="center"/>
            </w:pPr>
            <w:r w:rsidRPr="00AC4363">
              <w:t>66.735</w:t>
            </w:r>
          </w:p>
        </w:tc>
      </w:tr>
      <w:tr w:rsidR="007C3399" w:rsidRPr="00AC4363" w14:paraId="4630CFA4" w14:textId="77777777" w:rsidTr="00AC4363">
        <w:trPr>
          <w:jc w:val="center"/>
        </w:trPr>
        <w:tc>
          <w:tcPr>
            <w:tcW w:w="8080" w:type="dxa"/>
            <w:gridSpan w:val="5"/>
          </w:tcPr>
          <w:p w14:paraId="34268E60" w14:textId="77777777" w:rsidR="007C3399" w:rsidRPr="00AC4363" w:rsidRDefault="007C3399" w:rsidP="00D37784">
            <w:pPr>
              <w:spacing w:after="0"/>
              <w:jc w:val="center"/>
            </w:pPr>
            <w:r w:rsidRPr="00AC4363">
              <w:t>Segunda Reducción</w:t>
            </w:r>
          </w:p>
        </w:tc>
      </w:tr>
      <w:tr w:rsidR="007C3399" w:rsidRPr="00AC4363" w14:paraId="488C85C9" w14:textId="77777777" w:rsidTr="00AC4363">
        <w:trPr>
          <w:jc w:val="center"/>
        </w:trPr>
        <w:tc>
          <w:tcPr>
            <w:tcW w:w="1134" w:type="dxa"/>
          </w:tcPr>
          <w:p w14:paraId="599AAD74" w14:textId="77777777" w:rsidR="007C3399" w:rsidRPr="00AC4363" w:rsidRDefault="007C3399" w:rsidP="00D37784">
            <w:pPr>
              <w:spacing w:after="0"/>
              <w:jc w:val="center"/>
            </w:pPr>
            <w:r w:rsidRPr="00AC4363">
              <w:t>0.964</w:t>
            </w:r>
          </w:p>
        </w:tc>
        <w:tc>
          <w:tcPr>
            <w:tcW w:w="1843" w:type="dxa"/>
          </w:tcPr>
          <w:p w14:paraId="1DFD240B" w14:textId="77777777" w:rsidR="007C3399" w:rsidRPr="00AC4363" w:rsidRDefault="007C3399" w:rsidP="00D37784">
            <w:pPr>
              <w:spacing w:after="0"/>
              <w:jc w:val="center"/>
            </w:pPr>
            <w:r w:rsidRPr="00AC4363">
              <w:t>4508.256</w:t>
            </w:r>
          </w:p>
        </w:tc>
        <w:tc>
          <w:tcPr>
            <w:tcW w:w="992" w:type="dxa"/>
          </w:tcPr>
          <w:p w14:paraId="135C78DD" w14:textId="77777777" w:rsidR="007C3399" w:rsidRPr="00AC4363" w:rsidRDefault="007C3399" w:rsidP="00D37784">
            <w:pPr>
              <w:spacing w:after="0"/>
              <w:jc w:val="center"/>
            </w:pPr>
            <w:r w:rsidRPr="00AC4363">
              <w:t>171</w:t>
            </w:r>
          </w:p>
        </w:tc>
        <w:tc>
          <w:tcPr>
            <w:tcW w:w="1418" w:type="dxa"/>
          </w:tcPr>
          <w:p w14:paraId="5D9578F8" w14:textId="630DDC38" w:rsidR="007C3399" w:rsidRPr="00AC4363" w:rsidRDefault="007C3399" w:rsidP="00D37784">
            <w:pPr>
              <w:spacing w:after="0"/>
              <w:jc w:val="center"/>
            </w:pPr>
            <w:r w:rsidRPr="00AC4363">
              <w:t>0.00</w:t>
            </w:r>
            <w:r w:rsidR="00DC45C2" w:rsidRPr="00AC4363">
              <w:t>1</w:t>
            </w:r>
          </w:p>
        </w:tc>
        <w:tc>
          <w:tcPr>
            <w:tcW w:w="2693" w:type="dxa"/>
          </w:tcPr>
          <w:p w14:paraId="4A4EB542" w14:textId="77777777" w:rsidR="007C3399" w:rsidRPr="00AC4363" w:rsidRDefault="007C3399" w:rsidP="00D37784">
            <w:pPr>
              <w:spacing w:after="0"/>
              <w:jc w:val="center"/>
            </w:pPr>
            <w:r w:rsidRPr="00AC4363">
              <w:t>67.619</w:t>
            </w:r>
          </w:p>
        </w:tc>
      </w:tr>
    </w:tbl>
    <w:p w14:paraId="5C8AC580" w14:textId="769DDB85" w:rsidR="00726BAE" w:rsidRPr="00AC4363" w:rsidRDefault="007C3399" w:rsidP="00AC4363">
      <w:pPr>
        <w:spacing w:after="0" w:line="360" w:lineRule="auto"/>
        <w:jc w:val="center"/>
      </w:pPr>
      <w:r w:rsidRPr="00AC4363">
        <w:rPr>
          <w:i/>
          <w:iCs/>
        </w:rPr>
        <w:t>Nota</w:t>
      </w:r>
      <w:r w:rsidR="00AC20C8" w:rsidRPr="00AC4363">
        <w:rPr>
          <w:i/>
          <w:iCs/>
        </w:rPr>
        <w:t>.</w:t>
      </w:r>
      <w:r w:rsidRPr="00AC4363">
        <w:t xml:space="preserve"> a. Basado en correlaciones; b. Medida de adecuación muestral de Kaiser-Meyer-Olkin</w:t>
      </w:r>
    </w:p>
    <w:p w14:paraId="08234D24" w14:textId="2C2805A3" w:rsidR="00F37E0C" w:rsidRDefault="00932E09" w:rsidP="00063D96">
      <w:pPr>
        <w:spacing w:after="0" w:line="360" w:lineRule="auto"/>
        <w:ind w:right="48" w:firstLine="708"/>
        <w:jc w:val="both"/>
      </w:pPr>
      <w:r>
        <w:rPr>
          <w:color w:val="000000"/>
        </w:rPr>
        <w:lastRenderedPageBreak/>
        <w:t>Se observa también que existe reducción en el valor de Chi cuadrado, debido a la reducción de los grados de libertad</w:t>
      </w:r>
      <w:r w:rsidR="001B6ED4">
        <w:rPr>
          <w:color w:val="000000"/>
        </w:rPr>
        <w:t>.</w:t>
      </w:r>
      <w:r w:rsidR="00A305AD">
        <w:rPr>
          <w:color w:val="000000"/>
        </w:rPr>
        <w:t xml:space="preserve"> </w:t>
      </w:r>
      <w:r w:rsidR="00A305AD">
        <w:t>La Tabla 1</w:t>
      </w:r>
      <w:r w:rsidR="00A85514">
        <w:t>2</w:t>
      </w:r>
      <w:r w:rsidR="00A305AD">
        <w:t xml:space="preserve"> muestra cómo se agrupan </w:t>
      </w:r>
      <w:r w:rsidR="00722F88">
        <w:t>los cuatro constructos</w:t>
      </w:r>
      <w:r w:rsidR="00722F88" w:rsidRPr="00722F88">
        <w:t xml:space="preserve"> </w:t>
      </w:r>
      <w:r w:rsidR="00722F88">
        <w:t xml:space="preserve">originales antes del AFE, </w:t>
      </w:r>
      <w:r w:rsidR="00A305AD">
        <w:t xml:space="preserve">en tres variables latentes. En la variable </w:t>
      </w:r>
      <w:r w:rsidR="00A305AD" w:rsidRPr="00722F88">
        <w:rPr>
          <w:i/>
          <w:iCs/>
        </w:rPr>
        <w:t xml:space="preserve">Desarrollo humano </w:t>
      </w:r>
      <w:r w:rsidR="00722F88" w:rsidRPr="00722F88">
        <w:rPr>
          <w:i/>
          <w:iCs/>
        </w:rPr>
        <w:t>y responsabilidad social</w:t>
      </w:r>
      <w:r w:rsidR="00A305AD">
        <w:t xml:space="preserve">, se agrupan las variables latentes </w:t>
      </w:r>
      <w:r w:rsidR="00A305AD" w:rsidRPr="00722F88">
        <w:rPr>
          <w:i/>
          <w:iCs/>
        </w:rPr>
        <w:t>Responsabilidad social y ambiental</w:t>
      </w:r>
      <w:r w:rsidR="00A305AD">
        <w:t xml:space="preserve"> y la </w:t>
      </w:r>
      <w:r w:rsidR="00722F88" w:rsidRPr="00722F88">
        <w:rPr>
          <w:i/>
          <w:iCs/>
        </w:rPr>
        <w:t>E</w:t>
      </w:r>
      <w:r w:rsidR="00A305AD" w:rsidRPr="00722F88">
        <w:rPr>
          <w:i/>
          <w:iCs/>
        </w:rPr>
        <w:t xml:space="preserve">nseñanza de la comprensión y </w:t>
      </w:r>
      <w:r w:rsidR="003E62FD">
        <w:rPr>
          <w:i/>
          <w:iCs/>
        </w:rPr>
        <w:t xml:space="preserve">de la </w:t>
      </w:r>
      <w:r w:rsidR="00A305AD" w:rsidRPr="00722F88">
        <w:rPr>
          <w:i/>
          <w:iCs/>
        </w:rPr>
        <w:t>condición humana</w:t>
      </w:r>
      <w:r w:rsidR="00722F88">
        <w:rPr>
          <w:i/>
          <w:iCs/>
        </w:rPr>
        <w:t xml:space="preserve">, </w:t>
      </w:r>
      <w:r w:rsidR="00722F88">
        <w:t xml:space="preserve">lo que permite aún más la simplificación del modelo teórico. </w:t>
      </w:r>
    </w:p>
    <w:p w14:paraId="3C3663EE" w14:textId="77777777" w:rsidR="00AC4363" w:rsidRPr="00722F88" w:rsidRDefault="00AC4363" w:rsidP="00063D96">
      <w:pPr>
        <w:spacing w:after="0" w:line="360" w:lineRule="auto"/>
        <w:ind w:right="48" w:firstLine="708"/>
        <w:jc w:val="both"/>
        <w:rPr>
          <w:color w:val="000000"/>
        </w:rPr>
      </w:pPr>
    </w:p>
    <w:p w14:paraId="7590D74C" w14:textId="1ECF3D4C" w:rsidR="00932E09" w:rsidRPr="00AC4363" w:rsidRDefault="00932E09" w:rsidP="00AC4363">
      <w:pPr>
        <w:spacing w:after="0" w:line="360" w:lineRule="auto"/>
        <w:ind w:right="-713"/>
        <w:jc w:val="center"/>
        <w:rPr>
          <w:color w:val="000000"/>
        </w:rPr>
      </w:pPr>
      <w:r w:rsidRPr="00D62822">
        <w:rPr>
          <w:b/>
          <w:bCs/>
          <w:color w:val="000000"/>
        </w:rPr>
        <w:t>Tabla 1</w:t>
      </w:r>
      <w:r w:rsidR="00A85514">
        <w:rPr>
          <w:b/>
          <w:bCs/>
          <w:color w:val="000000"/>
        </w:rPr>
        <w:t>2</w:t>
      </w:r>
      <w:r w:rsidR="00AC4363">
        <w:rPr>
          <w:b/>
          <w:bCs/>
          <w:color w:val="000000"/>
        </w:rPr>
        <w:t xml:space="preserve">. </w:t>
      </w:r>
      <w:r w:rsidR="007F403E" w:rsidRPr="00AC4363">
        <w:rPr>
          <w:color w:val="000000"/>
        </w:rPr>
        <w:t xml:space="preserve">Cargas factoriales </w:t>
      </w:r>
      <w:r w:rsidR="001B6ED4" w:rsidRPr="00AC4363">
        <w:rPr>
          <w:color w:val="000000"/>
        </w:rPr>
        <w:t>en la dimensión Gestión e innovación de procesos y proyectos</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3260"/>
        <w:gridCol w:w="1134"/>
        <w:gridCol w:w="709"/>
        <w:gridCol w:w="709"/>
        <w:gridCol w:w="1417"/>
      </w:tblGrid>
      <w:tr w:rsidR="003E62FD" w:rsidRPr="00AC4363" w14:paraId="276CF61A" w14:textId="1BFAB2C3" w:rsidTr="00AC4363">
        <w:trPr>
          <w:cantSplit/>
        </w:trPr>
        <w:tc>
          <w:tcPr>
            <w:tcW w:w="1985" w:type="dxa"/>
            <w:vMerge w:val="restart"/>
            <w:shd w:val="clear" w:color="auto" w:fill="FFFFFF"/>
          </w:tcPr>
          <w:p w14:paraId="54694809" w14:textId="77777777" w:rsidR="009471AB" w:rsidRPr="00AC4363" w:rsidRDefault="009471AB" w:rsidP="00092354">
            <w:pPr>
              <w:autoSpaceDE w:val="0"/>
              <w:autoSpaceDN w:val="0"/>
              <w:adjustRightInd w:val="0"/>
              <w:spacing w:after="0"/>
              <w:ind w:left="60" w:right="60"/>
              <w:rPr>
                <w:rFonts w:eastAsiaTheme="minorHAnsi"/>
                <w:color w:val="000000"/>
                <w:sz w:val="20"/>
                <w:szCs w:val="20"/>
                <w:lang w:eastAsia="en-US"/>
              </w:rPr>
            </w:pPr>
          </w:p>
          <w:p w14:paraId="147D9353" w14:textId="6F55381E" w:rsidR="009471AB" w:rsidRPr="00AC4363" w:rsidRDefault="009471AB" w:rsidP="00092354">
            <w:pPr>
              <w:autoSpaceDE w:val="0"/>
              <w:autoSpaceDN w:val="0"/>
              <w:adjustRightInd w:val="0"/>
              <w:spacing w:after="0"/>
              <w:ind w:left="60" w:right="60"/>
              <w:rPr>
                <w:rFonts w:eastAsiaTheme="minorHAnsi"/>
                <w:color w:val="000000"/>
                <w:sz w:val="20"/>
                <w:szCs w:val="20"/>
                <w:lang w:eastAsia="en-US"/>
              </w:rPr>
            </w:pPr>
            <w:r w:rsidRPr="00AC4363">
              <w:rPr>
                <w:rFonts w:eastAsiaTheme="minorHAnsi"/>
                <w:color w:val="000000"/>
                <w:sz w:val="20"/>
                <w:szCs w:val="20"/>
                <w:lang w:eastAsia="en-US"/>
              </w:rPr>
              <w:t xml:space="preserve">Variables </w:t>
            </w:r>
            <w:r w:rsidR="003E62FD" w:rsidRPr="00AC4363">
              <w:rPr>
                <w:rFonts w:eastAsiaTheme="minorHAnsi"/>
                <w:color w:val="000000"/>
                <w:sz w:val="20"/>
                <w:szCs w:val="20"/>
                <w:lang w:eastAsia="en-US"/>
              </w:rPr>
              <w:t>l</w:t>
            </w:r>
            <w:r w:rsidRPr="00AC4363">
              <w:rPr>
                <w:rFonts w:eastAsiaTheme="minorHAnsi"/>
                <w:color w:val="000000"/>
                <w:sz w:val="20"/>
                <w:szCs w:val="20"/>
                <w:lang w:eastAsia="en-US"/>
              </w:rPr>
              <w:t>atentes</w:t>
            </w:r>
          </w:p>
        </w:tc>
        <w:tc>
          <w:tcPr>
            <w:tcW w:w="3260" w:type="dxa"/>
            <w:vMerge w:val="restart"/>
            <w:shd w:val="clear" w:color="auto" w:fill="FFFFFF"/>
          </w:tcPr>
          <w:p w14:paraId="467A11DE" w14:textId="77777777" w:rsidR="009471AB" w:rsidRPr="00AC4363" w:rsidRDefault="009471AB" w:rsidP="00092354">
            <w:pPr>
              <w:autoSpaceDE w:val="0"/>
              <w:autoSpaceDN w:val="0"/>
              <w:adjustRightInd w:val="0"/>
              <w:spacing w:after="0"/>
              <w:ind w:left="60" w:right="60"/>
              <w:jc w:val="center"/>
              <w:rPr>
                <w:rFonts w:eastAsiaTheme="minorHAnsi"/>
                <w:color w:val="000000"/>
                <w:sz w:val="20"/>
                <w:szCs w:val="20"/>
                <w:lang w:eastAsia="en-US"/>
              </w:rPr>
            </w:pPr>
          </w:p>
          <w:p w14:paraId="737F5AC0" w14:textId="1849DAA6" w:rsidR="009471AB" w:rsidRPr="00AC4363" w:rsidRDefault="009471AB" w:rsidP="00092354">
            <w:pPr>
              <w:autoSpaceDE w:val="0"/>
              <w:autoSpaceDN w:val="0"/>
              <w:adjustRightInd w:val="0"/>
              <w:spacing w:after="0"/>
              <w:ind w:left="60" w:right="60"/>
              <w:jc w:val="center"/>
              <w:rPr>
                <w:rFonts w:eastAsiaTheme="minorHAnsi"/>
                <w:color w:val="000000"/>
                <w:sz w:val="20"/>
                <w:szCs w:val="20"/>
                <w:lang w:eastAsia="en-US"/>
              </w:rPr>
            </w:pPr>
            <w:r w:rsidRPr="00AC4363">
              <w:rPr>
                <w:rFonts w:eastAsiaTheme="minorHAnsi"/>
                <w:color w:val="000000"/>
                <w:sz w:val="20"/>
                <w:szCs w:val="20"/>
                <w:lang w:eastAsia="en-US"/>
              </w:rPr>
              <w:t xml:space="preserve">Variables </w:t>
            </w:r>
            <w:r w:rsidR="00CE79DD" w:rsidRPr="00AC4363">
              <w:rPr>
                <w:rFonts w:eastAsiaTheme="minorHAnsi"/>
                <w:color w:val="000000"/>
                <w:sz w:val="20"/>
                <w:szCs w:val="20"/>
                <w:lang w:eastAsia="en-US"/>
              </w:rPr>
              <w:t>o</w:t>
            </w:r>
            <w:r w:rsidRPr="00AC4363">
              <w:rPr>
                <w:rFonts w:eastAsiaTheme="minorHAnsi"/>
                <w:color w:val="000000"/>
                <w:sz w:val="20"/>
                <w:szCs w:val="20"/>
                <w:lang w:eastAsia="en-US"/>
              </w:rPr>
              <w:t>bserva</w:t>
            </w:r>
            <w:r w:rsidR="003E62FD" w:rsidRPr="00AC4363">
              <w:rPr>
                <w:rFonts w:eastAsiaTheme="minorHAnsi"/>
                <w:color w:val="000000"/>
                <w:sz w:val="20"/>
                <w:szCs w:val="20"/>
                <w:lang w:eastAsia="en-US"/>
              </w:rPr>
              <w:t>bles</w:t>
            </w:r>
            <w:r w:rsidRPr="00AC4363">
              <w:rPr>
                <w:rFonts w:eastAsiaTheme="minorHAnsi"/>
                <w:color w:val="000000"/>
                <w:sz w:val="20"/>
                <w:szCs w:val="20"/>
                <w:lang w:eastAsia="en-US"/>
              </w:rPr>
              <w:t xml:space="preserve"> o </w:t>
            </w:r>
            <w:r w:rsidR="003E62FD" w:rsidRPr="00AC4363">
              <w:rPr>
                <w:rFonts w:eastAsiaTheme="minorHAnsi"/>
                <w:color w:val="000000"/>
                <w:sz w:val="20"/>
                <w:szCs w:val="20"/>
                <w:lang w:eastAsia="en-US"/>
              </w:rPr>
              <w:t>í</w:t>
            </w:r>
            <w:r w:rsidRPr="00AC4363">
              <w:rPr>
                <w:rFonts w:eastAsiaTheme="minorHAnsi"/>
                <w:color w:val="000000"/>
                <w:sz w:val="20"/>
                <w:szCs w:val="20"/>
                <w:lang w:eastAsia="en-US"/>
              </w:rPr>
              <w:t>tems</w:t>
            </w:r>
          </w:p>
        </w:tc>
        <w:tc>
          <w:tcPr>
            <w:tcW w:w="2552" w:type="dxa"/>
            <w:gridSpan w:val="3"/>
            <w:shd w:val="clear" w:color="auto" w:fill="FFFFFF"/>
          </w:tcPr>
          <w:p w14:paraId="30898981" w14:textId="48F62250" w:rsidR="009471AB" w:rsidRPr="00AC4363" w:rsidRDefault="009471AB" w:rsidP="00092354">
            <w:pPr>
              <w:autoSpaceDE w:val="0"/>
              <w:autoSpaceDN w:val="0"/>
              <w:adjustRightInd w:val="0"/>
              <w:spacing w:after="0"/>
              <w:ind w:left="60" w:right="60"/>
              <w:jc w:val="center"/>
              <w:rPr>
                <w:rFonts w:eastAsiaTheme="minorHAnsi"/>
                <w:color w:val="000000"/>
                <w:sz w:val="20"/>
                <w:szCs w:val="20"/>
                <w:lang w:eastAsia="en-US"/>
              </w:rPr>
            </w:pPr>
            <w:r w:rsidRPr="00AC4363">
              <w:rPr>
                <w:color w:val="000000"/>
                <w:sz w:val="20"/>
                <w:szCs w:val="20"/>
              </w:rPr>
              <w:t xml:space="preserve">Cargas </w:t>
            </w:r>
            <w:r w:rsidR="00CE79DD" w:rsidRPr="00AC4363">
              <w:rPr>
                <w:color w:val="000000"/>
                <w:sz w:val="20"/>
                <w:szCs w:val="20"/>
              </w:rPr>
              <w:t>f</w:t>
            </w:r>
            <w:r w:rsidRPr="00AC4363">
              <w:rPr>
                <w:color w:val="000000"/>
                <w:sz w:val="20"/>
                <w:szCs w:val="20"/>
              </w:rPr>
              <w:t xml:space="preserve">actoriales </w:t>
            </w:r>
            <w:r w:rsidR="00064C61" w:rsidRPr="00AC4363">
              <w:rPr>
                <w:color w:val="000000"/>
                <w:sz w:val="20"/>
                <w:szCs w:val="20"/>
              </w:rPr>
              <w:t>en componentes</w:t>
            </w:r>
            <w:r w:rsidRPr="00AC4363">
              <w:rPr>
                <w:color w:val="000000"/>
                <w:sz w:val="20"/>
                <w:szCs w:val="20"/>
              </w:rPr>
              <w:t xml:space="preserve"> </w:t>
            </w:r>
            <w:r w:rsidR="00064C61" w:rsidRPr="00AC4363">
              <w:rPr>
                <w:color w:val="000000"/>
                <w:sz w:val="20"/>
                <w:szCs w:val="20"/>
              </w:rPr>
              <w:t>rotados</w:t>
            </w:r>
          </w:p>
        </w:tc>
        <w:tc>
          <w:tcPr>
            <w:tcW w:w="1417" w:type="dxa"/>
            <w:shd w:val="clear" w:color="auto" w:fill="FFFFFF"/>
          </w:tcPr>
          <w:p w14:paraId="7BA8A9DE" w14:textId="643C2D1E" w:rsidR="009471AB" w:rsidRPr="00AC4363" w:rsidRDefault="009471AB" w:rsidP="00092354">
            <w:pPr>
              <w:autoSpaceDE w:val="0"/>
              <w:autoSpaceDN w:val="0"/>
              <w:adjustRightInd w:val="0"/>
              <w:spacing w:after="0"/>
              <w:ind w:left="60" w:right="60"/>
              <w:jc w:val="center"/>
              <w:rPr>
                <w:color w:val="000000"/>
                <w:sz w:val="20"/>
                <w:szCs w:val="20"/>
              </w:rPr>
            </w:pPr>
            <w:r w:rsidRPr="00AC4363">
              <w:rPr>
                <w:color w:val="000000"/>
                <w:sz w:val="20"/>
                <w:szCs w:val="20"/>
              </w:rPr>
              <w:t>Comunalidades</w:t>
            </w:r>
          </w:p>
        </w:tc>
      </w:tr>
      <w:tr w:rsidR="003E62FD" w:rsidRPr="00AC4363" w14:paraId="45521FBA" w14:textId="1089B159" w:rsidTr="00AC4363">
        <w:trPr>
          <w:cantSplit/>
        </w:trPr>
        <w:tc>
          <w:tcPr>
            <w:tcW w:w="1985" w:type="dxa"/>
            <w:vMerge/>
            <w:shd w:val="clear" w:color="auto" w:fill="FFFFFF"/>
          </w:tcPr>
          <w:p w14:paraId="1A2A0DED" w14:textId="77777777" w:rsidR="009471AB" w:rsidRPr="00AC4363" w:rsidRDefault="009471AB" w:rsidP="00092354">
            <w:pPr>
              <w:autoSpaceDE w:val="0"/>
              <w:autoSpaceDN w:val="0"/>
              <w:adjustRightInd w:val="0"/>
              <w:spacing w:after="0"/>
              <w:rPr>
                <w:rFonts w:eastAsiaTheme="minorHAnsi"/>
                <w:color w:val="000000"/>
                <w:sz w:val="20"/>
                <w:szCs w:val="20"/>
                <w:lang w:eastAsia="en-US"/>
              </w:rPr>
            </w:pPr>
          </w:p>
        </w:tc>
        <w:tc>
          <w:tcPr>
            <w:tcW w:w="3260" w:type="dxa"/>
            <w:vMerge/>
            <w:shd w:val="clear" w:color="auto" w:fill="FFFFFF"/>
          </w:tcPr>
          <w:p w14:paraId="06706460" w14:textId="77777777" w:rsidR="009471AB" w:rsidRPr="00AC4363" w:rsidRDefault="009471AB" w:rsidP="00092354">
            <w:pPr>
              <w:autoSpaceDE w:val="0"/>
              <w:autoSpaceDN w:val="0"/>
              <w:adjustRightInd w:val="0"/>
              <w:spacing w:after="0"/>
              <w:ind w:left="60" w:right="60"/>
              <w:jc w:val="center"/>
              <w:rPr>
                <w:rFonts w:eastAsiaTheme="minorHAnsi"/>
                <w:color w:val="000000"/>
                <w:sz w:val="20"/>
                <w:szCs w:val="20"/>
                <w:lang w:eastAsia="en-US"/>
              </w:rPr>
            </w:pPr>
          </w:p>
        </w:tc>
        <w:tc>
          <w:tcPr>
            <w:tcW w:w="1134" w:type="dxa"/>
            <w:shd w:val="clear" w:color="auto" w:fill="FFFFFF"/>
          </w:tcPr>
          <w:p w14:paraId="5A6505B4" w14:textId="77C973E7" w:rsidR="009471AB" w:rsidRPr="00AC4363" w:rsidRDefault="009471AB" w:rsidP="00092354">
            <w:pPr>
              <w:autoSpaceDE w:val="0"/>
              <w:autoSpaceDN w:val="0"/>
              <w:adjustRightInd w:val="0"/>
              <w:spacing w:after="0"/>
              <w:ind w:left="60" w:right="60"/>
              <w:jc w:val="center"/>
              <w:rPr>
                <w:rFonts w:eastAsiaTheme="minorHAnsi"/>
                <w:color w:val="000000"/>
                <w:sz w:val="20"/>
                <w:szCs w:val="20"/>
                <w:lang w:eastAsia="en-US"/>
              </w:rPr>
            </w:pPr>
            <w:r w:rsidRPr="00AC4363">
              <w:rPr>
                <w:rFonts w:eastAsiaTheme="minorHAnsi"/>
                <w:color w:val="000000"/>
                <w:sz w:val="20"/>
                <w:szCs w:val="20"/>
                <w:lang w:eastAsia="en-US"/>
              </w:rPr>
              <w:t>1</w:t>
            </w:r>
          </w:p>
        </w:tc>
        <w:tc>
          <w:tcPr>
            <w:tcW w:w="709" w:type="dxa"/>
            <w:shd w:val="clear" w:color="auto" w:fill="FFFFFF"/>
          </w:tcPr>
          <w:p w14:paraId="7098A49A" w14:textId="77777777" w:rsidR="009471AB" w:rsidRPr="00AC4363" w:rsidRDefault="009471AB" w:rsidP="00092354">
            <w:pPr>
              <w:autoSpaceDE w:val="0"/>
              <w:autoSpaceDN w:val="0"/>
              <w:adjustRightInd w:val="0"/>
              <w:spacing w:after="0"/>
              <w:ind w:left="60" w:right="60"/>
              <w:jc w:val="center"/>
              <w:rPr>
                <w:rFonts w:eastAsiaTheme="minorHAnsi"/>
                <w:color w:val="000000"/>
                <w:sz w:val="20"/>
                <w:szCs w:val="20"/>
                <w:lang w:eastAsia="en-US"/>
              </w:rPr>
            </w:pPr>
            <w:r w:rsidRPr="00AC4363">
              <w:rPr>
                <w:rFonts w:eastAsiaTheme="minorHAnsi"/>
                <w:color w:val="000000"/>
                <w:sz w:val="20"/>
                <w:szCs w:val="20"/>
                <w:lang w:eastAsia="en-US"/>
              </w:rPr>
              <w:t>2</w:t>
            </w:r>
          </w:p>
        </w:tc>
        <w:tc>
          <w:tcPr>
            <w:tcW w:w="709" w:type="dxa"/>
            <w:shd w:val="clear" w:color="auto" w:fill="FFFFFF"/>
          </w:tcPr>
          <w:p w14:paraId="2AEF9C76" w14:textId="77777777" w:rsidR="009471AB" w:rsidRPr="00AC4363" w:rsidRDefault="009471AB" w:rsidP="00092354">
            <w:pPr>
              <w:autoSpaceDE w:val="0"/>
              <w:autoSpaceDN w:val="0"/>
              <w:adjustRightInd w:val="0"/>
              <w:spacing w:after="0"/>
              <w:ind w:left="60" w:right="60"/>
              <w:jc w:val="center"/>
              <w:rPr>
                <w:rFonts w:eastAsiaTheme="minorHAnsi"/>
                <w:color w:val="000000"/>
                <w:sz w:val="20"/>
                <w:szCs w:val="20"/>
                <w:lang w:eastAsia="en-US"/>
              </w:rPr>
            </w:pPr>
            <w:r w:rsidRPr="00AC4363">
              <w:rPr>
                <w:rFonts w:eastAsiaTheme="minorHAnsi"/>
                <w:color w:val="000000"/>
                <w:sz w:val="20"/>
                <w:szCs w:val="20"/>
                <w:lang w:eastAsia="en-US"/>
              </w:rPr>
              <w:t>3</w:t>
            </w:r>
          </w:p>
        </w:tc>
        <w:tc>
          <w:tcPr>
            <w:tcW w:w="1417" w:type="dxa"/>
            <w:shd w:val="clear" w:color="auto" w:fill="FFFFFF"/>
          </w:tcPr>
          <w:p w14:paraId="0D655503" w14:textId="77777777" w:rsidR="009471AB" w:rsidRPr="00AC4363" w:rsidRDefault="009471AB" w:rsidP="00092354">
            <w:pPr>
              <w:autoSpaceDE w:val="0"/>
              <w:autoSpaceDN w:val="0"/>
              <w:adjustRightInd w:val="0"/>
              <w:spacing w:after="0"/>
              <w:ind w:left="60" w:right="60"/>
              <w:jc w:val="center"/>
              <w:rPr>
                <w:rFonts w:eastAsiaTheme="minorHAnsi"/>
                <w:color w:val="000000"/>
                <w:sz w:val="20"/>
                <w:szCs w:val="20"/>
                <w:lang w:eastAsia="en-US"/>
              </w:rPr>
            </w:pPr>
          </w:p>
        </w:tc>
      </w:tr>
      <w:tr w:rsidR="003E62FD" w:rsidRPr="00AC4363" w14:paraId="6F9EE8A8" w14:textId="037B17FB" w:rsidTr="00AC4363">
        <w:trPr>
          <w:cantSplit/>
        </w:trPr>
        <w:tc>
          <w:tcPr>
            <w:tcW w:w="1985" w:type="dxa"/>
            <w:vMerge w:val="restart"/>
            <w:vAlign w:val="center"/>
          </w:tcPr>
          <w:p w14:paraId="7A97F9A2" w14:textId="311C8631" w:rsidR="009471AB" w:rsidRPr="00AC4363" w:rsidRDefault="009471AB" w:rsidP="003E62FD">
            <w:pPr>
              <w:autoSpaceDE w:val="0"/>
              <w:autoSpaceDN w:val="0"/>
              <w:adjustRightInd w:val="0"/>
              <w:spacing w:after="0"/>
              <w:ind w:right="60"/>
              <w:rPr>
                <w:rFonts w:eastAsiaTheme="minorHAnsi"/>
                <w:color w:val="000000"/>
                <w:sz w:val="20"/>
                <w:szCs w:val="20"/>
                <w:lang w:eastAsia="en-US"/>
              </w:rPr>
            </w:pPr>
            <w:r w:rsidRPr="00AC4363">
              <w:rPr>
                <w:rFonts w:eastAsiaTheme="minorHAnsi"/>
                <w:color w:val="000000"/>
                <w:sz w:val="20"/>
                <w:szCs w:val="20"/>
                <w:lang w:eastAsia="en-US"/>
              </w:rPr>
              <w:t xml:space="preserve">Liderazgo y </w:t>
            </w:r>
            <w:r w:rsidR="003E62FD" w:rsidRPr="00AC4363">
              <w:rPr>
                <w:rFonts w:eastAsiaTheme="minorHAnsi"/>
                <w:color w:val="000000"/>
                <w:sz w:val="20"/>
                <w:szCs w:val="20"/>
                <w:lang w:eastAsia="en-US"/>
              </w:rPr>
              <w:t>t</w:t>
            </w:r>
            <w:r w:rsidRPr="00AC4363">
              <w:rPr>
                <w:rFonts w:eastAsiaTheme="minorHAnsi"/>
                <w:color w:val="000000"/>
                <w:sz w:val="20"/>
                <w:szCs w:val="20"/>
                <w:lang w:eastAsia="en-US"/>
              </w:rPr>
              <w:t xml:space="preserve">rabajo en </w:t>
            </w:r>
            <w:r w:rsidR="003E62FD" w:rsidRPr="00AC4363">
              <w:rPr>
                <w:rFonts w:eastAsiaTheme="minorHAnsi"/>
                <w:color w:val="000000"/>
                <w:sz w:val="20"/>
                <w:szCs w:val="20"/>
                <w:lang w:eastAsia="en-US"/>
              </w:rPr>
              <w:t>e</w:t>
            </w:r>
            <w:r w:rsidRPr="00AC4363">
              <w:rPr>
                <w:rFonts w:eastAsiaTheme="minorHAnsi"/>
                <w:color w:val="000000"/>
                <w:sz w:val="20"/>
                <w:szCs w:val="20"/>
                <w:lang w:eastAsia="en-US"/>
              </w:rPr>
              <w:t>quipo</w:t>
            </w:r>
          </w:p>
        </w:tc>
        <w:tc>
          <w:tcPr>
            <w:tcW w:w="3260" w:type="dxa"/>
          </w:tcPr>
          <w:p w14:paraId="1D1F922E" w14:textId="6C5A482B" w:rsidR="009471AB" w:rsidRPr="00AC4363" w:rsidRDefault="009471AB" w:rsidP="003E62FD">
            <w:pPr>
              <w:autoSpaceDE w:val="0"/>
              <w:autoSpaceDN w:val="0"/>
              <w:adjustRightInd w:val="0"/>
              <w:spacing w:after="0"/>
              <w:ind w:right="60"/>
              <w:rPr>
                <w:color w:val="000000"/>
                <w:sz w:val="20"/>
                <w:szCs w:val="20"/>
              </w:rPr>
            </w:pPr>
            <w:r w:rsidRPr="00AC4363">
              <w:rPr>
                <w:color w:val="000000"/>
                <w:sz w:val="20"/>
                <w:szCs w:val="20"/>
              </w:rPr>
              <w:t>Colaboración efectiva</w:t>
            </w:r>
          </w:p>
        </w:tc>
        <w:tc>
          <w:tcPr>
            <w:tcW w:w="1134" w:type="dxa"/>
            <w:vAlign w:val="center"/>
          </w:tcPr>
          <w:p w14:paraId="3350BE9A" w14:textId="3BC0C9E0" w:rsidR="009471AB" w:rsidRPr="00AC4363" w:rsidRDefault="003E62FD" w:rsidP="003E62FD">
            <w:pPr>
              <w:autoSpaceDE w:val="0"/>
              <w:autoSpaceDN w:val="0"/>
              <w:adjustRightInd w:val="0"/>
              <w:spacing w:after="0"/>
              <w:ind w:left="60" w:right="60"/>
              <w:jc w:val="right"/>
              <w:rPr>
                <w:rFonts w:eastAsiaTheme="minorHAnsi"/>
                <w:b/>
                <w:bCs/>
                <w:color w:val="000000"/>
                <w:sz w:val="20"/>
                <w:szCs w:val="20"/>
                <w:lang w:eastAsia="en-US"/>
              </w:rPr>
            </w:pPr>
            <w:r w:rsidRPr="00AC4363">
              <w:rPr>
                <w:rFonts w:eastAsiaTheme="minorHAnsi"/>
                <w:b/>
                <w:bCs/>
                <w:color w:val="000000"/>
                <w:sz w:val="20"/>
                <w:szCs w:val="20"/>
                <w:lang w:eastAsia="en-US"/>
              </w:rPr>
              <w:t>0</w:t>
            </w:r>
            <w:r w:rsidR="009471AB" w:rsidRPr="00AC4363">
              <w:rPr>
                <w:rFonts w:eastAsiaTheme="minorHAnsi"/>
                <w:b/>
                <w:bCs/>
                <w:color w:val="000000"/>
                <w:sz w:val="20"/>
                <w:szCs w:val="20"/>
                <w:lang w:eastAsia="en-US"/>
              </w:rPr>
              <w:t>.814</w:t>
            </w:r>
          </w:p>
        </w:tc>
        <w:tc>
          <w:tcPr>
            <w:tcW w:w="709" w:type="dxa"/>
            <w:vAlign w:val="center"/>
          </w:tcPr>
          <w:p w14:paraId="3BACF270" w14:textId="571B80C2" w:rsidR="009471AB" w:rsidRPr="00AC4363" w:rsidRDefault="009471AB" w:rsidP="003E62FD">
            <w:pPr>
              <w:autoSpaceDE w:val="0"/>
              <w:autoSpaceDN w:val="0"/>
              <w:adjustRightInd w:val="0"/>
              <w:spacing w:after="0"/>
              <w:ind w:left="60" w:right="60"/>
              <w:rPr>
                <w:rFonts w:eastAsiaTheme="minorHAnsi"/>
                <w:b/>
                <w:bCs/>
                <w:color w:val="000000"/>
                <w:sz w:val="20"/>
                <w:szCs w:val="20"/>
                <w:lang w:eastAsia="en-US"/>
              </w:rPr>
            </w:pPr>
          </w:p>
        </w:tc>
        <w:tc>
          <w:tcPr>
            <w:tcW w:w="709" w:type="dxa"/>
            <w:vAlign w:val="center"/>
          </w:tcPr>
          <w:p w14:paraId="74DD7A04" w14:textId="02AC32EF" w:rsidR="009471AB" w:rsidRPr="00AC4363" w:rsidRDefault="009471AB" w:rsidP="003E62FD">
            <w:pPr>
              <w:autoSpaceDE w:val="0"/>
              <w:autoSpaceDN w:val="0"/>
              <w:adjustRightInd w:val="0"/>
              <w:spacing w:after="0"/>
              <w:ind w:left="60" w:right="60"/>
              <w:rPr>
                <w:rFonts w:eastAsiaTheme="minorHAnsi"/>
                <w:color w:val="000000"/>
                <w:sz w:val="20"/>
                <w:szCs w:val="20"/>
                <w:lang w:eastAsia="en-US"/>
              </w:rPr>
            </w:pPr>
          </w:p>
        </w:tc>
        <w:tc>
          <w:tcPr>
            <w:tcW w:w="1417" w:type="dxa"/>
          </w:tcPr>
          <w:p w14:paraId="24539B07" w14:textId="7C31230E" w:rsidR="009471AB" w:rsidRPr="00AC4363" w:rsidRDefault="009471AB" w:rsidP="003E62FD">
            <w:pPr>
              <w:autoSpaceDE w:val="0"/>
              <w:autoSpaceDN w:val="0"/>
              <w:adjustRightInd w:val="0"/>
              <w:spacing w:after="0"/>
              <w:ind w:right="60"/>
              <w:jc w:val="center"/>
              <w:rPr>
                <w:rFonts w:eastAsiaTheme="minorHAnsi"/>
                <w:color w:val="000000"/>
                <w:sz w:val="20"/>
                <w:szCs w:val="20"/>
                <w:lang w:eastAsia="en-US"/>
              </w:rPr>
            </w:pPr>
            <w:r w:rsidRPr="00AC4363">
              <w:rPr>
                <w:rFonts w:eastAsiaTheme="minorHAnsi"/>
                <w:color w:val="000000"/>
                <w:sz w:val="20"/>
                <w:szCs w:val="20"/>
                <w:lang w:eastAsia="en-US"/>
              </w:rPr>
              <w:t>0.7</w:t>
            </w:r>
            <w:r w:rsidR="00AB0CE1" w:rsidRPr="00AC4363">
              <w:rPr>
                <w:rFonts w:eastAsiaTheme="minorHAnsi"/>
                <w:color w:val="000000"/>
                <w:sz w:val="20"/>
                <w:szCs w:val="20"/>
                <w:lang w:eastAsia="en-US"/>
              </w:rPr>
              <w:t>81</w:t>
            </w:r>
          </w:p>
        </w:tc>
      </w:tr>
      <w:tr w:rsidR="00CE79DD" w:rsidRPr="00AC4363" w14:paraId="161DC957" w14:textId="77777777" w:rsidTr="00AC4363">
        <w:trPr>
          <w:cantSplit/>
        </w:trPr>
        <w:tc>
          <w:tcPr>
            <w:tcW w:w="1985" w:type="dxa"/>
            <w:vMerge/>
            <w:vAlign w:val="center"/>
          </w:tcPr>
          <w:p w14:paraId="74509AC0" w14:textId="77777777" w:rsidR="00CE79DD" w:rsidRPr="00AC4363" w:rsidRDefault="00CE79DD" w:rsidP="003E62FD">
            <w:pPr>
              <w:autoSpaceDE w:val="0"/>
              <w:autoSpaceDN w:val="0"/>
              <w:adjustRightInd w:val="0"/>
              <w:spacing w:after="0"/>
              <w:ind w:right="60"/>
              <w:rPr>
                <w:rFonts w:eastAsiaTheme="minorHAnsi"/>
                <w:color w:val="000000"/>
                <w:sz w:val="20"/>
                <w:szCs w:val="20"/>
                <w:lang w:eastAsia="en-US"/>
              </w:rPr>
            </w:pPr>
          </w:p>
        </w:tc>
        <w:tc>
          <w:tcPr>
            <w:tcW w:w="3260" w:type="dxa"/>
          </w:tcPr>
          <w:p w14:paraId="534DAF7C" w14:textId="76C3A836" w:rsidR="00CE79DD" w:rsidRPr="00AC4363" w:rsidRDefault="00CE79DD" w:rsidP="003E62FD">
            <w:pPr>
              <w:autoSpaceDE w:val="0"/>
              <w:autoSpaceDN w:val="0"/>
              <w:adjustRightInd w:val="0"/>
              <w:spacing w:after="0"/>
              <w:ind w:right="60"/>
              <w:rPr>
                <w:color w:val="000000"/>
                <w:sz w:val="20"/>
                <w:szCs w:val="20"/>
              </w:rPr>
            </w:pPr>
            <w:r w:rsidRPr="00AC4363">
              <w:rPr>
                <w:color w:val="000000"/>
                <w:sz w:val="20"/>
                <w:szCs w:val="20"/>
              </w:rPr>
              <w:t>Roles y responsabilidades</w:t>
            </w:r>
          </w:p>
        </w:tc>
        <w:tc>
          <w:tcPr>
            <w:tcW w:w="1134" w:type="dxa"/>
            <w:vAlign w:val="center"/>
          </w:tcPr>
          <w:p w14:paraId="66520BED" w14:textId="0CB185AE" w:rsidR="00CE79DD" w:rsidRPr="00AC4363" w:rsidRDefault="00CE79DD" w:rsidP="003E62FD">
            <w:pPr>
              <w:autoSpaceDE w:val="0"/>
              <w:autoSpaceDN w:val="0"/>
              <w:adjustRightInd w:val="0"/>
              <w:spacing w:after="0"/>
              <w:ind w:left="60" w:right="60"/>
              <w:jc w:val="right"/>
              <w:rPr>
                <w:rFonts w:eastAsiaTheme="minorHAnsi"/>
                <w:b/>
                <w:bCs/>
                <w:color w:val="000000"/>
                <w:sz w:val="20"/>
                <w:szCs w:val="20"/>
                <w:lang w:eastAsia="en-US"/>
              </w:rPr>
            </w:pPr>
            <w:r w:rsidRPr="00AC4363">
              <w:rPr>
                <w:rFonts w:eastAsiaTheme="minorHAnsi"/>
                <w:b/>
                <w:bCs/>
                <w:color w:val="000000"/>
                <w:sz w:val="20"/>
                <w:szCs w:val="20"/>
                <w:lang w:eastAsia="en-US"/>
              </w:rPr>
              <w:t>0.797</w:t>
            </w:r>
          </w:p>
        </w:tc>
        <w:tc>
          <w:tcPr>
            <w:tcW w:w="709" w:type="dxa"/>
            <w:vAlign w:val="center"/>
          </w:tcPr>
          <w:p w14:paraId="74A061CE" w14:textId="77777777" w:rsidR="00CE79DD" w:rsidRPr="00AC4363" w:rsidRDefault="00CE79DD" w:rsidP="003E62FD">
            <w:pPr>
              <w:autoSpaceDE w:val="0"/>
              <w:autoSpaceDN w:val="0"/>
              <w:adjustRightInd w:val="0"/>
              <w:spacing w:after="0"/>
              <w:ind w:left="60" w:right="60"/>
              <w:rPr>
                <w:rFonts w:eastAsiaTheme="minorHAnsi"/>
                <w:b/>
                <w:bCs/>
                <w:color w:val="000000"/>
                <w:sz w:val="20"/>
                <w:szCs w:val="20"/>
                <w:lang w:eastAsia="en-US"/>
              </w:rPr>
            </w:pPr>
          </w:p>
        </w:tc>
        <w:tc>
          <w:tcPr>
            <w:tcW w:w="709" w:type="dxa"/>
            <w:vAlign w:val="center"/>
          </w:tcPr>
          <w:p w14:paraId="47D50C74" w14:textId="77777777" w:rsidR="00CE79DD" w:rsidRPr="00AC4363" w:rsidRDefault="00CE79DD" w:rsidP="003E62FD">
            <w:pPr>
              <w:autoSpaceDE w:val="0"/>
              <w:autoSpaceDN w:val="0"/>
              <w:adjustRightInd w:val="0"/>
              <w:spacing w:after="0"/>
              <w:ind w:left="60" w:right="60"/>
              <w:rPr>
                <w:rFonts w:eastAsiaTheme="minorHAnsi"/>
                <w:color w:val="000000"/>
                <w:sz w:val="20"/>
                <w:szCs w:val="20"/>
                <w:lang w:eastAsia="en-US"/>
              </w:rPr>
            </w:pPr>
          </w:p>
        </w:tc>
        <w:tc>
          <w:tcPr>
            <w:tcW w:w="1417" w:type="dxa"/>
          </w:tcPr>
          <w:p w14:paraId="534B9847" w14:textId="38AC8965" w:rsidR="00CE79DD" w:rsidRPr="00AC4363" w:rsidRDefault="00CE79DD" w:rsidP="003E62FD">
            <w:pPr>
              <w:autoSpaceDE w:val="0"/>
              <w:autoSpaceDN w:val="0"/>
              <w:adjustRightInd w:val="0"/>
              <w:spacing w:after="0"/>
              <w:ind w:right="60"/>
              <w:jc w:val="center"/>
              <w:rPr>
                <w:rFonts w:eastAsiaTheme="minorHAnsi"/>
                <w:color w:val="000000"/>
                <w:sz w:val="20"/>
                <w:szCs w:val="20"/>
                <w:lang w:eastAsia="en-US"/>
              </w:rPr>
            </w:pPr>
            <w:r w:rsidRPr="00AC4363">
              <w:rPr>
                <w:rFonts w:eastAsiaTheme="minorHAnsi"/>
                <w:color w:val="000000"/>
                <w:sz w:val="20"/>
                <w:szCs w:val="20"/>
                <w:lang w:eastAsia="en-US"/>
              </w:rPr>
              <w:t>0.805</w:t>
            </w:r>
          </w:p>
        </w:tc>
      </w:tr>
      <w:tr w:rsidR="003E62FD" w:rsidRPr="00AC4363" w14:paraId="76AE32D9" w14:textId="366F20C7" w:rsidTr="00AC4363">
        <w:trPr>
          <w:cantSplit/>
        </w:trPr>
        <w:tc>
          <w:tcPr>
            <w:tcW w:w="1985" w:type="dxa"/>
            <w:vMerge/>
            <w:vAlign w:val="center"/>
          </w:tcPr>
          <w:p w14:paraId="3E5062F4" w14:textId="7BF804CD" w:rsidR="009471AB" w:rsidRPr="00AC4363" w:rsidRDefault="009471AB" w:rsidP="003E62FD">
            <w:pPr>
              <w:autoSpaceDE w:val="0"/>
              <w:autoSpaceDN w:val="0"/>
              <w:adjustRightInd w:val="0"/>
              <w:spacing w:after="0"/>
              <w:ind w:left="60" w:right="60"/>
              <w:rPr>
                <w:rFonts w:eastAsiaTheme="minorHAnsi"/>
                <w:color w:val="000000"/>
                <w:sz w:val="20"/>
                <w:szCs w:val="20"/>
                <w:lang w:eastAsia="en-US"/>
              </w:rPr>
            </w:pPr>
          </w:p>
        </w:tc>
        <w:tc>
          <w:tcPr>
            <w:tcW w:w="3260" w:type="dxa"/>
          </w:tcPr>
          <w:p w14:paraId="772A3C84" w14:textId="282E5963" w:rsidR="009471AB" w:rsidRPr="00AC4363" w:rsidRDefault="00CE79DD" w:rsidP="003E62FD">
            <w:pPr>
              <w:autoSpaceDE w:val="0"/>
              <w:autoSpaceDN w:val="0"/>
              <w:adjustRightInd w:val="0"/>
              <w:spacing w:after="0"/>
              <w:ind w:right="60"/>
              <w:rPr>
                <w:color w:val="000000"/>
                <w:sz w:val="20"/>
                <w:szCs w:val="20"/>
              </w:rPr>
            </w:pPr>
            <w:r w:rsidRPr="00AC4363">
              <w:rPr>
                <w:color w:val="000000"/>
                <w:sz w:val="20"/>
                <w:szCs w:val="20"/>
              </w:rPr>
              <w:t>Toma de decisiones:</w:t>
            </w:r>
          </w:p>
        </w:tc>
        <w:tc>
          <w:tcPr>
            <w:tcW w:w="1134" w:type="dxa"/>
            <w:vAlign w:val="center"/>
          </w:tcPr>
          <w:p w14:paraId="2CF0F01A" w14:textId="33F7C665" w:rsidR="009471AB" w:rsidRPr="00AC4363" w:rsidRDefault="00CE79DD" w:rsidP="003E62FD">
            <w:pPr>
              <w:autoSpaceDE w:val="0"/>
              <w:autoSpaceDN w:val="0"/>
              <w:adjustRightInd w:val="0"/>
              <w:spacing w:after="0"/>
              <w:ind w:left="60" w:right="60"/>
              <w:jc w:val="right"/>
              <w:rPr>
                <w:rFonts w:eastAsiaTheme="minorHAnsi"/>
                <w:b/>
                <w:bCs/>
                <w:color w:val="000000"/>
                <w:sz w:val="20"/>
                <w:szCs w:val="20"/>
                <w:lang w:eastAsia="en-US"/>
              </w:rPr>
            </w:pPr>
            <w:r w:rsidRPr="00AC4363">
              <w:rPr>
                <w:rFonts w:eastAsiaTheme="minorHAnsi"/>
                <w:b/>
                <w:bCs/>
                <w:color w:val="000000"/>
                <w:sz w:val="20"/>
                <w:szCs w:val="20"/>
                <w:lang w:eastAsia="en-US"/>
              </w:rPr>
              <w:t>0.782</w:t>
            </w:r>
          </w:p>
        </w:tc>
        <w:tc>
          <w:tcPr>
            <w:tcW w:w="709" w:type="dxa"/>
            <w:vAlign w:val="center"/>
          </w:tcPr>
          <w:p w14:paraId="3237D789" w14:textId="1BF2B4A6" w:rsidR="009471AB" w:rsidRPr="00AC4363" w:rsidRDefault="009471AB" w:rsidP="003E62FD">
            <w:pPr>
              <w:autoSpaceDE w:val="0"/>
              <w:autoSpaceDN w:val="0"/>
              <w:adjustRightInd w:val="0"/>
              <w:spacing w:after="0"/>
              <w:ind w:right="60"/>
              <w:rPr>
                <w:rFonts w:eastAsiaTheme="minorHAnsi"/>
                <w:b/>
                <w:bCs/>
                <w:color w:val="000000"/>
                <w:sz w:val="20"/>
                <w:szCs w:val="20"/>
                <w:lang w:eastAsia="en-US"/>
              </w:rPr>
            </w:pPr>
          </w:p>
        </w:tc>
        <w:tc>
          <w:tcPr>
            <w:tcW w:w="709" w:type="dxa"/>
            <w:vAlign w:val="center"/>
          </w:tcPr>
          <w:p w14:paraId="23545E31" w14:textId="5544A63D" w:rsidR="009471AB" w:rsidRPr="00AC4363" w:rsidRDefault="009471AB" w:rsidP="003E62FD">
            <w:pPr>
              <w:autoSpaceDE w:val="0"/>
              <w:autoSpaceDN w:val="0"/>
              <w:adjustRightInd w:val="0"/>
              <w:spacing w:after="0"/>
              <w:ind w:left="60" w:right="60"/>
              <w:rPr>
                <w:rFonts w:eastAsiaTheme="minorHAnsi"/>
                <w:color w:val="000000"/>
                <w:sz w:val="20"/>
                <w:szCs w:val="20"/>
                <w:lang w:eastAsia="en-US"/>
              </w:rPr>
            </w:pPr>
          </w:p>
        </w:tc>
        <w:tc>
          <w:tcPr>
            <w:tcW w:w="1417" w:type="dxa"/>
          </w:tcPr>
          <w:p w14:paraId="604945D6" w14:textId="4470297E" w:rsidR="009471AB" w:rsidRPr="00AC4363" w:rsidRDefault="00CE79DD" w:rsidP="003E62FD">
            <w:pPr>
              <w:autoSpaceDE w:val="0"/>
              <w:autoSpaceDN w:val="0"/>
              <w:adjustRightInd w:val="0"/>
              <w:spacing w:after="0"/>
              <w:ind w:right="60"/>
              <w:jc w:val="center"/>
              <w:rPr>
                <w:rFonts w:eastAsiaTheme="minorHAnsi"/>
                <w:color w:val="000000"/>
                <w:sz w:val="20"/>
                <w:szCs w:val="20"/>
                <w:lang w:eastAsia="en-US"/>
              </w:rPr>
            </w:pPr>
            <w:r w:rsidRPr="00AC4363">
              <w:rPr>
                <w:rFonts w:eastAsiaTheme="minorHAnsi"/>
                <w:color w:val="000000"/>
                <w:sz w:val="20"/>
                <w:szCs w:val="20"/>
                <w:lang w:eastAsia="en-US"/>
              </w:rPr>
              <w:t>0.780</w:t>
            </w:r>
          </w:p>
        </w:tc>
      </w:tr>
      <w:tr w:rsidR="003E62FD" w:rsidRPr="00AC4363" w14:paraId="7DFD5BCA" w14:textId="3E11F74F" w:rsidTr="00AC4363">
        <w:trPr>
          <w:cantSplit/>
        </w:trPr>
        <w:tc>
          <w:tcPr>
            <w:tcW w:w="1985" w:type="dxa"/>
            <w:vMerge/>
            <w:vAlign w:val="center"/>
          </w:tcPr>
          <w:p w14:paraId="181A02AA" w14:textId="3232D91E" w:rsidR="009471AB" w:rsidRPr="00AC4363" w:rsidRDefault="009471AB" w:rsidP="003E62FD">
            <w:pPr>
              <w:autoSpaceDE w:val="0"/>
              <w:autoSpaceDN w:val="0"/>
              <w:adjustRightInd w:val="0"/>
              <w:spacing w:after="0"/>
              <w:ind w:left="60" w:right="60"/>
              <w:rPr>
                <w:rFonts w:eastAsiaTheme="minorHAnsi"/>
                <w:color w:val="000000"/>
                <w:sz w:val="20"/>
                <w:szCs w:val="20"/>
                <w:lang w:eastAsia="en-US"/>
              </w:rPr>
            </w:pPr>
          </w:p>
        </w:tc>
        <w:tc>
          <w:tcPr>
            <w:tcW w:w="3260" w:type="dxa"/>
          </w:tcPr>
          <w:p w14:paraId="7E88A1C1" w14:textId="63C02199" w:rsidR="009471AB" w:rsidRPr="00AC4363" w:rsidRDefault="009471AB" w:rsidP="003E62FD">
            <w:pPr>
              <w:autoSpaceDE w:val="0"/>
              <w:autoSpaceDN w:val="0"/>
              <w:adjustRightInd w:val="0"/>
              <w:spacing w:after="0"/>
              <w:ind w:right="60"/>
              <w:rPr>
                <w:color w:val="000000"/>
                <w:sz w:val="20"/>
                <w:szCs w:val="20"/>
              </w:rPr>
            </w:pPr>
            <w:r w:rsidRPr="00AC4363">
              <w:rPr>
                <w:color w:val="000000"/>
                <w:sz w:val="20"/>
                <w:szCs w:val="20"/>
              </w:rPr>
              <w:t>Líderazgo y mediación de conflictos</w:t>
            </w:r>
          </w:p>
        </w:tc>
        <w:tc>
          <w:tcPr>
            <w:tcW w:w="1134" w:type="dxa"/>
            <w:vAlign w:val="center"/>
          </w:tcPr>
          <w:p w14:paraId="38E4FD6A" w14:textId="646A8FD7" w:rsidR="009471AB" w:rsidRPr="00AC4363" w:rsidRDefault="003E62FD" w:rsidP="003E62FD">
            <w:pPr>
              <w:autoSpaceDE w:val="0"/>
              <w:autoSpaceDN w:val="0"/>
              <w:adjustRightInd w:val="0"/>
              <w:spacing w:after="0"/>
              <w:ind w:left="60" w:right="60"/>
              <w:jc w:val="right"/>
              <w:rPr>
                <w:rFonts w:eastAsiaTheme="minorHAnsi"/>
                <w:b/>
                <w:bCs/>
                <w:color w:val="000000"/>
                <w:sz w:val="20"/>
                <w:szCs w:val="20"/>
                <w:lang w:eastAsia="en-US"/>
              </w:rPr>
            </w:pPr>
            <w:r w:rsidRPr="00AC4363">
              <w:rPr>
                <w:rFonts w:eastAsiaTheme="minorHAnsi"/>
                <w:b/>
                <w:bCs/>
                <w:color w:val="000000"/>
                <w:sz w:val="20"/>
                <w:szCs w:val="20"/>
                <w:lang w:eastAsia="en-US"/>
              </w:rPr>
              <w:t>0</w:t>
            </w:r>
            <w:r w:rsidR="009471AB" w:rsidRPr="00AC4363">
              <w:rPr>
                <w:rFonts w:eastAsiaTheme="minorHAnsi"/>
                <w:b/>
                <w:bCs/>
                <w:color w:val="000000"/>
                <w:sz w:val="20"/>
                <w:szCs w:val="20"/>
                <w:lang w:eastAsia="en-US"/>
              </w:rPr>
              <w:t>.756</w:t>
            </w:r>
          </w:p>
        </w:tc>
        <w:tc>
          <w:tcPr>
            <w:tcW w:w="709" w:type="dxa"/>
            <w:vAlign w:val="center"/>
          </w:tcPr>
          <w:p w14:paraId="43DA9430" w14:textId="37C8142A" w:rsidR="009471AB" w:rsidRPr="00AC4363" w:rsidRDefault="009471AB" w:rsidP="003E62FD">
            <w:pPr>
              <w:autoSpaceDE w:val="0"/>
              <w:autoSpaceDN w:val="0"/>
              <w:adjustRightInd w:val="0"/>
              <w:spacing w:after="0"/>
              <w:ind w:left="60" w:right="60"/>
              <w:rPr>
                <w:rFonts w:eastAsiaTheme="minorHAnsi"/>
                <w:color w:val="000000"/>
                <w:sz w:val="20"/>
                <w:szCs w:val="20"/>
                <w:lang w:eastAsia="en-US"/>
              </w:rPr>
            </w:pPr>
          </w:p>
        </w:tc>
        <w:tc>
          <w:tcPr>
            <w:tcW w:w="709" w:type="dxa"/>
            <w:vAlign w:val="center"/>
          </w:tcPr>
          <w:p w14:paraId="3373D69F" w14:textId="08EF13E0" w:rsidR="009471AB" w:rsidRPr="00AC4363" w:rsidRDefault="009471AB" w:rsidP="003E62FD">
            <w:pPr>
              <w:autoSpaceDE w:val="0"/>
              <w:autoSpaceDN w:val="0"/>
              <w:adjustRightInd w:val="0"/>
              <w:spacing w:after="0"/>
              <w:ind w:left="60" w:right="60"/>
              <w:rPr>
                <w:rFonts w:eastAsiaTheme="minorHAnsi"/>
                <w:color w:val="000000"/>
                <w:sz w:val="20"/>
                <w:szCs w:val="20"/>
                <w:lang w:eastAsia="en-US"/>
              </w:rPr>
            </w:pPr>
          </w:p>
        </w:tc>
        <w:tc>
          <w:tcPr>
            <w:tcW w:w="1417" w:type="dxa"/>
          </w:tcPr>
          <w:p w14:paraId="52495954" w14:textId="63B000CC" w:rsidR="009471AB" w:rsidRPr="00AC4363" w:rsidRDefault="009471AB" w:rsidP="003E62FD">
            <w:pPr>
              <w:autoSpaceDE w:val="0"/>
              <w:autoSpaceDN w:val="0"/>
              <w:adjustRightInd w:val="0"/>
              <w:spacing w:after="0"/>
              <w:ind w:right="60"/>
              <w:jc w:val="center"/>
              <w:rPr>
                <w:rFonts w:eastAsiaTheme="minorHAnsi"/>
                <w:color w:val="000000"/>
                <w:sz w:val="20"/>
                <w:szCs w:val="20"/>
                <w:lang w:eastAsia="en-US"/>
              </w:rPr>
            </w:pPr>
            <w:r w:rsidRPr="00AC4363">
              <w:rPr>
                <w:rFonts w:eastAsiaTheme="minorHAnsi"/>
                <w:color w:val="000000"/>
                <w:sz w:val="20"/>
                <w:szCs w:val="20"/>
                <w:lang w:eastAsia="en-US"/>
              </w:rPr>
              <w:t>0.71</w:t>
            </w:r>
            <w:r w:rsidR="00AB0CE1" w:rsidRPr="00AC4363">
              <w:rPr>
                <w:rFonts w:eastAsiaTheme="minorHAnsi"/>
                <w:color w:val="000000"/>
                <w:sz w:val="20"/>
                <w:szCs w:val="20"/>
                <w:lang w:eastAsia="en-US"/>
              </w:rPr>
              <w:t>5</w:t>
            </w:r>
          </w:p>
        </w:tc>
      </w:tr>
      <w:tr w:rsidR="003E62FD" w:rsidRPr="00AC4363" w14:paraId="1DF33F90" w14:textId="62F4DE3B" w:rsidTr="00AC4363">
        <w:trPr>
          <w:cantSplit/>
        </w:trPr>
        <w:tc>
          <w:tcPr>
            <w:tcW w:w="1985" w:type="dxa"/>
            <w:vMerge/>
            <w:vAlign w:val="center"/>
          </w:tcPr>
          <w:p w14:paraId="7BB73FE7" w14:textId="70451B28" w:rsidR="009471AB" w:rsidRPr="00AC4363" w:rsidRDefault="009471AB" w:rsidP="003E62FD">
            <w:pPr>
              <w:autoSpaceDE w:val="0"/>
              <w:autoSpaceDN w:val="0"/>
              <w:adjustRightInd w:val="0"/>
              <w:spacing w:after="0"/>
              <w:ind w:left="60" w:right="60"/>
              <w:rPr>
                <w:rFonts w:eastAsiaTheme="minorHAnsi"/>
                <w:color w:val="000000"/>
                <w:sz w:val="20"/>
                <w:szCs w:val="20"/>
                <w:lang w:eastAsia="en-US"/>
              </w:rPr>
            </w:pPr>
          </w:p>
        </w:tc>
        <w:tc>
          <w:tcPr>
            <w:tcW w:w="3260" w:type="dxa"/>
          </w:tcPr>
          <w:p w14:paraId="069C5B7D" w14:textId="262FCEDC" w:rsidR="009471AB" w:rsidRPr="00AC4363" w:rsidRDefault="009471AB" w:rsidP="003E62FD">
            <w:pPr>
              <w:autoSpaceDE w:val="0"/>
              <w:autoSpaceDN w:val="0"/>
              <w:adjustRightInd w:val="0"/>
              <w:spacing w:after="0"/>
              <w:ind w:right="60"/>
              <w:rPr>
                <w:color w:val="000000"/>
                <w:sz w:val="20"/>
                <w:szCs w:val="20"/>
              </w:rPr>
            </w:pPr>
            <w:r w:rsidRPr="00AC4363">
              <w:rPr>
                <w:color w:val="000000"/>
                <w:sz w:val="20"/>
                <w:szCs w:val="20"/>
              </w:rPr>
              <w:t>Proponer ideas y soluciones</w:t>
            </w:r>
          </w:p>
        </w:tc>
        <w:tc>
          <w:tcPr>
            <w:tcW w:w="1134" w:type="dxa"/>
            <w:vAlign w:val="center"/>
          </w:tcPr>
          <w:p w14:paraId="401B73EF" w14:textId="671D120E" w:rsidR="009471AB" w:rsidRPr="00AC4363" w:rsidRDefault="003E62FD" w:rsidP="003E62FD">
            <w:pPr>
              <w:autoSpaceDE w:val="0"/>
              <w:autoSpaceDN w:val="0"/>
              <w:adjustRightInd w:val="0"/>
              <w:spacing w:after="0"/>
              <w:ind w:left="60" w:right="60"/>
              <w:jc w:val="right"/>
              <w:rPr>
                <w:rFonts w:eastAsiaTheme="minorHAnsi"/>
                <w:b/>
                <w:bCs/>
                <w:color w:val="000000"/>
                <w:sz w:val="20"/>
                <w:szCs w:val="20"/>
                <w:lang w:eastAsia="en-US"/>
              </w:rPr>
            </w:pPr>
            <w:r w:rsidRPr="00AC4363">
              <w:rPr>
                <w:rFonts w:eastAsiaTheme="minorHAnsi"/>
                <w:b/>
                <w:bCs/>
                <w:color w:val="000000"/>
                <w:sz w:val="20"/>
                <w:szCs w:val="20"/>
                <w:lang w:eastAsia="en-US"/>
              </w:rPr>
              <w:t>0</w:t>
            </w:r>
            <w:r w:rsidR="009471AB" w:rsidRPr="00AC4363">
              <w:rPr>
                <w:rFonts w:eastAsiaTheme="minorHAnsi"/>
                <w:b/>
                <w:bCs/>
                <w:color w:val="000000"/>
                <w:sz w:val="20"/>
                <w:szCs w:val="20"/>
                <w:lang w:eastAsia="en-US"/>
              </w:rPr>
              <w:t>.733</w:t>
            </w:r>
          </w:p>
        </w:tc>
        <w:tc>
          <w:tcPr>
            <w:tcW w:w="709" w:type="dxa"/>
            <w:vAlign w:val="center"/>
          </w:tcPr>
          <w:p w14:paraId="783B6AC4" w14:textId="674DCE99" w:rsidR="009471AB" w:rsidRPr="00AC4363" w:rsidRDefault="009471AB" w:rsidP="003E62FD">
            <w:pPr>
              <w:autoSpaceDE w:val="0"/>
              <w:autoSpaceDN w:val="0"/>
              <w:adjustRightInd w:val="0"/>
              <w:spacing w:after="0"/>
              <w:ind w:left="60" w:right="60"/>
              <w:rPr>
                <w:rFonts w:eastAsiaTheme="minorHAnsi"/>
                <w:color w:val="000000"/>
                <w:sz w:val="20"/>
                <w:szCs w:val="20"/>
                <w:lang w:eastAsia="en-US"/>
              </w:rPr>
            </w:pPr>
          </w:p>
        </w:tc>
        <w:tc>
          <w:tcPr>
            <w:tcW w:w="709" w:type="dxa"/>
            <w:vAlign w:val="center"/>
          </w:tcPr>
          <w:p w14:paraId="1A7BE455" w14:textId="77901850" w:rsidR="009471AB" w:rsidRPr="00AC4363" w:rsidRDefault="009471AB" w:rsidP="003E62FD">
            <w:pPr>
              <w:autoSpaceDE w:val="0"/>
              <w:autoSpaceDN w:val="0"/>
              <w:adjustRightInd w:val="0"/>
              <w:spacing w:after="0"/>
              <w:ind w:left="60" w:right="60"/>
              <w:rPr>
                <w:rFonts w:eastAsiaTheme="minorHAnsi"/>
                <w:color w:val="000000"/>
                <w:sz w:val="20"/>
                <w:szCs w:val="20"/>
                <w:lang w:eastAsia="en-US"/>
              </w:rPr>
            </w:pPr>
          </w:p>
        </w:tc>
        <w:tc>
          <w:tcPr>
            <w:tcW w:w="1417" w:type="dxa"/>
          </w:tcPr>
          <w:p w14:paraId="66FE5ACB" w14:textId="21DDD162" w:rsidR="009471AB" w:rsidRPr="00AC4363" w:rsidRDefault="009471AB" w:rsidP="003E62FD">
            <w:pPr>
              <w:autoSpaceDE w:val="0"/>
              <w:autoSpaceDN w:val="0"/>
              <w:adjustRightInd w:val="0"/>
              <w:spacing w:after="0"/>
              <w:ind w:right="60"/>
              <w:jc w:val="center"/>
              <w:rPr>
                <w:rFonts w:eastAsiaTheme="minorHAnsi"/>
                <w:color w:val="000000"/>
                <w:sz w:val="20"/>
                <w:szCs w:val="20"/>
                <w:lang w:eastAsia="en-US"/>
              </w:rPr>
            </w:pPr>
            <w:r w:rsidRPr="00AC4363">
              <w:rPr>
                <w:rFonts w:eastAsiaTheme="minorHAnsi"/>
                <w:color w:val="000000"/>
                <w:sz w:val="20"/>
                <w:szCs w:val="20"/>
                <w:lang w:eastAsia="en-US"/>
              </w:rPr>
              <w:t>0.77</w:t>
            </w:r>
            <w:r w:rsidR="00AB0CE1" w:rsidRPr="00AC4363">
              <w:rPr>
                <w:rFonts w:eastAsiaTheme="minorHAnsi"/>
                <w:color w:val="000000"/>
                <w:sz w:val="20"/>
                <w:szCs w:val="20"/>
                <w:lang w:eastAsia="en-US"/>
              </w:rPr>
              <w:t>8</w:t>
            </w:r>
          </w:p>
        </w:tc>
      </w:tr>
      <w:tr w:rsidR="003E62FD" w:rsidRPr="00AC4363" w14:paraId="350E573D" w14:textId="46EE0406" w:rsidTr="00AC4363">
        <w:trPr>
          <w:cantSplit/>
        </w:trPr>
        <w:tc>
          <w:tcPr>
            <w:tcW w:w="1985" w:type="dxa"/>
            <w:vMerge/>
            <w:vAlign w:val="center"/>
          </w:tcPr>
          <w:p w14:paraId="17DA3103" w14:textId="47E6F94C" w:rsidR="009471AB" w:rsidRPr="00AC4363" w:rsidRDefault="009471AB" w:rsidP="003E62FD">
            <w:pPr>
              <w:autoSpaceDE w:val="0"/>
              <w:autoSpaceDN w:val="0"/>
              <w:adjustRightInd w:val="0"/>
              <w:spacing w:after="0"/>
              <w:ind w:left="60" w:right="60"/>
              <w:rPr>
                <w:rFonts w:eastAsiaTheme="minorHAnsi"/>
                <w:color w:val="000000"/>
                <w:sz w:val="20"/>
                <w:szCs w:val="20"/>
                <w:lang w:eastAsia="en-US"/>
              </w:rPr>
            </w:pPr>
          </w:p>
        </w:tc>
        <w:tc>
          <w:tcPr>
            <w:tcW w:w="3260" w:type="dxa"/>
          </w:tcPr>
          <w:p w14:paraId="24A3E1DB" w14:textId="7A8715A1" w:rsidR="009471AB" w:rsidRPr="00AC4363" w:rsidRDefault="005926FB" w:rsidP="003E62FD">
            <w:pPr>
              <w:autoSpaceDE w:val="0"/>
              <w:autoSpaceDN w:val="0"/>
              <w:adjustRightInd w:val="0"/>
              <w:spacing w:after="0"/>
              <w:ind w:right="60"/>
              <w:rPr>
                <w:color w:val="000000"/>
                <w:sz w:val="20"/>
                <w:szCs w:val="20"/>
              </w:rPr>
            </w:pPr>
            <w:r w:rsidRPr="00AC4363">
              <w:rPr>
                <w:color w:val="000000"/>
                <w:sz w:val="20"/>
                <w:szCs w:val="20"/>
              </w:rPr>
              <w:t>Administración de la d</w:t>
            </w:r>
            <w:r w:rsidR="009471AB" w:rsidRPr="00AC4363">
              <w:rPr>
                <w:color w:val="000000"/>
                <w:sz w:val="20"/>
                <w:szCs w:val="20"/>
              </w:rPr>
              <w:t>inámica de trabajo</w:t>
            </w:r>
          </w:p>
        </w:tc>
        <w:tc>
          <w:tcPr>
            <w:tcW w:w="1134" w:type="dxa"/>
            <w:vAlign w:val="center"/>
          </w:tcPr>
          <w:p w14:paraId="5EB7A8A8" w14:textId="77777777" w:rsidR="00CE79DD" w:rsidRPr="00AC4363" w:rsidRDefault="00CE79DD" w:rsidP="003E62FD">
            <w:pPr>
              <w:autoSpaceDE w:val="0"/>
              <w:autoSpaceDN w:val="0"/>
              <w:adjustRightInd w:val="0"/>
              <w:spacing w:after="0"/>
              <w:ind w:left="60" w:right="60"/>
              <w:jc w:val="right"/>
              <w:rPr>
                <w:rFonts w:eastAsiaTheme="minorHAnsi"/>
                <w:b/>
                <w:bCs/>
                <w:color w:val="000000"/>
                <w:sz w:val="20"/>
                <w:szCs w:val="20"/>
                <w:lang w:eastAsia="en-US"/>
              </w:rPr>
            </w:pPr>
          </w:p>
          <w:p w14:paraId="2896EE53" w14:textId="1AE85954" w:rsidR="009471AB" w:rsidRPr="00AC4363" w:rsidRDefault="003E62FD" w:rsidP="003E62FD">
            <w:pPr>
              <w:autoSpaceDE w:val="0"/>
              <w:autoSpaceDN w:val="0"/>
              <w:adjustRightInd w:val="0"/>
              <w:spacing w:after="0"/>
              <w:ind w:left="60" w:right="60"/>
              <w:jc w:val="right"/>
              <w:rPr>
                <w:rFonts w:eastAsiaTheme="minorHAnsi"/>
                <w:b/>
                <w:bCs/>
                <w:color w:val="000000"/>
                <w:sz w:val="20"/>
                <w:szCs w:val="20"/>
                <w:lang w:eastAsia="en-US"/>
              </w:rPr>
            </w:pPr>
            <w:r w:rsidRPr="00AC4363">
              <w:rPr>
                <w:rFonts w:eastAsiaTheme="minorHAnsi"/>
                <w:b/>
                <w:bCs/>
                <w:color w:val="000000"/>
                <w:sz w:val="20"/>
                <w:szCs w:val="20"/>
                <w:lang w:eastAsia="en-US"/>
              </w:rPr>
              <w:t>0</w:t>
            </w:r>
            <w:r w:rsidR="009471AB" w:rsidRPr="00AC4363">
              <w:rPr>
                <w:rFonts w:eastAsiaTheme="minorHAnsi"/>
                <w:b/>
                <w:bCs/>
                <w:color w:val="000000"/>
                <w:sz w:val="20"/>
                <w:szCs w:val="20"/>
                <w:lang w:eastAsia="en-US"/>
              </w:rPr>
              <w:t>.672</w:t>
            </w:r>
          </w:p>
        </w:tc>
        <w:tc>
          <w:tcPr>
            <w:tcW w:w="709" w:type="dxa"/>
            <w:vAlign w:val="center"/>
          </w:tcPr>
          <w:p w14:paraId="41419C67" w14:textId="5FEA519A" w:rsidR="009471AB" w:rsidRPr="00AC4363" w:rsidRDefault="009471AB" w:rsidP="003E62FD">
            <w:pPr>
              <w:autoSpaceDE w:val="0"/>
              <w:autoSpaceDN w:val="0"/>
              <w:adjustRightInd w:val="0"/>
              <w:spacing w:after="0"/>
              <w:ind w:left="60" w:right="60"/>
              <w:rPr>
                <w:rFonts w:eastAsiaTheme="minorHAnsi"/>
                <w:color w:val="000000"/>
                <w:sz w:val="20"/>
                <w:szCs w:val="20"/>
                <w:lang w:eastAsia="en-US"/>
              </w:rPr>
            </w:pPr>
          </w:p>
        </w:tc>
        <w:tc>
          <w:tcPr>
            <w:tcW w:w="709" w:type="dxa"/>
            <w:vAlign w:val="center"/>
          </w:tcPr>
          <w:p w14:paraId="0D19E261" w14:textId="057B607A" w:rsidR="009471AB" w:rsidRPr="00AC4363" w:rsidRDefault="009471AB" w:rsidP="003E62FD">
            <w:pPr>
              <w:autoSpaceDE w:val="0"/>
              <w:autoSpaceDN w:val="0"/>
              <w:adjustRightInd w:val="0"/>
              <w:spacing w:after="0"/>
              <w:ind w:left="60" w:right="60"/>
              <w:rPr>
                <w:rFonts w:eastAsiaTheme="minorHAnsi"/>
                <w:color w:val="000000"/>
                <w:sz w:val="20"/>
                <w:szCs w:val="20"/>
                <w:lang w:eastAsia="en-US"/>
              </w:rPr>
            </w:pPr>
          </w:p>
        </w:tc>
        <w:tc>
          <w:tcPr>
            <w:tcW w:w="1417" w:type="dxa"/>
          </w:tcPr>
          <w:p w14:paraId="4B190BD9" w14:textId="77777777" w:rsidR="00CE79DD" w:rsidRPr="00AC4363" w:rsidRDefault="00CE79DD" w:rsidP="003E62FD">
            <w:pPr>
              <w:autoSpaceDE w:val="0"/>
              <w:autoSpaceDN w:val="0"/>
              <w:adjustRightInd w:val="0"/>
              <w:spacing w:after="0"/>
              <w:ind w:right="60"/>
              <w:jc w:val="center"/>
              <w:rPr>
                <w:rFonts w:eastAsiaTheme="minorHAnsi"/>
                <w:color w:val="000000"/>
                <w:sz w:val="20"/>
                <w:szCs w:val="20"/>
                <w:lang w:eastAsia="en-US"/>
              </w:rPr>
            </w:pPr>
          </w:p>
          <w:p w14:paraId="341D31B2" w14:textId="1DF49587" w:rsidR="009471AB" w:rsidRPr="00AC4363" w:rsidRDefault="009471AB" w:rsidP="003E62FD">
            <w:pPr>
              <w:autoSpaceDE w:val="0"/>
              <w:autoSpaceDN w:val="0"/>
              <w:adjustRightInd w:val="0"/>
              <w:spacing w:after="0"/>
              <w:ind w:right="60"/>
              <w:jc w:val="center"/>
              <w:rPr>
                <w:rFonts w:eastAsiaTheme="minorHAnsi"/>
                <w:color w:val="000000"/>
                <w:sz w:val="20"/>
                <w:szCs w:val="20"/>
                <w:lang w:eastAsia="en-US"/>
              </w:rPr>
            </w:pPr>
            <w:r w:rsidRPr="00AC4363">
              <w:rPr>
                <w:rFonts w:eastAsiaTheme="minorHAnsi"/>
                <w:color w:val="000000"/>
                <w:sz w:val="20"/>
                <w:szCs w:val="20"/>
                <w:lang w:eastAsia="en-US"/>
              </w:rPr>
              <w:t>0.</w:t>
            </w:r>
            <w:r w:rsidR="00AB0CE1" w:rsidRPr="00AC4363">
              <w:rPr>
                <w:rFonts w:eastAsiaTheme="minorHAnsi"/>
                <w:color w:val="000000"/>
                <w:sz w:val="20"/>
                <w:szCs w:val="20"/>
                <w:lang w:eastAsia="en-US"/>
              </w:rPr>
              <w:t>723</w:t>
            </w:r>
          </w:p>
        </w:tc>
      </w:tr>
      <w:tr w:rsidR="003E62FD" w:rsidRPr="00AC4363" w14:paraId="68F0ED10" w14:textId="5F08597F" w:rsidTr="00AC4363">
        <w:trPr>
          <w:cantSplit/>
        </w:trPr>
        <w:tc>
          <w:tcPr>
            <w:tcW w:w="1985" w:type="dxa"/>
            <w:vMerge/>
            <w:vAlign w:val="center"/>
          </w:tcPr>
          <w:p w14:paraId="02359B40" w14:textId="6959BA71" w:rsidR="009471AB" w:rsidRPr="00AC4363" w:rsidRDefault="009471AB" w:rsidP="003E62FD">
            <w:pPr>
              <w:autoSpaceDE w:val="0"/>
              <w:autoSpaceDN w:val="0"/>
              <w:adjustRightInd w:val="0"/>
              <w:spacing w:after="0"/>
              <w:ind w:left="60" w:right="60"/>
              <w:rPr>
                <w:rFonts w:eastAsiaTheme="minorHAnsi"/>
                <w:color w:val="000000"/>
                <w:sz w:val="20"/>
                <w:szCs w:val="20"/>
                <w:lang w:eastAsia="en-US"/>
              </w:rPr>
            </w:pPr>
          </w:p>
        </w:tc>
        <w:tc>
          <w:tcPr>
            <w:tcW w:w="3260" w:type="dxa"/>
          </w:tcPr>
          <w:p w14:paraId="5E8574C6" w14:textId="32526648" w:rsidR="009471AB" w:rsidRPr="00AC4363" w:rsidRDefault="009471AB" w:rsidP="003E62FD">
            <w:pPr>
              <w:autoSpaceDE w:val="0"/>
              <w:autoSpaceDN w:val="0"/>
              <w:adjustRightInd w:val="0"/>
              <w:spacing w:after="0"/>
              <w:ind w:right="60"/>
              <w:rPr>
                <w:sz w:val="20"/>
                <w:szCs w:val="20"/>
              </w:rPr>
            </w:pPr>
            <w:r w:rsidRPr="00AC4363">
              <w:rPr>
                <w:sz w:val="20"/>
                <w:szCs w:val="20"/>
              </w:rPr>
              <w:t>Empatía y comprensión cultural:</w:t>
            </w:r>
          </w:p>
        </w:tc>
        <w:tc>
          <w:tcPr>
            <w:tcW w:w="1134" w:type="dxa"/>
            <w:vAlign w:val="center"/>
          </w:tcPr>
          <w:p w14:paraId="5D91A2CA" w14:textId="04F47BC0" w:rsidR="009471AB" w:rsidRPr="00AC4363" w:rsidRDefault="003E62FD" w:rsidP="003E62FD">
            <w:pPr>
              <w:autoSpaceDE w:val="0"/>
              <w:autoSpaceDN w:val="0"/>
              <w:adjustRightInd w:val="0"/>
              <w:spacing w:after="0"/>
              <w:ind w:left="60" w:right="60"/>
              <w:jc w:val="right"/>
              <w:rPr>
                <w:rFonts w:eastAsiaTheme="minorHAnsi"/>
                <w:b/>
                <w:bCs/>
                <w:sz w:val="20"/>
                <w:szCs w:val="20"/>
                <w:lang w:eastAsia="en-US"/>
              </w:rPr>
            </w:pPr>
            <w:r w:rsidRPr="00AC4363">
              <w:rPr>
                <w:rFonts w:eastAsiaTheme="minorHAnsi"/>
                <w:b/>
                <w:bCs/>
                <w:sz w:val="20"/>
                <w:szCs w:val="20"/>
                <w:lang w:eastAsia="en-US"/>
              </w:rPr>
              <w:t>0</w:t>
            </w:r>
            <w:r w:rsidR="009471AB" w:rsidRPr="00AC4363">
              <w:rPr>
                <w:rFonts w:eastAsiaTheme="minorHAnsi"/>
                <w:b/>
                <w:bCs/>
                <w:sz w:val="20"/>
                <w:szCs w:val="20"/>
                <w:lang w:eastAsia="en-US"/>
              </w:rPr>
              <w:t>.573</w:t>
            </w:r>
          </w:p>
        </w:tc>
        <w:tc>
          <w:tcPr>
            <w:tcW w:w="709" w:type="dxa"/>
            <w:vAlign w:val="center"/>
          </w:tcPr>
          <w:p w14:paraId="371F1699" w14:textId="7486F6F6" w:rsidR="009471AB" w:rsidRPr="00AC4363" w:rsidRDefault="009471AB" w:rsidP="003E62FD">
            <w:pPr>
              <w:autoSpaceDE w:val="0"/>
              <w:autoSpaceDN w:val="0"/>
              <w:adjustRightInd w:val="0"/>
              <w:spacing w:after="0"/>
              <w:ind w:left="60" w:right="60"/>
              <w:rPr>
                <w:rFonts w:eastAsiaTheme="minorHAnsi"/>
                <w:color w:val="000000"/>
                <w:sz w:val="20"/>
                <w:szCs w:val="20"/>
                <w:lang w:eastAsia="en-US"/>
              </w:rPr>
            </w:pPr>
          </w:p>
        </w:tc>
        <w:tc>
          <w:tcPr>
            <w:tcW w:w="709" w:type="dxa"/>
            <w:vAlign w:val="center"/>
          </w:tcPr>
          <w:p w14:paraId="3EB2B5B0" w14:textId="184FA41E" w:rsidR="009471AB" w:rsidRPr="00AC4363" w:rsidRDefault="009471AB" w:rsidP="003E62FD">
            <w:pPr>
              <w:autoSpaceDE w:val="0"/>
              <w:autoSpaceDN w:val="0"/>
              <w:adjustRightInd w:val="0"/>
              <w:spacing w:after="0"/>
              <w:ind w:left="60" w:right="60"/>
              <w:rPr>
                <w:rFonts w:eastAsiaTheme="minorHAnsi"/>
                <w:color w:val="000000"/>
                <w:sz w:val="20"/>
                <w:szCs w:val="20"/>
                <w:lang w:eastAsia="en-US"/>
              </w:rPr>
            </w:pPr>
          </w:p>
        </w:tc>
        <w:tc>
          <w:tcPr>
            <w:tcW w:w="1417" w:type="dxa"/>
          </w:tcPr>
          <w:p w14:paraId="5E5E4330" w14:textId="348515E0" w:rsidR="009471AB" w:rsidRPr="00AC4363" w:rsidRDefault="009471AB" w:rsidP="003E62FD">
            <w:pPr>
              <w:autoSpaceDE w:val="0"/>
              <w:autoSpaceDN w:val="0"/>
              <w:adjustRightInd w:val="0"/>
              <w:spacing w:after="0"/>
              <w:ind w:right="60"/>
              <w:jc w:val="center"/>
              <w:rPr>
                <w:rFonts w:eastAsiaTheme="minorHAnsi"/>
                <w:color w:val="000000"/>
                <w:sz w:val="20"/>
                <w:szCs w:val="20"/>
                <w:lang w:eastAsia="en-US"/>
              </w:rPr>
            </w:pPr>
            <w:r w:rsidRPr="00AC4363">
              <w:rPr>
                <w:rFonts w:eastAsiaTheme="minorHAnsi"/>
                <w:color w:val="000000"/>
                <w:sz w:val="20"/>
                <w:szCs w:val="20"/>
                <w:lang w:eastAsia="en-US"/>
              </w:rPr>
              <w:t>0.</w:t>
            </w:r>
            <w:r w:rsidR="00AB0CE1" w:rsidRPr="00AC4363">
              <w:rPr>
                <w:rFonts w:eastAsiaTheme="minorHAnsi"/>
                <w:color w:val="000000"/>
                <w:sz w:val="20"/>
                <w:szCs w:val="20"/>
                <w:lang w:eastAsia="en-US"/>
              </w:rPr>
              <w:t>721</w:t>
            </w:r>
          </w:p>
        </w:tc>
      </w:tr>
      <w:tr w:rsidR="003E62FD" w:rsidRPr="00AC4363" w14:paraId="12534324" w14:textId="61447169" w:rsidTr="00AC4363">
        <w:trPr>
          <w:cantSplit/>
        </w:trPr>
        <w:tc>
          <w:tcPr>
            <w:tcW w:w="1985" w:type="dxa"/>
            <w:vMerge/>
            <w:vAlign w:val="center"/>
          </w:tcPr>
          <w:p w14:paraId="7DC36DA1" w14:textId="70347AA3" w:rsidR="009471AB" w:rsidRPr="00AC4363" w:rsidRDefault="009471AB" w:rsidP="003E62FD">
            <w:pPr>
              <w:autoSpaceDE w:val="0"/>
              <w:autoSpaceDN w:val="0"/>
              <w:adjustRightInd w:val="0"/>
              <w:spacing w:after="0"/>
              <w:ind w:left="60" w:right="60"/>
              <w:rPr>
                <w:rFonts w:eastAsiaTheme="minorHAnsi"/>
                <w:color w:val="000000"/>
                <w:sz w:val="20"/>
                <w:szCs w:val="20"/>
                <w:lang w:eastAsia="en-US"/>
              </w:rPr>
            </w:pPr>
          </w:p>
        </w:tc>
        <w:tc>
          <w:tcPr>
            <w:tcW w:w="3260" w:type="dxa"/>
          </w:tcPr>
          <w:p w14:paraId="15FFB720" w14:textId="2851A26C" w:rsidR="009471AB" w:rsidRPr="00AC4363" w:rsidRDefault="009471AB" w:rsidP="003E62FD">
            <w:pPr>
              <w:autoSpaceDE w:val="0"/>
              <w:autoSpaceDN w:val="0"/>
              <w:adjustRightInd w:val="0"/>
              <w:spacing w:after="0"/>
              <w:ind w:right="60"/>
              <w:rPr>
                <w:color w:val="000000"/>
                <w:sz w:val="20"/>
                <w:szCs w:val="20"/>
              </w:rPr>
            </w:pPr>
            <w:r w:rsidRPr="00AC4363">
              <w:rPr>
                <w:color w:val="000000"/>
                <w:sz w:val="20"/>
                <w:szCs w:val="20"/>
              </w:rPr>
              <w:t>Colaboración interdisciplinaria y transdisciplinaria</w:t>
            </w:r>
          </w:p>
        </w:tc>
        <w:tc>
          <w:tcPr>
            <w:tcW w:w="1134" w:type="dxa"/>
            <w:vAlign w:val="center"/>
          </w:tcPr>
          <w:p w14:paraId="5B01D4BD" w14:textId="77777777" w:rsidR="00CE79DD" w:rsidRPr="00AC4363" w:rsidRDefault="00CE79DD" w:rsidP="003E62FD">
            <w:pPr>
              <w:autoSpaceDE w:val="0"/>
              <w:autoSpaceDN w:val="0"/>
              <w:adjustRightInd w:val="0"/>
              <w:spacing w:after="0"/>
              <w:ind w:left="60" w:right="60"/>
              <w:jc w:val="right"/>
              <w:rPr>
                <w:rFonts w:eastAsiaTheme="minorHAnsi"/>
                <w:b/>
                <w:bCs/>
                <w:color w:val="000000"/>
                <w:sz w:val="20"/>
                <w:szCs w:val="20"/>
                <w:lang w:eastAsia="en-US"/>
              </w:rPr>
            </w:pPr>
          </w:p>
          <w:p w14:paraId="4D51AC21" w14:textId="40C830B8" w:rsidR="009471AB" w:rsidRPr="00AC4363" w:rsidRDefault="003E62FD" w:rsidP="003E62FD">
            <w:pPr>
              <w:autoSpaceDE w:val="0"/>
              <w:autoSpaceDN w:val="0"/>
              <w:adjustRightInd w:val="0"/>
              <w:spacing w:after="0"/>
              <w:ind w:left="60" w:right="60"/>
              <w:jc w:val="right"/>
              <w:rPr>
                <w:rFonts w:eastAsiaTheme="minorHAnsi"/>
                <w:b/>
                <w:bCs/>
                <w:color w:val="000000"/>
                <w:sz w:val="20"/>
                <w:szCs w:val="20"/>
                <w:lang w:eastAsia="en-US"/>
              </w:rPr>
            </w:pPr>
            <w:r w:rsidRPr="00AC4363">
              <w:rPr>
                <w:rFonts w:eastAsiaTheme="minorHAnsi"/>
                <w:b/>
                <w:bCs/>
                <w:color w:val="000000"/>
                <w:sz w:val="20"/>
                <w:szCs w:val="20"/>
                <w:lang w:eastAsia="en-US"/>
              </w:rPr>
              <w:t>0</w:t>
            </w:r>
            <w:r w:rsidR="009471AB" w:rsidRPr="00AC4363">
              <w:rPr>
                <w:rFonts w:eastAsiaTheme="minorHAnsi"/>
                <w:b/>
                <w:bCs/>
                <w:color w:val="000000"/>
                <w:sz w:val="20"/>
                <w:szCs w:val="20"/>
                <w:lang w:eastAsia="en-US"/>
              </w:rPr>
              <w:t>.527</w:t>
            </w:r>
          </w:p>
        </w:tc>
        <w:tc>
          <w:tcPr>
            <w:tcW w:w="709" w:type="dxa"/>
            <w:vAlign w:val="center"/>
          </w:tcPr>
          <w:p w14:paraId="51454488" w14:textId="452BCEE1" w:rsidR="009471AB" w:rsidRPr="00AC4363" w:rsidRDefault="009471AB" w:rsidP="003E62FD">
            <w:pPr>
              <w:autoSpaceDE w:val="0"/>
              <w:autoSpaceDN w:val="0"/>
              <w:adjustRightInd w:val="0"/>
              <w:spacing w:after="0"/>
              <w:ind w:left="60" w:right="60"/>
              <w:rPr>
                <w:rFonts w:eastAsiaTheme="minorHAnsi"/>
                <w:color w:val="000000"/>
                <w:sz w:val="20"/>
                <w:szCs w:val="20"/>
                <w:lang w:eastAsia="en-US"/>
              </w:rPr>
            </w:pPr>
          </w:p>
        </w:tc>
        <w:tc>
          <w:tcPr>
            <w:tcW w:w="709" w:type="dxa"/>
            <w:vAlign w:val="center"/>
          </w:tcPr>
          <w:p w14:paraId="6962E760" w14:textId="485D5436" w:rsidR="009471AB" w:rsidRPr="00AC4363" w:rsidRDefault="009471AB" w:rsidP="003E62FD">
            <w:pPr>
              <w:autoSpaceDE w:val="0"/>
              <w:autoSpaceDN w:val="0"/>
              <w:adjustRightInd w:val="0"/>
              <w:spacing w:after="0"/>
              <w:ind w:left="60" w:right="60"/>
              <w:rPr>
                <w:rFonts w:eastAsiaTheme="minorHAnsi"/>
                <w:color w:val="000000"/>
                <w:sz w:val="20"/>
                <w:szCs w:val="20"/>
                <w:lang w:eastAsia="en-US"/>
              </w:rPr>
            </w:pPr>
          </w:p>
        </w:tc>
        <w:tc>
          <w:tcPr>
            <w:tcW w:w="1417" w:type="dxa"/>
          </w:tcPr>
          <w:p w14:paraId="6B5F4432" w14:textId="77777777" w:rsidR="00CE79DD" w:rsidRPr="00AC4363" w:rsidRDefault="00CE79DD" w:rsidP="003E62FD">
            <w:pPr>
              <w:autoSpaceDE w:val="0"/>
              <w:autoSpaceDN w:val="0"/>
              <w:adjustRightInd w:val="0"/>
              <w:spacing w:after="0"/>
              <w:ind w:right="60"/>
              <w:jc w:val="center"/>
              <w:rPr>
                <w:rFonts w:eastAsiaTheme="minorHAnsi"/>
                <w:color w:val="000000"/>
                <w:sz w:val="20"/>
                <w:szCs w:val="20"/>
                <w:lang w:eastAsia="en-US"/>
              </w:rPr>
            </w:pPr>
          </w:p>
          <w:p w14:paraId="19BFB558" w14:textId="46CE1743" w:rsidR="009471AB" w:rsidRPr="00AC4363" w:rsidRDefault="009471AB" w:rsidP="003E62FD">
            <w:pPr>
              <w:autoSpaceDE w:val="0"/>
              <w:autoSpaceDN w:val="0"/>
              <w:adjustRightInd w:val="0"/>
              <w:spacing w:after="0"/>
              <w:ind w:right="60"/>
              <w:jc w:val="center"/>
              <w:rPr>
                <w:rFonts w:eastAsiaTheme="minorHAnsi"/>
                <w:color w:val="000000"/>
                <w:sz w:val="20"/>
                <w:szCs w:val="20"/>
                <w:lang w:eastAsia="en-US"/>
              </w:rPr>
            </w:pPr>
            <w:r w:rsidRPr="00AC4363">
              <w:rPr>
                <w:rFonts w:eastAsiaTheme="minorHAnsi"/>
                <w:color w:val="000000"/>
                <w:sz w:val="20"/>
                <w:szCs w:val="20"/>
                <w:lang w:eastAsia="en-US"/>
              </w:rPr>
              <w:t>0.7</w:t>
            </w:r>
            <w:r w:rsidR="00AB0CE1" w:rsidRPr="00AC4363">
              <w:rPr>
                <w:rFonts w:eastAsiaTheme="minorHAnsi"/>
                <w:color w:val="000000"/>
                <w:sz w:val="20"/>
                <w:szCs w:val="20"/>
                <w:lang w:eastAsia="en-US"/>
              </w:rPr>
              <w:t>62</w:t>
            </w:r>
          </w:p>
        </w:tc>
      </w:tr>
      <w:tr w:rsidR="003E62FD" w:rsidRPr="00AC4363" w14:paraId="5D1D84EB" w14:textId="6A9CAF88" w:rsidTr="00AC4363">
        <w:trPr>
          <w:cantSplit/>
        </w:trPr>
        <w:tc>
          <w:tcPr>
            <w:tcW w:w="1985" w:type="dxa"/>
            <w:vMerge w:val="restart"/>
            <w:vAlign w:val="center"/>
          </w:tcPr>
          <w:p w14:paraId="1F4379D2" w14:textId="7C758162" w:rsidR="009471AB" w:rsidRPr="00AC4363" w:rsidRDefault="009471AB" w:rsidP="003E62FD">
            <w:pPr>
              <w:autoSpaceDE w:val="0"/>
              <w:autoSpaceDN w:val="0"/>
              <w:adjustRightInd w:val="0"/>
              <w:spacing w:after="0"/>
              <w:ind w:left="60" w:right="60"/>
              <w:rPr>
                <w:rFonts w:eastAsiaTheme="minorHAnsi"/>
                <w:color w:val="000000"/>
                <w:sz w:val="20"/>
                <w:szCs w:val="20"/>
                <w:lang w:eastAsia="en-US"/>
              </w:rPr>
            </w:pPr>
            <w:r w:rsidRPr="00AC4363">
              <w:rPr>
                <w:rFonts w:eastAsiaTheme="minorHAnsi"/>
                <w:sz w:val="20"/>
                <w:szCs w:val="20"/>
                <w:lang w:eastAsia="en-US"/>
              </w:rPr>
              <w:t xml:space="preserve">Gestión e </w:t>
            </w:r>
            <w:r w:rsidR="003E62FD" w:rsidRPr="00AC4363">
              <w:rPr>
                <w:rFonts w:eastAsiaTheme="minorHAnsi"/>
                <w:sz w:val="20"/>
                <w:szCs w:val="20"/>
                <w:lang w:eastAsia="en-US"/>
              </w:rPr>
              <w:t>i</w:t>
            </w:r>
            <w:r w:rsidRPr="00AC4363">
              <w:rPr>
                <w:rFonts w:eastAsiaTheme="minorHAnsi"/>
                <w:sz w:val="20"/>
                <w:szCs w:val="20"/>
                <w:lang w:eastAsia="en-US"/>
              </w:rPr>
              <w:t xml:space="preserve">nnovación de </w:t>
            </w:r>
            <w:r w:rsidR="003E62FD" w:rsidRPr="00AC4363">
              <w:rPr>
                <w:rFonts w:eastAsiaTheme="minorHAnsi"/>
                <w:sz w:val="20"/>
                <w:szCs w:val="20"/>
                <w:lang w:eastAsia="en-US"/>
              </w:rPr>
              <w:t>p</w:t>
            </w:r>
            <w:r w:rsidRPr="00AC4363">
              <w:rPr>
                <w:rFonts w:eastAsiaTheme="minorHAnsi"/>
                <w:sz w:val="20"/>
                <w:szCs w:val="20"/>
                <w:lang w:eastAsia="en-US"/>
              </w:rPr>
              <w:t xml:space="preserve">rocesos y </w:t>
            </w:r>
            <w:r w:rsidR="003E62FD" w:rsidRPr="00AC4363">
              <w:rPr>
                <w:rFonts w:eastAsiaTheme="minorHAnsi"/>
                <w:sz w:val="20"/>
                <w:szCs w:val="20"/>
                <w:lang w:eastAsia="en-US"/>
              </w:rPr>
              <w:t>p</w:t>
            </w:r>
            <w:r w:rsidRPr="00AC4363">
              <w:rPr>
                <w:rFonts w:eastAsiaTheme="minorHAnsi"/>
                <w:sz w:val="20"/>
                <w:szCs w:val="20"/>
                <w:lang w:eastAsia="en-US"/>
              </w:rPr>
              <w:t>royectos</w:t>
            </w:r>
          </w:p>
        </w:tc>
        <w:tc>
          <w:tcPr>
            <w:tcW w:w="3260" w:type="dxa"/>
          </w:tcPr>
          <w:p w14:paraId="23105EA5" w14:textId="38C9B180" w:rsidR="009471AB" w:rsidRPr="00AC4363" w:rsidRDefault="009471AB" w:rsidP="003E62FD">
            <w:pPr>
              <w:autoSpaceDE w:val="0"/>
              <w:autoSpaceDN w:val="0"/>
              <w:adjustRightInd w:val="0"/>
              <w:spacing w:after="0"/>
              <w:ind w:right="60"/>
              <w:rPr>
                <w:color w:val="000000"/>
                <w:sz w:val="20"/>
                <w:szCs w:val="20"/>
              </w:rPr>
            </w:pPr>
            <w:r w:rsidRPr="00AC4363">
              <w:rPr>
                <w:color w:val="000000"/>
                <w:sz w:val="20"/>
                <w:szCs w:val="20"/>
              </w:rPr>
              <w:t>Elaboración de proyectos de mejora continua</w:t>
            </w:r>
          </w:p>
        </w:tc>
        <w:tc>
          <w:tcPr>
            <w:tcW w:w="1134" w:type="dxa"/>
            <w:vAlign w:val="center"/>
          </w:tcPr>
          <w:p w14:paraId="7AA53A89" w14:textId="0E21002C" w:rsidR="009471AB" w:rsidRPr="00AC4363" w:rsidRDefault="009471AB" w:rsidP="003E62FD">
            <w:pPr>
              <w:autoSpaceDE w:val="0"/>
              <w:autoSpaceDN w:val="0"/>
              <w:adjustRightInd w:val="0"/>
              <w:spacing w:after="0"/>
              <w:ind w:left="60" w:right="60"/>
              <w:rPr>
                <w:rFonts w:eastAsiaTheme="minorHAnsi"/>
                <w:color w:val="000000"/>
                <w:sz w:val="20"/>
                <w:szCs w:val="20"/>
                <w:lang w:eastAsia="en-US"/>
              </w:rPr>
            </w:pPr>
          </w:p>
        </w:tc>
        <w:tc>
          <w:tcPr>
            <w:tcW w:w="709" w:type="dxa"/>
            <w:vAlign w:val="center"/>
          </w:tcPr>
          <w:p w14:paraId="436D9553" w14:textId="77777777" w:rsidR="00CE79DD" w:rsidRPr="00AC4363" w:rsidRDefault="00CE79DD" w:rsidP="003E62FD">
            <w:pPr>
              <w:autoSpaceDE w:val="0"/>
              <w:autoSpaceDN w:val="0"/>
              <w:adjustRightInd w:val="0"/>
              <w:spacing w:after="0"/>
              <w:ind w:left="60" w:right="60"/>
              <w:jc w:val="right"/>
              <w:rPr>
                <w:rFonts w:eastAsiaTheme="minorHAnsi"/>
                <w:b/>
                <w:bCs/>
                <w:color w:val="000000"/>
                <w:sz w:val="20"/>
                <w:szCs w:val="20"/>
                <w:lang w:eastAsia="en-US"/>
              </w:rPr>
            </w:pPr>
          </w:p>
          <w:p w14:paraId="2FC3A463" w14:textId="4C430D99" w:rsidR="009471AB" w:rsidRPr="00AC4363" w:rsidRDefault="003E62FD" w:rsidP="003E62FD">
            <w:pPr>
              <w:autoSpaceDE w:val="0"/>
              <w:autoSpaceDN w:val="0"/>
              <w:adjustRightInd w:val="0"/>
              <w:spacing w:after="0"/>
              <w:ind w:left="60" w:right="60"/>
              <w:jc w:val="right"/>
              <w:rPr>
                <w:rFonts w:eastAsiaTheme="minorHAnsi"/>
                <w:b/>
                <w:bCs/>
                <w:color w:val="000000"/>
                <w:sz w:val="20"/>
                <w:szCs w:val="20"/>
                <w:lang w:eastAsia="en-US"/>
              </w:rPr>
            </w:pPr>
            <w:r w:rsidRPr="00AC4363">
              <w:rPr>
                <w:rFonts w:eastAsiaTheme="minorHAnsi"/>
                <w:b/>
                <w:bCs/>
                <w:color w:val="000000"/>
                <w:sz w:val="20"/>
                <w:szCs w:val="20"/>
                <w:lang w:eastAsia="en-US"/>
              </w:rPr>
              <w:t>0</w:t>
            </w:r>
            <w:r w:rsidR="009471AB" w:rsidRPr="00AC4363">
              <w:rPr>
                <w:rFonts w:eastAsiaTheme="minorHAnsi"/>
                <w:b/>
                <w:bCs/>
                <w:color w:val="000000"/>
                <w:sz w:val="20"/>
                <w:szCs w:val="20"/>
                <w:lang w:eastAsia="en-US"/>
              </w:rPr>
              <w:t>.854</w:t>
            </w:r>
          </w:p>
        </w:tc>
        <w:tc>
          <w:tcPr>
            <w:tcW w:w="709" w:type="dxa"/>
            <w:vAlign w:val="center"/>
          </w:tcPr>
          <w:p w14:paraId="7F86454D" w14:textId="36D37BFA" w:rsidR="009471AB" w:rsidRPr="00AC4363" w:rsidRDefault="009471AB" w:rsidP="003E62FD">
            <w:pPr>
              <w:autoSpaceDE w:val="0"/>
              <w:autoSpaceDN w:val="0"/>
              <w:adjustRightInd w:val="0"/>
              <w:spacing w:after="0"/>
              <w:ind w:left="60" w:right="60"/>
              <w:rPr>
                <w:rFonts w:eastAsiaTheme="minorHAnsi"/>
                <w:color w:val="000000"/>
                <w:sz w:val="20"/>
                <w:szCs w:val="20"/>
                <w:lang w:eastAsia="en-US"/>
              </w:rPr>
            </w:pPr>
          </w:p>
        </w:tc>
        <w:tc>
          <w:tcPr>
            <w:tcW w:w="1417" w:type="dxa"/>
          </w:tcPr>
          <w:p w14:paraId="12A12CDE" w14:textId="77777777" w:rsidR="00CE79DD" w:rsidRPr="00AC4363" w:rsidRDefault="00CE79DD" w:rsidP="003E62FD">
            <w:pPr>
              <w:autoSpaceDE w:val="0"/>
              <w:autoSpaceDN w:val="0"/>
              <w:adjustRightInd w:val="0"/>
              <w:spacing w:after="0"/>
              <w:ind w:right="60"/>
              <w:jc w:val="center"/>
              <w:rPr>
                <w:rFonts w:eastAsiaTheme="minorHAnsi"/>
                <w:color w:val="000000"/>
                <w:sz w:val="20"/>
                <w:szCs w:val="20"/>
                <w:lang w:eastAsia="en-US"/>
              </w:rPr>
            </w:pPr>
          </w:p>
          <w:p w14:paraId="1806E7F3" w14:textId="704B44F4" w:rsidR="009471AB" w:rsidRPr="00AC4363" w:rsidRDefault="00E05D09" w:rsidP="003E62FD">
            <w:pPr>
              <w:autoSpaceDE w:val="0"/>
              <w:autoSpaceDN w:val="0"/>
              <w:adjustRightInd w:val="0"/>
              <w:spacing w:after="0"/>
              <w:ind w:right="60"/>
              <w:jc w:val="center"/>
              <w:rPr>
                <w:rFonts w:eastAsiaTheme="minorHAnsi"/>
                <w:color w:val="000000"/>
                <w:sz w:val="20"/>
                <w:szCs w:val="20"/>
                <w:lang w:eastAsia="en-US"/>
              </w:rPr>
            </w:pPr>
            <w:r w:rsidRPr="00AC4363">
              <w:rPr>
                <w:rFonts w:eastAsiaTheme="minorHAnsi"/>
                <w:color w:val="000000"/>
                <w:sz w:val="20"/>
                <w:szCs w:val="20"/>
                <w:lang w:eastAsia="en-US"/>
              </w:rPr>
              <w:t>0.8</w:t>
            </w:r>
            <w:r w:rsidR="00AB0CE1" w:rsidRPr="00AC4363">
              <w:rPr>
                <w:rFonts w:eastAsiaTheme="minorHAnsi"/>
                <w:color w:val="000000"/>
                <w:sz w:val="20"/>
                <w:szCs w:val="20"/>
                <w:lang w:eastAsia="en-US"/>
              </w:rPr>
              <w:t>09</w:t>
            </w:r>
          </w:p>
        </w:tc>
      </w:tr>
      <w:tr w:rsidR="003E62FD" w:rsidRPr="00AC4363" w14:paraId="43EDB931" w14:textId="5BFD0C33" w:rsidTr="00AC4363">
        <w:trPr>
          <w:cantSplit/>
        </w:trPr>
        <w:tc>
          <w:tcPr>
            <w:tcW w:w="1985" w:type="dxa"/>
            <w:vMerge/>
            <w:vAlign w:val="center"/>
          </w:tcPr>
          <w:p w14:paraId="50812594" w14:textId="2AFF23A3" w:rsidR="009471AB" w:rsidRPr="00AC4363" w:rsidRDefault="009471AB" w:rsidP="003E62FD">
            <w:pPr>
              <w:autoSpaceDE w:val="0"/>
              <w:autoSpaceDN w:val="0"/>
              <w:adjustRightInd w:val="0"/>
              <w:spacing w:after="0"/>
              <w:ind w:left="60" w:right="60"/>
              <w:rPr>
                <w:rFonts w:eastAsiaTheme="minorHAnsi"/>
                <w:color w:val="000000"/>
                <w:sz w:val="20"/>
                <w:szCs w:val="20"/>
                <w:lang w:eastAsia="en-US"/>
              </w:rPr>
            </w:pPr>
          </w:p>
        </w:tc>
        <w:tc>
          <w:tcPr>
            <w:tcW w:w="3260" w:type="dxa"/>
          </w:tcPr>
          <w:p w14:paraId="46C9CE88" w14:textId="1906E987" w:rsidR="009471AB" w:rsidRPr="00AC4363" w:rsidRDefault="009471AB" w:rsidP="003E62FD">
            <w:pPr>
              <w:autoSpaceDE w:val="0"/>
              <w:autoSpaceDN w:val="0"/>
              <w:adjustRightInd w:val="0"/>
              <w:spacing w:after="0"/>
              <w:ind w:right="60"/>
              <w:rPr>
                <w:color w:val="000000"/>
                <w:sz w:val="20"/>
                <w:szCs w:val="20"/>
              </w:rPr>
            </w:pPr>
            <w:r w:rsidRPr="00AC4363">
              <w:rPr>
                <w:color w:val="000000"/>
                <w:sz w:val="20"/>
                <w:szCs w:val="20"/>
              </w:rPr>
              <w:t>Diseño de procesos</w:t>
            </w:r>
          </w:p>
        </w:tc>
        <w:tc>
          <w:tcPr>
            <w:tcW w:w="1134" w:type="dxa"/>
            <w:vAlign w:val="center"/>
          </w:tcPr>
          <w:p w14:paraId="058B826D" w14:textId="460B9E6E" w:rsidR="009471AB" w:rsidRPr="00AC4363" w:rsidRDefault="009471AB" w:rsidP="003E62FD">
            <w:pPr>
              <w:autoSpaceDE w:val="0"/>
              <w:autoSpaceDN w:val="0"/>
              <w:adjustRightInd w:val="0"/>
              <w:spacing w:after="0"/>
              <w:ind w:left="60" w:right="60"/>
              <w:rPr>
                <w:rFonts w:eastAsiaTheme="minorHAnsi"/>
                <w:color w:val="000000"/>
                <w:kern w:val="2"/>
                <w:sz w:val="20"/>
                <w:szCs w:val="20"/>
                <w:lang w:eastAsia="en-US"/>
                <w14:ligatures w14:val="standardContextual"/>
              </w:rPr>
            </w:pPr>
          </w:p>
        </w:tc>
        <w:tc>
          <w:tcPr>
            <w:tcW w:w="709" w:type="dxa"/>
            <w:vAlign w:val="center"/>
          </w:tcPr>
          <w:p w14:paraId="5417330A" w14:textId="026EC239" w:rsidR="009471AB" w:rsidRPr="00AC4363" w:rsidRDefault="003E62FD" w:rsidP="003E62FD">
            <w:pPr>
              <w:autoSpaceDE w:val="0"/>
              <w:autoSpaceDN w:val="0"/>
              <w:adjustRightInd w:val="0"/>
              <w:spacing w:after="0"/>
              <w:ind w:left="60" w:right="60"/>
              <w:jc w:val="right"/>
              <w:rPr>
                <w:rFonts w:eastAsiaTheme="minorHAnsi"/>
                <w:b/>
                <w:bCs/>
                <w:color w:val="000000"/>
                <w:kern w:val="2"/>
                <w:sz w:val="20"/>
                <w:szCs w:val="20"/>
                <w:lang w:eastAsia="en-US"/>
                <w14:ligatures w14:val="standardContextual"/>
              </w:rPr>
            </w:pPr>
            <w:r w:rsidRPr="00AC4363">
              <w:rPr>
                <w:rFonts w:eastAsiaTheme="minorHAnsi"/>
                <w:b/>
                <w:bCs/>
                <w:color w:val="000000"/>
                <w:kern w:val="2"/>
                <w:sz w:val="20"/>
                <w:szCs w:val="20"/>
                <w:lang w:eastAsia="en-US"/>
                <w14:ligatures w14:val="standardContextual"/>
              </w:rPr>
              <w:t>0</w:t>
            </w:r>
            <w:r w:rsidR="009471AB" w:rsidRPr="00AC4363">
              <w:rPr>
                <w:rFonts w:eastAsiaTheme="minorHAnsi"/>
                <w:b/>
                <w:bCs/>
                <w:color w:val="000000"/>
                <w:kern w:val="2"/>
                <w:sz w:val="20"/>
                <w:szCs w:val="20"/>
                <w:lang w:eastAsia="en-US"/>
                <w14:ligatures w14:val="standardContextual"/>
              </w:rPr>
              <w:t>.796</w:t>
            </w:r>
          </w:p>
        </w:tc>
        <w:tc>
          <w:tcPr>
            <w:tcW w:w="709" w:type="dxa"/>
            <w:vAlign w:val="center"/>
          </w:tcPr>
          <w:p w14:paraId="190DDD41" w14:textId="1475B74E" w:rsidR="009471AB" w:rsidRPr="00AC4363" w:rsidRDefault="009471AB" w:rsidP="003E62FD">
            <w:pPr>
              <w:autoSpaceDE w:val="0"/>
              <w:autoSpaceDN w:val="0"/>
              <w:adjustRightInd w:val="0"/>
              <w:spacing w:after="0"/>
              <w:ind w:left="60" w:right="60"/>
              <w:rPr>
                <w:rFonts w:eastAsiaTheme="minorHAnsi"/>
                <w:color w:val="000000"/>
                <w:sz w:val="20"/>
                <w:szCs w:val="20"/>
                <w:lang w:eastAsia="en-US"/>
              </w:rPr>
            </w:pPr>
          </w:p>
        </w:tc>
        <w:tc>
          <w:tcPr>
            <w:tcW w:w="1417" w:type="dxa"/>
          </w:tcPr>
          <w:p w14:paraId="15C9DFD7" w14:textId="76EDB35E" w:rsidR="009471AB" w:rsidRPr="00AC4363" w:rsidRDefault="00E05D09" w:rsidP="003E62FD">
            <w:pPr>
              <w:autoSpaceDE w:val="0"/>
              <w:autoSpaceDN w:val="0"/>
              <w:adjustRightInd w:val="0"/>
              <w:spacing w:after="0"/>
              <w:ind w:right="60"/>
              <w:jc w:val="center"/>
              <w:rPr>
                <w:rFonts w:eastAsiaTheme="minorHAnsi"/>
                <w:color w:val="000000"/>
                <w:sz w:val="20"/>
                <w:szCs w:val="20"/>
                <w:lang w:eastAsia="en-US"/>
              </w:rPr>
            </w:pPr>
            <w:r w:rsidRPr="00AC4363">
              <w:rPr>
                <w:rFonts w:eastAsiaTheme="minorHAnsi"/>
                <w:color w:val="000000"/>
                <w:sz w:val="20"/>
                <w:szCs w:val="20"/>
                <w:lang w:eastAsia="en-US"/>
              </w:rPr>
              <w:t>0.</w:t>
            </w:r>
            <w:r w:rsidR="00AB0CE1" w:rsidRPr="00AC4363">
              <w:rPr>
                <w:rFonts w:eastAsiaTheme="minorHAnsi"/>
                <w:color w:val="000000"/>
                <w:sz w:val="20"/>
                <w:szCs w:val="20"/>
                <w:lang w:eastAsia="en-US"/>
              </w:rPr>
              <w:t>794</w:t>
            </w:r>
          </w:p>
        </w:tc>
      </w:tr>
      <w:tr w:rsidR="003E62FD" w:rsidRPr="00AC4363" w14:paraId="42F0FD6C" w14:textId="7C9CF060" w:rsidTr="00AC4363">
        <w:trPr>
          <w:cantSplit/>
        </w:trPr>
        <w:tc>
          <w:tcPr>
            <w:tcW w:w="1985" w:type="dxa"/>
            <w:vMerge/>
            <w:vAlign w:val="center"/>
          </w:tcPr>
          <w:p w14:paraId="11E65795" w14:textId="1D2D864B" w:rsidR="009471AB" w:rsidRPr="00AC4363" w:rsidRDefault="009471AB" w:rsidP="003E62FD">
            <w:pPr>
              <w:autoSpaceDE w:val="0"/>
              <w:autoSpaceDN w:val="0"/>
              <w:adjustRightInd w:val="0"/>
              <w:spacing w:after="0"/>
              <w:ind w:left="60" w:right="60"/>
              <w:rPr>
                <w:rFonts w:eastAsiaTheme="minorHAnsi"/>
                <w:color w:val="000000"/>
                <w:sz w:val="20"/>
                <w:szCs w:val="20"/>
                <w:lang w:eastAsia="en-US"/>
              </w:rPr>
            </w:pPr>
          </w:p>
        </w:tc>
        <w:tc>
          <w:tcPr>
            <w:tcW w:w="3260" w:type="dxa"/>
          </w:tcPr>
          <w:p w14:paraId="2995C280" w14:textId="76859C05" w:rsidR="009471AB" w:rsidRPr="00AC4363" w:rsidRDefault="009471AB" w:rsidP="003E62FD">
            <w:pPr>
              <w:autoSpaceDE w:val="0"/>
              <w:autoSpaceDN w:val="0"/>
              <w:adjustRightInd w:val="0"/>
              <w:spacing w:after="0"/>
              <w:ind w:right="60"/>
              <w:rPr>
                <w:color w:val="000000"/>
                <w:sz w:val="20"/>
                <w:szCs w:val="20"/>
              </w:rPr>
            </w:pPr>
            <w:r w:rsidRPr="00AC4363">
              <w:rPr>
                <w:color w:val="000000"/>
                <w:sz w:val="20"/>
                <w:szCs w:val="20"/>
              </w:rPr>
              <w:t>Evaluación sistémica</w:t>
            </w:r>
          </w:p>
        </w:tc>
        <w:tc>
          <w:tcPr>
            <w:tcW w:w="1134" w:type="dxa"/>
            <w:vAlign w:val="center"/>
          </w:tcPr>
          <w:p w14:paraId="4CBAAD3E" w14:textId="470518D0" w:rsidR="009471AB" w:rsidRPr="00AC4363" w:rsidRDefault="009471AB" w:rsidP="003E62FD">
            <w:pPr>
              <w:autoSpaceDE w:val="0"/>
              <w:autoSpaceDN w:val="0"/>
              <w:adjustRightInd w:val="0"/>
              <w:spacing w:after="0"/>
              <w:ind w:left="60" w:right="60"/>
              <w:rPr>
                <w:rFonts w:eastAsiaTheme="minorHAnsi"/>
                <w:color w:val="000000"/>
                <w:kern w:val="2"/>
                <w:sz w:val="20"/>
                <w:szCs w:val="20"/>
                <w:lang w:eastAsia="en-US"/>
                <w14:ligatures w14:val="standardContextual"/>
              </w:rPr>
            </w:pPr>
          </w:p>
        </w:tc>
        <w:tc>
          <w:tcPr>
            <w:tcW w:w="709" w:type="dxa"/>
            <w:vAlign w:val="center"/>
          </w:tcPr>
          <w:p w14:paraId="3095139E" w14:textId="6E1DAB98" w:rsidR="009471AB" w:rsidRPr="00AC4363" w:rsidRDefault="003E62FD" w:rsidP="003E62FD">
            <w:pPr>
              <w:autoSpaceDE w:val="0"/>
              <w:autoSpaceDN w:val="0"/>
              <w:adjustRightInd w:val="0"/>
              <w:spacing w:after="0"/>
              <w:ind w:left="60" w:right="60"/>
              <w:jc w:val="right"/>
              <w:rPr>
                <w:rFonts w:eastAsiaTheme="minorHAnsi"/>
                <w:b/>
                <w:bCs/>
                <w:color w:val="000000"/>
                <w:kern w:val="2"/>
                <w:sz w:val="20"/>
                <w:szCs w:val="20"/>
                <w:lang w:eastAsia="en-US"/>
                <w14:ligatures w14:val="standardContextual"/>
              </w:rPr>
            </w:pPr>
            <w:r w:rsidRPr="00AC4363">
              <w:rPr>
                <w:rFonts w:eastAsiaTheme="minorHAnsi"/>
                <w:b/>
                <w:bCs/>
                <w:color w:val="000000"/>
                <w:kern w:val="2"/>
                <w:sz w:val="20"/>
                <w:szCs w:val="20"/>
                <w:lang w:eastAsia="en-US"/>
                <w14:ligatures w14:val="standardContextual"/>
              </w:rPr>
              <w:t>0</w:t>
            </w:r>
            <w:r w:rsidR="009471AB" w:rsidRPr="00AC4363">
              <w:rPr>
                <w:rFonts w:eastAsiaTheme="minorHAnsi"/>
                <w:b/>
                <w:bCs/>
                <w:color w:val="000000"/>
                <w:kern w:val="2"/>
                <w:sz w:val="20"/>
                <w:szCs w:val="20"/>
                <w:lang w:eastAsia="en-US"/>
                <w14:ligatures w14:val="standardContextual"/>
              </w:rPr>
              <w:t>.691</w:t>
            </w:r>
          </w:p>
        </w:tc>
        <w:tc>
          <w:tcPr>
            <w:tcW w:w="709" w:type="dxa"/>
            <w:vAlign w:val="center"/>
          </w:tcPr>
          <w:p w14:paraId="621E640C" w14:textId="75D77DB2" w:rsidR="009471AB" w:rsidRPr="00AC4363" w:rsidRDefault="009471AB" w:rsidP="003E62FD">
            <w:pPr>
              <w:autoSpaceDE w:val="0"/>
              <w:autoSpaceDN w:val="0"/>
              <w:adjustRightInd w:val="0"/>
              <w:spacing w:after="0"/>
              <w:ind w:left="60" w:right="60"/>
              <w:rPr>
                <w:rFonts w:eastAsiaTheme="minorHAnsi"/>
                <w:color w:val="000000"/>
                <w:sz w:val="20"/>
                <w:szCs w:val="20"/>
                <w:lang w:eastAsia="en-US"/>
              </w:rPr>
            </w:pPr>
          </w:p>
        </w:tc>
        <w:tc>
          <w:tcPr>
            <w:tcW w:w="1417" w:type="dxa"/>
          </w:tcPr>
          <w:p w14:paraId="2BBE98B3" w14:textId="501AFE15" w:rsidR="009471AB" w:rsidRPr="00AC4363" w:rsidRDefault="00E05D09" w:rsidP="003E62FD">
            <w:pPr>
              <w:autoSpaceDE w:val="0"/>
              <w:autoSpaceDN w:val="0"/>
              <w:adjustRightInd w:val="0"/>
              <w:spacing w:after="0"/>
              <w:ind w:right="60"/>
              <w:jc w:val="center"/>
              <w:rPr>
                <w:rFonts w:eastAsiaTheme="minorHAnsi"/>
                <w:color w:val="000000"/>
                <w:sz w:val="20"/>
                <w:szCs w:val="20"/>
                <w:lang w:eastAsia="en-US"/>
              </w:rPr>
            </w:pPr>
            <w:r w:rsidRPr="00AC4363">
              <w:rPr>
                <w:rFonts w:eastAsiaTheme="minorHAnsi"/>
                <w:color w:val="000000"/>
                <w:sz w:val="20"/>
                <w:szCs w:val="20"/>
                <w:lang w:eastAsia="en-US"/>
              </w:rPr>
              <w:t>0.6</w:t>
            </w:r>
            <w:r w:rsidR="00AB0CE1" w:rsidRPr="00AC4363">
              <w:rPr>
                <w:rFonts w:eastAsiaTheme="minorHAnsi"/>
                <w:color w:val="000000"/>
                <w:sz w:val="20"/>
                <w:szCs w:val="20"/>
                <w:lang w:eastAsia="en-US"/>
              </w:rPr>
              <w:t>98</w:t>
            </w:r>
          </w:p>
        </w:tc>
      </w:tr>
      <w:tr w:rsidR="003E62FD" w:rsidRPr="00AC4363" w14:paraId="790B2710" w14:textId="49F4CE3D" w:rsidTr="00AC4363">
        <w:trPr>
          <w:cantSplit/>
        </w:trPr>
        <w:tc>
          <w:tcPr>
            <w:tcW w:w="1985" w:type="dxa"/>
            <w:vMerge/>
            <w:vAlign w:val="center"/>
          </w:tcPr>
          <w:p w14:paraId="3236E2A4" w14:textId="18814EB2" w:rsidR="009471AB" w:rsidRPr="00AC4363" w:rsidRDefault="009471AB" w:rsidP="003E62FD">
            <w:pPr>
              <w:autoSpaceDE w:val="0"/>
              <w:autoSpaceDN w:val="0"/>
              <w:adjustRightInd w:val="0"/>
              <w:spacing w:after="0"/>
              <w:ind w:left="60" w:right="60"/>
              <w:rPr>
                <w:rFonts w:eastAsiaTheme="minorHAnsi"/>
                <w:color w:val="000000"/>
                <w:sz w:val="20"/>
                <w:szCs w:val="20"/>
                <w:lang w:eastAsia="en-US"/>
              </w:rPr>
            </w:pPr>
          </w:p>
        </w:tc>
        <w:tc>
          <w:tcPr>
            <w:tcW w:w="3260" w:type="dxa"/>
          </w:tcPr>
          <w:p w14:paraId="26C86E50" w14:textId="33B4CC18" w:rsidR="009471AB" w:rsidRPr="00AC4363" w:rsidRDefault="009471AB" w:rsidP="003E62FD">
            <w:pPr>
              <w:autoSpaceDE w:val="0"/>
              <w:autoSpaceDN w:val="0"/>
              <w:adjustRightInd w:val="0"/>
              <w:spacing w:after="0"/>
              <w:ind w:right="60"/>
              <w:rPr>
                <w:sz w:val="20"/>
                <w:szCs w:val="20"/>
              </w:rPr>
            </w:pPr>
            <w:r w:rsidRPr="00AC4363">
              <w:rPr>
                <w:sz w:val="20"/>
                <w:szCs w:val="20"/>
              </w:rPr>
              <w:t>Gestión eficiente de recursos</w:t>
            </w:r>
          </w:p>
        </w:tc>
        <w:tc>
          <w:tcPr>
            <w:tcW w:w="1134" w:type="dxa"/>
            <w:vAlign w:val="center"/>
          </w:tcPr>
          <w:p w14:paraId="7EA16F36" w14:textId="7153614B" w:rsidR="009471AB" w:rsidRPr="00AC4363" w:rsidRDefault="009471AB" w:rsidP="003E62FD">
            <w:pPr>
              <w:autoSpaceDE w:val="0"/>
              <w:autoSpaceDN w:val="0"/>
              <w:adjustRightInd w:val="0"/>
              <w:spacing w:after="0"/>
              <w:ind w:left="60" w:right="60"/>
              <w:jc w:val="center"/>
              <w:rPr>
                <w:rFonts w:eastAsiaTheme="minorHAnsi"/>
                <w:sz w:val="20"/>
                <w:szCs w:val="20"/>
                <w:lang w:eastAsia="en-US"/>
              </w:rPr>
            </w:pPr>
          </w:p>
        </w:tc>
        <w:tc>
          <w:tcPr>
            <w:tcW w:w="709" w:type="dxa"/>
            <w:vAlign w:val="center"/>
          </w:tcPr>
          <w:p w14:paraId="12346F51" w14:textId="034CCA7B" w:rsidR="009471AB" w:rsidRPr="00AC4363" w:rsidRDefault="003E62FD" w:rsidP="003E62FD">
            <w:pPr>
              <w:autoSpaceDE w:val="0"/>
              <w:autoSpaceDN w:val="0"/>
              <w:adjustRightInd w:val="0"/>
              <w:spacing w:after="0"/>
              <w:ind w:left="60" w:right="60"/>
              <w:jc w:val="right"/>
              <w:rPr>
                <w:rFonts w:eastAsiaTheme="minorHAnsi"/>
                <w:b/>
                <w:bCs/>
                <w:sz w:val="20"/>
                <w:szCs w:val="20"/>
                <w:lang w:eastAsia="en-US"/>
              </w:rPr>
            </w:pPr>
            <w:r w:rsidRPr="00AC4363">
              <w:rPr>
                <w:rFonts w:eastAsiaTheme="minorHAnsi"/>
                <w:b/>
                <w:bCs/>
                <w:sz w:val="20"/>
                <w:szCs w:val="20"/>
                <w:lang w:eastAsia="en-US"/>
              </w:rPr>
              <w:t>0</w:t>
            </w:r>
            <w:r w:rsidR="009471AB" w:rsidRPr="00AC4363">
              <w:rPr>
                <w:rFonts w:eastAsiaTheme="minorHAnsi"/>
                <w:b/>
                <w:bCs/>
                <w:sz w:val="20"/>
                <w:szCs w:val="20"/>
                <w:lang w:eastAsia="en-US"/>
              </w:rPr>
              <w:t>.667</w:t>
            </w:r>
          </w:p>
        </w:tc>
        <w:tc>
          <w:tcPr>
            <w:tcW w:w="709" w:type="dxa"/>
            <w:vAlign w:val="center"/>
          </w:tcPr>
          <w:p w14:paraId="009F4448" w14:textId="23D55402" w:rsidR="009471AB" w:rsidRPr="00AC4363" w:rsidRDefault="009471AB" w:rsidP="003E62FD">
            <w:pPr>
              <w:autoSpaceDE w:val="0"/>
              <w:autoSpaceDN w:val="0"/>
              <w:adjustRightInd w:val="0"/>
              <w:spacing w:after="0"/>
              <w:ind w:right="60"/>
              <w:rPr>
                <w:rFonts w:eastAsiaTheme="minorHAnsi"/>
                <w:color w:val="FFFF00"/>
                <w:sz w:val="20"/>
                <w:szCs w:val="20"/>
                <w:lang w:eastAsia="en-US"/>
              </w:rPr>
            </w:pPr>
          </w:p>
        </w:tc>
        <w:tc>
          <w:tcPr>
            <w:tcW w:w="1417" w:type="dxa"/>
          </w:tcPr>
          <w:p w14:paraId="4F98D160" w14:textId="43BC4CA6" w:rsidR="009471AB" w:rsidRPr="00AC4363" w:rsidRDefault="00E05D09" w:rsidP="003E62FD">
            <w:pPr>
              <w:autoSpaceDE w:val="0"/>
              <w:autoSpaceDN w:val="0"/>
              <w:adjustRightInd w:val="0"/>
              <w:spacing w:after="0"/>
              <w:ind w:right="60"/>
              <w:jc w:val="center"/>
              <w:rPr>
                <w:rFonts w:eastAsiaTheme="minorHAnsi"/>
                <w:color w:val="FFFF00"/>
                <w:sz w:val="20"/>
                <w:szCs w:val="20"/>
                <w:lang w:eastAsia="en-US"/>
              </w:rPr>
            </w:pPr>
            <w:r w:rsidRPr="00AC4363">
              <w:rPr>
                <w:rFonts w:eastAsiaTheme="minorHAnsi"/>
                <w:sz w:val="20"/>
                <w:szCs w:val="20"/>
                <w:lang w:eastAsia="en-US"/>
              </w:rPr>
              <w:t>0.72</w:t>
            </w:r>
            <w:r w:rsidR="00AB0CE1" w:rsidRPr="00AC4363">
              <w:rPr>
                <w:rFonts w:eastAsiaTheme="minorHAnsi"/>
                <w:sz w:val="20"/>
                <w:szCs w:val="20"/>
                <w:lang w:eastAsia="en-US"/>
              </w:rPr>
              <w:t>7</w:t>
            </w:r>
          </w:p>
        </w:tc>
      </w:tr>
      <w:tr w:rsidR="003E62FD" w:rsidRPr="00AC4363" w14:paraId="2229959B" w14:textId="34A53A33" w:rsidTr="00AC4363">
        <w:trPr>
          <w:cantSplit/>
        </w:trPr>
        <w:tc>
          <w:tcPr>
            <w:tcW w:w="1985" w:type="dxa"/>
            <w:vMerge/>
            <w:vAlign w:val="center"/>
          </w:tcPr>
          <w:p w14:paraId="3BE697C3" w14:textId="5D5DC462" w:rsidR="009471AB" w:rsidRPr="00AC4363" w:rsidRDefault="009471AB" w:rsidP="003E62FD">
            <w:pPr>
              <w:autoSpaceDE w:val="0"/>
              <w:autoSpaceDN w:val="0"/>
              <w:adjustRightInd w:val="0"/>
              <w:spacing w:after="0"/>
              <w:ind w:left="60" w:right="60"/>
              <w:rPr>
                <w:rFonts w:eastAsiaTheme="minorHAnsi"/>
                <w:color w:val="000000"/>
                <w:sz w:val="20"/>
                <w:szCs w:val="20"/>
                <w:lang w:eastAsia="en-US"/>
              </w:rPr>
            </w:pPr>
          </w:p>
        </w:tc>
        <w:tc>
          <w:tcPr>
            <w:tcW w:w="3260" w:type="dxa"/>
          </w:tcPr>
          <w:p w14:paraId="1DE475C1" w14:textId="7143CA2D" w:rsidR="009471AB" w:rsidRPr="00AC4363" w:rsidRDefault="009471AB" w:rsidP="003E62FD">
            <w:pPr>
              <w:autoSpaceDE w:val="0"/>
              <w:autoSpaceDN w:val="0"/>
              <w:adjustRightInd w:val="0"/>
              <w:spacing w:after="0"/>
              <w:ind w:right="60"/>
              <w:rPr>
                <w:color w:val="000000"/>
                <w:sz w:val="20"/>
                <w:szCs w:val="20"/>
              </w:rPr>
            </w:pPr>
            <w:r w:rsidRPr="00AC4363">
              <w:rPr>
                <w:color w:val="000000"/>
                <w:sz w:val="20"/>
                <w:szCs w:val="20"/>
              </w:rPr>
              <w:t>Pensamiento de diseño</w:t>
            </w:r>
          </w:p>
        </w:tc>
        <w:tc>
          <w:tcPr>
            <w:tcW w:w="1134" w:type="dxa"/>
            <w:vAlign w:val="center"/>
          </w:tcPr>
          <w:p w14:paraId="1858D81A" w14:textId="723CB479" w:rsidR="009471AB" w:rsidRPr="00AC4363" w:rsidRDefault="009471AB" w:rsidP="003E62FD">
            <w:pPr>
              <w:autoSpaceDE w:val="0"/>
              <w:autoSpaceDN w:val="0"/>
              <w:adjustRightInd w:val="0"/>
              <w:spacing w:after="0"/>
              <w:ind w:left="60" w:right="60"/>
              <w:rPr>
                <w:rFonts w:eastAsiaTheme="minorHAnsi"/>
                <w:color w:val="000000"/>
                <w:sz w:val="20"/>
                <w:szCs w:val="20"/>
                <w:lang w:eastAsia="en-US"/>
              </w:rPr>
            </w:pPr>
          </w:p>
        </w:tc>
        <w:tc>
          <w:tcPr>
            <w:tcW w:w="709" w:type="dxa"/>
            <w:vAlign w:val="center"/>
          </w:tcPr>
          <w:p w14:paraId="23672321" w14:textId="34007613" w:rsidR="009471AB" w:rsidRPr="00AC4363" w:rsidRDefault="003E62FD" w:rsidP="003E62FD">
            <w:pPr>
              <w:autoSpaceDE w:val="0"/>
              <w:autoSpaceDN w:val="0"/>
              <w:adjustRightInd w:val="0"/>
              <w:spacing w:after="0"/>
              <w:ind w:left="60" w:right="60"/>
              <w:jc w:val="right"/>
              <w:rPr>
                <w:rFonts w:eastAsiaTheme="minorHAnsi"/>
                <w:b/>
                <w:bCs/>
                <w:color w:val="000000"/>
                <w:sz w:val="20"/>
                <w:szCs w:val="20"/>
                <w:lang w:eastAsia="en-US"/>
              </w:rPr>
            </w:pPr>
            <w:r w:rsidRPr="00AC4363">
              <w:rPr>
                <w:rFonts w:eastAsiaTheme="minorHAnsi"/>
                <w:b/>
                <w:bCs/>
                <w:color w:val="000000"/>
                <w:sz w:val="20"/>
                <w:szCs w:val="20"/>
                <w:lang w:eastAsia="en-US"/>
              </w:rPr>
              <w:t>0</w:t>
            </w:r>
            <w:r w:rsidR="009471AB" w:rsidRPr="00AC4363">
              <w:rPr>
                <w:rFonts w:eastAsiaTheme="minorHAnsi"/>
                <w:b/>
                <w:bCs/>
                <w:color w:val="000000"/>
                <w:sz w:val="20"/>
                <w:szCs w:val="20"/>
                <w:lang w:eastAsia="en-US"/>
              </w:rPr>
              <w:t>.666</w:t>
            </w:r>
          </w:p>
        </w:tc>
        <w:tc>
          <w:tcPr>
            <w:tcW w:w="709" w:type="dxa"/>
            <w:vAlign w:val="center"/>
          </w:tcPr>
          <w:p w14:paraId="46BB7FFB" w14:textId="28F5B15B" w:rsidR="009471AB" w:rsidRPr="00AC4363" w:rsidRDefault="009471AB" w:rsidP="003E62FD">
            <w:pPr>
              <w:autoSpaceDE w:val="0"/>
              <w:autoSpaceDN w:val="0"/>
              <w:adjustRightInd w:val="0"/>
              <w:spacing w:after="0"/>
              <w:ind w:left="60" w:right="60"/>
              <w:rPr>
                <w:rFonts w:eastAsiaTheme="minorHAnsi"/>
                <w:color w:val="000000"/>
                <w:sz w:val="20"/>
                <w:szCs w:val="20"/>
                <w:lang w:eastAsia="en-US"/>
              </w:rPr>
            </w:pPr>
          </w:p>
        </w:tc>
        <w:tc>
          <w:tcPr>
            <w:tcW w:w="1417" w:type="dxa"/>
          </w:tcPr>
          <w:p w14:paraId="41B686B3" w14:textId="555FE236" w:rsidR="009471AB" w:rsidRPr="00AC4363" w:rsidRDefault="00E05D09" w:rsidP="003E62FD">
            <w:pPr>
              <w:autoSpaceDE w:val="0"/>
              <w:autoSpaceDN w:val="0"/>
              <w:adjustRightInd w:val="0"/>
              <w:spacing w:after="0"/>
              <w:ind w:right="60"/>
              <w:jc w:val="center"/>
              <w:rPr>
                <w:rFonts w:eastAsiaTheme="minorHAnsi"/>
                <w:color w:val="000000"/>
                <w:sz w:val="20"/>
                <w:szCs w:val="20"/>
                <w:lang w:eastAsia="en-US"/>
              </w:rPr>
            </w:pPr>
            <w:r w:rsidRPr="00AC4363">
              <w:rPr>
                <w:rFonts w:eastAsiaTheme="minorHAnsi"/>
                <w:color w:val="000000"/>
                <w:sz w:val="20"/>
                <w:szCs w:val="20"/>
                <w:lang w:eastAsia="en-US"/>
              </w:rPr>
              <w:t>0.7</w:t>
            </w:r>
            <w:r w:rsidR="00AB0CE1" w:rsidRPr="00AC4363">
              <w:rPr>
                <w:rFonts w:eastAsiaTheme="minorHAnsi"/>
                <w:color w:val="000000"/>
                <w:sz w:val="20"/>
                <w:szCs w:val="20"/>
                <w:lang w:eastAsia="en-US"/>
              </w:rPr>
              <w:t>21</w:t>
            </w:r>
          </w:p>
        </w:tc>
      </w:tr>
      <w:tr w:rsidR="003E62FD" w:rsidRPr="00AC4363" w14:paraId="11816907" w14:textId="125A6882" w:rsidTr="00AC4363">
        <w:trPr>
          <w:cantSplit/>
        </w:trPr>
        <w:tc>
          <w:tcPr>
            <w:tcW w:w="1985" w:type="dxa"/>
            <w:vMerge/>
            <w:vAlign w:val="center"/>
          </w:tcPr>
          <w:p w14:paraId="305D117C" w14:textId="1D1F2F31" w:rsidR="009471AB" w:rsidRPr="00AC4363" w:rsidRDefault="009471AB" w:rsidP="003E62FD">
            <w:pPr>
              <w:autoSpaceDE w:val="0"/>
              <w:autoSpaceDN w:val="0"/>
              <w:adjustRightInd w:val="0"/>
              <w:spacing w:after="0"/>
              <w:ind w:left="60" w:right="60"/>
              <w:rPr>
                <w:rFonts w:eastAsiaTheme="minorHAnsi"/>
                <w:color w:val="000000"/>
                <w:sz w:val="20"/>
                <w:szCs w:val="20"/>
                <w:lang w:eastAsia="en-US"/>
              </w:rPr>
            </w:pPr>
          </w:p>
        </w:tc>
        <w:tc>
          <w:tcPr>
            <w:tcW w:w="3260" w:type="dxa"/>
          </w:tcPr>
          <w:p w14:paraId="14A89203" w14:textId="506237C0" w:rsidR="009471AB" w:rsidRPr="00AC4363" w:rsidRDefault="009471AB" w:rsidP="003E62FD">
            <w:pPr>
              <w:autoSpaceDE w:val="0"/>
              <w:autoSpaceDN w:val="0"/>
              <w:adjustRightInd w:val="0"/>
              <w:spacing w:after="0"/>
              <w:ind w:right="60"/>
              <w:rPr>
                <w:sz w:val="20"/>
                <w:szCs w:val="20"/>
              </w:rPr>
            </w:pPr>
            <w:r w:rsidRPr="00AC4363">
              <w:rPr>
                <w:sz w:val="20"/>
                <w:szCs w:val="20"/>
              </w:rPr>
              <w:t>Digitalización para optimización de procesos</w:t>
            </w:r>
          </w:p>
        </w:tc>
        <w:tc>
          <w:tcPr>
            <w:tcW w:w="1134" w:type="dxa"/>
            <w:vAlign w:val="center"/>
          </w:tcPr>
          <w:p w14:paraId="7D748208" w14:textId="608620E3" w:rsidR="009471AB" w:rsidRPr="00AC4363" w:rsidRDefault="009471AB" w:rsidP="003E62FD">
            <w:pPr>
              <w:autoSpaceDE w:val="0"/>
              <w:autoSpaceDN w:val="0"/>
              <w:adjustRightInd w:val="0"/>
              <w:spacing w:after="0"/>
              <w:ind w:left="60" w:right="60"/>
              <w:rPr>
                <w:rFonts w:eastAsiaTheme="minorHAnsi"/>
                <w:sz w:val="20"/>
                <w:szCs w:val="20"/>
                <w:lang w:eastAsia="en-US"/>
              </w:rPr>
            </w:pPr>
          </w:p>
        </w:tc>
        <w:tc>
          <w:tcPr>
            <w:tcW w:w="709" w:type="dxa"/>
            <w:vAlign w:val="center"/>
          </w:tcPr>
          <w:p w14:paraId="583052D1" w14:textId="77777777" w:rsidR="00CE79DD" w:rsidRPr="00AC4363" w:rsidRDefault="00CE79DD" w:rsidP="003E62FD">
            <w:pPr>
              <w:autoSpaceDE w:val="0"/>
              <w:autoSpaceDN w:val="0"/>
              <w:adjustRightInd w:val="0"/>
              <w:spacing w:after="0"/>
              <w:ind w:left="60" w:right="60"/>
              <w:jc w:val="right"/>
              <w:rPr>
                <w:rFonts w:eastAsiaTheme="minorHAnsi"/>
                <w:b/>
                <w:bCs/>
                <w:sz w:val="20"/>
                <w:szCs w:val="20"/>
                <w:lang w:eastAsia="en-US"/>
              </w:rPr>
            </w:pPr>
          </w:p>
          <w:p w14:paraId="79AD71C0" w14:textId="34D48648" w:rsidR="009471AB" w:rsidRPr="00AC4363" w:rsidRDefault="003E62FD" w:rsidP="003E62FD">
            <w:pPr>
              <w:autoSpaceDE w:val="0"/>
              <w:autoSpaceDN w:val="0"/>
              <w:adjustRightInd w:val="0"/>
              <w:spacing w:after="0"/>
              <w:ind w:left="60" w:right="60"/>
              <w:jc w:val="right"/>
              <w:rPr>
                <w:rFonts w:eastAsiaTheme="minorHAnsi"/>
                <w:b/>
                <w:bCs/>
                <w:sz w:val="20"/>
                <w:szCs w:val="20"/>
                <w:lang w:eastAsia="en-US"/>
              </w:rPr>
            </w:pPr>
            <w:r w:rsidRPr="00AC4363">
              <w:rPr>
                <w:rFonts w:eastAsiaTheme="minorHAnsi"/>
                <w:b/>
                <w:bCs/>
                <w:sz w:val="20"/>
                <w:szCs w:val="20"/>
                <w:lang w:eastAsia="en-US"/>
              </w:rPr>
              <w:t>0</w:t>
            </w:r>
            <w:r w:rsidR="009471AB" w:rsidRPr="00AC4363">
              <w:rPr>
                <w:rFonts w:eastAsiaTheme="minorHAnsi"/>
                <w:b/>
                <w:bCs/>
                <w:sz w:val="20"/>
                <w:szCs w:val="20"/>
                <w:lang w:eastAsia="en-US"/>
              </w:rPr>
              <w:t>.662</w:t>
            </w:r>
          </w:p>
        </w:tc>
        <w:tc>
          <w:tcPr>
            <w:tcW w:w="709" w:type="dxa"/>
            <w:vAlign w:val="center"/>
          </w:tcPr>
          <w:p w14:paraId="0DF1D4E7" w14:textId="33AA4289" w:rsidR="009471AB" w:rsidRPr="00AC4363" w:rsidRDefault="009471AB" w:rsidP="003E62FD">
            <w:pPr>
              <w:autoSpaceDE w:val="0"/>
              <w:autoSpaceDN w:val="0"/>
              <w:adjustRightInd w:val="0"/>
              <w:spacing w:after="0"/>
              <w:ind w:right="60"/>
              <w:rPr>
                <w:rFonts w:eastAsiaTheme="minorHAnsi"/>
                <w:color w:val="FFFF00"/>
                <w:sz w:val="20"/>
                <w:szCs w:val="20"/>
                <w:lang w:eastAsia="en-US"/>
              </w:rPr>
            </w:pPr>
          </w:p>
        </w:tc>
        <w:tc>
          <w:tcPr>
            <w:tcW w:w="1417" w:type="dxa"/>
          </w:tcPr>
          <w:p w14:paraId="39EF852B" w14:textId="77777777" w:rsidR="00CE79DD" w:rsidRPr="00AC4363" w:rsidRDefault="00CE79DD" w:rsidP="003E62FD">
            <w:pPr>
              <w:autoSpaceDE w:val="0"/>
              <w:autoSpaceDN w:val="0"/>
              <w:adjustRightInd w:val="0"/>
              <w:spacing w:after="0"/>
              <w:ind w:right="60"/>
              <w:jc w:val="center"/>
              <w:rPr>
                <w:rFonts w:eastAsiaTheme="minorHAnsi"/>
                <w:sz w:val="20"/>
                <w:szCs w:val="20"/>
                <w:lang w:eastAsia="en-US"/>
              </w:rPr>
            </w:pPr>
          </w:p>
          <w:p w14:paraId="3167F0C9" w14:textId="5E067CD3" w:rsidR="009471AB" w:rsidRPr="00AC4363" w:rsidRDefault="00E05D09" w:rsidP="003E62FD">
            <w:pPr>
              <w:autoSpaceDE w:val="0"/>
              <w:autoSpaceDN w:val="0"/>
              <w:adjustRightInd w:val="0"/>
              <w:spacing w:after="0"/>
              <w:ind w:right="60"/>
              <w:jc w:val="center"/>
              <w:rPr>
                <w:rFonts w:eastAsiaTheme="minorHAnsi"/>
                <w:sz w:val="20"/>
                <w:szCs w:val="20"/>
                <w:lang w:eastAsia="en-US"/>
              </w:rPr>
            </w:pPr>
            <w:r w:rsidRPr="00AC4363">
              <w:rPr>
                <w:rFonts w:eastAsiaTheme="minorHAnsi"/>
                <w:sz w:val="20"/>
                <w:szCs w:val="20"/>
                <w:lang w:eastAsia="en-US"/>
              </w:rPr>
              <w:t>0.7</w:t>
            </w:r>
            <w:r w:rsidR="00AB0CE1" w:rsidRPr="00AC4363">
              <w:rPr>
                <w:rFonts w:eastAsiaTheme="minorHAnsi"/>
                <w:sz w:val="20"/>
                <w:szCs w:val="20"/>
                <w:lang w:eastAsia="en-US"/>
              </w:rPr>
              <w:t>37</w:t>
            </w:r>
          </w:p>
        </w:tc>
      </w:tr>
      <w:tr w:rsidR="003E62FD" w:rsidRPr="00AC4363" w14:paraId="551CA8FF" w14:textId="7B8D1347" w:rsidTr="00AC4363">
        <w:trPr>
          <w:cantSplit/>
        </w:trPr>
        <w:tc>
          <w:tcPr>
            <w:tcW w:w="1985" w:type="dxa"/>
            <w:vMerge w:val="restart"/>
            <w:vAlign w:val="center"/>
          </w:tcPr>
          <w:p w14:paraId="2CA6F37B" w14:textId="56698C02" w:rsidR="009471AB" w:rsidRPr="00AC4363" w:rsidRDefault="00CE79DD" w:rsidP="003E62FD">
            <w:pPr>
              <w:autoSpaceDE w:val="0"/>
              <w:autoSpaceDN w:val="0"/>
              <w:adjustRightInd w:val="0"/>
              <w:spacing w:after="0"/>
              <w:ind w:left="60" w:right="60"/>
              <w:rPr>
                <w:rFonts w:eastAsiaTheme="minorHAnsi"/>
                <w:sz w:val="20"/>
                <w:szCs w:val="20"/>
                <w:lang w:eastAsia="en-US"/>
              </w:rPr>
            </w:pPr>
            <w:r w:rsidRPr="00AC4363">
              <w:rPr>
                <w:rFonts w:eastAsiaTheme="minorHAnsi"/>
                <w:sz w:val="20"/>
                <w:szCs w:val="20"/>
                <w:lang w:eastAsia="en-US"/>
              </w:rPr>
              <w:t>Formación del d</w:t>
            </w:r>
            <w:r w:rsidR="009471AB" w:rsidRPr="00AC4363">
              <w:rPr>
                <w:rFonts w:eastAsiaTheme="minorHAnsi"/>
                <w:sz w:val="20"/>
                <w:szCs w:val="20"/>
                <w:lang w:eastAsia="en-US"/>
              </w:rPr>
              <w:t xml:space="preserve">esarrollo  </w:t>
            </w:r>
            <w:r w:rsidR="003E62FD" w:rsidRPr="00AC4363">
              <w:rPr>
                <w:rFonts w:eastAsiaTheme="minorHAnsi"/>
                <w:sz w:val="20"/>
                <w:szCs w:val="20"/>
                <w:lang w:eastAsia="en-US"/>
              </w:rPr>
              <w:t>h</w:t>
            </w:r>
            <w:r w:rsidR="009471AB" w:rsidRPr="00AC4363">
              <w:rPr>
                <w:rFonts w:eastAsiaTheme="minorHAnsi"/>
                <w:sz w:val="20"/>
                <w:szCs w:val="20"/>
                <w:lang w:eastAsia="en-US"/>
              </w:rPr>
              <w:t xml:space="preserve">umano </w:t>
            </w:r>
            <w:r w:rsidR="00E00BC7" w:rsidRPr="00AC4363">
              <w:rPr>
                <w:rFonts w:eastAsiaTheme="minorHAnsi"/>
                <w:sz w:val="20"/>
                <w:szCs w:val="20"/>
                <w:lang w:eastAsia="en-US"/>
              </w:rPr>
              <w:t>y responsabilidad social</w:t>
            </w:r>
          </w:p>
        </w:tc>
        <w:tc>
          <w:tcPr>
            <w:tcW w:w="3260" w:type="dxa"/>
          </w:tcPr>
          <w:p w14:paraId="7FE8175B" w14:textId="213719F5" w:rsidR="009471AB" w:rsidRPr="00AC4363" w:rsidRDefault="009471AB" w:rsidP="003E62FD">
            <w:pPr>
              <w:autoSpaceDE w:val="0"/>
              <w:autoSpaceDN w:val="0"/>
              <w:adjustRightInd w:val="0"/>
              <w:spacing w:after="0"/>
              <w:ind w:right="60"/>
              <w:rPr>
                <w:sz w:val="20"/>
                <w:szCs w:val="20"/>
              </w:rPr>
            </w:pPr>
            <w:r w:rsidRPr="00AC4363">
              <w:rPr>
                <w:sz w:val="20"/>
                <w:szCs w:val="20"/>
              </w:rPr>
              <w:t>Responsabilidad ética y moral</w:t>
            </w:r>
          </w:p>
        </w:tc>
        <w:tc>
          <w:tcPr>
            <w:tcW w:w="1134" w:type="dxa"/>
            <w:vAlign w:val="center"/>
          </w:tcPr>
          <w:p w14:paraId="1BD78988" w14:textId="21F645FF" w:rsidR="009471AB" w:rsidRPr="00AC4363" w:rsidRDefault="009471AB" w:rsidP="003E62FD">
            <w:pPr>
              <w:autoSpaceDE w:val="0"/>
              <w:autoSpaceDN w:val="0"/>
              <w:adjustRightInd w:val="0"/>
              <w:spacing w:after="0"/>
              <w:ind w:left="60" w:right="60"/>
              <w:jc w:val="center"/>
              <w:rPr>
                <w:rFonts w:eastAsiaTheme="minorHAnsi"/>
                <w:sz w:val="20"/>
                <w:szCs w:val="20"/>
                <w:lang w:eastAsia="en-US"/>
              </w:rPr>
            </w:pPr>
          </w:p>
        </w:tc>
        <w:tc>
          <w:tcPr>
            <w:tcW w:w="709" w:type="dxa"/>
            <w:vAlign w:val="center"/>
          </w:tcPr>
          <w:p w14:paraId="36C3E3B3" w14:textId="33C6B4C7" w:rsidR="009471AB" w:rsidRPr="00AC4363" w:rsidRDefault="009471AB" w:rsidP="003E62FD">
            <w:pPr>
              <w:autoSpaceDE w:val="0"/>
              <w:autoSpaceDN w:val="0"/>
              <w:adjustRightInd w:val="0"/>
              <w:spacing w:after="0"/>
              <w:ind w:left="60" w:right="60"/>
              <w:rPr>
                <w:rFonts w:eastAsiaTheme="minorHAnsi"/>
                <w:sz w:val="20"/>
                <w:szCs w:val="20"/>
                <w:lang w:eastAsia="en-US"/>
              </w:rPr>
            </w:pPr>
          </w:p>
        </w:tc>
        <w:tc>
          <w:tcPr>
            <w:tcW w:w="709" w:type="dxa"/>
            <w:vAlign w:val="center"/>
          </w:tcPr>
          <w:p w14:paraId="140313D6" w14:textId="23B85908" w:rsidR="009471AB" w:rsidRPr="00AC4363" w:rsidRDefault="003E62FD" w:rsidP="003E62FD">
            <w:pPr>
              <w:autoSpaceDE w:val="0"/>
              <w:autoSpaceDN w:val="0"/>
              <w:adjustRightInd w:val="0"/>
              <w:spacing w:after="0"/>
              <w:ind w:left="60" w:right="60"/>
              <w:jc w:val="right"/>
              <w:rPr>
                <w:rFonts w:eastAsiaTheme="minorHAnsi"/>
                <w:b/>
                <w:bCs/>
                <w:sz w:val="20"/>
                <w:szCs w:val="20"/>
                <w:lang w:eastAsia="en-US"/>
              </w:rPr>
            </w:pPr>
            <w:r w:rsidRPr="00AC4363">
              <w:rPr>
                <w:rFonts w:eastAsiaTheme="minorHAnsi"/>
                <w:b/>
                <w:bCs/>
                <w:sz w:val="20"/>
                <w:szCs w:val="20"/>
                <w:lang w:eastAsia="en-US"/>
              </w:rPr>
              <w:t>0</w:t>
            </w:r>
            <w:r w:rsidR="009471AB" w:rsidRPr="00AC4363">
              <w:rPr>
                <w:rFonts w:eastAsiaTheme="minorHAnsi"/>
                <w:b/>
                <w:bCs/>
                <w:sz w:val="20"/>
                <w:szCs w:val="20"/>
                <w:lang w:eastAsia="en-US"/>
              </w:rPr>
              <w:t>.743</w:t>
            </w:r>
          </w:p>
        </w:tc>
        <w:tc>
          <w:tcPr>
            <w:tcW w:w="1417" w:type="dxa"/>
          </w:tcPr>
          <w:p w14:paraId="6E2976D6" w14:textId="38316567" w:rsidR="009471AB" w:rsidRPr="00AC4363" w:rsidRDefault="00E05D09" w:rsidP="003E62FD">
            <w:pPr>
              <w:autoSpaceDE w:val="0"/>
              <w:autoSpaceDN w:val="0"/>
              <w:adjustRightInd w:val="0"/>
              <w:spacing w:after="0"/>
              <w:ind w:right="60"/>
              <w:jc w:val="center"/>
              <w:rPr>
                <w:rFonts w:eastAsiaTheme="minorHAnsi"/>
                <w:sz w:val="20"/>
                <w:szCs w:val="20"/>
                <w:lang w:eastAsia="en-US"/>
              </w:rPr>
            </w:pPr>
            <w:r w:rsidRPr="00AC4363">
              <w:rPr>
                <w:rFonts w:eastAsiaTheme="minorHAnsi"/>
                <w:sz w:val="20"/>
                <w:szCs w:val="20"/>
                <w:lang w:eastAsia="en-US"/>
              </w:rPr>
              <w:t>0.</w:t>
            </w:r>
            <w:r w:rsidR="00222452" w:rsidRPr="00AC4363">
              <w:rPr>
                <w:rFonts w:eastAsiaTheme="minorHAnsi"/>
                <w:sz w:val="20"/>
                <w:szCs w:val="20"/>
                <w:lang w:eastAsia="en-US"/>
              </w:rPr>
              <w:t>797</w:t>
            </w:r>
          </w:p>
        </w:tc>
      </w:tr>
      <w:tr w:rsidR="003E62FD" w:rsidRPr="00AC4363" w14:paraId="544347DF" w14:textId="47C0ED19" w:rsidTr="00AC4363">
        <w:trPr>
          <w:cantSplit/>
        </w:trPr>
        <w:tc>
          <w:tcPr>
            <w:tcW w:w="1985" w:type="dxa"/>
            <w:vMerge/>
            <w:vAlign w:val="center"/>
          </w:tcPr>
          <w:p w14:paraId="478C1794" w14:textId="25D117AB" w:rsidR="009471AB" w:rsidRPr="00AC4363" w:rsidRDefault="009471AB" w:rsidP="003E62FD">
            <w:pPr>
              <w:autoSpaceDE w:val="0"/>
              <w:autoSpaceDN w:val="0"/>
              <w:adjustRightInd w:val="0"/>
              <w:spacing w:after="0"/>
              <w:ind w:left="60" w:right="60"/>
              <w:rPr>
                <w:rFonts w:eastAsiaTheme="minorHAnsi"/>
                <w:sz w:val="20"/>
                <w:szCs w:val="20"/>
                <w:lang w:eastAsia="en-US"/>
              </w:rPr>
            </w:pPr>
          </w:p>
        </w:tc>
        <w:tc>
          <w:tcPr>
            <w:tcW w:w="3260" w:type="dxa"/>
          </w:tcPr>
          <w:p w14:paraId="58B2107F" w14:textId="6185C633" w:rsidR="009471AB" w:rsidRPr="00AC4363" w:rsidRDefault="009471AB" w:rsidP="003E62FD">
            <w:pPr>
              <w:autoSpaceDE w:val="0"/>
              <w:autoSpaceDN w:val="0"/>
              <w:adjustRightInd w:val="0"/>
              <w:spacing w:after="0"/>
              <w:ind w:right="60"/>
              <w:rPr>
                <w:sz w:val="20"/>
                <w:szCs w:val="20"/>
              </w:rPr>
            </w:pPr>
            <w:r w:rsidRPr="00AC4363">
              <w:rPr>
                <w:sz w:val="20"/>
                <w:szCs w:val="20"/>
              </w:rPr>
              <w:t>Asertividad en la toma de decisiones</w:t>
            </w:r>
          </w:p>
        </w:tc>
        <w:tc>
          <w:tcPr>
            <w:tcW w:w="1134" w:type="dxa"/>
            <w:vAlign w:val="center"/>
          </w:tcPr>
          <w:p w14:paraId="6471538B" w14:textId="35766A0A" w:rsidR="009471AB" w:rsidRPr="00AC4363" w:rsidRDefault="009471AB" w:rsidP="003E62FD">
            <w:pPr>
              <w:autoSpaceDE w:val="0"/>
              <w:autoSpaceDN w:val="0"/>
              <w:adjustRightInd w:val="0"/>
              <w:spacing w:after="0"/>
              <w:ind w:right="60"/>
              <w:rPr>
                <w:rFonts w:eastAsiaTheme="minorHAnsi"/>
                <w:sz w:val="20"/>
                <w:szCs w:val="20"/>
                <w:lang w:eastAsia="en-US"/>
              </w:rPr>
            </w:pPr>
          </w:p>
        </w:tc>
        <w:tc>
          <w:tcPr>
            <w:tcW w:w="709" w:type="dxa"/>
            <w:vAlign w:val="center"/>
          </w:tcPr>
          <w:p w14:paraId="6A9EDFF9" w14:textId="3FE0310C" w:rsidR="009471AB" w:rsidRPr="00AC4363" w:rsidRDefault="009471AB" w:rsidP="003E62FD">
            <w:pPr>
              <w:autoSpaceDE w:val="0"/>
              <w:autoSpaceDN w:val="0"/>
              <w:adjustRightInd w:val="0"/>
              <w:spacing w:after="0"/>
              <w:ind w:left="60" w:right="60"/>
              <w:rPr>
                <w:rFonts w:eastAsiaTheme="minorHAnsi"/>
                <w:sz w:val="20"/>
                <w:szCs w:val="20"/>
                <w:lang w:eastAsia="en-US"/>
              </w:rPr>
            </w:pPr>
          </w:p>
        </w:tc>
        <w:tc>
          <w:tcPr>
            <w:tcW w:w="709" w:type="dxa"/>
            <w:vAlign w:val="center"/>
          </w:tcPr>
          <w:p w14:paraId="6C03438C" w14:textId="723C433F" w:rsidR="009471AB" w:rsidRPr="00AC4363" w:rsidRDefault="003E62FD" w:rsidP="003E62FD">
            <w:pPr>
              <w:autoSpaceDE w:val="0"/>
              <w:autoSpaceDN w:val="0"/>
              <w:adjustRightInd w:val="0"/>
              <w:spacing w:after="0"/>
              <w:ind w:left="60" w:right="60"/>
              <w:jc w:val="right"/>
              <w:rPr>
                <w:rFonts w:eastAsiaTheme="minorHAnsi"/>
                <w:b/>
                <w:bCs/>
                <w:sz w:val="20"/>
                <w:szCs w:val="20"/>
                <w:lang w:eastAsia="en-US"/>
              </w:rPr>
            </w:pPr>
            <w:r w:rsidRPr="00AC4363">
              <w:rPr>
                <w:rFonts w:eastAsiaTheme="minorHAnsi"/>
                <w:b/>
                <w:bCs/>
                <w:sz w:val="20"/>
                <w:szCs w:val="20"/>
                <w:lang w:eastAsia="en-US"/>
              </w:rPr>
              <w:t>0</w:t>
            </w:r>
            <w:r w:rsidR="009471AB" w:rsidRPr="00AC4363">
              <w:rPr>
                <w:rFonts w:eastAsiaTheme="minorHAnsi"/>
                <w:b/>
                <w:bCs/>
                <w:sz w:val="20"/>
                <w:szCs w:val="20"/>
                <w:lang w:eastAsia="en-US"/>
              </w:rPr>
              <w:t>.653</w:t>
            </w:r>
          </w:p>
        </w:tc>
        <w:tc>
          <w:tcPr>
            <w:tcW w:w="1417" w:type="dxa"/>
          </w:tcPr>
          <w:p w14:paraId="4F54AD93" w14:textId="544E3A8E" w:rsidR="009471AB" w:rsidRPr="00AC4363" w:rsidRDefault="0039017B" w:rsidP="003E62FD">
            <w:pPr>
              <w:autoSpaceDE w:val="0"/>
              <w:autoSpaceDN w:val="0"/>
              <w:adjustRightInd w:val="0"/>
              <w:spacing w:after="0"/>
              <w:ind w:right="60"/>
              <w:jc w:val="center"/>
              <w:rPr>
                <w:rFonts w:eastAsiaTheme="minorHAnsi"/>
                <w:sz w:val="20"/>
                <w:szCs w:val="20"/>
                <w:lang w:eastAsia="en-US"/>
              </w:rPr>
            </w:pPr>
            <w:r w:rsidRPr="00AC4363">
              <w:rPr>
                <w:rFonts w:eastAsiaTheme="minorHAnsi"/>
                <w:sz w:val="20"/>
                <w:szCs w:val="20"/>
                <w:lang w:eastAsia="en-US"/>
              </w:rPr>
              <w:t>0.</w:t>
            </w:r>
            <w:r w:rsidR="00AB0CE1" w:rsidRPr="00AC4363">
              <w:rPr>
                <w:rFonts w:eastAsiaTheme="minorHAnsi"/>
                <w:sz w:val="20"/>
                <w:szCs w:val="20"/>
                <w:lang w:eastAsia="en-US"/>
              </w:rPr>
              <w:t>767</w:t>
            </w:r>
          </w:p>
        </w:tc>
      </w:tr>
      <w:tr w:rsidR="003E62FD" w:rsidRPr="00AC4363" w14:paraId="371FF9E9" w14:textId="7E93C3E7" w:rsidTr="00AC4363">
        <w:trPr>
          <w:cantSplit/>
        </w:trPr>
        <w:tc>
          <w:tcPr>
            <w:tcW w:w="1985" w:type="dxa"/>
            <w:vMerge/>
            <w:vAlign w:val="center"/>
          </w:tcPr>
          <w:p w14:paraId="34291326" w14:textId="49DCA967" w:rsidR="009471AB" w:rsidRPr="00AC4363" w:rsidRDefault="009471AB" w:rsidP="003E62FD">
            <w:pPr>
              <w:autoSpaceDE w:val="0"/>
              <w:autoSpaceDN w:val="0"/>
              <w:adjustRightInd w:val="0"/>
              <w:spacing w:after="0"/>
              <w:ind w:left="60" w:right="60"/>
              <w:rPr>
                <w:rFonts w:eastAsiaTheme="minorHAnsi"/>
                <w:sz w:val="20"/>
                <w:szCs w:val="20"/>
                <w:lang w:eastAsia="en-US"/>
              </w:rPr>
            </w:pPr>
          </w:p>
        </w:tc>
        <w:tc>
          <w:tcPr>
            <w:tcW w:w="3260" w:type="dxa"/>
          </w:tcPr>
          <w:p w14:paraId="3E049060" w14:textId="315BB993" w:rsidR="009471AB" w:rsidRPr="00AC4363" w:rsidRDefault="009471AB" w:rsidP="003E62FD">
            <w:pPr>
              <w:autoSpaceDE w:val="0"/>
              <w:autoSpaceDN w:val="0"/>
              <w:adjustRightInd w:val="0"/>
              <w:spacing w:after="0"/>
              <w:ind w:right="60"/>
              <w:rPr>
                <w:sz w:val="20"/>
                <w:szCs w:val="20"/>
              </w:rPr>
            </w:pPr>
            <w:r w:rsidRPr="00AC4363">
              <w:rPr>
                <w:sz w:val="20"/>
                <w:szCs w:val="20"/>
              </w:rPr>
              <w:t>Promoción del bienestar social y sostenibilidad</w:t>
            </w:r>
          </w:p>
        </w:tc>
        <w:tc>
          <w:tcPr>
            <w:tcW w:w="1134" w:type="dxa"/>
            <w:vAlign w:val="center"/>
          </w:tcPr>
          <w:p w14:paraId="26D06A2E" w14:textId="422FC77B" w:rsidR="009471AB" w:rsidRPr="00AC4363" w:rsidRDefault="009471AB" w:rsidP="003E62FD">
            <w:pPr>
              <w:autoSpaceDE w:val="0"/>
              <w:autoSpaceDN w:val="0"/>
              <w:adjustRightInd w:val="0"/>
              <w:spacing w:after="0"/>
              <w:ind w:left="60" w:right="60"/>
              <w:rPr>
                <w:rFonts w:eastAsiaTheme="minorHAnsi"/>
                <w:sz w:val="20"/>
                <w:szCs w:val="20"/>
                <w:lang w:eastAsia="en-US"/>
              </w:rPr>
            </w:pPr>
          </w:p>
        </w:tc>
        <w:tc>
          <w:tcPr>
            <w:tcW w:w="709" w:type="dxa"/>
            <w:vAlign w:val="center"/>
          </w:tcPr>
          <w:p w14:paraId="2486243B" w14:textId="109BE782" w:rsidR="009471AB" w:rsidRPr="00AC4363" w:rsidRDefault="009471AB" w:rsidP="003E62FD">
            <w:pPr>
              <w:autoSpaceDE w:val="0"/>
              <w:autoSpaceDN w:val="0"/>
              <w:adjustRightInd w:val="0"/>
              <w:spacing w:after="0"/>
              <w:ind w:left="60" w:right="60"/>
              <w:jc w:val="right"/>
              <w:rPr>
                <w:rFonts w:eastAsiaTheme="minorHAnsi"/>
                <w:sz w:val="20"/>
                <w:szCs w:val="20"/>
                <w:lang w:eastAsia="en-US"/>
              </w:rPr>
            </w:pPr>
          </w:p>
        </w:tc>
        <w:tc>
          <w:tcPr>
            <w:tcW w:w="709" w:type="dxa"/>
            <w:vAlign w:val="center"/>
          </w:tcPr>
          <w:p w14:paraId="6F8BDF17" w14:textId="77777777" w:rsidR="003E62FD" w:rsidRPr="00AC4363" w:rsidRDefault="003E62FD" w:rsidP="003E62FD">
            <w:pPr>
              <w:autoSpaceDE w:val="0"/>
              <w:autoSpaceDN w:val="0"/>
              <w:adjustRightInd w:val="0"/>
              <w:spacing w:after="0"/>
              <w:ind w:left="60" w:right="60"/>
              <w:jc w:val="right"/>
              <w:rPr>
                <w:rFonts w:eastAsiaTheme="minorHAnsi"/>
                <w:b/>
                <w:bCs/>
                <w:sz w:val="20"/>
                <w:szCs w:val="20"/>
                <w:lang w:eastAsia="en-US"/>
              </w:rPr>
            </w:pPr>
          </w:p>
          <w:p w14:paraId="4928A3C8" w14:textId="4FCFBCD4" w:rsidR="009471AB" w:rsidRPr="00AC4363" w:rsidRDefault="003E62FD" w:rsidP="003E62FD">
            <w:pPr>
              <w:autoSpaceDE w:val="0"/>
              <w:autoSpaceDN w:val="0"/>
              <w:adjustRightInd w:val="0"/>
              <w:spacing w:after="0"/>
              <w:ind w:left="60" w:right="60"/>
              <w:jc w:val="right"/>
              <w:rPr>
                <w:rFonts w:eastAsiaTheme="minorHAnsi"/>
                <w:b/>
                <w:bCs/>
                <w:sz w:val="20"/>
                <w:szCs w:val="20"/>
                <w:lang w:eastAsia="en-US"/>
              </w:rPr>
            </w:pPr>
            <w:r w:rsidRPr="00AC4363">
              <w:rPr>
                <w:rFonts w:eastAsiaTheme="minorHAnsi"/>
                <w:b/>
                <w:bCs/>
                <w:sz w:val="20"/>
                <w:szCs w:val="20"/>
                <w:lang w:eastAsia="en-US"/>
              </w:rPr>
              <w:t>0</w:t>
            </w:r>
            <w:r w:rsidR="009471AB" w:rsidRPr="00AC4363">
              <w:rPr>
                <w:rFonts w:eastAsiaTheme="minorHAnsi"/>
                <w:b/>
                <w:bCs/>
                <w:sz w:val="20"/>
                <w:szCs w:val="20"/>
                <w:lang w:eastAsia="en-US"/>
              </w:rPr>
              <w:t>.642</w:t>
            </w:r>
          </w:p>
        </w:tc>
        <w:tc>
          <w:tcPr>
            <w:tcW w:w="1417" w:type="dxa"/>
          </w:tcPr>
          <w:p w14:paraId="2BF77852" w14:textId="77777777" w:rsidR="003E62FD" w:rsidRPr="00AC4363" w:rsidRDefault="003E62FD" w:rsidP="003E62FD">
            <w:pPr>
              <w:autoSpaceDE w:val="0"/>
              <w:autoSpaceDN w:val="0"/>
              <w:adjustRightInd w:val="0"/>
              <w:spacing w:after="0"/>
              <w:ind w:left="60" w:right="60"/>
              <w:jc w:val="center"/>
              <w:rPr>
                <w:rFonts w:eastAsiaTheme="minorHAnsi"/>
                <w:sz w:val="20"/>
                <w:szCs w:val="20"/>
                <w:lang w:eastAsia="en-US"/>
              </w:rPr>
            </w:pPr>
          </w:p>
          <w:p w14:paraId="05CF7D84" w14:textId="6EC58E78" w:rsidR="009471AB" w:rsidRPr="00AC4363" w:rsidRDefault="00E05D09" w:rsidP="003E62FD">
            <w:pPr>
              <w:autoSpaceDE w:val="0"/>
              <w:autoSpaceDN w:val="0"/>
              <w:adjustRightInd w:val="0"/>
              <w:spacing w:after="0"/>
              <w:ind w:left="60" w:right="60"/>
              <w:jc w:val="center"/>
              <w:rPr>
                <w:rFonts w:eastAsiaTheme="minorHAnsi"/>
                <w:sz w:val="20"/>
                <w:szCs w:val="20"/>
                <w:lang w:eastAsia="en-US"/>
              </w:rPr>
            </w:pPr>
            <w:r w:rsidRPr="00AC4363">
              <w:rPr>
                <w:rFonts w:eastAsiaTheme="minorHAnsi"/>
                <w:sz w:val="20"/>
                <w:szCs w:val="20"/>
                <w:lang w:eastAsia="en-US"/>
              </w:rPr>
              <w:t>0.</w:t>
            </w:r>
            <w:r w:rsidR="00222452" w:rsidRPr="00AC4363">
              <w:rPr>
                <w:rFonts w:eastAsiaTheme="minorHAnsi"/>
                <w:sz w:val="20"/>
                <w:szCs w:val="20"/>
                <w:lang w:eastAsia="en-US"/>
              </w:rPr>
              <w:t>677</w:t>
            </w:r>
          </w:p>
        </w:tc>
      </w:tr>
      <w:tr w:rsidR="003E62FD" w:rsidRPr="00AC4363" w14:paraId="4D39A70A" w14:textId="040EE987" w:rsidTr="00AC4363">
        <w:trPr>
          <w:cantSplit/>
        </w:trPr>
        <w:tc>
          <w:tcPr>
            <w:tcW w:w="1985" w:type="dxa"/>
            <w:vMerge/>
            <w:vAlign w:val="center"/>
          </w:tcPr>
          <w:p w14:paraId="60C339B5" w14:textId="715A7FCB" w:rsidR="009471AB" w:rsidRPr="00AC4363" w:rsidRDefault="009471AB" w:rsidP="003E62FD">
            <w:pPr>
              <w:autoSpaceDE w:val="0"/>
              <w:autoSpaceDN w:val="0"/>
              <w:adjustRightInd w:val="0"/>
              <w:spacing w:after="0"/>
              <w:ind w:left="60" w:right="60"/>
              <w:rPr>
                <w:rFonts w:eastAsiaTheme="minorHAnsi"/>
                <w:sz w:val="20"/>
                <w:szCs w:val="20"/>
                <w:lang w:eastAsia="en-US"/>
              </w:rPr>
            </w:pPr>
          </w:p>
        </w:tc>
        <w:tc>
          <w:tcPr>
            <w:tcW w:w="3260" w:type="dxa"/>
          </w:tcPr>
          <w:p w14:paraId="7FC2EFAC" w14:textId="3FE0C393" w:rsidR="009471AB" w:rsidRPr="00AC4363" w:rsidRDefault="009471AB" w:rsidP="003E62FD">
            <w:pPr>
              <w:autoSpaceDE w:val="0"/>
              <w:autoSpaceDN w:val="0"/>
              <w:adjustRightInd w:val="0"/>
              <w:spacing w:after="0"/>
              <w:ind w:right="60"/>
              <w:rPr>
                <w:sz w:val="20"/>
                <w:szCs w:val="20"/>
              </w:rPr>
            </w:pPr>
            <w:r w:rsidRPr="00AC4363">
              <w:rPr>
                <w:sz w:val="20"/>
                <w:szCs w:val="20"/>
              </w:rPr>
              <w:t xml:space="preserve">Formación reflexiva </w:t>
            </w:r>
            <w:r w:rsidR="005926FB" w:rsidRPr="00AC4363">
              <w:rPr>
                <w:sz w:val="20"/>
                <w:szCs w:val="20"/>
              </w:rPr>
              <w:t>del</w:t>
            </w:r>
            <w:r w:rsidRPr="00AC4363">
              <w:rPr>
                <w:sz w:val="20"/>
                <w:szCs w:val="20"/>
              </w:rPr>
              <w:t xml:space="preserve"> desarrollo humano:</w:t>
            </w:r>
          </w:p>
        </w:tc>
        <w:tc>
          <w:tcPr>
            <w:tcW w:w="1134" w:type="dxa"/>
            <w:vAlign w:val="center"/>
          </w:tcPr>
          <w:p w14:paraId="3C89BB55" w14:textId="502392C8" w:rsidR="009471AB" w:rsidRPr="00AC4363" w:rsidRDefault="009471AB" w:rsidP="003E62FD">
            <w:pPr>
              <w:autoSpaceDE w:val="0"/>
              <w:autoSpaceDN w:val="0"/>
              <w:adjustRightInd w:val="0"/>
              <w:spacing w:after="0"/>
              <w:ind w:left="60" w:right="60"/>
              <w:rPr>
                <w:rFonts w:eastAsiaTheme="minorHAnsi"/>
                <w:sz w:val="20"/>
                <w:szCs w:val="20"/>
                <w:lang w:eastAsia="en-US"/>
              </w:rPr>
            </w:pPr>
          </w:p>
        </w:tc>
        <w:tc>
          <w:tcPr>
            <w:tcW w:w="709" w:type="dxa"/>
            <w:vAlign w:val="center"/>
          </w:tcPr>
          <w:p w14:paraId="0AE478E9" w14:textId="268D7276" w:rsidR="009471AB" w:rsidRPr="00AC4363" w:rsidRDefault="009471AB" w:rsidP="003E62FD">
            <w:pPr>
              <w:autoSpaceDE w:val="0"/>
              <w:autoSpaceDN w:val="0"/>
              <w:adjustRightInd w:val="0"/>
              <w:spacing w:after="0"/>
              <w:ind w:right="60"/>
              <w:rPr>
                <w:rFonts w:eastAsiaTheme="minorHAnsi"/>
                <w:sz w:val="20"/>
                <w:szCs w:val="20"/>
                <w:lang w:eastAsia="en-US"/>
              </w:rPr>
            </w:pPr>
          </w:p>
        </w:tc>
        <w:tc>
          <w:tcPr>
            <w:tcW w:w="709" w:type="dxa"/>
            <w:vAlign w:val="center"/>
          </w:tcPr>
          <w:p w14:paraId="35881015" w14:textId="77777777" w:rsidR="003E62FD" w:rsidRPr="00AC4363" w:rsidRDefault="003E62FD" w:rsidP="003E62FD">
            <w:pPr>
              <w:autoSpaceDE w:val="0"/>
              <w:autoSpaceDN w:val="0"/>
              <w:adjustRightInd w:val="0"/>
              <w:spacing w:after="0"/>
              <w:ind w:left="60" w:right="60"/>
              <w:jc w:val="right"/>
              <w:rPr>
                <w:rFonts w:eastAsiaTheme="minorHAnsi"/>
                <w:b/>
                <w:bCs/>
                <w:sz w:val="20"/>
                <w:szCs w:val="20"/>
                <w:lang w:eastAsia="en-US"/>
              </w:rPr>
            </w:pPr>
          </w:p>
          <w:p w14:paraId="79FF2BA1" w14:textId="64193160" w:rsidR="009471AB" w:rsidRPr="00AC4363" w:rsidRDefault="003E62FD" w:rsidP="003E62FD">
            <w:pPr>
              <w:autoSpaceDE w:val="0"/>
              <w:autoSpaceDN w:val="0"/>
              <w:adjustRightInd w:val="0"/>
              <w:spacing w:after="0"/>
              <w:ind w:left="60" w:right="60"/>
              <w:jc w:val="right"/>
              <w:rPr>
                <w:rFonts w:eastAsiaTheme="minorHAnsi"/>
                <w:b/>
                <w:bCs/>
                <w:sz w:val="20"/>
                <w:szCs w:val="20"/>
                <w:lang w:eastAsia="en-US"/>
              </w:rPr>
            </w:pPr>
            <w:r w:rsidRPr="00AC4363">
              <w:rPr>
                <w:rFonts w:eastAsiaTheme="minorHAnsi"/>
                <w:b/>
                <w:bCs/>
                <w:sz w:val="20"/>
                <w:szCs w:val="20"/>
                <w:lang w:eastAsia="en-US"/>
              </w:rPr>
              <w:t>0</w:t>
            </w:r>
            <w:r w:rsidR="009471AB" w:rsidRPr="00AC4363">
              <w:rPr>
                <w:rFonts w:eastAsiaTheme="minorHAnsi"/>
                <w:b/>
                <w:bCs/>
                <w:sz w:val="20"/>
                <w:szCs w:val="20"/>
                <w:lang w:eastAsia="en-US"/>
              </w:rPr>
              <w:t>.630</w:t>
            </w:r>
          </w:p>
        </w:tc>
        <w:tc>
          <w:tcPr>
            <w:tcW w:w="1417" w:type="dxa"/>
          </w:tcPr>
          <w:p w14:paraId="1092A038" w14:textId="77777777" w:rsidR="003E62FD" w:rsidRPr="00AC4363" w:rsidRDefault="003E62FD" w:rsidP="003E62FD">
            <w:pPr>
              <w:autoSpaceDE w:val="0"/>
              <w:autoSpaceDN w:val="0"/>
              <w:adjustRightInd w:val="0"/>
              <w:spacing w:after="0"/>
              <w:ind w:right="60"/>
              <w:jc w:val="center"/>
              <w:rPr>
                <w:rFonts w:eastAsiaTheme="minorHAnsi"/>
                <w:sz w:val="20"/>
                <w:szCs w:val="20"/>
                <w:lang w:eastAsia="en-US"/>
              </w:rPr>
            </w:pPr>
          </w:p>
          <w:p w14:paraId="4B2198D7" w14:textId="75426E69" w:rsidR="009471AB" w:rsidRPr="00AC4363" w:rsidRDefault="00E05D09" w:rsidP="003E62FD">
            <w:pPr>
              <w:autoSpaceDE w:val="0"/>
              <w:autoSpaceDN w:val="0"/>
              <w:adjustRightInd w:val="0"/>
              <w:spacing w:after="0"/>
              <w:ind w:right="60"/>
              <w:jc w:val="center"/>
              <w:rPr>
                <w:rFonts w:eastAsiaTheme="minorHAnsi"/>
                <w:sz w:val="20"/>
                <w:szCs w:val="20"/>
                <w:lang w:eastAsia="en-US"/>
              </w:rPr>
            </w:pPr>
            <w:r w:rsidRPr="00AC4363">
              <w:rPr>
                <w:rFonts w:eastAsiaTheme="minorHAnsi"/>
                <w:sz w:val="20"/>
                <w:szCs w:val="20"/>
                <w:lang w:eastAsia="en-US"/>
              </w:rPr>
              <w:t>0.</w:t>
            </w:r>
            <w:r w:rsidR="00AB0CE1" w:rsidRPr="00AC4363">
              <w:rPr>
                <w:rFonts w:eastAsiaTheme="minorHAnsi"/>
                <w:sz w:val="20"/>
                <w:szCs w:val="20"/>
                <w:lang w:eastAsia="en-US"/>
              </w:rPr>
              <w:t>727</w:t>
            </w:r>
          </w:p>
        </w:tc>
      </w:tr>
      <w:tr w:rsidR="003E62FD" w:rsidRPr="00AC4363" w14:paraId="01BC1A64" w14:textId="62F13DCE" w:rsidTr="00AC4363">
        <w:trPr>
          <w:cantSplit/>
        </w:trPr>
        <w:tc>
          <w:tcPr>
            <w:tcW w:w="1985" w:type="dxa"/>
            <w:vMerge/>
            <w:vAlign w:val="center"/>
          </w:tcPr>
          <w:p w14:paraId="37CA05AC" w14:textId="36D0A7E0" w:rsidR="009471AB" w:rsidRPr="00AC4363" w:rsidRDefault="009471AB" w:rsidP="003E62FD">
            <w:pPr>
              <w:autoSpaceDE w:val="0"/>
              <w:autoSpaceDN w:val="0"/>
              <w:adjustRightInd w:val="0"/>
              <w:spacing w:after="0"/>
              <w:ind w:left="60" w:right="60"/>
              <w:rPr>
                <w:rFonts w:eastAsiaTheme="minorHAnsi"/>
                <w:sz w:val="20"/>
                <w:szCs w:val="20"/>
                <w:lang w:eastAsia="en-US"/>
              </w:rPr>
            </w:pPr>
          </w:p>
        </w:tc>
        <w:tc>
          <w:tcPr>
            <w:tcW w:w="3260" w:type="dxa"/>
          </w:tcPr>
          <w:p w14:paraId="46C853C0" w14:textId="7DC50A99" w:rsidR="009471AB" w:rsidRPr="00AC4363" w:rsidRDefault="009471AB" w:rsidP="003E62FD">
            <w:pPr>
              <w:autoSpaceDE w:val="0"/>
              <w:autoSpaceDN w:val="0"/>
              <w:adjustRightInd w:val="0"/>
              <w:spacing w:after="0"/>
              <w:ind w:right="60"/>
              <w:rPr>
                <w:sz w:val="20"/>
                <w:szCs w:val="20"/>
              </w:rPr>
            </w:pPr>
            <w:r w:rsidRPr="00AC4363">
              <w:rPr>
                <w:sz w:val="20"/>
                <w:szCs w:val="20"/>
              </w:rPr>
              <w:t>Fomento de la concientización ambiental</w:t>
            </w:r>
          </w:p>
        </w:tc>
        <w:tc>
          <w:tcPr>
            <w:tcW w:w="1134" w:type="dxa"/>
            <w:vAlign w:val="center"/>
          </w:tcPr>
          <w:p w14:paraId="5C48658F" w14:textId="7471A4B3" w:rsidR="009471AB" w:rsidRPr="00AC4363" w:rsidRDefault="009471AB" w:rsidP="003E62FD">
            <w:pPr>
              <w:autoSpaceDE w:val="0"/>
              <w:autoSpaceDN w:val="0"/>
              <w:adjustRightInd w:val="0"/>
              <w:spacing w:after="0"/>
              <w:ind w:left="60" w:right="60"/>
              <w:rPr>
                <w:rFonts w:eastAsiaTheme="minorHAnsi"/>
                <w:sz w:val="20"/>
                <w:szCs w:val="20"/>
                <w:lang w:eastAsia="en-US"/>
              </w:rPr>
            </w:pPr>
          </w:p>
        </w:tc>
        <w:tc>
          <w:tcPr>
            <w:tcW w:w="709" w:type="dxa"/>
            <w:vAlign w:val="center"/>
          </w:tcPr>
          <w:p w14:paraId="606D0320" w14:textId="057E9DC9" w:rsidR="009471AB" w:rsidRPr="00AC4363" w:rsidRDefault="009471AB" w:rsidP="003E62FD">
            <w:pPr>
              <w:autoSpaceDE w:val="0"/>
              <w:autoSpaceDN w:val="0"/>
              <w:adjustRightInd w:val="0"/>
              <w:spacing w:after="0"/>
              <w:ind w:left="60" w:right="60"/>
              <w:jc w:val="right"/>
              <w:rPr>
                <w:rFonts w:eastAsiaTheme="minorHAnsi"/>
                <w:sz w:val="20"/>
                <w:szCs w:val="20"/>
                <w:lang w:eastAsia="en-US"/>
              </w:rPr>
            </w:pPr>
          </w:p>
        </w:tc>
        <w:tc>
          <w:tcPr>
            <w:tcW w:w="709" w:type="dxa"/>
            <w:vAlign w:val="center"/>
          </w:tcPr>
          <w:p w14:paraId="7E146076" w14:textId="77777777" w:rsidR="003E62FD" w:rsidRPr="00AC4363" w:rsidRDefault="003E62FD" w:rsidP="003E62FD">
            <w:pPr>
              <w:autoSpaceDE w:val="0"/>
              <w:autoSpaceDN w:val="0"/>
              <w:adjustRightInd w:val="0"/>
              <w:spacing w:after="0"/>
              <w:ind w:left="60" w:right="60"/>
              <w:jc w:val="right"/>
              <w:rPr>
                <w:rFonts w:eastAsiaTheme="minorHAnsi"/>
                <w:b/>
                <w:bCs/>
                <w:sz w:val="20"/>
                <w:szCs w:val="20"/>
                <w:lang w:eastAsia="en-US"/>
              </w:rPr>
            </w:pPr>
          </w:p>
          <w:p w14:paraId="511DDD35" w14:textId="57980569" w:rsidR="009471AB" w:rsidRPr="00AC4363" w:rsidRDefault="003E62FD" w:rsidP="003E62FD">
            <w:pPr>
              <w:autoSpaceDE w:val="0"/>
              <w:autoSpaceDN w:val="0"/>
              <w:adjustRightInd w:val="0"/>
              <w:spacing w:after="0"/>
              <w:ind w:left="60" w:right="60"/>
              <w:jc w:val="right"/>
              <w:rPr>
                <w:rFonts w:eastAsiaTheme="minorHAnsi"/>
                <w:b/>
                <w:bCs/>
                <w:sz w:val="20"/>
                <w:szCs w:val="20"/>
                <w:lang w:eastAsia="en-US"/>
              </w:rPr>
            </w:pPr>
            <w:r w:rsidRPr="00AC4363">
              <w:rPr>
                <w:rFonts w:eastAsiaTheme="minorHAnsi"/>
                <w:b/>
                <w:bCs/>
                <w:sz w:val="20"/>
                <w:szCs w:val="20"/>
                <w:lang w:eastAsia="en-US"/>
              </w:rPr>
              <w:t>0</w:t>
            </w:r>
            <w:r w:rsidR="009471AB" w:rsidRPr="00AC4363">
              <w:rPr>
                <w:rFonts w:eastAsiaTheme="minorHAnsi"/>
                <w:b/>
                <w:bCs/>
                <w:sz w:val="20"/>
                <w:szCs w:val="20"/>
                <w:lang w:eastAsia="en-US"/>
              </w:rPr>
              <w:t>.629</w:t>
            </w:r>
          </w:p>
        </w:tc>
        <w:tc>
          <w:tcPr>
            <w:tcW w:w="1417" w:type="dxa"/>
          </w:tcPr>
          <w:p w14:paraId="3CBA7144" w14:textId="77777777" w:rsidR="003E62FD" w:rsidRPr="00AC4363" w:rsidRDefault="003E62FD" w:rsidP="003E62FD">
            <w:pPr>
              <w:autoSpaceDE w:val="0"/>
              <w:autoSpaceDN w:val="0"/>
              <w:adjustRightInd w:val="0"/>
              <w:spacing w:after="0"/>
              <w:ind w:right="60"/>
              <w:jc w:val="center"/>
              <w:rPr>
                <w:rFonts w:eastAsiaTheme="minorHAnsi"/>
                <w:sz w:val="20"/>
                <w:szCs w:val="20"/>
                <w:lang w:eastAsia="en-US"/>
              </w:rPr>
            </w:pPr>
          </w:p>
          <w:p w14:paraId="5BDCEF89" w14:textId="3FDDD829" w:rsidR="009471AB" w:rsidRPr="00AC4363" w:rsidRDefault="00E05D09" w:rsidP="003E62FD">
            <w:pPr>
              <w:autoSpaceDE w:val="0"/>
              <w:autoSpaceDN w:val="0"/>
              <w:adjustRightInd w:val="0"/>
              <w:spacing w:after="0"/>
              <w:ind w:right="60"/>
              <w:jc w:val="center"/>
              <w:rPr>
                <w:rFonts w:eastAsiaTheme="minorHAnsi"/>
                <w:sz w:val="20"/>
                <w:szCs w:val="20"/>
                <w:lang w:eastAsia="en-US"/>
              </w:rPr>
            </w:pPr>
            <w:r w:rsidRPr="00AC4363">
              <w:rPr>
                <w:rFonts w:eastAsiaTheme="minorHAnsi"/>
                <w:sz w:val="20"/>
                <w:szCs w:val="20"/>
                <w:lang w:eastAsia="en-US"/>
              </w:rPr>
              <w:t>0.</w:t>
            </w:r>
            <w:r w:rsidR="00222452" w:rsidRPr="00AC4363">
              <w:rPr>
                <w:rFonts w:eastAsiaTheme="minorHAnsi"/>
                <w:sz w:val="20"/>
                <w:szCs w:val="20"/>
                <w:lang w:eastAsia="en-US"/>
              </w:rPr>
              <w:t>665</w:t>
            </w:r>
          </w:p>
        </w:tc>
      </w:tr>
    </w:tbl>
    <w:p w14:paraId="59C8C93C" w14:textId="0809760B" w:rsidR="00561373" w:rsidRPr="00AC4363" w:rsidRDefault="004A4F22" w:rsidP="00AC4363">
      <w:pPr>
        <w:autoSpaceDE w:val="0"/>
        <w:autoSpaceDN w:val="0"/>
        <w:adjustRightInd w:val="0"/>
        <w:spacing w:after="0" w:line="360" w:lineRule="auto"/>
        <w:ind w:left="60" w:right="60"/>
        <w:jc w:val="center"/>
        <w:rPr>
          <w:rFonts w:eastAsiaTheme="minorHAnsi"/>
          <w:color w:val="000000"/>
          <w:lang w:eastAsia="en-US"/>
        </w:rPr>
      </w:pPr>
      <w:r w:rsidRPr="00AC4363">
        <w:rPr>
          <w:rFonts w:eastAsiaTheme="minorHAnsi"/>
          <w:i/>
          <w:iCs/>
          <w:color w:val="000000"/>
          <w:lang w:eastAsia="en-US"/>
        </w:rPr>
        <w:t>Nota.</w:t>
      </w:r>
      <w:r w:rsidRPr="00AC4363">
        <w:rPr>
          <w:rFonts w:eastAsiaTheme="minorHAnsi"/>
          <w:color w:val="000000"/>
          <w:lang w:eastAsia="en-US"/>
        </w:rPr>
        <w:t xml:space="preserve"> </w:t>
      </w:r>
      <w:r w:rsidRPr="00AC4363">
        <w:rPr>
          <w:rFonts w:eastAsiaTheme="minorHAnsi"/>
          <w:i/>
          <w:iCs/>
          <w:color w:val="000000"/>
          <w:lang w:eastAsia="en-US"/>
        </w:rPr>
        <w:t>N</w:t>
      </w:r>
      <w:r w:rsidRPr="00AC4363">
        <w:rPr>
          <w:rFonts w:eastAsiaTheme="minorHAnsi"/>
          <w:color w:val="000000"/>
          <w:lang w:eastAsia="en-US"/>
        </w:rPr>
        <w:t xml:space="preserve"> = 337. Método de extracción en la segunda rotación Varimax. Las cargas factoriales arriba de 0.5 se aprecian en negritas. </w:t>
      </w:r>
      <w:r w:rsidR="00561373" w:rsidRPr="00AC4363">
        <w:rPr>
          <w:rFonts w:eastAsiaTheme="minorHAnsi"/>
          <w:color w:val="000000"/>
          <w:lang w:eastAsia="en-US"/>
        </w:rPr>
        <w:t>La rotación ha convergido en 6 iteraciones</w:t>
      </w:r>
    </w:p>
    <w:p w14:paraId="247C718F" w14:textId="474DAA76" w:rsidR="00D56B70" w:rsidRPr="00D56B70" w:rsidRDefault="0046658C" w:rsidP="007F29C2">
      <w:pPr>
        <w:spacing w:after="0" w:line="360" w:lineRule="auto"/>
        <w:ind w:firstLine="708"/>
        <w:jc w:val="both"/>
      </w:pPr>
      <w:r>
        <w:t>El ítem</w:t>
      </w:r>
      <w:r w:rsidR="00064C61">
        <w:t xml:space="preserve"> </w:t>
      </w:r>
      <w:r w:rsidR="00722F88">
        <w:rPr>
          <w:i/>
          <w:iCs/>
        </w:rPr>
        <w:t>Fomento de la concientización ambiental</w:t>
      </w:r>
      <w:r w:rsidR="001B6ED4">
        <w:t xml:space="preserve"> tiene una carga factorial</w:t>
      </w:r>
      <w:r w:rsidR="00930F6A">
        <w:t xml:space="preserve"> arriba de</w:t>
      </w:r>
      <w:r w:rsidR="001B6ED4">
        <w:t xml:space="preserve"> 0.</w:t>
      </w:r>
      <w:r w:rsidR="00930F6A">
        <w:t>6</w:t>
      </w:r>
      <w:r w:rsidR="003E62FD">
        <w:t>00</w:t>
      </w:r>
      <w:r w:rsidR="00064C61">
        <w:t xml:space="preserve"> </w:t>
      </w:r>
      <w:r w:rsidR="001B6ED4">
        <w:t xml:space="preserve">y </w:t>
      </w:r>
      <w:r w:rsidR="00722F88">
        <w:t xml:space="preserve">su contenido conceptual </w:t>
      </w:r>
      <w:r w:rsidR="00930F6A">
        <w:t>complementa</w:t>
      </w:r>
      <w:r w:rsidR="001B6ED4">
        <w:t xml:space="preserve"> </w:t>
      </w:r>
      <w:r w:rsidR="00930F6A">
        <w:t>a</w:t>
      </w:r>
      <w:r>
        <w:t>l</w:t>
      </w:r>
      <w:r w:rsidR="001B6ED4">
        <w:t xml:space="preserve"> </w:t>
      </w:r>
      <w:r>
        <w:t>ítem</w:t>
      </w:r>
      <w:r w:rsidR="00D56B70">
        <w:t xml:space="preserve">, </w:t>
      </w:r>
      <w:r>
        <w:rPr>
          <w:i/>
          <w:iCs/>
        </w:rPr>
        <w:t xml:space="preserve">Promoción del bienestar social y sostenibilidad, </w:t>
      </w:r>
      <w:r w:rsidR="00D56B70">
        <w:t>consider</w:t>
      </w:r>
      <w:r>
        <w:t>ándose ambos</w:t>
      </w:r>
      <w:r w:rsidR="00D56B70">
        <w:t xml:space="preserve"> importante</w:t>
      </w:r>
      <w:r w:rsidR="00FF319E">
        <w:t>s</w:t>
      </w:r>
      <w:r w:rsidR="00D56B70">
        <w:t xml:space="preserve"> para el modelo teórico del instrumento de evaluación</w:t>
      </w:r>
      <w:r>
        <w:t>. D</w:t>
      </w:r>
      <w:r w:rsidR="00D56B70">
        <w:t xml:space="preserve">ado que </w:t>
      </w:r>
      <w:r>
        <w:t>la</w:t>
      </w:r>
      <w:r w:rsidR="00D56B70">
        <w:t xml:space="preserve"> carga factorial </w:t>
      </w:r>
      <w:r w:rsidR="0049236A">
        <w:t>y el valor del índice comunalidad es superior a 0.5</w:t>
      </w:r>
      <w:r w:rsidR="00CE79DD">
        <w:t>00</w:t>
      </w:r>
      <w:r w:rsidR="0049236A">
        <w:t xml:space="preserve"> y 0.6</w:t>
      </w:r>
      <w:r w:rsidR="00CE79DD">
        <w:t>00</w:t>
      </w:r>
      <w:r w:rsidR="0049236A">
        <w:t xml:space="preserve">  para ambos, respectivamente</w:t>
      </w:r>
      <w:r w:rsidR="00FF319E">
        <w:t xml:space="preserve">, se puede optar por </w:t>
      </w:r>
      <w:r w:rsidR="005926FB">
        <w:t>mantenerlos. Por su parte el ítem mostrad</w:t>
      </w:r>
      <w:r w:rsidR="00CE79DD">
        <w:t xml:space="preserve">o con asterisco </w:t>
      </w:r>
      <w:r w:rsidR="005926FB">
        <w:t xml:space="preserve">en la tabla, </w:t>
      </w:r>
      <w:r w:rsidR="005926FB" w:rsidRPr="005926FB">
        <w:rPr>
          <w:i/>
          <w:iCs/>
        </w:rPr>
        <w:t>Administración de la resilencia</w:t>
      </w:r>
      <w:r w:rsidR="005926FB">
        <w:t xml:space="preserve"> tiene una carga factorial </w:t>
      </w:r>
      <w:r w:rsidR="005926FB">
        <w:lastRenderedPageBreak/>
        <w:t>de sólo 0.403</w:t>
      </w:r>
      <w:r w:rsidR="00FF319E">
        <w:t xml:space="preserve">, </w:t>
      </w:r>
      <w:r w:rsidR="005926FB">
        <w:t xml:space="preserve">por lo que puede </w:t>
      </w:r>
      <w:r w:rsidR="00CE79DD">
        <w:t xml:space="preserve">se </w:t>
      </w:r>
      <w:r w:rsidR="005926FB">
        <w:t>eliminar, ya que su contenido con</w:t>
      </w:r>
      <w:r w:rsidR="0049236A">
        <w:t>c</w:t>
      </w:r>
      <w:r w:rsidR="005926FB">
        <w:t xml:space="preserve">eptual está incluido en el ítem </w:t>
      </w:r>
      <w:r w:rsidR="005926FB" w:rsidRPr="005926FB">
        <w:rPr>
          <w:i/>
          <w:iCs/>
        </w:rPr>
        <w:t>Función reflexiva del desarrollo humano</w:t>
      </w:r>
      <w:r w:rsidR="0049236A">
        <w:rPr>
          <w:i/>
          <w:iCs/>
        </w:rPr>
        <w:t>.</w:t>
      </w:r>
      <w:r w:rsidR="00FF319E">
        <w:t xml:space="preserve"> </w:t>
      </w:r>
      <w:r w:rsidR="0049236A">
        <w:t xml:space="preserve"> De esta manera, </w:t>
      </w:r>
      <w:r w:rsidR="00FF319E">
        <w:t>la</w:t>
      </w:r>
      <w:r w:rsidR="00CE79DD">
        <w:t>s</w:t>
      </w:r>
      <w:r w:rsidR="00FF319E">
        <w:t xml:space="preserve"> variable</w:t>
      </w:r>
      <w:r w:rsidR="00CE79DD">
        <w:t>s</w:t>
      </w:r>
      <w:r w:rsidR="00FF319E">
        <w:t xml:space="preserve"> latente</w:t>
      </w:r>
      <w:r w:rsidR="00CE79DD">
        <w:t xml:space="preserve">s </w:t>
      </w:r>
      <w:r w:rsidR="00CE79DD">
        <w:rPr>
          <w:i/>
          <w:iCs/>
        </w:rPr>
        <w:t xml:space="preserve">Enseñanza de la </w:t>
      </w:r>
      <w:r w:rsidR="00131D91">
        <w:rPr>
          <w:i/>
          <w:iCs/>
        </w:rPr>
        <w:t>comprensión y</w:t>
      </w:r>
      <w:r w:rsidR="00DB2852">
        <w:rPr>
          <w:i/>
          <w:iCs/>
        </w:rPr>
        <w:t xml:space="preserve"> de</w:t>
      </w:r>
      <w:r w:rsidR="00131D91">
        <w:rPr>
          <w:i/>
          <w:iCs/>
        </w:rPr>
        <w:t xml:space="preserve"> la condición humana </w:t>
      </w:r>
      <w:r w:rsidR="00131D91">
        <w:t xml:space="preserve">y la de </w:t>
      </w:r>
      <w:r w:rsidR="00131D91">
        <w:rPr>
          <w:i/>
          <w:iCs/>
        </w:rPr>
        <w:t>Responsabilidad social y ambiental</w:t>
      </w:r>
      <w:r w:rsidR="00131D91">
        <w:t xml:space="preserve"> se unifica</w:t>
      </w:r>
      <w:r w:rsidR="00DB2852">
        <w:t>n</w:t>
      </w:r>
      <w:r w:rsidR="00131D91">
        <w:t xml:space="preserve"> en una </w:t>
      </w:r>
      <w:r w:rsidR="00DB2852">
        <w:t xml:space="preserve">variiable latente </w:t>
      </w:r>
      <w:r w:rsidR="00131D91">
        <w:t>denominada</w:t>
      </w:r>
      <w:r w:rsidR="00131D91">
        <w:rPr>
          <w:i/>
          <w:iCs/>
        </w:rPr>
        <w:t xml:space="preserve"> </w:t>
      </w:r>
      <w:r w:rsidR="00FF319E">
        <w:t xml:space="preserve"> </w:t>
      </w:r>
      <w:r w:rsidR="00131D91" w:rsidRPr="00131D91">
        <w:rPr>
          <w:i/>
          <w:iCs/>
        </w:rPr>
        <w:t>Formación de</w:t>
      </w:r>
      <w:r w:rsidR="00131D91">
        <w:rPr>
          <w:i/>
          <w:iCs/>
        </w:rPr>
        <w:t>l</w:t>
      </w:r>
      <w:r w:rsidR="00131D91">
        <w:t xml:space="preserve"> </w:t>
      </w:r>
      <w:r w:rsidR="00131D91">
        <w:rPr>
          <w:i/>
          <w:iCs/>
        </w:rPr>
        <w:t>d</w:t>
      </w:r>
      <w:r w:rsidR="00FF319E" w:rsidRPr="00CE79DD">
        <w:rPr>
          <w:i/>
          <w:iCs/>
        </w:rPr>
        <w:t>esarrollo humano y responsabilidad social</w:t>
      </w:r>
      <w:r w:rsidR="00131D91">
        <w:t>,</w:t>
      </w:r>
      <w:r w:rsidR="0049236A">
        <w:t xml:space="preserve"> </w:t>
      </w:r>
      <w:r w:rsidR="00FF319E">
        <w:t>con cinco variables observables</w:t>
      </w:r>
      <w:r w:rsidR="00D56B70">
        <w:t>.</w:t>
      </w:r>
      <w:r w:rsidR="00722F88">
        <w:t xml:space="preserve"> </w:t>
      </w:r>
      <w:r w:rsidR="00B55DD0">
        <w:t>Finalmente cabe señalar que en todos los procesos de reducción de dimensionalidad se obtuvieron valores de</w:t>
      </w:r>
      <w:r w:rsidR="0049236A">
        <w:t>l</w:t>
      </w:r>
      <w:r w:rsidR="00B55DD0">
        <w:t xml:space="preserve"> índice de comunalidades superiores a 0.</w:t>
      </w:r>
      <w:r w:rsidR="0049236A">
        <w:t>6</w:t>
      </w:r>
      <w:r w:rsidR="00CE79DD">
        <w:t>00</w:t>
      </w:r>
      <w:r w:rsidR="00B55DD0">
        <w:t xml:space="preserve">, </w:t>
      </w:r>
      <w:r w:rsidR="0049236A">
        <w:t xml:space="preserve">lo </w:t>
      </w:r>
      <w:r w:rsidR="00B55DD0">
        <w:t>que se considera apropiado para darle validez de constructo al modelo teórico.</w:t>
      </w:r>
    </w:p>
    <w:p w14:paraId="12200231" w14:textId="77777777" w:rsidR="00F737AB" w:rsidRDefault="00F737AB" w:rsidP="001B6ED4">
      <w:pPr>
        <w:spacing w:after="0" w:line="360" w:lineRule="auto"/>
        <w:jc w:val="both"/>
        <w:rPr>
          <w:b/>
          <w:bCs/>
        </w:rPr>
      </w:pPr>
    </w:p>
    <w:p w14:paraId="703078A6" w14:textId="52ECAAA9" w:rsidR="005573C0" w:rsidRPr="00D945F3" w:rsidRDefault="005573C0" w:rsidP="00D945F3">
      <w:pPr>
        <w:spacing w:after="0" w:line="360" w:lineRule="auto"/>
        <w:jc w:val="center"/>
        <w:rPr>
          <w:b/>
          <w:bCs/>
          <w:sz w:val="28"/>
          <w:szCs w:val="28"/>
        </w:rPr>
      </w:pPr>
      <w:r w:rsidRPr="00D945F3">
        <w:rPr>
          <w:b/>
          <w:bCs/>
          <w:sz w:val="28"/>
          <w:szCs w:val="28"/>
        </w:rPr>
        <w:t xml:space="preserve">Objetivo 4: </w:t>
      </w:r>
      <w:r w:rsidR="00D36BE2" w:rsidRPr="00D945F3">
        <w:rPr>
          <w:b/>
          <w:bCs/>
          <w:sz w:val="28"/>
          <w:szCs w:val="28"/>
        </w:rPr>
        <w:t>a</w:t>
      </w:r>
      <w:r w:rsidRPr="00D945F3">
        <w:rPr>
          <w:b/>
          <w:bCs/>
          <w:sz w:val="28"/>
          <w:szCs w:val="28"/>
        </w:rPr>
        <w:t xml:space="preserve">nálisis </w:t>
      </w:r>
      <w:r w:rsidR="00DB2852" w:rsidRPr="00D945F3">
        <w:rPr>
          <w:b/>
          <w:bCs/>
          <w:sz w:val="28"/>
          <w:szCs w:val="28"/>
        </w:rPr>
        <w:t>f</w:t>
      </w:r>
      <w:r w:rsidRPr="00D945F3">
        <w:rPr>
          <w:b/>
          <w:bCs/>
          <w:sz w:val="28"/>
          <w:szCs w:val="28"/>
        </w:rPr>
        <w:t xml:space="preserve">actorial </w:t>
      </w:r>
      <w:r w:rsidR="00DB2852" w:rsidRPr="00D945F3">
        <w:rPr>
          <w:b/>
          <w:bCs/>
          <w:sz w:val="28"/>
          <w:szCs w:val="28"/>
        </w:rPr>
        <w:t>c</w:t>
      </w:r>
      <w:r w:rsidRPr="00D945F3">
        <w:rPr>
          <w:b/>
          <w:bCs/>
          <w:sz w:val="28"/>
          <w:szCs w:val="28"/>
        </w:rPr>
        <w:t>onfirmatorio</w:t>
      </w:r>
    </w:p>
    <w:p w14:paraId="786099EE" w14:textId="722A5C6C" w:rsidR="00AF42D8" w:rsidRDefault="00B73D2C" w:rsidP="007F29C2">
      <w:pPr>
        <w:spacing w:after="0" w:line="360" w:lineRule="auto"/>
        <w:ind w:firstLine="708"/>
        <w:jc w:val="both"/>
        <w:rPr>
          <w:rFonts w:eastAsia="Aptos"/>
          <w:kern w:val="2"/>
          <w:lang w:eastAsia="en-US"/>
          <w14:ligatures w14:val="standardContextual"/>
        </w:rPr>
      </w:pPr>
      <w:r>
        <w:rPr>
          <w:rFonts w:eastAsia="Aptos"/>
          <w:kern w:val="2"/>
          <w:lang w:eastAsia="en-US"/>
          <w14:ligatures w14:val="standardContextual"/>
        </w:rPr>
        <w:t>Para</w:t>
      </w:r>
      <w:r w:rsidR="006B12B6">
        <w:rPr>
          <w:rFonts w:eastAsia="Aptos"/>
          <w:kern w:val="2"/>
          <w:lang w:eastAsia="en-US"/>
          <w14:ligatures w14:val="standardContextual"/>
        </w:rPr>
        <w:t xml:space="preserve"> este objetivo,</w:t>
      </w:r>
      <w:r w:rsidR="00DB2852">
        <w:rPr>
          <w:rFonts w:eastAsia="Aptos"/>
          <w:kern w:val="2"/>
          <w:lang w:eastAsia="en-US"/>
          <w14:ligatures w14:val="standardContextual"/>
        </w:rPr>
        <w:t xml:space="preserve"> es</w:t>
      </w:r>
      <w:r>
        <w:rPr>
          <w:rFonts w:eastAsia="Aptos"/>
          <w:kern w:val="2"/>
          <w:lang w:eastAsia="en-US"/>
          <w14:ligatures w14:val="standardContextual"/>
        </w:rPr>
        <w:t xml:space="preserve"> importante considerar que l</w:t>
      </w:r>
      <w:r w:rsidR="004D31BC" w:rsidRPr="004D31BC">
        <w:rPr>
          <w:rFonts w:eastAsia="Aptos"/>
          <w:kern w:val="2"/>
          <w:lang w:eastAsia="en-US"/>
          <w14:ligatures w14:val="standardContextual"/>
        </w:rPr>
        <w:t>a función principal del A</w:t>
      </w:r>
      <w:r>
        <w:rPr>
          <w:rFonts w:eastAsia="Aptos"/>
          <w:kern w:val="2"/>
          <w:lang w:eastAsia="en-US"/>
          <w14:ligatures w14:val="standardContextual"/>
        </w:rPr>
        <w:t>FC</w:t>
      </w:r>
      <w:r w:rsidR="004D31BC" w:rsidRPr="004D31BC">
        <w:rPr>
          <w:rFonts w:eastAsia="Aptos"/>
          <w:kern w:val="2"/>
          <w:lang w:eastAsia="en-US"/>
          <w14:ligatures w14:val="standardContextual"/>
        </w:rPr>
        <w:t xml:space="preserve"> </w:t>
      </w:r>
      <w:r w:rsidR="00DB2852">
        <w:rPr>
          <w:rFonts w:eastAsia="Aptos"/>
          <w:kern w:val="2"/>
          <w:lang w:eastAsia="en-US"/>
          <w14:ligatures w14:val="standardContextual"/>
        </w:rPr>
        <w:t>consiste en</w:t>
      </w:r>
      <w:r w:rsidR="004D31BC" w:rsidRPr="004D31BC">
        <w:rPr>
          <w:rFonts w:eastAsia="Aptos"/>
          <w:kern w:val="2"/>
          <w:lang w:eastAsia="en-US"/>
          <w14:ligatures w14:val="standardContextual"/>
        </w:rPr>
        <w:t xml:space="preserve"> verificar si la estructura teórica del instrumento de evaluación se ajusta a los datos y determinar la validez de constructo</w:t>
      </w:r>
      <w:r w:rsidR="000830F9">
        <w:rPr>
          <w:rFonts w:eastAsia="Aptos"/>
          <w:kern w:val="2"/>
          <w:lang w:eastAsia="en-US"/>
          <w14:ligatures w14:val="standardContextual"/>
        </w:rPr>
        <w:t xml:space="preserve">. </w:t>
      </w:r>
      <w:r w:rsidR="00064C61">
        <w:rPr>
          <w:rFonts w:eastAsia="Aptos"/>
          <w:kern w:val="2"/>
          <w:lang w:eastAsia="en-US"/>
          <w14:ligatures w14:val="standardContextual"/>
        </w:rPr>
        <w:t>L</w:t>
      </w:r>
      <w:r w:rsidR="004D31BC" w:rsidRPr="004D31BC">
        <w:rPr>
          <w:rFonts w:eastAsia="Aptos"/>
          <w:kern w:val="2"/>
          <w:lang w:eastAsia="en-US"/>
          <w14:ligatures w14:val="standardContextual"/>
        </w:rPr>
        <w:t>a Tabla 1</w:t>
      </w:r>
      <w:r w:rsidR="00A85514">
        <w:rPr>
          <w:rFonts w:eastAsia="Aptos"/>
          <w:kern w:val="2"/>
          <w:lang w:eastAsia="en-US"/>
          <w14:ligatures w14:val="standardContextual"/>
        </w:rPr>
        <w:t>3</w:t>
      </w:r>
      <w:r w:rsidR="00064C61">
        <w:rPr>
          <w:rFonts w:eastAsia="Aptos"/>
          <w:kern w:val="2"/>
          <w:lang w:eastAsia="en-US"/>
          <w14:ligatures w14:val="standardContextual"/>
        </w:rPr>
        <w:t xml:space="preserve"> muestra que se obtuvo un </w:t>
      </w:r>
      <w:r w:rsidR="006B12B6">
        <w:rPr>
          <w:rFonts w:eastAsia="Aptos"/>
          <w:kern w:val="2"/>
          <w:lang w:eastAsia="en-US"/>
          <w14:ligatures w14:val="standardContextual"/>
        </w:rPr>
        <w:t>valor de</w:t>
      </w:r>
      <w:r w:rsidR="004D31BC" w:rsidRPr="004D31BC">
        <w:rPr>
          <w:rFonts w:eastAsia="Aptos"/>
          <w:kern w:val="2"/>
          <w:lang w:eastAsia="en-US"/>
          <w14:ligatures w14:val="standardContextual"/>
        </w:rPr>
        <w:t xml:space="preserve"> </w:t>
      </w:r>
      <m:oMath>
        <m:r>
          <w:rPr>
            <w:rFonts w:ascii="Cambria Math" w:eastAsia="Aptos" w:hAnsi="Cambria Math"/>
            <w:kern w:val="2"/>
            <w:lang w:eastAsia="en-US"/>
            <w14:ligatures w14:val="standardContextual"/>
          </w:rPr>
          <m:t>χ</m:t>
        </m:r>
      </m:oMath>
      <w:r w:rsidR="006B12B6" w:rsidRPr="006B12B6">
        <w:rPr>
          <w:rFonts w:eastAsia="Aptos"/>
          <w:kern w:val="2"/>
          <w:vertAlign w:val="superscript"/>
          <w:lang w:eastAsia="en-US"/>
          <w14:ligatures w14:val="standardContextual"/>
        </w:rPr>
        <w:t>2</w:t>
      </w:r>
      <w:r w:rsidR="004D31BC" w:rsidRPr="004D31BC">
        <w:rPr>
          <w:rFonts w:eastAsia="Aptos"/>
          <w:kern w:val="2"/>
          <w:lang w:eastAsia="en-US"/>
          <w14:ligatures w14:val="standardContextual"/>
        </w:rPr>
        <w:t xml:space="preserve"> </w:t>
      </w:r>
      <w:r w:rsidR="006B12B6">
        <w:rPr>
          <w:rFonts w:eastAsia="Aptos"/>
          <w:kern w:val="2"/>
          <w:lang w:eastAsia="en-US"/>
          <w14:ligatures w14:val="standardContextual"/>
        </w:rPr>
        <w:t>igual a</w:t>
      </w:r>
      <w:r w:rsidR="004D31BC" w:rsidRPr="004D31BC">
        <w:rPr>
          <w:rFonts w:eastAsia="Aptos"/>
          <w:kern w:val="2"/>
          <w:lang w:eastAsia="en-US"/>
          <w14:ligatures w14:val="standardContextual"/>
        </w:rPr>
        <w:t xml:space="preserve"> 2.059, lo que indica un ajuste aceptable, dado que valores menores a 3.0 </w:t>
      </w:r>
      <w:r w:rsidR="006B12B6">
        <w:rPr>
          <w:rFonts w:eastAsia="Aptos"/>
          <w:kern w:val="2"/>
          <w:lang w:eastAsia="en-US"/>
          <w14:ligatures w14:val="standardContextual"/>
        </w:rPr>
        <w:t xml:space="preserve">se consideran adecuados </w:t>
      </w:r>
      <w:r w:rsidR="004D31BC" w:rsidRPr="004D31BC">
        <w:rPr>
          <w:rFonts w:eastAsia="Aptos"/>
          <w:kern w:val="2"/>
          <w:lang w:eastAsia="en-US"/>
          <w14:ligatures w14:val="standardContextual"/>
        </w:rPr>
        <w:t>(Kline, 2016). Para los valores de parsimonia se reporta un</w:t>
      </w:r>
      <w:r w:rsidR="004D31BC" w:rsidRPr="004D31BC">
        <w:rPr>
          <w:rFonts w:eastAsia="Aptos"/>
          <w:b/>
          <w:bCs/>
          <w:kern w:val="2"/>
          <w:lang w:eastAsia="en-US"/>
          <w14:ligatures w14:val="standardContextual"/>
        </w:rPr>
        <w:t xml:space="preserve"> </w:t>
      </w:r>
      <w:r w:rsidR="004D31BC" w:rsidRPr="00B73D2C">
        <w:rPr>
          <w:rFonts w:eastAsia="Aptos"/>
          <w:kern w:val="2"/>
          <w:lang w:eastAsia="en-US"/>
          <w14:ligatures w14:val="standardContextual"/>
        </w:rPr>
        <w:t>valor de 0.056,</w:t>
      </w:r>
      <w:r w:rsidR="004D31BC" w:rsidRPr="004D31BC">
        <w:rPr>
          <w:rFonts w:eastAsia="Aptos"/>
          <w:kern w:val="2"/>
          <w:lang w:eastAsia="en-US"/>
          <w14:ligatures w14:val="standardContextual"/>
        </w:rPr>
        <w:t xml:space="preserve"> lo que sugiere un ajuste razonable, ya que valores inferiores a 0.08 s</w:t>
      </w:r>
      <w:r w:rsidR="006B12B6">
        <w:rPr>
          <w:rFonts w:eastAsia="Aptos"/>
          <w:kern w:val="2"/>
          <w:lang w:eastAsia="en-US"/>
          <w14:ligatures w14:val="standardContextual"/>
        </w:rPr>
        <w:t xml:space="preserve">on </w:t>
      </w:r>
      <w:r w:rsidR="004D31BC" w:rsidRPr="004D31BC">
        <w:rPr>
          <w:rFonts w:eastAsia="Aptos"/>
          <w:kern w:val="2"/>
          <w:lang w:eastAsia="en-US"/>
          <w14:ligatures w14:val="standardContextual"/>
        </w:rPr>
        <w:t>aceptables y valores menores a 0.05 son ideales</w:t>
      </w:r>
      <w:r w:rsidR="00D62822">
        <w:rPr>
          <w:rFonts w:eastAsia="Aptos"/>
          <w:kern w:val="2"/>
          <w:lang w:eastAsia="en-US"/>
          <w14:ligatures w14:val="standardContextual"/>
        </w:rPr>
        <w:t xml:space="preserve"> (Brown, 2006).</w:t>
      </w:r>
    </w:p>
    <w:p w14:paraId="2D43A21D" w14:textId="77777777" w:rsidR="00AC4363" w:rsidRPr="00A85514" w:rsidRDefault="00AC4363" w:rsidP="007F29C2">
      <w:pPr>
        <w:spacing w:after="0" w:line="360" w:lineRule="auto"/>
        <w:ind w:firstLine="708"/>
        <w:jc w:val="both"/>
        <w:rPr>
          <w:rFonts w:eastAsia="Aptos"/>
          <w:kern w:val="2"/>
          <w:lang w:eastAsia="en-US"/>
          <w14:ligatures w14:val="standardContextual"/>
        </w:rPr>
      </w:pPr>
    </w:p>
    <w:p w14:paraId="6023ECDB" w14:textId="4D9CDB09" w:rsidR="0051494C" w:rsidRPr="00AC4363" w:rsidRDefault="0051494C" w:rsidP="00AC4363">
      <w:pPr>
        <w:jc w:val="center"/>
      </w:pPr>
      <w:r w:rsidRPr="006B12B6">
        <w:rPr>
          <w:b/>
          <w:bCs/>
        </w:rPr>
        <w:t>Tabla</w:t>
      </w:r>
      <w:r w:rsidR="004D31BC" w:rsidRPr="006B12B6">
        <w:rPr>
          <w:b/>
          <w:bCs/>
        </w:rPr>
        <w:t xml:space="preserve"> 1</w:t>
      </w:r>
      <w:r w:rsidR="00A85514">
        <w:rPr>
          <w:b/>
          <w:bCs/>
        </w:rPr>
        <w:t>3</w:t>
      </w:r>
      <w:r w:rsidR="00AC4363">
        <w:rPr>
          <w:b/>
          <w:bCs/>
        </w:rPr>
        <w:t xml:space="preserve">. </w:t>
      </w:r>
      <w:r w:rsidR="005573C0" w:rsidRPr="00AC4363">
        <w:t xml:space="preserve">Índices de </w:t>
      </w:r>
      <w:r w:rsidR="00B73D2C" w:rsidRPr="00AC4363">
        <w:t>a</w:t>
      </w:r>
      <w:r w:rsidR="005573C0" w:rsidRPr="00AC4363">
        <w:t>juste del análisis factorial confirmatorio</w:t>
      </w:r>
    </w:p>
    <w:tbl>
      <w:tblPr>
        <w:tblStyle w:val="Tablaconcuadrcula"/>
        <w:tblW w:w="0" w:type="auto"/>
        <w:tblLook w:val="04A0" w:firstRow="1" w:lastRow="0" w:firstColumn="1" w:lastColumn="0" w:noHBand="0" w:noVBand="1"/>
      </w:tblPr>
      <w:tblGrid>
        <w:gridCol w:w="1269"/>
        <w:gridCol w:w="1305"/>
        <w:gridCol w:w="706"/>
        <w:gridCol w:w="706"/>
        <w:gridCol w:w="706"/>
        <w:gridCol w:w="809"/>
        <w:gridCol w:w="706"/>
        <w:gridCol w:w="706"/>
        <w:gridCol w:w="924"/>
        <w:gridCol w:w="991"/>
      </w:tblGrid>
      <w:tr w:rsidR="00F76632" w:rsidRPr="00AC4363" w14:paraId="5A39347C" w14:textId="77777777" w:rsidTr="00AC4363">
        <w:tc>
          <w:tcPr>
            <w:tcW w:w="1183" w:type="dxa"/>
            <w:vMerge w:val="restart"/>
            <w:hideMark/>
          </w:tcPr>
          <w:p w14:paraId="4F5E1849" w14:textId="77777777" w:rsidR="00F76632" w:rsidRPr="00AC4363" w:rsidRDefault="00F76632">
            <w:r w:rsidRPr="00AC4363">
              <w:t>Modelo</w:t>
            </w:r>
          </w:p>
          <w:p w14:paraId="5B3FDACA" w14:textId="5ACDF635" w:rsidR="00F76632" w:rsidRPr="00AC4363" w:rsidRDefault="00DB2852" w:rsidP="00F716D2">
            <m:oMath>
              <m:r>
                <w:rPr>
                  <w:rFonts w:ascii="Cambria Math" w:eastAsia="Aptos" w:hAnsi="Cambria Math"/>
                  <w:kern w:val="2"/>
                  <w:lang w:eastAsia="en-US"/>
                  <w14:ligatures w14:val="standardContextual"/>
                </w:rPr>
                <m:t>χ</m:t>
              </m:r>
            </m:oMath>
            <w:r w:rsidRPr="00AC4363">
              <w:rPr>
                <w:rFonts w:eastAsia="Aptos"/>
                <w:kern w:val="2"/>
                <w:vertAlign w:val="superscript"/>
                <w:lang w:eastAsia="en-US"/>
                <w14:ligatures w14:val="standardContextual"/>
              </w:rPr>
              <w:t>2</w:t>
            </w:r>
            <w:r w:rsidRPr="00AC4363">
              <w:t xml:space="preserve"> </w:t>
            </w:r>
            <w:r w:rsidR="00F76632" w:rsidRPr="00AC4363">
              <w:t>(CMIN/DF)</w:t>
            </w:r>
          </w:p>
        </w:tc>
        <w:tc>
          <w:tcPr>
            <w:tcW w:w="1216" w:type="dxa"/>
            <w:hideMark/>
          </w:tcPr>
          <w:p w14:paraId="3BB95DA9" w14:textId="77777777" w:rsidR="00F76632" w:rsidRPr="00AC4363" w:rsidRDefault="00F76632">
            <w:r w:rsidRPr="00AC4363">
              <w:t>Distribución de errores</w:t>
            </w:r>
          </w:p>
        </w:tc>
        <w:tc>
          <w:tcPr>
            <w:tcW w:w="1998" w:type="dxa"/>
            <w:gridSpan w:val="3"/>
            <w:hideMark/>
          </w:tcPr>
          <w:p w14:paraId="514AF3E9" w14:textId="77777777" w:rsidR="00F76632" w:rsidRPr="00AC4363" w:rsidRDefault="00F76632">
            <w:r w:rsidRPr="00AC4363">
              <w:t>Índices de comparación</w:t>
            </w:r>
          </w:p>
        </w:tc>
        <w:tc>
          <w:tcPr>
            <w:tcW w:w="2959" w:type="dxa"/>
            <w:gridSpan w:val="4"/>
            <w:hideMark/>
          </w:tcPr>
          <w:p w14:paraId="437C117A" w14:textId="77777777" w:rsidR="00F76632" w:rsidRPr="00AC4363" w:rsidRDefault="00F76632">
            <w:r w:rsidRPr="00AC4363">
              <w:t>Ajuste de la parsimonia</w:t>
            </w:r>
          </w:p>
        </w:tc>
        <w:tc>
          <w:tcPr>
            <w:tcW w:w="1291" w:type="dxa"/>
            <w:vMerge w:val="restart"/>
            <w:hideMark/>
          </w:tcPr>
          <w:p w14:paraId="6AC8990E" w14:textId="77777777" w:rsidR="00F76632" w:rsidRPr="00AC4363" w:rsidRDefault="00F76632">
            <w:r w:rsidRPr="00AC4363">
              <w:t>Índice Hoelter</w:t>
            </w:r>
          </w:p>
          <w:p w14:paraId="09B75B60" w14:textId="06C39447" w:rsidR="003A214E" w:rsidRPr="00AC4363" w:rsidRDefault="003A214E">
            <w:r w:rsidRPr="00AC4363">
              <w:t>Muestral</w:t>
            </w:r>
          </w:p>
        </w:tc>
      </w:tr>
      <w:tr w:rsidR="00F76632" w:rsidRPr="00AC4363" w14:paraId="42F46B05" w14:textId="77777777" w:rsidTr="00AC4363">
        <w:tc>
          <w:tcPr>
            <w:tcW w:w="1183" w:type="dxa"/>
            <w:vMerge/>
            <w:hideMark/>
          </w:tcPr>
          <w:p w14:paraId="59DE8F51" w14:textId="289AA2A3" w:rsidR="00F76632" w:rsidRPr="00AC4363" w:rsidRDefault="00F76632"/>
        </w:tc>
        <w:tc>
          <w:tcPr>
            <w:tcW w:w="1216" w:type="dxa"/>
            <w:hideMark/>
          </w:tcPr>
          <w:p w14:paraId="4A2CF3B6" w14:textId="77777777" w:rsidR="00F76632" w:rsidRPr="00AC4363" w:rsidRDefault="00F76632">
            <w:r w:rsidRPr="00AC4363">
              <w:t>RMSEA</w:t>
            </w:r>
          </w:p>
        </w:tc>
        <w:tc>
          <w:tcPr>
            <w:tcW w:w="666" w:type="dxa"/>
            <w:hideMark/>
          </w:tcPr>
          <w:p w14:paraId="398E77E4" w14:textId="77777777" w:rsidR="00F76632" w:rsidRPr="00AC4363" w:rsidRDefault="00F76632">
            <w:r w:rsidRPr="00AC4363">
              <w:t>CFI</w:t>
            </w:r>
          </w:p>
        </w:tc>
        <w:tc>
          <w:tcPr>
            <w:tcW w:w="666" w:type="dxa"/>
            <w:hideMark/>
          </w:tcPr>
          <w:p w14:paraId="299A3973" w14:textId="77777777" w:rsidR="00F76632" w:rsidRPr="00AC4363" w:rsidRDefault="00F76632">
            <w:r w:rsidRPr="00AC4363">
              <w:t>TLI</w:t>
            </w:r>
          </w:p>
        </w:tc>
        <w:tc>
          <w:tcPr>
            <w:tcW w:w="666" w:type="dxa"/>
            <w:hideMark/>
          </w:tcPr>
          <w:p w14:paraId="1C9ABF88" w14:textId="77777777" w:rsidR="00F76632" w:rsidRPr="00AC4363" w:rsidRDefault="00F76632">
            <w:r w:rsidRPr="00AC4363">
              <w:t>NFI</w:t>
            </w:r>
          </w:p>
        </w:tc>
        <w:tc>
          <w:tcPr>
            <w:tcW w:w="761" w:type="dxa"/>
            <w:hideMark/>
          </w:tcPr>
          <w:p w14:paraId="77B27435" w14:textId="7D333714" w:rsidR="00F76632" w:rsidRPr="00AC4363" w:rsidRDefault="00F76632">
            <w:r w:rsidRPr="00AC4363">
              <w:t>PR</w:t>
            </w:r>
            <w:r w:rsidR="00000B71" w:rsidRPr="00AC4363">
              <w:t>atio</w:t>
            </w:r>
          </w:p>
        </w:tc>
        <w:tc>
          <w:tcPr>
            <w:tcW w:w="666" w:type="dxa"/>
            <w:hideMark/>
          </w:tcPr>
          <w:p w14:paraId="1421111D" w14:textId="77777777" w:rsidR="00F76632" w:rsidRPr="00AC4363" w:rsidRDefault="00F76632">
            <w:r w:rsidRPr="00AC4363">
              <w:t>PCFI</w:t>
            </w:r>
          </w:p>
        </w:tc>
        <w:tc>
          <w:tcPr>
            <w:tcW w:w="666" w:type="dxa"/>
            <w:hideMark/>
          </w:tcPr>
          <w:p w14:paraId="539A42C0" w14:textId="77777777" w:rsidR="00F76632" w:rsidRPr="00AC4363" w:rsidRDefault="00F76632">
            <w:r w:rsidRPr="00AC4363">
              <w:t>PNFI</w:t>
            </w:r>
          </w:p>
        </w:tc>
        <w:tc>
          <w:tcPr>
            <w:tcW w:w="866" w:type="dxa"/>
            <w:hideMark/>
          </w:tcPr>
          <w:p w14:paraId="5FFFA8F3" w14:textId="77777777" w:rsidR="00F76632" w:rsidRPr="00AC4363" w:rsidRDefault="00F76632">
            <w:r w:rsidRPr="00AC4363">
              <w:t>AIC</w:t>
            </w:r>
          </w:p>
        </w:tc>
        <w:tc>
          <w:tcPr>
            <w:tcW w:w="1291" w:type="dxa"/>
            <w:vMerge/>
          </w:tcPr>
          <w:p w14:paraId="6E014D03" w14:textId="77777777" w:rsidR="00F76632" w:rsidRPr="00AC4363" w:rsidRDefault="00F76632"/>
        </w:tc>
      </w:tr>
      <w:tr w:rsidR="00F76632" w:rsidRPr="00AC4363" w14:paraId="65E7BAE9" w14:textId="77777777" w:rsidTr="00AC4363">
        <w:trPr>
          <w:trHeight w:val="622"/>
        </w:trPr>
        <w:tc>
          <w:tcPr>
            <w:tcW w:w="1183" w:type="dxa"/>
            <w:hideMark/>
          </w:tcPr>
          <w:p w14:paraId="4BFEAA5C" w14:textId="08A55F5F" w:rsidR="00F76632" w:rsidRPr="00AC4363" w:rsidRDefault="00F76632" w:rsidP="00B73D2C">
            <w:pPr>
              <w:spacing w:after="0"/>
            </w:pPr>
            <w:r w:rsidRPr="00AC4363">
              <w:t>2.05</w:t>
            </w:r>
            <w:r w:rsidR="003A214E" w:rsidRPr="00AC4363">
              <w:t>9</w:t>
            </w:r>
          </w:p>
        </w:tc>
        <w:tc>
          <w:tcPr>
            <w:tcW w:w="1216" w:type="dxa"/>
            <w:hideMark/>
          </w:tcPr>
          <w:p w14:paraId="03DA7167" w14:textId="77777777" w:rsidR="00F76632" w:rsidRPr="00AC4363" w:rsidRDefault="00F76632" w:rsidP="00B73D2C">
            <w:pPr>
              <w:spacing w:after="0"/>
            </w:pPr>
            <w:r w:rsidRPr="00AC4363">
              <w:t>0.056</w:t>
            </w:r>
          </w:p>
        </w:tc>
        <w:tc>
          <w:tcPr>
            <w:tcW w:w="666" w:type="dxa"/>
            <w:hideMark/>
          </w:tcPr>
          <w:p w14:paraId="6E3D380F" w14:textId="77777777" w:rsidR="00F76632" w:rsidRPr="00AC4363" w:rsidRDefault="00F76632" w:rsidP="00B73D2C">
            <w:pPr>
              <w:spacing w:after="0"/>
            </w:pPr>
            <w:r w:rsidRPr="00AC4363">
              <w:t>0.914</w:t>
            </w:r>
          </w:p>
        </w:tc>
        <w:tc>
          <w:tcPr>
            <w:tcW w:w="666" w:type="dxa"/>
            <w:hideMark/>
          </w:tcPr>
          <w:p w14:paraId="3D9C87C4" w14:textId="77777777" w:rsidR="00F76632" w:rsidRPr="00AC4363" w:rsidRDefault="00F76632" w:rsidP="00B73D2C">
            <w:pPr>
              <w:spacing w:after="0"/>
            </w:pPr>
            <w:r w:rsidRPr="00AC4363">
              <w:t>0.908</w:t>
            </w:r>
          </w:p>
        </w:tc>
        <w:tc>
          <w:tcPr>
            <w:tcW w:w="666" w:type="dxa"/>
            <w:hideMark/>
          </w:tcPr>
          <w:p w14:paraId="39114ED5" w14:textId="77777777" w:rsidR="00F76632" w:rsidRPr="00AC4363" w:rsidRDefault="00F76632" w:rsidP="00B73D2C">
            <w:pPr>
              <w:spacing w:after="0"/>
            </w:pPr>
            <w:r w:rsidRPr="00AC4363">
              <w:t>0.845</w:t>
            </w:r>
          </w:p>
        </w:tc>
        <w:tc>
          <w:tcPr>
            <w:tcW w:w="761" w:type="dxa"/>
            <w:hideMark/>
          </w:tcPr>
          <w:p w14:paraId="680A190B" w14:textId="77777777" w:rsidR="00F76632" w:rsidRPr="00AC4363" w:rsidRDefault="00F76632" w:rsidP="00B73D2C">
            <w:pPr>
              <w:spacing w:after="0"/>
            </w:pPr>
            <w:r w:rsidRPr="00AC4363">
              <w:t>0.940</w:t>
            </w:r>
          </w:p>
        </w:tc>
        <w:tc>
          <w:tcPr>
            <w:tcW w:w="666" w:type="dxa"/>
          </w:tcPr>
          <w:p w14:paraId="666FA8C4" w14:textId="77777777" w:rsidR="00F76632" w:rsidRPr="00AC4363" w:rsidRDefault="00F76632" w:rsidP="00B73D2C">
            <w:pPr>
              <w:spacing w:after="0"/>
            </w:pPr>
            <w:r w:rsidRPr="00AC4363">
              <w:t>0.858</w:t>
            </w:r>
          </w:p>
          <w:p w14:paraId="64AA4503" w14:textId="77777777" w:rsidR="00F76632" w:rsidRPr="00AC4363" w:rsidRDefault="00F76632" w:rsidP="00B73D2C">
            <w:pPr>
              <w:spacing w:after="0"/>
              <w:rPr>
                <w:rFonts w:eastAsiaTheme="minorHAnsi"/>
                <w:lang w:eastAsia="en-US"/>
              </w:rPr>
            </w:pPr>
          </w:p>
        </w:tc>
        <w:tc>
          <w:tcPr>
            <w:tcW w:w="666" w:type="dxa"/>
          </w:tcPr>
          <w:p w14:paraId="73266DD0" w14:textId="77777777" w:rsidR="00F76632" w:rsidRPr="00AC4363" w:rsidRDefault="00F76632" w:rsidP="00B73D2C">
            <w:pPr>
              <w:spacing w:after="0"/>
            </w:pPr>
            <w:r w:rsidRPr="00AC4363">
              <w:t>0.794</w:t>
            </w:r>
          </w:p>
          <w:p w14:paraId="244FA9B8" w14:textId="77777777" w:rsidR="00F76632" w:rsidRPr="00AC4363" w:rsidRDefault="00F76632" w:rsidP="00B73D2C">
            <w:pPr>
              <w:spacing w:after="0"/>
              <w:rPr>
                <w:rFonts w:eastAsiaTheme="minorHAnsi"/>
                <w:lang w:eastAsia="en-US"/>
              </w:rPr>
            </w:pPr>
          </w:p>
        </w:tc>
        <w:tc>
          <w:tcPr>
            <w:tcW w:w="866" w:type="dxa"/>
            <w:hideMark/>
          </w:tcPr>
          <w:p w14:paraId="1F2EB3B7" w14:textId="77777777" w:rsidR="00F76632" w:rsidRPr="00AC4363" w:rsidRDefault="00F76632" w:rsidP="00B73D2C">
            <w:pPr>
              <w:spacing w:after="0"/>
            </w:pPr>
            <w:r w:rsidRPr="00AC4363">
              <w:t>2819.37</w:t>
            </w:r>
          </w:p>
        </w:tc>
        <w:tc>
          <w:tcPr>
            <w:tcW w:w="1291" w:type="dxa"/>
            <w:hideMark/>
          </w:tcPr>
          <w:p w14:paraId="5DB12BFA" w14:textId="77777777" w:rsidR="00F76632" w:rsidRPr="00AC4363" w:rsidRDefault="00F76632" w:rsidP="00B73D2C">
            <w:pPr>
              <w:spacing w:after="0"/>
            </w:pPr>
            <w:proofErr w:type="gramStart"/>
            <w:r w:rsidRPr="00AC4363">
              <w:t>0.05  =</w:t>
            </w:r>
            <w:proofErr w:type="gramEnd"/>
            <w:r w:rsidRPr="00AC4363">
              <w:t xml:space="preserve"> 175</w:t>
            </w:r>
          </w:p>
          <w:p w14:paraId="70F0EE02" w14:textId="7C3529D3" w:rsidR="00F76632" w:rsidRPr="00AC4363" w:rsidRDefault="00F76632" w:rsidP="00B73D2C">
            <w:pPr>
              <w:spacing w:after="0"/>
            </w:pPr>
            <w:proofErr w:type="gramStart"/>
            <w:r w:rsidRPr="00AC4363">
              <w:t>0.01</w:t>
            </w:r>
            <w:r w:rsidR="00540AFD" w:rsidRPr="00AC4363">
              <w:t xml:space="preserve"> </w:t>
            </w:r>
            <w:r w:rsidRPr="00AC4363">
              <w:t xml:space="preserve"> =</w:t>
            </w:r>
            <w:proofErr w:type="gramEnd"/>
            <w:r w:rsidRPr="00AC4363">
              <w:t xml:space="preserve"> 180</w:t>
            </w:r>
          </w:p>
        </w:tc>
      </w:tr>
    </w:tbl>
    <w:p w14:paraId="732D4F0B" w14:textId="6E94A6FF" w:rsidR="007F29C2" w:rsidRPr="00AC4363" w:rsidRDefault="006B12B6" w:rsidP="00AC4363">
      <w:pPr>
        <w:jc w:val="center"/>
      </w:pPr>
      <w:r w:rsidRPr="00AC4363">
        <w:rPr>
          <w:i/>
          <w:iCs/>
        </w:rPr>
        <w:t>Nota</w:t>
      </w:r>
      <w:r w:rsidR="00247573" w:rsidRPr="00AC4363">
        <w:rPr>
          <w:i/>
          <w:iCs/>
        </w:rPr>
        <w:t>.</w:t>
      </w:r>
      <w:r w:rsidRPr="00AC4363">
        <w:t xml:space="preserve"> Elaboración propia con base </w:t>
      </w:r>
      <w:r w:rsidR="00DB2852" w:rsidRPr="00AC4363">
        <w:t>en</w:t>
      </w:r>
      <w:r w:rsidRPr="00AC4363">
        <w:t xml:space="preserve"> </w:t>
      </w:r>
      <w:r w:rsidR="00540AFD" w:rsidRPr="00AC4363">
        <w:t>los</w:t>
      </w:r>
      <w:r w:rsidRPr="00AC4363">
        <w:t xml:space="preserve"> resultados</w:t>
      </w:r>
    </w:p>
    <w:p w14:paraId="6B07731D" w14:textId="45AD0BD2" w:rsidR="007F29C2" w:rsidRDefault="007B5EA4" w:rsidP="00913F75">
      <w:pPr>
        <w:spacing w:after="0" w:line="360" w:lineRule="auto"/>
        <w:ind w:firstLine="708"/>
        <w:jc w:val="both"/>
        <w:rPr>
          <w:rFonts w:eastAsia="Aptos"/>
          <w:kern w:val="2"/>
          <w:lang w:eastAsia="en-US"/>
          <w14:ligatures w14:val="standardContextual"/>
        </w:rPr>
      </w:pPr>
      <w:r w:rsidRPr="007B5EA4">
        <w:rPr>
          <w:rFonts w:eastAsia="Aptos"/>
          <w:kern w:val="2"/>
          <w:lang w:eastAsia="en-US"/>
          <w14:ligatures w14:val="standardContextual"/>
        </w:rPr>
        <w:t xml:space="preserve">Para los Índices de ajuste comparativo (CFI, TLI, NFI), los valores obtenidos son CFI = 0.914, TLI = 0.908 y </w:t>
      </w:r>
      <w:r w:rsidR="00DB2852">
        <w:rPr>
          <w:rFonts w:eastAsia="Aptos"/>
          <w:kern w:val="2"/>
          <w:lang w:eastAsia="en-US"/>
          <w14:ligatures w14:val="standardContextual"/>
        </w:rPr>
        <w:t xml:space="preserve">NFI </w:t>
      </w:r>
      <w:r w:rsidRPr="007B5EA4">
        <w:rPr>
          <w:rFonts w:eastAsia="Aptos"/>
          <w:kern w:val="2"/>
          <w:lang w:eastAsia="en-US"/>
          <w14:ligatures w14:val="standardContextual"/>
        </w:rPr>
        <w:t>= 0.845. Valores superiores a 0.90 indican un buen ajuste del modelo, lo que confirma que las variables observa</w:t>
      </w:r>
      <w:r w:rsidR="00DB2852">
        <w:rPr>
          <w:rFonts w:eastAsia="Aptos"/>
          <w:kern w:val="2"/>
          <w:lang w:eastAsia="en-US"/>
          <w14:ligatures w14:val="standardContextual"/>
        </w:rPr>
        <w:t>bles</w:t>
      </w:r>
      <w:r w:rsidRPr="007B5EA4">
        <w:rPr>
          <w:rFonts w:eastAsia="Aptos"/>
          <w:kern w:val="2"/>
          <w:lang w:eastAsia="en-US"/>
          <w14:ligatures w14:val="standardContextual"/>
        </w:rPr>
        <w:t>, redactadas como resultados de aprendizaje, están bien alinead</w:t>
      </w:r>
      <w:r w:rsidR="00B73D2C">
        <w:rPr>
          <w:rFonts w:eastAsia="Aptos"/>
          <w:kern w:val="2"/>
          <w:lang w:eastAsia="en-US"/>
          <w14:ligatures w14:val="standardContextual"/>
        </w:rPr>
        <w:t>a</w:t>
      </w:r>
      <w:r w:rsidRPr="007B5EA4">
        <w:rPr>
          <w:rFonts w:eastAsia="Aptos"/>
          <w:kern w:val="2"/>
          <w:lang w:eastAsia="en-US"/>
          <w14:ligatures w14:val="standardContextual"/>
        </w:rPr>
        <w:t xml:space="preserve">s con sus factores latentes. </w:t>
      </w:r>
      <w:r w:rsidR="00B73D2C">
        <w:rPr>
          <w:rFonts w:eastAsia="Aptos"/>
          <w:kern w:val="2"/>
          <w:lang w:eastAsia="en-US"/>
          <w14:ligatures w14:val="standardContextual"/>
        </w:rPr>
        <w:t xml:space="preserve">Para el </w:t>
      </w:r>
      <w:r w:rsidRPr="007B5EA4">
        <w:rPr>
          <w:rFonts w:eastAsia="Aptos"/>
          <w:kern w:val="2"/>
          <w:lang w:eastAsia="en-US"/>
          <w14:ligatures w14:val="standardContextual"/>
        </w:rPr>
        <w:t xml:space="preserve">Índice de </w:t>
      </w:r>
      <w:r w:rsidR="00540AFD">
        <w:rPr>
          <w:rFonts w:eastAsia="Aptos"/>
          <w:kern w:val="2"/>
          <w:lang w:eastAsia="en-US"/>
          <w14:ligatures w14:val="standardContextual"/>
        </w:rPr>
        <w:t>p</w:t>
      </w:r>
      <w:r w:rsidRPr="007B5EA4">
        <w:rPr>
          <w:rFonts w:eastAsia="Aptos"/>
          <w:kern w:val="2"/>
          <w:lang w:eastAsia="en-US"/>
          <w14:ligatures w14:val="standardContextual"/>
        </w:rPr>
        <w:t xml:space="preserve">arsimonia, </w:t>
      </w:r>
      <w:r w:rsidR="00B73D2C">
        <w:rPr>
          <w:rFonts w:eastAsia="Aptos"/>
          <w:kern w:val="2"/>
          <w:lang w:eastAsia="en-US"/>
          <w14:ligatures w14:val="standardContextual"/>
        </w:rPr>
        <w:t>que refiere a</w:t>
      </w:r>
      <w:r w:rsidRPr="007B5EA4">
        <w:rPr>
          <w:rFonts w:eastAsia="Aptos"/>
          <w:kern w:val="2"/>
          <w:lang w:eastAsia="en-US"/>
          <w14:ligatures w14:val="standardContextual"/>
        </w:rPr>
        <w:t xml:space="preserve"> la simplicidad del modelo teórico con la que </w:t>
      </w:r>
      <w:r w:rsidR="006B12B6">
        <w:rPr>
          <w:rFonts w:eastAsia="Aptos"/>
          <w:kern w:val="2"/>
          <w:lang w:eastAsia="en-US"/>
          <w14:ligatures w14:val="standardContextual"/>
        </w:rPr>
        <w:t xml:space="preserve">se </w:t>
      </w:r>
      <w:r w:rsidRPr="007B5EA4">
        <w:rPr>
          <w:rFonts w:eastAsia="Aptos"/>
          <w:kern w:val="2"/>
          <w:lang w:eastAsia="en-US"/>
          <w14:ligatures w14:val="standardContextual"/>
        </w:rPr>
        <w:t>explica</w:t>
      </w:r>
      <w:r w:rsidR="006B12B6">
        <w:rPr>
          <w:rFonts w:eastAsia="Aptos"/>
          <w:kern w:val="2"/>
          <w:lang w:eastAsia="en-US"/>
          <w14:ligatures w14:val="standardContextual"/>
        </w:rPr>
        <w:t>n</w:t>
      </w:r>
      <w:r w:rsidRPr="007B5EA4">
        <w:rPr>
          <w:rFonts w:eastAsia="Aptos"/>
          <w:kern w:val="2"/>
          <w:lang w:eastAsia="en-US"/>
          <w14:ligatures w14:val="standardContextual"/>
        </w:rPr>
        <w:t xml:space="preserve"> los datos, </w:t>
      </w:r>
      <w:r w:rsidR="00B73D2C">
        <w:rPr>
          <w:rFonts w:eastAsia="Aptos"/>
          <w:kern w:val="2"/>
          <w:lang w:eastAsia="en-US"/>
          <w14:ligatures w14:val="standardContextual"/>
        </w:rPr>
        <w:t>se obtuv</w:t>
      </w:r>
      <w:r w:rsidR="006B12B6">
        <w:rPr>
          <w:rFonts w:eastAsia="Aptos"/>
          <w:kern w:val="2"/>
          <w:lang w:eastAsia="en-US"/>
          <w14:ligatures w14:val="standardContextual"/>
        </w:rPr>
        <w:t>i</w:t>
      </w:r>
      <w:r w:rsidR="00B73D2C">
        <w:rPr>
          <w:rFonts w:eastAsia="Aptos"/>
          <w:kern w:val="2"/>
          <w:lang w:eastAsia="en-US"/>
          <w14:ligatures w14:val="standardContextual"/>
        </w:rPr>
        <w:t>eron los índices</w:t>
      </w:r>
      <w:r w:rsidRPr="007B5EA4">
        <w:rPr>
          <w:rFonts w:eastAsia="Aptos"/>
          <w:kern w:val="2"/>
          <w:lang w:eastAsia="en-US"/>
          <w14:ligatures w14:val="standardContextual"/>
        </w:rPr>
        <w:t xml:space="preserve"> P</w:t>
      </w:r>
      <w:r w:rsidR="006B12B6">
        <w:rPr>
          <w:rFonts w:eastAsia="Aptos"/>
          <w:kern w:val="2"/>
          <w:lang w:eastAsia="en-US"/>
          <w14:ligatures w14:val="standardContextual"/>
        </w:rPr>
        <w:t>R</w:t>
      </w:r>
      <w:r w:rsidR="00000B71">
        <w:rPr>
          <w:rFonts w:eastAsia="Aptos"/>
          <w:kern w:val="2"/>
          <w:lang w:eastAsia="en-US"/>
          <w14:ligatures w14:val="standardContextual"/>
        </w:rPr>
        <w:t>atio</w:t>
      </w:r>
      <w:r w:rsidR="00064C61">
        <w:rPr>
          <w:rFonts w:eastAsia="Aptos"/>
          <w:kern w:val="2"/>
          <w:lang w:eastAsia="en-US"/>
          <w14:ligatures w14:val="standardContextual"/>
        </w:rPr>
        <w:t xml:space="preserve"> igual a </w:t>
      </w:r>
      <w:r w:rsidRPr="007B5EA4">
        <w:rPr>
          <w:rFonts w:eastAsia="Aptos"/>
          <w:kern w:val="2"/>
          <w:lang w:eastAsia="en-US"/>
          <w14:ligatures w14:val="standardContextual"/>
        </w:rPr>
        <w:t xml:space="preserve"> 0.940; PCFI = 0.858</w:t>
      </w:r>
      <w:r w:rsidR="00DB2852">
        <w:rPr>
          <w:rFonts w:eastAsia="Aptos"/>
          <w:kern w:val="2"/>
          <w:lang w:eastAsia="en-US"/>
          <w14:ligatures w14:val="standardContextual"/>
        </w:rPr>
        <w:t>,</w:t>
      </w:r>
      <w:r w:rsidRPr="007B5EA4">
        <w:rPr>
          <w:rFonts w:eastAsia="Aptos"/>
          <w:kern w:val="2"/>
          <w:lang w:eastAsia="en-US"/>
          <w14:ligatures w14:val="standardContextual"/>
        </w:rPr>
        <w:t xml:space="preserve"> PNFI = 0.794</w:t>
      </w:r>
      <w:r w:rsidR="00B73D2C">
        <w:rPr>
          <w:rFonts w:eastAsia="Aptos"/>
          <w:kern w:val="2"/>
          <w:lang w:eastAsia="en-US"/>
          <w14:ligatures w14:val="standardContextual"/>
        </w:rPr>
        <w:t xml:space="preserve">. Si estos </w:t>
      </w:r>
      <w:r w:rsidRPr="007B5EA4">
        <w:rPr>
          <w:rFonts w:eastAsia="Aptos"/>
          <w:kern w:val="2"/>
          <w:lang w:eastAsia="en-US"/>
          <w14:ligatures w14:val="standardContextual"/>
        </w:rPr>
        <w:t>valores</w:t>
      </w:r>
      <w:r w:rsidR="00B73D2C">
        <w:rPr>
          <w:rFonts w:eastAsia="Aptos"/>
          <w:kern w:val="2"/>
          <w:lang w:eastAsia="en-US"/>
          <w14:ligatures w14:val="standardContextual"/>
        </w:rPr>
        <w:t xml:space="preserve"> son</w:t>
      </w:r>
      <w:r w:rsidRPr="007B5EA4">
        <w:rPr>
          <w:rFonts w:eastAsia="Aptos"/>
          <w:kern w:val="2"/>
          <w:lang w:eastAsia="en-US"/>
          <w14:ligatures w14:val="standardContextual"/>
        </w:rPr>
        <w:t xml:space="preserve"> cercanos a 1</w:t>
      </w:r>
      <w:r w:rsidR="00064C61">
        <w:rPr>
          <w:rFonts w:eastAsia="Aptos"/>
          <w:kern w:val="2"/>
          <w:lang w:eastAsia="en-US"/>
          <w14:ligatures w14:val="standardContextual"/>
        </w:rPr>
        <w:t>,</w:t>
      </w:r>
      <w:r w:rsidRPr="007B5EA4">
        <w:rPr>
          <w:rFonts w:eastAsia="Aptos"/>
          <w:kern w:val="2"/>
          <w:lang w:eastAsia="en-US"/>
          <w14:ligatures w14:val="standardContextual"/>
        </w:rPr>
        <w:t xml:space="preserve"> sugieren que el modelo es eficiente y tiende </w:t>
      </w:r>
      <w:r w:rsidR="00000B71">
        <w:rPr>
          <w:rFonts w:eastAsia="Aptos"/>
          <w:kern w:val="2"/>
          <w:lang w:eastAsia="en-US"/>
          <w14:ligatures w14:val="standardContextual"/>
        </w:rPr>
        <w:t>l</w:t>
      </w:r>
      <w:r w:rsidRPr="007B5EA4">
        <w:rPr>
          <w:rFonts w:eastAsia="Aptos"/>
          <w:kern w:val="2"/>
          <w:lang w:eastAsia="en-US"/>
          <w14:ligatures w14:val="standardContextual"/>
        </w:rPr>
        <w:t xml:space="preserve">a evitar la complejidad. Por lo que respecta </w:t>
      </w:r>
      <w:r w:rsidRPr="007B5EA4">
        <w:rPr>
          <w:rFonts w:eastAsia="Aptos"/>
          <w:kern w:val="2"/>
          <w:lang w:eastAsia="en-US"/>
          <w14:ligatures w14:val="standardContextual"/>
        </w:rPr>
        <w:lastRenderedPageBreak/>
        <w:t xml:space="preserve">al índice que respalda la estabilidad del modelo en función del tamaño muestral, el valor del Índice de Hoelter, se reporta que para un nivel de significancia de 0.05, el tamaño mínimo de muestra requerido para obtener un buen ajuste es 175, mientras que para 0.01 es 180. En el estudio </w:t>
      </w:r>
      <w:r w:rsidR="00000B71">
        <w:rPr>
          <w:rFonts w:eastAsia="Aptos"/>
          <w:kern w:val="2"/>
          <w:lang w:eastAsia="en-US"/>
          <w14:ligatures w14:val="standardContextual"/>
        </w:rPr>
        <w:t>s</w:t>
      </w:r>
      <w:r w:rsidRPr="007B5EA4">
        <w:rPr>
          <w:rFonts w:eastAsia="Aptos"/>
          <w:kern w:val="2"/>
          <w:lang w:eastAsia="en-US"/>
          <w14:ligatures w14:val="standardContextual"/>
        </w:rPr>
        <w:t>e utilizó un tamaño muestral de 337 individuos.</w:t>
      </w:r>
    </w:p>
    <w:p w14:paraId="5304EDB4" w14:textId="5FFB86F8" w:rsidR="00125CC3" w:rsidRDefault="00B73D2C" w:rsidP="007F29C2">
      <w:pPr>
        <w:spacing w:after="0" w:line="360" w:lineRule="auto"/>
        <w:ind w:firstLine="708"/>
        <w:jc w:val="both"/>
        <w:rPr>
          <w:rFonts w:eastAsia="Aptos"/>
          <w:kern w:val="2"/>
          <w:lang w:eastAsia="en-US"/>
          <w14:ligatures w14:val="standardContextual"/>
        </w:rPr>
      </w:pPr>
      <w:r>
        <w:rPr>
          <w:rFonts w:eastAsia="Aptos"/>
          <w:kern w:val="2"/>
          <w:lang w:eastAsia="en-US"/>
          <w14:ligatures w14:val="standardContextual"/>
        </w:rPr>
        <w:t>Al realizar el</w:t>
      </w:r>
      <w:r w:rsidR="007B5EA4" w:rsidRPr="007B5EA4">
        <w:rPr>
          <w:rFonts w:eastAsia="Aptos"/>
          <w:kern w:val="2"/>
          <w:lang w:eastAsia="en-US"/>
          <w14:ligatures w14:val="standardContextual"/>
        </w:rPr>
        <w:t xml:space="preserve"> diagrama de ruta</w:t>
      </w:r>
      <w:r w:rsidR="00064C61" w:rsidRPr="00064C61">
        <w:rPr>
          <w:rFonts w:eastAsia="Aptos"/>
          <w:kern w:val="2"/>
          <w:lang w:eastAsia="en-US"/>
          <w14:ligatures w14:val="standardContextual"/>
        </w:rPr>
        <w:t xml:space="preserve"> </w:t>
      </w:r>
      <w:r w:rsidR="00064C61">
        <w:rPr>
          <w:rFonts w:eastAsia="Aptos"/>
          <w:kern w:val="2"/>
          <w:lang w:eastAsia="en-US"/>
          <w14:ligatures w14:val="standardContextual"/>
        </w:rPr>
        <w:t>se obtuvo la Figura 2. Esta</w:t>
      </w:r>
      <w:r w:rsidR="007B5EA4" w:rsidRPr="007B5EA4">
        <w:rPr>
          <w:rFonts w:eastAsia="Aptos"/>
          <w:kern w:val="2"/>
          <w:lang w:eastAsia="en-US"/>
          <w14:ligatures w14:val="standardContextual"/>
        </w:rPr>
        <w:t xml:space="preserve"> representa la estructura del modelo SEM</w:t>
      </w:r>
      <w:r w:rsidR="00064C61">
        <w:rPr>
          <w:rFonts w:eastAsia="Aptos"/>
          <w:kern w:val="2"/>
          <w:lang w:eastAsia="en-US"/>
          <w14:ligatures w14:val="standardContextual"/>
        </w:rPr>
        <w:t xml:space="preserve">; </w:t>
      </w:r>
      <w:r w:rsidR="009F059C">
        <w:rPr>
          <w:rFonts w:eastAsia="Aptos"/>
          <w:kern w:val="2"/>
          <w:lang w:eastAsia="en-US"/>
          <w14:ligatures w14:val="standardContextual"/>
        </w:rPr>
        <w:t>en ella</w:t>
      </w:r>
      <w:r>
        <w:rPr>
          <w:rFonts w:eastAsia="Aptos"/>
          <w:kern w:val="2"/>
          <w:lang w:eastAsia="en-US"/>
          <w14:ligatures w14:val="standardContextual"/>
        </w:rPr>
        <w:t xml:space="preserve"> se resaltan </w:t>
      </w:r>
      <w:r w:rsidR="007B5EA4" w:rsidRPr="007B5EA4">
        <w:rPr>
          <w:rFonts w:eastAsia="Aptos"/>
          <w:kern w:val="2"/>
          <w:lang w:eastAsia="en-US"/>
          <w14:ligatures w14:val="standardContextual"/>
        </w:rPr>
        <w:t>los siguientes elementos clave</w:t>
      </w:r>
      <w:r w:rsidR="00D85F36">
        <w:rPr>
          <w:rFonts w:eastAsia="Aptos"/>
          <w:kern w:val="2"/>
          <w:lang w:eastAsia="en-US"/>
          <w14:ligatures w14:val="standardContextual"/>
        </w:rPr>
        <w:t>, desde la tabla de valores de cargas factoriales estadarizad</w:t>
      </w:r>
      <w:r w:rsidR="007F4DA3">
        <w:rPr>
          <w:rFonts w:eastAsia="Aptos"/>
          <w:kern w:val="2"/>
          <w:lang w:eastAsia="en-US"/>
          <w14:ligatures w14:val="standardContextual"/>
        </w:rPr>
        <w:t>a</w:t>
      </w:r>
      <w:r w:rsidR="00D85F36">
        <w:rPr>
          <w:rFonts w:eastAsia="Aptos"/>
          <w:kern w:val="2"/>
          <w:lang w:eastAsia="en-US"/>
          <w14:ligatures w14:val="standardContextual"/>
        </w:rPr>
        <w:t>s que ofrece la hoja de resultados AMOS</w:t>
      </w:r>
      <w:r w:rsidR="00A54CC5">
        <w:rPr>
          <w:rFonts w:eastAsia="Aptos"/>
          <w:kern w:val="2"/>
          <w:lang w:eastAsia="en-US"/>
          <w14:ligatures w14:val="standardContextual"/>
        </w:rPr>
        <w:t>.</w:t>
      </w:r>
    </w:p>
    <w:p w14:paraId="31800E72" w14:textId="77777777" w:rsidR="00AC4363" w:rsidRPr="00A54CC5" w:rsidRDefault="00AC4363" w:rsidP="007F29C2">
      <w:pPr>
        <w:spacing w:after="0" w:line="360" w:lineRule="auto"/>
        <w:ind w:firstLine="708"/>
        <w:jc w:val="both"/>
        <w:rPr>
          <w:rFonts w:eastAsia="Aptos"/>
          <w:kern w:val="2"/>
          <w:lang w:eastAsia="en-US"/>
          <w14:ligatures w14:val="standardContextual"/>
        </w:rPr>
      </w:pPr>
    </w:p>
    <w:p w14:paraId="61DE8FD0" w14:textId="7182DA14" w:rsidR="003A214E" w:rsidRPr="00AC4363" w:rsidRDefault="003A214E" w:rsidP="00AC4363">
      <w:pPr>
        <w:spacing w:line="360" w:lineRule="auto"/>
        <w:jc w:val="center"/>
        <w:rPr>
          <w:noProof/>
          <w14:ligatures w14:val="standardContextual"/>
        </w:rPr>
      </w:pPr>
      <w:r w:rsidRPr="00AC4363">
        <w:rPr>
          <w:b/>
          <w:bCs/>
          <w:noProof/>
          <w14:ligatures w14:val="standardContextual"/>
        </w:rPr>
        <w:t>Figura 2</w:t>
      </w:r>
      <w:r w:rsidR="00AC4363" w:rsidRPr="00AC4363">
        <w:rPr>
          <w:b/>
          <w:bCs/>
          <w:noProof/>
          <w14:ligatures w14:val="standardContextual"/>
        </w:rPr>
        <w:t xml:space="preserve">. </w:t>
      </w:r>
      <w:r w:rsidRPr="00AC4363">
        <w:rPr>
          <w:noProof/>
          <w14:ligatures w14:val="standardContextual"/>
        </w:rPr>
        <w:t>Diagrama de ruta de las covarianzas de las variables latentes y sus variables observa</w:t>
      </w:r>
      <w:r w:rsidR="00DB2852" w:rsidRPr="00AC4363">
        <w:rPr>
          <w:noProof/>
          <w14:ligatures w14:val="standardContextual"/>
        </w:rPr>
        <w:t>bles</w:t>
      </w:r>
    </w:p>
    <w:p w14:paraId="63865CF0" w14:textId="77777777" w:rsidR="00A54CC5" w:rsidRDefault="00A54CC5" w:rsidP="00A85514">
      <w:pPr>
        <w:jc w:val="center"/>
        <w:rPr>
          <w:b/>
          <w:bCs/>
        </w:rPr>
      </w:pPr>
    </w:p>
    <w:p w14:paraId="6EA11615" w14:textId="33B9372C" w:rsidR="00CB0CE0" w:rsidRDefault="003A214E" w:rsidP="00A85514">
      <w:pPr>
        <w:jc w:val="center"/>
        <w:rPr>
          <w:b/>
          <w:bCs/>
        </w:rPr>
      </w:pPr>
      <w:r>
        <w:rPr>
          <w:noProof/>
          <w14:ligatures w14:val="standardContextual"/>
        </w:rPr>
        <w:drawing>
          <wp:inline distT="0" distB="0" distL="0" distR="0" wp14:anchorId="6601F1E9" wp14:editId="69814239">
            <wp:extent cx="3606800" cy="4667664"/>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795279" cy="4911580"/>
                    </a:xfrm>
                    <a:prstGeom prst="rect">
                      <a:avLst/>
                    </a:prstGeom>
                  </pic:spPr>
                </pic:pic>
              </a:graphicData>
            </a:graphic>
          </wp:inline>
        </w:drawing>
      </w:r>
    </w:p>
    <w:p w14:paraId="02613FDE" w14:textId="1ED66E49" w:rsidR="00AC20C8" w:rsidRPr="00AC4363" w:rsidRDefault="00A54CC5" w:rsidP="00AC4363">
      <w:pPr>
        <w:spacing w:after="0" w:line="360" w:lineRule="auto"/>
        <w:ind w:left="714"/>
        <w:jc w:val="center"/>
        <w:rPr>
          <w:rFonts w:eastAsia="Aptos"/>
          <w:kern w:val="2"/>
          <w:lang w:eastAsia="en-US"/>
          <w14:ligatures w14:val="standardContextual"/>
        </w:rPr>
      </w:pPr>
      <w:r w:rsidRPr="00AC4363">
        <w:rPr>
          <w:rFonts w:eastAsia="Aptos"/>
          <w:i/>
          <w:iCs/>
          <w:kern w:val="2"/>
          <w:lang w:eastAsia="en-US"/>
          <w14:ligatures w14:val="standardContextual"/>
        </w:rPr>
        <w:t>Nota:</w:t>
      </w:r>
      <w:r w:rsidRPr="00AC4363">
        <w:rPr>
          <w:rFonts w:eastAsia="Aptos"/>
          <w:kern w:val="2"/>
          <w:lang w:eastAsia="en-US"/>
          <w14:ligatures w14:val="standardContextual"/>
        </w:rPr>
        <w:t xml:space="preserve"> Elaborada con AMOS</w:t>
      </w:r>
      <w:r w:rsidR="00220AC7" w:rsidRPr="00AC4363">
        <w:rPr>
          <w:rFonts w:eastAsia="Aptos"/>
          <w:kern w:val="2"/>
          <w:lang w:eastAsia="en-US"/>
          <w14:ligatures w14:val="standardContextual"/>
        </w:rPr>
        <w:t xml:space="preserve"> 29, con base </w:t>
      </w:r>
      <w:r w:rsidR="00DB2852" w:rsidRPr="00AC4363">
        <w:rPr>
          <w:rFonts w:eastAsia="Aptos"/>
          <w:kern w:val="2"/>
          <w:lang w:eastAsia="en-US"/>
          <w14:ligatures w14:val="standardContextual"/>
        </w:rPr>
        <w:t>en</w:t>
      </w:r>
      <w:r w:rsidR="00220AC7" w:rsidRPr="00AC4363">
        <w:rPr>
          <w:rFonts w:eastAsia="Aptos"/>
          <w:kern w:val="2"/>
          <w:lang w:eastAsia="en-US"/>
          <w14:ligatures w14:val="standardContextual"/>
        </w:rPr>
        <w:t xml:space="preserve"> los resultados</w:t>
      </w:r>
    </w:p>
    <w:p w14:paraId="4C2C3EE2" w14:textId="4C660F2E" w:rsidR="00220AC7" w:rsidRPr="00A54CC5" w:rsidRDefault="00220AC7" w:rsidP="00AC4363">
      <w:pPr>
        <w:spacing w:after="0" w:line="360" w:lineRule="auto"/>
        <w:ind w:firstLine="708"/>
        <w:jc w:val="both"/>
        <w:rPr>
          <w:rFonts w:eastAsia="Aptos"/>
          <w:kern w:val="2"/>
          <w:lang w:eastAsia="en-US"/>
          <w14:ligatures w14:val="standardContextual"/>
        </w:rPr>
      </w:pPr>
      <w:r>
        <w:rPr>
          <w:rFonts w:eastAsia="Aptos"/>
          <w:kern w:val="2"/>
          <w:lang w:eastAsia="en-US"/>
          <w14:ligatures w14:val="standardContextual"/>
        </w:rPr>
        <w:t>En ella podemos observar los siguientes datos que proporciona el AFC:</w:t>
      </w:r>
    </w:p>
    <w:p w14:paraId="273AEEB9" w14:textId="610F3213" w:rsidR="00A54CC5" w:rsidRPr="00AC4363" w:rsidRDefault="00A54CC5" w:rsidP="00AC4363">
      <w:pPr>
        <w:numPr>
          <w:ilvl w:val="0"/>
          <w:numId w:val="39"/>
        </w:numPr>
        <w:spacing w:after="0" w:line="360" w:lineRule="auto"/>
        <w:ind w:left="714" w:hanging="357"/>
        <w:jc w:val="both"/>
        <w:rPr>
          <w:rFonts w:eastAsia="Aptos"/>
          <w:kern w:val="2"/>
          <w:lang w:eastAsia="en-US"/>
          <w14:ligatures w14:val="standardContextual"/>
        </w:rPr>
      </w:pPr>
      <w:r w:rsidRPr="00AC4363">
        <w:rPr>
          <w:rFonts w:eastAsia="Aptos"/>
          <w:kern w:val="2"/>
          <w:lang w:eastAsia="en-US"/>
          <w14:ligatures w14:val="standardContextual"/>
        </w:rPr>
        <w:lastRenderedPageBreak/>
        <w:t>Variables latentes y sus relaciones con las variables observa</w:t>
      </w:r>
      <w:r w:rsidR="00000B71" w:rsidRPr="00AC4363">
        <w:rPr>
          <w:rFonts w:eastAsia="Aptos"/>
          <w:kern w:val="2"/>
          <w:lang w:eastAsia="en-US"/>
          <w14:ligatures w14:val="standardContextual"/>
        </w:rPr>
        <w:t>bles</w:t>
      </w:r>
      <w:r w:rsidRPr="00AC4363">
        <w:rPr>
          <w:rFonts w:eastAsia="Aptos"/>
          <w:kern w:val="2"/>
          <w:lang w:eastAsia="en-US"/>
          <w14:ligatures w14:val="standardContextual"/>
        </w:rPr>
        <w:t>: Se muestra cómo cada variable latente (constructo) está relacionada con sus indicadores observa</w:t>
      </w:r>
      <w:r w:rsidR="007F4DA3" w:rsidRPr="00AC4363">
        <w:rPr>
          <w:rFonts w:eastAsia="Aptos"/>
          <w:kern w:val="2"/>
          <w:lang w:eastAsia="en-US"/>
          <w14:ligatures w14:val="standardContextual"/>
        </w:rPr>
        <w:t>bles</w:t>
      </w:r>
      <w:r w:rsidRPr="00AC4363">
        <w:rPr>
          <w:rFonts w:eastAsia="Aptos"/>
          <w:kern w:val="2"/>
          <w:lang w:eastAsia="en-US"/>
          <w14:ligatures w14:val="standardContextual"/>
        </w:rPr>
        <w:t>, con cargas factoriales estandarizadas.</w:t>
      </w:r>
    </w:p>
    <w:p w14:paraId="1AE4EC6D" w14:textId="77777777" w:rsidR="00A54CC5" w:rsidRPr="00AC4363" w:rsidRDefault="00A54CC5" w:rsidP="00AC4363">
      <w:pPr>
        <w:numPr>
          <w:ilvl w:val="0"/>
          <w:numId w:val="39"/>
        </w:numPr>
        <w:spacing w:after="0" w:line="360" w:lineRule="auto"/>
        <w:ind w:left="714" w:hanging="357"/>
        <w:jc w:val="both"/>
        <w:rPr>
          <w:rFonts w:eastAsia="Aptos"/>
          <w:kern w:val="2"/>
          <w:lang w:eastAsia="en-US"/>
          <w14:ligatures w14:val="standardContextual"/>
        </w:rPr>
      </w:pPr>
      <w:r w:rsidRPr="00AC4363">
        <w:rPr>
          <w:rFonts w:eastAsia="Aptos"/>
          <w:kern w:val="2"/>
          <w:lang w:eastAsia="en-US"/>
          <w14:ligatures w14:val="standardContextual"/>
        </w:rPr>
        <w:t>Cargas factoriales: La mayoría de las cargas factoriales superan el umbral de 0.50, lo que indica una buena relación entre cada ítem y su factor teórico correspondiente. Algunas variables observadas presentan cargas factoriales superiores a 0.70, lo cual es excelente.</w:t>
      </w:r>
    </w:p>
    <w:p w14:paraId="5B4ED46F" w14:textId="73CB2CBB" w:rsidR="00A54CC5" w:rsidRPr="00AC4363" w:rsidRDefault="00A54CC5" w:rsidP="00AC4363">
      <w:pPr>
        <w:numPr>
          <w:ilvl w:val="0"/>
          <w:numId w:val="39"/>
        </w:numPr>
        <w:spacing w:after="0" w:line="360" w:lineRule="auto"/>
        <w:ind w:left="714" w:hanging="357"/>
        <w:jc w:val="both"/>
        <w:rPr>
          <w:rFonts w:eastAsia="Aptos"/>
          <w:kern w:val="2"/>
          <w:lang w:eastAsia="en-US"/>
          <w14:ligatures w14:val="standardContextual"/>
        </w:rPr>
      </w:pPr>
      <w:r w:rsidRPr="00AC4363">
        <w:rPr>
          <w:rFonts w:eastAsia="Aptos"/>
          <w:kern w:val="2"/>
          <w:lang w:eastAsia="en-US"/>
          <w14:ligatures w14:val="standardContextual"/>
        </w:rPr>
        <w:t>Covarianzas</w:t>
      </w:r>
      <w:r w:rsidR="00712C4A" w:rsidRPr="00AC4363">
        <w:rPr>
          <w:rFonts w:eastAsia="Aptos"/>
          <w:kern w:val="2"/>
          <w:lang w:eastAsia="en-US"/>
          <w14:ligatures w14:val="standardContextual"/>
        </w:rPr>
        <w:t xml:space="preserve"> / correlaciones</w:t>
      </w:r>
      <w:r w:rsidRPr="00AC4363">
        <w:rPr>
          <w:rFonts w:eastAsia="Aptos"/>
          <w:kern w:val="2"/>
          <w:lang w:eastAsia="en-US"/>
          <w14:ligatures w14:val="standardContextual"/>
        </w:rPr>
        <w:t>: Se presentan correlaciones entre las variables latentes con cargas factoriales arriba de 0.</w:t>
      </w:r>
      <w:r w:rsidR="00712C4A" w:rsidRPr="00AC4363">
        <w:rPr>
          <w:rFonts w:eastAsia="Aptos"/>
          <w:kern w:val="2"/>
          <w:lang w:eastAsia="en-US"/>
          <w14:ligatures w14:val="standardContextual"/>
        </w:rPr>
        <w:t>8</w:t>
      </w:r>
      <w:r w:rsidRPr="00AC4363">
        <w:rPr>
          <w:rFonts w:eastAsia="Aptos"/>
          <w:kern w:val="2"/>
          <w:lang w:eastAsia="en-US"/>
          <w14:ligatures w14:val="standardContextual"/>
        </w:rPr>
        <w:t>5 y otras por encima de 0.9</w:t>
      </w:r>
      <w:r w:rsidR="00712C4A" w:rsidRPr="00AC4363">
        <w:rPr>
          <w:rFonts w:eastAsia="Aptos"/>
          <w:kern w:val="2"/>
          <w:lang w:eastAsia="en-US"/>
          <w14:ligatures w14:val="standardContextual"/>
        </w:rPr>
        <w:t>0</w:t>
      </w:r>
      <w:r w:rsidR="007F4DA3" w:rsidRPr="00AC4363">
        <w:rPr>
          <w:rFonts w:eastAsia="Aptos"/>
          <w:kern w:val="2"/>
          <w:lang w:eastAsia="en-US"/>
          <w14:ligatures w14:val="standardContextual"/>
        </w:rPr>
        <w:t xml:space="preserve">. La interpretación de las covarianzas o correlaciones entre factores debe </w:t>
      </w:r>
      <w:r w:rsidR="00063D96" w:rsidRPr="00AC4363">
        <w:rPr>
          <w:rFonts w:eastAsia="Aptos"/>
          <w:kern w:val="2"/>
          <w:lang w:eastAsia="en-US"/>
          <w14:ligatures w14:val="standardContextual"/>
        </w:rPr>
        <w:t>realizarse</w:t>
      </w:r>
      <w:r w:rsidR="007F4DA3" w:rsidRPr="00AC4363">
        <w:rPr>
          <w:rFonts w:eastAsia="Aptos"/>
          <w:kern w:val="2"/>
          <w:lang w:eastAsia="en-US"/>
          <w14:ligatures w14:val="standardContextual"/>
        </w:rPr>
        <w:t xml:space="preserve"> correctamente</w:t>
      </w:r>
      <w:r w:rsidR="00063D96" w:rsidRPr="00AC4363">
        <w:rPr>
          <w:rFonts w:eastAsia="Aptos"/>
          <w:kern w:val="2"/>
          <w:lang w:eastAsia="en-US"/>
          <w14:ligatures w14:val="standardContextual"/>
        </w:rPr>
        <w:t>. V</w:t>
      </w:r>
      <w:r w:rsidR="007F4DA3" w:rsidRPr="00AC4363">
        <w:rPr>
          <w:rFonts w:eastAsia="Aptos"/>
          <w:kern w:val="2"/>
          <w:lang w:eastAsia="en-US"/>
          <w14:ligatures w14:val="standardContextual"/>
        </w:rPr>
        <w:t>alores elevados (≥ 0.85 o 0.90) no respaldan la validez discriminante, sino que la amenazan, ya que sugieren un solapamiento conceptual entre constructos que deberían ser distintos (Kline, 2016). En otras palabras, correlaciones muy altas indican que los factores pueden estar midiendo prácticamente lo mismo, lo cual compromete la evidencia de validez discriminante (Hair, et al., 2019). Para garantizar esta forma de validez, las correlaciones deben mantenerse en niveles moderados, de manera que exista relación entre los constructos, pero sin perder su distinción conceptual.</w:t>
      </w:r>
    </w:p>
    <w:p w14:paraId="7A38810F" w14:textId="14621256" w:rsidR="00A54CC5" w:rsidRPr="00CB0CE0" w:rsidRDefault="00A54CC5" w:rsidP="00AC4363">
      <w:pPr>
        <w:numPr>
          <w:ilvl w:val="0"/>
          <w:numId w:val="39"/>
        </w:numPr>
        <w:spacing w:after="0" w:line="360" w:lineRule="auto"/>
        <w:ind w:left="714" w:hanging="357"/>
        <w:jc w:val="both"/>
        <w:rPr>
          <w:rFonts w:eastAsia="Aptos"/>
          <w:kern w:val="2"/>
          <w:lang w:eastAsia="en-US"/>
          <w14:ligatures w14:val="standardContextual"/>
        </w:rPr>
      </w:pPr>
      <w:r w:rsidRPr="00AC4363">
        <w:rPr>
          <w:rFonts w:eastAsia="Aptos"/>
          <w:kern w:val="2"/>
          <w:lang w:eastAsia="en-US"/>
          <w14:ligatures w14:val="standardContextual"/>
        </w:rPr>
        <w:t>Errores de medida: Cada variable observa</w:t>
      </w:r>
      <w:r w:rsidR="00712C4A" w:rsidRPr="00AC4363">
        <w:rPr>
          <w:rFonts w:eastAsia="Aptos"/>
          <w:kern w:val="2"/>
          <w:lang w:eastAsia="en-US"/>
          <w14:ligatures w14:val="standardContextual"/>
        </w:rPr>
        <w:t>ble</w:t>
      </w:r>
      <w:r w:rsidRPr="00AC4363">
        <w:rPr>
          <w:rFonts w:eastAsia="Aptos"/>
          <w:kern w:val="2"/>
          <w:lang w:eastAsia="en-US"/>
          <w14:ligatures w14:val="standardContextual"/>
        </w:rPr>
        <w:t xml:space="preserve"> tiene un término de error asociado, reflejando la varianza no explicada por el modelo</w:t>
      </w:r>
      <w:r w:rsidRPr="00CB0CE0">
        <w:rPr>
          <w:rFonts w:eastAsia="Aptos"/>
          <w:kern w:val="2"/>
          <w:lang w:eastAsia="en-US"/>
          <w14:ligatures w14:val="standardContextual"/>
        </w:rPr>
        <w:t>.</w:t>
      </w:r>
    </w:p>
    <w:p w14:paraId="11092772" w14:textId="77777777" w:rsidR="00A54CC5" w:rsidRDefault="00A54CC5" w:rsidP="00220AC7">
      <w:pPr>
        <w:spacing w:after="0" w:line="360" w:lineRule="auto"/>
        <w:rPr>
          <w:b/>
          <w:bCs/>
        </w:rPr>
      </w:pPr>
    </w:p>
    <w:p w14:paraId="74CBFB11" w14:textId="7F9E2A14" w:rsidR="000830F9" w:rsidRPr="00D945F3" w:rsidRDefault="00827F10" w:rsidP="00F363D5">
      <w:pPr>
        <w:spacing w:after="0" w:line="360" w:lineRule="auto"/>
        <w:jc w:val="center"/>
        <w:rPr>
          <w:b/>
          <w:bCs/>
          <w:sz w:val="32"/>
          <w:szCs w:val="32"/>
        </w:rPr>
      </w:pPr>
      <w:r w:rsidRPr="00D945F3">
        <w:rPr>
          <w:b/>
          <w:bCs/>
          <w:sz w:val="32"/>
          <w:szCs w:val="32"/>
        </w:rPr>
        <w:t>Discusión</w:t>
      </w:r>
    </w:p>
    <w:p w14:paraId="5921164A" w14:textId="25FBCBD2" w:rsidR="00047F9C" w:rsidRDefault="00C05D39" w:rsidP="007F29C2">
      <w:pPr>
        <w:spacing w:after="0" w:line="360" w:lineRule="auto"/>
        <w:ind w:firstLine="708"/>
        <w:jc w:val="both"/>
        <w:rPr>
          <w:rFonts w:eastAsia="Aptos"/>
          <w:kern w:val="2"/>
          <w:lang w:eastAsia="en-US"/>
          <w14:ligatures w14:val="standardContextual"/>
        </w:rPr>
      </w:pPr>
      <w:r>
        <w:rPr>
          <w:rFonts w:eastAsia="Aptos"/>
          <w:kern w:val="2"/>
          <w:lang w:eastAsia="en-US"/>
          <w14:ligatures w14:val="standardContextual"/>
        </w:rPr>
        <w:t xml:space="preserve">En el objetivo general de este estudio se propuso diseñar y estandarizar </w:t>
      </w:r>
      <w:r w:rsidR="00047F9C">
        <w:rPr>
          <w:rFonts w:eastAsia="Aptos"/>
          <w:kern w:val="2"/>
          <w:lang w:eastAsia="en-US"/>
          <w14:ligatures w14:val="standardContextual"/>
        </w:rPr>
        <w:t xml:space="preserve">estadísticamente </w:t>
      </w:r>
      <w:r>
        <w:rPr>
          <w:rFonts w:eastAsia="Aptos"/>
          <w:kern w:val="2"/>
          <w:lang w:eastAsia="en-US"/>
          <w14:ligatures w14:val="standardContextual"/>
        </w:rPr>
        <w:t xml:space="preserve">un instrumento de evaluación de competencias profesionales en la formación de ingenieros. </w:t>
      </w:r>
      <w:r w:rsidR="00047F9C" w:rsidRPr="00047F9C">
        <w:rPr>
          <w:rFonts w:eastAsia="Aptos"/>
          <w:kern w:val="2"/>
          <w:lang w:val="es-ES" w:eastAsia="en-US"/>
          <w14:ligatures w14:val="standardContextual"/>
        </w:rPr>
        <w:t xml:space="preserve">En concordancia con los lineamientos metodológicos, el alcance de este estudio </w:t>
      </w:r>
      <w:r w:rsidR="00047F9C">
        <w:rPr>
          <w:rFonts w:eastAsia="Aptos"/>
          <w:kern w:val="2"/>
          <w:lang w:val="es-ES" w:eastAsia="en-US"/>
          <w14:ligatures w14:val="standardContextual"/>
        </w:rPr>
        <w:t>se limita a</w:t>
      </w:r>
      <w:r w:rsidR="00047F9C" w:rsidRPr="00047F9C">
        <w:rPr>
          <w:rFonts w:eastAsia="Aptos"/>
          <w:kern w:val="2"/>
          <w:lang w:val="es-ES" w:eastAsia="en-US"/>
          <w14:ligatures w14:val="standardContextual"/>
        </w:rPr>
        <w:t xml:space="preserve"> evaluar la validez de contenido y de constructo</w:t>
      </w:r>
      <w:r w:rsidR="00712C4A">
        <w:rPr>
          <w:rFonts w:eastAsia="Aptos"/>
          <w:kern w:val="2"/>
          <w:lang w:val="es-ES" w:eastAsia="en-US"/>
          <w14:ligatures w14:val="standardContextual"/>
        </w:rPr>
        <w:t>,</w:t>
      </w:r>
      <w:r w:rsidR="00047F9C">
        <w:rPr>
          <w:rFonts w:eastAsia="Aptos"/>
          <w:kern w:val="2"/>
          <w:lang w:val="es-ES" w:eastAsia="en-US"/>
          <w14:ligatures w14:val="standardContextual"/>
        </w:rPr>
        <w:t xml:space="preserve"> y no contempla la determinación de la validez de criterio.</w:t>
      </w:r>
      <w:r w:rsidR="00047F9C" w:rsidRPr="00047F9C">
        <w:rPr>
          <w:rFonts w:eastAsia="Aptos"/>
          <w:kern w:val="2"/>
          <w:lang w:eastAsia="en-US"/>
          <w14:ligatures w14:val="standardContextual"/>
        </w:rPr>
        <w:t xml:space="preserve"> </w:t>
      </w:r>
      <w:r w:rsidR="00047F9C">
        <w:rPr>
          <w:rFonts w:eastAsia="Aptos"/>
          <w:kern w:val="2"/>
          <w:lang w:eastAsia="en-US"/>
          <w14:ligatures w14:val="standardContextual"/>
        </w:rPr>
        <w:t>En este sentido, l</w:t>
      </w:r>
      <w:r w:rsidR="008D3114">
        <w:rPr>
          <w:rFonts w:eastAsia="Aptos"/>
          <w:kern w:val="2"/>
          <w:lang w:eastAsia="en-US"/>
          <w14:ligatures w14:val="standardContextual"/>
        </w:rPr>
        <w:t>os resultados respaldan las cuatro hipótesis</w:t>
      </w:r>
      <w:r w:rsidR="00DE25F1">
        <w:rPr>
          <w:rFonts w:eastAsia="Aptos"/>
          <w:kern w:val="2"/>
          <w:lang w:eastAsia="en-US"/>
          <w14:ligatures w14:val="standardContextual"/>
        </w:rPr>
        <w:t>.</w:t>
      </w:r>
    </w:p>
    <w:p w14:paraId="707B782B" w14:textId="4972E49C" w:rsidR="005363CE" w:rsidRPr="00B56A4D" w:rsidRDefault="008D3114" w:rsidP="007F29C2">
      <w:pPr>
        <w:spacing w:after="0" w:line="360" w:lineRule="auto"/>
        <w:ind w:firstLine="708"/>
        <w:jc w:val="both"/>
        <w:rPr>
          <w:rFonts w:eastAsia="Aptos"/>
          <w:kern w:val="2"/>
          <w:lang w:eastAsia="en-US"/>
          <w14:ligatures w14:val="standardContextual"/>
        </w:rPr>
      </w:pPr>
      <w:r>
        <w:rPr>
          <w:rFonts w:eastAsia="Aptos"/>
          <w:kern w:val="2"/>
          <w:lang w:eastAsia="en-US"/>
          <w14:ligatures w14:val="standardContextual"/>
        </w:rPr>
        <w:t>En principio se encontr</w:t>
      </w:r>
      <w:r w:rsidR="00BB3A31">
        <w:rPr>
          <w:rFonts w:eastAsia="Aptos"/>
          <w:kern w:val="2"/>
          <w:lang w:eastAsia="en-US"/>
          <w14:ligatures w14:val="standardContextual"/>
        </w:rPr>
        <w:t>ó</w:t>
      </w:r>
      <w:r>
        <w:rPr>
          <w:rFonts w:eastAsia="Aptos"/>
          <w:kern w:val="2"/>
          <w:lang w:eastAsia="en-US"/>
          <w14:ligatures w14:val="standardContextual"/>
        </w:rPr>
        <w:t xml:space="preserve"> que los </w:t>
      </w:r>
      <w:r w:rsidR="00047F9C">
        <w:rPr>
          <w:rFonts w:eastAsia="Aptos"/>
          <w:kern w:val="2"/>
          <w:lang w:eastAsia="en-US"/>
          <w14:ligatures w14:val="standardContextual"/>
        </w:rPr>
        <w:t>ítems</w:t>
      </w:r>
      <w:r>
        <w:rPr>
          <w:rFonts w:eastAsia="Aptos"/>
          <w:kern w:val="2"/>
          <w:lang w:eastAsia="en-US"/>
          <w14:ligatures w14:val="standardContextual"/>
        </w:rPr>
        <w:t xml:space="preserve"> </w:t>
      </w:r>
      <w:r w:rsidR="009A02E1">
        <w:rPr>
          <w:rFonts w:eastAsia="Aptos"/>
          <w:kern w:val="2"/>
          <w:lang w:eastAsia="en-US"/>
          <w14:ligatures w14:val="standardContextual"/>
        </w:rPr>
        <w:t xml:space="preserve">del instrumento de evaluación, </w:t>
      </w:r>
      <w:r w:rsidRPr="00220AC7">
        <w:rPr>
          <w:rFonts w:eastAsia="Aptos"/>
          <w:i/>
          <w:iCs/>
          <w:kern w:val="2"/>
          <w:lang w:eastAsia="en-US"/>
          <w14:ligatures w14:val="standardContextual"/>
        </w:rPr>
        <w:t>medidos</w:t>
      </w:r>
      <w:r w:rsidR="009A02E1" w:rsidRPr="00220AC7">
        <w:rPr>
          <w:rFonts w:eastAsia="Aptos"/>
          <w:i/>
          <w:iCs/>
          <w:kern w:val="2"/>
          <w:lang w:eastAsia="en-US"/>
          <w14:ligatures w14:val="standardContextual"/>
        </w:rPr>
        <w:t xml:space="preserve"> </w:t>
      </w:r>
      <w:r w:rsidRPr="00220AC7">
        <w:rPr>
          <w:rFonts w:eastAsia="Aptos"/>
          <w:i/>
          <w:iCs/>
          <w:kern w:val="2"/>
          <w:lang w:eastAsia="en-US"/>
          <w14:ligatures w14:val="standardContextual"/>
        </w:rPr>
        <w:t>como resultados de aprendizaje</w:t>
      </w:r>
      <w:r w:rsidR="006B4338">
        <w:rPr>
          <w:rFonts w:eastAsia="Aptos"/>
          <w:i/>
          <w:iCs/>
          <w:kern w:val="2"/>
          <w:lang w:eastAsia="en-US"/>
          <w14:ligatures w14:val="standardContextual"/>
        </w:rPr>
        <w:t>,</w:t>
      </w:r>
      <w:r>
        <w:rPr>
          <w:rFonts w:eastAsia="Aptos"/>
          <w:kern w:val="2"/>
          <w:lang w:eastAsia="en-US"/>
          <w14:ligatures w14:val="standardContextual"/>
        </w:rPr>
        <w:t xml:space="preserve"> </w:t>
      </w:r>
      <w:r w:rsidR="009A02E1">
        <w:rPr>
          <w:rFonts w:eastAsia="Aptos"/>
          <w:kern w:val="2"/>
          <w:lang w:eastAsia="en-US"/>
          <w14:ligatures w14:val="standardContextual"/>
        </w:rPr>
        <w:t>son confiables y válidos, tal como lo afirma la primera hipótesis.</w:t>
      </w:r>
      <w:r w:rsidR="00DE25F1">
        <w:rPr>
          <w:rFonts w:eastAsia="Aptos"/>
          <w:kern w:val="2"/>
          <w:lang w:eastAsia="en-US"/>
          <w14:ligatures w14:val="standardContextual"/>
        </w:rPr>
        <w:t xml:space="preserve"> D</w:t>
      </w:r>
      <w:r w:rsidR="000830F9" w:rsidRPr="000830F9">
        <w:rPr>
          <w:rFonts w:eastAsia="Aptos"/>
          <w:kern w:val="2"/>
          <w:lang w:eastAsia="en-US"/>
          <w14:ligatures w14:val="standardContextual"/>
        </w:rPr>
        <w:t>iversos autores como Hair et</w:t>
      </w:r>
      <w:r w:rsidR="006B4338">
        <w:rPr>
          <w:rFonts w:eastAsia="Aptos"/>
          <w:kern w:val="2"/>
          <w:lang w:eastAsia="en-US"/>
          <w14:ligatures w14:val="standardContextual"/>
        </w:rPr>
        <w:t xml:space="preserve"> </w:t>
      </w:r>
      <w:r w:rsidR="000830F9" w:rsidRPr="000830F9">
        <w:rPr>
          <w:rFonts w:eastAsia="Aptos"/>
          <w:kern w:val="2"/>
          <w:lang w:eastAsia="en-US"/>
          <w14:ligatures w14:val="standardContextual"/>
        </w:rPr>
        <w:t>al (201</w:t>
      </w:r>
      <w:r w:rsidR="00712C4A">
        <w:rPr>
          <w:rFonts w:eastAsia="Aptos"/>
          <w:kern w:val="2"/>
          <w:lang w:eastAsia="en-US"/>
          <w14:ligatures w14:val="standardContextual"/>
        </w:rPr>
        <w:t>9</w:t>
      </w:r>
      <w:r w:rsidR="000830F9" w:rsidRPr="000830F9">
        <w:rPr>
          <w:rFonts w:eastAsia="Aptos"/>
          <w:kern w:val="2"/>
          <w:lang w:eastAsia="en-US"/>
          <w14:ligatures w14:val="standardContextual"/>
        </w:rPr>
        <w:t xml:space="preserve">) y George y Mallery (2003) señalan que un valor </w:t>
      </w:r>
      <w:r w:rsidR="00EB6FE9">
        <w:rPr>
          <w:rFonts w:eastAsia="Aptos"/>
          <w:kern w:val="2"/>
          <w:lang w:eastAsia="en-US"/>
          <w14:ligatures w14:val="standardContextual"/>
        </w:rPr>
        <w:t>de las cargas fac</w:t>
      </w:r>
      <w:r w:rsidR="006F5BEB">
        <w:rPr>
          <w:rFonts w:eastAsia="Aptos"/>
          <w:kern w:val="2"/>
          <w:lang w:eastAsia="en-US"/>
          <w14:ligatures w14:val="standardContextual"/>
        </w:rPr>
        <w:t>t</w:t>
      </w:r>
      <w:r w:rsidR="00EB6FE9">
        <w:rPr>
          <w:rFonts w:eastAsia="Aptos"/>
          <w:kern w:val="2"/>
          <w:lang w:eastAsia="en-US"/>
          <w14:ligatures w14:val="standardContextual"/>
        </w:rPr>
        <w:t xml:space="preserve">oriales por </w:t>
      </w:r>
      <w:r w:rsidR="000830F9" w:rsidRPr="000830F9">
        <w:rPr>
          <w:rFonts w:eastAsia="Aptos"/>
          <w:kern w:val="2"/>
          <w:lang w:eastAsia="en-US"/>
          <w14:ligatures w14:val="standardContextual"/>
        </w:rPr>
        <w:t>arriba de 0</w:t>
      </w:r>
      <w:r w:rsidR="00EB6FE9">
        <w:rPr>
          <w:rFonts w:eastAsia="Aptos"/>
          <w:kern w:val="2"/>
          <w:lang w:eastAsia="en-US"/>
          <w14:ligatures w14:val="standardContextual"/>
        </w:rPr>
        <w:t>.5</w:t>
      </w:r>
      <w:r w:rsidR="000830F9" w:rsidRPr="000830F9">
        <w:rPr>
          <w:rFonts w:eastAsia="Aptos"/>
          <w:kern w:val="2"/>
          <w:lang w:eastAsia="en-US"/>
          <w14:ligatures w14:val="standardContextual"/>
        </w:rPr>
        <w:t xml:space="preserve"> se considera adecuado, porque su medición determina el grado en que los ítems están relacionados </w:t>
      </w:r>
      <w:r w:rsidR="006B4338">
        <w:rPr>
          <w:rFonts w:eastAsia="Aptos"/>
          <w:kern w:val="2"/>
          <w:lang w:eastAsia="en-US"/>
          <w14:ligatures w14:val="standardContextual"/>
        </w:rPr>
        <w:t>con sus factores</w:t>
      </w:r>
      <w:r w:rsidR="000830F9" w:rsidRPr="000830F9">
        <w:rPr>
          <w:rFonts w:eastAsia="Aptos"/>
          <w:kern w:val="2"/>
          <w:lang w:eastAsia="en-US"/>
          <w14:ligatures w14:val="standardContextual"/>
        </w:rPr>
        <w:t>.</w:t>
      </w:r>
      <w:r w:rsidR="00DE25F1">
        <w:rPr>
          <w:rFonts w:eastAsia="Aptos"/>
          <w:kern w:val="2"/>
          <w:lang w:eastAsia="en-US"/>
          <w14:ligatures w14:val="standardContextual"/>
        </w:rPr>
        <w:t xml:space="preserve"> </w:t>
      </w:r>
      <w:r w:rsidR="00EB6FE9">
        <w:rPr>
          <w:rFonts w:eastAsia="Aptos"/>
          <w:kern w:val="2"/>
          <w:lang w:eastAsia="en-US"/>
          <w14:ligatures w14:val="standardContextual"/>
        </w:rPr>
        <w:t>Para la</w:t>
      </w:r>
      <w:r w:rsidR="002351DE">
        <w:rPr>
          <w:rFonts w:eastAsia="Aptos"/>
          <w:kern w:val="2"/>
          <w:lang w:eastAsia="en-US"/>
          <w14:ligatures w14:val="standardContextual"/>
        </w:rPr>
        <w:t>s once variables latentes del modelo teórico se</w:t>
      </w:r>
      <w:r w:rsidR="00DE25F1">
        <w:rPr>
          <w:rFonts w:eastAsia="Aptos"/>
          <w:kern w:val="2"/>
          <w:lang w:eastAsia="en-US"/>
          <w14:ligatures w14:val="standardContextual"/>
        </w:rPr>
        <w:t xml:space="preserve"> obtuv</w:t>
      </w:r>
      <w:r w:rsidR="002351DE">
        <w:rPr>
          <w:rFonts w:eastAsia="Aptos"/>
          <w:kern w:val="2"/>
          <w:lang w:eastAsia="en-US"/>
          <w14:ligatures w14:val="standardContextual"/>
        </w:rPr>
        <w:t xml:space="preserve">ieron valores del </w:t>
      </w:r>
      <w:r w:rsidR="00D67FC1">
        <w:rPr>
          <w:rFonts w:eastAsia="Aptos"/>
          <w:kern w:val="2"/>
          <w:lang w:eastAsia="en-US"/>
          <w14:ligatures w14:val="standardContextual"/>
        </w:rPr>
        <w:t>a</w:t>
      </w:r>
      <w:r w:rsidR="002351DE">
        <w:rPr>
          <w:rFonts w:eastAsia="Aptos"/>
          <w:kern w:val="2"/>
          <w:lang w:eastAsia="en-US"/>
          <w14:ligatures w14:val="standardContextual"/>
        </w:rPr>
        <w:t>lfa de C</w:t>
      </w:r>
      <w:r w:rsidR="00712C4A">
        <w:rPr>
          <w:rFonts w:eastAsia="Aptos"/>
          <w:kern w:val="2"/>
          <w:lang w:eastAsia="en-US"/>
          <w14:ligatures w14:val="standardContextual"/>
        </w:rPr>
        <w:t>r</w:t>
      </w:r>
      <w:r w:rsidR="002351DE">
        <w:rPr>
          <w:rFonts w:eastAsia="Aptos"/>
          <w:kern w:val="2"/>
          <w:lang w:eastAsia="en-US"/>
          <w14:ligatures w14:val="standardContextual"/>
        </w:rPr>
        <w:t xml:space="preserve">onbach cercanos o superiores a 0.9, </w:t>
      </w:r>
      <w:r w:rsidR="002351DE">
        <w:rPr>
          <w:rFonts w:eastAsia="Aptos"/>
          <w:kern w:val="2"/>
          <w:lang w:eastAsia="en-US"/>
          <w14:ligatures w14:val="standardContextual"/>
        </w:rPr>
        <w:lastRenderedPageBreak/>
        <w:t>con</w:t>
      </w:r>
      <w:r w:rsidR="00DE25F1">
        <w:rPr>
          <w:rFonts w:eastAsia="Aptos"/>
          <w:kern w:val="2"/>
          <w:lang w:eastAsia="en-US"/>
          <w14:ligatures w14:val="standardContextual"/>
        </w:rPr>
        <w:t xml:space="preserve"> un promedio de 0.907</w:t>
      </w:r>
      <w:r w:rsidR="002351DE">
        <w:rPr>
          <w:rFonts w:eastAsia="Aptos"/>
          <w:kern w:val="2"/>
          <w:lang w:eastAsia="en-US"/>
          <w14:ligatures w14:val="standardContextual"/>
        </w:rPr>
        <w:t>7</w:t>
      </w:r>
      <w:r w:rsidR="00DE25F1">
        <w:rPr>
          <w:rFonts w:eastAsia="Aptos"/>
          <w:kern w:val="2"/>
          <w:lang w:eastAsia="en-US"/>
          <w14:ligatures w14:val="standardContextual"/>
        </w:rPr>
        <w:t xml:space="preserve">, como se muestra en la Tabla </w:t>
      </w:r>
      <w:r w:rsidR="006F5BEB">
        <w:rPr>
          <w:rFonts w:eastAsia="Aptos"/>
          <w:kern w:val="2"/>
          <w:lang w:eastAsia="en-US"/>
          <w14:ligatures w14:val="standardContextual"/>
        </w:rPr>
        <w:t>3</w:t>
      </w:r>
      <w:r w:rsidR="00B56A4D">
        <w:rPr>
          <w:rFonts w:eastAsia="Aptos"/>
          <w:kern w:val="2"/>
          <w:lang w:eastAsia="en-US"/>
          <w14:ligatures w14:val="standardContextual"/>
        </w:rPr>
        <w:t xml:space="preserve">, lo cual indica que el instrumento </w:t>
      </w:r>
      <w:r w:rsidR="00B44EB5">
        <w:rPr>
          <w:rFonts w:eastAsia="Aptos"/>
          <w:kern w:val="2"/>
          <w:lang w:eastAsia="en-US"/>
          <w14:ligatures w14:val="standardContextual"/>
        </w:rPr>
        <w:t>cumple muy b</w:t>
      </w:r>
      <w:r w:rsidR="009A02E1">
        <w:rPr>
          <w:rFonts w:eastAsia="Aptos"/>
          <w:kern w:val="2"/>
          <w:lang w:eastAsia="en-US"/>
          <w14:ligatures w14:val="standardContextual"/>
        </w:rPr>
        <w:t>i</w:t>
      </w:r>
      <w:r w:rsidR="00B44EB5">
        <w:rPr>
          <w:rFonts w:eastAsia="Aptos"/>
          <w:kern w:val="2"/>
          <w:lang w:eastAsia="en-US"/>
          <w14:ligatures w14:val="standardContextual"/>
        </w:rPr>
        <w:t xml:space="preserve">en con </w:t>
      </w:r>
      <w:r w:rsidR="006F5BEB">
        <w:rPr>
          <w:rFonts w:eastAsia="Aptos"/>
          <w:kern w:val="2"/>
          <w:lang w:eastAsia="en-US"/>
          <w14:ligatures w14:val="standardContextual"/>
        </w:rPr>
        <w:t>índice de</w:t>
      </w:r>
      <w:r w:rsidR="00B56A4D">
        <w:rPr>
          <w:rFonts w:eastAsia="Aptos"/>
          <w:kern w:val="2"/>
          <w:lang w:eastAsia="en-US"/>
          <w14:ligatures w14:val="standardContextual"/>
        </w:rPr>
        <w:t xml:space="preserve"> consistencia interna</w:t>
      </w:r>
      <w:r w:rsidR="009A02E1">
        <w:rPr>
          <w:rFonts w:eastAsia="Aptos"/>
          <w:kern w:val="2"/>
          <w:lang w:eastAsia="en-US"/>
          <w14:ligatures w14:val="standardContextual"/>
        </w:rPr>
        <w:t>.</w:t>
      </w:r>
      <w:r w:rsidR="00B44EB5">
        <w:rPr>
          <w:rFonts w:eastAsia="Aptos"/>
          <w:kern w:val="2"/>
          <w:lang w:eastAsia="en-US"/>
          <w14:ligatures w14:val="standardContextual"/>
        </w:rPr>
        <w:t xml:space="preserve"> </w:t>
      </w:r>
    </w:p>
    <w:p w14:paraId="63463165" w14:textId="2B284A0A" w:rsidR="00B44EB5" w:rsidRDefault="00B56A4D" w:rsidP="007F29C2">
      <w:pPr>
        <w:spacing w:after="0" w:line="360" w:lineRule="auto"/>
        <w:ind w:firstLine="708"/>
        <w:jc w:val="both"/>
      </w:pPr>
      <w:r>
        <w:t>Por otro lado,</w:t>
      </w:r>
      <w:r w:rsidR="009A02E1">
        <w:t xml:space="preserve"> la segunda hipótesis </w:t>
      </w:r>
      <w:r w:rsidR="00EA055A">
        <w:t>permitió</w:t>
      </w:r>
      <w:r w:rsidR="009A02E1">
        <w:t xml:space="preserve"> operacionalizar la variable </w:t>
      </w:r>
      <w:r w:rsidR="006B4338">
        <w:rPr>
          <w:i/>
          <w:iCs/>
        </w:rPr>
        <w:t>L</w:t>
      </w:r>
      <w:r w:rsidR="009A02E1" w:rsidRPr="00E91941">
        <w:rPr>
          <w:i/>
          <w:iCs/>
        </w:rPr>
        <w:t>ogro de la competencia</w:t>
      </w:r>
      <w:r w:rsidR="009A02E1">
        <w:t xml:space="preserve"> a través de </w:t>
      </w:r>
      <w:r>
        <w:t>un modelo gráfico de intención y secuencia didáctica</w:t>
      </w:r>
      <w:r w:rsidR="00B44EB5">
        <w:t>, como vía para desarrollar en el estudiante las competencias profesionales</w:t>
      </w:r>
      <w:r w:rsidR="005363CE" w:rsidRPr="00325D44">
        <w:t>. Los elementos de salida del ciclo</w:t>
      </w:r>
      <w:r>
        <w:t xml:space="preserve"> de </w:t>
      </w:r>
      <w:r w:rsidRPr="00325D44">
        <w:t>la Figura</w:t>
      </w:r>
      <w:r w:rsidR="00B44EB5">
        <w:t xml:space="preserve"> 1</w:t>
      </w:r>
      <w:r w:rsidR="005363CE" w:rsidRPr="00325D44">
        <w:t xml:space="preserve"> son los resultados de aprendizaje, por lo que el instrumento de evaluación estandarizado en este trabajo </w:t>
      </w:r>
      <w:r w:rsidR="006B4338">
        <w:t>regula</w:t>
      </w:r>
      <w:r w:rsidR="005363CE" w:rsidRPr="00325D44">
        <w:t xml:space="preserve"> no sólo la calidad de formación </w:t>
      </w:r>
      <w:r w:rsidR="006B4338">
        <w:t xml:space="preserve">de los estudiantes en </w:t>
      </w:r>
      <w:r w:rsidR="005363CE" w:rsidRPr="00325D44">
        <w:t>un programa académico, sino también su reconocimiento por parte de los organismos acreditadores.</w:t>
      </w:r>
    </w:p>
    <w:p w14:paraId="48CC8E09" w14:textId="1BC5DAEC" w:rsidR="009A02E1" w:rsidRDefault="009A02E1" w:rsidP="00AC4363">
      <w:pPr>
        <w:spacing w:after="0" w:line="360" w:lineRule="auto"/>
        <w:ind w:firstLine="709"/>
        <w:jc w:val="both"/>
        <w:rPr>
          <w:rFonts w:eastAsia="Aptos"/>
          <w:kern w:val="2"/>
          <w:lang w:eastAsia="en-US"/>
          <w14:ligatures w14:val="standardContextual"/>
        </w:rPr>
      </w:pPr>
      <w:r>
        <w:rPr>
          <w:rFonts w:eastAsia="Aptos"/>
          <w:kern w:val="2"/>
          <w:lang w:eastAsia="en-US"/>
          <w14:ligatures w14:val="standardContextual"/>
        </w:rPr>
        <w:t xml:space="preserve">En línea con la hipótesis tres, se identificó una estructura reducida de factores latentes mediante un AFE. Este análisis factorial </w:t>
      </w:r>
      <w:r w:rsidR="00DE0978">
        <w:rPr>
          <w:rFonts w:eastAsia="Aptos"/>
          <w:kern w:val="2"/>
          <w:lang w:eastAsia="en-US"/>
          <w14:ligatures w14:val="standardContextual"/>
        </w:rPr>
        <w:t xml:space="preserve">exploratorio </w:t>
      </w:r>
      <w:r w:rsidR="00EA055A">
        <w:rPr>
          <w:rFonts w:eastAsia="Aptos"/>
          <w:kern w:val="2"/>
          <w:lang w:eastAsia="en-US"/>
          <w14:ligatures w14:val="standardContextual"/>
        </w:rPr>
        <w:t xml:space="preserve">permitió reducir la dimensionalidad del modelo </w:t>
      </w:r>
      <w:r w:rsidR="00047F9C">
        <w:rPr>
          <w:rFonts w:eastAsia="Aptos"/>
          <w:kern w:val="2"/>
          <w:lang w:eastAsia="en-US"/>
          <w14:ligatures w14:val="standardContextual"/>
        </w:rPr>
        <w:t xml:space="preserve">teórico </w:t>
      </w:r>
      <w:r w:rsidR="00EA055A">
        <w:rPr>
          <w:rFonts w:eastAsia="Aptos"/>
          <w:kern w:val="2"/>
          <w:lang w:eastAsia="en-US"/>
          <w14:ligatures w14:val="standardContextual"/>
        </w:rPr>
        <w:t>de once variables latentes a ocho, utilizando los siguientes criterios:</w:t>
      </w:r>
    </w:p>
    <w:p w14:paraId="066D3C32" w14:textId="6D7AF0FA" w:rsidR="00EA055A" w:rsidRPr="00AC4363" w:rsidRDefault="00EA055A" w:rsidP="00AC4363">
      <w:pPr>
        <w:numPr>
          <w:ilvl w:val="0"/>
          <w:numId w:val="43"/>
        </w:numPr>
        <w:spacing w:after="0" w:line="360" w:lineRule="auto"/>
        <w:jc w:val="both"/>
      </w:pPr>
      <w:r w:rsidRPr="00AC4363">
        <w:t xml:space="preserve">Cargas factoriales bajas: Para su eliminación, se consideraron las variables con cargas inferiores a 0.4 </w:t>
      </w:r>
      <w:r w:rsidR="00E91941" w:rsidRPr="00AC4363">
        <w:t xml:space="preserve">en el primer análisis y </w:t>
      </w:r>
      <w:r w:rsidRPr="00AC4363">
        <w:t>0.5</w:t>
      </w:r>
      <w:r w:rsidR="00E91941" w:rsidRPr="00AC4363">
        <w:t xml:space="preserve"> para el segundo.</w:t>
      </w:r>
      <w:r w:rsidRPr="00AC4363">
        <w:t xml:space="preserve"> </w:t>
      </w:r>
    </w:p>
    <w:p w14:paraId="27AAF9D2" w14:textId="078541BE" w:rsidR="00EA055A" w:rsidRPr="00AC4363" w:rsidRDefault="00EA055A" w:rsidP="00AC4363">
      <w:pPr>
        <w:numPr>
          <w:ilvl w:val="0"/>
          <w:numId w:val="43"/>
        </w:numPr>
        <w:spacing w:after="0" w:line="360" w:lineRule="auto"/>
        <w:jc w:val="both"/>
      </w:pPr>
      <w:r w:rsidRPr="00AC4363">
        <w:t>Cargas cruzadas: Las variables que cargaban significativamente en múltiples factores indicaban redundancia y fueron consideradas para eliminación.</w:t>
      </w:r>
    </w:p>
    <w:p w14:paraId="653EB4D8" w14:textId="3F3FAB55" w:rsidR="00EA055A" w:rsidRPr="00AC4363" w:rsidRDefault="00EA055A" w:rsidP="00AC4363">
      <w:pPr>
        <w:numPr>
          <w:ilvl w:val="0"/>
          <w:numId w:val="43"/>
        </w:numPr>
        <w:spacing w:after="0" w:line="360" w:lineRule="auto"/>
        <w:jc w:val="both"/>
      </w:pPr>
      <w:r w:rsidRPr="00AC4363">
        <w:t>Semejanza conceptual: Las variables con significados similares en diferentes factores latentes también se consideraron para la reducción</w:t>
      </w:r>
      <w:r w:rsidR="00B23798" w:rsidRPr="00AC4363">
        <w:t xml:space="preserve"> (Brown</w:t>
      </w:r>
      <w:r w:rsidR="00E91941" w:rsidRPr="00AC4363">
        <w:t>,</w:t>
      </w:r>
      <w:r w:rsidR="00B23798" w:rsidRPr="00AC4363">
        <w:t xml:space="preserve"> 2006; Kline</w:t>
      </w:r>
      <w:r w:rsidR="00E91941" w:rsidRPr="00AC4363">
        <w:t>,</w:t>
      </w:r>
      <w:r w:rsidR="00B23798" w:rsidRPr="00AC4363">
        <w:t xml:space="preserve"> 2016)</w:t>
      </w:r>
      <w:r w:rsidRPr="00AC4363">
        <w:t>.</w:t>
      </w:r>
    </w:p>
    <w:p w14:paraId="21E3C055" w14:textId="43B2B841" w:rsidR="00D56B70" w:rsidRPr="00C47B05" w:rsidRDefault="00D56B70" w:rsidP="007F29C2">
      <w:pPr>
        <w:spacing w:after="0" w:line="360" w:lineRule="auto"/>
        <w:ind w:firstLine="708"/>
        <w:jc w:val="both"/>
        <w:rPr>
          <w:rFonts w:eastAsia="Aptos"/>
          <w:kern w:val="2"/>
          <w:lang w:eastAsia="en-US"/>
          <w14:ligatures w14:val="standardContextual"/>
        </w:rPr>
      </w:pPr>
      <w:r w:rsidRPr="00C47B05">
        <w:rPr>
          <w:rFonts w:eastAsia="Aptos"/>
          <w:kern w:val="2"/>
          <w:lang w:eastAsia="en-US"/>
          <w14:ligatures w14:val="standardContextual"/>
        </w:rPr>
        <w:t>Para interpretar los resultados del AFE, los valores obtenidos para el índice de adecuación muestral de Kaiser-Meyer-Olkin (KMO) y la prueba de esfericidad de Bartlett se comparan con los valores recomendados por Byrne (201</w:t>
      </w:r>
      <w:r w:rsidR="00397AB4">
        <w:rPr>
          <w:rFonts w:eastAsia="Aptos"/>
          <w:kern w:val="2"/>
          <w:lang w:eastAsia="en-US"/>
          <w14:ligatures w14:val="standardContextual"/>
        </w:rPr>
        <w:t>0</w:t>
      </w:r>
      <w:r w:rsidRPr="00C47B05">
        <w:rPr>
          <w:rFonts w:eastAsia="Aptos"/>
          <w:kern w:val="2"/>
          <w:lang w:eastAsia="en-US"/>
          <w14:ligatures w14:val="standardContextual"/>
        </w:rPr>
        <w:t>) y Kline (201</w:t>
      </w:r>
      <w:r w:rsidR="004C59A1">
        <w:rPr>
          <w:rFonts w:eastAsia="Aptos"/>
          <w:kern w:val="2"/>
          <w:lang w:eastAsia="en-US"/>
          <w14:ligatures w14:val="standardContextual"/>
        </w:rPr>
        <w:t>6</w:t>
      </w:r>
      <w:r w:rsidRPr="00C47B05">
        <w:rPr>
          <w:rFonts w:eastAsia="Aptos"/>
          <w:kern w:val="2"/>
          <w:lang w:eastAsia="en-US"/>
          <w14:ligatures w14:val="standardContextual"/>
        </w:rPr>
        <w:t xml:space="preserve">). </w:t>
      </w:r>
    </w:p>
    <w:p w14:paraId="3956531F" w14:textId="13268CA3" w:rsidR="00D56B70" w:rsidRPr="00C47B05" w:rsidRDefault="00D56B70" w:rsidP="00AC4363">
      <w:pPr>
        <w:numPr>
          <w:ilvl w:val="0"/>
          <w:numId w:val="38"/>
        </w:numPr>
        <w:spacing w:after="0" w:line="360" w:lineRule="auto"/>
        <w:ind w:left="714" w:hanging="357"/>
        <w:jc w:val="both"/>
        <w:rPr>
          <w:rFonts w:eastAsia="Aptos"/>
          <w:kern w:val="2"/>
          <w:lang w:eastAsia="en-US"/>
          <w14:ligatures w14:val="standardContextual"/>
        </w:rPr>
      </w:pPr>
      <w:r w:rsidRPr="00C47B05">
        <w:rPr>
          <w:rFonts w:eastAsia="Aptos"/>
          <w:kern w:val="2"/>
          <w:lang w:eastAsia="en-US"/>
          <w14:ligatures w14:val="standardContextual"/>
        </w:rPr>
        <w:t xml:space="preserve">KMO: Un valor superior a 0.80 es considerado excelente, mientras que valores entre 0.70 y 0.79 son aceptables. En la </w:t>
      </w:r>
      <w:r w:rsidR="00B8700B">
        <w:rPr>
          <w:rFonts w:eastAsia="Aptos"/>
          <w:kern w:val="2"/>
          <w:lang w:eastAsia="en-US"/>
          <w14:ligatures w14:val="standardContextual"/>
        </w:rPr>
        <w:t>T</w:t>
      </w:r>
      <w:r w:rsidRPr="00C47B05">
        <w:rPr>
          <w:rFonts w:eastAsia="Aptos"/>
          <w:kern w:val="2"/>
          <w:lang w:eastAsia="en-US"/>
          <w14:ligatures w14:val="standardContextual"/>
        </w:rPr>
        <w:t xml:space="preserve">ablas </w:t>
      </w:r>
      <w:r w:rsidR="00B8700B">
        <w:rPr>
          <w:rFonts w:eastAsia="Aptos"/>
          <w:kern w:val="2"/>
          <w:lang w:eastAsia="en-US"/>
          <w14:ligatures w14:val="standardContextual"/>
        </w:rPr>
        <w:t>5</w:t>
      </w:r>
      <w:r w:rsidRPr="00C47B05">
        <w:rPr>
          <w:rFonts w:eastAsia="Aptos"/>
          <w:kern w:val="2"/>
          <w:lang w:eastAsia="en-US"/>
          <w14:ligatures w14:val="standardContextual"/>
        </w:rPr>
        <w:t xml:space="preserve">, </w:t>
      </w:r>
      <w:r w:rsidR="00B8700B">
        <w:rPr>
          <w:rFonts w:eastAsia="Aptos"/>
          <w:kern w:val="2"/>
          <w:lang w:eastAsia="en-US"/>
          <w14:ligatures w14:val="standardContextual"/>
        </w:rPr>
        <w:t>Tabla 8</w:t>
      </w:r>
      <w:r>
        <w:rPr>
          <w:rFonts w:eastAsia="Aptos"/>
          <w:kern w:val="2"/>
          <w:lang w:eastAsia="en-US"/>
          <w14:ligatures w14:val="standardContextual"/>
        </w:rPr>
        <w:t xml:space="preserve"> </w:t>
      </w:r>
      <w:r w:rsidRPr="00C47B05">
        <w:rPr>
          <w:rFonts w:eastAsia="Aptos"/>
          <w:kern w:val="2"/>
          <w:lang w:eastAsia="en-US"/>
          <w14:ligatures w14:val="standardContextual"/>
        </w:rPr>
        <w:t xml:space="preserve">y </w:t>
      </w:r>
      <w:r w:rsidR="00B8700B">
        <w:rPr>
          <w:rFonts w:eastAsia="Aptos"/>
          <w:kern w:val="2"/>
          <w:lang w:eastAsia="en-US"/>
          <w14:ligatures w14:val="standardContextual"/>
        </w:rPr>
        <w:t>Tabla 11</w:t>
      </w:r>
      <w:r w:rsidRPr="00C47B05">
        <w:rPr>
          <w:rFonts w:eastAsia="Aptos"/>
          <w:kern w:val="2"/>
          <w:lang w:eastAsia="en-US"/>
          <w14:ligatures w14:val="standardContextual"/>
        </w:rPr>
        <w:t>, los valores de KMO se encuentran en rangos de 0.956 a 0.974, lo que indica una adecuación muestral muy alta para las once variables latentes de las tres dimensiones. Esto respalda la aplicabilidad del análisis factorial.</w:t>
      </w:r>
    </w:p>
    <w:p w14:paraId="3FBFA8B9" w14:textId="3DF3A6D1" w:rsidR="00D56B70" w:rsidRPr="00C47B05" w:rsidRDefault="00D56B70" w:rsidP="00AC4363">
      <w:pPr>
        <w:numPr>
          <w:ilvl w:val="0"/>
          <w:numId w:val="38"/>
        </w:numPr>
        <w:spacing w:after="0" w:line="360" w:lineRule="auto"/>
        <w:ind w:left="714" w:hanging="357"/>
        <w:jc w:val="both"/>
        <w:rPr>
          <w:rFonts w:eastAsia="Aptos"/>
          <w:kern w:val="2"/>
          <w:lang w:eastAsia="en-US"/>
          <w14:ligatures w14:val="standardContextual"/>
        </w:rPr>
      </w:pPr>
      <w:r w:rsidRPr="00C47B05">
        <w:rPr>
          <w:rFonts w:eastAsia="Aptos"/>
          <w:kern w:val="2"/>
          <w:lang w:eastAsia="en-US"/>
          <w14:ligatures w14:val="standardContextual"/>
        </w:rPr>
        <w:t>Chi-cuadrado (χ2): En el AFC, un valor de Chi-cuadrado elevado puede indicar un ajuste imperfecto, pero es importante considerar</w:t>
      </w:r>
      <w:r w:rsidR="00DE0978">
        <w:rPr>
          <w:rFonts w:eastAsia="Aptos"/>
          <w:kern w:val="2"/>
          <w:lang w:eastAsia="en-US"/>
          <w14:ligatures w14:val="standardContextual"/>
        </w:rPr>
        <w:t xml:space="preserve"> esta situación</w:t>
      </w:r>
      <w:r w:rsidRPr="00C47B05">
        <w:rPr>
          <w:rFonts w:eastAsia="Aptos"/>
          <w:kern w:val="2"/>
          <w:lang w:eastAsia="en-US"/>
          <w14:ligatures w14:val="standardContextual"/>
        </w:rPr>
        <w:t xml:space="preserve"> en relación con el tamaño de la muestra. Con 337 estudiantes, los valores de Chi-cuadrado reportados son significativo</w:t>
      </w:r>
      <w:r w:rsidR="00E91941">
        <w:rPr>
          <w:rFonts w:eastAsia="Aptos"/>
          <w:kern w:val="2"/>
          <w:lang w:eastAsia="en-US"/>
          <w14:ligatures w14:val="standardContextual"/>
        </w:rPr>
        <w:t>s</w:t>
      </w:r>
      <w:r w:rsidRPr="00C47B05">
        <w:rPr>
          <w:rFonts w:eastAsia="Aptos"/>
          <w:kern w:val="2"/>
          <w:lang w:eastAsia="en-US"/>
          <w14:ligatures w14:val="standardContextual"/>
        </w:rPr>
        <w:t xml:space="preserve">, lo que sugiere una discrepancia entre el modelo y los datos observados. Sin embargo, debido a la sensibilidad de χ2 al tamaño muestral, se recomienda evaluar en conjunto otros índices de ajuste como CFI (&gt;0.90) y RMSEA (&lt;0.08) para determinar la calidad del modelo teórico. </w:t>
      </w:r>
    </w:p>
    <w:p w14:paraId="69D5B48D" w14:textId="4D87F71E" w:rsidR="00B82D61" w:rsidRDefault="00B82D61" w:rsidP="007F29C2">
      <w:pPr>
        <w:spacing w:after="0" w:line="360" w:lineRule="auto"/>
        <w:ind w:firstLine="708"/>
        <w:jc w:val="both"/>
        <w:rPr>
          <w:rFonts w:eastAsia="Aptos"/>
          <w:kern w:val="2"/>
          <w:lang w:eastAsia="en-US"/>
          <w14:ligatures w14:val="standardContextual"/>
        </w:rPr>
      </w:pPr>
      <w:r>
        <w:rPr>
          <w:rFonts w:eastAsia="Aptos"/>
          <w:kern w:val="2"/>
          <w:lang w:eastAsia="en-US"/>
          <w14:ligatures w14:val="standardContextual"/>
        </w:rPr>
        <w:lastRenderedPageBreak/>
        <w:t xml:space="preserve">La </w:t>
      </w:r>
      <w:r w:rsidR="00EA055A" w:rsidRPr="00C47B05">
        <w:rPr>
          <w:rFonts w:eastAsia="Aptos"/>
          <w:kern w:val="2"/>
          <w:lang w:eastAsia="en-US"/>
          <w14:ligatures w14:val="standardContextual"/>
        </w:rPr>
        <w:t>Prueba de Bartlett</w:t>
      </w:r>
      <w:r>
        <w:rPr>
          <w:rFonts w:eastAsia="Aptos"/>
          <w:kern w:val="2"/>
          <w:lang w:eastAsia="en-US"/>
          <w14:ligatures w14:val="standardContextual"/>
        </w:rPr>
        <w:t xml:space="preserve"> con un </w:t>
      </w:r>
      <w:r w:rsidR="00EA055A" w:rsidRPr="00C47B05">
        <w:rPr>
          <w:rFonts w:eastAsia="Aptos"/>
          <w:kern w:val="2"/>
          <w:lang w:eastAsia="en-US"/>
          <w14:ligatures w14:val="standardContextual"/>
        </w:rPr>
        <w:t xml:space="preserve">valor </w:t>
      </w:r>
      <w:r w:rsidR="00EA055A" w:rsidRPr="00DE0978">
        <w:rPr>
          <w:rFonts w:eastAsia="Aptos"/>
          <w:i/>
          <w:iCs/>
          <w:kern w:val="2"/>
          <w:lang w:eastAsia="en-US"/>
          <w14:ligatures w14:val="standardContextual"/>
        </w:rPr>
        <w:t>p</w:t>
      </w:r>
      <w:r w:rsidR="00EA055A" w:rsidRPr="00C47B05">
        <w:rPr>
          <w:rFonts w:eastAsia="Aptos"/>
          <w:kern w:val="2"/>
          <w:lang w:eastAsia="en-US"/>
          <w14:ligatures w14:val="standardContextual"/>
        </w:rPr>
        <w:t xml:space="preserve"> menor a 0.05 indica que las correlaciones entre las variables son lo suficientemente fuertes para justificar el AFE. En el estudio, todos los valores obtenidos para las tres dimensiones son significativos (</w:t>
      </w:r>
      <w:r w:rsidR="00EA055A" w:rsidRPr="00DE0978">
        <w:rPr>
          <w:rFonts w:eastAsia="Aptos"/>
          <w:i/>
          <w:iCs/>
          <w:kern w:val="2"/>
          <w:lang w:eastAsia="en-US"/>
          <w14:ligatures w14:val="standardContextual"/>
        </w:rPr>
        <w:t>p</w:t>
      </w:r>
      <w:r w:rsidR="00EA055A" w:rsidRPr="00C47B05">
        <w:rPr>
          <w:rFonts w:eastAsia="Aptos"/>
          <w:kern w:val="2"/>
          <w:lang w:eastAsia="en-US"/>
          <w14:ligatures w14:val="standardContextual"/>
        </w:rPr>
        <w:t xml:space="preserve"> &lt; 0.00</w:t>
      </w:r>
      <w:r w:rsidR="00B8700B">
        <w:rPr>
          <w:rFonts w:eastAsia="Aptos"/>
          <w:kern w:val="2"/>
          <w:lang w:eastAsia="en-US"/>
          <w14:ligatures w14:val="standardContextual"/>
        </w:rPr>
        <w:t>1</w:t>
      </w:r>
      <w:r w:rsidR="00EA055A" w:rsidRPr="00C47B05">
        <w:rPr>
          <w:rFonts w:eastAsia="Aptos"/>
          <w:kern w:val="2"/>
          <w:lang w:eastAsia="en-US"/>
          <w14:ligatures w14:val="standardContextual"/>
        </w:rPr>
        <w:t>), lo que respalda la viabilidad del análisis factorial.</w:t>
      </w:r>
      <w:r>
        <w:rPr>
          <w:rFonts w:eastAsia="Aptos"/>
          <w:kern w:val="2"/>
          <w:lang w:eastAsia="en-US"/>
          <w14:ligatures w14:val="standardContextual"/>
        </w:rPr>
        <w:t xml:space="preserve"> En el mismo sentido, la </w:t>
      </w:r>
      <w:r w:rsidR="00DE0978">
        <w:rPr>
          <w:rFonts w:eastAsia="Aptos"/>
          <w:kern w:val="2"/>
          <w:lang w:eastAsia="en-US"/>
          <w14:ligatures w14:val="standardContextual"/>
        </w:rPr>
        <w:t>v</w:t>
      </w:r>
      <w:r w:rsidR="00EA055A" w:rsidRPr="00C47B05">
        <w:rPr>
          <w:rFonts w:eastAsia="Aptos"/>
          <w:kern w:val="2"/>
          <w:lang w:eastAsia="en-US"/>
          <w14:ligatures w14:val="standardContextual"/>
        </w:rPr>
        <w:t>arianza explicada</w:t>
      </w:r>
      <w:r>
        <w:rPr>
          <w:rFonts w:eastAsia="Aptos"/>
          <w:kern w:val="2"/>
          <w:lang w:eastAsia="en-US"/>
          <w14:ligatures w14:val="standardContextual"/>
        </w:rPr>
        <w:t xml:space="preserve"> como medida de calidad de un instrumento, s</w:t>
      </w:r>
      <w:r w:rsidR="00EA055A" w:rsidRPr="00C47B05">
        <w:rPr>
          <w:rFonts w:eastAsia="Aptos"/>
          <w:kern w:val="2"/>
          <w:lang w:eastAsia="en-US"/>
          <w14:ligatures w14:val="standardContextual"/>
        </w:rPr>
        <w:t>egún Kline (201</w:t>
      </w:r>
      <w:r w:rsidR="004C59A1">
        <w:rPr>
          <w:rFonts w:eastAsia="Aptos"/>
          <w:kern w:val="2"/>
          <w:lang w:eastAsia="en-US"/>
          <w14:ligatures w14:val="standardContextual"/>
        </w:rPr>
        <w:t>6</w:t>
      </w:r>
      <w:r w:rsidR="00EA055A" w:rsidRPr="00C47B05">
        <w:rPr>
          <w:rFonts w:eastAsia="Aptos"/>
          <w:kern w:val="2"/>
          <w:lang w:eastAsia="en-US"/>
          <w14:ligatures w14:val="standardContextual"/>
        </w:rPr>
        <w:t xml:space="preserve">), </w:t>
      </w:r>
      <w:r w:rsidR="00DE0978">
        <w:rPr>
          <w:rFonts w:eastAsia="Aptos"/>
          <w:kern w:val="2"/>
          <w:lang w:eastAsia="en-US"/>
          <w14:ligatures w14:val="standardContextual"/>
        </w:rPr>
        <w:t>es deseable que tenga un</w:t>
      </w:r>
      <w:r>
        <w:rPr>
          <w:rFonts w:eastAsia="Aptos"/>
          <w:kern w:val="2"/>
          <w:lang w:eastAsia="en-US"/>
          <w14:ligatures w14:val="standardContextual"/>
        </w:rPr>
        <w:t xml:space="preserve"> valor</w:t>
      </w:r>
      <w:r w:rsidR="00EA055A" w:rsidRPr="00C47B05">
        <w:rPr>
          <w:rFonts w:eastAsia="Aptos"/>
          <w:kern w:val="2"/>
          <w:lang w:eastAsia="en-US"/>
          <w14:ligatures w14:val="standardContextual"/>
        </w:rPr>
        <w:t xml:space="preserve"> mayor al 60% en modelos factoriales. Los valores obtenidos en las dimensiones del estudio (63.75%, 66.73%, 72.69%) indican que la estructura factorial es apropiada y que los factores identificados explican una gran parte de</w:t>
      </w:r>
      <w:r w:rsidR="00063D96">
        <w:rPr>
          <w:rFonts w:eastAsia="Aptos"/>
          <w:kern w:val="2"/>
          <w:lang w:eastAsia="en-US"/>
          <w14:ligatures w14:val="standardContextual"/>
        </w:rPr>
        <w:t xml:space="preserve">l </w:t>
      </w:r>
      <w:r w:rsidR="00A626B1">
        <w:rPr>
          <w:rFonts w:eastAsia="Aptos"/>
          <w:kern w:val="2"/>
          <w:lang w:eastAsia="en-US"/>
          <w14:ligatures w14:val="standardContextual"/>
        </w:rPr>
        <w:t xml:space="preserve">porcentaje </w:t>
      </w:r>
      <w:r w:rsidR="00063D96">
        <w:rPr>
          <w:rFonts w:eastAsia="Aptos"/>
          <w:kern w:val="2"/>
          <w:lang w:eastAsia="en-US"/>
          <w14:ligatures w14:val="standardContextual"/>
        </w:rPr>
        <w:t>de</w:t>
      </w:r>
      <w:r w:rsidR="00EA055A" w:rsidRPr="00C47B05">
        <w:rPr>
          <w:rFonts w:eastAsia="Aptos"/>
          <w:kern w:val="2"/>
          <w:lang w:eastAsia="en-US"/>
          <w14:ligatures w14:val="standardContextual"/>
        </w:rPr>
        <w:t xml:space="preserve"> la varianza en los datos.</w:t>
      </w:r>
      <w:r>
        <w:rPr>
          <w:rFonts w:eastAsia="Aptos"/>
          <w:kern w:val="2"/>
          <w:lang w:eastAsia="en-US"/>
          <w14:ligatures w14:val="standardContextual"/>
        </w:rPr>
        <w:t xml:space="preserve"> En adición, </w:t>
      </w:r>
      <w:r w:rsidR="00EA055A" w:rsidRPr="00C47B05">
        <w:rPr>
          <w:rFonts w:eastAsia="Aptos"/>
          <w:kern w:val="2"/>
          <w:lang w:eastAsia="en-US"/>
          <w14:ligatures w14:val="standardContextual"/>
        </w:rPr>
        <w:t>Byrne (201</w:t>
      </w:r>
      <w:r w:rsidR="00397AB4">
        <w:rPr>
          <w:rFonts w:eastAsia="Aptos"/>
          <w:kern w:val="2"/>
          <w:lang w:eastAsia="en-US"/>
          <w14:ligatures w14:val="standardContextual"/>
        </w:rPr>
        <w:t>0</w:t>
      </w:r>
      <w:r w:rsidR="00EA055A" w:rsidRPr="00C47B05">
        <w:rPr>
          <w:rFonts w:eastAsia="Aptos"/>
          <w:kern w:val="2"/>
          <w:lang w:eastAsia="en-US"/>
          <w14:ligatures w14:val="standardContextual"/>
        </w:rPr>
        <w:t xml:space="preserve">) sugiere que cargas factoriales mayores a 0.50 son aceptables y mayores a 0.70 son excelentes. En el </w:t>
      </w:r>
      <w:r w:rsidR="00D56B70">
        <w:rPr>
          <w:rFonts w:eastAsia="Aptos"/>
          <w:kern w:val="2"/>
          <w:lang w:eastAsia="en-US"/>
          <w14:ligatures w14:val="standardContextual"/>
        </w:rPr>
        <w:t>instrumento de evaluación</w:t>
      </w:r>
      <w:r w:rsidR="00EA055A" w:rsidRPr="00C47B05">
        <w:rPr>
          <w:rFonts w:eastAsia="Aptos"/>
          <w:kern w:val="2"/>
          <w:lang w:eastAsia="en-US"/>
          <w14:ligatures w14:val="standardContextual"/>
        </w:rPr>
        <w:t>, la mayoría de las cargas factoriales superan el umbral de 0.70, lo que sugiere que los ítems están bien relacionados con sus factores respectivos</w:t>
      </w:r>
      <w:r>
        <w:rPr>
          <w:rFonts w:eastAsia="Aptos"/>
          <w:kern w:val="2"/>
          <w:lang w:eastAsia="en-US"/>
          <w14:ligatures w14:val="standardContextual"/>
        </w:rPr>
        <w:t>.</w:t>
      </w:r>
    </w:p>
    <w:p w14:paraId="6B47E68F" w14:textId="298A417A" w:rsidR="00B82D61" w:rsidRPr="00FE0969" w:rsidRDefault="00B82D61" w:rsidP="007F29C2">
      <w:pPr>
        <w:spacing w:after="0" w:line="360" w:lineRule="auto"/>
        <w:ind w:firstLine="708"/>
        <w:jc w:val="both"/>
      </w:pPr>
      <w:r>
        <w:rPr>
          <w:rFonts w:eastAsia="Aptos"/>
          <w:kern w:val="2"/>
          <w:lang w:eastAsia="en-US"/>
          <w14:ligatures w14:val="standardContextual"/>
        </w:rPr>
        <w:t xml:space="preserve">Finalmente, para </w:t>
      </w:r>
      <w:r w:rsidR="00C47B05" w:rsidRPr="00C47B05">
        <w:rPr>
          <w:rFonts w:eastAsia="Aptos"/>
          <w:kern w:val="2"/>
          <w:lang w:eastAsia="en-US"/>
          <w14:ligatures w14:val="standardContextual"/>
        </w:rPr>
        <w:t>evaluar la validez de constructo del modelo teórico del instrumento de evaluación</w:t>
      </w:r>
      <w:r>
        <w:rPr>
          <w:rFonts w:eastAsia="Aptos"/>
          <w:kern w:val="2"/>
          <w:lang w:eastAsia="en-US"/>
          <w14:ligatures w14:val="standardContextual"/>
        </w:rPr>
        <w:t xml:space="preserve"> se probó la hipótesis cuatro. </w:t>
      </w:r>
      <w:r w:rsidRPr="00FE0969">
        <w:t xml:space="preserve">El </w:t>
      </w:r>
      <w:r w:rsidR="00DE0978">
        <w:t>análisis factorial confirmatorio</w:t>
      </w:r>
      <w:r w:rsidRPr="00FE0969">
        <w:t xml:space="preserve"> sirvió para evaluar la validez de constructo y </w:t>
      </w:r>
      <w:r w:rsidR="00047F9C">
        <w:t xml:space="preserve">validez </w:t>
      </w:r>
      <w:r w:rsidRPr="00FE0969">
        <w:t>discriminante del modelo final con ocho variables latentes.</w:t>
      </w:r>
    </w:p>
    <w:p w14:paraId="4064F6FB" w14:textId="0C11CED6" w:rsidR="00B82D61" w:rsidRPr="00AC4363" w:rsidRDefault="00B82D61" w:rsidP="00AC4363">
      <w:pPr>
        <w:numPr>
          <w:ilvl w:val="0"/>
          <w:numId w:val="44"/>
        </w:numPr>
        <w:spacing w:after="0" w:line="360" w:lineRule="auto"/>
        <w:jc w:val="both"/>
      </w:pPr>
      <w:r w:rsidRPr="00AC4363">
        <w:t xml:space="preserve">Validez de constructo: Se refiere al grado en que el instrumento mide los constructos teóricos que pretende medir. El AFC confirmó la validez de constructo al demostrar un buen ajuste entre el modelo </w:t>
      </w:r>
      <w:r w:rsidR="00047F9C" w:rsidRPr="00AC4363">
        <w:t xml:space="preserve">teórico </w:t>
      </w:r>
      <w:r w:rsidRPr="00AC4363">
        <w:t>y los datos, utilizando índices como CFI, TLI y RMSEA.</w:t>
      </w:r>
    </w:p>
    <w:p w14:paraId="332BE0C4" w14:textId="6178475E" w:rsidR="00B23798" w:rsidRPr="00AC4363" w:rsidRDefault="00B82D61" w:rsidP="00AC4363">
      <w:pPr>
        <w:numPr>
          <w:ilvl w:val="0"/>
          <w:numId w:val="44"/>
        </w:numPr>
        <w:spacing w:after="0" w:line="360" w:lineRule="auto"/>
        <w:jc w:val="both"/>
        <w:rPr>
          <w:rFonts w:eastAsia="Aptos"/>
          <w:kern w:val="2"/>
          <w:lang w:eastAsia="en-US"/>
          <w14:ligatures w14:val="standardContextual"/>
        </w:rPr>
      </w:pPr>
      <w:r w:rsidRPr="00AC4363">
        <w:t xml:space="preserve">Validez discriminante: Indica el grado en que los factores latentes son distintos entre sí. </w:t>
      </w:r>
    </w:p>
    <w:p w14:paraId="4A803B3A" w14:textId="173B4C0F" w:rsidR="004C11EC" w:rsidRDefault="004C11EC" w:rsidP="004C11EC">
      <w:pPr>
        <w:spacing w:after="0" w:line="360" w:lineRule="auto"/>
        <w:ind w:firstLine="708"/>
        <w:jc w:val="both"/>
      </w:pPr>
      <w:r>
        <w:t>Los resultados de</w:t>
      </w:r>
      <w:r w:rsidR="00B82D61" w:rsidRPr="00FE0969">
        <w:t>l AFC</w:t>
      </w:r>
      <w:r>
        <w:t xml:space="preserve">, al incluir varios valores de covarianzas / correlaciones por arriba de </w:t>
      </w:r>
      <w:r w:rsidR="002C2BA6">
        <w:t xml:space="preserve">0.85, sugieren que deben realizarse acciones </w:t>
      </w:r>
      <w:r w:rsidR="00A65ADB">
        <w:t xml:space="preserve">como las siguientes </w:t>
      </w:r>
      <w:r w:rsidR="002C2BA6">
        <w:t>en el instrumento final, con la finalidad de mejorar la validez discriminante</w:t>
      </w:r>
      <w:r w:rsidR="00A65ADB">
        <w:t>.</w:t>
      </w:r>
    </w:p>
    <w:p w14:paraId="78BC4D92" w14:textId="7C17EE22" w:rsidR="004C11EC" w:rsidRPr="00AC4363" w:rsidRDefault="004C11EC" w:rsidP="00AC4363">
      <w:pPr>
        <w:pStyle w:val="Prrafodelista"/>
        <w:numPr>
          <w:ilvl w:val="0"/>
          <w:numId w:val="47"/>
        </w:numPr>
        <w:spacing w:after="0" w:line="360" w:lineRule="auto"/>
        <w:ind w:left="714" w:hanging="357"/>
        <w:rPr>
          <w:rFonts w:ascii="Times New Roman" w:hAnsi="Times New Roman" w:cs="Times New Roman"/>
        </w:rPr>
      </w:pPr>
      <w:r w:rsidRPr="00AC4363">
        <w:rPr>
          <w:rFonts w:ascii="Times New Roman" w:hAnsi="Times New Roman" w:cs="Times New Roman"/>
        </w:rPr>
        <w:t>Revisión conceptual: Analiza</w:t>
      </w:r>
      <w:r w:rsidR="002C2BA6" w:rsidRPr="00AC4363">
        <w:rPr>
          <w:rFonts w:ascii="Times New Roman" w:hAnsi="Times New Roman" w:cs="Times New Roman"/>
        </w:rPr>
        <w:t>r</w:t>
      </w:r>
      <w:r w:rsidRPr="00AC4363">
        <w:rPr>
          <w:rFonts w:ascii="Times New Roman" w:hAnsi="Times New Roman" w:cs="Times New Roman"/>
        </w:rPr>
        <w:t xml:space="preserve"> si los constructos realmente son distintos. Si en la teoría son casi idénticos, quizá convenga fusionarlos en uno solo.</w:t>
      </w:r>
    </w:p>
    <w:p w14:paraId="6AF8CF73" w14:textId="3D17948C" w:rsidR="004C11EC" w:rsidRPr="00AC4363" w:rsidRDefault="004C11EC" w:rsidP="00AC4363">
      <w:pPr>
        <w:pStyle w:val="Prrafodelista"/>
        <w:numPr>
          <w:ilvl w:val="0"/>
          <w:numId w:val="47"/>
        </w:numPr>
        <w:spacing w:after="0" w:line="360" w:lineRule="auto"/>
        <w:ind w:left="714" w:hanging="357"/>
        <w:rPr>
          <w:rFonts w:ascii="Times New Roman" w:hAnsi="Times New Roman" w:cs="Times New Roman"/>
        </w:rPr>
      </w:pPr>
      <w:r w:rsidRPr="00AC4363">
        <w:rPr>
          <w:rFonts w:ascii="Times New Roman" w:hAnsi="Times New Roman" w:cs="Times New Roman"/>
        </w:rPr>
        <w:t>Depuración de ítem</w:t>
      </w:r>
      <w:r w:rsidR="002C2BA6" w:rsidRPr="00AC4363">
        <w:rPr>
          <w:rFonts w:ascii="Times New Roman" w:hAnsi="Times New Roman" w:cs="Times New Roman"/>
        </w:rPr>
        <w:t>s:</w:t>
      </w:r>
      <w:r w:rsidRPr="00AC4363">
        <w:rPr>
          <w:rFonts w:ascii="Times New Roman" w:hAnsi="Times New Roman" w:cs="Times New Roman"/>
        </w:rPr>
        <w:t xml:space="preserve"> Revisa</w:t>
      </w:r>
      <w:r w:rsidR="002C2BA6" w:rsidRPr="00AC4363">
        <w:rPr>
          <w:rFonts w:ascii="Times New Roman" w:hAnsi="Times New Roman" w:cs="Times New Roman"/>
        </w:rPr>
        <w:t>r</w:t>
      </w:r>
      <w:r w:rsidRPr="00AC4363">
        <w:rPr>
          <w:rFonts w:ascii="Times New Roman" w:hAnsi="Times New Roman" w:cs="Times New Roman"/>
        </w:rPr>
        <w:t xml:space="preserve"> si algunos reactivos están repetidos en sentido semántico. Podría eliminarse uno de cada par redundante, conservando el que mejor represente el constructo.</w:t>
      </w:r>
    </w:p>
    <w:p w14:paraId="663B60E4" w14:textId="2F4AF7FA" w:rsidR="004C11EC" w:rsidRPr="00AC4363" w:rsidRDefault="004C11EC" w:rsidP="00AC4363">
      <w:pPr>
        <w:pStyle w:val="Prrafodelista"/>
        <w:numPr>
          <w:ilvl w:val="0"/>
          <w:numId w:val="47"/>
        </w:numPr>
        <w:spacing w:after="0" w:line="360" w:lineRule="auto"/>
        <w:ind w:left="714" w:hanging="357"/>
        <w:rPr>
          <w:rFonts w:ascii="Times New Roman" w:hAnsi="Times New Roman" w:cs="Times New Roman"/>
        </w:rPr>
      </w:pPr>
      <w:r w:rsidRPr="00AC4363">
        <w:rPr>
          <w:rFonts w:ascii="Times New Roman" w:hAnsi="Times New Roman" w:cs="Times New Roman"/>
        </w:rPr>
        <w:t>Evaluar índices alternativos de discriminanci</w:t>
      </w:r>
      <w:r w:rsidR="002C2BA6" w:rsidRPr="00AC4363">
        <w:rPr>
          <w:rFonts w:ascii="Times New Roman" w:hAnsi="Times New Roman" w:cs="Times New Roman"/>
        </w:rPr>
        <w:t>a:</w:t>
      </w:r>
      <w:r w:rsidRPr="00AC4363">
        <w:rPr>
          <w:rFonts w:ascii="Times New Roman" w:hAnsi="Times New Roman" w:cs="Times New Roman"/>
        </w:rPr>
        <w:t xml:space="preserve"> Usa</w:t>
      </w:r>
      <w:r w:rsidR="002C2BA6" w:rsidRPr="00AC4363">
        <w:rPr>
          <w:rFonts w:ascii="Times New Roman" w:hAnsi="Times New Roman" w:cs="Times New Roman"/>
        </w:rPr>
        <w:t>r</w:t>
      </w:r>
      <w:r w:rsidRPr="00AC4363">
        <w:rPr>
          <w:rFonts w:ascii="Times New Roman" w:hAnsi="Times New Roman" w:cs="Times New Roman"/>
        </w:rPr>
        <w:t xml:space="preserve"> criterios como Fornell-Larcker (varianza extraída promedio, AVE) o la relación HTMT (Heterotrait-Monotrait). Si </w:t>
      </w:r>
      <w:r w:rsidRPr="00AC4363">
        <w:rPr>
          <w:rFonts w:ascii="Times New Roman" w:hAnsi="Times New Roman" w:cs="Times New Roman"/>
        </w:rPr>
        <w:lastRenderedPageBreak/>
        <w:t>estos índices también muestran problemas, se confirma la falta de discriminancia</w:t>
      </w:r>
      <w:r w:rsidR="002C2BA6" w:rsidRPr="00AC4363">
        <w:rPr>
          <w:rFonts w:ascii="Times New Roman" w:hAnsi="Times New Roman" w:cs="Times New Roman"/>
        </w:rPr>
        <w:t xml:space="preserve"> Kline, (2016) y Hair et al., 2019)</w:t>
      </w:r>
    </w:p>
    <w:p w14:paraId="0E70E509" w14:textId="5E571F0D" w:rsidR="00B23798" w:rsidRDefault="00CF5B2C" w:rsidP="007F29C2">
      <w:pPr>
        <w:spacing w:after="0" w:line="360" w:lineRule="auto"/>
        <w:ind w:firstLine="708"/>
        <w:jc w:val="both"/>
        <w:rPr>
          <w:rFonts w:eastAsia="Aptos"/>
          <w:kern w:val="2"/>
          <w:lang w:eastAsia="en-US"/>
          <w14:ligatures w14:val="standardContextual"/>
        </w:rPr>
      </w:pPr>
      <w:r>
        <w:rPr>
          <w:rFonts w:eastAsia="Aptos"/>
          <w:kern w:val="2"/>
          <w:lang w:eastAsia="en-US"/>
          <w14:ligatures w14:val="standardContextual"/>
        </w:rPr>
        <w:t xml:space="preserve">Al confirmarse el modelo teórico después de la reducción de dimensionalidad, la justificación para la fusión del </w:t>
      </w:r>
      <w:r w:rsidRPr="00E91941">
        <w:rPr>
          <w:rFonts w:eastAsia="Aptos"/>
          <w:i/>
          <w:iCs/>
          <w:kern w:val="2"/>
          <w:lang w:eastAsia="en-US"/>
          <w14:ligatures w14:val="standardContextual"/>
        </w:rPr>
        <w:t>Pensamiento crítico y sistémico</w:t>
      </w:r>
      <w:r>
        <w:rPr>
          <w:rFonts w:eastAsia="Aptos"/>
          <w:kern w:val="2"/>
          <w:lang w:eastAsia="en-US"/>
          <w14:ligatures w14:val="standardContextual"/>
        </w:rPr>
        <w:t xml:space="preserve"> en un único factor se debe a la relación concurrente entre am</w:t>
      </w:r>
      <w:r w:rsidR="0080016B">
        <w:rPr>
          <w:rFonts w:eastAsia="Aptos"/>
          <w:kern w:val="2"/>
          <w:lang w:eastAsia="en-US"/>
          <w14:ligatures w14:val="standardContextual"/>
        </w:rPr>
        <w:t>b</w:t>
      </w:r>
      <w:r>
        <w:rPr>
          <w:rFonts w:eastAsia="Aptos"/>
          <w:kern w:val="2"/>
          <w:lang w:eastAsia="en-US"/>
          <w14:ligatures w14:val="standardContextual"/>
        </w:rPr>
        <w:t>os tipos de pensamiento.</w:t>
      </w:r>
      <w:r w:rsidR="00B23798">
        <w:rPr>
          <w:rFonts w:eastAsia="Aptos"/>
          <w:kern w:val="2"/>
          <w:lang w:eastAsia="en-US"/>
          <w14:ligatures w14:val="standardContextual"/>
        </w:rPr>
        <w:t xml:space="preserve"> Esto está de acuerdo con el modelo educativo del TecNM</w:t>
      </w:r>
      <w:r w:rsidR="00F363D5">
        <w:rPr>
          <w:rFonts w:eastAsia="Aptos"/>
          <w:kern w:val="2"/>
          <w:lang w:eastAsia="en-US"/>
          <w14:ligatures w14:val="standardContextual"/>
        </w:rPr>
        <w:t>,</w:t>
      </w:r>
      <w:r w:rsidR="00B23798">
        <w:rPr>
          <w:rFonts w:eastAsia="Aptos"/>
          <w:kern w:val="2"/>
          <w:lang w:eastAsia="en-US"/>
          <w14:ligatures w14:val="standardContextual"/>
        </w:rPr>
        <w:t xml:space="preserve"> </w:t>
      </w:r>
      <w:r w:rsidR="00B23798" w:rsidRPr="00F363D5">
        <w:rPr>
          <w:rFonts w:eastAsia="Aptos"/>
          <w:i/>
          <w:iCs/>
          <w:kern w:val="2"/>
          <w:lang w:eastAsia="en-US"/>
          <w14:ligatures w14:val="standardContextual"/>
        </w:rPr>
        <w:t>Humanismo para la Justicia Social</w:t>
      </w:r>
      <w:r w:rsidR="00CD0CF9">
        <w:rPr>
          <w:rFonts w:eastAsia="Aptos"/>
          <w:kern w:val="2"/>
          <w:lang w:eastAsia="en-US"/>
          <w14:ligatures w14:val="standardContextual"/>
        </w:rPr>
        <w:t xml:space="preserve">, en su Modelo de Pensamiento Crítico para la Educación Tecnológica, desde la perspectiva </w:t>
      </w:r>
      <w:r w:rsidR="00106D7D">
        <w:rPr>
          <w:rFonts w:eastAsia="Aptos"/>
          <w:kern w:val="2"/>
          <w:lang w:eastAsia="en-US"/>
          <w14:ligatures w14:val="standardContextual"/>
        </w:rPr>
        <w:t xml:space="preserve">circular sistémica, de análisis y síntesis, la </w:t>
      </w:r>
      <w:r w:rsidR="00F363D5">
        <w:rPr>
          <w:rFonts w:eastAsia="Aptos"/>
          <w:kern w:val="2"/>
          <w:lang w:eastAsia="en-US"/>
          <w14:ligatures w14:val="standardContextual"/>
        </w:rPr>
        <w:t>c</w:t>
      </w:r>
      <w:r w:rsidR="00106D7D">
        <w:rPr>
          <w:rFonts w:eastAsia="Aptos"/>
          <w:kern w:val="2"/>
          <w:lang w:eastAsia="en-US"/>
          <w14:ligatures w14:val="standardContextual"/>
        </w:rPr>
        <w:t>ontrastación y confrontación de ideas, la retroalimentación y la construcción de conocimientos nuevos (TecNM, 202</w:t>
      </w:r>
      <w:r w:rsidR="00CC4CC5">
        <w:rPr>
          <w:rFonts w:eastAsia="Aptos"/>
          <w:kern w:val="2"/>
          <w:lang w:eastAsia="en-US"/>
          <w14:ligatures w14:val="standardContextual"/>
        </w:rPr>
        <w:t>4</w:t>
      </w:r>
      <w:r w:rsidR="00106D7D">
        <w:rPr>
          <w:rFonts w:eastAsia="Aptos"/>
          <w:kern w:val="2"/>
          <w:lang w:eastAsia="en-US"/>
          <w14:ligatures w14:val="standardContextual"/>
        </w:rPr>
        <w:t>, pp. 60-69).</w:t>
      </w:r>
    </w:p>
    <w:p w14:paraId="1D133FB7" w14:textId="6E50DF94" w:rsidR="00CF5B2C" w:rsidRDefault="00CF5B2C" w:rsidP="007F29C2">
      <w:pPr>
        <w:spacing w:after="0" w:line="360" w:lineRule="auto"/>
        <w:ind w:firstLine="708"/>
        <w:jc w:val="both"/>
        <w:rPr>
          <w:rFonts w:eastAsia="Aptos"/>
          <w:kern w:val="2"/>
          <w:lang w:eastAsia="en-US"/>
          <w14:ligatures w14:val="standardContextual"/>
        </w:rPr>
      </w:pPr>
      <w:r>
        <w:rPr>
          <w:rFonts w:eastAsia="Aptos"/>
          <w:kern w:val="2"/>
          <w:lang w:eastAsia="en-US"/>
          <w14:ligatures w14:val="standardContextual"/>
        </w:rPr>
        <w:t>En este sentido,</w:t>
      </w:r>
      <w:r w:rsidR="00F363D5">
        <w:rPr>
          <w:rFonts w:eastAsia="Aptos"/>
          <w:kern w:val="2"/>
          <w:lang w:eastAsia="en-US"/>
          <w14:ligatures w14:val="standardContextual"/>
        </w:rPr>
        <w:t xml:space="preserve"> el pensamiento crítico se potencializa con el pensamiento sistémico</w:t>
      </w:r>
      <w:r w:rsidR="00E91941">
        <w:rPr>
          <w:rFonts w:eastAsia="Aptos"/>
          <w:kern w:val="2"/>
          <w:lang w:eastAsia="en-US"/>
          <w14:ligatures w14:val="standardContextual"/>
        </w:rPr>
        <w:t>.</w:t>
      </w:r>
      <w:r w:rsidR="00F363D5">
        <w:rPr>
          <w:rFonts w:eastAsia="Aptos"/>
          <w:kern w:val="2"/>
          <w:lang w:eastAsia="en-US"/>
          <w14:ligatures w14:val="standardContextual"/>
        </w:rPr>
        <w:t xml:space="preserve"> Para</w:t>
      </w:r>
      <w:r>
        <w:rPr>
          <w:rFonts w:eastAsia="Aptos"/>
          <w:kern w:val="2"/>
          <w:lang w:eastAsia="en-US"/>
          <w14:ligatures w14:val="standardContextual"/>
        </w:rPr>
        <w:t xml:space="preserve"> </w:t>
      </w:r>
      <w:r w:rsidR="00595F5E">
        <w:rPr>
          <w:rFonts w:eastAsia="Aptos"/>
          <w:kern w:val="2"/>
          <w:lang w:eastAsia="en-US"/>
          <w14:ligatures w14:val="standardContextual"/>
        </w:rPr>
        <w:fldChar w:fldCharType="begin"/>
      </w:r>
      <w:r w:rsidR="00595F5E">
        <w:rPr>
          <w:rFonts w:eastAsia="Aptos"/>
          <w:kern w:val="2"/>
          <w:lang w:eastAsia="en-US"/>
          <w14:ligatures w14:val="standardContextual"/>
        </w:rPr>
        <w:instrText xml:space="preserve"> ADDIN EN.CITE &lt;EndNote&gt;&lt;Cite&gt;&lt;Author&gt;Senge&lt;/Author&gt;&lt;Year&gt;1996&lt;/Year&gt;&lt;IDText&gt;La quinta disciplina: El arte y la práctica de la organización abierta al aprendizaje&lt;/IDText&gt;&lt;DisplayText&gt;(Senge, 1996)&lt;/DisplayText&gt;&lt;record&gt;&lt;titles&gt;&lt;title&gt;La quinta disciplina: El arte y la práctica de la organización abierta al aprendizaje&lt;/title&gt;&lt;/titles&gt;&lt;contributors&gt;&lt;authors&gt;&lt;author&gt;Senge, P.&lt;/author&gt;&lt;/authors&gt;&lt;/contributors&gt;&lt;added-date format="utc"&gt;1432799498&lt;/added-date&gt;&lt;pub-location&gt;Barcelona España&lt;/pub-location&gt;&lt;ref-type name="Book"&gt;6&lt;/ref-type&gt;&lt;dates&gt;&lt;year&gt;1996&lt;/year&gt;&lt;/dates&gt;&lt;rec-number&gt;679&lt;/rec-number&gt;&lt;publisher&gt;Granica&lt;/publisher&gt;&lt;last-updated-date format="utc"&gt;1443242884&lt;/last-updated-date&gt;&lt;/record&gt;&lt;/Cite&gt;&lt;/EndNote&gt;</w:instrText>
      </w:r>
      <w:r w:rsidR="00595F5E">
        <w:rPr>
          <w:rFonts w:eastAsia="Aptos"/>
          <w:kern w:val="2"/>
          <w:lang w:eastAsia="en-US"/>
          <w14:ligatures w14:val="standardContextual"/>
        </w:rPr>
        <w:fldChar w:fldCharType="separate"/>
      </w:r>
      <w:r w:rsidR="00595F5E">
        <w:rPr>
          <w:rFonts w:eastAsia="Aptos"/>
          <w:noProof/>
          <w:kern w:val="2"/>
          <w:lang w:eastAsia="en-US"/>
          <w14:ligatures w14:val="standardContextual"/>
        </w:rPr>
        <w:t xml:space="preserve">Senge </w:t>
      </w:r>
      <w:r w:rsidR="002C2BA6">
        <w:rPr>
          <w:rFonts w:eastAsia="Aptos"/>
          <w:noProof/>
          <w:kern w:val="2"/>
          <w:lang w:eastAsia="en-US"/>
          <w14:ligatures w14:val="standardContextual"/>
        </w:rPr>
        <w:t>(</w:t>
      </w:r>
      <w:r w:rsidR="00595F5E">
        <w:rPr>
          <w:rFonts w:eastAsia="Aptos"/>
          <w:noProof/>
          <w:kern w:val="2"/>
          <w:lang w:eastAsia="en-US"/>
          <w14:ligatures w14:val="standardContextual"/>
        </w:rPr>
        <w:t>1996)</w:t>
      </w:r>
      <w:r w:rsidR="00595F5E">
        <w:rPr>
          <w:rFonts w:eastAsia="Aptos"/>
          <w:kern w:val="2"/>
          <w:lang w:eastAsia="en-US"/>
          <w14:ligatures w14:val="standardContextual"/>
        </w:rPr>
        <w:fldChar w:fldCharType="end"/>
      </w:r>
      <w:r>
        <w:rPr>
          <w:rFonts w:eastAsia="Aptos"/>
          <w:kern w:val="2"/>
          <w:lang w:eastAsia="en-US"/>
          <w14:ligatures w14:val="standardContextual"/>
        </w:rPr>
        <w:t xml:space="preserve"> el pensamiento sistémico </w:t>
      </w:r>
      <w:r w:rsidR="00FD4BB6">
        <w:rPr>
          <w:rFonts w:eastAsia="Aptos"/>
          <w:kern w:val="2"/>
          <w:lang w:eastAsia="en-US"/>
          <w14:ligatures w14:val="standardContextual"/>
        </w:rPr>
        <w:t>y el</w:t>
      </w:r>
      <w:r>
        <w:rPr>
          <w:rFonts w:eastAsia="Aptos"/>
          <w:kern w:val="2"/>
          <w:lang w:eastAsia="en-US"/>
          <w14:ligatures w14:val="standardContextual"/>
        </w:rPr>
        <w:t xml:space="preserve"> crítico</w:t>
      </w:r>
      <w:r w:rsidR="00FD4BB6">
        <w:rPr>
          <w:rFonts w:eastAsia="Aptos"/>
          <w:kern w:val="2"/>
          <w:lang w:eastAsia="en-US"/>
          <w14:ligatures w14:val="standardContextual"/>
        </w:rPr>
        <w:t xml:space="preserve"> están relacionados</w:t>
      </w:r>
      <w:r>
        <w:rPr>
          <w:rFonts w:eastAsia="Aptos"/>
          <w:kern w:val="2"/>
          <w:lang w:eastAsia="en-US"/>
          <w14:ligatures w14:val="standardContextual"/>
        </w:rPr>
        <w:t xml:space="preserve">. Según </w:t>
      </w:r>
      <w:r w:rsidR="00DE0978">
        <w:rPr>
          <w:rFonts w:eastAsia="Aptos"/>
          <w:kern w:val="2"/>
          <w:lang w:eastAsia="en-US"/>
          <w14:ligatures w14:val="standardContextual"/>
        </w:rPr>
        <w:t>el</w:t>
      </w:r>
      <w:r>
        <w:rPr>
          <w:rFonts w:eastAsia="Aptos"/>
          <w:kern w:val="2"/>
          <w:lang w:eastAsia="en-US"/>
          <w14:ligatures w14:val="standardContextual"/>
        </w:rPr>
        <w:t xml:space="preserve"> autor, el pensamiento sistémico permite </w:t>
      </w:r>
      <w:r w:rsidR="003D0520">
        <w:rPr>
          <w:rFonts w:eastAsia="Aptos"/>
          <w:kern w:val="2"/>
          <w:lang w:eastAsia="en-US"/>
          <w14:ligatures w14:val="standardContextual"/>
        </w:rPr>
        <w:t>la interconexión de elementos dentro de un sistema, favoreciendo un análisis crítico de la información de manera más sistemática y profunda</w:t>
      </w:r>
      <w:r w:rsidR="0080016B">
        <w:rPr>
          <w:rFonts w:eastAsia="Aptos"/>
          <w:kern w:val="2"/>
          <w:lang w:eastAsia="en-US"/>
          <w14:ligatures w14:val="standardContextual"/>
        </w:rPr>
        <w:t xml:space="preserve">. Asimismo, se pueden </w:t>
      </w:r>
      <w:r w:rsidR="003D0520">
        <w:rPr>
          <w:rFonts w:eastAsia="Aptos"/>
          <w:kern w:val="2"/>
          <w:lang w:eastAsia="en-US"/>
          <w14:ligatures w14:val="standardContextual"/>
        </w:rPr>
        <w:t xml:space="preserve">evaluar sus consecuencias para posibilitar la toma de decisiones con base al análisis y síntesis de la información. En contraparte, </w:t>
      </w:r>
      <w:r w:rsidR="003D0520" w:rsidRPr="00595F5E">
        <w:rPr>
          <w:rFonts w:eastAsia="Aptos"/>
          <w:kern w:val="2"/>
          <w:lang w:eastAsia="en-US"/>
          <w14:ligatures w14:val="standardContextual"/>
        </w:rPr>
        <w:t xml:space="preserve">Cabrera </w:t>
      </w:r>
      <w:r w:rsidR="00CB3F10">
        <w:rPr>
          <w:rFonts w:eastAsia="Aptos"/>
          <w:kern w:val="2"/>
          <w:lang w:eastAsia="en-US"/>
          <w14:ligatures w14:val="standardContextual"/>
        </w:rPr>
        <w:t xml:space="preserve">y Cabrera </w:t>
      </w:r>
      <w:r w:rsidR="003D0520" w:rsidRPr="00595F5E">
        <w:rPr>
          <w:rFonts w:eastAsia="Aptos"/>
          <w:kern w:val="2"/>
          <w:lang w:eastAsia="en-US"/>
          <w14:ligatures w14:val="standardContextual"/>
        </w:rPr>
        <w:t xml:space="preserve">(2015) </w:t>
      </w:r>
      <w:r w:rsidR="003D0520">
        <w:rPr>
          <w:rFonts w:eastAsia="Aptos"/>
          <w:kern w:val="2"/>
          <w:lang w:eastAsia="en-US"/>
          <w14:ligatures w14:val="standardContextual"/>
        </w:rPr>
        <w:t>argumenta</w:t>
      </w:r>
      <w:r w:rsidR="00CB3F10">
        <w:rPr>
          <w:rFonts w:eastAsia="Aptos"/>
          <w:kern w:val="2"/>
          <w:lang w:eastAsia="en-US"/>
          <w14:ligatures w14:val="standardContextual"/>
        </w:rPr>
        <w:t>n</w:t>
      </w:r>
      <w:r w:rsidR="003D0520">
        <w:rPr>
          <w:rFonts w:eastAsia="Aptos"/>
          <w:kern w:val="2"/>
          <w:lang w:eastAsia="en-US"/>
          <w14:ligatures w14:val="standardContextual"/>
        </w:rPr>
        <w:t xml:space="preserve"> </w:t>
      </w:r>
      <w:r w:rsidR="00CB3F10">
        <w:rPr>
          <w:rFonts w:eastAsia="Aptos"/>
          <w:kern w:val="2"/>
          <w:lang w:eastAsia="en-US"/>
          <w14:ligatures w14:val="standardContextual"/>
        </w:rPr>
        <w:t xml:space="preserve">que la integración del pensamiento sistémico y el crítico es fundamental en la resolución de problemas, </w:t>
      </w:r>
      <w:r w:rsidR="003D0520">
        <w:rPr>
          <w:rFonts w:eastAsia="Aptos"/>
          <w:kern w:val="2"/>
          <w:lang w:eastAsia="en-US"/>
          <w14:ligatures w14:val="standardContextual"/>
        </w:rPr>
        <w:t>debido a la estrecha relación que proporciona</w:t>
      </w:r>
      <w:r w:rsidR="00DE0978">
        <w:rPr>
          <w:rFonts w:eastAsia="Aptos"/>
          <w:kern w:val="2"/>
          <w:lang w:eastAsia="en-US"/>
          <w14:ligatures w14:val="standardContextual"/>
        </w:rPr>
        <w:t>n</w:t>
      </w:r>
      <w:r w:rsidR="003D0520">
        <w:rPr>
          <w:rFonts w:eastAsia="Aptos"/>
          <w:kern w:val="2"/>
          <w:lang w:eastAsia="en-US"/>
          <w14:ligatures w14:val="standardContextual"/>
        </w:rPr>
        <w:t xml:space="preserve"> para procesar la información. </w:t>
      </w:r>
      <w:r w:rsidR="00CB3F10">
        <w:rPr>
          <w:rFonts w:eastAsia="Aptos"/>
          <w:kern w:val="2"/>
          <w:lang w:eastAsia="en-US"/>
          <w14:ligatures w14:val="standardContextual"/>
        </w:rPr>
        <w:t xml:space="preserve">Los autores señalan que pensamiento sistémico potencia </w:t>
      </w:r>
      <w:r w:rsidR="00B57C5E">
        <w:rPr>
          <w:rFonts w:eastAsia="Aptos"/>
          <w:kern w:val="2"/>
          <w:lang w:eastAsia="en-US"/>
          <w14:ligatures w14:val="standardContextual"/>
        </w:rPr>
        <w:t>al</w:t>
      </w:r>
      <w:r w:rsidR="00CB3F10">
        <w:rPr>
          <w:rFonts w:eastAsia="Aptos"/>
          <w:kern w:val="2"/>
          <w:lang w:eastAsia="en-US"/>
          <w14:ligatures w14:val="standardContextual"/>
        </w:rPr>
        <w:t xml:space="preserve"> pensamiento crítico</w:t>
      </w:r>
      <w:r w:rsidR="00B57C5E">
        <w:rPr>
          <w:rFonts w:eastAsia="Aptos"/>
          <w:kern w:val="2"/>
          <w:lang w:eastAsia="en-US"/>
          <w14:ligatures w14:val="standardContextual"/>
        </w:rPr>
        <w:t>,</w:t>
      </w:r>
      <w:r w:rsidR="00CB3F10">
        <w:rPr>
          <w:rFonts w:eastAsia="Aptos"/>
          <w:kern w:val="2"/>
          <w:lang w:eastAsia="en-US"/>
          <w14:ligatures w14:val="standardContextual"/>
        </w:rPr>
        <w:t xml:space="preserve"> al considerar las interrelaciones y las diversas perspectivas para abordar un problema. </w:t>
      </w:r>
      <w:r w:rsidR="003D0520">
        <w:rPr>
          <w:rFonts w:eastAsia="Aptos"/>
          <w:kern w:val="2"/>
          <w:lang w:eastAsia="en-US"/>
          <w14:ligatures w14:val="standardContextual"/>
        </w:rPr>
        <w:t>El pensamiento crítico, a través del análisis</w:t>
      </w:r>
      <w:r w:rsidR="0080016B">
        <w:rPr>
          <w:rFonts w:eastAsia="Aptos"/>
          <w:kern w:val="2"/>
          <w:lang w:eastAsia="en-US"/>
          <w14:ligatures w14:val="standardContextual"/>
        </w:rPr>
        <w:t xml:space="preserve"> y la inferencia, es esencial para construir y evaluar sistemáticamente los modelos sistémicos. Así que este modelo integral de </w:t>
      </w:r>
      <w:r w:rsidR="006E681B" w:rsidRPr="006E681B">
        <w:rPr>
          <w:rFonts w:eastAsia="Aptos"/>
          <w:i/>
          <w:iCs/>
          <w:kern w:val="2"/>
          <w:lang w:eastAsia="en-US"/>
          <w14:ligatures w14:val="standardContextual"/>
        </w:rPr>
        <w:t>P</w:t>
      </w:r>
      <w:r w:rsidR="0080016B" w:rsidRPr="006E681B">
        <w:rPr>
          <w:rFonts w:eastAsia="Aptos"/>
          <w:i/>
          <w:iCs/>
          <w:kern w:val="2"/>
          <w:lang w:eastAsia="en-US"/>
          <w14:ligatures w14:val="standardContextual"/>
        </w:rPr>
        <w:t xml:space="preserve">ensamiento crítico </w:t>
      </w:r>
      <w:r w:rsidR="006E681B" w:rsidRPr="006E681B">
        <w:rPr>
          <w:rFonts w:eastAsia="Aptos"/>
          <w:i/>
          <w:iCs/>
          <w:kern w:val="2"/>
          <w:lang w:eastAsia="en-US"/>
          <w14:ligatures w14:val="standardContextual"/>
        </w:rPr>
        <w:t xml:space="preserve">y sistémico </w:t>
      </w:r>
      <w:r w:rsidR="0080016B">
        <w:rPr>
          <w:rFonts w:eastAsia="Aptos"/>
          <w:kern w:val="2"/>
          <w:lang w:eastAsia="en-US"/>
          <w14:ligatures w14:val="standardContextual"/>
        </w:rPr>
        <w:t>permite cuestionar la información, los supuestos, identificar sesgos y evaluar la validez de los argumentos y sus conexiones dentro de un sistema</w:t>
      </w:r>
      <w:r w:rsidR="00CB3F10">
        <w:rPr>
          <w:rFonts w:eastAsia="Aptos"/>
          <w:kern w:val="2"/>
          <w:lang w:eastAsia="en-US"/>
          <w14:ligatures w14:val="standardContextual"/>
        </w:rPr>
        <w:t xml:space="preserve"> (Cabrera </w:t>
      </w:r>
      <w:r w:rsidR="00A65ADB">
        <w:rPr>
          <w:rFonts w:eastAsia="Aptos"/>
          <w:kern w:val="2"/>
          <w:lang w:eastAsia="en-US"/>
          <w14:ligatures w14:val="standardContextual"/>
        </w:rPr>
        <w:t>y</w:t>
      </w:r>
      <w:r w:rsidR="00CB3F10">
        <w:rPr>
          <w:rFonts w:eastAsia="Aptos"/>
          <w:kern w:val="2"/>
          <w:lang w:eastAsia="en-US"/>
          <w14:ligatures w14:val="standardContextual"/>
        </w:rPr>
        <w:t xml:space="preserve"> Cabrera, 2015).</w:t>
      </w:r>
    </w:p>
    <w:p w14:paraId="5795372A" w14:textId="3A4839C8" w:rsidR="00046557" w:rsidRDefault="0080016B" w:rsidP="007F29C2">
      <w:pPr>
        <w:spacing w:after="0" w:line="360" w:lineRule="auto"/>
        <w:ind w:firstLine="708"/>
        <w:jc w:val="both"/>
      </w:pPr>
      <w:r>
        <w:rPr>
          <w:rFonts w:eastAsia="Aptos"/>
          <w:kern w:val="2"/>
          <w:lang w:eastAsia="en-US"/>
          <w14:ligatures w14:val="standardContextual"/>
        </w:rPr>
        <w:t xml:space="preserve">Por lo que respecta a la fusión entre el </w:t>
      </w:r>
      <w:r w:rsidR="00046557" w:rsidRPr="00DE0978">
        <w:rPr>
          <w:rFonts w:eastAsia="Aptos"/>
          <w:i/>
          <w:iCs/>
          <w:kern w:val="2"/>
          <w:lang w:eastAsia="en-US"/>
          <w14:ligatures w14:val="standardContextual"/>
        </w:rPr>
        <w:t>A</w:t>
      </w:r>
      <w:r w:rsidRPr="00DE0978">
        <w:rPr>
          <w:rFonts w:eastAsia="Aptos"/>
          <w:i/>
          <w:iCs/>
          <w:kern w:val="2"/>
          <w:lang w:eastAsia="en-US"/>
          <w14:ligatures w14:val="standardContextual"/>
        </w:rPr>
        <w:t>prendizaje autónomo y autorregulado</w:t>
      </w:r>
      <w:r>
        <w:rPr>
          <w:rFonts w:eastAsia="Aptos"/>
          <w:kern w:val="2"/>
          <w:lang w:eastAsia="en-US"/>
          <w14:ligatures w14:val="standardContextual"/>
        </w:rPr>
        <w:t xml:space="preserve"> con la habilidad para </w:t>
      </w:r>
      <w:r w:rsidR="00063D96">
        <w:rPr>
          <w:rFonts w:eastAsia="Aptos"/>
          <w:i/>
          <w:iCs/>
          <w:kern w:val="2"/>
          <w:lang w:eastAsia="en-US"/>
          <w14:ligatures w14:val="standardContextual"/>
        </w:rPr>
        <w:t>Capacidad para r</w:t>
      </w:r>
      <w:r w:rsidRPr="00DE0978">
        <w:rPr>
          <w:rFonts w:eastAsia="Aptos"/>
          <w:i/>
          <w:iCs/>
          <w:kern w:val="2"/>
          <w:lang w:eastAsia="en-US"/>
          <w14:ligatures w14:val="standardContextual"/>
        </w:rPr>
        <w:t>esolver problemas</w:t>
      </w:r>
      <w:r w:rsidR="00046557">
        <w:rPr>
          <w:rFonts w:eastAsia="Aptos"/>
          <w:kern w:val="2"/>
          <w:lang w:eastAsia="en-US"/>
          <w14:ligatures w14:val="standardContextual"/>
        </w:rPr>
        <w:t xml:space="preserve"> en un solo factor denominado </w:t>
      </w:r>
      <w:r w:rsidR="00046557" w:rsidRPr="006E681B">
        <w:rPr>
          <w:i/>
          <w:iCs/>
          <w:color w:val="000000"/>
        </w:rPr>
        <w:t>Aprendizaje autorregulado en la resolución de problemas complejos</w:t>
      </w:r>
      <w:r w:rsidR="00046557">
        <w:rPr>
          <w:color w:val="000000"/>
        </w:rPr>
        <w:t xml:space="preserve">, diversos autores como </w:t>
      </w:r>
      <w:r w:rsidR="00114E97">
        <w:rPr>
          <w:color w:val="000000"/>
        </w:rPr>
        <w:fldChar w:fldCharType="begin"/>
      </w:r>
      <w:r w:rsidR="00114E97">
        <w:rPr>
          <w:color w:val="000000"/>
        </w:rPr>
        <w:instrText xml:space="preserve"> ADDIN EN.CITE &lt;EndNote&gt;&lt;Cite&gt;&lt;Author&gt;Intriago&lt;/Author&gt;&lt;Year&gt;2024&lt;/Year&gt;&lt;IDText&gt;Modelo motivacional de Pintrich como estrategia de autorregulación en la construcción del conocimiento&lt;/IDText&gt;&lt;DisplayText&gt;(Intriago et al., 2024)&lt;/DisplayText&gt;&lt;record&gt;&lt;titles&gt;&lt;title&gt;Modelo motivacional de Pintrich como estrategia de autorregulación en la construcción del conocimiento&lt;/title&gt;&lt;/titles&gt;&lt;pages&gt;1784-1800&lt;/pages&gt;&lt;number&gt;5&lt;/number&gt;&lt;contributors&gt;&lt;authors&gt;&lt;author&gt;Intriago, L. P.&lt;/author&gt;&lt;author&gt;Viteri, J. C.&lt;/author&gt;&lt;author&gt;Changotasig, A. M.&lt;/author&gt;&lt;/authors&gt;&lt;/contributors&gt;&lt;added-date format="utc"&gt;1742913607&lt;/added-date&gt;&lt;ref-type name="Electronic Article"&gt;43&lt;/ref-type&gt;&lt;dates&gt;&lt;year&gt;2024&lt;/year&gt;&lt;/dates&gt;&lt;rec-number&gt;1380&lt;/rec-number&gt;&lt;publisher&gt;Ciencia Latina Revista Multidisciplinar&lt;/publisher&gt;&lt;last-updated-date format="utc"&gt;1742913859&lt;/last-updated-date&gt;&lt;volume&gt;8&lt;/volume&gt;&lt;/record&gt;&lt;/Cite&gt;&lt;/EndNote&gt;</w:instrText>
      </w:r>
      <w:r w:rsidR="00114E97">
        <w:rPr>
          <w:color w:val="000000"/>
        </w:rPr>
        <w:fldChar w:fldCharType="separate"/>
      </w:r>
      <w:r w:rsidR="00114E97">
        <w:rPr>
          <w:noProof/>
          <w:color w:val="000000"/>
        </w:rPr>
        <w:t xml:space="preserve">Intriago et al. </w:t>
      </w:r>
      <w:r w:rsidR="00C308D3">
        <w:rPr>
          <w:noProof/>
          <w:color w:val="000000"/>
        </w:rPr>
        <w:t>(</w:t>
      </w:r>
      <w:r w:rsidR="00114E97">
        <w:rPr>
          <w:noProof/>
          <w:color w:val="000000"/>
        </w:rPr>
        <w:t>2024)</w:t>
      </w:r>
      <w:r w:rsidR="00114E97">
        <w:rPr>
          <w:color w:val="000000"/>
        </w:rPr>
        <w:fldChar w:fldCharType="end"/>
      </w:r>
      <w:r w:rsidR="004C59A1">
        <w:rPr>
          <w:color w:val="000000"/>
        </w:rPr>
        <w:t xml:space="preserve"> y </w:t>
      </w:r>
      <w:r w:rsidR="00046557" w:rsidRPr="00114E97">
        <w:t xml:space="preserve">Zimmerman (2002) </w:t>
      </w:r>
      <w:r w:rsidR="001F52AD">
        <w:rPr>
          <w:color w:val="000000"/>
        </w:rPr>
        <w:t>coinciden en la estrecha relación entre ambas habilidades en términos de motivación intrí</w:t>
      </w:r>
      <w:r w:rsidR="00712C4A">
        <w:rPr>
          <w:color w:val="000000"/>
        </w:rPr>
        <w:t>n</w:t>
      </w:r>
      <w:r w:rsidR="001F52AD">
        <w:rPr>
          <w:color w:val="000000"/>
        </w:rPr>
        <w:t>seca y compromiso, la autorregulación en la estrategia de resolución de problemas y su tra</w:t>
      </w:r>
      <w:r w:rsidR="00712C4A">
        <w:rPr>
          <w:color w:val="000000"/>
        </w:rPr>
        <w:t>n</w:t>
      </w:r>
      <w:r w:rsidR="001F52AD">
        <w:rPr>
          <w:color w:val="000000"/>
        </w:rPr>
        <w:t xml:space="preserve">sferencia al aprendizaje. En este sentido, </w:t>
      </w:r>
      <w:r w:rsidR="00A65ADB">
        <w:rPr>
          <w:color w:val="000000"/>
        </w:rPr>
        <w:t>Zimmerman</w:t>
      </w:r>
      <w:r w:rsidR="001F52AD">
        <w:rPr>
          <w:color w:val="000000"/>
        </w:rPr>
        <w:t xml:space="preserve"> afirma que </w:t>
      </w:r>
      <w:r w:rsidR="001F52AD">
        <w:t>l</w:t>
      </w:r>
      <w:r w:rsidR="001F52AD" w:rsidRPr="00FE0969">
        <w:t>os estudiantes que aprenden de forma independiente desarrollan habilidades de autorregulación, como la planificación, el monitoreo y la evaluación de su propio aprendizaje. Estas habilidades son cruciales para la resolución de problemas</w:t>
      </w:r>
      <w:r w:rsidR="001F52AD">
        <w:t xml:space="preserve">. </w:t>
      </w:r>
      <w:r w:rsidR="00A65ADB">
        <w:t xml:space="preserve">Por su </w:t>
      </w:r>
      <w:r w:rsidR="00A65ADB">
        <w:lastRenderedPageBreak/>
        <w:t>parte, Intriago et al</w:t>
      </w:r>
      <w:r w:rsidR="00063D96">
        <w:t>.</w:t>
      </w:r>
      <w:r w:rsidR="00A65ADB">
        <w:t xml:space="preserve"> (2024)</w:t>
      </w:r>
      <w:r w:rsidR="001F52AD">
        <w:t xml:space="preserve"> refiere</w:t>
      </w:r>
      <w:r w:rsidR="00063D96">
        <w:t>n</w:t>
      </w:r>
      <w:r w:rsidR="001F52AD">
        <w:t xml:space="preserve"> que l</w:t>
      </w:r>
      <w:r w:rsidR="001F52AD" w:rsidRPr="00FE0969">
        <w:t>os estudiantes que aprenden de forma independiente desarrollan habilidades de autorregulación, como la planificación, el monitoreo y la evaluación de su propio aprendizaje</w:t>
      </w:r>
      <w:r w:rsidR="00A65ADB">
        <w:t>.</w:t>
      </w:r>
    </w:p>
    <w:p w14:paraId="0BDD3E38" w14:textId="332BFC05" w:rsidR="00CF3DBB" w:rsidRPr="00CF3DBB" w:rsidRDefault="00CF3DBB" w:rsidP="007F29C2">
      <w:pPr>
        <w:spacing w:after="0" w:line="360" w:lineRule="auto"/>
        <w:ind w:firstLine="708"/>
        <w:jc w:val="both"/>
        <w:rPr>
          <w:rFonts w:eastAsia="Aptos"/>
          <w:kern w:val="2"/>
          <w:lang w:eastAsia="en-US"/>
          <w14:ligatures w14:val="standardContextual"/>
        </w:rPr>
      </w:pPr>
      <w:r>
        <w:rPr>
          <w:rFonts w:eastAsia="Aptos"/>
          <w:kern w:val="2"/>
          <w:lang w:eastAsia="en-US"/>
          <w14:ligatures w14:val="standardContextual"/>
        </w:rPr>
        <w:t xml:space="preserve">En el mismo sentido, el AFC destaca la unión entre la variable </w:t>
      </w:r>
      <w:r w:rsidRPr="006B7948">
        <w:rPr>
          <w:rFonts w:eastAsia="Aptos"/>
          <w:i/>
          <w:iCs/>
          <w:kern w:val="2"/>
          <w:lang w:eastAsia="en-US"/>
          <w14:ligatures w14:val="standardContextual"/>
        </w:rPr>
        <w:t>Enseñanza de la Comprensión Humana</w:t>
      </w:r>
      <w:r>
        <w:rPr>
          <w:rFonts w:eastAsia="Aptos"/>
          <w:kern w:val="2"/>
          <w:lang w:eastAsia="en-US"/>
          <w14:ligatures w14:val="standardContextual"/>
        </w:rPr>
        <w:t xml:space="preserve"> y la </w:t>
      </w:r>
      <w:r w:rsidRPr="006B7948">
        <w:rPr>
          <w:rFonts w:eastAsia="Aptos"/>
          <w:i/>
          <w:iCs/>
          <w:kern w:val="2"/>
          <w:lang w:eastAsia="en-US"/>
          <w14:ligatures w14:val="standardContextual"/>
        </w:rPr>
        <w:t>Responsabilidad social y ambiental</w:t>
      </w:r>
      <w:r w:rsidR="00B57C5E">
        <w:rPr>
          <w:rFonts w:eastAsia="Aptos"/>
          <w:kern w:val="2"/>
          <w:lang w:eastAsia="en-US"/>
          <w14:ligatures w14:val="standardContextual"/>
        </w:rPr>
        <w:t>.</w:t>
      </w:r>
      <w:r>
        <w:rPr>
          <w:rFonts w:eastAsia="Aptos"/>
          <w:kern w:val="2"/>
          <w:lang w:eastAsia="en-US"/>
          <w14:ligatures w14:val="standardContextual"/>
        </w:rPr>
        <w:t xml:space="preserve"> </w:t>
      </w:r>
      <w:r w:rsidR="00B57C5E">
        <w:rPr>
          <w:rFonts w:eastAsia="Aptos"/>
          <w:kern w:val="2"/>
          <w:lang w:eastAsia="en-US"/>
          <w14:ligatures w14:val="standardContextual"/>
        </w:rPr>
        <w:t xml:space="preserve">De esta forma </w:t>
      </w:r>
      <w:r>
        <w:rPr>
          <w:rFonts w:eastAsia="Aptos"/>
          <w:kern w:val="2"/>
          <w:lang w:eastAsia="en-US"/>
          <w14:ligatures w14:val="standardContextual"/>
        </w:rPr>
        <w:t xml:space="preserve">el AFC </w:t>
      </w:r>
      <w:r w:rsidR="00B57C5E">
        <w:rPr>
          <w:rFonts w:eastAsia="Aptos"/>
          <w:kern w:val="2"/>
          <w:lang w:eastAsia="en-US"/>
          <w14:ligatures w14:val="standardContextual"/>
        </w:rPr>
        <w:t>explica</w:t>
      </w:r>
      <w:r>
        <w:rPr>
          <w:rFonts w:eastAsia="Aptos"/>
          <w:kern w:val="2"/>
          <w:lang w:eastAsia="en-US"/>
          <w14:ligatures w14:val="standardContextual"/>
        </w:rPr>
        <w:t xml:space="preserve"> que existen semejanzas conceptuales entre sus variables observa</w:t>
      </w:r>
      <w:r w:rsidR="00063D96">
        <w:rPr>
          <w:rFonts w:eastAsia="Aptos"/>
          <w:kern w:val="2"/>
          <w:lang w:eastAsia="en-US"/>
          <w14:ligatures w14:val="standardContextual"/>
        </w:rPr>
        <w:t>bles</w:t>
      </w:r>
      <w:r>
        <w:rPr>
          <w:rFonts w:eastAsia="Aptos"/>
          <w:kern w:val="2"/>
          <w:lang w:eastAsia="en-US"/>
          <w14:ligatures w14:val="standardContextual"/>
        </w:rPr>
        <w:t>, además de que sus cargas factoriales se traslapan. Por ello,</w:t>
      </w:r>
      <w:r w:rsidR="006B7948">
        <w:rPr>
          <w:rFonts w:eastAsia="Aptos"/>
          <w:kern w:val="2"/>
          <w:lang w:eastAsia="en-US"/>
          <w14:ligatures w14:val="standardContextual"/>
        </w:rPr>
        <w:t xml:space="preserve"> </w:t>
      </w:r>
      <w:r w:rsidR="00B57C5E">
        <w:rPr>
          <w:rFonts w:eastAsia="Aptos"/>
          <w:kern w:val="2"/>
          <w:lang w:eastAsia="en-US"/>
          <w14:ligatures w14:val="standardContextual"/>
        </w:rPr>
        <w:t xml:space="preserve">la unión de estas dos variables latentes </w:t>
      </w:r>
      <w:r w:rsidR="006B7948">
        <w:rPr>
          <w:rFonts w:eastAsia="Aptos"/>
          <w:kern w:val="2"/>
          <w:lang w:eastAsia="en-US"/>
          <w14:ligatures w14:val="standardContextual"/>
        </w:rPr>
        <w:t>en</w:t>
      </w:r>
      <w:r>
        <w:rPr>
          <w:rFonts w:eastAsia="Aptos"/>
          <w:kern w:val="2"/>
          <w:lang w:eastAsia="en-US"/>
          <w14:ligatures w14:val="standardContextual"/>
        </w:rPr>
        <w:t xml:space="preserve"> l</w:t>
      </w:r>
      <w:r w:rsidRPr="00CF3DBB">
        <w:rPr>
          <w:rFonts w:eastAsia="Aptos"/>
          <w:kern w:val="2"/>
          <w:lang w:eastAsia="en-US"/>
          <w14:ligatures w14:val="standardContextual"/>
        </w:rPr>
        <w:t>a</w:t>
      </w:r>
      <w:r w:rsidR="006B7948">
        <w:rPr>
          <w:rFonts w:eastAsia="Aptos"/>
          <w:kern w:val="2"/>
          <w:lang w:eastAsia="en-US"/>
          <w14:ligatures w14:val="standardContextual"/>
        </w:rPr>
        <w:t xml:space="preserve"> variable</w:t>
      </w:r>
      <w:r w:rsidRPr="00CF3DBB">
        <w:rPr>
          <w:rFonts w:eastAsia="Aptos"/>
          <w:kern w:val="2"/>
          <w:lang w:eastAsia="en-US"/>
          <w14:ligatures w14:val="standardContextual"/>
        </w:rPr>
        <w:t xml:space="preserve"> </w:t>
      </w:r>
      <w:r w:rsidR="00DC45C2" w:rsidRPr="00DC45C2">
        <w:rPr>
          <w:rFonts w:eastAsia="Aptos"/>
          <w:i/>
          <w:iCs/>
          <w:kern w:val="2"/>
          <w:lang w:eastAsia="en-US"/>
          <w14:ligatures w14:val="standardContextual"/>
        </w:rPr>
        <w:t>Formación del desarrollo  humano y responsabilidad social</w:t>
      </w:r>
      <w:r w:rsidRPr="00CF3DBB">
        <w:rPr>
          <w:rFonts w:eastAsia="Aptos"/>
          <w:kern w:val="2"/>
          <w:lang w:eastAsia="en-US"/>
          <w14:ligatures w14:val="standardContextual"/>
        </w:rPr>
        <w:t xml:space="preserve"> forma parte de un enfoque más amplio que integra la enseñanza de la comprensión y la condición humana, un pilar fundamental para la educación del futuro, según Edgar Morin (1999)</w:t>
      </w:r>
      <w:r w:rsidR="00B57C5E">
        <w:rPr>
          <w:rFonts w:eastAsia="Aptos"/>
          <w:kern w:val="2"/>
          <w:lang w:eastAsia="en-US"/>
          <w14:ligatures w14:val="standardContextual"/>
        </w:rPr>
        <w:t xml:space="preserve">, </w:t>
      </w:r>
      <w:r w:rsidR="00D64348">
        <w:rPr>
          <w:rFonts w:eastAsia="Aptos"/>
          <w:kern w:val="2"/>
          <w:lang w:eastAsia="en-US"/>
          <w14:ligatures w14:val="standardContextual"/>
        </w:rPr>
        <w:t>conceptos que también son incluidos en el nuevo modelo educativo del Tec</w:t>
      </w:r>
      <w:r w:rsidR="00FD4BB6">
        <w:rPr>
          <w:rFonts w:eastAsia="Aptos"/>
          <w:kern w:val="2"/>
          <w:lang w:eastAsia="en-US"/>
          <w14:ligatures w14:val="standardContextual"/>
        </w:rPr>
        <w:t>nológico Nacional de México</w:t>
      </w:r>
      <w:r w:rsidRPr="00CF3DBB">
        <w:rPr>
          <w:rFonts w:eastAsia="Aptos"/>
          <w:kern w:val="2"/>
          <w:lang w:eastAsia="en-US"/>
          <w14:ligatures w14:val="standardContextual"/>
        </w:rPr>
        <w:t xml:space="preserve">. </w:t>
      </w:r>
      <w:r w:rsidR="00C84E59">
        <w:rPr>
          <w:rFonts w:eastAsia="Aptos"/>
          <w:kern w:val="2"/>
          <w:lang w:eastAsia="en-US"/>
          <w14:ligatures w14:val="standardContextual"/>
        </w:rPr>
        <w:t>En</w:t>
      </w:r>
      <w:r w:rsidR="00FD4BB6">
        <w:rPr>
          <w:rFonts w:eastAsia="Aptos"/>
          <w:kern w:val="2"/>
          <w:lang w:eastAsia="en-US"/>
          <w14:ligatures w14:val="standardContextual"/>
        </w:rPr>
        <w:t xml:space="preserve"> este</w:t>
      </w:r>
      <w:r w:rsidR="00C84E59">
        <w:rPr>
          <w:rFonts w:eastAsia="Aptos"/>
          <w:kern w:val="2"/>
          <w:lang w:eastAsia="en-US"/>
          <w14:ligatures w14:val="standardContextual"/>
        </w:rPr>
        <w:t xml:space="preserve"> </w:t>
      </w:r>
      <w:r w:rsidR="00FD4BB6">
        <w:rPr>
          <w:rFonts w:eastAsia="Aptos"/>
          <w:kern w:val="2"/>
          <w:lang w:eastAsia="en-US"/>
          <w14:ligatures w14:val="standardContextual"/>
        </w:rPr>
        <w:t>modelo,</w:t>
      </w:r>
      <w:r w:rsidR="00C84E59">
        <w:rPr>
          <w:rFonts w:eastAsia="Aptos"/>
          <w:kern w:val="2"/>
          <w:lang w:eastAsia="en-US"/>
          <w14:ligatures w14:val="standardContextual"/>
        </w:rPr>
        <w:t xml:space="preserve"> </w:t>
      </w:r>
      <w:r w:rsidRPr="00CF3DBB">
        <w:rPr>
          <w:rFonts w:eastAsia="Aptos"/>
          <w:kern w:val="2"/>
          <w:lang w:eastAsia="en-US"/>
          <w14:ligatures w14:val="standardContextual"/>
        </w:rPr>
        <w:t xml:space="preserve">Morin </w:t>
      </w:r>
      <w:r w:rsidR="00C84E59">
        <w:rPr>
          <w:rFonts w:eastAsia="Aptos"/>
          <w:kern w:val="2"/>
          <w:lang w:eastAsia="en-US"/>
          <w14:ligatures w14:val="standardContextual"/>
        </w:rPr>
        <w:t xml:space="preserve">fundamenta </w:t>
      </w:r>
      <w:r w:rsidR="00FD4BB6">
        <w:rPr>
          <w:rFonts w:eastAsia="Aptos"/>
          <w:kern w:val="2"/>
          <w:lang w:eastAsia="en-US"/>
          <w14:ligatures w14:val="standardContextual"/>
        </w:rPr>
        <w:t>la comprensión de la condición humana</w:t>
      </w:r>
      <w:r w:rsidR="00C84E59">
        <w:rPr>
          <w:rFonts w:eastAsia="Aptos"/>
          <w:kern w:val="2"/>
          <w:lang w:eastAsia="en-US"/>
          <w14:ligatures w14:val="standardContextual"/>
        </w:rPr>
        <w:t xml:space="preserve"> al </w:t>
      </w:r>
      <w:r w:rsidRPr="00CF3DBB">
        <w:rPr>
          <w:rFonts w:eastAsia="Aptos"/>
          <w:kern w:val="2"/>
          <w:lang w:eastAsia="en-US"/>
          <w14:ligatures w14:val="standardContextual"/>
        </w:rPr>
        <w:t>argumenta</w:t>
      </w:r>
      <w:r w:rsidR="00C84E59">
        <w:rPr>
          <w:rFonts w:eastAsia="Aptos"/>
          <w:kern w:val="2"/>
          <w:lang w:eastAsia="en-US"/>
          <w14:ligatures w14:val="standardContextual"/>
        </w:rPr>
        <w:t>r</w:t>
      </w:r>
      <w:r w:rsidRPr="00CF3DBB">
        <w:rPr>
          <w:rFonts w:eastAsia="Aptos"/>
          <w:kern w:val="2"/>
          <w:lang w:eastAsia="en-US"/>
          <w14:ligatures w14:val="standardContextual"/>
        </w:rPr>
        <w:t xml:space="preserve"> que la educación debe trascender </w:t>
      </w:r>
      <w:r w:rsidR="006E681B">
        <w:rPr>
          <w:rFonts w:eastAsia="Aptos"/>
          <w:kern w:val="2"/>
          <w:lang w:eastAsia="en-US"/>
          <w14:ligatures w14:val="standardContextual"/>
        </w:rPr>
        <w:t>la</w:t>
      </w:r>
      <w:r w:rsidRPr="00CF3DBB">
        <w:rPr>
          <w:rFonts w:eastAsia="Aptos"/>
          <w:kern w:val="2"/>
          <w:lang w:eastAsia="en-US"/>
          <w14:ligatures w14:val="standardContextual"/>
        </w:rPr>
        <w:t xml:space="preserve"> transmisión de conocimientos técnicos y científicos, para abordar la complejidad de la existencia humana y fomentar una conciencia global que permita a los individuos comprenderse a sí mismos y a los demás en un contexto de interdependencia social, ambiental y cultural. </w:t>
      </w:r>
    </w:p>
    <w:p w14:paraId="12F28CDA" w14:textId="50A616F3" w:rsidR="00F737AB" w:rsidRDefault="00F737AB" w:rsidP="00047F9C">
      <w:pPr>
        <w:spacing w:after="0" w:line="360" w:lineRule="auto"/>
        <w:ind w:firstLine="708"/>
        <w:jc w:val="both"/>
        <w:rPr>
          <w:rFonts w:eastAsia="Aptos"/>
          <w:kern w:val="2"/>
          <w:lang w:eastAsia="en-US"/>
          <w14:ligatures w14:val="standardContextual"/>
        </w:rPr>
      </w:pPr>
      <w:r>
        <w:rPr>
          <w:rFonts w:eastAsia="Aptos"/>
          <w:kern w:val="2"/>
          <w:lang w:eastAsia="en-US"/>
          <w14:ligatures w14:val="standardContextual"/>
        </w:rPr>
        <w:t>De igual manera,</w:t>
      </w:r>
      <w:r w:rsidR="00CF3DBB" w:rsidRPr="00CF3DBB">
        <w:rPr>
          <w:rFonts w:eastAsia="Aptos"/>
          <w:kern w:val="2"/>
          <w:lang w:eastAsia="en-US"/>
          <w14:ligatures w14:val="standardContextual"/>
        </w:rPr>
        <w:t xml:space="preserve"> </w:t>
      </w:r>
      <w:r w:rsidR="00CF3DBB" w:rsidRPr="00E00BC7">
        <w:rPr>
          <w:rFonts w:eastAsia="Aptos"/>
          <w:kern w:val="2"/>
          <w:lang w:eastAsia="en-US"/>
          <w14:ligatures w14:val="standardContextual"/>
        </w:rPr>
        <w:t xml:space="preserve">Coelho y Menezes (2021) </w:t>
      </w:r>
      <w:r w:rsidR="00220AC7">
        <w:rPr>
          <w:rFonts w:eastAsia="Aptos"/>
          <w:kern w:val="2"/>
          <w:lang w:eastAsia="en-US"/>
          <w14:ligatures w14:val="standardContextual"/>
        </w:rPr>
        <w:t xml:space="preserve">aseguran que </w:t>
      </w:r>
      <w:r w:rsidR="00CF3DBB" w:rsidRPr="00CF3DBB">
        <w:rPr>
          <w:rFonts w:eastAsia="Aptos"/>
          <w:kern w:val="2"/>
          <w:lang w:eastAsia="en-US"/>
          <w14:ligatures w14:val="standardContextual"/>
        </w:rPr>
        <w:t xml:space="preserve">la responsabilidad social y ambiental en la educación superior es un componente clave en la formación de ciudadanos comprometidos con el bienestar colectivo y la equidad social. Esta visión se alinea con la perspectiva de Morin (1999), quien plantea que la educación debe integrar la </w:t>
      </w:r>
      <w:r w:rsidR="00B57C5E">
        <w:rPr>
          <w:rFonts w:eastAsia="Aptos"/>
          <w:kern w:val="2"/>
          <w:lang w:eastAsia="en-US"/>
          <w14:ligatures w14:val="standardContextual"/>
        </w:rPr>
        <w:t xml:space="preserve">necesidad de la </w:t>
      </w:r>
      <w:r w:rsidR="00CF3DBB" w:rsidRPr="00CF3DBB">
        <w:rPr>
          <w:rFonts w:eastAsia="Aptos"/>
          <w:kern w:val="2"/>
          <w:lang w:eastAsia="en-US"/>
          <w14:ligatures w14:val="standardContextual"/>
        </w:rPr>
        <w:t xml:space="preserve">comprensión </w:t>
      </w:r>
      <w:r w:rsidR="00CF3DBB">
        <w:rPr>
          <w:rFonts w:eastAsia="Aptos"/>
          <w:kern w:val="2"/>
          <w:lang w:eastAsia="en-US"/>
          <w14:ligatures w14:val="standardContextual"/>
        </w:rPr>
        <w:t>del desarrollo humano</w:t>
      </w:r>
      <w:r w:rsidR="00CF3DBB" w:rsidRPr="00CF3DBB">
        <w:rPr>
          <w:rFonts w:eastAsia="Aptos"/>
          <w:kern w:val="2"/>
          <w:lang w:eastAsia="en-US"/>
          <w14:ligatures w14:val="standardContextual"/>
        </w:rPr>
        <w:t>, fomentando una visión holística que relacione el desarrollo individual con la responsabilidad hacia los demás y el planeta. Asimismo, Yohan et al</w:t>
      </w:r>
      <w:r w:rsidR="00DC45C2">
        <w:rPr>
          <w:rFonts w:eastAsia="Aptos"/>
          <w:kern w:val="2"/>
          <w:lang w:eastAsia="en-US"/>
          <w14:ligatures w14:val="standardContextual"/>
        </w:rPr>
        <w:t>.</w:t>
      </w:r>
      <w:r w:rsidR="00CF3DBB" w:rsidRPr="00CF3DBB">
        <w:rPr>
          <w:rFonts w:eastAsia="Aptos"/>
          <w:kern w:val="2"/>
          <w:lang w:eastAsia="en-US"/>
          <w14:ligatures w14:val="standardContextual"/>
        </w:rPr>
        <w:t xml:space="preserve"> (2023) destacan que la enseñanza de la sostenibilidad debe ir más allá de la simple gestión de recursos naturales, incorporando dimensiones éticas y sociales que permitan formar profesionales capaces de generar soluciones innovadoras y responsables.</w:t>
      </w:r>
    </w:p>
    <w:p w14:paraId="28BC932A" w14:textId="77777777" w:rsidR="00DC45C2" w:rsidRPr="00047F9C" w:rsidRDefault="00DC45C2" w:rsidP="00047F9C">
      <w:pPr>
        <w:spacing w:after="0" w:line="360" w:lineRule="auto"/>
        <w:ind w:firstLine="708"/>
        <w:jc w:val="both"/>
        <w:rPr>
          <w:rFonts w:eastAsia="Aptos"/>
          <w:kern w:val="2"/>
          <w:lang w:eastAsia="en-US"/>
          <w14:ligatures w14:val="standardContextual"/>
        </w:rPr>
      </w:pPr>
    </w:p>
    <w:p w14:paraId="5183BE3C" w14:textId="0A73AE4E" w:rsidR="00C47B05" w:rsidRPr="00D945F3" w:rsidRDefault="00C47B05" w:rsidP="006E681B">
      <w:pPr>
        <w:spacing w:after="0" w:line="360" w:lineRule="auto"/>
        <w:jc w:val="center"/>
        <w:rPr>
          <w:rFonts w:eastAsia="Aptos"/>
          <w:b/>
          <w:bCs/>
          <w:kern w:val="2"/>
          <w:sz w:val="32"/>
          <w:szCs w:val="32"/>
          <w:lang w:eastAsia="en-US"/>
          <w14:ligatures w14:val="standardContextual"/>
        </w:rPr>
      </w:pPr>
      <w:r w:rsidRPr="00D945F3">
        <w:rPr>
          <w:rFonts w:eastAsia="Aptos"/>
          <w:b/>
          <w:bCs/>
          <w:kern w:val="2"/>
          <w:sz w:val="32"/>
          <w:szCs w:val="32"/>
          <w:lang w:eastAsia="en-US"/>
          <w14:ligatures w14:val="standardContextual"/>
        </w:rPr>
        <w:t>Conclusiones</w:t>
      </w:r>
    </w:p>
    <w:p w14:paraId="3800D2F1" w14:textId="4536DD91" w:rsidR="00653385" w:rsidRPr="007B5EA4" w:rsidRDefault="007B5EA4" w:rsidP="007F29C2">
      <w:pPr>
        <w:spacing w:after="0" w:line="360" w:lineRule="auto"/>
        <w:ind w:firstLine="708"/>
        <w:jc w:val="both"/>
        <w:rPr>
          <w:rFonts w:eastAsia="Aptos"/>
          <w:kern w:val="2"/>
          <w:lang w:eastAsia="en-US"/>
          <w14:ligatures w14:val="standardContextual"/>
        </w:rPr>
      </w:pPr>
      <w:r w:rsidRPr="007B5EA4">
        <w:rPr>
          <w:rFonts w:eastAsia="Aptos"/>
          <w:kern w:val="2"/>
          <w:lang w:eastAsia="en-US"/>
          <w14:ligatures w14:val="standardContextual"/>
        </w:rPr>
        <w:t>El</w:t>
      </w:r>
      <w:r w:rsidR="006B7948">
        <w:rPr>
          <w:rFonts w:eastAsia="Aptos"/>
          <w:kern w:val="2"/>
          <w:lang w:eastAsia="en-US"/>
          <w14:ligatures w14:val="standardContextual"/>
        </w:rPr>
        <w:t xml:space="preserve"> análisis factorial confirmatorio</w:t>
      </w:r>
      <w:r w:rsidRPr="007B5EA4">
        <w:rPr>
          <w:rFonts w:eastAsia="Aptos"/>
          <w:kern w:val="2"/>
          <w:lang w:eastAsia="en-US"/>
          <w14:ligatures w14:val="standardContextual"/>
        </w:rPr>
        <w:t xml:space="preserve"> permitió </w:t>
      </w:r>
      <w:r w:rsidR="006B7948">
        <w:rPr>
          <w:rFonts w:eastAsia="Aptos"/>
          <w:kern w:val="2"/>
          <w:lang w:eastAsia="en-US"/>
          <w14:ligatures w14:val="standardContextual"/>
        </w:rPr>
        <w:t>valid</w:t>
      </w:r>
      <w:r w:rsidRPr="007B5EA4">
        <w:rPr>
          <w:rFonts w:eastAsia="Aptos"/>
          <w:kern w:val="2"/>
          <w:lang w:eastAsia="en-US"/>
          <w14:ligatures w14:val="standardContextual"/>
        </w:rPr>
        <w:t>ar la estructura teórica del modelo</w:t>
      </w:r>
      <w:r w:rsidR="00A626B1">
        <w:rPr>
          <w:rFonts w:eastAsia="Aptos"/>
          <w:kern w:val="2"/>
          <w:lang w:eastAsia="en-US"/>
          <w14:ligatures w14:val="standardContextual"/>
        </w:rPr>
        <w:t xml:space="preserve"> del instrumento de evaluación</w:t>
      </w:r>
      <w:r w:rsidRPr="007B5EA4">
        <w:rPr>
          <w:rFonts w:eastAsia="Aptos"/>
          <w:kern w:val="2"/>
          <w:lang w:eastAsia="en-US"/>
          <w14:ligatures w14:val="standardContextual"/>
        </w:rPr>
        <w:t>, alineando los indicadores de desempeño con sus respectivas competencias profesionales. Se logró un ajuste aceptable del modelo, con valores adecuados en los índices de ajuste (CFI &gt; 0.90, RMSEA &lt; 0.08</w:t>
      </w:r>
      <w:r w:rsidR="001455C7">
        <w:rPr>
          <w:rFonts w:eastAsia="Aptos"/>
          <w:kern w:val="2"/>
          <w:lang w:eastAsia="en-US"/>
          <w14:ligatures w14:val="standardContextual"/>
        </w:rPr>
        <w:t xml:space="preserve">, </w:t>
      </w:r>
      <w:r w:rsidR="001455C7" w:rsidRPr="001455C7">
        <w:rPr>
          <w:rFonts w:eastAsia="Aptos"/>
          <w:kern w:val="2"/>
          <w:lang w:eastAsia="en-US"/>
          <w14:ligatures w14:val="standardContextual"/>
        </w:rPr>
        <w:t>TLI = 0.908</w:t>
      </w:r>
      <w:r w:rsidRPr="007B5EA4">
        <w:rPr>
          <w:rFonts w:eastAsia="Aptos"/>
          <w:kern w:val="2"/>
          <w:lang w:eastAsia="en-US"/>
          <w14:ligatures w14:val="standardContextual"/>
        </w:rPr>
        <w:t>), lo que respalda la validez de constructo del instrumento de evaluación.</w:t>
      </w:r>
    </w:p>
    <w:p w14:paraId="66F834B2" w14:textId="504AAC4A" w:rsidR="00CA1358" w:rsidRPr="007B5EA4" w:rsidRDefault="007B5EA4" w:rsidP="007F29C2">
      <w:pPr>
        <w:spacing w:after="0" w:line="360" w:lineRule="auto"/>
        <w:ind w:firstLine="708"/>
        <w:jc w:val="both"/>
        <w:rPr>
          <w:rFonts w:eastAsia="Aptos"/>
          <w:kern w:val="2"/>
          <w:lang w:eastAsia="en-US"/>
          <w14:ligatures w14:val="standardContextual"/>
        </w:rPr>
      </w:pPr>
      <w:r w:rsidRPr="007B5EA4">
        <w:rPr>
          <w:rFonts w:eastAsia="Aptos"/>
          <w:kern w:val="2"/>
          <w:lang w:eastAsia="en-US"/>
          <w14:ligatures w14:val="standardContextual"/>
        </w:rPr>
        <w:lastRenderedPageBreak/>
        <w:t xml:space="preserve">Los resultados obtenidos están en concordancia con la literatura previa sobre </w:t>
      </w:r>
      <w:r w:rsidR="00F737AB">
        <w:rPr>
          <w:rFonts w:eastAsia="Aptos"/>
          <w:kern w:val="2"/>
          <w:lang w:eastAsia="en-US"/>
          <w14:ligatures w14:val="standardContextual"/>
        </w:rPr>
        <w:t xml:space="preserve">la </w:t>
      </w:r>
      <w:r w:rsidRPr="007B5EA4">
        <w:rPr>
          <w:rFonts w:eastAsia="Aptos"/>
          <w:kern w:val="2"/>
          <w:lang w:eastAsia="en-US"/>
          <w14:ligatures w14:val="standardContextual"/>
        </w:rPr>
        <w:t xml:space="preserve">validación de instrumentos </w:t>
      </w:r>
      <w:r w:rsidR="00F737AB">
        <w:rPr>
          <w:rFonts w:eastAsia="Aptos"/>
          <w:kern w:val="2"/>
          <w:lang w:eastAsia="en-US"/>
          <w14:ligatures w14:val="standardContextual"/>
        </w:rPr>
        <w:t xml:space="preserve">de evaluación </w:t>
      </w:r>
      <w:r w:rsidRPr="007B5EA4">
        <w:rPr>
          <w:rFonts w:eastAsia="Aptos"/>
          <w:kern w:val="2"/>
          <w:lang w:eastAsia="en-US"/>
          <w14:ligatures w14:val="standardContextual"/>
        </w:rPr>
        <w:t xml:space="preserve">en educación y psicometría. </w:t>
      </w:r>
      <w:r w:rsidR="00A626B1">
        <w:rPr>
          <w:rFonts w:eastAsia="Aptos"/>
          <w:kern w:val="2"/>
          <w:lang w:eastAsia="en-US"/>
          <w14:ligatures w14:val="standardContextual"/>
        </w:rPr>
        <w:t>El porcentaje de l</w:t>
      </w:r>
      <w:r w:rsidRPr="007B5EA4">
        <w:rPr>
          <w:rFonts w:eastAsia="Aptos"/>
          <w:kern w:val="2"/>
          <w:lang w:eastAsia="en-US"/>
          <w14:ligatures w14:val="standardContextual"/>
        </w:rPr>
        <w:t xml:space="preserve">a varianza explicada es superior al </w:t>
      </w:r>
      <w:r w:rsidRPr="00CA1358">
        <w:rPr>
          <w:rFonts w:eastAsia="Aptos"/>
          <w:kern w:val="2"/>
          <w:lang w:eastAsia="en-US"/>
          <w14:ligatures w14:val="standardContextual"/>
        </w:rPr>
        <w:t>60%,</w:t>
      </w:r>
      <w:r w:rsidRPr="007B5EA4">
        <w:rPr>
          <w:rFonts w:eastAsia="Aptos"/>
          <w:kern w:val="2"/>
          <w:lang w:eastAsia="en-US"/>
          <w14:ligatures w14:val="standardContextual"/>
        </w:rPr>
        <w:t xml:space="preserve"> lo que sugiere que los factores latentes explican una proporción significativa de la variabilidad en los datos.</w:t>
      </w:r>
      <w:r w:rsidR="00130F2B" w:rsidRPr="00130F2B">
        <w:rPr>
          <w:rFonts w:eastAsia="Aptos"/>
          <w:kern w:val="2"/>
          <w:lang w:eastAsia="en-US"/>
          <w14:ligatures w14:val="standardContextual"/>
        </w:rPr>
        <w:t xml:space="preserve"> </w:t>
      </w:r>
      <w:r w:rsidR="00130F2B">
        <w:rPr>
          <w:rFonts w:eastAsia="Aptos"/>
          <w:kern w:val="2"/>
          <w:lang w:eastAsia="en-US"/>
          <w14:ligatures w14:val="standardContextual"/>
        </w:rPr>
        <w:t xml:space="preserve">El instrumento de evaluación de competencias profesionales también es congruente con el nuevo modelo educativo del TecNM, pues integra los componentes de pensamiento crítico, comunicación, trabajo colaborativo, habilidades digitales, responsabilidad social y </w:t>
      </w:r>
      <w:r w:rsidR="00FB6A45">
        <w:rPr>
          <w:rFonts w:eastAsia="Aptos"/>
          <w:kern w:val="2"/>
          <w:lang w:eastAsia="en-US"/>
          <w14:ligatures w14:val="standardContextual"/>
        </w:rPr>
        <w:t xml:space="preserve">conciencia </w:t>
      </w:r>
      <w:r w:rsidR="00130F2B">
        <w:rPr>
          <w:rFonts w:eastAsia="Aptos"/>
          <w:kern w:val="2"/>
          <w:lang w:eastAsia="en-US"/>
          <w14:ligatures w14:val="standardContextual"/>
        </w:rPr>
        <w:t xml:space="preserve">ambiental, procesos de innovación, interdisciplinariedad, la </w:t>
      </w:r>
      <w:r w:rsidR="001455C7">
        <w:rPr>
          <w:rFonts w:eastAsia="Aptos"/>
          <w:kern w:val="2"/>
          <w:lang w:eastAsia="en-US"/>
          <w14:ligatures w14:val="standardContextual"/>
        </w:rPr>
        <w:t>percepción</w:t>
      </w:r>
      <w:r w:rsidR="00130F2B">
        <w:rPr>
          <w:rFonts w:eastAsia="Aptos"/>
          <w:kern w:val="2"/>
          <w:lang w:eastAsia="en-US"/>
          <w14:ligatures w14:val="standardContextual"/>
        </w:rPr>
        <w:t xml:space="preserve"> de cambio, mejora continua, autorregulación del aprendiz</w:t>
      </w:r>
      <w:r w:rsidR="00A03D66">
        <w:rPr>
          <w:rFonts w:eastAsia="Aptos"/>
          <w:kern w:val="2"/>
          <w:lang w:eastAsia="en-US"/>
          <w14:ligatures w14:val="standardContextual"/>
        </w:rPr>
        <w:t>aj</w:t>
      </w:r>
      <w:r w:rsidR="00130F2B">
        <w:rPr>
          <w:rFonts w:eastAsia="Aptos"/>
          <w:kern w:val="2"/>
          <w:lang w:eastAsia="en-US"/>
          <w14:ligatures w14:val="standardContextual"/>
        </w:rPr>
        <w:t xml:space="preserve">e, entre otros conceptos que están incluidos </w:t>
      </w:r>
      <w:r w:rsidR="006E681B">
        <w:rPr>
          <w:rFonts w:eastAsia="Aptos"/>
          <w:kern w:val="2"/>
          <w:lang w:eastAsia="en-US"/>
          <w14:ligatures w14:val="standardContextual"/>
        </w:rPr>
        <w:t>en este instrumento de evaluación estandarizado</w:t>
      </w:r>
      <w:r w:rsidR="00A03D66">
        <w:rPr>
          <w:rFonts w:eastAsia="Aptos"/>
          <w:kern w:val="2"/>
          <w:lang w:eastAsia="en-US"/>
          <w14:ligatures w14:val="standardContextual"/>
        </w:rPr>
        <w:t>, a través de</w:t>
      </w:r>
      <w:r w:rsidR="00130F2B">
        <w:rPr>
          <w:rFonts w:eastAsia="Aptos"/>
          <w:kern w:val="2"/>
          <w:lang w:eastAsia="en-US"/>
          <w14:ligatures w14:val="standardContextual"/>
        </w:rPr>
        <w:t xml:space="preserve"> los ítems redactados como resultados de aprendizaje</w:t>
      </w:r>
      <w:r w:rsidR="00FB6A45">
        <w:rPr>
          <w:rFonts w:eastAsia="Aptos"/>
          <w:kern w:val="2"/>
          <w:lang w:eastAsia="en-US"/>
          <w14:ligatures w14:val="standardContextual"/>
        </w:rPr>
        <w:t>.</w:t>
      </w:r>
    </w:p>
    <w:p w14:paraId="20F1C00F" w14:textId="165E3AAE" w:rsidR="00E00BC7" w:rsidRDefault="00E00BC7" w:rsidP="00A03D66">
      <w:pPr>
        <w:spacing w:after="0" w:line="360" w:lineRule="auto"/>
        <w:ind w:firstLine="708"/>
        <w:jc w:val="both"/>
        <w:rPr>
          <w:rFonts w:eastAsia="Aptos"/>
          <w:kern w:val="2"/>
          <w:lang w:eastAsia="en-US"/>
          <w14:ligatures w14:val="standardContextual"/>
        </w:rPr>
      </w:pPr>
      <w:r>
        <w:rPr>
          <w:rFonts w:eastAsia="Aptos"/>
          <w:kern w:val="2"/>
          <w:lang w:eastAsia="en-US"/>
          <w14:ligatures w14:val="standardContextual"/>
        </w:rPr>
        <w:t>La integración de la</w:t>
      </w:r>
      <w:r w:rsidR="0030125E">
        <w:rPr>
          <w:rFonts w:eastAsia="Aptos"/>
          <w:kern w:val="2"/>
          <w:lang w:eastAsia="en-US"/>
          <w14:ligatures w14:val="standardContextual"/>
        </w:rPr>
        <w:t>s variables latentes</w:t>
      </w:r>
      <w:r>
        <w:rPr>
          <w:rFonts w:eastAsia="Aptos"/>
          <w:kern w:val="2"/>
          <w:lang w:eastAsia="en-US"/>
          <w14:ligatures w14:val="standardContextual"/>
        </w:rPr>
        <w:t xml:space="preserve"> </w:t>
      </w:r>
      <w:r w:rsidR="006E681B" w:rsidRPr="006B7948">
        <w:rPr>
          <w:rFonts w:eastAsia="Aptos"/>
          <w:i/>
          <w:iCs/>
          <w:kern w:val="2"/>
          <w:lang w:eastAsia="en-US"/>
          <w14:ligatures w14:val="standardContextual"/>
        </w:rPr>
        <w:t>Pensamiento y l</w:t>
      </w:r>
      <w:r w:rsidRPr="006B7948">
        <w:rPr>
          <w:rFonts w:eastAsia="Aptos"/>
          <w:i/>
          <w:iCs/>
          <w:kern w:val="2"/>
          <w:lang w:eastAsia="en-US"/>
          <w14:ligatures w14:val="standardContextual"/>
        </w:rPr>
        <w:t>iteracidad crítica</w:t>
      </w:r>
      <w:r>
        <w:rPr>
          <w:rFonts w:eastAsia="Aptos"/>
          <w:kern w:val="2"/>
          <w:lang w:eastAsia="en-US"/>
          <w14:ligatures w14:val="standardContextual"/>
        </w:rPr>
        <w:t xml:space="preserve"> </w:t>
      </w:r>
      <w:r w:rsidR="002F42C0">
        <w:rPr>
          <w:rFonts w:eastAsia="Aptos"/>
          <w:kern w:val="2"/>
          <w:lang w:eastAsia="en-US"/>
          <w14:ligatures w14:val="standardContextual"/>
        </w:rPr>
        <w:t>(sentido y significado de la información verbal</w:t>
      </w:r>
      <w:r w:rsidR="00A03D66">
        <w:rPr>
          <w:rFonts w:eastAsia="Aptos"/>
          <w:kern w:val="2"/>
          <w:lang w:eastAsia="en-US"/>
          <w14:ligatures w14:val="standardContextual"/>
        </w:rPr>
        <w:t>)</w:t>
      </w:r>
      <w:r w:rsidR="002F42C0">
        <w:rPr>
          <w:rFonts w:eastAsia="Aptos"/>
          <w:kern w:val="2"/>
          <w:lang w:eastAsia="en-US"/>
          <w14:ligatures w14:val="standardContextual"/>
        </w:rPr>
        <w:t xml:space="preserve"> </w:t>
      </w:r>
      <w:r w:rsidR="006E681B">
        <w:rPr>
          <w:rFonts w:eastAsia="Aptos"/>
          <w:kern w:val="2"/>
          <w:lang w:eastAsia="en-US"/>
          <w14:ligatures w14:val="standardContextual"/>
        </w:rPr>
        <w:t xml:space="preserve">y el </w:t>
      </w:r>
      <w:r w:rsidR="0030125E" w:rsidRPr="006B7948">
        <w:rPr>
          <w:rFonts w:eastAsia="Aptos"/>
          <w:i/>
          <w:iCs/>
          <w:kern w:val="2"/>
          <w:lang w:eastAsia="en-US"/>
          <w14:ligatures w14:val="standardContextual"/>
        </w:rPr>
        <w:t>P</w:t>
      </w:r>
      <w:r w:rsidRPr="006B7948">
        <w:rPr>
          <w:rFonts w:eastAsia="Aptos"/>
          <w:i/>
          <w:iCs/>
          <w:kern w:val="2"/>
          <w:lang w:eastAsia="en-US"/>
          <w14:ligatures w14:val="standardContextual"/>
        </w:rPr>
        <w:t xml:space="preserve">ensamiento </w:t>
      </w:r>
      <w:r w:rsidR="006E681B" w:rsidRPr="006B7948">
        <w:rPr>
          <w:rFonts w:eastAsia="Aptos"/>
          <w:i/>
          <w:iCs/>
          <w:kern w:val="2"/>
          <w:lang w:eastAsia="en-US"/>
          <w14:ligatures w14:val="standardContextual"/>
        </w:rPr>
        <w:t>sistémico</w:t>
      </w:r>
      <w:r>
        <w:rPr>
          <w:rFonts w:eastAsia="Aptos"/>
          <w:kern w:val="2"/>
          <w:lang w:eastAsia="en-US"/>
          <w14:ligatures w14:val="standardContextual"/>
        </w:rPr>
        <w:t xml:space="preserve"> </w:t>
      </w:r>
      <w:r w:rsidR="004459A1">
        <w:rPr>
          <w:rFonts w:eastAsia="Aptos"/>
          <w:kern w:val="2"/>
          <w:lang w:eastAsia="en-US"/>
          <w14:ligatures w14:val="standardContextual"/>
        </w:rPr>
        <w:t>genera</w:t>
      </w:r>
      <w:r>
        <w:rPr>
          <w:rFonts w:eastAsia="Aptos"/>
          <w:kern w:val="2"/>
          <w:lang w:eastAsia="en-US"/>
          <w14:ligatures w14:val="standardContextual"/>
        </w:rPr>
        <w:t xml:space="preserve"> una sola variable denominada </w:t>
      </w:r>
      <w:r w:rsidRPr="0030125E">
        <w:rPr>
          <w:rFonts w:eastAsia="Aptos"/>
          <w:i/>
          <w:iCs/>
          <w:kern w:val="2"/>
          <w:lang w:eastAsia="en-US"/>
          <w14:ligatures w14:val="standardContextual"/>
        </w:rPr>
        <w:t>Pensamiento crítico y sistémico</w:t>
      </w:r>
      <w:r w:rsidR="004459A1">
        <w:rPr>
          <w:rFonts w:eastAsia="Aptos"/>
          <w:kern w:val="2"/>
          <w:lang w:eastAsia="en-US"/>
          <w14:ligatures w14:val="standardContextual"/>
        </w:rPr>
        <w:t xml:space="preserve">. En el mismo sentido </w:t>
      </w:r>
      <w:r w:rsidR="006E681B">
        <w:rPr>
          <w:rFonts w:eastAsia="Aptos"/>
          <w:kern w:val="2"/>
          <w:lang w:eastAsia="en-US"/>
          <w14:ligatures w14:val="standardContextual"/>
        </w:rPr>
        <w:t xml:space="preserve">de </w:t>
      </w:r>
      <w:r>
        <w:rPr>
          <w:rFonts w:eastAsia="Aptos"/>
          <w:kern w:val="2"/>
          <w:lang w:eastAsia="en-US"/>
          <w14:ligatures w14:val="standardContextual"/>
        </w:rPr>
        <w:t>la fusión de</w:t>
      </w:r>
      <w:r w:rsidR="0030125E">
        <w:rPr>
          <w:rFonts w:eastAsia="Aptos"/>
          <w:kern w:val="2"/>
          <w:lang w:eastAsia="en-US"/>
          <w14:ligatures w14:val="standardContextual"/>
        </w:rPr>
        <w:t xml:space="preserve"> las variables</w:t>
      </w:r>
      <w:r>
        <w:rPr>
          <w:rFonts w:eastAsia="Aptos"/>
          <w:kern w:val="2"/>
          <w:lang w:eastAsia="en-US"/>
          <w14:ligatures w14:val="standardContextual"/>
        </w:rPr>
        <w:t xml:space="preserve"> </w:t>
      </w:r>
      <w:r w:rsidRPr="001455C7">
        <w:rPr>
          <w:rFonts w:eastAsia="Aptos"/>
          <w:i/>
          <w:iCs/>
          <w:kern w:val="2"/>
          <w:lang w:eastAsia="en-US"/>
          <w14:ligatures w14:val="standardContextual"/>
        </w:rPr>
        <w:t>Res</w:t>
      </w:r>
      <w:r w:rsidR="00FB6A45" w:rsidRPr="001455C7">
        <w:rPr>
          <w:rFonts w:eastAsia="Aptos"/>
          <w:i/>
          <w:iCs/>
          <w:kern w:val="2"/>
          <w:lang w:eastAsia="en-US"/>
          <w14:ligatures w14:val="standardContextual"/>
        </w:rPr>
        <w:t>p</w:t>
      </w:r>
      <w:r w:rsidRPr="001455C7">
        <w:rPr>
          <w:rFonts w:eastAsia="Aptos"/>
          <w:i/>
          <w:iCs/>
          <w:kern w:val="2"/>
          <w:lang w:eastAsia="en-US"/>
          <w14:ligatures w14:val="standardContextual"/>
        </w:rPr>
        <w:t>onsabilidad social y ambiental</w:t>
      </w:r>
      <w:r>
        <w:rPr>
          <w:rFonts w:eastAsia="Aptos"/>
          <w:kern w:val="2"/>
          <w:lang w:eastAsia="en-US"/>
          <w14:ligatures w14:val="standardContextual"/>
        </w:rPr>
        <w:t xml:space="preserve"> y la </w:t>
      </w:r>
      <w:r w:rsidR="006E681B" w:rsidRPr="001455C7">
        <w:rPr>
          <w:rFonts w:eastAsia="Aptos"/>
          <w:i/>
          <w:iCs/>
          <w:kern w:val="2"/>
          <w:lang w:eastAsia="en-US"/>
          <w14:ligatures w14:val="standardContextual"/>
        </w:rPr>
        <w:t>E</w:t>
      </w:r>
      <w:r w:rsidRPr="001455C7">
        <w:rPr>
          <w:rFonts w:eastAsia="Aptos"/>
          <w:i/>
          <w:iCs/>
          <w:kern w:val="2"/>
          <w:lang w:eastAsia="en-US"/>
          <w14:ligatures w14:val="standardContextual"/>
        </w:rPr>
        <w:t xml:space="preserve">nseñanza de la comprensión y </w:t>
      </w:r>
      <w:r w:rsidR="001455C7">
        <w:rPr>
          <w:rFonts w:eastAsia="Aptos"/>
          <w:i/>
          <w:iCs/>
          <w:kern w:val="2"/>
          <w:lang w:eastAsia="en-US"/>
          <w14:ligatures w14:val="standardContextual"/>
        </w:rPr>
        <w:t xml:space="preserve">de la </w:t>
      </w:r>
      <w:r w:rsidRPr="001455C7">
        <w:rPr>
          <w:rFonts w:eastAsia="Aptos"/>
          <w:i/>
          <w:iCs/>
          <w:kern w:val="2"/>
          <w:lang w:eastAsia="en-US"/>
          <w14:ligatures w14:val="standardContextual"/>
        </w:rPr>
        <w:t>condición humana</w:t>
      </w:r>
      <w:r w:rsidR="006B7948">
        <w:rPr>
          <w:rFonts w:eastAsia="Aptos"/>
          <w:kern w:val="2"/>
          <w:lang w:eastAsia="en-US"/>
          <w14:ligatures w14:val="standardContextual"/>
        </w:rPr>
        <w:t>,</w:t>
      </w:r>
      <w:r>
        <w:rPr>
          <w:rFonts w:eastAsia="Aptos"/>
          <w:kern w:val="2"/>
          <w:lang w:eastAsia="en-US"/>
          <w14:ligatures w14:val="standardContextual"/>
        </w:rPr>
        <w:t xml:space="preserve"> </w:t>
      </w:r>
      <w:r w:rsidR="004459A1">
        <w:rPr>
          <w:rFonts w:eastAsia="Aptos"/>
          <w:kern w:val="2"/>
          <w:lang w:eastAsia="en-US"/>
          <w14:ligatures w14:val="standardContextual"/>
        </w:rPr>
        <w:t>resulta la</w:t>
      </w:r>
      <w:r>
        <w:rPr>
          <w:rFonts w:eastAsia="Aptos"/>
          <w:kern w:val="2"/>
          <w:lang w:eastAsia="en-US"/>
          <w14:ligatures w14:val="standardContextual"/>
        </w:rPr>
        <w:t xml:space="preserve"> variable latente denominada </w:t>
      </w:r>
      <w:r w:rsidR="001455C7" w:rsidRPr="001455C7">
        <w:rPr>
          <w:rFonts w:eastAsia="Aptos"/>
          <w:i/>
          <w:iCs/>
          <w:kern w:val="2"/>
          <w:lang w:eastAsia="en-US"/>
          <w14:ligatures w14:val="standardContextual"/>
        </w:rPr>
        <w:t>Formación del desarrollo humano y responsabilidad social</w:t>
      </w:r>
      <w:r w:rsidR="004459A1">
        <w:rPr>
          <w:rFonts w:eastAsia="Aptos"/>
          <w:i/>
          <w:iCs/>
          <w:kern w:val="2"/>
          <w:lang w:eastAsia="en-US"/>
          <w14:ligatures w14:val="standardContextual"/>
        </w:rPr>
        <w:t>.</w:t>
      </w:r>
      <w:r w:rsidR="0030125E">
        <w:rPr>
          <w:rFonts w:eastAsia="Aptos"/>
          <w:kern w:val="2"/>
          <w:lang w:eastAsia="en-US"/>
          <w14:ligatures w14:val="standardContextual"/>
        </w:rPr>
        <w:t xml:space="preserve"> </w:t>
      </w:r>
      <w:r w:rsidR="000B335D">
        <w:rPr>
          <w:rFonts w:eastAsia="Aptos"/>
          <w:kern w:val="2"/>
          <w:lang w:eastAsia="en-US"/>
          <w14:ligatures w14:val="standardContextual"/>
        </w:rPr>
        <w:t>En cuanto a la integración entre</w:t>
      </w:r>
      <w:r w:rsidR="0030125E">
        <w:rPr>
          <w:rFonts w:eastAsia="Aptos"/>
          <w:kern w:val="2"/>
          <w:lang w:eastAsia="en-US"/>
          <w14:ligatures w14:val="standardContextual"/>
        </w:rPr>
        <w:t xml:space="preserve"> la variable latente </w:t>
      </w:r>
      <w:r w:rsidR="0030125E" w:rsidRPr="006B7948">
        <w:rPr>
          <w:rFonts w:eastAsia="Aptos"/>
          <w:i/>
          <w:iCs/>
          <w:kern w:val="2"/>
          <w:lang w:eastAsia="en-US"/>
          <w14:ligatures w14:val="standardContextual"/>
        </w:rPr>
        <w:t>Aprendizaje autónomo y autorregulado</w:t>
      </w:r>
      <w:r w:rsidR="0030125E">
        <w:rPr>
          <w:rFonts w:eastAsia="Aptos"/>
          <w:kern w:val="2"/>
          <w:lang w:eastAsia="en-US"/>
          <w14:ligatures w14:val="standardContextual"/>
        </w:rPr>
        <w:t xml:space="preserve"> con la variable </w:t>
      </w:r>
      <w:r w:rsidR="0030125E" w:rsidRPr="006B7948">
        <w:rPr>
          <w:rFonts w:eastAsia="Aptos"/>
          <w:i/>
          <w:iCs/>
          <w:kern w:val="2"/>
          <w:lang w:eastAsia="en-US"/>
          <w14:ligatures w14:val="standardContextual"/>
        </w:rPr>
        <w:t>Capacidad de resolver problemas</w:t>
      </w:r>
      <w:r w:rsidR="0030125E">
        <w:rPr>
          <w:rFonts w:eastAsia="Aptos"/>
          <w:kern w:val="2"/>
          <w:lang w:eastAsia="en-US"/>
          <w14:ligatures w14:val="standardContextual"/>
        </w:rPr>
        <w:t>,</w:t>
      </w:r>
      <w:r w:rsidR="004459A1">
        <w:rPr>
          <w:rFonts w:eastAsia="Aptos"/>
          <w:kern w:val="2"/>
          <w:lang w:eastAsia="en-US"/>
          <w14:ligatures w14:val="standardContextual"/>
        </w:rPr>
        <w:t xml:space="preserve"> </w:t>
      </w:r>
      <w:r w:rsidR="00554091">
        <w:rPr>
          <w:rFonts w:eastAsia="Aptos"/>
          <w:kern w:val="2"/>
          <w:lang w:eastAsia="en-US"/>
          <w14:ligatures w14:val="standardContextual"/>
        </w:rPr>
        <w:t xml:space="preserve">el análisis factorial </w:t>
      </w:r>
      <w:r w:rsidR="004459A1">
        <w:rPr>
          <w:rFonts w:eastAsia="Aptos"/>
          <w:kern w:val="2"/>
          <w:lang w:eastAsia="en-US"/>
          <w14:ligatures w14:val="standardContextual"/>
        </w:rPr>
        <w:t>produce</w:t>
      </w:r>
      <w:r w:rsidR="0030125E">
        <w:rPr>
          <w:rFonts w:eastAsia="Aptos"/>
          <w:kern w:val="2"/>
          <w:lang w:eastAsia="en-US"/>
          <w14:ligatures w14:val="standardContextual"/>
        </w:rPr>
        <w:t xml:space="preserve"> una sola variable </w:t>
      </w:r>
      <w:r w:rsidR="004459A1">
        <w:rPr>
          <w:rFonts w:eastAsia="Aptos"/>
          <w:kern w:val="2"/>
          <w:lang w:eastAsia="en-US"/>
          <w14:ligatures w14:val="standardContextual"/>
        </w:rPr>
        <w:t>identificada como</w:t>
      </w:r>
      <w:r w:rsidR="0030125E">
        <w:rPr>
          <w:rFonts w:eastAsia="Aptos"/>
          <w:kern w:val="2"/>
          <w:lang w:eastAsia="en-US"/>
          <w14:ligatures w14:val="standardContextual"/>
        </w:rPr>
        <w:t xml:space="preserve"> </w:t>
      </w:r>
      <w:r w:rsidR="001455C7" w:rsidRPr="001455C7">
        <w:rPr>
          <w:rFonts w:eastAsia="Aptos"/>
          <w:i/>
          <w:iCs/>
          <w:kern w:val="2"/>
          <w:lang w:eastAsia="en-US"/>
          <w14:ligatures w14:val="standardContextual"/>
        </w:rPr>
        <w:t>Aprendizaje autorregulado en la resolución de problemas complejos</w:t>
      </w:r>
      <w:r w:rsidR="004459A1">
        <w:rPr>
          <w:rFonts w:eastAsia="Aptos"/>
          <w:i/>
          <w:iCs/>
          <w:kern w:val="2"/>
          <w:lang w:eastAsia="en-US"/>
          <w14:ligatures w14:val="standardContextual"/>
        </w:rPr>
        <w:t>.</w:t>
      </w:r>
      <w:r w:rsidR="00F061CF">
        <w:rPr>
          <w:rFonts w:eastAsia="Aptos"/>
          <w:kern w:val="2"/>
          <w:lang w:eastAsia="en-US"/>
          <w14:ligatures w14:val="standardContextual"/>
        </w:rPr>
        <w:t xml:space="preserve"> </w:t>
      </w:r>
      <w:r w:rsidR="00F667B2">
        <w:rPr>
          <w:rFonts w:eastAsia="Aptos"/>
          <w:kern w:val="2"/>
          <w:lang w:eastAsia="en-US"/>
          <w14:ligatures w14:val="standardContextual"/>
        </w:rPr>
        <w:t>Esto permite concluir que el modelo teórico se simplifica de once variables latentes a ocho, sin perder sustento teórico</w:t>
      </w:r>
      <w:r w:rsidR="0087176B">
        <w:rPr>
          <w:rFonts w:eastAsia="Aptos"/>
          <w:kern w:val="2"/>
          <w:lang w:eastAsia="en-US"/>
          <w14:ligatures w14:val="standardContextual"/>
        </w:rPr>
        <w:t>.</w:t>
      </w:r>
      <w:r w:rsidR="00F667B2">
        <w:rPr>
          <w:rFonts w:eastAsia="Aptos"/>
          <w:kern w:val="2"/>
          <w:lang w:eastAsia="en-US"/>
          <w14:ligatures w14:val="standardContextual"/>
        </w:rPr>
        <w:t xml:space="preserve"> Además, en cada variable latente se percibe alineación </w:t>
      </w:r>
      <w:r w:rsidR="0087176B">
        <w:rPr>
          <w:rFonts w:eastAsia="Aptos"/>
          <w:kern w:val="2"/>
          <w:lang w:eastAsia="en-US"/>
          <w14:ligatures w14:val="standardContextual"/>
        </w:rPr>
        <w:t>c</w:t>
      </w:r>
      <w:r w:rsidR="00F667B2">
        <w:rPr>
          <w:rFonts w:eastAsia="Aptos"/>
          <w:kern w:val="2"/>
          <w:lang w:eastAsia="en-US"/>
          <w14:ligatures w14:val="standardContextual"/>
        </w:rPr>
        <w:t xml:space="preserve">on el nuevo modelo educativo del TecNM, tal es el caso del </w:t>
      </w:r>
      <w:r w:rsidR="00175268" w:rsidRPr="00175268">
        <w:rPr>
          <w:rFonts w:eastAsia="Aptos"/>
          <w:i/>
          <w:iCs/>
          <w:kern w:val="2"/>
          <w:lang w:eastAsia="en-US"/>
          <w14:ligatures w14:val="standardContextual"/>
        </w:rPr>
        <w:t>A</w:t>
      </w:r>
      <w:r w:rsidR="00F667B2" w:rsidRPr="00175268">
        <w:rPr>
          <w:rFonts w:eastAsia="Aptos"/>
          <w:i/>
          <w:iCs/>
          <w:kern w:val="2"/>
          <w:lang w:eastAsia="en-US"/>
          <w14:ligatures w14:val="standardContextual"/>
        </w:rPr>
        <w:t xml:space="preserve">prendizaje </w:t>
      </w:r>
      <w:r w:rsidR="00554091">
        <w:rPr>
          <w:rFonts w:eastAsia="Aptos"/>
          <w:i/>
          <w:iCs/>
          <w:kern w:val="2"/>
          <w:lang w:eastAsia="en-US"/>
          <w14:ligatures w14:val="standardContextual"/>
        </w:rPr>
        <w:t xml:space="preserve">autónomo y </w:t>
      </w:r>
      <w:r w:rsidR="00F667B2" w:rsidRPr="00175268">
        <w:rPr>
          <w:rFonts w:eastAsia="Aptos"/>
          <w:i/>
          <w:iCs/>
          <w:kern w:val="2"/>
          <w:lang w:eastAsia="en-US"/>
          <w14:ligatures w14:val="standardContextual"/>
        </w:rPr>
        <w:t>autorregulado</w:t>
      </w:r>
      <w:r w:rsidR="00F667B2">
        <w:rPr>
          <w:rFonts w:eastAsia="Aptos"/>
          <w:kern w:val="2"/>
          <w:lang w:eastAsia="en-US"/>
          <w14:ligatures w14:val="standardContextual"/>
        </w:rPr>
        <w:t xml:space="preserve">, que permite crear un </w:t>
      </w:r>
      <w:r w:rsidR="00F061CF">
        <w:rPr>
          <w:rFonts w:eastAsia="Aptos"/>
          <w:kern w:val="2"/>
          <w:lang w:eastAsia="en-US"/>
          <w14:ligatures w14:val="standardContextual"/>
        </w:rPr>
        <w:t>sistema de andamiaje “como un estado de mayor conciencia de sí mismo</w:t>
      </w:r>
      <w:r w:rsidR="00BA4377">
        <w:rPr>
          <w:rFonts w:eastAsia="Aptos"/>
          <w:kern w:val="2"/>
          <w:lang w:eastAsia="en-US"/>
          <w14:ligatures w14:val="standardContextual"/>
        </w:rPr>
        <w:t>” (TecNM, 2024, p. 89)</w:t>
      </w:r>
      <w:r w:rsidR="00F061CF">
        <w:rPr>
          <w:rFonts w:eastAsia="Aptos"/>
          <w:kern w:val="2"/>
          <w:lang w:eastAsia="en-US"/>
          <w14:ligatures w14:val="standardContextual"/>
        </w:rPr>
        <w:t xml:space="preserve"> y sus habilidades</w:t>
      </w:r>
      <w:r w:rsidR="00F667B2">
        <w:rPr>
          <w:rFonts w:eastAsia="Aptos"/>
          <w:kern w:val="2"/>
          <w:lang w:eastAsia="en-US"/>
          <w14:ligatures w14:val="standardContextual"/>
        </w:rPr>
        <w:t>. Las demás variables también</w:t>
      </w:r>
      <w:r w:rsidR="002F42C0">
        <w:rPr>
          <w:rFonts w:eastAsia="Aptos"/>
          <w:i/>
          <w:iCs/>
          <w:kern w:val="2"/>
          <w:lang w:eastAsia="en-US"/>
          <w14:ligatures w14:val="standardContextual"/>
        </w:rPr>
        <w:t xml:space="preserve"> </w:t>
      </w:r>
      <w:r w:rsidR="002F42C0">
        <w:rPr>
          <w:rFonts w:eastAsia="Aptos"/>
          <w:kern w:val="2"/>
          <w:lang w:eastAsia="en-US"/>
          <w14:ligatures w14:val="standardContextual"/>
        </w:rPr>
        <w:t>están implícit</w:t>
      </w:r>
      <w:r w:rsidR="000B335D">
        <w:rPr>
          <w:rFonts w:eastAsia="Aptos"/>
          <w:kern w:val="2"/>
          <w:lang w:eastAsia="en-US"/>
          <w14:ligatures w14:val="standardContextual"/>
        </w:rPr>
        <w:t>a</w:t>
      </w:r>
      <w:r w:rsidR="002F42C0">
        <w:rPr>
          <w:rFonts w:eastAsia="Aptos"/>
          <w:kern w:val="2"/>
          <w:lang w:eastAsia="en-US"/>
          <w14:ligatures w14:val="standardContextual"/>
        </w:rPr>
        <w:t>s en</w:t>
      </w:r>
      <w:r>
        <w:rPr>
          <w:rFonts w:eastAsia="Aptos"/>
          <w:kern w:val="2"/>
          <w:lang w:eastAsia="en-US"/>
          <w14:ligatures w14:val="standardContextual"/>
        </w:rPr>
        <w:t xml:space="preserve"> el nuevo Modelo educativo del TecNM</w:t>
      </w:r>
      <w:r w:rsidR="0030125E">
        <w:rPr>
          <w:rFonts w:eastAsia="Aptos"/>
          <w:kern w:val="2"/>
          <w:lang w:eastAsia="en-US"/>
          <w14:ligatures w14:val="standardContextual"/>
        </w:rPr>
        <w:t>, ya que estos conceptos tratan de formar estudiantes que no sólo procesen la información para resolver problemas</w:t>
      </w:r>
      <w:r w:rsidR="003338B3">
        <w:rPr>
          <w:rFonts w:eastAsia="Aptos"/>
          <w:kern w:val="2"/>
          <w:lang w:eastAsia="en-US"/>
          <w14:ligatures w14:val="standardContextual"/>
        </w:rPr>
        <w:t>, sino tambi</w:t>
      </w:r>
      <w:r w:rsidR="00F667B2">
        <w:rPr>
          <w:rFonts w:eastAsia="Aptos"/>
          <w:kern w:val="2"/>
          <w:lang w:eastAsia="en-US"/>
          <w14:ligatures w14:val="standardContextual"/>
        </w:rPr>
        <w:t xml:space="preserve">én la formación de </w:t>
      </w:r>
      <w:r w:rsidR="003338B3">
        <w:rPr>
          <w:rFonts w:eastAsia="Aptos"/>
          <w:kern w:val="2"/>
          <w:lang w:eastAsia="en-US"/>
          <w14:ligatures w14:val="standardContextual"/>
        </w:rPr>
        <w:t>un individuo consciente “sobre la respo</w:t>
      </w:r>
      <w:r w:rsidR="00F667B2">
        <w:rPr>
          <w:rFonts w:eastAsia="Aptos"/>
          <w:kern w:val="2"/>
          <w:lang w:eastAsia="en-US"/>
          <w14:ligatures w14:val="standardContextual"/>
        </w:rPr>
        <w:t>n</w:t>
      </w:r>
      <w:r w:rsidR="003338B3">
        <w:rPr>
          <w:rFonts w:eastAsia="Aptos"/>
          <w:kern w:val="2"/>
          <w:lang w:eastAsia="en-US"/>
          <w14:ligatures w14:val="standardContextual"/>
        </w:rPr>
        <w:t>sabilidad social y tecnológica que enmarca su quehacer profesional</w:t>
      </w:r>
      <w:r w:rsidR="00BA4377">
        <w:rPr>
          <w:rFonts w:eastAsia="Aptos"/>
          <w:kern w:val="2"/>
          <w:lang w:eastAsia="en-US"/>
          <w14:ligatures w14:val="standardContextual"/>
        </w:rPr>
        <w:t xml:space="preserve"> (TecNM, 2024, p.131)</w:t>
      </w:r>
      <w:r w:rsidR="003338B3">
        <w:rPr>
          <w:rFonts w:eastAsia="Aptos"/>
          <w:kern w:val="2"/>
          <w:lang w:eastAsia="en-US"/>
          <w14:ligatures w14:val="standardContextual"/>
        </w:rPr>
        <w:t>”.</w:t>
      </w:r>
    </w:p>
    <w:p w14:paraId="0B03ECD8" w14:textId="105C8BE9" w:rsidR="006B7948" w:rsidRDefault="0069321F" w:rsidP="007F29C2">
      <w:pPr>
        <w:spacing w:after="0" w:line="360" w:lineRule="auto"/>
        <w:ind w:firstLine="708"/>
        <w:jc w:val="both"/>
        <w:rPr>
          <w:rFonts w:eastAsia="Aptos"/>
          <w:kern w:val="2"/>
          <w:lang w:eastAsia="en-US"/>
          <w14:ligatures w14:val="standardContextual"/>
        </w:rPr>
      </w:pPr>
      <w:r>
        <w:rPr>
          <w:rFonts w:eastAsia="Aptos"/>
          <w:kern w:val="2"/>
          <w:lang w:eastAsia="en-US"/>
          <w14:ligatures w14:val="standardContextual"/>
        </w:rPr>
        <w:t>Es importante señalar que l</w:t>
      </w:r>
      <w:r w:rsidRPr="0069321F">
        <w:rPr>
          <w:rFonts w:eastAsia="Aptos"/>
          <w:kern w:val="2"/>
          <w:lang w:eastAsia="en-US"/>
          <w14:ligatures w14:val="standardContextual"/>
        </w:rPr>
        <w:t xml:space="preserve">a variable </w:t>
      </w:r>
      <w:r w:rsidRPr="0069321F">
        <w:rPr>
          <w:rFonts w:eastAsia="Aptos"/>
          <w:i/>
          <w:iCs/>
          <w:kern w:val="2"/>
          <w:lang w:eastAsia="en-US"/>
          <w14:ligatures w14:val="standardContextual"/>
        </w:rPr>
        <w:t>Comunicación y alfabetización digital</w:t>
      </w:r>
      <w:r w:rsidRPr="0069321F">
        <w:rPr>
          <w:rFonts w:eastAsia="Aptos"/>
          <w:kern w:val="2"/>
          <w:lang w:eastAsia="en-US"/>
          <w14:ligatures w14:val="standardContextual"/>
        </w:rPr>
        <w:t xml:space="preserve"> </w:t>
      </w:r>
      <w:r>
        <w:rPr>
          <w:rFonts w:eastAsia="Aptos"/>
          <w:kern w:val="2"/>
          <w:lang w:eastAsia="en-US"/>
          <w14:ligatures w14:val="standardContextual"/>
        </w:rPr>
        <w:t>también s</w:t>
      </w:r>
      <w:r w:rsidRPr="0069321F">
        <w:rPr>
          <w:rFonts w:eastAsia="Aptos"/>
          <w:kern w:val="2"/>
          <w:lang w:eastAsia="en-US"/>
          <w14:ligatures w14:val="standardContextual"/>
        </w:rPr>
        <w:t>e alinea con la capacidad dialógica promovida por el Modelo Educativo del TecNM, al fortalecer la interacción entre el sujeto, su entorno y las tecnologías digitales</w:t>
      </w:r>
      <w:r>
        <w:rPr>
          <w:rFonts w:eastAsia="Aptos"/>
          <w:kern w:val="2"/>
          <w:lang w:eastAsia="en-US"/>
          <w14:ligatures w14:val="standardContextual"/>
        </w:rPr>
        <w:t>, aspectos que son críticos en la función docente.</w:t>
      </w:r>
      <w:r w:rsidRPr="0069321F">
        <w:rPr>
          <w:rFonts w:eastAsia="Aptos"/>
          <w:kern w:val="2"/>
          <w:lang w:eastAsia="en-US"/>
          <w14:ligatures w14:val="standardContextual"/>
        </w:rPr>
        <w:t xml:space="preserve"> </w:t>
      </w:r>
      <w:r w:rsidR="001D4500">
        <w:rPr>
          <w:rFonts w:eastAsia="Aptos"/>
          <w:kern w:val="2"/>
          <w:lang w:eastAsia="en-US"/>
          <w14:ligatures w14:val="standardContextual"/>
        </w:rPr>
        <w:t>Para profesores de educación superior, medir e</w:t>
      </w:r>
      <w:r w:rsidRPr="0069321F">
        <w:rPr>
          <w:rFonts w:eastAsia="Aptos"/>
          <w:kern w:val="2"/>
          <w:lang w:eastAsia="en-US"/>
          <w14:ligatures w14:val="standardContextual"/>
        </w:rPr>
        <w:t xml:space="preserve">sta </w:t>
      </w:r>
      <w:r w:rsidRPr="0069321F">
        <w:rPr>
          <w:rFonts w:eastAsia="Aptos"/>
          <w:kern w:val="2"/>
          <w:lang w:eastAsia="en-US"/>
          <w14:ligatures w14:val="standardContextual"/>
        </w:rPr>
        <w:lastRenderedPageBreak/>
        <w:t xml:space="preserve">capacidad </w:t>
      </w:r>
      <w:r w:rsidR="006F5BEB">
        <w:rPr>
          <w:rFonts w:eastAsia="Aptos"/>
          <w:kern w:val="2"/>
          <w:lang w:eastAsia="en-US"/>
          <w14:ligatures w14:val="standardContextual"/>
        </w:rPr>
        <w:t xml:space="preserve">es útil porque </w:t>
      </w:r>
      <w:r w:rsidRPr="0069321F">
        <w:rPr>
          <w:rFonts w:eastAsia="Aptos"/>
          <w:kern w:val="2"/>
          <w:lang w:eastAsia="en-US"/>
          <w14:ligatures w14:val="standardContextual"/>
        </w:rPr>
        <w:t>no solo permite la expresión y comprensión de ideas en entornos virtuales, sino que también impulsa el desarrollo de competencias socio-tecnológicas, especialmente aquellas relacionadas con la inclusión, la ética y la transformación del entorno mediante la ciencia y la tecnología</w:t>
      </w:r>
      <w:r w:rsidR="001974C2">
        <w:rPr>
          <w:rFonts w:eastAsia="Aptos"/>
          <w:kern w:val="2"/>
          <w:lang w:eastAsia="en-US"/>
          <w14:ligatures w14:val="standardContextual"/>
        </w:rPr>
        <w:t>.</w:t>
      </w:r>
    </w:p>
    <w:p w14:paraId="470E493E" w14:textId="20660A00" w:rsidR="003338B3" w:rsidRDefault="000B335D" w:rsidP="007F29C2">
      <w:pPr>
        <w:spacing w:after="0" w:line="360" w:lineRule="auto"/>
        <w:ind w:firstLine="708"/>
        <w:jc w:val="both"/>
        <w:rPr>
          <w:rFonts w:eastAsia="Aptos"/>
          <w:kern w:val="2"/>
          <w:lang w:eastAsia="en-US"/>
          <w14:ligatures w14:val="standardContextual"/>
        </w:rPr>
      </w:pPr>
      <w:r>
        <w:rPr>
          <w:rFonts w:eastAsia="Aptos"/>
          <w:kern w:val="2"/>
          <w:lang w:eastAsia="en-US"/>
          <w14:ligatures w14:val="standardContextual"/>
        </w:rPr>
        <w:t xml:space="preserve">Con respecto a </w:t>
      </w:r>
      <w:r w:rsidR="00F667B2">
        <w:rPr>
          <w:rFonts w:eastAsia="Aptos"/>
          <w:kern w:val="2"/>
          <w:lang w:eastAsia="en-US"/>
          <w14:ligatures w14:val="standardContextual"/>
        </w:rPr>
        <w:t>la capacitación de profesores</w:t>
      </w:r>
      <w:r w:rsidR="0087176B">
        <w:rPr>
          <w:rFonts w:eastAsia="Aptos"/>
          <w:kern w:val="2"/>
          <w:lang w:eastAsia="en-US"/>
          <w14:ligatures w14:val="standardContextual"/>
        </w:rPr>
        <w:t xml:space="preserve"> para implementar el nuevo modelo educativo,</w:t>
      </w:r>
      <w:r w:rsidR="00F667B2">
        <w:rPr>
          <w:rFonts w:eastAsia="Aptos"/>
          <w:kern w:val="2"/>
          <w:lang w:eastAsia="en-US"/>
          <w14:ligatures w14:val="standardContextual"/>
        </w:rPr>
        <w:t xml:space="preserve"> </w:t>
      </w:r>
      <w:r w:rsidR="003338B3">
        <w:rPr>
          <w:rFonts w:eastAsia="Aptos"/>
          <w:kern w:val="2"/>
          <w:lang w:eastAsia="en-US"/>
          <w14:ligatures w14:val="standardContextual"/>
        </w:rPr>
        <w:t xml:space="preserve">es necesario que se incluya en la </w:t>
      </w:r>
      <w:r>
        <w:rPr>
          <w:rFonts w:eastAsia="Aptos"/>
          <w:kern w:val="2"/>
          <w:lang w:eastAsia="en-US"/>
          <w14:ligatures w14:val="standardContextual"/>
        </w:rPr>
        <w:t>formación</w:t>
      </w:r>
      <w:r w:rsidR="003338B3">
        <w:rPr>
          <w:rFonts w:eastAsia="Aptos"/>
          <w:kern w:val="2"/>
          <w:lang w:eastAsia="en-US"/>
          <w14:ligatures w14:val="standardContextual"/>
        </w:rPr>
        <w:t xml:space="preserve"> docente el diseño y validación estadística de los instrumentos de evaluación del aprendizaje, pues esto se correlaciona con la evaluación de competencias profesionales, mismas que </w:t>
      </w:r>
      <w:r w:rsidR="00FB5F18">
        <w:rPr>
          <w:rFonts w:eastAsia="Aptos"/>
          <w:kern w:val="2"/>
          <w:lang w:eastAsia="en-US"/>
          <w14:ligatures w14:val="standardContextual"/>
        </w:rPr>
        <w:t xml:space="preserve">pueden </w:t>
      </w:r>
      <w:r w:rsidR="001974C2">
        <w:rPr>
          <w:rFonts w:eastAsia="Aptos"/>
          <w:kern w:val="2"/>
          <w:lang w:eastAsia="en-US"/>
          <w14:ligatures w14:val="standardContextual"/>
        </w:rPr>
        <w:t>activar la evaluación del diseño curricular, con proyectos de investi</w:t>
      </w:r>
      <w:r w:rsidR="00BA4377">
        <w:rPr>
          <w:rFonts w:eastAsia="Aptos"/>
          <w:kern w:val="2"/>
          <w:lang w:eastAsia="en-US"/>
          <w14:ligatures w14:val="standardContextual"/>
        </w:rPr>
        <w:t>g</w:t>
      </w:r>
      <w:r w:rsidR="001974C2">
        <w:rPr>
          <w:rFonts w:eastAsia="Aptos"/>
          <w:kern w:val="2"/>
          <w:lang w:eastAsia="en-US"/>
          <w14:ligatures w14:val="standardContextual"/>
        </w:rPr>
        <w:t xml:space="preserve">ación educativa, evaluando </w:t>
      </w:r>
      <w:r w:rsidR="00FB5F18">
        <w:rPr>
          <w:rFonts w:eastAsia="Aptos"/>
          <w:kern w:val="2"/>
          <w:lang w:eastAsia="en-US"/>
          <w14:ligatures w14:val="standardContextual"/>
        </w:rPr>
        <w:t xml:space="preserve">su impacto </w:t>
      </w:r>
      <w:r w:rsidR="001974C2">
        <w:rPr>
          <w:rFonts w:eastAsia="Aptos"/>
          <w:kern w:val="2"/>
          <w:lang w:eastAsia="en-US"/>
          <w14:ligatures w14:val="standardContextual"/>
        </w:rPr>
        <w:t>en</w:t>
      </w:r>
      <w:r w:rsidR="00FB5F18">
        <w:rPr>
          <w:rFonts w:eastAsia="Aptos"/>
          <w:kern w:val="2"/>
          <w:lang w:eastAsia="en-US"/>
          <w14:ligatures w14:val="standardContextual"/>
        </w:rPr>
        <w:t xml:space="preserve"> las categorías formativas</w:t>
      </w:r>
      <w:r w:rsidR="0087176B">
        <w:rPr>
          <w:rFonts w:eastAsia="Aptos"/>
          <w:kern w:val="2"/>
          <w:lang w:eastAsia="en-US"/>
          <w14:ligatures w14:val="standardContextual"/>
        </w:rPr>
        <w:t xml:space="preserve"> del modelo educativo</w:t>
      </w:r>
      <w:r w:rsidR="00A626B1">
        <w:rPr>
          <w:rFonts w:eastAsia="Aptos"/>
          <w:kern w:val="2"/>
          <w:lang w:eastAsia="en-US"/>
          <w14:ligatures w14:val="standardContextual"/>
        </w:rPr>
        <w:t xml:space="preserve"> publicado</w:t>
      </w:r>
      <w:r w:rsidR="001974C2">
        <w:rPr>
          <w:rFonts w:eastAsia="Aptos"/>
          <w:kern w:val="2"/>
          <w:lang w:eastAsia="en-US"/>
          <w14:ligatures w14:val="standardContextual"/>
        </w:rPr>
        <w:t>:</w:t>
      </w:r>
      <w:r w:rsidR="00FB5F18" w:rsidRPr="0087176B">
        <w:rPr>
          <w:rFonts w:eastAsia="Aptos"/>
          <w:i/>
          <w:iCs/>
          <w:kern w:val="2"/>
          <w:lang w:eastAsia="en-US"/>
          <w14:ligatures w14:val="standardContextual"/>
        </w:rPr>
        <w:t xml:space="preserve"> Formación psicopedagógica </w:t>
      </w:r>
      <w:r w:rsidR="00F667B2" w:rsidRPr="0087176B">
        <w:rPr>
          <w:rFonts w:eastAsia="Aptos"/>
          <w:i/>
          <w:iCs/>
          <w:kern w:val="2"/>
          <w:lang w:eastAsia="en-US"/>
          <w14:ligatures w14:val="standardContextual"/>
        </w:rPr>
        <w:t>d</w:t>
      </w:r>
      <w:r w:rsidR="00FB5F18" w:rsidRPr="0087176B">
        <w:rPr>
          <w:rFonts w:eastAsia="Aptos"/>
          <w:i/>
          <w:iCs/>
          <w:kern w:val="2"/>
          <w:lang w:eastAsia="en-US"/>
          <w14:ligatures w14:val="standardContextual"/>
        </w:rPr>
        <w:t>e investigación educativa y la Gestión edu</w:t>
      </w:r>
      <w:r w:rsidR="00BA4377">
        <w:rPr>
          <w:rFonts w:eastAsia="Aptos"/>
          <w:i/>
          <w:iCs/>
          <w:kern w:val="2"/>
          <w:lang w:eastAsia="en-US"/>
          <w14:ligatures w14:val="standardContextual"/>
        </w:rPr>
        <w:t>c</w:t>
      </w:r>
      <w:r w:rsidR="00FB5F18" w:rsidRPr="0087176B">
        <w:rPr>
          <w:rFonts w:eastAsia="Aptos"/>
          <w:i/>
          <w:iCs/>
          <w:kern w:val="2"/>
          <w:lang w:eastAsia="en-US"/>
          <w14:ligatures w14:val="standardContextual"/>
        </w:rPr>
        <w:t>ativa y el liderazgo</w:t>
      </w:r>
      <w:r w:rsidR="00FB5F18">
        <w:rPr>
          <w:rFonts w:eastAsia="Aptos"/>
          <w:kern w:val="2"/>
          <w:lang w:eastAsia="en-US"/>
          <w14:ligatures w14:val="standardContextual"/>
        </w:rPr>
        <w:t>.</w:t>
      </w:r>
    </w:p>
    <w:p w14:paraId="3E969FD0" w14:textId="54E5E442" w:rsidR="00CF72C1" w:rsidRDefault="00CF72C1" w:rsidP="007F29C2">
      <w:pPr>
        <w:spacing w:after="0" w:line="360" w:lineRule="auto"/>
        <w:ind w:firstLine="708"/>
        <w:jc w:val="both"/>
        <w:rPr>
          <w:rFonts w:eastAsia="Aptos"/>
          <w:kern w:val="2"/>
          <w:lang w:eastAsia="en-US"/>
          <w14:ligatures w14:val="standardContextual"/>
        </w:rPr>
      </w:pPr>
      <w:r w:rsidRPr="00CF72C1">
        <w:rPr>
          <w:rFonts w:eastAsia="Aptos"/>
          <w:kern w:val="2"/>
          <w:lang w:eastAsia="en-US"/>
          <w14:ligatures w14:val="standardContextual"/>
        </w:rPr>
        <w:t>Como pauta</w:t>
      </w:r>
      <w:r>
        <w:rPr>
          <w:rFonts w:eastAsia="Aptos"/>
          <w:kern w:val="2"/>
          <w:lang w:eastAsia="en-US"/>
          <w14:ligatures w14:val="standardContextual"/>
        </w:rPr>
        <w:t xml:space="preserve"> trascendente </w:t>
      </w:r>
      <w:r w:rsidRPr="00CF72C1">
        <w:rPr>
          <w:rFonts w:eastAsia="Aptos"/>
          <w:kern w:val="2"/>
          <w:lang w:eastAsia="en-US"/>
          <w14:ligatures w14:val="standardContextual"/>
        </w:rPr>
        <w:t>de este proyecto de investigación</w:t>
      </w:r>
      <w:r>
        <w:rPr>
          <w:rFonts w:eastAsia="Aptos"/>
          <w:kern w:val="2"/>
          <w:lang w:eastAsia="en-US"/>
          <w14:ligatures w14:val="standardContextual"/>
        </w:rPr>
        <w:t>,</w:t>
      </w:r>
      <w:r w:rsidRPr="00CF72C1">
        <w:rPr>
          <w:rFonts w:eastAsia="Aptos"/>
          <w:kern w:val="2"/>
          <w:lang w:eastAsia="en-US"/>
          <w14:ligatures w14:val="standardContextual"/>
        </w:rPr>
        <w:t xml:space="preserve"> podemos señalar que el instrumento de evaluación de competencias obtenido, compuesto con ocho variables latentes y 52 ítems</w:t>
      </w:r>
      <w:r w:rsidR="00554091">
        <w:rPr>
          <w:rFonts w:eastAsia="Aptos"/>
          <w:kern w:val="2"/>
          <w:lang w:eastAsia="en-US"/>
          <w14:ligatures w14:val="standardContextual"/>
        </w:rPr>
        <w:t xml:space="preserve"> </w:t>
      </w:r>
      <w:r w:rsidRPr="00CF72C1">
        <w:rPr>
          <w:rFonts w:eastAsia="Aptos"/>
          <w:kern w:val="2"/>
          <w:lang w:eastAsia="en-US"/>
          <w14:ligatures w14:val="standardContextual"/>
        </w:rPr>
        <w:t xml:space="preserve">puede ser utilizado como base para la evaluación de competencias profesionales en el contexto de educación superior. </w:t>
      </w:r>
      <w:r>
        <w:rPr>
          <w:rFonts w:eastAsia="Aptos"/>
          <w:kern w:val="2"/>
          <w:lang w:eastAsia="en-US"/>
          <w14:ligatures w14:val="standardContextual"/>
        </w:rPr>
        <w:t xml:space="preserve">Es decir, las ocho variables latentes se pueden </w:t>
      </w:r>
      <w:r w:rsidR="00E76A79">
        <w:rPr>
          <w:rFonts w:eastAsia="Aptos"/>
          <w:kern w:val="2"/>
          <w:lang w:eastAsia="en-US"/>
          <w14:ligatures w14:val="standardContextual"/>
        </w:rPr>
        <w:t>relacionar con</w:t>
      </w:r>
      <w:r>
        <w:rPr>
          <w:rFonts w:eastAsia="Aptos"/>
          <w:kern w:val="2"/>
          <w:lang w:eastAsia="en-US"/>
          <w14:ligatures w14:val="standardContextual"/>
        </w:rPr>
        <w:t xml:space="preserve"> las competencias profesionales en la formación de ingenieros y los 52 ítems como variables observables redactadas como resultados de aprendizaje. La Figura 3 muestra esquemáticamente un ejemplo de aplicación </w:t>
      </w:r>
      <w:r w:rsidR="00D62822">
        <w:rPr>
          <w:rFonts w:eastAsia="Aptos"/>
          <w:kern w:val="2"/>
          <w:lang w:eastAsia="en-US"/>
          <w14:ligatures w14:val="standardContextual"/>
        </w:rPr>
        <w:t>de las variables observa</w:t>
      </w:r>
      <w:r w:rsidR="00CC4CC5">
        <w:rPr>
          <w:rFonts w:eastAsia="Aptos"/>
          <w:kern w:val="2"/>
          <w:lang w:eastAsia="en-US"/>
          <w14:ligatures w14:val="standardContextual"/>
        </w:rPr>
        <w:t>bles</w:t>
      </w:r>
      <w:r w:rsidR="00D62822">
        <w:rPr>
          <w:rFonts w:eastAsia="Aptos"/>
          <w:kern w:val="2"/>
          <w:lang w:eastAsia="en-US"/>
          <w14:ligatures w14:val="standardContextual"/>
        </w:rPr>
        <w:t xml:space="preserve"> como indicadores de desempeño </w:t>
      </w:r>
      <w:r>
        <w:rPr>
          <w:rFonts w:eastAsia="Aptos"/>
          <w:kern w:val="2"/>
          <w:lang w:eastAsia="en-US"/>
          <w14:ligatures w14:val="standardContextual"/>
        </w:rPr>
        <w:t>para la evaluación de la competencia profesional</w:t>
      </w:r>
      <w:r w:rsidR="001D4500">
        <w:rPr>
          <w:rFonts w:eastAsia="Aptos"/>
          <w:kern w:val="2"/>
          <w:lang w:eastAsia="en-US"/>
          <w14:ligatures w14:val="standardContextual"/>
        </w:rPr>
        <w:t>:</w:t>
      </w:r>
      <w:r>
        <w:rPr>
          <w:rFonts w:eastAsia="Aptos"/>
          <w:kern w:val="2"/>
          <w:lang w:eastAsia="en-US"/>
          <w14:ligatures w14:val="standardContextual"/>
        </w:rPr>
        <w:t xml:space="preserve"> </w:t>
      </w:r>
      <w:r w:rsidRPr="00CF72C1">
        <w:rPr>
          <w:rFonts w:eastAsia="Aptos"/>
          <w:i/>
          <w:iCs/>
          <w:kern w:val="2"/>
          <w:lang w:eastAsia="en-US"/>
          <w14:ligatures w14:val="standardContextual"/>
        </w:rPr>
        <w:t>diseñ</w:t>
      </w:r>
      <w:r w:rsidR="009D49B7">
        <w:rPr>
          <w:rFonts w:eastAsia="Aptos"/>
          <w:i/>
          <w:iCs/>
          <w:kern w:val="2"/>
          <w:lang w:eastAsia="en-US"/>
          <w14:ligatures w14:val="standardContextual"/>
        </w:rPr>
        <w:t>o</w:t>
      </w:r>
      <w:r w:rsidRPr="00CF72C1">
        <w:rPr>
          <w:rFonts w:eastAsia="Aptos"/>
          <w:i/>
          <w:iCs/>
          <w:kern w:val="2"/>
          <w:lang w:eastAsia="en-US"/>
          <w14:ligatures w14:val="standardContextual"/>
        </w:rPr>
        <w:t xml:space="preserve"> y operar</w:t>
      </w:r>
      <w:r w:rsidR="009D49B7">
        <w:rPr>
          <w:rFonts w:eastAsia="Aptos"/>
          <w:i/>
          <w:iCs/>
          <w:kern w:val="2"/>
          <w:lang w:eastAsia="en-US"/>
          <w14:ligatures w14:val="standardContextual"/>
        </w:rPr>
        <w:t>ación de</w:t>
      </w:r>
      <w:r w:rsidRPr="00CF72C1">
        <w:rPr>
          <w:rFonts w:eastAsia="Aptos"/>
          <w:i/>
          <w:iCs/>
          <w:kern w:val="2"/>
          <w:lang w:eastAsia="en-US"/>
          <w14:ligatures w14:val="standardContextual"/>
        </w:rPr>
        <w:t xml:space="preserve"> proyectos de investigación</w:t>
      </w:r>
      <w:r w:rsidR="009D49B7">
        <w:rPr>
          <w:rFonts w:eastAsia="Aptos"/>
          <w:kern w:val="2"/>
          <w:lang w:eastAsia="en-US"/>
          <w14:ligatures w14:val="standardContextual"/>
        </w:rPr>
        <w:t>.</w:t>
      </w:r>
    </w:p>
    <w:p w14:paraId="0D1AC2E5" w14:textId="77777777" w:rsidR="00AC4363" w:rsidRDefault="00AC4363" w:rsidP="007F29C2">
      <w:pPr>
        <w:spacing w:after="0" w:line="360" w:lineRule="auto"/>
        <w:ind w:firstLine="708"/>
        <w:jc w:val="both"/>
        <w:rPr>
          <w:rFonts w:eastAsia="Aptos"/>
          <w:kern w:val="2"/>
          <w:lang w:eastAsia="en-US"/>
          <w14:ligatures w14:val="standardContextual"/>
        </w:rPr>
      </w:pPr>
    </w:p>
    <w:p w14:paraId="11FA75B7" w14:textId="77777777" w:rsidR="008E3143" w:rsidRDefault="008E3143" w:rsidP="007F29C2">
      <w:pPr>
        <w:spacing w:after="0" w:line="360" w:lineRule="auto"/>
        <w:ind w:firstLine="708"/>
        <w:jc w:val="both"/>
        <w:rPr>
          <w:rFonts w:eastAsia="Aptos"/>
          <w:kern w:val="2"/>
          <w:lang w:eastAsia="en-US"/>
          <w14:ligatures w14:val="standardContextual"/>
        </w:rPr>
      </w:pPr>
    </w:p>
    <w:p w14:paraId="40C14D85" w14:textId="77777777" w:rsidR="008E3143" w:rsidRDefault="008E3143" w:rsidP="007F29C2">
      <w:pPr>
        <w:spacing w:after="0" w:line="360" w:lineRule="auto"/>
        <w:ind w:firstLine="708"/>
        <w:jc w:val="both"/>
        <w:rPr>
          <w:rFonts w:eastAsia="Aptos"/>
          <w:kern w:val="2"/>
          <w:lang w:eastAsia="en-US"/>
          <w14:ligatures w14:val="standardContextual"/>
        </w:rPr>
      </w:pPr>
    </w:p>
    <w:p w14:paraId="510292F7" w14:textId="77777777" w:rsidR="008E3143" w:rsidRDefault="008E3143" w:rsidP="007F29C2">
      <w:pPr>
        <w:spacing w:after="0" w:line="360" w:lineRule="auto"/>
        <w:ind w:firstLine="708"/>
        <w:jc w:val="both"/>
        <w:rPr>
          <w:rFonts w:eastAsia="Aptos"/>
          <w:kern w:val="2"/>
          <w:lang w:eastAsia="en-US"/>
          <w14:ligatures w14:val="standardContextual"/>
        </w:rPr>
      </w:pPr>
    </w:p>
    <w:p w14:paraId="53E7C62C" w14:textId="77777777" w:rsidR="008E3143" w:rsidRDefault="008E3143" w:rsidP="007F29C2">
      <w:pPr>
        <w:spacing w:after="0" w:line="360" w:lineRule="auto"/>
        <w:ind w:firstLine="708"/>
        <w:jc w:val="both"/>
        <w:rPr>
          <w:rFonts w:eastAsia="Aptos"/>
          <w:kern w:val="2"/>
          <w:lang w:eastAsia="en-US"/>
          <w14:ligatures w14:val="standardContextual"/>
        </w:rPr>
      </w:pPr>
    </w:p>
    <w:p w14:paraId="0EAED65C" w14:textId="77777777" w:rsidR="008E3143" w:rsidRDefault="008E3143" w:rsidP="007F29C2">
      <w:pPr>
        <w:spacing w:after="0" w:line="360" w:lineRule="auto"/>
        <w:ind w:firstLine="708"/>
        <w:jc w:val="both"/>
        <w:rPr>
          <w:rFonts w:eastAsia="Aptos"/>
          <w:kern w:val="2"/>
          <w:lang w:eastAsia="en-US"/>
          <w14:ligatures w14:val="standardContextual"/>
        </w:rPr>
      </w:pPr>
    </w:p>
    <w:p w14:paraId="2712DFE2" w14:textId="77777777" w:rsidR="008E3143" w:rsidRDefault="008E3143" w:rsidP="007F29C2">
      <w:pPr>
        <w:spacing w:after="0" w:line="360" w:lineRule="auto"/>
        <w:ind w:firstLine="708"/>
        <w:jc w:val="both"/>
        <w:rPr>
          <w:rFonts w:eastAsia="Aptos"/>
          <w:kern w:val="2"/>
          <w:lang w:eastAsia="en-US"/>
          <w14:ligatures w14:val="standardContextual"/>
        </w:rPr>
      </w:pPr>
    </w:p>
    <w:p w14:paraId="66F2CACA" w14:textId="77777777" w:rsidR="008E3143" w:rsidRDefault="008E3143" w:rsidP="007F29C2">
      <w:pPr>
        <w:spacing w:after="0" w:line="360" w:lineRule="auto"/>
        <w:ind w:firstLine="708"/>
        <w:jc w:val="both"/>
        <w:rPr>
          <w:rFonts w:eastAsia="Aptos"/>
          <w:kern w:val="2"/>
          <w:lang w:eastAsia="en-US"/>
          <w14:ligatures w14:val="standardContextual"/>
        </w:rPr>
      </w:pPr>
    </w:p>
    <w:p w14:paraId="2F7FFB4E" w14:textId="77777777" w:rsidR="008E3143" w:rsidRDefault="008E3143" w:rsidP="007F29C2">
      <w:pPr>
        <w:spacing w:after="0" w:line="360" w:lineRule="auto"/>
        <w:ind w:firstLine="708"/>
        <w:jc w:val="both"/>
        <w:rPr>
          <w:rFonts w:eastAsia="Aptos"/>
          <w:kern w:val="2"/>
          <w:lang w:eastAsia="en-US"/>
          <w14:ligatures w14:val="standardContextual"/>
        </w:rPr>
      </w:pPr>
    </w:p>
    <w:p w14:paraId="20F7AB0B" w14:textId="77777777" w:rsidR="008E3143" w:rsidRDefault="008E3143" w:rsidP="007F29C2">
      <w:pPr>
        <w:spacing w:after="0" w:line="360" w:lineRule="auto"/>
        <w:ind w:firstLine="708"/>
        <w:jc w:val="both"/>
        <w:rPr>
          <w:rFonts w:eastAsia="Aptos"/>
          <w:kern w:val="2"/>
          <w:lang w:eastAsia="en-US"/>
          <w14:ligatures w14:val="standardContextual"/>
        </w:rPr>
      </w:pPr>
    </w:p>
    <w:p w14:paraId="6486E5DD" w14:textId="77777777" w:rsidR="008E3143" w:rsidRDefault="008E3143" w:rsidP="007F29C2">
      <w:pPr>
        <w:spacing w:after="0" w:line="360" w:lineRule="auto"/>
        <w:ind w:firstLine="708"/>
        <w:jc w:val="both"/>
        <w:rPr>
          <w:rFonts w:eastAsia="Aptos"/>
          <w:kern w:val="2"/>
          <w:lang w:eastAsia="en-US"/>
          <w14:ligatures w14:val="standardContextual"/>
        </w:rPr>
      </w:pPr>
    </w:p>
    <w:p w14:paraId="3121992C" w14:textId="77777777" w:rsidR="008E3143" w:rsidRDefault="008E3143" w:rsidP="007F29C2">
      <w:pPr>
        <w:spacing w:after="0" w:line="360" w:lineRule="auto"/>
        <w:ind w:firstLine="708"/>
        <w:jc w:val="both"/>
        <w:rPr>
          <w:rFonts w:eastAsia="Aptos"/>
          <w:kern w:val="2"/>
          <w:lang w:eastAsia="en-US"/>
          <w14:ligatures w14:val="standardContextual"/>
        </w:rPr>
      </w:pPr>
    </w:p>
    <w:p w14:paraId="5D2ADA74" w14:textId="559B78BA" w:rsidR="009D49B7" w:rsidRPr="00CF72C1" w:rsidRDefault="009D49B7" w:rsidP="00AC4363">
      <w:pPr>
        <w:spacing w:after="0" w:line="360" w:lineRule="auto"/>
        <w:jc w:val="center"/>
        <w:rPr>
          <w:rFonts w:eastAsia="Aptos"/>
          <w:i/>
          <w:iCs/>
          <w:kern w:val="2"/>
          <w:lang w:eastAsia="en-US"/>
          <w14:ligatures w14:val="standardContextual"/>
        </w:rPr>
      </w:pPr>
      <w:r w:rsidRPr="00220AC7">
        <w:rPr>
          <w:rFonts w:eastAsia="Aptos"/>
          <w:b/>
          <w:bCs/>
          <w:kern w:val="2"/>
          <w:lang w:eastAsia="en-US"/>
          <w14:ligatures w14:val="standardContextual"/>
        </w:rPr>
        <w:lastRenderedPageBreak/>
        <w:t>Figura 3</w:t>
      </w:r>
      <w:r w:rsidR="00AC4363">
        <w:rPr>
          <w:rFonts w:eastAsia="Aptos"/>
          <w:b/>
          <w:bCs/>
          <w:kern w:val="2"/>
          <w:lang w:eastAsia="en-US"/>
          <w14:ligatures w14:val="standardContextual"/>
        </w:rPr>
        <w:t xml:space="preserve">. </w:t>
      </w:r>
      <w:r w:rsidRPr="00AC4363">
        <w:rPr>
          <w:rFonts w:eastAsia="Aptos"/>
          <w:kern w:val="2"/>
          <w:lang w:eastAsia="en-US"/>
          <w14:ligatures w14:val="standardContextual"/>
        </w:rPr>
        <w:t>Aplicación de las variables observadas como indicadores de medición de la competencia</w:t>
      </w:r>
    </w:p>
    <w:p w14:paraId="08D06A9C" w14:textId="24D26138" w:rsidR="00CF72C1" w:rsidRDefault="00FF4951" w:rsidP="009D49B7">
      <w:pPr>
        <w:spacing w:after="0" w:line="360" w:lineRule="auto"/>
        <w:jc w:val="center"/>
        <w:rPr>
          <w:rFonts w:eastAsia="Aptos"/>
          <w:kern w:val="2"/>
          <w:lang w:eastAsia="en-US"/>
          <w14:ligatures w14:val="standardContextual"/>
        </w:rPr>
      </w:pPr>
      <w:r>
        <w:rPr>
          <w:rFonts w:eastAsia="Aptos"/>
          <w:noProof/>
          <w:kern w:val="2"/>
          <w:lang w:eastAsia="en-US"/>
          <w14:ligatures w14:val="standardContextual"/>
        </w:rPr>
        <w:drawing>
          <wp:inline distT="0" distB="0" distL="0" distR="0" wp14:anchorId="35E8598A" wp14:editId="1F55CFB2">
            <wp:extent cx="5534972" cy="3028815"/>
            <wp:effectExtent l="0" t="0" r="2540" b="0"/>
            <wp:docPr id="89107663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076634" name="Imagen 89107663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8924" cy="3140420"/>
                    </a:xfrm>
                    <a:prstGeom prst="rect">
                      <a:avLst/>
                    </a:prstGeom>
                  </pic:spPr>
                </pic:pic>
              </a:graphicData>
            </a:graphic>
          </wp:inline>
        </w:drawing>
      </w:r>
    </w:p>
    <w:p w14:paraId="3A3783A8" w14:textId="6760ABE6" w:rsidR="006859F3" w:rsidRPr="00AC4363" w:rsidRDefault="006859F3" w:rsidP="00AC4363">
      <w:pPr>
        <w:spacing w:after="0" w:line="360" w:lineRule="auto"/>
        <w:jc w:val="center"/>
        <w:rPr>
          <w:rFonts w:eastAsia="Aptos"/>
          <w:i/>
          <w:iCs/>
          <w:kern w:val="2"/>
          <w:sz w:val="32"/>
          <w:szCs w:val="32"/>
          <w:lang w:eastAsia="en-US"/>
          <w14:ligatures w14:val="standardContextual"/>
        </w:rPr>
      </w:pPr>
      <w:r w:rsidRPr="00AC4363">
        <w:rPr>
          <w:rFonts w:eastAsia="Aptos"/>
          <w:i/>
          <w:iCs/>
          <w:kern w:val="2"/>
          <w:lang w:eastAsia="en-US"/>
          <w14:ligatures w14:val="standardContextual"/>
        </w:rPr>
        <w:t>Nota</w:t>
      </w:r>
      <w:r w:rsidRPr="00AC4363">
        <w:rPr>
          <w:rFonts w:eastAsia="Aptos"/>
          <w:kern w:val="2"/>
          <w:lang w:eastAsia="en-US"/>
          <w14:ligatures w14:val="standardContextual"/>
        </w:rPr>
        <w:t xml:space="preserve">. Elaboración propia con base </w:t>
      </w:r>
      <w:r w:rsidR="00A45233" w:rsidRPr="00AC4363">
        <w:rPr>
          <w:rFonts w:eastAsia="Aptos"/>
          <w:kern w:val="2"/>
          <w:lang w:eastAsia="en-US"/>
          <w14:ligatures w14:val="standardContextual"/>
        </w:rPr>
        <w:t>en</w:t>
      </w:r>
      <w:r w:rsidRPr="00AC4363">
        <w:rPr>
          <w:rFonts w:eastAsia="Aptos"/>
          <w:kern w:val="2"/>
          <w:lang w:eastAsia="en-US"/>
          <w14:ligatures w14:val="standardContextual"/>
        </w:rPr>
        <w:t xml:space="preserve"> los resultados de</w:t>
      </w:r>
      <w:r w:rsidR="00D64348" w:rsidRPr="00AC4363">
        <w:rPr>
          <w:rFonts w:eastAsia="Aptos"/>
          <w:kern w:val="2"/>
          <w:lang w:eastAsia="en-US"/>
          <w14:ligatures w14:val="standardContextual"/>
        </w:rPr>
        <w:t>l análisis factorial</w:t>
      </w:r>
    </w:p>
    <w:p w14:paraId="72EC3D4D" w14:textId="34520D5A" w:rsidR="009D49B7" w:rsidRDefault="009D49B7" w:rsidP="001D5BD8">
      <w:pPr>
        <w:spacing w:after="0" w:line="360" w:lineRule="auto"/>
        <w:ind w:firstLine="708"/>
        <w:jc w:val="both"/>
        <w:rPr>
          <w:rFonts w:eastAsia="Aptos"/>
          <w:kern w:val="2"/>
          <w:lang w:eastAsia="en-US"/>
          <w14:ligatures w14:val="standardContextual"/>
        </w:rPr>
      </w:pPr>
      <w:r>
        <w:rPr>
          <w:rFonts w:eastAsia="Aptos"/>
          <w:kern w:val="2"/>
          <w:lang w:eastAsia="en-US"/>
          <w14:ligatures w14:val="standardContextual"/>
        </w:rPr>
        <w:t xml:space="preserve">Como se detalla en la </w:t>
      </w:r>
      <w:r w:rsidR="006B7948">
        <w:rPr>
          <w:rFonts w:eastAsia="Aptos"/>
          <w:kern w:val="2"/>
          <w:lang w:eastAsia="en-US"/>
          <w14:ligatures w14:val="standardContextual"/>
        </w:rPr>
        <w:t>F</w:t>
      </w:r>
      <w:r>
        <w:rPr>
          <w:rFonts w:eastAsia="Aptos"/>
          <w:kern w:val="2"/>
          <w:lang w:eastAsia="en-US"/>
          <w14:ligatures w14:val="standardContextual"/>
        </w:rPr>
        <w:t>igura</w:t>
      </w:r>
      <w:r w:rsidR="006B7948">
        <w:rPr>
          <w:rFonts w:eastAsia="Aptos"/>
          <w:kern w:val="2"/>
          <w:lang w:eastAsia="en-US"/>
          <w14:ligatures w14:val="standardContextual"/>
        </w:rPr>
        <w:t xml:space="preserve"> 3</w:t>
      </w:r>
      <w:r>
        <w:rPr>
          <w:rFonts w:eastAsia="Aptos"/>
          <w:kern w:val="2"/>
          <w:lang w:eastAsia="en-US"/>
          <w14:ligatures w14:val="standardContextual"/>
        </w:rPr>
        <w:t xml:space="preserve">, para la evaluación de la competencia </w:t>
      </w:r>
      <w:r w:rsidR="00FC3690">
        <w:rPr>
          <w:rFonts w:eastAsia="Aptos"/>
          <w:i/>
          <w:iCs/>
          <w:kern w:val="2"/>
          <w:lang w:eastAsia="en-US"/>
          <w14:ligatures w14:val="standardContextual"/>
        </w:rPr>
        <w:t xml:space="preserve">Diseño y operación de proyectos de investigación </w:t>
      </w:r>
      <w:r>
        <w:rPr>
          <w:rFonts w:eastAsia="Aptos"/>
          <w:kern w:val="2"/>
          <w:lang w:eastAsia="en-US"/>
          <w14:ligatures w14:val="standardContextual"/>
        </w:rPr>
        <w:t>se puede</w:t>
      </w:r>
      <w:r w:rsidR="00D64348">
        <w:rPr>
          <w:rFonts w:eastAsia="Aptos"/>
          <w:kern w:val="2"/>
          <w:lang w:eastAsia="en-US"/>
          <w14:ligatures w14:val="standardContextual"/>
        </w:rPr>
        <w:t>n</w:t>
      </w:r>
      <w:r>
        <w:rPr>
          <w:rFonts w:eastAsia="Aptos"/>
          <w:kern w:val="2"/>
          <w:lang w:eastAsia="en-US"/>
          <w14:ligatures w14:val="standardContextual"/>
        </w:rPr>
        <w:t xml:space="preserve"> programar tres actividades didácticas de aprendizaje en Moodle </w:t>
      </w:r>
      <w:r w:rsidR="0053004F">
        <w:rPr>
          <w:rFonts w:eastAsia="Aptos"/>
          <w:kern w:val="2"/>
          <w:lang w:eastAsia="en-US"/>
          <w14:ligatures w14:val="standardContextual"/>
        </w:rPr>
        <w:t>(mostradas en</w:t>
      </w:r>
      <w:r w:rsidR="00554091">
        <w:rPr>
          <w:rFonts w:eastAsia="Aptos"/>
          <w:kern w:val="2"/>
          <w:lang w:eastAsia="en-US"/>
          <w14:ligatures w14:val="standardContextual"/>
        </w:rPr>
        <w:t xml:space="preserve"> la figura</w:t>
      </w:r>
      <w:r w:rsidR="0053004F">
        <w:rPr>
          <w:rFonts w:eastAsia="Aptos"/>
          <w:kern w:val="2"/>
          <w:lang w:eastAsia="en-US"/>
          <w14:ligatures w14:val="standardContextual"/>
        </w:rPr>
        <w:t xml:space="preserve"> en la parte izquierda), asociarlas </w:t>
      </w:r>
      <w:r w:rsidR="00D64348">
        <w:rPr>
          <w:rFonts w:eastAsia="Aptos"/>
          <w:kern w:val="2"/>
          <w:lang w:eastAsia="en-US"/>
          <w14:ligatures w14:val="standardContextual"/>
        </w:rPr>
        <w:t>a diversos indicadores</w:t>
      </w:r>
      <w:r w:rsidR="0053004F">
        <w:rPr>
          <w:rFonts w:eastAsia="Aptos"/>
          <w:kern w:val="2"/>
          <w:lang w:eastAsia="en-US"/>
          <w14:ligatures w14:val="standardContextual"/>
        </w:rPr>
        <w:t xml:space="preserve"> redactados como </w:t>
      </w:r>
      <w:r w:rsidR="00D64348">
        <w:rPr>
          <w:rFonts w:eastAsia="Aptos"/>
          <w:kern w:val="2"/>
          <w:lang w:eastAsia="en-US"/>
          <w14:ligatures w14:val="standardContextual"/>
        </w:rPr>
        <w:t xml:space="preserve">resultados de aprendizaje y </w:t>
      </w:r>
      <w:r>
        <w:rPr>
          <w:rFonts w:eastAsia="Aptos"/>
          <w:kern w:val="2"/>
          <w:lang w:eastAsia="en-US"/>
          <w14:ligatures w14:val="standardContextual"/>
        </w:rPr>
        <w:t>asignarle</w:t>
      </w:r>
      <w:r w:rsidR="00D64348">
        <w:rPr>
          <w:rFonts w:eastAsia="Aptos"/>
          <w:kern w:val="2"/>
          <w:lang w:eastAsia="en-US"/>
          <w14:ligatures w14:val="standardContextual"/>
        </w:rPr>
        <w:t>s</w:t>
      </w:r>
      <w:r>
        <w:rPr>
          <w:rFonts w:eastAsia="Aptos"/>
          <w:kern w:val="2"/>
          <w:lang w:eastAsia="en-US"/>
          <w14:ligatures w14:val="standardContextual"/>
        </w:rPr>
        <w:t xml:space="preserve"> una ponderación</w:t>
      </w:r>
      <w:r w:rsidR="00D64348">
        <w:rPr>
          <w:rFonts w:eastAsia="Aptos"/>
          <w:kern w:val="2"/>
          <w:lang w:eastAsia="en-US"/>
          <w14:ligatures w14:val="standardContextual"/>
        </w:rPr>
        <w:t xml:space="preserve"> como evaluación formativa o sumativa</w:t>
      </w:r>
      <w:r>
        <w:rPr>
          <w:rFonts w:eastAsia="Aptos"/>
          <w:kern w:val="2"/>
          <w:lang w:eastAsia="en-US"/>
          <w14:ligatures w14:val="standardContextual"/>
        </w:rPr>
        <w:t>, logrando evaluar de esta manera la competencia profesional, en concordancia con las competencias recomendadas por el CACEI.</w:t>
      </w:r>
    </w:p>
    <w:p w14:paraId="3D42E841" w14:textId="379B6B05" w:rsidR="00B82439" w:rsidRPr="00B82439" w:rsidRDefault="00B82439" w:rsidP="00B82439">
      <w:pPr>
        <w:spacing w:after="0" w:line="360" w:lineRule="auto"/>
        <w:ind w:firstLine="708"/>
        <w:jc w:val="both"/>
        <w:rPr>
          <w:rFonts w:eastAsia="Aptos"/>
          <w:kern w:val="2"/>
          <w:lang w:eastAsia="en-US"/>
          <w14:ligatures w14:val="standardContextual"/>
        </w:rPr>
      </w:pPr>
      <w:r w:rsidRPr="00B82439">
        <w:rPr>
          <w:rFonts w:eastAsia="Aptos"/>
          <w:kern w:val="2"/>
          <w:lang w:eastAsia="en-US"/>
          <w14:ligatures w14:val="standardContextual"/>
        </w:rPr>
        <w:t>Como conclusión final, con este proyecto de investigación se logró una propuesta metodológica rigurosa para la evaluación estandarizada de competencias profesionales, mediante un instrumento validado tanto en su contenido como en su estructura factorial, lo que proporciona validez de constructo. Al articular referentes teóricos sólidos con el modelo de ecuaciones estructurales, se logró la evidencia empírica que respalda la pertinencia, coherencia y aplicabilidad de un instrumento para la evaluación de competencias en educación superior. De este modo, se contribuye no s</w:t>
      </w:r>
      <w:r w:rsidR="00EE0EB3">
        <w:rPr>
          <w:rFonts w:eastAsia="Aptos"/>
          <w:kern w:val="2"/>
          <w:lang w:eastAsia="en-US"/>
          <w14:ligatures w14:val="standardContextual"/>
        </w:rPr>
        <w:t>o</w:t>
      </w:r>
      <w:r w:rsidRPr="00B82439">
        <w:rPr>
          <w:rFonts w:eastAsia="Aptos"/>
          <w:kern w:val="2"/>
          <w:lang w:eastAsia="en-US"/>
          <w14:ligatures w14:val="standardContextual"/>
        </w:rPr>
        <w:t>lo a fortalecer los procesos de evaluación por competencias, sino también a alinear la práctica evaluativa con los principios del modelo educativo institucional del TecNM y los estándares internacionales de formación profesional.</w:t>
      </w:r>
    </w:p>
    <w:p w14:paraId="7F716BD6" w14:textId="77777777" w:rsidR="00B82439" w:rsidRDefault="00B82439" w:rsidP="001D5BD8">
      <w:pPr>
        <w:spacing w:after="0" w:line="360" w:lineRule="auto"/>
        <w:ind w:firstLine="708"/>
        <w:jc w:val="both"/>
        <w:rPr>
          <w:rFonts w:eastAsia="Aptos"/>
          <w:kern w:val="2"/>
          <w:lang w:eastAsia="en-US"/>
          <w14:ligatures w14:val="standardContextual"/>
        </w:rPr>
      </w:pPr>
    </w:p>
    <w:p w14:paraId="5B5BA9B4" w14:textId="77777777" w:rsidR="008E3143" w:rsidRPr="007B5EA4" w:rsidRDefault="008E3143" w:rsidP="001D5BD8">
      <w:pPr>
        <w:spacing w:after="0" w:line="360" w:lineRule="auto"/>
        <w:ind w:firstLine="708"/>
        <w:jc w:val="both"/>
        <w:rPr>
          <w:rFonts w:eastAsia="Aptos"/>
          <w:kern w:val="2"/>
          <w:lang w:eastAsia="en-US"/>
          <w14:ligatures w14:val="standardContextual"/>
        </w:rPr>
      </w:pPr>
    </w:p>
    <w:p w14:paraId="40340EC1" w14:textId="4A8C28CC" w:rsidR="0053004F" w:rsidRPr="00AD668D" w:rsidRDefault="0053004F" w:rsidP="0053004F">
      <w:pPr>
        <w:spacing w:after="0" w:line="360" w:lineRule="auto"/>
        <w:ind w:firstLine="708"/>
        <w:jc w:val="center"/>
        <w:rPr>
          <w:rFonts w:eastAsia="Aptos"/>
          <w:b/>
          <w:bCs/>
          <w:kern w:val="2"/>
          <w:sz w:val="28"/>
          <w:szCs w:val="28"/>
          <w:lang w:eastAsia="en-US"/>
          <w14:ligatures w14:val="standardContextual"/>
        </w:rPr>
      </w:pPr>
      <w:r w:rsidRPr="00AD668D">
        <w:rPr>
          <w:rFonts w:eastAsia="Aptos"/>
          <w:b/>
          <w:bCs/>
          <w:kern w:val="2"/>
          <w:sz w:val="28"/>
          <w:szCs w:val="28"/>
          <w:lang w:eastAsia="en-US"/>
          <w14:ligatures w14:val="standardContextual"/>
        </w:rPr>
        <w:lastRenderedPageBreak/>
        <w:t xml:space="preserve">Futuras </w:t>
      </w:r>
      <w:r w:rsidR="00EE0EB3" w:rsidRPr="00AD668D">
        <w:rPr>
          <w:rFonts w:eastAsia="Aptos"/>
          <w:b/>
          <w:bCs/>
          <w:kern w:val="2"/>
          <w:sz w:val="28"/>
          <w:szCs w:val="28"/>
          <w:lang w:eastAsia="en-US"/>
          <w14:ligatures w14:val="standardContextual"/>
        </w:rPr>
        <w:t>l</w:t>
      </w:r>
      <w:r w:rsidRPr="00AD668D">
        <w:rPr>
          <w:rFonts w:eastAsia="Aptos"/>
          <w:b/>
          <w:bCs/>
          <w:kern w:val="2"/>
          <w:sz w:val="28"/>
          <w:szCs w:val="28"/>
          <w:lang w:eastAsia="en-US"/>
          <w14:ligatures w14:val="standardContextual"/>
        </w:rPr>
        <w:t xml:space="preserve">íneas de </w:t>
      </w:r>
      <w:r w:rsidR="00EE0EB3" w:rsidRPr="00AD668D">
        <w:rPr>
          <w:rFonts w:eastAsia="Aptos"/>
          <w:b/>
          <w:bCs/>
          <w:kern w:val="2"/>
          <w:sz w:val="28"/>
          <w:szCs w:val="28"/>
          <w:lang w:eastAsia="en-US"/>
          <w14:ligatures w14:val="standardContextual"/>
        </w:rPr>
        <w:t>i</w:t>
      </w:r>
      <w:r w:rsidRPr="00AD668D">
        <w:rPr>
          <w:rFonts w:eastAsia="Aptos"/>
          <w:b/>
          <w:bCs/>
          <w:kern w:val="2"/>
          <w:sz w:val="28"/>
          <w:szCs w:val="28"/>
          <w:lang w:eastAsia="en-US"/>
          <w14:ligatures w14:val="standardContextual"/>
        </w:rPr>
        <w:t>nvestigació</w:t>
      </w:r>
      <w:r w:rsidR="00EE0EB3" w:rsidRPr="00AD668D">
        <w:rPr>
          <w:rFonts w:eastAsia="Aptos"/>
          <w:b/>
          <w:bCs/>
          <w:kern w:val="2"/>
          <w:sz w:val="28"/>
          <w:szCs w:val="28"/>
          <w:lang w:eastAsia="en-US"/>
          <w14:ligatures w14:val="standardContextual"/>
        </w:rPr>
        <w:t>n</w:t>
      </w:r>
    </w:p>
    <w:p w14:paraId="30D97D1F" w14:textId="71E54FA8" w:rsidR="009D49B7" w:rsidRDefault="0053004F" w:rsidP="001D5BD8">
      <w:pPr>
        <w:spacing w:after="0" w:line="360" w:lineRule="auto"/>
        <w:ind w:firstLine="708"/>
        <w:jc w:val="both"/>
        <w:rPr>
          <w:rFonts w:eastAsia="Aptos"/>
          <w:kern w:val="2"/>
          <w:lang w:eastAsia="en-US"/>
          <w14:ligatures w14:val="standardContextual"/>
        </w:rPr>
      </w:pPr>
      <w:r>
        <w:rPr>
          <w:rFonts w:eastAsia="Aptos"/>
          <w:kern w:val="2"/>
          <w:lang w:eastAsia="en-US"/>
          <w14:ligatures w14:val="standardContextual"/>
        </w:rPr>
        <w:t>S</w:t>
      </w:r>
      <w:r w:rsidR="004459A1">
        <w:rPr>
          <w:rFonts w:eastAsia="Aptos"/>
          <w:kern w:val="2"/>
          <w:lang w:eastAsia="en-US"/>
          <w14:ligatures w14:val="standardContextual"/>
        </w:rPr>
        <w:t>i</w:t>
      </w:r>
      <w:r w:rsidR="007B5EA4" w:rsidRPr="007B5EA4">
        <w:rPr>
          <w:rFonts w:eastAsia="Aptos"/>
          <w:kern w:val="2"/>
          <w:lang w:eastAsia="en-US"/>
          <w14:ligatures w14:val="standardContextual"/>
        </w:rPr>
        <w:t xml:space="preserve"> bien el modelo</w:t>
      </w:r>
      <w:r w:rsidR="001D4500">
        <w:rPr>
          <w:rFonts w:eastAsia="Aptos"/>
          <w:kern w:val="2"/>
          <w:lang w:eastAsia="en-US"/>
          <w14:ligatures w14:val="standardContextual"/>
        </w:rPr>
        <w:t xml:space="preserve"> teórico del instrumento de evaluación</w:t>
      </w:r>
      <w:r w:rsidR="007B5EA4" w:rsidRPr="007B5EA4">
        <w:rPr>
          <w:rFonts w:eastAsia="Aptos"/>
          <w:kern w:val="2"/>
          <w:lang w:eastAsia="en-US"/>
          <w14:ligatures w14:val="standardContextual"/>
        </w:rPr>
        <w:t xml:space="preserve"> presenta un buen ajuste</w:t>
      </w:r>
      <w:r w:rsidR="004459A1">
        <w:rPr>
          <w:rFonts w:eastAsia="Aptos"/>
          <w:kern w:val="2"/>
          <w:lang w:eastAsia="en-US"/>
          <w14:ligatures w14:val="standardContextual"/>
        </w:rPr>
        <w:t xml:space="preserve"> en su medición de validez de contenido y de constructo</w:t>
      </w:r>
      <w:r w:rsidR="007B5EA4" w:rsidRPr="007B5EA4">
        <w:rPr>
          <w:rFonts w:eastAsia="Aptos"/>
          <w:kern w:val="2"/>
          <w:lang w:eastAsia="en-US"/>
          <w14:ligatures w14:val="standardContextual"/>
        </w:rPr>
        <w:t>, es recomendable</w:t>
      </w:r>
      <w:r w:rsidR="00FC3690">
        <w:rPr>
          <w:rFonts w:eastAsia="Aptos"/>
          <w:kern w:val="2"/>
          <w:lang w:eastAsia="en-US"/>
          <w14:ligatures w14:val="standardContextual"/>
        </w:rPr>
        <w:t xml:space="preserve"> r</w:t>
      </w:r>
      <w:r w:rsidR="009D49B7">
        <w:rPr>
          <w:rFonts w:eastAsia="Aptos"/>
          <w:kern w:val="2"/>
          <w:lang w:eastAsia="en-US"/>
          <w14:ligatures w14:val="standardContextual"/>
        </w:rPr>
        <w:t xml:space="preserve">ealizar </w:t>
      </w:r>
      <w:r w:rsidR="00175268">
        <w:rPr>
          <w:rFonts w:eastAsia="Aptos"/>
          <w:kern w:val="2"/>
          <w:lang w:eastAsia="en-US"/>
          <w14:ligatures w14:val="standardContextual"/>
        </w:rPr>
        <w:t>otr</w:t>
      </w:r>
      <w:r>
        <w:rPr>
          <w:rFonts w:eastAsia="Aptos"/>
          <w:kern w:val="2"/>
          <w:lang w:eastAsia="en-US"/>
          <w14:ligatures w14:val="standardContextual"/>
        </w:rPr>
        <w:t>a investigación de</w:t>
      </w:r>
      <w:r w:rsidR="009D49B7">
        <w:rPr>
          <w:rFonts w:eastAsia="Aptos"/>
          <w:kern w:val="2"/>
          <w:lang w:eastAsia="en-US"/>
          <w14:ligatures w14:val="standardContextual"/>
        </w:rPr>
        <w:t xml:space="preserve"> análisis factorial exploratorio y confirmatorio</w:t>
      </w:r>
      <w:r w:rsidR="00B82439">
        <w:rPr>
          <w:rFonts w:eastAsia="Aptos"/>
          <w:kern w:val="2"/>
          <w:lang w:eastAsia="en-US"/>
          <w14:ligatures w14:val="standardContextual"/>
        </w:rPr>
        <w:t>, pero ahora</w:t>
      </w:r>
      <w:r w:rsidR="00175268">
        <w:rPr>
          <w:rFonts w:eastAsia="Aptos"/>
          <w:kern w:val="2"/>
          <w:lang w:eastAsia="en-US"/>
          <w14:ligatures w14:val="standardContextual"/>
        </w:rPr>
        <w:t xml:space="preserve"> con rotación oblicua (</w:t>
      </w:r>
      <w:r w:rsidR="00E76A79">
        <w:rPr>
          <w:rFonts w:eastAsia="Aptos"/>
          <w:kern w:val="2"/>
          <w:lang w:eastAsia="en-US"/>
          <w14:ligatures w14:val="standardContextual"/>
        </w:rPr>
        <w:t>permitiendo la</w:t>
      </w:r>
      <w:r w:rsidR="009D49B7">
        <w:rPr>
          <w:rFonts w:eastAsia="Aptos"/>
          <w:kern w:val="2"/>
          <w:lang w:eastAsia="en-US"/>
          <w14:ligatures w14:val="standardContextual"/>
        </w:rPr>
        <w:t xml:space="preserve"> </w:t>
      </w:r>
      <w:r w:rsidR="008A43F7">
        <w:rPr>
          <w:rFonts w:eastAsia="Aptos"/>
          <w:kern w:val="2"/>
          <w:lang w:eastAsia="en-US"/>
          <w14:ligatures w14:val="standardContextual"/>
        </w:rPr>
        <w:t>correlación</w:t>
      </w:r>
      <w:r w:rsidR="009D49B7">
        <w:rPr>
          <w:rFonts w:eastAsia="Aptos"/>
          <w:kern w:val="2"/>
          <w:lang w:eastAsia="en-US"/>
          <w14:ligatures w14:val="standardContextual"/>
        </w:rPr>
        <w:t xml:space="preserve"> entre </w:t>
      </w:r>
      <w:r w:rsidR="00692828">
        <w:rPr>
          <w:rFonts w:eastAsia="Aptos"/>
          <w:kern w:val="2"/>
          <w:lang w:eastAsia="en-US"/>
          <w14:ligatures w14:val="standardContextual"/>
        </w:rPr>
        <w:t>constructos</w:t>
      </w:r>
      <w:r w:rsidR="00175268">
        <w:rPr>
          <w:rFonts w:eastAsia="Aptos"/>
          <w:kern w:val="2"/>
          <w:lang w:eastAsia="en-US"/>
          <w14:ligatures w14:val="standardContextual"/>
        </w:rPr>
        <w:t xml:space="preserve">), </w:t>
      </w:r>
      <w:r w:rsidR="009D49B7">
        <w:rPr>
          <w:rFonts w:eastAsia="Aptos"/>
          <w:kern w:val="2"/>
          <w:lang w:eastAsia="en-US"/>
          <w14:ligatures w14:val="standardContextual"/>
        </w:rPr>
        <w:t>con lo cual se puede reducir aún más la dimensionalidad</w:t>
      </w:r>
      <w:r w:rsidR="00B82439">
        <w:rPr>
          <w:rFonts w:eastAsia="Aptos"/>
          <w:kern w:val="2"/>
          <w:lang w:eastAsia="en-US"/>
          <w14:ligatures w14:val="standardContextual"/>
        </w:rPr>
        <w:t xml:space="preserve"> del instrumento de evaluación</w:t>
      </w:r>
      <w:r w:rsidR="009D49B7">
        <w:rPr>
          <w:rFonts w:eastAsia="Aptos"/>
          <w:kern w:val="2"/>
          <w:lang w:eastAsia="en-US"/>
          <w14:ligatures w14:val="standardContextual"/>
        </w:rPr>
        <w:t xml:space="preserve">, pues el </w:t>
      </w:r>
      <w:r w:rsidR="009D49B7" w:rsidRPr="009D49B7">
        <w:rPr>
          <w:rFonts w:eastAsia="Aptos"/>
          <w:i/>
          <w:iCs/>
          <w:kern w:val="2"/>
          <w:lang w:eastAsia="en-US"/>
          <w14:ligatures w14:val="standardContextual"/>
        </w:rPr>
        <w:t>Pensamiento crítico y sistémico</w:t>
      </w:r>
      <w:r w:rsidR="00154B36">
        <w:rPr>
          <w:rFonts w:eastAsia="Aptos"/>
          <w:i/>
          <w:iCs/>
          <w:kern w:val="2"/>
          <w:lang w:eastAsia="en-US"/>
          <w14:ligatures w14:val="standardContextual"/>
        </w:rPr>
        <w:t>,</w:t>
      </w:r>
      <w:r w:rsidR="009D49B7">
        <w:rPr>
          <w:rFonts w:eastAsia="Aptos"/>
          <w:kern w:val="2"/>
          <w:lang w:eastAsia="en-US"/>
          <w14:ligatures w14:val="standardContextual"/>
        </w:rPr>
        <w:t xml:space="preserve"> </w:t>
      </w:r>
      <w:r w:rsidR="00154B36">
        <w:rPr>
          <w:rFonts w:eastAsia="Aptos"/>
          <w:kern w:val="2"/>
          <w:lang w:eastAsia="en-US"/>
          <w14:ligatures w14:val="standardContextual"/>
        </w:rPr>
        <w:t xml:space="preserve">junto con el </w:t>
      </w:r>
      <w:r w:rsidR="00A626B1" w:rsidRPr="00A626B1">
        <w:rPr>
          <w:rFonts w:eastAsia="Aptos"/>
          <w:i/>
          <w:iCs/>
          <w:kern w:val="2"/>
          <w:lang w:eastAsia="en-US"/>
          <w14:ligatures w14:val="standardContextual"/>
        </w:rPr>
        <w:t>P</w:t>
      </w:r>
      <w:r w:rsidR="00154B36" w:rsidRPr="00A626B1">
        <w:rPr>
          <w:rFonts w:eastAsia="Aptos"/>
          <w:i/>
          <w:iCs/>
          <w:kern w:val="2"/>
          <w:lang w:eastAsia="en-US"/>
          <w14:ligatures w14:val="standardContextual"/>
        </w:rPr>
        <w:t>ensamiento complejo</w:t>
      </w:r>
      <w:r w:rsidR="00154B36">
        <w:rPr>
          <w:rFonts w:eastAsia="Aptos"/>
          <w:kern w:val="2"/>
          <w:lang w:eastAsia="en-US"/>
          <w14:ligatures w14:val="standardContextual"/>
        </w:rPr>
        <w:t xml:space="preserve">, </w:t>
      </w:r>
      <w:r w:rsidR="009D49B7">
        <w:rPr>
          <w:rFonts w:eastAsia="Aptos"/>
          <w:kern w:val="2"/>
          <w:lang w:eastAsia="en-US"/>
          <w14:ligatures w14:val="standardContextual"/>
        </w:rPr>
        <w:t>puede</w:t>
      </w:r>
      <w:r w:rsidR="00154B36">
        <w:rPr>
          <w:rFonts w:eastAsia="Aptos"/>
          <w:kern w:val="2"/>
          <w:lang w:eastAsia="en-US"/>
          <w14:ligatures w14:val="standardContextual"/>
        </w:rPr>
        <w:t>n</w:t>
      </w:r>
      <w:r w:rsidR="009D49B7">
        <w:rPr>
          <w:rFonts w:eastAsia="Aptos"/>
          <w:kern w:val="2"/>
          <w:lang w:eastAsia="en-US"/>
          <w14:ligatures w14:val="standardContextual"/>
        </w:rPr>
        <w:t xml:space="preserve"> ser el eje que agrupe </w:t>
      </w:r>
      <w:r w:rsidR="00FC3690">
        <w:rPr>
          <w:rFonts w:eastAsia="Aptos"/>
          <w:kern w:val="2"/>
          <w:lang w:eastAsia="en-US"/>
          <w14:ligatures w14:val="standardContextual"/>
        </w:rPr>
        <w:t xml:space="preserve">a </w:t>
      </w:r>
      <w:r w:rsidR="009D49B7">
        <w:rPr>
          <w:rFonts w:eastAsia="Aptos"/>
          <w:kern w:val="2"/>
          <w:lang w:eastAsia="en-US"/>
          <w14:ligatures w14:val="standardContextual"/>
        </w:rPr>
        <w:t>otros indicadores de desempeño, en concordancia con el modelo educativo</w:t>
      </w:r>
      <w:r w:rsidR="00D64348">
        <w:rPr>
          <w:rFonts w:eastAsia="Aptos"/>
          <w:kern w:val="2"/>
          <w:lang w:eastAsia="en-US"/>
          <w14:ligatures w14:val="standardContextual"/>
        </w:rPr>
        <w:t xml:space="preserve"> actual del TecNM</w:t>
      </w:r>
      <w:r w:rsidR="009D49B7">
        <w:rPr>
          <w:rFonts w:eastAsia="Aptos"/>
          <w:kern w:val="2"/>
          <w:lang w:eastAsia="en-US"/>
          <w14:ligatures w14:val="standardContextual"/>
        </w:rPr>
        <w:t>, el</w:t>
      </w:r>
      <w:r w:rsidR="006859F3">
        <w:rPr>
          <w:rFonts w:eastAsia="Aptos"/>
          <w:kern w:val="2"/>
          <w:lang w:eastAsia="en-US"/>
          <w14:ligatures w14:val="standardContextual"/>
        </w:rPr>
        <w:t xml:space="preserve"> </w:t>
      </w:r>
      <w:r w:rsidR="009D49B7">
        <w:rPr>
          <w:rFonts w:eastAsia="Aptos"/>
          <w:kern w:val="2"/>
          <w:lang w:eastAsia="en-US"/>
          <w14:ligatures w14:val="standardContextual"/>
        </w:rPr>
        <w:t xml:space="preserve">cual establece que </w:t>
      </w:r>
      <w:r w:rsidR="006859F3">
        <w:rPr>
          <w:rFonts w:eastAsia="Aptos"/>
          <w:kern w:val="2"/>
          <w:lang w:eastAsia="en-US"/>
          <w14:ligatures w14:val="standardContextual"/>
        </w:rPr>
        <w:t xml:space="preserve">el </w:t>
      </w:r>
      <w:r w:rsidR="00D64348">
        <w:rPr>
          <w:rFonts w:eastAsia="Aptos"/>
          <w:kern w:val="2"/>
          <w:lang w:eastAsia="en-US"/>
          <w14:ligatures w14:val="standardContextual"/>
        </w:rPr>
        <w:t>Modelo del P</w:t>
      </w:r>
      <w:r w:rsidR="006859F3">
        <w:rPr>
          <w:rFonts w:eastAsia="Aptos"/>
          <w:kern w:val="2"/>
          <w:lang w:eastAsia="en-US"/>
          <w14:ligatures w14:val="standardContextual"/>
        </w:rPr>
        <w:t xml:space="preserve">ensamiento </w:t>
      </w:r>
      <w:r w:rsidR="00D64348">
        <w:rPr>
          <w:rFonts w:eastAsia="Aptos"/>
          <w:kern w:val="2"/>
          <w:lang w:eastAsia="en-US"/>
          <w14:ligatures w14:val="standardContextual"/>
        </w:rPr>
        <w:t>C</w:t>
      </w:r>
      <w:r w:rsidR="006859F3">
        <w:rPr>
          <w:rFonts w:eastAsia="Aptos"/>
          <w:kern w:val="2"/>
          <w:lang w:eastAsia="en-US"/>
          <w14:ligatures w14:val="standardContextual"/>
        </w:rPr>
        <w:t>rítico</w:t>
      </w:r>
      <w:r w:rsidR="00D64348">
        <w:rPr>
          <w:rFonts w:eastAsia="Aptos"/>
          <w:kern w:val="2"/>
          <w:lang w:eastAsia="en-US"/>
          <w14:ligatures w14:val="standardContextual"/>
        </w:rPr>
        <w:t xml:space="preserve"> para la Educación Tecnológica</w:t>
      </w:r>
      <w:r w:rsidR="00E76A79">
        <w:rPr>
          <w:rFonts w:eastAsia="Aptos"/>
          <w:kern w:val="2"/>
          <w:lang w:eastAsia="en-US"/>
          <w14:ligatures w14:val="standardContextual"/>
        </w:rPr>
        <w:t>:</w:t>
      </w:r>
      <w:r w:rsidR="00D64348">
        <w:rPr>
          <w:rFonts w:eastAsia="Aptos"/>
          <w:kern w:val="2"/>
          <w:lang w:eastAsia="en-US"/>
          <w14:ligatures w14:val="standardContextual"/>
        </w:rPr>
        <w:t xml:space="preserve"> </w:t>
      </w:r>
    </w:p>
    <w:p w14:paraId="2E3F7CD4" w14:textId="2636F19E" w:rsidR="00D64348" w:rsidRPr="001B7175" w:rsidRDefault="006859F3" w:rsidP="00D64348">
      <w:pPr>
        <w:spacing w:after="0" w:line="360" w:lineRule="auto"/>
        <w:ind w:left="708"/>
        <w:jc w:val="both"/>
        <w:rPr>
          <w:rFonts w:eastAsia="Aptos"/>
          <w:kern w:val="2"/>
          <w:lang w:eastAsia="en-US"/>
          <w14:ligatures w14:val="standardContextual"/>
        </w:rPr>
      </w:pPr>
      <w:r w:rsidRPr="001B7175">
        <w:rPr>
          <w:rFonts w:eastAsia="Aptos"/>
          <w:kern w:val="2"/>
          <w:lang w:eastAsia="en-US"/>
          <w14:ligatures w14:val="standardContextual"/>
        </w:rPr>
        <w:t>Tiene como principio fundamental la construcción y reconstrucción permanente del conocimiento, considerando que tanto el pensamiento</w:t>
      </w:r>
      <w:r w:rsidR="002B6DF1" w:rsidRPr="001B7175">
        <w:rPr>
          <w:rFonts w:eastAsia="Aptos"/>
          <w:kern w:val="2"/>
          <w:lang w:eastAsia="en-US"/>
          <w14:ligatures w14:val="standardContextual"/>
        </w:rPr>
        <w:t>, no sólo el científico y el tecnológico</w:t>
      </w:r>
      <w:r w:rsidR="00FC3690" w:rsidRPr="001B7175">
        <w:rPr>
          <w:rFonts w:eastAsia="Aptos"/>
          <w:kern w:val="2"/>
          <w:lang w:eastAsia="en-US"/>
          <w14:ligatures w14:val="standardContextual"/>
        </w:rPr>
        <w:t xml:space="preserve"> </w:t>
      </w:r>
      <w:r w:rsidRPr="001B7175">
        <w:rPr>
          <w:rFonts w:eastAsia="Aptos"/>
          <w:kern w:val="2"/>
          <w:lang w:eastAsia="en-US"/>
          <w14:ligatures w14:val="standardContextual"/>
        </w:rPr>
        <w:t>sino también el cotidiano, considerando que tanto el pensamiento del ser humano como todos los objetos, fenómenos y procesos de la naturaleza y la sociedad se encuentran en constante cambio, transformación y movimiento</w:t>
      </w:r>
      <w:r w:rsidR="00EE0EB3" w:rsidRPr="001B7175">
        <w:rPr>
          <w:rFonts w:eastAsia="Aptos"/>
          <w:kern w:val="2"/>
          <w:lang w:eastAsia="en-US"/>
          <w14:ligatures w14:val="standardContextual"/>
        </w:rPr>
        <w:t xml:space="preserve"> (TecNM, 2024, p. 60)</w:t>
      </w:r>
      <w:r w:rsidRPr="001B7175">
        <w:rPr>
          <w:rFonts w:eastAsia="Aptos"/>
          <w:kern w:val="2"/>
          <w:lang w:eastAsia="en-US"/>
          <w14:ligatures w14:val="standardContextual"/>
        </w:rPr>
        <w:t>.</w:t>
      </w:r>
      <w:r w:rsidR="00D64348" w:rsidRPr="001B7175">
        <w:rPr>
          <w:rFonts w:eastAsia="Aptos"/>
          <w:kern w:val="2"/>
          <w:lang w:eastAsia="en-US"/>
          <w14:ligatures w14:val="standardContextual"/>
        </w:rPr>
        <w:t xml:space="preserve"> </w:t>
      </w:r>
    </w:p>
    <w:p w14:paraId="7E7D18FA" w14:textId="3E5DE717" w:rsidR="001128EC" w:rsidRDefault="00154B36" w:rsidP="001D5BD8">
      <w:pPr>
        <w:spacing w:after="0" w:line="360" w:lineRule="auto"/>
        <w:ind w:firstLine="708"/>
        <w:jc w:val="both"/>
        <w:rPr>
          <w:rFonts w:eastAsia="Aptos"/>
        </w:rPr>
      </w:pPr>
      <w:r>
        <w:rPr>
          <w:rFonts w:eastAsia="Aptos"/>
        </w:rPr>
        <w:t>Los resultados de esta nueva investigación permitiría</w:t>
      </w:r>
      <w:r w:rsidR="00B82439">
        <w:rPr>
          <w:rFonts w:eastAsia="Aptos"/>
        </w:rPr>
        <w:t>n</w:t>
      </w:r>
      <w:r>
        <w:rPr>
          <w:rFonts w:eastAsia="Aptos"/>
        </w:rPr>
        <w:t xml:space="preserve"> integrar el pensamiento científico y tecnológico, que </w:t>
      </w:r>
      <w:r w:rsidR="00B82439">
        <w:rPr>
          <w:rFonts w:eastAsia="Aptos"/>
        </w:rPr>
        <w:t>utilizan</w:t>
      </w:r>
      <w:r>
        <w:rPr>
          <w:rFonts w:eastAsia="Aptos"/>
        </w:rPr>
        <w:t xml:space="preserve"> el pensamiento literal</w:t>
      </w:r>
      <w:r w:rsidR="00554091">
        <w:rPr>
          <w:rFonts w:eastAsia="Aptos"/>
        </w:rPr>
        <w:t>, lógico</w:t>
      </w:r>
      <w:r>
        <w:rPr>
          <w:rFonts w:eastAsia="Aptos"/>
        </w:rPr>
        <w:t xml:space="preserve"> e inferencial, todos ellos involucrados en la capacidad </w:t>
      </w:r>
      <w:r w:rsidR="00A626B1">
        <w:rPr>
          <w:rFonts w:eastAsia="Aptos"/>
        </w:rPr>
        <w:t>para</w:t>
      </w:r>
      <w:r>
        <w:rPr>
          <w:rFonts w:eastAsia="Aptos"/>
        </w:rPr>
        <w:t xml:space="preserve"> resolver problemas</w:t>
      </w:r>
      <w:r w:rsidR="00B82439">
        <w:rPr>
          <w:rFonts w:eastAsia="Aptos"/>
        </w:rPr>
        <w:t>, así como</w:t>
      </w:r>
      <w:r>
        <w:rPr>
          <w:rFonts w:eastAsia="Aptos"/>
        </w:rPr>
        <w:t xml:space="preserve"> diseñar y desarrollar proyectos de investigación.</w:t>
      </w:r>
    </w:p>
    <w:p w14:paraId="588E646C" w14:textId="33773A7E" w:rsidR="00554091" w:rsidRDefault="00154B36" w:rsidP="00F03FA3">
      <w:pPr>
        <w:spacing w:after="0" w:line="360" w:lineRule="auto"/>
        <w:ind w:firstLine="708"/>
        <w:jc w:val="both"/>
        <w:rPr>
          <w:rFonts w:eastAsia="Aptos"/>
          <w:kern w:val="2"/>
          <w:lang w:eastAsia="en-US"/>
          <w14:ligatures w14:val="standardContextual"/>
        </w:rPr>
      </w:pPr>
      <w:r>
        <w:rPr>
          <w:rFonts w:eastAsia="Aptos"/>
        </w:rPr>
        <w:t>Por otro lado, l</w:t>
      </w:r>
      <w:r w:rsidR="0053004F">
        <w:rPr>
          <w:rFonts w:eastAsia="Aptos"/>
        </w:rPr>
        <w:t>os resultados de</w:t>
      </w:r>
      <w:r>
        <w:rPr>
          <w:rFonts w:eastAsia="Aptos"/>
        </w:rPr>
        <w:t xml:space="preserve">l presente </w:t>
      </w:r>
      <w:r w:rsidR="0053004F">
        <w:rPr>
          <w:rFonts w:eastAsia="Aptos"/>
        </w:rPr>
        <w:t xml:space="preserve">estudio </w:t>
      </w:r>
      <w:r w:rsidR="001128EC">
        <w:rPr>
          <w:rFonts w:eastAsia="Aptos"/>
        </w:rPr>
        <w:t>abre</w:t>
      </w:r>
      <w:r>
        <w:rPr>
          <w:rFonts w:eastAsia="Aptos"/>
        </w:rPr>
        <w:t>n</w:t>
      </w:r>
      <w:r w:rsidR="001128EC">
        <w:rPr>
          <w:rFonts w:eastAsia="Aptos"/>
        </w:rPr>
        <w:t xml:space="preserve"> la oportunidad para</w:t>
      </w:r>
      <w:r w:rsidR="00FC3690">
        <w:rPr>
          <w:rFonts w:eastAsia="Aptos"/>
        </w:rPr>
        <w:t xml:space="preserve"> r</w:t>
      </w:r>
      <w:r w:rsidR="00D64348" w:rsidRPr="00FC3690">
        <w:rPr>
          <w:rFonts w:eastAsia="Aptos"/>
        </w:rPr>
        <w:t>ealizar</w:t>
      </w:r>
      <w:r w:rsidR="0053004F">
        <w:rPr>
          <w:rFonts w:eastAsia="Aptos"/>
        </w:rPr>
        <w:t xml:space="preserve"> otra investigación</w:t>
      </w:r>
      <w:r w:rsidR="00D64348" w:rsidRPr="00FC3690">
        <w:rPr>
          <w:rFonts w:eastAsia="Aptos"/>
        </w:rPr>
        <w:t xml:space="preserve"> </w:t>
      </w:r>
      <w:r w:rsidR="001128EC">
        <w:rPr>
          <w:rFonts w:eastAsia="Aptos"/>
        </w:rPr>
        <w:t xml:space="preserve">que contemple </w:t>
      </w:r>
      <w:r w:rsidR="00D64348" w:rsidRPr="00FC3690">
        <w:rPr>
          <w:rFonts w:eastAsia="Aptos"/>
        </w:rPr>
        <w:t xml:space="preserve">un </w:t>
      </w:r>
      <w:r w:rsidR="007B5EA4" w:rsidRPr="00FC3690">
        <w:rPr>
          <w:rFonts w:eastAsia="Aptos"/>
        </w:rPr>
        <w:t>análisis de invarianza factorial</w:t>
      </w:r>
      <w:r>
        <w:rPr>
          <w:rFonts w:eastAsia="Aptos"/>
        </w:rPr>
        <w:t>. Esto permit</w:t>
      </w:r>
      <w:r w:rsidR="00554091">
        <w:rPr>
          <w:rFonts w:eastAsia="Aptos"/>
        </w:rPr>
        <w:t>iría</w:t>
      </w:r>
      <w:r w:rsidR="007B5EA4" w:rsidRPr="00FC3690">
        <w:rPr>
          <w:rFonts w:eastAsia="Aptos"/>
        </w:rPr>
        <w:t xml:space="preserve"> evaluar la estabilidad del modelo </w:t>
      </w:r>
      <w:r w:rsidR="007B5EA4" w:rsidRPr="001128EC">
        <w:rPr>
          <w:rFonts w:eastAsia="Aptos"/>
          <w:i/>
          <w:iCs/>
        </w:rPr>
        <w:t>en diferentes grupos</w:t>
      </w:r>
      <w:r w:rsidR="001128EC">
        <w:rPr>
          <w:rFonts w:eastAsia="Aptos"/>
          <w:i/>
          <w:iCs/>
        </w:rPr>
        <w:t xml:space="preserve"> de comparación</w:t>
      </w:r>
      <w:r w:rsidR="00FB5F18" w:rsidRPr="00FC3690">
        <w:rPr>
          <w:rFonts w:eastAsia="Aptos"/>
        </w:rPr>
        <w:t>, ya que en est</w:t>
      </w:r>
      <w:r>
        <w:rPr>
          <w:rFonts w:eastAsia="Aptos"/>
        </w:rPr>
        <w:t>a investigación</w:t>
      </w:r>
      <w:r w:rsidR="00FB5F18" w:rsidRPr="00FC3690">
        <w:rPr>
          <w:rFonts w:eastAsia="Aptos"/>
        </w:rPr>
        <w:t xml:space="preserve"> la mayoría de los participantes fue </w:t>
      </w:r>
      <w:r w:rsidR="004459A1" w:rsidRPr="00FC3690">
        <w:rPr>
          <w:rFonts w:eastAsia="Aptos"/>
        </w:rPr>
        <w:t>con</w:t>
      </w:r>
      <w:r w:rsidR="00FB5F18" w:rsidRPr="00FC3690">
        <w:rPr>
          <w:rFonts w:eastAsia="Aptos"/>
        </w:rPr>
        <w:t xml:space="preserve"> estudiantes de ciencias básicas.</w:t>
      </w:r>
      <w:r w:rsidR="004459A1" w:rsidRPr="00FC3690">
        <w:rPr>
          <w:rFonts w:eastAsia="Aptos"/>
        </w:rPr>
        <w:t xml:space="preserve"> </w:t>
      </w:r>
      <w:r w:rsidR="00554091">
        <w:rPr>
          <w:rFonts w:eastAsia="Aptos"/>
        </w:rPr>
        <w:t>De igual forma, e</w:t>
      </w:r>
      <w:r w:rsidR="001128EC">
        <w:rPr>
          <w:rFonts w:eastAsia="Aptos"/>
        </w:rPr>
        <w:t>sta investigación determinaría</w:t>
      </w:r>
      <w:r>
        <w:rPr>
          <w:rFonts w:eastAsia="Aptos"/>
        </w:rPr>
        <w:t xml:space="preserve"> </w:t>
      </w:r>
      <w:r w:rsidR="00201120">
        <w:rPr>
          <w:rFonts w:eastAsia="Aptos"/>
        </w:rPr>
        <w:t>cuáles variables latentes son de mayor pertinencia en la evaluación de las competencias profesionales establecidas en los diferentes programas académicos que ofrece el TecNM</w:t>
      </w:r>
      <w:r w:rsidR="00554091">
        <w:rPr>
          <w:rFonts w:eastAsia="Aptos"/>
        </w:rPr>
        <w:t>.</w:t>
      </w:r>
      <w:r w:rsidR="001128EC">
        <w:rPr>
          <w:rFonts w:eastAsia="Aptos"/>
        </w:rPr>
        <w:t xml:space="preserve"> </w:t>
      </w:r>
      <w:r w:rsidR="00EE0EB3">
        <w:rPr>
          <w:rFonts w:eastAsia="Aptos"/>
        </w:rPr>
        <w:t>Además</w:t>
      </w:r>
      <w:r w:rsidR="00FC3690">
        <w:rPr>
          <w:rFonts w:eastAsia="Aptos"/>
        </w:rPr>
        <w:t>, e</w:t>
      </w:r>
      <w:r w:rsidR="00FB5F18">
        <w:rPr>
          <w:rFonts w:eastAsia="Aptos"/>
          <w:kern w:val="2"/>
          <w:lang w:eastAsia="en-US"/>
          <w14:ligatures w14:val="standardContextual"/>
        </w:rPr>
        <w:t xml:space="preserve">n la actualización de este instrumento para </w:t>
      </w:r>
      <w:r w:rsidR="0087176B">
        <w:rPr>
          <w:rFonts w:eastAsia="Aptos"/>
          <w:kern w:val="2"/>
          <w:lang w:eastAsia="en-US"/>
          <w14:ligatures w14:val="standardContextual"/>
        </w:rPr>
        <w:t xml:space="preserve">definir </w:t>
      </w:r>
      <w:r w:rsidR="00FB5F18">
        <w:rPr>
          <w:rFonts w:eastAsia="Aptos"/>
          <w:kern w:val="2"/>
          <w:lang w:eastAsia="en-US"/>
          <w14:ligatures w14:val="standardContextual"/>
        </w:rPr>
        <w:t>las competencias socio</w:t>
      </w:r>
      <w:r w:rsidR="00A626B1">
        <w:rPr>
          <w:rFonts w:eastAsia="Aptos"/>
          <w:kern w:val="2"/>
          <w:lang w:eastAsia="en-US"/>
          <w14:ligatures w14:val="standardContextual"/>
        </w:rPr>
        <w:t>-</w:t>
      </w:r>
      <w:r w:rsidR="00FB5F18">
        <w:rPr>
          <w:rFonts w:eastAsia="Aptos"/>
          <w:kern w:val="2"/>
          <w:lang w:eastAsia="en-US"/>
          <w14:ligatures w14:val="standardContextual"/>
        </w:rPr>
        <w:t xml:space="preserve">tecnológicas, </w:t>
      </w:r>
      <w:r w:rsidR="0087176B">
        <w:rPr>
          <w:rFonts w:eastAsia="Aptos"/>
          <w:kern w:val="2"/>
          <w:lang w:eastAsia="en-US"/>
          <w14:ligatures w14:val="standardContextual"/>
        </w:rPr>
        <w:t xml:space="preserve">es necesario </w:t>
      </w:r>
      <w:r w:rsidR="00FB5F18">
        <w:rPr>
          <w:rFonts w:eastAsia="Aptos"/>
          <w:kern w:val="2"/>
          <w:lang w:eastAsia="en-US"/>
          <w14:ligatures w14:val="standardContextual"/>
        </w:rPr>
        <w:t>evaluar</w:t>
      </w:r>
      <w:r w:rsidR="007B5EA4" w:rsidRPr="007B5EA4">
        <w:rPr>
          <w:rFonts w:eastAsia="Aptos"/>
          <w:kern w:val="2"/>
          <w:lang w:eastAsia="en-US"/>
          <w14:ligatures w14:val="standardContextual"/>
        </w:rPr>
        <w:t xml:space="preserve"> las covarianzas entre factores latentes para garantizar la independencia conceptual de cada competencia evaluada.</w:t>
      </w:r>
      <w:r w:rsidR="00FC3690">
        <w:rPr>
          <w:rFonts w:eastAsia="Aptos"/>
          <w:kern w:val="2"/>
          <w:lang w:eastAsia="en-US"/>
          <w14:ligatures w14:val="standardContextual"/>
        </w:rPr>
        <w:t xml:space="preserve"> En paralelo a </w:t>
      </w:r>
      <w:r w:rsidR="00554091">
        <w:rPr>
          <w:rFonts w:eastAsia="Aptos"/>
          <w:kern w:val="2"/>
          <w:lang w:eastAsia="en-US"/>
          <w14:ligatures w14:val="standardContextual"/>
        </w:rPr>
        <w:t xml:space="preserve">esta </w:t>
      </w:r>
      <w:r w:rsidR="00B82439">
        <w:rPr>
          <w:rFonts w:eastAsia="Aptos"/>
          <w:kern w:val="2"/>
          <w:lang w:eastAsia="en-US"/>
          <w14:ligatures w14:val="standardContextual"/>
        </w:rPr>
        <w:t>nueva línea de investigación</w:t>
      </w:r>
      <w:r w:rsidR="00175268">
        <w:rPr>
          <w:rFonts w:eastAsia="Aptos"/>
          <w:kern w:val="2"/>
          <w:lang w:eastAsia="en-US"/>
          <w14:ligatures w14:val="standardContextual"/>
        </w:rPr>
        <w:t>,</w:t>
      </w:r>
      <w:r w:rsidR="00FC3690">
        <w:rPr>
          <w:rFonts w:eastAsia="Aptos"/>
          <w:kern w:val="2"/>
          <w:lang w:eastAsia="en-US"/>
          <w14:ligatures w14:val="standardContextual"/>
        </w:rPr>
        <w:t xml:space="preserve"> se pueden</w:t>
      </w:r>
      <w:r w:rsidR="00FC3690">
        <w:rPr>
          <w:rFonts w:eastAsia="Aptos"/>
        </w:rPr>
        <w:t xml:space="preserve"> a</w:t>
      </w:r>
      <w:r w:rsidR="007B5EA4" w:rsidRPr="007B5EA4">
        <w:rPr>
          <w:rFonts w:eastAsia="Aptos"/>
          <w:kern w:val="2"/>
          <w:lang w:eastAsia="en-US"/>
          <w14:ligatures w14:val="standardContextual"/>
        </w:rPr>
        <w:t>plicar pruebas de validez predictiva para confirmar que el desempeño</w:t>
      </w:r>
      <w:r w:rsidR="004459A1">
        <w:rPr>
          <w:rFonts w:eastAsia="Aptos"/>
          <w:kern w:val="2"/>
          <w:lang w:eastAsia="en-US"/>
          <w14:ligatures w14:val="standardContextual"/>
        </w:rPr>
        <w:t>,</w:t>
      </w:r>
      <w:r w:rsidR="007B5EA4" w:rsidRPr="007B5EA4">
        <w:rPr>
          <w:rFonts w:eastAsia="Aptos"/>
          <w:kern w:val="2"/>
          <w:lang w:eastAsia="en-US"/>
          <w14:ligatures w14:val="standardContextual"/>
        </w:rPr>
        <w:t xml:space="preserve"> </w:t>
      </w:r>
      <w:r w:rsidR="004459A1">
        <w:rPr>
          <w:rFonts w:eastAsia="Aptos"/>
          <w:kern w:val="2"/>
          <w:lang w:eastAsia="en-US"/>
          <w14:ligatures w14:val="standardContextual"/>
        </w:rPr>
        <w:t>medido con</w:t>
      </w:r>
      <w:r w:rsidR="007B5EA4" w:rsidRPr="007B5EA4">
        <w:rPr>
          <w:rFonts w:eastAsia="Aptos"/>
          <w:kern w:val="2"/>
          <w:lang w:eastAsia="en-US"/>
          <w14:ligatures w14:val="standardContextual"/>
        </w:rPr>
        <w:t xml:space="preserve"> este instrumento se correlaciona con medidas externas </w:t>
      </w:r>
      <w:r w:rsidR="00D64348">
        <w:rPr>
          <w:rFonts w:eastAsia="Aptos"/>
          <w:kern w:val="2"/>
          <w:lang w:eastAsia="en-US"/>
          <w14:ligatures w14:val="standardContextual"/>
        </w:rPr>
        <w:t>a la evaluación por competencias</w:t>
      </w:r>
      <w:r w:rsidR="004459A1">
        <w:rPr>
          <w:rFonts w:eastAsia="Aptos"/>
          <w:kern w:val="2"/>
          <w:lang w:eastAsia="en-US"/>
          <w14:ligatures w14:val="standardContextual"/>
        </w:rPr>
        <w:t xml:space="preserve">, </w:t>
      </w:r>
      <w:r w:rsidR="00D64348">
        <w:rPr>
          <w:rFonts w:eastAsia="Aptos"/>
          <w:kern w:val="2"/>
          <w:lang w:eastAsia="en-US"/>
          <w14:ligatures w14:val="standardContextual"/>
        </w:rPr>
        <w:t xml:space="preserve">tal como la satisfacción de los empleadores, </w:t>
      </w:r>
      <w:r w:rsidR="004459A1">
        <w:rPr>
          <w:rFonts w:eastAsia="Aptos"/>
          <w:kern w:val="2"/>
          <w:lang w:eastAsia="en-US"/>
          <w14:ligatures w14:val="standardContextual"/>
        </w:rPr>
        <w:t>lo cual significa evaluar la validez de criterio (Leyva</w:t>
      </w:r>
      <w:r w:rsidR="00EE0EB3">
        <w:rPr>
          <w:rFonts w:eastAsia="Aptos"/>
          <w:kern w:val="2"/>
          <w:lang w:eastAsia="en-US"/>
          <w14:ligatures w14:val="standardContextual"/>
        </w:rPr>
        <w:t>,</w:t>
      </w:r>
      <w:r w:rsidR="004459A1">
        <w:rPr>
          <w:rFonts w:eastAsia="Aptos"/>
          <w:kern w:val="2"/>
          <w:lang w:eastAsia="en-US"/>
          <w14:ligatures w14:val="standardContextual"/>
        </w:rPr>
        <w:t xml:space="preserve"> 2010).</w:t>
      </w:r>
    </w:p>
    <w:p w14:paraId="01B495BD" w14:textId="367FF9A1" w:rsidR="00D55876" w:rsidRPr="00D55876" w:rsidRDefault="00D55876" w:rsidP="00D55876">
      <w:pPr>
        <w:spacing w:after="0" w:line="360" w:lineRule="auto"/>
        <w:ind w:firstLine="708"/>
        <w:jc w:val="both"/>
        <w:rPr>
          <w:rFonts w:eastAsia="Aptos"/>
          <w:kern w:val="2"/>
          <w:lang w:eastAsia="en-US"/>
          <w14:ligatures w14:val="standardContextual"/>
        </w:rPr>
      </w:pPr>
      <w:r w:rsidRPr="00D55876">
        <w:rPr>
          <w:rFonts w:eastAsia="Aptos"/>
          <w:kern w:val="2"/>
          <w:lang w:eastAsia="en-US"/>
          <w14:ligatures w14:val="standardContextual"/>
        </w:rPr>
        <w:lastRenderedPageBreak/>
        <w:t>El alcance de</w:t>
      </w:r>
      <w:r>
        <w:rPr>
          <w:rFonts w:eastAsia="Aptos"/>
          <w:kern w:val="2"/>
          <w:lang w:eastAsia="en-US"/>
          <w14:ligatures w14:val="standardContextual"/>
        </w:rPr>
        <w:t xml:space="preserve"> este</w:t>
      </w:r>
      <w:r w:rsidRPr="00D55876">
        <w:rPr>
          <w:rFonts w:eastAsia="Aptos"/>
          <w:kern w:val="2"/>
          <w:lang w:eastAsia="en-US"/>
          <w14:ligatures w14:val="standardContextual"/>
        </w:rPr>
        <w:t xml:space="preserve"> estudio se centró en estandarizar estadísticamente el instrumento de evaluación de competencias en su validez de contenido y de constructo</w:t>
      </w:r>
      <w:r w:rsidR="00615BAB">
        <w:rPr>
          <w:rFonts w:eastAsia="Aptos"/>
          <w:kern w:val="2"/>
          <w:lang w:eastAsia="en-US"/>
          <w14:ligatures w14:val="standardContextual"/>
        </w:rPr>
        <w:t>. Utilizar</w:t>
      </w:r>
      <w:r w:rsidRPr="00D55876">
        <w:rPr>
          <w:rFonts w:eastAsia="Aptos"/>
          <w:kern w:val="2"/>
          <w:lang w:eastAsia="en-US"/>
          <w14:ligatures w14:val="standardContextual"/>
        </w:rPr>
        <w:t xml:space="preserve"> instrumentos estandarizados genera resultados confiables relativos al proceso de enseñanza</w:t>
      </w:r>
      <w:r w:rsidR="00EE0EB3">
        <w:rPr>
          <w:rFonts w:eastAsia="Aptos"/>
          <w:kern w:val="2"/>
          <w:lang w:eastAsia="en-US"/>
          <w14:ligatures w14:val="standardContextual"/>
        </w:rPr>
        <w:t>-</w:t>
      </w:r>
      <w:r w:rsidRPr="00D55876">
        <w:rPr>
          <w:rFonts w:eastAsia="Aptos"/>
          <w:kern w:val="2"/>
          <w:lang w:eastAsia="en-US"/>
          <w14:ligatures w14:val="standardContextual"/>
        </w:rPr>
        <w:t xml:space="preserve">aprendizaje, </w:t>
      </w:r>
      <w:r w:rsidR="00692828">
        <w:rPr>
          <w:rFonts w:eastAsia="Aptos"/>
          <w:kern w:val="2"/>
          <w:lang w:eastAsia="en-US"/>
          <w14:ligatures w14:val="standardContextual"/>
        </w:rPr>
        <w:t>lo cual</w:t>
      </w:r>
      <w:r w:rsidRPr="00D55876">
        <w:rPr>
          <w:rFonts w:eastAsia="Aptos"/>
          <w:kern w:val="2"/>
          <w:lang w:eastAsia="en-US"/>
          <w14:ligatures w14:val="standardContextual"/>
        </w:rPr>
        <w:t xml:space="preserve"> posibilita tomar decisiones fundamentadas respecto al rediseño curricular, a la formulación de proyectos de mejora continua a nivel institucional</w:t>
      </w:r>
      <w:r w:rsidR="00615BAB">
        <w:rPr>
          <w:rFonts w:eastAsia="Aptos"/>
          <w:kern w:val="2"/>
          <w:lang w:eastAsia="en-US"/>
          <w14:ligatures w14:val="standardContextual"/>
        </w:rPr>
        <w:t>, así como</w:t>
      </w:r>
      <w:r w:rsidRPr="00D55876">
        <w:rPr>
          <w:rFonts w:eastAsia="Aptos"/>
          <w:kern w:val="2"/>
          <w:lang w:eastAsia="en-US"/>
          <w14:ligatures w14:val="standardContextual"/>
        </w:rPr>
        <w:t xml:space="preserve"> de los programas educativos, lo que redunda en </w:t>
      </w:r>
      <w:r w:rsidR="00615BAB">
        <w:rPr>
          <w:rFonts w:eastAsia="Aptos"/>
          <w:kern w:val="2"/>
          <w:lang w:eastAsia="en-US"/>
          <w14:ligatures w14:val="standardContextual"/>
        </w:rPr>
        <w:t>la medición y mejora de los indicadores del sistema de gestión de calidad institucional</w:t>
      </w:r>
      <w:r w:rsidRPr="00D55876">
        <w:rPr>
          <w:rFonts w:eastAsia="Aptos"/>
          <w:kern w:val="2"/>
          <w:lang w:eastAsia="en-US"/>
          <w14:ligatures w14:val="standardContextual"/>
        </w:rPr>
        <w:t xml:space="preserve">. </w:t>
      </w:r>
    </w:p>
    <w:p w14:paraId="07E129B0" w14:textId="733CF412" w:rsidR="00D55876" w:rsidRPr="00D55876" w:rsidRDefault="00D55876" w:rsidP="00D55876">
      <w:pPr>
        <w:spacing w:after="0" w:line="360" w:lineRule="auto"/>
        <w:ind w:firstLine="708"/>
        <w:jc w:val="both"/>
        <w:rPr>
          <w:rFonts w:eastAsia="Aptos"/>
          <w:kern w:val="2"/>
          <w:lang w:eastAsia="en-US"/>
          <w14:ligatures w14:val="standardContextual"/>
        </w:rPr>
      </w:pPr>
      <w:r w:rsidRPr="00D55876">
        <w:rPr>
          <w:rFonts w:eastAsia="Aptos"/>
          <w:kern w:val="2"/>
          <w:lang w:eastAsia="en-US"/>
          <w14:ligatures w14:val="standardContextual"/>
        </w:rPr>
        <w:t xml:space="preserve">Por lo anterior, es necesario </w:t>
      </w:r>
      <w:r w:rsidR="00E5439D">
        <w:rPr>
          <w:rFonts w:eastAsia="Aptos"/>
          <w:kern w:val="2"/>
          <w:lang w:eastAsia="en-US"/>
          <w14:ligatures w14:val="standardContextual"/>
        </w:rPr>
        <w:t>implementar</w:t>
      </w:r>
      <w:r w:rsidRPr="00D55876">
        <w:rPr>
          <w:rFonts w:eastAsia="Aptos"/>
          <w:kern w:val="2"/>
          <w:lang w:eastAsia="en-US"/>
          <w14:ligatures w14:val="standardContextual"/>
        </w:rPr>
        <w:t xml:space="preserve"> otra línea de investigación para evaluar </w:t>
      </w:r>
      <w:r w:rsidRPr="00D55876">
        <w:rPr>
          <w:rFonts w:eastAsia="Aptos"/>
          <w:i/>
          <w:iCs/>
          <w:kern w:val="2"/>
          <w:lang w:eastAsia="en-US"/>
          <w14:ligatures w14:val="standardContextual"/>
        </w:rPr>
        <w:t>la validez de criterio del instrumento de evaluación desarrollado</w:t>
      </w:r>
      <w:r w:rsidRPr="00D55876">
        <w:rPr>
          <w:rFonts w:eastAsia="Aptos"/>
          <w:kern w:val="2"/>
          <w:lang w:eastAsia="en-US"/>
          <w14:ligatures w14:val="standardContextual"/>
        </w:rPr>
        <w:t xml:space="preserve">, a través de la determinación de correlaciones, regresiones </w:t>
      </w:r>
      <w:r w:rsidR="00615BAB">
        <w:rPr>
          <w:rFonts w:eastAsia="Aptos"/>
          <w:kern w:val="2"/>
          <w:lang w:eastAsia="en-US"/>
          <w14:ligatures w14:val="standardContextual"/>
        </w:rPr>
        <w:t>y</w:t>
      </w:r>
      <w:r w:rsidRPr="00D55876">
        <w:rPr>
          <w:rFonts w:eastAsia="Aptos"/>
          <w:kern w:val="2"/>
          <w:lang w:eastAsia="en-US"/>
          <w14:ligatures w14:val="standardContextual"/>
        </w:rPr>
        <w:t xml:space="preserve"> baremos diferenciados por grupos académicos o programas educativos. Esta investigación permitiría establecer estándares normativos de rendimiento que permitan interpretar los resultados de los estudiantes</w:t>
      </w:r>
      <w:r w:rsidR="00615BAB">
        <w:rPr>
          <w:rFonts w:eastAsia="Aptos"/>
          <w:kern w:val="2"/>
          <w:lang w:eastAsia="en-US"/>
          <w14:ligatures w14:val="standardContextual"/>
        </w:rPr>
        <w:t>,</w:t>
      </w:r>
      <w:r w:rsidRPr="00D55876">
        <w:rPr>
          <w:rFonts w:eastAsia="Aptos"/>
          <w:kern w:val="2"/>
          <w:lang w:eastAsia="en-US"/>
          <w14:ligatures w14:val="standardContextual"/>
        </w:rPr>
        <w:t xml:space="preserve"> en función de sus competencias profesionales, según el perfil de egreso. A través de estudios comparativos por cohorte, carrera o modalidad educativa, los índices psicométricos obtenidos en la medición de la validez de criterio, podrían generar puntos de corte, percentiles y escalas normativas que funcionen como criterios externos de validación del instrumento de evaluación del aprendizaje y del nivel de logro de las competencias profesionales.</w:t>
      </w:r>
    </w:p>
    <w:p w14:paraId="7FB678EF" w14:textId="77777777" w:rsidR="00D64348" w:rsidRPr="00306F05" w:rsidRDefault="00D64348" w:rsidP="00BB6953">
      <w:pPr>
        <w:jc w:val="both"/>
      </w:pPr>
    </w:p>
    <w:p w14:paraId="299E2F2D" w14:textId="1005E95C" w:rsidR="001B7175" w:rsidRPr="001B7175" w:rsidRDefault="00C63686" w:rsidP="001B7175">
      <w:pPr>
        <w:spacing w:line="360" w:lineRule="auto"/>
        <w:rPr>
          <w:rFonts w:asciiTheme="minorHAnsi" w:hAnsiTheme="minorHAnsi" w:cstheme="minorHAnsi"/>
          <w:sz w:val="28"/>
          <w:szCs w:val="28"/>
          <w:lang w:val="en-US"/>
        </w:rPr>
      </w:pPr>
      <w:proofErr w:type="spellStart"/>
      <w:r w:rsidRPr="001B7175">
        <w:rPr>
          <w:rFonts w:asciiTheme="minorHAnsi" w:hAnsiTheme="minorHAnsi" w:cstheme="minorHAnsi"/>
          <w:b/>
          <w:bCs/>
          <w:sz w:val="28"/>
          <w:szCs w:val="28"/>
          <w:lang w:val="en-US"/>
        </w:rPr>
        <w:t>Referencias</w:t>
      </w:r>
      <w:proofErr w:type="spellEnd"/>
      <w:r w:rsidR="00DC3C52" w:rsidRPr="001360A3">
        <w:fldChar w:fldCharType="begin"/>
      </w:r>
      <w:r w:rsidR="00DC3C52" w:rsidRPr="00F04D68">
        <w:rPr>
          <w:lang w:val="en-US"/>
        </w:rPr>
        <w:instrText xml:space="preserve"> ADDIN EN.REFLIST </w:instrText>
      </w:r>
      <w:r w:rsidR="00DC3C52" w:rsidRPr="001360A3">
        <w:fldChar w:fldCharType="separate"/>
      </w:r>
    </w:p>
    <w:p w14:paraId="34849BAD" w14:textId="77777777" w:rsidR="001B7175" w:rsidRPr="001B7175" w:rsidRDefault="001B7175" w:rsidP="001B7175">
      <w:pPr>
        <w:pStyle w:val="EndNoteBibliography"/>
        <w:spacing w:after="0" w:line="360" w:lineRule="auto"/>
        <w:ind w:left="720" w:hanging="720"/>
        <w:jc w:val="both"/>
        <w:rPr>
          <w:noProof/>
          <w:lang w:val="en-US"/>
        </w:rPr>
      </w:pPr>
      <w:r w:rsidRPr="001B7175">
        <w:rPr>
          <w:noProof/>
          <w:lang w:val="en-US"/>
        </w:rPr>
        <w:t>Anderson, W. L., Krathwohl, R. D., Airasian, W. P., &amp; Cruikshank, E. R. (2001). A taxonomy for learning, teaching, and assessing: A revision of Bloom’s taxonomy of educational objectives. Longman.</w:t>
      </w:r>
    </w:p>
    <w:p w14:paraId="5E551CE1" w14:textId="77777777" w:rsidR="001B7175" w:rsidRPr="001B7175" w:rsidRDefault="001B7175" w:rsidP="001B7175">
      <w:pPr>
        <w:pStyle w:val="EndNoteBibliography"/>
        <w:spacing w:after="0" w:line="360" w:lineRule="auto"/>
        <w:ind w:left="720" w:hanging="720"/>
        <w:jc w:val="both"/>
        <w:rPr>
          <w:noProof/>
          <w:lang w:val="en-US"/>
        </w:rPr>
      </w:pPr>
      <w:r w:rsidRPr="001B7175">
        <w:rPr>
          <w:noProof/>
          <w:lang w:val="en-US"/>
        </w:rPr>
        <w:t>Ayyanathan, N. (2022). Learning analytics model and Bloom's taxonomy based evaluation framework for the post graduate students' project assessment: A blended project-based learning management system with rubric-referenced predictors. Shanlax International Journal of Education, 10(3), 48–60. https://doi.org/10.34293/education.v10i3.4620.</w:t>
      </w:r>
    </w:p>
    <w:p w14:paraId="0241C633" w14:textId="77777777" w:rsidR="001B7175" w:rsidRPr="001B7175" w:rsidRDefault="001B7175" w:rsidP="001B7175">
      <w:pPr>
        <w:pStyle w:val="EndNoteBibliography"/>
        <w:spacing w:after="0" w:line="360" w:lineRule="auto"/>
        <w:ind w:left="720" w:hanging="720"/>
        <w:jc w:val="both"/>
        <w:rPr>
          <w:noProof/>
        </w:rPr>
      </w:pPr>
      <w:r w:rsidRPr="001B7175">
        <w:rPr>
          <w:noProof/>
        </w:rPr>
        <w:t>Barboza, J. L., &amp; Calderón, M. (2020). Aprendizaje participativo desde la acción constructivista sociocultural para el desarrollo de habilidades cognitivas en estudiantes. En P. Ramírez &amp; L. Ortega (Eds.), Formación educativa en el contexto social y cultural (pp. 45–62). Editorial Universitaria.</w:t>
      </w:r>
    </w:p>
    <w:p w14:paraId="305D3991" w14:textId="77777777" w:rsidR="001B7175" w:rsidRPr="001B7175" w:rsidRDefault="001B7175" w:rsidP="001B7175">
      <w:pPr>
        <w:pStyle w:val="EndNoteBibliography"/>
        <w:spacing w:after="0" w:line="360" w:lineRule="auto"/>
        <w:ind w:left="720" w:hanging="720"/>
        <w:jc w:val="both"/>
        <w:rPr>
          <w:noProof/>
        </w:rPr>
      </w:pPr>
      <w:r w:rsidRPr="001B7175">
        <w:rPr>
          <w:noProof/>
        </w:rPr>
        <w:lastRenderedPageBreak/>
        <w:t>Bello, A. M., Crespo, D. M., González, H. K., &amp; Pérez, N. E. (2022). Fundamentos cognitivos y pedagógicos del aprendizaje activo. Mendive. Revista de Educación, 20(4), 1353–1368. https://doi.org/10.33779/mr2022.20.4.1353.</w:t>
      </w:r>
    </w:p>
    <w:p w14:paraId="03763B82" w14:textId="77777777" w:rsidR="001B7175" w:rsidRPr="001B7175" w:rsidRDefault="001B7175" w:rsidP="001B7175">
      <w:pPr>
        <w:pStyle w:val="EndNoteBibliography"/>
        <w:spacing w:after="0" w:line="360" w:lineRule="auto"/>
        <w:ind w:left="720" w:hanging="720"/>
        <w:jc w:val="both"/>
        <w:rPr>
          <w:noProof/>
        </w:rPr>
      </w:pPr>
      <w:r w:rsidRPr="001B7175">
        <w:rPr>
          <w:noProof/>
        </w:rPr>
        <w:t xml:space="preserve">Bezanilla, M. J., &amp; Arranz, S. (2016). Sistema de evaluación por competencias en educación superior utilizando Moodle. Opción. Revista de Antropología, Ciencias de la Comunicación, Filosofía, Lingüística y Semiótica,Problemas del Desarrollo, la Ciencia y la Tecnología., 32(80), 290-310. </w:t>
      </w:r>
    </w:p>
    <w:p w14:paraId="69D5ADCF" w14:textId="77777777" w:rsidR="001B7175" w:rsidRPr="001B7175" w:rsidRDefault="001B7175" w:rsidP="001B7175">
      <w:pPr>
        <w:pStyle w:val="EndNoteBibliography"/>
        <w:spacing w:after="0" w:line="360" w:lineRule="auto"/>
        <w:ind w:left="720" w:hanging="720"/>
        <w:jc w:val="both"/>
        <w:rPr>
          <w:noProof/>
        </w:rPr>
      </w:pPr>
      <w:r w:rsidRPr="001B7175">
        <w:rPr>
          <w:noProof/>
          <w:lang w:val="en-US"/>
        </w:rPr>
        <w:t xml:space="preserve">Brown, T. A. (2006). Confirmatory factor analysis for applied research. </w:t>
      </w:r>
      <w:r w:rsidRPr="001B7175">
        <w:rPr>
          <w:noProof/>
        </w:rPr>
        <w:t>Guilford Press.</w:t>
      </w:r>
    </w:p>
    <w:p w14:paraId="4579D842" w14:textId="77777777" w:rsidR="001B7175" w:rsidRPr="001B7175" w:rsidRDefault="001B7175" w:rsidP="001B7175">
      <w:pPr>
        <w:pStyle w:val="EndNoteBibliography"/>
        <w:spacing w:after="0" w:line="360" w:lineRule="auto"/>
        <w:ind w:left="720" w:hanging="720"/>
        <w:jc w:val="both"/>
        <w:rPr>
          <w:noProof/>
        </w:rPr>
      </w:pPr>
      <w:r w:rsidRPr="001B7175">
        <w:rPr>
          <w:noProof/>
        </w:rPr>
        <w:t xml:space="preserve">Bruner, J. (1989). Acción, pensamiento y lenguaje . Alianza, Madrid. </w:t>
      </w:r>
    </w:p>
    <w:p w14:paraId="6E6A31B1" w14:textId="77777777" w:rsidR="001B7175" w:rsidRPr="001B7175" w:rsidRDefault="001B7175" w:rsidP="001B7175">
      <w:pPr>
        <w:pStyle w:val="EndNoteBibliography"/>
        <w:spacing w:after="0" w:line="360" w:lineRule="auto"/>
        <w:ind w:left="720" w:hanging="720"/>
        <w:jc w:val="both"/>
        <w:rPr>
          <w:noProof/>
          <w:lang w:val="en-US"/>
        </w:rPr>
      </w:pPr>
      <w:r w:rsidRPr="001B7175">
        <w:rPr>
          <w:noProof/>
          <w:lang w:val="en-US"/>
        </w:rPr>
        <w:t>Byrne, M. B. (2010). Structural equation modeling with AMOS: Basic concepts, applications, and programming (2.ª ed.). Routledge/Taylor &amp; Francis.</w:t>
      </w:r>
    </w:p>
    <w:p w14:paraId="7B014BB5" w14:textId="77777777" w:rsidR="001B7175" w:rsidRPr="001B7175" w:rsidRDefault="001B7175" w:rsidP="001B7175">
      <w:pPr>
        <w:pStyle w:val="EndNoteBibliography"/>
        <w:spacing w:after="0" w:line="360" w:lineRule="auto"/>
        <w:ind w:left="720" w:hanging="720"/>
        <w:jc w:val="both"/>
        <w:rPr>
          <w:noProof/>
        </w:rPr>
      </w:pPr>
      <w:r w:rsidRPr="001B7175">
        <w:rPr>
          <w:noProof/>
          <w:lang w:val="en-US"/>
        </w:rPr>
        <w:t xml:space="preserve">Cabrera, D., &amp; Cabrera, L. (2015). Systems thinking made simple: New hope for solving wicked problems. </w:t>
      </w:r>
      <w:r w:rsidRPr="001B7175">
        <w:rPr>
          <w:noProof/>
        </w:rPr>
        <w:t>Odyssean Press.</w:t>
      </w:r>
    </w:p>
    <w:p w14:paraId="7BC25B0E" w14:textId="77777777" w:rsidR="001B7175" w:rsidRPr="001B7175" w:rsidRDefault="001B7175" w:rsidP="001B7175">
      <w:pPr>
        <w:pStyle w:val="EndNoteBibliography"/>
        <w:spacing w:after="0" w:line="360" w:lineRule="auto"/>
        <w:ind w:left="720" w:hanging="720"/>
        <w:jc w:val="both"/>
        <w:rPr>
          <w:noProof/>
          <w:lang w:val="en-US"/>
        </w:rPr>
      </w:pPr>
      <w:r w:rsidRPr="001B7175">
        <w:rPr>
          <w:noProof/>
        </w:rPr>
        <w:t xml:space="preserve">Cassany, D. (2006). Tras las líneas. Sobre la lectura contemporánea. </w:t>
      </w:r>
      <w:r w:rsidRPr="001B7175">
        <w:rPr>
          <w:noProof/>
          <w:lang w:val="en-US"/>
        </w:rPr>
        <w:t xml:space="preserve">Anagrama. </w:t>
      </w:r>
    </w:p>
    <w:p w14:paraId="6A2C3579" w14:textId="77777777" w:rsidR="001B7175" w:rsidRPr="001B7175" w:rsidRDefault="001B7175" w:rsidP="001B7175">
      <w:pPr>
        <w:pStyle w:val="EndNoteBibliography"/>
        <w:spacing w:after="0" w:line="360" w:lineRule="auto"/>
        <w:ind w:left="720" w:hanging="720"/>
        <w:jc w:val="both"/>
        <w:rPr>
          <w:noProof/>
          <w:lang w:val="en-US"/>
        </w:rPr>
      </w:pPr>
      <w:r w:rsidRPr="001B7175">
        <w:rPr>
          <w:noProof/>
          <w:lang w:val="en-US"/>
        </w:rPr>
        <w:t>Coelho, M., &amp; Menezes, I. (2021). University social responsibility, service learning, and students’ personal, professional, and civic education. Frontiers in Psychology, 12, 617300. https://doi.org/10.3389/fpsyg.2021.617300.</w:t>
      </w:r>
    </w:p>
    <w:p w14:paraId="3D0C59DE" w14:textId="77777777" w:rsidR="001B7175" w:rsidRPr="001B7175" w:rsidRDefault="001B7175" w:rsidP="001B7175">
      <w:pPr>
        <w:pStyle w:val="EndNoteBibliography"/>
        <w:spacing w:after="0" w:line="360" w:lineRule="auto"/>
        <w:ind w:left="720" w:hanging="720"/>
        <w:jc w:val="both"/>
        <w:rPr>
          <w:noProof/>
          <w:lang w:val="en-US"/>
        </w:rPr>
      </w:pPr>
      <w:r w:rsidRPr="001B7175">
        <w:rPr>
          <w:noProof/>
          <w:lang w:val="en-US"/>
        </w:rPr>
        <w:t xml:space="preserve">Coll, C., &amp; Onrubia, J. (2012). </w:t>
      </w:r>
      <w:r w:rsidRPr="001B7175">
        <w:rPr>
          <w:noProof/>
        </w:rPr>
        <w:t xml:space="preserve">El constructivismo en el aula. </w:t>
      </w:r>
      <w:r w:rsidRPr="001B7175">
        <w:rPr>
          <w:noProof/>
          <w:lang w:val="en-US"/>
        </w:rPr>
        <w:t xml:space="preserve">Editorial Graó. </w:t>
      </w:r>
    </w:p>
    <w:p w14:paraId="1DE07D9B" w14:textId="77777777" w:rsidR="001B7175" w:rsidRPr="001B7175" w:rsidRDefault="001B7175" w:rsidP="001B7175">
      <w:pPr>
        <w:pStyle w:val="EndNoteBibliography"/>
        <w:spacing w:after="0" w:line="360" w:lineRule="auto"/>
        <w:ind w:left="720" w:hanging="720"/>
        <w:jc w:val="both"/>
        <w:rPr>
          <w:noProof/>
          <w:lang w:val="en-US"/>
        </w:rPr>
      </w:pPr>
      <w:r w:rsidRPr="001B7175">
        <w:rPr>
          <w:noProof/>
          <w:lang w:val="en-US"/>
        </w:rPr>
        <w:t xml:space="preserve">Creswell, J. W. (2012). Educational Research: Planning, conducting and evaluating quantitative and cualitative research. Pearson. </w:t>
      </w:r>
    </w:p>
    <w:p w14:paraId="483F629F" w14:textId="77777777" w:rsidR="001B7175" w:rsidRPr="001B7175" w:rsidRDefault="001B7175" w:rsidP="001B7175">
      <w:pPr>
        <w:pStyle w:val="EndNoteBibliography"/>
        <w:spacing w:after="0" w:line="360" w:lineRule="auto"/>
        <w:ind w:left="720" w:hanging="720"/>
        <w:jc w:val="both"/>
        <w:rPr>
          <w:noProof/>
        </w:rPr>
      </w:pPr>
      <w:r w:rsidRPr="001B7175">
        <w:rPr>
          <w:noProof/>
          <w:lang w:val="en-US"/>
        </w:rPr>
        <w:t xml:space="preserve">Creswell, J. W., &amp; Poth, C. N. (2023). Qualitative inquiry and research design: Choosing among five approaches (5th ed.). </w:t>
      </w:r>
      <w:r w:rsidRPr="001B7175">
        <w:rPr>
          <w:noProof/>
        </w:rPr>
        <w:t>SAGE.</w:t>
      </w:r>
    </w:p>
    <w:p w14:paraId="42B75A42" w14:textId="77777777" w:rsidR="001B7175" w:rsidRPr="001B7175" w:rsidRDefault="001B7175" w:rsidP="001B7175">
      <w:pPr>
        <w:pStyle w:val="EndNoteBibliography"/>
        <w:spacing w:after="0" w:line="360" w:lineRule="auto"/>
        <w:ind w:left="720" w:hanging="720"/>
        <w:jc w:val="both"/>
        <w:rPr>
          <w:noProof/>
        </w:rPr>
      </w:pPr>
      <w:r w:rsidRPr="001B7175">
        <w:rPr>
          <w:noProof/>
        </w:rPr>
        <w:t>Espinoza, E. E. (2019). La variable y su operacionalización en la investigación educativa: Ferrando, J. P., Lorenzo-Seva, U., Hernández-Dorado, A., &amp; Muñiz, J. (2022). Decálogo para el análisis factorial de los ítems de un test. Psicothema, 34(1), 7–17. https://doi.org/10.7334/psicothema2021.456.</w:t>
      </w:r>
    </w:p>
    <w:p w14:paraId="0F0E706B" w14:textId="77777777" w:rsidR="001B7175" w:rsidRPr="001B7175" w:rsidRDefault="001B7175" w:rsidP="001B7175">
      <w:pPr>
        <w:pStyle w:val="EndNoteBibliography"/>
        <w:spacing w:after="0" w:line="360" w:lineRule="auto"/>
        <w:ind w:left="720" w:hanging="720"/>
        <w:jc w:val="both"/>
        <w:rPr>
          <w:noProof/>
        </w:rPr>
      </w:pPr>
      <w:r w:rsidRPr="001B7175">
        <w:rPr>
          <w:noProof/>
        </w:rPr>
        <w:t>Ferrando, J. P., Lorenzo-Seva, U., Hernández-Dorado, A., &amp; Muñiz, J. (2022). Decálogo para el análisis factorial de los ítems de un test. Psicothema, 34(1), 7–17. https://doi.org/10.7334/psicothema2021.456.</w:t>
      </w:r>
    </w:p>
    <w:p w14:paraId="37FB7590" w14:textId="77777777" w:rsidR="001B7175" w:rsidRPr="001B7175" w:rsidRDefault="001B7175" w:rsidP="001B7175">
      <w:pPr>
        <w:pStyle w:val="EndNoteBibliography"/>
        <w:spacing w:after="0" w:line="360" w:lineRule="auto"/>
        <w:ind w:left="720" w:hanging="720"/>
        <w:jc w:val="both"/>
        <w:rPr>
          <w:noProof/>
          <w:lang w:val="en-US"/>
        </w:rPr>
      </w:pPr>
      <w:r w:rsidRPr="001B7175">
        <w:rPr>
          <w:noProof/>
        </w:rPr>
        <w:t xml:space="preserve">Ferrando, J. P., &amp; Lorenzo-Seva, U. (2018). </w:t>
      </w:r>
      <w:r w:rsidRPr="001B7175">
        <w:rPr>
          <w:noProof/>
          <w:lang w:val="en-US"/>
        </w:rPr>
        <w:t>Assessing the quality and appropriateness of factor solutions and factor score estimates in exploratory item factor analysis. Educational and Psychological Measurement, 78(5), 762–780. https://doi.org/10.1177/0013164417719308</w:t>
      </w:r>
    </w:p>
    <w:p w14:paraId="44D9F419" w14:textId="77777777" w:rsidR="001B7175" w:rsidRPr="001B7175" w:rsidRDefault="001B7175" w:rsidP="001B7175">
      <w:pPr>
        <w:pStyle w:val="EndNoteBibliography"/>
        <w:spacing w:after="0" w:line="360" w:lineRule="auto"/>
        <w:ind w:left="720" w:hanging="720"/>
        <w:jc w:val="both"/>
        <w:rPr>
          <w:noProof/>
        </w:rPr>
      </w:pPr>
      <w:r w:rsidRPr="001B7175">
        <w:rPr>
          <w:noProof/>
          <w:lang w:val="en-US"/>
        </w:rPr>
        <w:lastRenderedPageBreak/>
        <w:t xml:space="preserve">Freire, P. (1972). Pedagogía del oprimido. </w:t>
      </w:r>
      <w:r w:rsidRPr="001B7175">
        <w:rPr>
          <w:noProof/>
        </w:rPr>
        <w:t xml:space="preserve">Siglo XXi Editores. </w:t>
      </w:r>
    </w:p>
    <w:p w14:paraId="7876344D" w14:textId="77777777" w:rsidR="001B7175" w:rsidRPr="001B7175" w:rsidRDefault="001B7175" w:rsidP="001B7175">
      <w:pPr>
        <w:pStyle w:val="EndNoteBibliography"/>
        <w:spacing w:after="0" w:line="360" w:lineRule="auto"/>
        <w:ind w:left="720" w:hanging="720"/>
        <w:jc w:val="both"/>
        <w:rPr>
          <w:noProof/>
        </w:rPr>
      </w:pPr>
      <w:r w:rsidRPr="001B7175">
        <w:rPr>
          <w:noProof/>
        </w:rPr>
        <w:t xml:space="preserve">Freire, P. (2004). Pedagogía de la autonomía: Saberes necesarios para la práctica educativa. Paz e Terra. </w:t>
      </w:r>
    </w:p>
    <w:p w14:paraId="69C16A47" w14:textId="77777777" w:rsidR="001B7175" w:rsidRPr="001B7175" w:rsidRDefault="001B7175" w:rsidP="001B7175">
      <w:pPr>
        <w:pStyle w:val="EndNoteBibliography"/>
        <w:spacing w:after="0" w:line="360" w:lineRule="auto"/>
        <w:ind w:left="720" w:hanging="720"/>
        <w:jc w:val="both"/>
        <w:rPr>
          <w:noProof/>
          <w:lang w:val="en-US"/>
        </w:rPr>
      </w:pPr>
      <w:r w:rsidRPr="001B7175">
        <w:rPr>
          <w:noProof/>
        </w:rPr>
        <w:t xml:space="preserve">Fulcher, K. H., Good, R. M., &amp; Rose, S. E. (2025). </w:t>
      </w:r>
      <w:r w:rsidRPr="001B7175">
        <w:rPr>
          <w:noProof/>
          <w:lang w:val="en-US"/>
        </w:rPr>
        <w:t xml:space="preserve">Assessment 101 in higher education. Routledge. </w:t>
      </w:r>
    </w:p>
    <w:p w14:paraId="3C170CD2" w14:textId="77777777" w:rsidR="001B7175" w:rsidRPr="001B7175" w:rsidRDefault="001B7175" w:rsidP="001B7175">
      <w:pPr>
        <w:pStyle w:val="EndNoteBibliography"/>
        <w:spacing w:after="0" w:line="360" w:lineRule="auto"/>
        <w:ind w:left="720" w:hanging="720"/>
        <w:jc w:val="both"/>
        <w:rPr>
          <w:noProof/>
        </w:rPr>
      </w:pPr>
      <w:r w:rsidRPr="001B7175">
        <w:rPr>
          <w:noProof/>
        </w:rPr>
        <w:t>González-Segura, C. M., García-García, M., &amp; Menéndez-Domínguez, V. H. (2018). Análisis de la evaluación de competencias y su aplicación en un sistema de gestión del aprendizaje: Un caso de estudio. Revista de Educación a Distancia, (58). https://doi.org/10.6018/red/58/3.</w:t>
      </w:r>
    </w:p>
    <w:p w14:paraId="5B53A4C3" w14:textId="77777777" w:rsidR="001B7175" w:rsidRPr="001B7175" w:rsidRDefault="001B7175" w:rsidP="001B7175">
      <w:pPr>
        <w:pStyle w:val="EndNoteBibliography"/>
        <w:spacing w:after="0" w:line="360" w:lineRule="auto"/>
        <w:ind w:left="720" w:hanging="720"/>
        <w:jc w:val="both"/>
        <w:rPr>
          <w:noProof/>
          <w:lang w:val="en-US"/>
        </w:rPr>
      </w:pPr>
      <w:r w:rsidRPr="001B7175">
        <w:rPr>
          <w:noProof/>
        </w:rPr>
        <w:t xml:space="preserve">Guaman-Quintanilla, S., Everaert, P., &amp; Chiluiza, K. (2023). </w:t>
      </w:r>
      <w:r w:rsidRPr="001B7175">
        <w:rPr>
          <w:noProof/>
          <w:lang w:val="en-US"/>
        </w:rPr>
        <w:t>Impact of design thinking in higher education: A multi-actor perspective on problem solving and creativity. International Journal of Technology and Design Education, 33, 217–240. https://doi.org/10.1007/s10798-021-09724-z.</w:t>
      </w:r>
    </w:p>
    <w:p w14:paraId="32E4A9D4" w14:textId="77777777" w:rsidR="001B7175" w:rsidRPr="001B7175" w:rsidRDefault="001B7175" w:rsidP="001B7175">
      <w:pPr>
        <w:pStyle w:val="EndNoteBibliography"/>
        <w:spacing w:after="0" w:line="360" w:lineRule="auto"/>
        <w:ind w:left="720" w:hanging="720"/>
        <w:jc w:val="both"/>
        <w:rPr>
          <w:noProof/>
          <w:lang w:val="en-US"/>
        </w:rPr>
      </w:pPr>
      <w:r w:rsidRPr="001B7175">
        <w:rPr>
          <w:noProof/>
          <w:lang w:val="en-US"/>
        </w:rPr>
        <w:t>Hair, J. F., Black, W. C., Babin, B. J., &amp; Anderson, R. E. (2019). Análisis multivariante (8.ª ed.). Cengage Learning.</w:t>
      </w:r>
    </w:p>
    <w:p w14:paraId="0953ED74" w14:textId="77777777" w:rsidR="001B7175" w:rsidRPr="001B7175" w:rsidRDefault="001B7175" w:rsidP="001B7175">
      <w:pPr>
        <w:pStyle w:val="EndNoteBibliography"/>
        <w:spacing w:after="0" w:line="360" w:lineRule="auto"/>
        <w:ind w:left="720" w:hanging="720"/>
        <w:jc w:val="both"/>
        <w:rPr>
          <w:noProof/>
        </w:rPr>
      </w:pPr>
      <w:r w:rsidRPr="001B7175">
        <w:rPr>
          <w:noProof/>
          <w:lang w:val="en-US"/>
        </w:rPr>
        <w:t xml:space="preserve">Hernández, A., Hidalgo, M. D., Hambleton, R. K., &amp; Gómez-Benito, J. (2020). International Test Commission guidelines for test adaptation: A criterion checklist. </w:t>
      </w:r>
      <w:r w:rsidRPr="001B7175">
        <w:rPr>
          <w:noProof/>
        </w:rPr>
        <w:t>Psicothema, 32(3), 390–398. https://doi.org/10.7334/psicothema2019.306.</w:t>
      </w:r>
    </w:p>
    <w:p w14:paraId="73C940E5" w14:textId="77777777" w:rsidR="001B7175" w:rsidRPr="001B7175" w:rsidRDefault="001B7175" w:rsidP="001B7175">
      <w:pPr>
        <w:pStyle w:val="EndNoteBibliography"/>
        <w:spacing w:after="0" w:line="360" w:lineRule="auto"/>
        <w:ind w:left="720" w:hanging="720"/>
        <w:jc w:val="both"/>
        <w:rPr>
          <w:noProof/>
          <w:lang w:val="en-US"/>
        </w:rPr>
      </w:pPr>
      <w:r w:rsidRPr="001B7175">
        <w:rPr>
          <w:noProof/>
        </w:rPr>
        <w:t xml:space="preserve">Heredia, P. H., Gutiérrez, M., &amp; Romero, M. F. (2024). Comprensión lectora y resolución de problemas matemáticos: Un estudio de caso. </w:t>
      </w:r>
      <w:r w:rsidRPr="001B7175">
        <w:rPr>
          <w:noProof/>
          <w:lang w:val="en-US"/>
        </w:rPr>
        <w:t>Perfiles educativos, 46(185), 69–88. https://doi.org/10.22201/iisue.24486167e.2024.185.61367.</w:t>
      </w:r>
    </w:p>
    <w:p w14:paraId="0ACB9585" w14:textId="77777777" w:rsidR="001B7175" w:rsidRPr="001B7175" w:rsidRDefault="001B7175" w:rsidP="001B7175">
      <w:pPr>
        <w:pStyle w:val="EndNoteBibliography"/>
        <w:spacing w:after="0" w:line="360" w:lineRule="auto"/>
        <w:ind w:left="720" w:hanging="720"/>
        <w:jc w:val="both"/>
        <w:rPr>
          <w:noProof/>
        </w:rPr>
      </w:pPr>
      <w:r w:rsidRPr="001B7175">
        <w:rPr>
          <w:noProof/>
          <w:lang w:val="en-US"/>
        </w:rPr>
        <w:t xml:space="preserve">Hyytinen, H., Toom, A., &amp; Shavelson, R. J. (2019). Enhancing scientific thinking through the development of critical thinking in higher education. En M. Murtonen &amp; K. Balloo (Eds.), Redefining scientific thinking for higher education: Higher-order thinking, evidence-based reasoning and research skills (pp. 59-78). </w:t>
      </w:r>
      <w:r w:rsidRPr="001B7175">
        <w:rPr>
          <w:noProof/>
        </w:rPr>
        <w:t>Palgrave Macmillan. https://doi.org/10.1007/978-3-030-24215-2_3.</w:t>
      </w:r>
    </w:p>
    <w:p w14:paraId="3F33BA67" w14:textId="77777777" w:rsidR="001B7175" w:rsidRPr="001B7175" w:rsidRDefault="001B7175" w:rsidP="001B7175">
      <w:pPr>
        <w:pStyle w:val="EndNoteBibliography"/>
        <w:spacing w:after="0" w:line="360" w:lineRule="auto"/>
        <w:ind w:left="720" w:hanging="720"/>
        <w:jc w:val="both"/>
        <w:rPr>
          <w:noProof/>
          <w:lang w:val="en-US"/>
        </w:rPr>
      </w:pPr>
      <w:r w:rsidRPr="001B7175">
        <w:rPr>
          <w:noProof/>
        </w:rPr>
        <w:t xml:space="preserve">International Engineering Alliance. (2021). Atributos del egresado y competencias profesionales. </w:t>
      </w:r>
      <w:r w:rsidRPr="001B7175">
        <w:rPr>
          <w:noProof/>
          <w:lang w:val="en-US"/>
        </w:rPr>
        <w:t>International Engineering Alliance. https://www.ieagreements.org.</w:t>
      </w:r>
    </w:p>
    <w:p w14:paraId="3E82C5E7" w14:textId="77777777" w:rsidR="001B7175" w:rsidRPr="001B7175" w:rsidRDefault="001B7175" w:rsidP="001B7175">
      <w:pPr>
        <w:pStyle w:val="EndNoteBibliography"/>
        <w:spacing w:after="0" w:line="360" w:lineRule="auto"/>
        <w:ind w:left="720" w:hanging="720"/>
        <w:jc w:val="both"/>
        <w:rPr>
          <w:noProof/>
        </w:rPr>
      </w:pPr>
      <w:r w:rsidRPr="001B7175">
        <w:rPr>
          <w:noProof/>
          <w:lang w:val="en-US"/>
        </w:rPr>
        <w:t xml:space="preserve">Intriago, L. P., Viteri, J. C., &amp; Changotasig, A. M. (2024). </w:t>
      </w:r>
      <w:r w:rsidRPr="001B7175">
        <w:rPr>
          <w:noProof/>
        </w:rPr>
        <w:t>Modelo motivacional de Pintrich como estrategia de autorregulación en la construcción de conocimiento. Ciencia Latina: Revista Multidisciplinar, 8(5), 1784-1800. https://doi.org/10.33322/cl.v8i5.13649.</w:t>
      </w:r>
    </w:p>
    <w:p w14:paraId="39EF0982" w14:textId="77777777" w:rsidR="001B7175" w:rsidRPr="001B7175" w:rsidRDefault="001B7175" w:rsidP="001B7175">
      <w:pPr>
        <w:pStyle w:val="EndNoteBibliography"/>
        <w:spacing w:after="0" w:line="360" w:lineRule="auto"/>
        <w:ind w:left="720" w:hanging="720"/>
        <w:jc w:val="both"/>
        <w:rPr>
          <w:noProof/>
        </w:rPr>
      </w:pPr>
      <w:r w:rsidRPr="001B7175">
        <w:rPr>
          <w:noProof/>
        </w:rPr>
        <w:lastRenderedPageBreak/>
        <w:t xml:space="preserve">Kline, R. B. (2016). </w:t>
      </w:r>
      <w:r w:rsidRPr="001B7175">
        <w:rPr>
          <w:noProof/>
          <w:lang w:val="en-US"/>
        </w:rPr>
        <w:t xml:space="preserve">Principles and Practice of Structural Equation Modeling (4 ed.). </w:t>
      </w:r>
      <w:r w:rsidRPr="001B7175">
        <w:rPr>
          <w:noProof/>
        </w:rPr>
        <w:t xml:space="preserve">The Guilford Press. </w:t>
      </w:r>
    </w:p>
    <w:p w14:paraId="224C8ADB" w14:textId="77777777" w:rsidR="001B7175" w:rsidRPr="001B7175" w:rsidRDefault="001B7175" w:rsidP="001B7175">
      <w:pPr>
        <w:pStyle w:val="EndNoteBibliography"/>
        <w:spacing w:after="0" w:line="360" w:lineRule="auto"/>
        <w:ind w:left="720" w:hanging="720"/>
        <w:jc w:val="both"/>
        <w:rPr>
          <w:noProof/>
          <w:lang w:val="en-US"/>
        </w:rPr>
      </w:pPr>
      <w:r w:rsidRPr="001B7175">
        <w:rPr>
          <w:noProof/>
        </w:rPr>
        <w:t xml:space="preserve">Krippendorff, K. (1990). Metodología de análisis de contenido: Teoría y práctica (2.ª ed., trad. al esp.). </w:t>
      </w:r>
      <w:r w:rsidRPr="001B7175">
        <w:rPr>
          <w:noProof/>
          <w:lang w:val="en-US"/>
        </w:rPr>
        <w:t>Paidós Comunicación.</w:t>
      </w:r>
    </w:p>
    <w:p w14:paraId="6D77CA19" w14:textId="77777777" w:rsidR="001B7175" w:rsidRPr="001B7175" w:rsidRDefault="001B7175" w:rsidP="001B7175">
      <w:pPr>
        <w:pStyle w:val="EndNoteBibliography"/>
        <w:spacing w:after="0" w:line="360" w:lineRule="auto"/>
        <w:ind w:left="720" w:hanging="720"/>
        <w:jc w:val="both"/>
        <w:rPr>
          <w:noProof/>
          <w:lang w:val="en-US"/>
        </w:rPr>
      </w:pPr>
      <w:r w:rsidRPr="001B7175">
        <w:rPr>
          <w:noProof/>
          <w:lang w:val="en-US"/>
        </w:rPr>
        <w:t>Lawshe, C. H. (1975). A quantitative approach to content validity. Personnel Psychology, 28(4), 563–575. https://doi.org/10.1111/j.1744-6570.1975.tb01393.x.</w:t>
      </w:r>
    </w:p>
    <w:p w14:paraId="2791196B" w14:textId="77777777" w:rsidR="001B7175" w:rsidRPr="001B7175" w:rsidRDefault="001B7175" w:rsidP="001B7175">
      <w:pPr>
        <w:pStyle w:val="EndNoteBibliography"/>
        <w:spacing w:after="0" w:line="360" w:lineRule="auto"/>
        <w:ind w:left="720" w:hanging="720"/>
        <w:jc w:val="both"/>
        <w:rPr>
          <w:noProof/>
        </w:rPr>
      </w:pPr>
      <w:r w:rsidRPr="001B7175">
        <w:rPr>
          <w:noProof/>
          <w:lang w:val="en-US"/>
        </w:rPr>
        <w:t xml:space="preserve">Leyva Barajas, Y. E. (2010). </w:t>
      </w:r>
      <w:r w:rsidRPr="001B7175">
        <w:rPr>
          <w:noProof/>
        </w:rPr>
        <w:t>La evaluación como recurso estratégico para la mejora de la práctica docente ante los retos de una educación basada en competencias. Revista Iberoamericana de Evaluación Educativa, 3(1e), 233-245. https://rinace.net/riee/numeros/vol3-num1_e/art18.pdf.</w:t>
      </w:r>
    </w:p>
    <w:p w14:paraId="0488ECED" w14:textId="77777777" w:rsidR="001B7175" w:rsidRPr="001B7175" w:rsidRDefault="001B7175" w:rsidP="001B7175">
      <w:pPr>
        <w:pStyle w:val="EndNoteBibliography"/>
        <w:spacing w:after="0" w:line="360" w:lineRule="auto"/>
        <w:ind w:left="720" w:hanging="720"/>
        <w:jc w:val="both"/>
        <w:rPr>
          <w:noProof/>
          <w:lang w:val="en-US"/>
        </w:rPr>
      </w:pPr>
      <w:r w:rsidRPr="001B7175">
        <w:rPr>
          <w:noProof/>
        </w:rPr>
        <w:t xml:space="preserve">Limbani, F., Goudge, J., Joshi, R., Maar, M., Miranda, J., Oldenburg, B., … </w:t>
      </w:r>
      <w:r w:rsidRPr="001B7175">
        <w:rPr>
          <w:noProof/>
          <w:lang w:val="en-US"/>
        </w:rPr>
        <w:t>Webster, J. (2019). Process evaluation in the field: Global learnings from seven implementation research hypertension projects in low- and middle-income countries. BMC Public Health, 19, 953. https://doi.org/10.1186/s12889-019-7261-8.</w:t>
      </w:r>
    </w:p>
    <w:p w14:paraId="13F5E56A" w14:textId="77777777" w:rsidR="001B7175" w:rsidRPr="001B7175" w:rsidRDefault="001B7175" w:rsidP="001B7175">
      <w:pPr>
        <w:pStyle w:val="EndNoteBibliography"/>
        <w:spacing w:after="0" w:line="360" w:lineRule="auto"/>
        <w:ind w:left="720" w:hanging="720"/>
        <w:jc w:val="both"/>
        <w:rPr>
          <w:noProof/>
        </w:rPr>
      </w:pPr>
      <w:r w:rsidRPr="001B7175">
        <w:rPr>
          <w:noProof/>
          <w:lang w:val="en-US"/>
        </w:rPr>
        <w:t xml:space="preserve">Loría, J. H., Romero, M. A., &amp; Valle, B. (2024). </w:t>
      </w:r>
      <w:r w:rsidRPr="001B7175">
        <w:rPr>
          <w:noProof/>
        </w:rPr>
        <w:t>Consejo de Acreditación de la Enseñanza de la Ingeniería. Manual del Marco de Referencia 2025 (MR 2025) para la acreditación de programas de ingeniería: Categorías y criterios. CACEI. https://cacei.org.mx/objs/crsl/carr01.pdf.</w:t>
      </w:r>
    </w:p>
    <w:p w14:paraId="5B6ED884" w14:textId="77777777" w:rsidR="001B7175" w:rsidRPr="001B7175" w:rsidRDefault="001B7175" w:rsidP="001B7175">
      <w:pPr>
        <w:pStyle w:val="EndNoteBibliography"/>
        <w:spacing w:after="0" w:line="360" w:lineRule="auto"/>
        <w:ind w:left="720" w:hanging="720"/>
        <w:jc w:val="both"/>
        <w:rPr>
          <w:noProof/>
        </w:rPr>
      </w:pPr>
      <w:r w:rsidRPr="001B7175">
        <w:rPr>
          <w:noProof/>
        </w:rPr>
        <w:t>López-Gómez, E. (2018). El método Delphi en la investigación actual en educación: Una revisión teórica y metodológica. Educación XX1, 21(1), 17–40. https://doi.org/10.5944/educxx1.15536.</w:t>
      </w:r>
    </w:p>
    <w:p w14:paraId="467524F5" w14:textId="77777777" w:rsidR="001B7175" w:rsidRPr="001B7175" w:rsidRDefault="001B7175" w:rsidP="001B7175">
      <w:pPr>
        <w:pStyle w:val="EndNoteBibliography"/>
        <w:spacing w:after="0" w:line="360" w:lineRule="auto"/>
        <w:ind w:left="720" w:hanging="720"/>
        <w:jc w:val="both"/>
        <w:rPr>
          <w:noProof/>
        </w:rPr>
      </w:pPr>
      <w:r w:rsidRPr="001B7175">
        <w:rPr>
          <w:noProof/>
        </w:rPr>
        <w:t>Montilla-García, H. (2022). Pensamiento sistémico en el modelo de resolución de problemas en estudiantes de tercer grado de secundaria. Revista Científica de Sistemas e Informática, 2(1), e162–e162.</w:t>
      </w:r>
    </w:p>
    <w:p w14:paraId="17179F27" w14:textId="77777777" w:rsidR="001B7175" w:rsidRPr="001B7175" w:rsidRDefault="001B7175" w:rsidP="001B7175">
      <w:pPr>
        <w:pStyle w:val="EndNoteBibliography"/>
        <w:spacing w:after="0" w:line="360" w:lineRule="auto"/>
        <w:ind w:left="720" w:hanging="720"/>
        <w:jc w:val="both"/>
        <w:rPr>
          <w:noProof/>
        </w:rPr>
      </w:pPr>
      <w:r w:rsidRPr="001B7175">
        <w:rPr>
          <w:noProof/>
        </w:rPr>
        <w:t>Morales, B. L., &amp; Barriga, A. D. (2021). Diseño y validación de un caso de enseñanza electrónico sobre pensamiento crítico. Apertura, 13(2), 88–105. https://doi.org/10.32870/Ap.v13n2.2089.</w:t>
      </w:r>
    </w:p>
    <w:p w14:paraId="00414DF9" w14:textId="77777777" w:rsidR="001B7175" w:rsidRPr="001B7175" w:rsidRDefault="001B7175" w:rsidP="001B7175">
      <w:pPr>
        <w:pStyle w:val="EndNoteBibliography"/>
        <w:spacing w:after="0" w:line="360" w:lineRule="auto"/>
        <w:ind w:left="720" w:hanging="720"/>
        <w:jc w:val="both"/>
        <w:rPr>
          <w:noProof/>
        </w:rPr>
      </w:pPr>
      <w:r w:rsidRPr="001B7175">
        <w:rPr>
          <w:noProof/>
        </w:rPr>
        <w:t>Morin, E. (1999). Los siete saberes necesarios para la educación del futuro. Organización de las Naciones Unidas para la Educación, la Ciencia y la Cultura (UNESCO).</w:t>
      </w:r>
    </w:p>
    <w:p w14:paraId="645902C6" w14:textId="77777777" w:rsidR="001B7175" w:rsidRPr="001B7175" w:rsidRDefault="001B7175" w:rsidP="001B7175">
      <w:pPr>
        <w:pStyle w:val="EndNoteBibliography"/>
        <w:spacing w:after="0" w:line="360" w:lineRule="auto"/>
        <w:ind w:left="720" w:hanging="720"/>
        <w:jc w:val="both"/>
        <w:rPr>
          <w:noProof/>
        </w:rPr>
      </w:pPr>
      <w:r w:rsidRPr="001B7175">
        <w:rPr>
          <w:noProof/>
        </w:rPr>
        <w:t>O’Connor, J., &amp; McDermott, I. (1998). Introducción al pensamiento sistémico (2.ª ed.). Ediciones Urano.</w:t>
      </w:r>
    </w:p>
    <w:p w14:paraId="45CC6469" w14:textId="77777777" w:rsidR="001B7175" w:rsidRPr="001B7175" w:rsidRDefault="001B7175" w:rsidP="001B7175">
      <w:pPr>
        <w:pStyle w:val="EndNoteBibliography"/>
        <w:spacing w:after="0" w:line="360" w:lineRule="auto"/>
        <w:ind w:left="720" w:hanging="720"/>
        <w:jc w:val="both"/>
        <w:rPr>
          <w:noProof/>
          <w:lang w:val="en-US"/>
        </w:rPr>
      </w:pPr>
      <w:r w:rsidRPr="001B7175">
        <w:rPr>
          <w:noProof/>
        </w:rPr>
        <w:t xml:space="preserve">Parmigiani, D., Nicchia, E., Murgia, E., &amp; Ingersoll, M. (2024). </w:t>
      </w:r>
      <w:r w:rsidRPr="001B7175">
        <w:rPr>
          <w:noProof/>
          <w:lang w:val="en-US"/>
        </w:rPr>
        <w:t xml:space="preserve">Formative assessment in higher education: An exploratory study within programs for professionals in </w:t>
      </w:r>
      <w:r w:rsidRPr="001B7175">
        <w:rPr>
          <w:noProof/>
          <w:lang w:val="en-US"/>
        </w:rPr>
        <w:lastRenderedPageBreak/>
        <w:t>education. Frontiers in Education, 9, 1366215. https://doi.org/10.3389/feduc.2024.1366215.</w:t>
      </w:r>
    </w:p>
    <w:p w14:paraId="4D34E962" w14:textId="77777777" w:rsidR="001B7175" w:rsidRPr="001B7175" w:rsidRDefault="001B7175" w:rsidP="001B7175">
      <w:pPr>
        <w:pStyle w:val="EndNoteBibliography"/>
        <w:spacing w:after="0" w:line="360" w:lineRule="auto"/>
        <w:ind w:left="720" w:hanging="720"/>
        <w:jc w:val="both"/>
        <w:rPr>
          <w:noProof/>
        </w:rPr>
      </w:pPr>
      <w:r w:rsidRPr="001B7175">
        <w:rPr>
          <w:noProof/>
          <w:lang w:val="en-US"/>
        </w:rPr>
        <w:t xml:space="preserve">Paul, R., &amp; Elder, L. (2005). </w:t>
      </w:r>
      <w:r w:rsidRPr="001B7175">
        <w:rPr>
          <w:noProof/>
        </w:rPr>
        <w:t>Una guía para los educadores en los estándares de competencia para el pensamiento crítico. Fundación para el Pensamiento. Crítico. https://www.criticalthinking.org/resources/PDF/SP-Comp_Standards.pdf.</w:t>
      </w:r>
    </w:p>
    <w:p w14:paraId="01EA3B42" w14:textId="77777777" w:rsidR="001B7175" w:rsidRPr="001B7175" w:rsidRDefault="001B7175" w:rsidP="001B7175">
      <w:pPr>
        <w:pStyle w:val="EndNoteBibliography"/>
        <w:spacing w:after="0" w:line="360" w:lineRule="auto"/>
        <w:ind w:left="720" w:hanging="720"/>
        <w:jc w:val="both"/>
        <w:rPr>
          <w:noProof/>
        </w:rPr>
      </w:pPr>
      <w:r w:rsidRPr="001B7175">
        <w:rPr>
          <w:noProof/>
        </w:rPr>
        <w:t>Pedrosa, I., Suárez-Álvarez, J., &amp; García-Cueto, E. (2013). Evidencias sobre la validez de contenido: Avances teóricos y métodos para su estimación. Acción Psicológica, 10(2), 3-18. https://doi.org/10.5944/ap.10.2.11820.</w:t>
      </w:r>
    </w:p>
    <w:p w14:paraId="11F0009C" w14:textId="77777777" w:rsidR="001B7175" w:rsidRPr="001B7175" w:rsidRDefault="001B7175" w:rsidP="001B7175">
      <w:pPr>
        <w:pStyle w:val="EndNoteBibliography"/>
        <w:spacing w:after="0" w:line="360" w:lineRule="auto"/>
        <w:ind w:left="720" w:hanging="720"/>
        <w:jc w:val="both"/>
        <w:rPr>
          <w:noProof/>
        </w:rPr>
      </w:pPr>
      <w:r w:rsidRPr="001B7175">
        <w:rPr>
          <w:noProof/>
        </w:rPr>
        <w:t>Piñeiro-Naval, V. (2020). La metodología de análisis de contenido: Usos y aplicaciones en la investigación comunicativa del ámbito hispánico. Comunicación y Sociedad, 33(3), 1–16. https://doi.org/10.32870/cys.v2020i33.7427.</w:t>
      </w:r>
    </w:p>
    <w:p w14:paraId="3F542BE7" w14:textId="77777777" w:rsidR="001B7175" w:rsidRPr="001B7175" w:rsidRDefault="001B7175" w:rsidP="001B7175">
      <w:pPr>
        <w:pStyle w:val="EndNoteBibliography"/>
        <w:spacing w:after="0" w:line="360" w:lineRule="auto"/>
        <w:ind w:left="720" w:hanging="720"/>
        <w:jc w:val="both"/>
        <w:rPr>
          <w:noProof/>
          <w:lang w:val="en-US"/>
        </w:rPr>
      </w:pPr>
      <w:r w:rsidRPr="001B7175">
        <w:rPr>
          <w:noProof/>
        </w:rPr>
        <w:t xml:space="preserve">Senge, P. (1996). La quinta disciplina: El arte y la práctica de la organización abierta al aprendizaje. </w:t>
      </w:r>
      <w:r w:rsidRPr="001B7175">
        <w:rPr>
          <w:noProof/>
          <w:lang w:val="en-US"/>
        </w:rPr>
        <w:t xml:space="preserve">Granica. </w:t>
      </w:r>
    </w:p>
    <w:p w14:paraId="1B25157C" w14:textId="77777777" w:rsidR="001B7175" w:rsidRPr="001B7175" w:rsidRDefault="001B7175" w:rsidP="001B7175">
      <w:pPr>
        <w:pStyle w:val="EndNoteBibliography"/>
        <w:spacing w:after="0" w:line="360" w:lineRule="auto"/>
        <w:ind w:left="720" w:hanging="720"/>
        <w:jc w:val="both"/>
        <w:rPr>
          <w:noProof/>
          <w:lang w:val="en-US"/>
        </w:rPr>
      </w:pPr>
      <w:r w:rsidRPr="001B7175">
        <w:rPr>
          <w:noProof/>
          <w:lang w:val="en-US"/>
        </w:rPr>
        <w:t>Sung-Hee, J., Kowoon, I., Mina, Y., Ido, R., &amp; Kyyoungwon, S. (2023). Supporting students’ self-regulated learning in online learning using artificial intelligence applications. International Journal of Educational Technology in Higher Education, 20(37), 1–21. https://doi.org/10.1186/s41239-023-00406-5.</w:t>
      </w:r>
    </w:p>
    <w:p w14:paraId="78B60458" w14:textId="77777777" w:rsidR="001B7175" w:rsidRPr="001B7175" w:rsidRDefault="001B7175" w:rsidP="001B7175">
      <w:pPr>
        <w:pStyle w:val="EndNoteBibliography"/>
        <w:spacing w:after="0" w:line="360" w:lineRule="auto"/>
        <w:ind w:left="720" w:hanging="720"/>
        <w:jc w:val="both"/>
        <w:rPr>
          <w:noProof/>
        </w:rPr>
      </w:pPr>
      <w:r w:rsidRPr="001B7175">
        <w:rPr>
          <w:noProof/>
        </w:rPr>
        <w:t>Tecnológico Nacional de México. (2024). Modelo educativo del Tecnológico Nacional de México: Humanismo para la justicia social. Tecnológico Nacional de México. https://www.tecnm.mx/images/areas/docencia/Modelo_Educativo_TecNM_2024.pdf.</w:t>
      </w:r>
    </w:p>
    <w:p w14:paraId="79D19D0D" w14:textId="77777777" w:rsidR="001B7175" w:rsidRPr="001B7175" w:rsidRDefault="001B7175" w:rsidP="001B7175">
      <w:pPr>
        <w:pStyle w:val="EndNoteBibliography"/>
        <w:spacing w:after="0" w:line="360" w:lineRule="auto"/>
        <w:ind w:left="720" w:hanging="720"/>
        <w:jc w:val="both"/>
        <w:rPr>
          <w:noProof/>
        </w:rPr>
      </w:pPr>
      <w:r w:rsidRPr="001B7175">
        <w:rPr>
          <w:noProof/>
        </w:rPr>
        <w:t>Tecnológico Nacional de México. (2016). Manual de lineamientos académico-administrativos del Tecnológico Nacional de México. Tecnológico Nacional de México. https://www.tepic.tecnm.mx/doc/Manual_de_Lineamientos_TecNM.pdf.</w:t>
      </w:r>
    </w:p>
    <w:p w14:paraId="7982E9F0" w14:textId="77777777" w:rsidR="001B7175" w:rsidRPr="001B7175" w:rsidRDefault="001B7175" w:rsidP="001B7175">
      <w:pPr>
        <w:pStyle w:val="EndNoteBibliography"/>
        <w:spacing w:after="0" w:line="360" w:lineRule="auto"/>
        <w:ind w:left="720" w:hanging="720"/>
        <w:jc w:val="both"/>
        <w:rPr>
          <w:noProof/>
        </w:rPr>
      </w:pPr>
      <w:r w:rsidRPr="001B7175">
        <w:rPr>
          <w:noProof/>
        </w:rPr>
        <w:t>Tobón, S. (2008). Formación basada en competencias: Pensamiento complejo, diseño curricular y didáctica (2.ª ed.). Ecoe Ediciones.</w:t>
      </w:r>
    </w:p>
    <w:p w14:paraId="2E55A3E2" w14:textId="77777777" w:rsidR="001B7175" w:rsidRPr="00307443" w:rsidRDefault="001B7175" w:rsidP="001B7175">
      <w:pPr>
        <w:pStyle w:val="EndNoteBibliography"/>
        <w:spacing w:after="0" w:line="360" w:lineRule="auto"/>
        <w:ind w:left="720" w:hanging="720"/>
        <w:jc w:val="both"/>
        <w:rPr>
          <w:noProof/>
          <w:lang w:val="en-US"/>
        </w:rPr>
      </w:pPr>
      <w:r w:rsidRPr="001B7175">
        <w:rPr>
          <w:noProof/>
        </w:rPr>
        <w:t xml:space="preserve">Tobón, S., Pimienta, J., &amp; García, J. (2010). Secuencias didácticas: Aprendizaje y evaluación de competencias. </w:t>
      </w:r>
      <w:r w:rsidRPr="00307443">
        <w:rPr>
          <w:noProof/>
          <w:lang w:val="en-US"/>
        </w:rPr>
        <w:t>Pearson Educación.</w:t>
      </w:r>
    </w:p>
    <w:p w14:paraId="267CED25" w14:textId="77777777" w:rsidR="001B7175" w:rsidRPr="001B7175" w:rsidRDefault="001B7175" w:rsidP="001B7175">
      <w:pPr>
        <w:pStyle w:val="EndNoteBibliography"/>
        <w:spacing w:after="0" w:line="360" w:lineRule="auto"/>
        <w:ind w:left="720" w:hanging="720"/>
        <w:jc w:val="both"/>
        <w:rPr>
          <w:noProof/>
          <w:lang w:val="en-US"/>
        </w:rPr>
      </w:pPr>
      <w:r w:rsidRPr="001B7175">
        <w:rPr>
          <w:noProof/>
          <w:lang w:val="en-US"/>
        </w:rPr>
        <w:t>Tovakol, M., &amp; Wetzel, A. (2020). Factor analysis: A means for theory and instrument development in support of construct validity. International Journal of Medical Education, 11, 245–247. https://doi.org/10.5116/ijme.5f96.0f4a.</w:t>
      </w:r>
    </w:p>
    <w:p w14:paraId="21A26854" w14:textId="77777777" w:rsidR="001B7175" w:rsidRPr="001B7175" w:rsidRDefault="001B7175" w:rsidP="001B7175">
      <w:pPr>
        <w:pStyle w:val="EndNoteBibliography"/>
        <w:spacing w:after="0" w:line="360" w:lineRule="auto"/>
        <w:ind w:left="720" w:hanging="720"/>
        <w:jc w:val="both"/>
        <w:rPr>
          <w:noProof/>
        </w:rPr>
      </w:pPr>
      <w:r w:rsidRPr="001B7175">
        <w:rPr>
          <w:noProof/>
        </w:rPr>
        <w:t>Vygotsky, L. S. (2012). Pensamiento y lenguaje. Ediciones Quinto Sol.</w:t>
      </w:r>
    </w:p>
    <w:p w14:paraId="6E8927B8" w14:textId="77777777" w:rsidR="001B7175" w:rsidRPr="001B7175" w:rsidRDefault="001B7175" w:rsidP="001B7175">
      <w:pPr>
        <w:pStyle w:val="EndNoteBibliography"/>
        <w:spacing w:after="0" w:line="360" w:lineRule="auto"/>
        <w:ind w:left="720" w:hanging="720"/>
        <w:jc w:val="both"/>
        <w:rPr>
          <w:noProof/>
        </w:rPr>
      </w:pPr>
      <w:r w:rsidRPr="001B7175">
        <w:rPr>
          <w:noProof/>
        </w:rPr>
        <w:t>Vygotsky, L. (1979). El desarrollo de los procesos psicológicos superiores. Editorial Crítica.</w:t>
      </w:r>
    </w:p>
    <w:p w14:paraId="1EC5A971" w14:textId="77777777" w:rsidR="001B7175" w:rsidRPr="001B7175" w:rsidRDefault="001B7175" w:rsidP="001B7175">
      <w:pPr>
        <w:pStyle w:val="EndNoteBibliography"/>
        <w:spacing w:after="0" w:line="360" w:lineRule="auto"/>
        <w:ind w:left="720" w:hanging="720"/>
        <w:jc w:val="both"/>
        <w:rPr>
          <w:noProof/>
          <w:lang w:val="en-US"/>
        </w:rPr>
      </w:pPr>
      <w:r w:rsidRPr="001B7175">
        <w:rPr>
          <w:noProof/>
        </w:rPr>
        <w:lastRenderedPageBreak/>
        <w:t xml:space="preserve">Watzlawick, P., Bavelas, J. B., &amp; Jackson, D. D. (1991). Teoría de la comunicación humana. </w:t>
      </w:r>
      <w:r w:rsidRPr="001B7175">
        <w:rPr>
          <w:noProof/>
          <w:lang w:val="en-US"/>
        </w:rPr>
        <w:t>Editorial Herder.</w:t>
      </w:r>
    </w:p>
    <w:p w14:paraId="20022799" w14:textId="77777777" w:rsidR="001B7175" w:rsidRPr="00307443" w:rsidRDefault="001B7175" w:rsidP="001B7175">
      <w:pPr>
        <w:pStyle w:val="EndNoteBibliography"/>
        <w:spacing w:after="0" w:line="360" w:lineRule="auto"/>
        <w:ind w:left="720" w:hanging="720"/>
        <w:jc w:val="both"/>
        <w:rPr>
          <w:noProof/>
          <w:lang w:val="en-US"/>
        </w:rPr>
      </w:pPr>
      <w:r w:rsidRPr="001B7175">
        <w:rPr>
          <w:noProof/>
          <w:lang w:val="en-US"/>
        </w:rPr>
        <w:t xml:space="preserve">Yohan, H., Yeonhoo, K., S., S., Seung-Yong, O., &amp; Hyunju, L. (2023). Promoting engineering students’ social responsibility and willingness to act on socioscientific issues. </w:t>
      </w:r>
      <w:r w:rsidRPr="00307443">
        <w:rPr>
          <w:noProof/>
          <w:lang w:val="en-US"/>
        </w:rPr>
        <w:t>International Journal of STEM Education, 10(11), 1–16. https://doi.org/10.1186/s40594-023-00402-1.</w:t>
      </w:r>
    </w:p>
    <w:p w14:paraId="22D7A839" w14:textId="0DB5E05E" w:rsidR="00C308D3" w:rsidRPr="001B7175" w:rsidRDefault="001B7175" w:rsidP="001B7175">
      <w:pPr>
        <w:pStyle w:val="EndNoteBibliography"/>
        <w:spacing w:after="0" w:line="360" w:lineRule="auto"/>
        <w:ind w:left="720" w:hanging="720"/>
        <w:jc w:val="both"/>
        <w:rPr>
          <w:noProof/>
        </w:rPr>
      </w:pPr>
      <w:r w:rsidRPr="001B7175">
        <w:rPr>
          <w:noProof/>
          <w:lang w:val="en-US"/>
        </w:rPr>
        <w:t xml:space="preserve">Zimmerman, B. J. (2002). Becoming a self-regulated learner: An overview. </w:t>
      </w:r>
      <w:r w:rsidRPr="001B7175">
        <w:rPr>
          <w:noProof/>
        </w:rPr>
        <w:t>Theory into Practice, 41(2), 64–70. https://doi.org/10.1207/s15430421tip4102_2.</w:t>
      </w:r>
    </w:p>
    <w:p w14:paraId="17AF3D79" w14:textId="012A2F6C" w:rsidR="00BB3A31" w:rsidRDefault="00DC3C52" w:rsidP="00792862">
      <w:pPr>
        <w:ind w:hanging="709"/>
        <w:jc w:val="both"/>
      </w:pPr>
      <w:r w:rsidRPr="001360A3">
        <w:fldChar w:fldCharType="end"/>
      </w:r>
    </w:p>
    <w:p w14:paraId="1C023C4E" w14:textId="77777777" w:rsidR="001B7175" w:rsidRDefault="001B7175" w:rsidP="00792862">
      <w:pPr>
        <w:ind w:hanging="709"/>
        <w:jc w:val="both"/>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1B7175" w:rsidRPr="001B7175" w14:paraId="730DD3BD" w14:textId="77777777" w:rsidTr="001B7175">
        <w:trPr>
          <w:jc w:val="center"/>
        </w:trPr>
        <w:tc>
          <w:tcPr>
            <w:tcW w:w="3045" w:type="dxa"/>
            <w:tcMar>
              <w:top w:w="100" w:type="dxa"/>
              <w:left w:w="100" w:type="dxa"/>
              <w:bottom w:w="100" w:type="dxa"/>
              <w:right w:w="100" w:type="dxa"/>
            </w:tcMar>
          </w:tcPr>
          <w:p w14:paraId="672C5E1F" w14:textId="77777777" w:rsidR="001B7175" w:rsidRPr="001B7175" w:rsidRDefault="001B7175" w:rsidP="001B7175">
            <w:pPr>
              <w:widowControl w:val="0"/>
              <w:spacing w:after="0"/>
              <w:outlineLvl w:val="2"/>
              <w:rPr>
                <w:bCs/>
              </w:rPr>
            </w:pPr>
            <w:r w:rsidRPr="001B7175">
              <w:rPr>
                <w:bCs/>
              </w:rPr>
              <w:t>Rol de Contribución</w:t>
            </w:r>
          </w:p>
        </w:tc>
        <w:tc>
          <w:tcPr>
            <w:tcW w:w="6315" w:type="dxa"/>
            <w:tcMar>
              <w:top w:w="100" w:type="dxa"/>
              <w:left w:w="100" w:type="dxa"/>
              <w:bottom w:w="100" w:type="dxa"/>
              <w:right w:w="100" w:type="dxa"/>
            </w:tcMar>
          </w:tcPr>
          <w:p w14:paraId="2C23C373" w14:textId="77777777" w:rsidR="001B7175" w:rsidRPr="001B7175" w:rsidRDefault="001B7175" w:rsidP="001B7175">
            <w:pPr>
              <w:widowControl w:val="0"/>
              <w:spacing w:after="0"/>
              <w:outlineLvl w:val="2"/>
              <w:rPr>
                <w:bCs/>
              </w:rPr>
            </w:pPr>
            <w:bookmarkStart w:id="2" w:name="_btsjgdfgjwkr" w:colFirst="0" w:colLast="0"/>
            <w:bookmarkEnd w:id="2"/>
            <w:r w:rsidRPr="001B7175">
              <w:rPr>
                <w:bCs/>
              </w:rPr>
              <w:t>Autor (es)</w:t>
            </w:r>
          </w:p>
        </w:tc>
      </w:tr>
      <w:tr w:rsidR="001B7175" w:rsidRPr="001B7175" w14:paraId="1D960730" w14:textId="77777777" w:rsidTr="001B7175">
        <w:trPr>
          <w:jc w:val="center"/>
        </w:trPr>
        <w:tc>
          <w:tcPr>
            <w:tcW w:w="3045" w:type="dxa"/>
            <w:tcMar>
              <w:top w:w="100" w:type="dxa"/>
              <w:left w:w="100" w:type="dxa"/>
              <w:bottom w:w="100" w:type="dxa"/>
              <w:right w:w="100" w:type="dxa"/>
            </w:tcMar>
          </w:tcPr>
          <w:p w14:paraId="7480E601" w14:textId="77777777" w:rsidR="001B7175" w:rsidRPr="001B7175" w:rsidRDefault="001B7175" w:rsidP="001B7175">
            <w:pPr>
              <w:widowControl w:val="0"/>
              <w:spacing w:after="0"/>
              <w:rPr>
                <w:bCs/>
                <w:color w:val="000000"/>
              </w:rPr>
            </w:pPr>
            <w:r w:rsidRPr="001B7175">
              <w:rPr>
                <w:bCs/>
                <w:color w:val="000000"/>
              </w:rPr>
              <w:t>Conceptualización</w:t>
            </w:r>
          </w:p>
        </w:tc>
        <w:tc>
          <w:tcPr>
            <w:tcW w:w="6315" w:type="dxa"/>
            <w:tcMar>
              <w:top w:w="100" w:type="dxa"/>
              <w:left w:w="100" w:type="dxa"/>
              <w:bottom w:w="100" w:type="dxa"/>
              <w:right w:w="100" w:type="dxa"/>
            </w:tcMar>
          </w:tcPr>
          <w:p w14:paraId="1004A762" w14:textId="77777777" w:rsidR="001B7175" w:rsidRPr="001B7175" w:rsidRDefault="001B7175" w:rsidP="001B7175">
            <w:pPr>
              <w:widowControl w:val="0"/>
              <w:spacing w:after="0"/>
              <w:rPr>
                <w:color w:val="000000"/>
              </w:rPr>
            </w:pPr>
            <w:r w:rsidRPr="001B7175">
              <w:rPr>
                <w:color w:val="000000"/>
              </w:rPr>
              <w:t>Albino Rodríguez-Díaz</w:t>
            </w:r>
          </w:p>
        </w:tc>
      </w:tr>
      <w:tr w:rsidR="001B7175" w:rsidRPr="001B7175" w14:paraId="002A4F57" w14:textId="77777777" w:rsidTr="001B7175">
        <w:trPr>
          <w:jc w:val="center"/>
        </w:trPr>
        <w:tc>
          <w:tcPr>
            <w:tcW w:w="3045" w:type="dxa"/>
            <w:tcMar>
              <w:top w:w="100" w:type="dxa"/>
              <w:left w:w="100" w:type="dxa"/>
              <w:bottom w:w="100" w:type="dxa"/>
              <w:right w:w="100" w:type="dxa"/>
            </w:tcMar>
          </w:tcPr>
          <w:p w14:paraId="1F9E72D6" w14:textId="77777777" w:rsidR="001B7175" w:rsidRPr="001B7175" w:rsidRDefault="001B7175" w:rsidP="001B7175">
            <w:pPr>
              <w:widowControl w:val="0"/>
              <w:spacing w:after="0"/>
              <w:rPr>
                <w:bCs/>
                <w:color w:val="000000"/>
              </w:rPr>
            </w:pPr>
            <w:r w:rsidRPr="001B7175">
              <w:rPr>
                <w:bCs/>
                <w:color w:val="000000"/>
              </w:rPr>
              <w:t>Metodología</w:t>
            </w:r>
          </w:p>
        </w:tc>
        <w:tc>
          <w:tcPr>
            <w:tcW w:w="6315" w:type="dxa"/>
            <w:tcMar>
              <w:top w:w="100" w:type="dxa"/>
              <w:left w:w="100" w:type="dxa"/>
              <w:bottom w:w="100" w:type="dxa"/>
              <w:right w:w="100" w:type="dxa"/>
            </w:tcMar>
          </w:tcPr>
          <w:p w14:paraId="1CA850A3" w14:textId="77777777" w:rsidR="001B7175" w:rsidRPr="001B7175" w:rsidRDefault="001B7175" w:rsidP="001B7175">
            <w:pPr>
              <w:widowControl w:val="0"/>
              <w:spacing w:after="0"/>
              <w:rPr>
                <w:color w:val="000000"/>
              </w:rPr>
            </w:pPr>
            <w:r w:rsidRPr="001B7175">
              <w:rPr>
                <w:color w:val="000000"/>
              </w:rPr>
              <w:t>Albino Rodríguez-Díaz, Jovita Romero-Islas (igual)</w:t>
            </w:r>
          </w:p>
        </w:tc>
      </w:tr>
      <w:tr w:rsidR="001B7175" w:rsidRPr="001B7175" w14:paraId="7FD9A85F" w14:textId="77777777" w:rsidTr="001B7175">
        <w:trPr>
          <w:jc w:val="center"/>
        </w:trPr>
        <w:tc>
          <w:tcPr>
            <w:tcW w:w="3045" w:type="dxa"/>
            <w:tcMar>
              <w:top w:w="100" w:type="dxa"/>
              <w:left w:w="100" w:type="dxa"/>
              <w:bottom w:w="100" w:type="dxa"/>
              <w:right w:w="100" w:type="dxa"/>
            </w:tcMar>
          </w:tcPr>
          <w:p w14:paraId="72327313" w14:textId="77777777" w:rsidR="001B7175" w:rsidRPr="001B7175" w:rsidRDefault="001B7175" w:rsidP="001B7175">
            <w:pPr>
              <w:widowControl w:val="0"/>
              <w:spacing w:after="0"/>
              <w:rPr>
                <w:bCs/>
                <w:color w:val="000000"/>
              </w:rPr>
            </w:pPr>
            <w:r w:rsidRPr="001B7175">
              <w:rPr>
                <w:bCs/>
                <w:color w:val="000000"/>
              </w:rPr>
              <w:t>Software</w:t>
            </w:r>
          </w:p>
        </w:tc>
        <w:tc>
          <w:tcPr>
            <w:tcW w:w="6315" w:type="dxa"/>
            <w:tcMar>
              <w:top w:w="100" w:type="dxa"/>
              <w:left w:w="100" w:type="dxa"/>
              <w:bottom w:w="100" w:type="dxa"/>
              <w:right w:w="100" w:type="dxa"/>
            </w:tcMar>
          </w:tcPr>
          <w:p w14:paraId="1475A222" w14:textId="77777777" w:rsidR="001B7175" w:rsidRPr="001B7175" w:rsidRDefault="001B7175" w:rsidP="001B7175">
            <w:pPr>
              <w:widowControl w:val="0"/>
              <w:spacing w:after="0"/>
              <w:rPr>
                <w:color w:val="000000"/>
              </w:rPr>
            </w:pPr>
            <w:r w:rsidRPr="001B7175">
              <w:rPr>
                <w:color w:val="000000"/>
              </w:rPr>
              <w:t>NO APLICA</w:t>
            </w:r>
          </w:p>
        </w:tc>
      </w:tr>
      <w:tr w:rsidR="001B7175" w:rsidRPr="001B7175" w14:paraId="6CD9BFA2" w14:textId="77777777" w:rsidTr="001B7175">
        <w:trPr>
          <w:jc w:val="center"/>
        </w:trPr>
        <w:tc>
          <w:tcPr>
            <w:tcW w:w="3045" w:type="dxa"/>
            <w:tcMar>
              <w:top w:w="100" w:type="dxa"/>
              <w:left w:w="100" w:type="dxa"/>
              <w:bottom w:w="100" w:type="dxa"/>
              <w:right w:w="100" w:type="dxa"/>
            </w:tcMar>
          </w:tcPr>
          <w:p w14:paraId="5C1D434A" w14:textId="77777777" w:rsidR="001B7175" w:rsidRPr="001B7175" w:rsidRDefault="001B7175" w:rsidP="001B7175">
            <w:pPr>
              <w:widowControl w:val="0"/>
              <w:spacing w:after="0"/>
              <w:rPr>
                <w:bCs/>
                <w:color w:val="000000"/>
              </w:rPr>
            </w:pPr>
            <w:r w:rsidRPr="001B7175">
              <w:rPr>
                <w:bCs/>
                <w:color w:val="000000"/>
              </w:rPr>
              <w:t>Validación</w:t>
            </w:r>
          </w:p>
        </w:tc>
        <w:tc>
          <w:tcPr>
            <w:tcW w:w="6315" w:type="dxa"/>
            <w:tcMar>
              <w:top w:w="100" w:type="dxa"/>
              <w:left w:w="100" w:type="dxa"/>
              <w:bottom w:w="100" w:type="dxa"/>
              <w:right w:w="100" w:type="dxa"/>
            </w:tcMar>
          </w:tcPr>
          <w:p w14:paraId="69AB549B" w14:textId="77777777" w:rsidR="001B7175" w:rsidRPr="001B7175" w:rsidRDefault="001B7175" w:rsidP="001B7175">
            <w:pPr>
              <w:widowControl w:val="0"/>
              <w:spacing w:after="0"/>
              <w:rPr>
                <w:color w:val="000000"/>
              </w:rPr>
            </w:pPr>
            <w:r w:rsidRPr="001B7175">
              <w:rPr>
                <w:color w:val="000000"/>
              </w:rPr>
              <w:t>Albino Rodríguez-Díaz, Jovita Romero-Islas (igual)</w:t>
            </w:r>
          </w:p>
        </w:tc>
      </w:tr>
      <w:tr w:rsidR="001B7175" w:rsidRPr="001B7175" w14:paraId="6EB8DF25" w14:textId="77777777" w:rsidTr="001B7175">
        <w:trPr>
          <w:jc w:val="center"/>
        </w:trPr>
        <w:tc>
          <w:tcPr>
            <w:tcW w:w="3045" w:type="dxa"/>
            <w:tcMar>
              <w:top w:w="100" w:type="dxa"/>
              <w:left w:w="100" w:type="dxa"/>
              <w:bottom w:w="100" w:type="dxa"/>
              <w:right w:w="100" w:type="dxa"/>
            </w:tcMar>
          </w:tcPr>
          <w:p w14:paraId="78999752" w14:textId="77777777" w:rsidR="001B7175" w:rsidRPr="001B7175" w:rsidRDefault="001B7175" w:rsidP="001B7175">
            <w:pPr>
              <w:widowControl w:val="0"/>
              <w:spacing w:after="0"/>
              <w:rPr>
                <w:bCs/>
                <w:color w:val="000000"/>
              </w:rPr>
            </w:pPr>
            <w:r w:rsidRPr="001B7175">
              <w:rPr>
                <w:bCs/>
                <w:color w:val="000000"/>
              </w:rPr>
              <w:t>Análisis Formal</w:t>
            </w:r>
          </w:p>
        </w:tc>
        <w:tc>
          <w:tcPr>
            <w:tcW w:w="6315" w:type="dxa"/>
            <w:tcMar>
              <w:top w:w="100" w:type="dxa"/>
              <w:left w:w="100" w:type="dxa"/>
              <w:bottom w:w="100" w:type="dxa"/>
              <w:right w:w="100" w:type="dxa"/>
            </w:tcMar>
          </w:tcPr>
          <w:p w14:paraId="374F0D2A" w14:textId="77777777" w:rsidR="001B7175" w:rsidRPr="001B7175" w:rsidRDefault="001B7175" w:rsidP="001B7175">
            <w:pPr>
              <w:widowControl w:val="0"/>
              <w:spacing w:after="0"/>
              <w:rPr>
                <w:color w:val="000000"/>
              </w:rPr>
            </w:pPr>
            <w:r w:rsidRPr="001B7175">
              <w:rPr>
                <w:color w:val="000000"/>
              </w:rPr>
              <w:t xml:space="preserve">Albino Rodríguez-Díaz, Víctor Manuel Lamas </w:t>
            </w:r>
            <w:proofErr w:type="spellStart"/>
            <w:r w:rsidRPr="001B7175">
              <w:rPr>
                <w:color w:val="000000"/>
              </w:rPr>
              <w:t>Huízar</w:t>
            </w:r>
            <w:proofErr w:type="spellEnd"/>
            <w:r w:rsidRPr="001B7175">
              <w:rPr>
                <w:color w:val="000000"/>
              </w:rPr>
              <w:t>; (apoya)</w:t>
            </w:r>
          </w:p>
        </w:tc>
      </w:tr>
      <w:tr w:rsidR="001B7175" w:rsidRPr="001B7175" w14:paraId="56147CED" w14:textId="77777777" w:rsidTr="001B7175">
        <w:trPr>
          <w:jc w:val="center"/>
        </w:trPr>
        <w:tc>
          <w:tcPr>
            <w:tcW w:w="3045" w:type="dxa"/>
            <w:tcMar>
              <w:top w:w="100" w:type="dxa"/>
              <w:left w:w="100" w:type="dxa"/>
              <w:bottom w:w="100" w:type="dxa"/>
              <w:right w:w="100" w:type="dxa"/>
            </w:tcMar>
          </w:tcPr>
          <w:p w14:paraId="455574F1" w14:textId="77777777" w:rsidR="001B7175" w:rsidRPr="001B7175" w:rsidRDefault="001B7175" w:rsidP="001B7175">
            <w:pPr>
              <w:widowControl w:val="0"/>
              <w:spacing w:after="0"/>
              <w:rPr>
                <w:bCs/>
                <w:color w:val="000000"/>
              </w:rPr>
            </w:pPr>
            <w:r w:rsidRPr="001B7175">
              <w:rPr>
                <w:bCs/>
                <w:color w:val="000000"/>
              </w:rPr>
              <w:t>Investigación</w:t>
            </w:r>
          </w:p>
        </w:tc>
        <w:tc>
          <w:tcPr>
            <w:tcW w:w="6315" w:type="dxa"/>
            <w:tcMar>
              <w:top w:w="100" w:type="dxa"/>
              <w:left w:w="100" w:type="dxa"/>
              <w:bottom w:w="100" w:type="dxa"/>
              <w:right w:w="100" w:type="dxa"/>
            </w:tcMar>
          </w:tcPr>
          <w:p w14:paraId="7A742DF8" w14:textId="77777777" w:rsidR="001B7175" w:rsidRPr="001B7175" w:rsidRDefault="001B7175" w:rsidP="001B7175">
            <w:pPr>
              <w:widowControl w:val="0"/>
              <w:spacing w:after="0"/>
              <w:rPr>
                <w:color w:val="000000"/>
              </w:rPr>
            </w:pPr>
            <w:r w:rsidRPr="001B7175">
              <w:rPr>
                <w:color w:val="000000"/>
              </w:rPr>
              <w:t>Jovita Romero-Islas, Albino Rodríguez-Díaz (igual)</w:t>
            </w:r>
          </w:p>
        </w:tc>
      </w:tr>
      <w:tr w:rsidR="001B7175" w:rsidRPr="001B7175" w14:paraId="17015EC9" w14:textId="77777777" w:rsidTr="001B7175">
        <w:trPr>
          <w:jc w:val="center"/>
        </w:trPr>
        <w:tc>
          <w:tcPr>
            <w:tcW w:w="3045" w:type="dxa"/>
            <w:tcMar>
              <w:top w:w="100" w:type="dxa"/>
              <w:left w:w="100" w:type="dxa"/>
              <w:bottom w:w="100" w:type="dxa"/>
              <w:right w:w="100" w:type="dxa"/>
            </w:tcMar>
          </w:tcPr>
          <w:p w14:paraId="6B09776C" w14:textId="77777777" w:rsidR="001B7175" w:rsidRPr="001B7175" w:rsidRDefault="001B7175" w:rsidP="001B7175">
            <w:pPr>
              <w:widowControl w:val="0"/>
              <w:spacing w:after="0"/>
              <w:rPr>
                <w:bCs/>
                <w:color w:val="000000"/>
              </w:rPr>
            </w:pPr>
            <w:r w:rsidRPr="001B7175">
              <w:rPr>
                <w:bCs/>
                <w:color w:val="000000"/>
              </w:rPr>
              <w:t>Recursos</w:t>
            </w:r>
          </w:p>
        </w:tc>
        <w:tc>
          <w:tcPr>
            <w:tcW w:w="6315" w:type="dxa"/>
            <w:tcMar>
              <w:top w:w="100" w:type="dxa"/>
              <w:left w:w="100" w:type="dxa"/>
              <w:bottom w:w="100" w:type="dxa"/>
              <w:right w:w="100" w:type="dxa"/>
            </w:tcMar>
          </w:tcPr>
          <w:p w14:paraId="65375694" w14:textId="77777777" w:rsidR="001B7175" w:rsidRPr="001B7175" w:rsidRDefault="001B7175" w:rsidP="001B7175">
            <w:pPr>
              <w:widowControl w:val="0"/>
              <w:spacing w:after="0"/>
              <w:rPr>
                <w:color w:val="000000"/>
              </w:rPr>
            </w:pPr>
            <w:r w:rsidRPr="001B7175">
              <w:rPr>
                <w:color w:val="000000"/>
              </w:rPr>
              <w:t xml:space="preserve">Jovita Romero-Islas, Jorge Alberto Parra </w:t>
            </w:r>
            <w:proofErr w:type="spellStart"/>
            <w:r w:rsidRPr="001B7175">
              <w:rPr>
                <w:color w:val="000000"/>
              </w:rPr>
              <w:t>Mayorquín</w:t>
            </w:r>
            <w:proofErr w:type="spellEnd"/>
            <w:r w:rsidRPr="001B7175">
              <w:rPr>
                <w:color w:val="000000"/>
              </w:rPr>
              <w:t xml:space="preserve"> (apoya)</w:t>
            </w:r>
          </w:p>
        </w:tc>
      </w:tr>
      <w:tr w:rsidR="001B7175" w:rsidRPr="001B7175" w14:paraId="3E7EF3C2" w14:textId="77777777" w:rsidTr="001B7175">
        <w:trPr>
          <w:jc w:val="center"/>
        </w:trPr>
        <w:tc>
          <w:tcPr>
            <w:tcW w:w="3045" w:type="dxa"/>
            <w:tcMar>
              <w:top w:w="100" w:type="dxa"/>
              <w:left w:w="100" w:type="dxa"/>
              <w:bottom w:w="100" w:type="dxa"/>
              <w:right w:w="100" w:type="dxa"/>
            </w:tcMar>
          </w:tcPr>
          <w:p w14:paraId="2A9DF187" w14:textId="77777777" w:rsidR="001B7175" w:rsidRPr="001B7175" w:rsidRDefault="001B7175" w:rsidP="001B7175">
            <w:pPr>
              <w:widowControl w:val="0"/>
              <w:spacing w:after="0"/>
              <w:rPr>
                <w:bCs/>
                <w:color w:val="000000"/>
              </w:rPr>
            </w:pPr>
            <w:r w:rsidRPr="001B7175">
              <w:rPr>
                <w:bCs/>
                <w:color w:val="000000"/>
              </w:rPr>
              <w:t>Curación de datos</w:t>
            </w:r>
          </w:p>
        </w:tc>
        <w:tc>
          <w:tcPr>
            <w:tcW w:w="6315" w:type="dxa"/>
            <w:tcMar>
              <w:top w:w="100" w:type="dxa"/>
              <w:left w:w="100" w:type="dxa"/>
              <w:bottom w:w="100" w:type="dxa"/>
              <w:right w:w="100" w:type="dxa"/>
            </w:tcMar>
          </w:tcPr>
          <w:p w14:paraId="08479DD7" w14:textId="77777777" w:rsidR="001B7175" w:rsidRPr="001B7175" w:rsidRDefault="001B7175" w:rsidP="001B7175">
            <w:pPr>
              <w:widowControl w:val="0"/>
              <w:spacing w:after="0"/>
              <w:rPr>
                <w:color w:val="000000"/>
              </w:rPr>
            </w:pPr>
            <w:r w:rsidRPr="001B7175">
              <w:rPr>
                <w:color w:val="000000"/>
              </w:rPr>
              <w:t>Albino Rodríguez-Díaz</w:t>
            </w:r>
          </w:p>
        </w:tc>
      </w:tr>
      <w:tr w:rsidR="001B7175" w:rsidRPr="001B7175" w14:paraId="2C43F848" w14:textId="77777777" w:rsidTr="001B7175">
        <w:trPr>
          <w:jc w:val="center"/>
        </w:trPr>
        <w:tc>
          <w:tcPr>
            <w:tcW w:w="3045" w:type="dxa"/>
            <w:tcMar>
              <w:top w:w="100" w:type="dxa"/>
              <w:left w:w="100" w:type="dxa"/>
              <w:bottom w:w="100" w:type="dxa"/>
              <w:right w:w="100" w:type="dxa"/>
            </w:tcMar>
          </w:tcPr>
          <w:p w14:paraId="275A2B3A" w14:textId="77777777" w:rsidR="001B7175" w:rsidRPr="001B7175" w:rsidRDefault="001B7175" w:rsidP="001B7175">
            <w:pPr>
              <w:widowControl w:val="0"/>
              <w:spacing w:after="0"/>
              <w:rPr>
                <w:bCs/>
                <w:color w:val="000000"/>
              </w:rPr>
            </w:pPr>
            <w:r w:rsidRPr="001B7175">
              <w:rPr>
                <w:bCs/>
                <w:color w:val="000000"/>
              </w:rPr>
              <w:t>Escritura - Preparación del borrador original</w:t>
            </w:r>
          </w:p>
        </w:tc>
        <w:tc>
          <w:tcPr>
            <w:tcW w:w="6315" w:type="dxa"/>
            <w:tcMar>
              <w:top w:w="100" w:type="dxa"/>
              <w:left w:w="100" w:type="dxa"/>
              <w:bottom w:w="100" w:type="dxa"/>
              <w:right w:w="100" w:type="dxa"/>
            </w:tcMar>
          </w:tcPr>
          <w:p w14:paraId="49390A11" w14:textId="77777777" w:rsidR="001B7175" w:rsidRPr="001B7175" w:rsidRDefault="001B7175" w:rsidP="001B7175">
            <w:pPr>
              <w:widowControl w:val="0"/>
              <w:spacing w:after="0"/>
              <w:rPr>
                <w:color w:val="000000"/>
              </w:rPr>
            </w:pPr>
            <w:r w:rsidRPr="001B7175">
              <w:rPr>
                <w:color w:val="000000"/>
              </w:rPr>
              <w:t>Albino Rodríguez-Díaz, (principal) Jovita Romero-Islas (apoya)</w:t>
            </w:r>
          </w:p>
        </w:tc>
      </w:tr>
      <w:tr w:rsidR="001B7175" w:rsidRPr="001B7175" w14:paraId="7076B918" w14:textId="77777777" w:rsidTr="001B7175">
        <w:trPr>
          <w:jc w:val="center"/>
        </w:trPr>
        <w:tc>
          <w:tcPr>
            <w:tcW w:w="3045" w:type="dxa"/>
            <w:tcMar>
              <w:top w:w="100" w:type="dxa"/>
              <w:left w:w="100" w:type="dxa"/>
              <w:bottom w:w="100" w:type="dxa"/>
              <w:right w:w="100" w:type="dxa"/>
            </w:tcMar>
          </w:tcPr>
          <w:p w14:paraId="4698AE49" w14:textId="77777777" w:rsidR="001B7175" w:rsidRPr="001B7175" w:rsidRDefault="001B7175" w:rsidP="001B7175">
            <w:pPr>
              <w:widowControl w:val="0"/>
              <w:spacing w:after="0"/>
              <w:rPr>
                <w:bCs/>
                <w:color w:val="000000"/>
              </w:rPr>
            </w:pPr>
            <w:r w:rsidRPr="001B7175">
              <w:rPr>
                <w:bCs/>
                <w:color w:val="000000"/>
              </w:rPr>
              <w:t>Escritura - Revisión y edición</w:t>
            </w:r>
          </w:p>
        </w:tc>
        <w:tc>
          <w:tcPr>
            <w:tcW w:w="6315" w:type="dxa"/>
            <w:tcMar>
              <w:top w:w="100" w:type="dxa"/>
              <w:left w:w="100" w:type="dxa"/>
              <w:bottom w:w="100" w:type="dxa"/>
              <w:right w:w="100" w:type="dxa"/>
            </w:tcMar>
          </w:tcPr>
          <w:p w14:paraId="6A62EEF9" w14:textId="77777777" w:rsidR="001B7175" w:rsidRPr="001B7175" w:rsidRDefault="001B7175" w:rsidP="001B7175">
            <w:pPr>
              <w:widowControl w:val="0"/>
              <w:spacing w:after="0"/>
              <w:rPr>
                <w:color w:val="000000"/>
              </w:rPr>
            </w:pPr>
            <w:r w:rsidRPr="001B7175">
              <w:rPr>
                <w:color w:val="000000"/>
              </w:rPr>
              <w:t>Albino Rodríguez-Díaz; Jovita Romero-Islas (igual)</w:t>
            </w:r>
          </w:p>
        </w:tc>
      </w:tr>
      <w:tr w:rsidR="001B7175" w:rsidRPr="001B7175" w14:paraId="280C5013" w14:textId="77777777" w:rsidTr="001B7175">
        <w:trPr>
          <w:jc w:val="center"/>
        </w:trPr>
        <w:tc>
          <w:tcPr>
            <w:tcW w:w="3045" w:type="dxa"/>
            <w:tcMar>
              <w:top w:w="100" w:type="dxa"/>
              <w:left w:w="100" w:type="dxa"/>
              <w:bottom w:w="100" w:type="dxa"/>
              <w:right w:w="100" w:type="dxa"/>
            </w:tcMar>
          </w:tcPr>
          <w:p w14:paraId="15A7CA7A" w14:textId="77777777" w:rsidR="001B7175" w:rsidRPr="001B7175" w:rsidRDefault="001B7175" w:rsidP="001B7175">
            <w:pPr>
              <w:widowControl w:val="0"/>
              <w:spacing w:after="0"/>
              <w:rPr>
                <w:bCs/>
                <w:color w:val="000000"/>
              </w:rPr>
            </w:pPr>
            <w:r w:rsidRPr="001B7175">
              <w:rPr>
                <w:bCs/>
                <w:color w:val="000000"/>
              </w:rPr>
              <w:t>Visualización</w:t>
            </w:r>
          </w:p>
        </w:tc>
        <w:tc>
          <w:tcPr>
            <w:tcW w:w="6315" w:type="dxa"/>
            <w:tcMar>
              <w:top w:w="100" w:type="dxa"/>
              <w:left w:w="100" w:type="dxa"/>
              <w:bottom w:w="100" w:type="dxa"/>
              <w:right w:w="100" w:type="dxa"/>
            </w:tcMar>
          </w:tcPr>
          <w:p w14:paraId="610F6E6E" w14:textId="77777777" w:rsidR="001B7175" w:rsidRPr="001B7175" w:rsidRDefault="001B7175" w:rsidP="001B7175">
            <w:pPr>
              <w:widowControl w:val="0"/>
              <w:spacing w:after="0"/>
              <w:rPr>
                <w:color w:val="000000"/>
              </w:rPr>
            </w:pPr>
            <w:r w:rsidRPr="001B7175">
              <w:rPr>
                <w:color w:val="000000"/>
              </w:rPr>
              <w:t xml:space="preserve">Jorge Alberto Parra </w:t>
            </w:r>
            <w:proofErr w:type="spellStart"/>
            <w:r w:rsidRPr="001B7175">
              <w:rPr>
                <w:color w:val="000000"/>
              </w:rPr>
              <w:t>Mayorquín</w:t>
            </w:r>
            <w:proofErr w:type="spellEnd"/>
          </w:p>
        </w:tc>
      </w:tr>
      <w:tr w:rsidR="001B7175" w:rsidRPr="001B7175" w14:paraId="0B97BA51" w14:textId="77777777" w:rsidTr="001B7175">
        <w:trPr>
          <w:jc w:val="center"/>
        </w:trPr>
        <w:tc>
          <w:tcPr>
            <w:tcW w:w="3045" w:type="dxa"/>
            <w:tcMar>
              <w:top w:w="100" w:type="dxa"/>
              <w:left w:w="100" w:type="dxa"/>
              <w:bottom w:w="100" w:type="dxa"/>
              <w:right w:w="100" w:type="dxa"/>
            </w:tcMar>
          </w:tcPr>
          <w:p w14:paraId="7B68A1C5" w14:textId="77777777" w:rsidR="001B7175" w:rsidRPr="001B7175" w:rsidRDefault="001B7175" w:rsidP="001B7175">
            <w:pPr>
              <w:widowControl w:val="0"/>
              <w:spacing w:after="0"/>
              <w:rPr>
                <w:bCs/>
                <w:color w:val="000000"/>
              </w:rPr>
            </w:pPr>
            <w:r w:rsidRPr="001B7175">
              <w:rPr>
                <w:bCs/>
                <w:color w:val="000000"/>
              </w:rPr>
              <w:t>Supervisión</w:t>
            </w:r>
          </w:p>
        </w:tc>
        <w:tc>
          <w:tcPr>
            <w:tcW w:w="6315" w:type="dxa"/>
            <w:tcMar>
              <w:top w:w="100" w:type="dxa"/>
              <w:left w:w="100" w:type="dxa"/>
              <w:bottom w:w="100" w:type="dxa"/>
              <w:right w:w="100" w:type="dxa"/>
            </w:tcMar>
          </w:tcPr>
          <w:p w14:paraId="7812FD98" w14:textId="77777777" w:rsidR="001B7175" w:rsidRPr="001B7175" w:rsidRDefault="001B7175" w:rsidP="001B7175">
            <w:pPr>
              <w:widowControl w:val="0"/>
              <w:spacing w:after="0"/>
              <w:rPr>
                <w:color w:val="000000"/>
              </w:rPr>
            </w:pPr>
            <w:r w:rsidRPr="001B7175">
              <w:rPr>
                <w:color w:val="000000"/>
              </w:rPr>
              <w:t xml:space="preserve">Jovita Romero-Islas (principal) Víctor Manuel Lamas </w:t>
            </w:r>
            <w:proofErr w:type="spellStart"/>
            <w:r w:rsidRPr="001B7175">
              <w:rPr>
                <w:color w:val="000000"/>
              </w:rPr>
              <w:t>Huízar</w:t>
            </w:r>
            <w:proofErr w:type="spellEnd"/>
            <w:r w:rsidRPr="001B7175">
              <w:rPr>
                <w:color w:val="000000"/>
              </w:rPr>
              <w:t xml:space="preserve"> (apoya)</w:t>
            </w:r>
          </w:p>
        </w:tc>
      </w:tr>
      <w:tr w:rsidR="001B7175" w:rsidRPr="001B7175" w14:paraId="2C9BD25E" w14:textId="77777777" w:rsidTr="001B7175">
        <w:trPr>
          <w:jc w:val="center"/>
        </w:trPr>
        <w:tc>
          <w:tcPr>
            <w:tcW w:w="3045" w:type="dxa"/>
            <w:tcMar>
              <w:top w:w="100" w:type="dxa"/>
              <w:left w:w="100" w:type="dxa"/>
              <w:bottom w:w="100" w:type="dxa"/>
              <w:right w:w="100" w:type="dxa"/>
            </w:tcMar>
          </w:tcPr>
          <w:p w14:paraId="56D35FE9" w14:textId="77777777" w:rsidR="001B7175" w:rsidRPr="001B7175" w:rsidRDefault="001B7175" w:rsidP="001B7175">
            <w:pPr>
              <w:widowControl w:val="0"/>
              <w:spacing w:after="0"/>
              <w:rPr>
                <w:bCs/>
                <w:color w:val="000000"/>
              </w:rPr>
            </w:pPr>
            <w:r w:rsidRPr="001B7175">
              <w:rPr>
                <w:bCs/>
                <w:color w:val="000000"/>
              </w:rPr>
              <w:t>Supervisión</w:t>
            </w:r>
          </w:p>
        </w:tc>
        <w:tc>
          <w:tcPr>
            <w:tcW w:w="6315" w:type="dxa"/>
            <w:tcMar>
              <w:top w:w="100" w:type="dxa"/>
              <w:left w:w="100" w:type="dxa"/>
              <w:bottom w:w="100" w:type="dxa"/>
              <w:right w:w="100" w:type="dxa"/>
            </w:tcMar>
          </w:tcPr>
          <w:p w14:paraId="0613471D" w14:textId="77777777" w:rsidR="001B7175" w:rsidRPr="001B7175" w:rsidRDefault="001B7175" w:rsidP="001B7175">
            <w:pPr>
              <w:widowControl w:val="0"/>
              <w:spacing w:after="0"/>
              <w:rPr>
                <w:color w:val="000000"/>
              </w:rPr>
            </w:pPr>
            <w:r w:rsidRPr="001B7175">
              <w:rPr>
                <w:color w:val="000000"/>
              </w:rPr>
              <w:t>Julián González Borrayo</w:t>
            </w:r>
          </w:p>
        </w:tc>
      </w:tr>
      <w:tr w:rsidR="001B7175" w:rsidRPr="001B7175" w14:paraId="04305A2B" w14:textId="77777777" w:rsidTr="001B7175">
        <w:trPr>
          <w:jc w:val="center"/>
        </w:trPr>
        <w:tc>
          <w:tcPr>
            <w:tcW w:w="3045" w:type="dxa"/>
            <w:tcMar>
              <w:top w:w="100" w:type="dxa"/>
              <w:left w:w="100" w:type="dxa"/>
              <w:bottom w:w="100" w:type="dxa"/>
              <w:right w:w="100" w:type="dxa"/>
            </w:tcMar>
          </w:tcPr>
          <w:p w14:paraId="70E227C7" w14:textId="77777777" w:rsidR="001B7175" w:rsidRPr="001B7175" w:rsidRDefault="001B7175" w:rsidP="001B7175">
            <w:pPr>
              <w:widowControl w:val="0"/>
              <w:spacing w:after="0"/>
              <w:rPr>
                <w:bCs/>
                <w:color w:val="000000"/>
              </w:rPr>
            </w:pPr>
            <w:r w:rsidRPr="001B7175">
              <w:rPr>
                <w:bCs/>
                <w:color w:val="000000"/>
              </w:rPr>
              <w:t>Administración de Proyectos</w:t>
            </w:r>
          </w:p>
        </w:tc>
        <w:tc>
          <w:tcPr>
            <w:tcW w:w="6315" w:type="dxa"/>
            <w:tcMar>
              <w:top w:w="100" w:type="dxa"/>
              <w:left w:w="100" w:type="dxa"/>
              <w:bottom w:w="100" w:type="dxa"/>
              <w:right w:w="100" w:type="dxa"/>
            </w:tcMar>
          </w:tcPr>
          <w:p w14:paraId="2F1CF002" w14:textId="77777777" w:rsidR="001B7175" w:rsidRPr="001B7175" w:rsidRDefault="001B7175" w:rsidP="001B7175">
            <w:pPr>
              <w:widowControl w:val="0"/>
              <w:spacing w:after="0"/>
              <w:rPr>
                <w:color w:val="000000"/>
              </w:rPr>
            </w:pPr>
            <w:r w:rsidRPr="001B7175">
              <w:rPr>
                <w:color w:val="000000"/>
              </w:rPr>
              <w:t>Julián González Borrayo</w:t>
            </w:r>
          </w:p>
        </w:tc>
      </w:tr>
      <w:tr w:rsidR="001B7175" w:rsidRPr="001B7175" w14:paraId="72923E2A" w14:textId="77777777" w:rsidTr="001B7175">
        <w:trPr>
          <w:jc w:val="center"/>
        </w:trPr>
        <w:tc>
          <w:tcPr>
            <w:tcW w:w="3045" w:type="dxa"/>
            <w:tcMar>
              <w:top w:w="100" w:type="dxa"/>
              <w:left w:w="100" w:type="dxa"/>
              <w:bottom w:w="100" w:type="dxa"/>
              <w:right w:w="100" w:type="dxa"/>
            </w:tcMar>
          </w:tcPr>
          <w:p w14:paraId="4DFFC424" w14:textId="77777777" w:rsidR="001B7175" w:rsidRPr="001B7175" w:rsidRDefault="001B7175" w:rsidP="001B7175">
            <w:pPr>
              <w:widowControl w:val="0"/>
              <w:spacing w:after="0"/>
              <w:rPr>
                <w:bCs/>
                <w:color w:val="000000"/>
              </w:rPr>
            </w:pPr>
            <w:r w:rsidRPr="001B7175">
              <w:rPr>
                <w:bCs/>
                <w:color w:val="000000"/>
              </w:rPr>
              <w:t>Adquisición de fondos</w:t>
            </w:r>
          </w:p>
        </w:tc>
        <w:tc>
          <w:tcPr>
            <w:tcW w:w="6315" w:type="dxa"/>
            <w:tcMar>
              <w:top w:w="100" w:type="dxa"/>
              <w:left w:w="100" w:type="dxa"/>
              <w:bottom w:w="100" w:type="dxa"/>
              <w:right w:w="100" w:type="dxa"/>
            </w:tcMar>
          </w:tcPr>
          <w:p w14:paraId="68146C79" w14:textId="77777777" w:rsidR="001B7175" w:rsidRPr="001B7175" w:rsidRDefault="001B7175" w:rsidP="001B7175">
            <w:pPr>
              <w:widowControl w:val="0"/>
              <w:spacing w:after="0"/>
              <w:rPr>
                <w:color w:val="000000"/>
              </w:rPr>
            </w:pPr>
            <w:r w:rsidRPr="001B7175">
              <w:rPr>
                <w:color w:val="000000"/>
              </w:rPr>
              <w:t>NO APLICA</w:t>
            </w:r>
          </w:p>
        </w:tc>
      </w:tr>
    </w:tbl>
    <w:p w14:paraId="13DF0637" w14:textId="77777777" w:rsidR="001B7175" w:rsidRPr="001360A3" w:rsidRDefault="001B7175" w:rsidP="00792862">
      <w:pPr>
        <w:ind w:hanging="709"/>
        <w:jc w:val="both"/>
        <w:rPr>
          <w:lang w:val="en-US"/>
        </w:rPr>
      </w:pPr>
    </w:p>
    <w:sectPr w:rsidR="001B7175" w:rsidRPr="001360A3" w:rsidSect="00AC4363">
      <w:headerReference w:type="default" r:id="rId11"/>
      <w:footerReference w:type="even" r:id="rId12"/>
      <w:footerReference w:type="default" r:id="rId13"/>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C2F1B" w14:textId="77777777" w:rsidR="00C53DCC" w:rsidRDefault="00C53DCC" w:rsidP="00306007">
      <w:r>
        <w:separator/>
      </w:r>
    </w:p>
  </w:endnote>
  <w:endnote w:type="continuationSeparator" w:id="0">
    <w:p w14:paraId="6E2CBD64" w14:textId="77777777" w:rsidR="00C53DCC" w:rsidRDefault="00C53DCC" w:rsidP="00306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552200154"/>
      <w:docPartObj>
        <w:docPartGallery w:val="Page Numbers (Bottom of Page)"/>
        <w:docPartUnique/>
      </w:docPartObj>
    </w:sdtPr>
    <w:sdtEndPr>
      <w:rPr>
        <w:rStyle w:val="Nmerodepgina"/>
      </w:rPr>
    </w:sdtEndPr>
    <w:sdtContent>
      <w:p w14:paraId="7DB0BE14" w14:textId="19D96E33" w:rsidR="00667E96" w:rsidRDefault="00667E96" w:rsidP="00DA45D3">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686D9B">
          <w:rPr>
            <w:rStyle w:val="Nmerodepgina"/>
            <w:noProof/>
          </w:rPr>
          <w:t>7</w:t>
        </w:r>
        <w:r>
          <w:rPr>
            <w:rStyle w:val="Nmerodepgina"/>
          </w:rPr>
          <w:fldChar w:fldCharType="end"/>
        </w:r>
      </w:p>
    </w:sdtContent>
  </w:sdt>
  <w:p w14:paraId="1A45AAA8" w14:textId="77777777" w:rsidR="00667E96" w:rsidRDefault="00667E96" w:rsidP="00667E9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1B7DD" w14:textId="3E70884B" w:rsidR="00667E96" w:rsidRDefault="00AC4363" w:rsidP="00667E96">
    <w:pPr>
      <w:pStyle w:val="Piedepgina"/>
      <w:ind w:right="360"/>
    </w:pPr>
    <w:r>
      <w:t xml:space="preserve">              </w:t>
    </w:r>
    <w:r>
      <w:rPr>
        <w:noProof/>
        <w14:ligatures w14:val="standardContextual"/>
      </w:rPr>
      <w:drawing>
        <wp:inline distT="0" distB="0" distL="0" distR="0" wp14:anchorId="425EB39B" wp14:editId="461D2C62">
          <wp:extent cx="1600200" cy="419100"/>
          <wp:effectExtent l="0" t="0" r="0" b="0"/>
          <wp:docPr id="1187216245" name="Imagen 1187216245"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216245" name="Imagen 1187216245"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AC4363">
      <w:rPr>
        <w:rFonts w:asciiTheme="minorHAnsi" w:hAnsiTheme="minorHAnsi" w:cstheme="minorHAnsi"/>
        <w:b/>
        <w:sz w:val="22"/>
        <w:szCs w:val="22"/>
      </w:rPr>
      <w:t xml:space="preserve">Vol. 16 </w:t>
    </w:r>
    <w:proofErr w:type="spellStart"/>
    <w:r w:rsidRPr="00AC4363">
      <w:rPr>
        <w:rFonts w:asciiTheme="minorHAnsi" w:hAnsiTheme="minorHAnsi" w:cstheme="minorHAnsi"/>
        <w:b/>
        <w:sz w:val="22"/>
        <w:szCs w:val="22"/>
      </w:rPr>
      <w:t>Num</w:t>
    </w:r>
    <w:proofErr w:type="spellEnd"/>
    <w:r w:rsidRPr="00AC4363">
      <w:rPr>
        <w:rFonts w:asciiTheme="minorHAnsi" w:hAnsiTheme="minorHAnsi" w:cstheme="minorHAnsi"/>
        <w:b/>
        <w:sz w:val="22"/>
        <w:szCs w:val="22"/>
      </w:rPr>
      <w:t xml:space="preserve">. 31 Julio - </w:t>
    </w:r>
    <w:proofErr w:type="gramStart"/>
    <w:r w:rsidRPr="00AC4363">
      <w:rPr>
        <w:rFonts w:asciiTheme="minorHAnsi" w:hAnsiTheme="minorHAnsi" w:cstheme="minorHAnsi"/>
        <w:b/>
        <w:sz w:val="22"/>
        <w:szCs w:val="22"/>
      </w:rPr>
      <w:t>Diciembre</w:t>
    </w:r>
    <w:proofErr w:type="gramEnd"/>
    <w:r w:rsidRPr="00AC4363">
      <w:rPr>
        <w:rFonts w:asciiTheme="minorHAnsi" w:hAnsiTheme="minorHAnsi" w:cstheme="minorHAnsi"/>
        <w:b/>
        <w:sz w:val="22"/>
        <w:szCs w:val="22"/>
      </w:rPr>
      <w:t xml:space="preserve"> 2025, e</w:t>
    </w:r>
    <w:r w:rsidR="008E3143">
      <w:rPr>
        <w:rFonts w:asciiTheme="minorHAnsi" w:hAnsiTheme="minorHAnsi" w:cstheme="minorHAnsi"/>
        <w:b/>
        <w:sz w:val="22"/>
        <w:szCs w:val="22"/>
      </w:rPr>
      <w:t>976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1E0F7" w14:textId="77777777" w:rsidR="00C53DCC" w:rsidRDefault="00C53DCC" w:rsidP="00306007">
      <w:r>
        <w:separator/>
      </w:r>
    </w:p>
  </w:footnote>
  <w:footnote w:type="continuationSeparator" w:id="0">
    <w:p w14:paraId="0A2B4D94" w14:textId="77777777" w:rsidR="00C53DCC" w:rsidRDefault="00C53DCC" w:rsidP="003060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2226C" w14:textId="441051A2" w:rsidR="00AC4363" w:rsidRDefault="00AC4363" w:rsidP="00AC4363">
    <w:pPr>
      <w:pStyle w:val="Encabezado"/>
      <w:jc w:val="center"/>
    </w:pPr>
    <w:r>
      <w:rPr>
        <w:noProof/>
        <w14:ligatures w14:val="standardContextual"/>
      </w:rPr>
      <w:drawing>
        <wp:inline distT="0" distB="0" distL="0" distR="0" wp14:anchorId="41189B1A" wp14:editId="680319D2">
          <wp:extent cx="5397500" cy="635000"/>
          <wp:effectExtent l="0" t="0" r="0" b="0"/>
          <wp:docPr id="1172600640" name="Imagen 1172600640"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600640" name="Imagen 1172600640"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5391"/>
    <w:multiLevelType w:val="multilevel"/>
    <w:tmpl w:val="756AF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E4D7F"/>
    <w:multiLevelType w:val="multilevel"/>
    <w:tmpl w:val="DFB841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B70474"/>
    <w:multiLevelType w:val="multilevel"/>
    <w:tmpl w:val="1DFEE0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5011BB6"/>
    <w:multiLevelType w:val="multilevel"/>
    <w:tmpl w:val="83A6F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4A4353"/>
    <w:multiLevelType w:val="hybridMultilevel"/>
    <w:tmpl w:val="0700D5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4D6556"/>
    <w:multiLevelType w:val="multilevel"/>
    <w:tmpl w:val="BDCA8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B87D06"/>
    <w:multiLevelType w:val="hybridMultilevel"/>
    <w:tmpl w:val="E22C54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6006D5"/>
    <w:multiLevelType w:val="multilevel"/>
    <w:tmpl w:val="92DC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53384A"/>
    <w:multiLevelType w:val="hybridMultilevel"/>
    <w:tmpl w:val="59300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58C40EB"/>
    <w:multiLevelType w:val="hybridMultilevel"/>
    <w:tmpl w:val="D65643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E59729E"/>
    <w:multiLevelType w:val="hybridMultilevel"/>
    <w:tmpl w:val="F46A08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F10751"/>
    <w:multiLevelType w:val="multilevel"/>
    <w:tmpl w:val="AECC4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786405"/>
    <w:multiLevelType w:val="hybridMultilevel"/>
    <w:tmpl w:val="99DE5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34E2044"/>
    <w:multiLevelType w:val="hybridMultilevel"/>
    <w:tmpl w:val="D65643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40C0737"/>
    <w:multiLevelType w:val="hybridMultilevel"/>
    <w:tmpl w:val="D8A26A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5AD1A56"/>
    <w:multiLevelType w:val="multilevel"/>
    <w:tmpl w:val="3B2A3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383105"/>
    <w:multiLevelType w:val="hybridMultilevel"/>
    <w:tmpl w:val="9C725BB6"/>
    <w:lvl w:ilvl="0" w:tplc="04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33A6542"/>
    <w:multiLevelType w:val="hybridMultilevel"/>
    <w:tmpl w:val="DB6E9A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5BB74F1"/>
    <w:multiLevelType w:val="multilevel"/>
    <w:tmpl w:val="42AAB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D01780"/>
    <w:multiLevelType w:val="multilevel"/>
    <w:tmpl w:val="6F3A7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80246A"/>
    <w:multiLevelType w:val="multilevel"/>
    <w:tmpl w:val="3774A8A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B3653AB"/>
    <w:multiLevelType w:val="multilevel"/>
    <w:tmpl w:val="306294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3FB722C3"/>
    <w:multiLevelType w:val="multilevel"/>
    <w:tmpl w:val="915A8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1B426B"/>
    <w:multiLevelType w:val="hybridMultilevel"/>
    <w:tmpl w:val="8DB254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4B45F15"/>
    <w:multiLevelType w:val="hybridMultilevel"/>
    <w:tmpl w:val="DD6293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55C132A"/>
    <w:multiLevelType w:val="hybridMultilevel"/>
    <w:tmpl w:val="B4327A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84D74A9"/>
    <w:multiLevelType w:val="multilevel"/>
    <w:tmpl w:val="89F61E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B7B69EE"/>
    <w:multiLevelType w:val="hybridMultilevel"/>
    <w:tmpl w:val="327C121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8" w15:restartNumberingAfterBreak="0">
    <w:nsid w:val="4BCF09F9"/>
    <w:multiLevelType w:val="multilevel"/>
    <w:tmpl w:val="B1045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ED0599"/>
    <w:multiLevelType w:val="hybridMultilevel"/>
    <w:tmpl w:val="CFAEE7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E414BE6"/>
    <w:multiLevelType w:val="multilevel"/>
    <w:tmpl w:val="D90C2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5E4419D"/>
    <w:multiLevelType w:val="hybridMultilevel"/>
    <w:tmpl w:val="D18096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63B5F2A"/>
    <w:multiLevelType w:val="hybridMultilevel"/>
    <w:tmpl w:val="493E2F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6A00B7D"/>
    <w:multiLevelType w:val="multilevel"/>
    <w:tmpl w:val="D10087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58016274"/>
    <w:multiLevelType w:val="hybridMultilevel"/>
    <w:tmpl w:val="948A08B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5" w15:restartNumberingAfterBreak="0">
    <w:nsid w:val="5DCC32F2"/>
    <w:multiLevelType w:val="hybridMultilevel"/>
    <w:tmpl w:val="01A80C5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0C70042"/>
    <w:multiLevelType w:val="multilevel"/>
    <w:tmpl w:val="23E8E2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692A36F8"/>
    <w:multiLevelType w:val="hybridMultilevel"/>
    <w:tmpl w:val="B060FEE4"/>
    <w:lvl w:ilvl="0" w:tplc="040A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BD1762B"/>
    <w:multiLevelType w:val="hybridMultilevel"/>
    <w:tmpl w:val="20E435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D0D5E11"/>
    <w:multiLevelType w:val="multilevel"/>
    <w:tmpl w:val="E71A9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142308E"/>
    <w:multiLevelType w:val="hybridMultilevel"/>
    <w:tmpl w:val="DD9A0B02"/>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41" w15:restartNumberingAfterBreak="0">
    <w:nsid w:val="744311ED"/>
    <w:multiLevelType w:val="hybridMultilevel"/>
    <w:tmpl w:val="ECF29B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49E10CB"/>
    <w:multiLevelType w:val="multilevel"/>
    <w:tmpl w:val="C7021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69A3442"/>
    <w:multiLevelType w:val="hybridMultilevel"/>
    <w:tmpl w:val="FDF40FBE"/>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44" w15:restartNumberingAfterBreak="0">
    <w:nsid w:val="7B7A3A8C"/>
    <w:multiLevelType w:val="hybridMultilevel"/>
    <w:tmpl w:val="B546D2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C84169C"/>
    <w:multiLevelType w:val="multilevel"/>
    <w:tmpl w:val="214A9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E2061D2"/>
    <w:multiLevelType w:val="multilevel"/>
    <w:tmpl w:val="16E4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3886856">
    <w:abstractNumId w:val="19"/>
  </w:num>
  <w:num w:numId="2" w16cid:durableId="1930964212">
    <w:abstractNumId w:val="0"/>
  </w:num>
  <w:num w:numId="3" w16cid:durableId="1950044534">
    <w:abstractNumId w:val="37"/>
  </w:num>
  <w:num w:numId="4" w16cid:durableId="1362703023">
    <w:abstractNumId w:val="16"/>
  </w:num>
  <w:num w:numId="5" w16cid:durableId="15038027">
    <w:abstractNumId w:val="39"/>
  </w:num>
  <w:num w:numId="6" w16cid:durableId="877427780">
    <w:abstractNumId w:val="11"/>
  </w:num>
  <w:num w:numId="7" w16cid:durableId="938224157">
    <w:abstractNumId w:val="30"/>
  </w:num>
  <w:num w:numId="8" w16cid:durableId="2088069006">
    <w:abstractNumId w:val="24"/>
  </w:num>
  <w:num w:numId="9" w16cid:durableId="1508134381">
    <w:abstractNumId w:val="20"/>
  </w:num>
  <w:num w:numId="10" w16cid:durableId="1111433924">
    <w:abstractNumId w:val="27"/>
  </w:num>
  <w:num w:numId="11" w16cid:durableId="447509678">
    <w:abstractNumId w:val="12"/>
  </w:num>
  <w:num w:numId="12" w16cid:durableId="886380332">
    <w:abstractNumId w:val="41"/>
  </w:num>
  <w:num w:numId="13" w16cid:durableId="848373938">
    <w:abstractNumId w:val="36"/>
  </w:num>
  <w:num w:numId="14" w16cid:durableId="2079470482">
    <w:abstractNumId w:val="2"/>
  </w:num>
  <w:num w:numId="15" w16cid:durableId="2130588509">
    <w:abstractNumId w:val="32"/>
  </w:num>
  <w:num w:numId="16" w16cid:durableId="1433011645">
    <w:abstractNumId w:val="18"/>
  </w:num>
  <w:num w:numId="17" w16cid:durableId="1949657429">
    <w:abstractNumId w:val="21"/>
  </w:num>
  <w:num w:numId="18" w16cid:durableId="827093910">
    <w:abstractNumId w:val="42"/>
  </w:num>
  <w:num w:numId="19" w16cid:durableId="505828705">
    <w:abstractNumId w:val="26"/>
  </w:num>
  <w:num w:numId="20" w16cid:durableId="93984152">
    <w:abstractNumId w:val="22"/>
  </w:num>
  <w:num w:numId="21" w16cid:durableId="133572738">
    <w:abstractNumId w:val="33"/>
  </w:num>
  <w:num w:numId="22" w16cid:durableId="1241865201">
    <w:abstractNumId w:val="23"/>
  </w:num>
  <w:num w:numId="23" w16cid:durableId="2024428959">
    <w:abstractNumId w:val="29"/>
  </w:num>
  <w:num w:numId="24" w16cid:durableId="2061517264">
    <w:abstractNumId w:val="44"/>
  </w:num>
  <w:num w:numId="25" w16cid:durableId="224604971">
    <w:abstractNumId w:val="25"/>
  </w:num>
  <w:num w:numId="26" w16cid:durableId="640773330">
    <w:abstractNumId w:val="6"/>
  </w:num>
  <w:num w:numId="27" w16cid:durableId="242763527">
    <w:abstractNumId w:val="1"/>
  </w:num>
  <w:num w:numId="28" w16cid:durableId="2076587609">
    <w:abstractNumId w:val="45"/>
  </w:num>
  <w:num w:numId="29" w16cid:durableId="1115758454">
    <w:abstractNumId w:val="10"/>
  </w:num>
  <w:num w:numId="30" w16cid:durableId="662389786">
    <w:abstractNumId w:val="13"/>
  </w:num>
  <w:num w:numId="31" w16cid:durableId="1731883395">
    <w:abstractNumId w:val="9"/>
  </w:num>
  <w:num w:numId="32" w16cid:durableId="201946040">
    <w:abstractNumId w:val="43"/>
  </w:num>
  <w:num w:numId="33" w16cid:durableId="870800854">
    <w:abstractNumId w:val="38"/>
  </w:num>
  <w:num w:numId="34" w16cid:durableId="1857618825">
    <w:abstractNumId w:val="40"/>
  </w:num>
  <w:num w:numId="35" w16cid:durableId="1303266820">
    <w:abstractNumId w:val="31"/>
  </w:num>
  <w:num w:numId="36" w16cid:durableId="1635407286">
    <w:abstractNumId w:val="17"/>
  </w:num>
  <w:num w:numId="37" w16cid:durableId="1794328066">
    <w:abstractNumId w:val="35"/>
  </w:num>
  <w:num w:numId="38" w16cid:durableId="19210012">
    <w:abstractNumId w:val="46"/>
  </w:num>
  <w:num w:numId="39" w16cid:durableId="1988319382">
    <w:abstractNumId w:val="5"/>
  </w:num>
  <w:num w:numId="40" w16cid:durableId="872576772">
    <w:abstractNumId w:val="7"/>
  </w:num>
  <w:num w:numId="41" w16cid:durableId="2099010993">
    <w:abstractNumId w:val="3"/>
  </w:num>
  <w:num w:numId="42" w16cid:durableId="1213345697">
    <w:abstractNumId w:val="4"/>
  </w:num>
  <w:num w:numId="43" w16cid:durableId="1953658851">
    <w:abstractNumId w:val="28"/>
  </w:num>
  <w:num w:numId="44" w16cid:durableId="1483041615">
    <w:abstractNumId w:val="15"/>
  </w:num>
  <w:num w:numId="45" w16cid:durableId="664210010">
    <w:abstractNumId w:val="34"/>
  </w:num>
  <w:num w:numId="46" w16cid:durableId="166869643">
    <w:abstractNumId w:val="14"/>
  </w:num>
  <w:num w:numId="47" w16cid:durableId="1316058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FC5FF3"/>
    <w:rsid w:val="00000266"/>
    <w:rsid w:val="00000B71"/>
    <w:rsid w:val="00000DF9"/>
    <w:rsid w:val="00003178"/>
    <w:rsid w:val="000048C4"/>
    <w:rsid w:val="000050C8"/>
    <w:rsid w:val="000063C5"/>
    <w:rsid w:val="00006848"/>
    <w:rsid w:val="0000777A"/>
    <w:rsid w:val="00007B3F"/>
    <w:rsid w:val="00010D76"/>
    <w:rsid w:val="0001105B"/>
    <w:rsid w:val="0001232C"/>
    <w:rsid w:val="00013D11"/>
    <w:rsid w:val="0001488B"/>
    <w:rsid w:val="00014926"/>
    <w:rsid w:val="00020B0E"/>
    <w:rsid w:val="0002118E"/>
    <w:rsid w:val="000220F7"/>
    <w:rsid w:val="0002257F"/>
    <w:rsid w:val="000237F9"/>
    <w:rsid w:val="00024846"/>
    <w:rsid w:val="00025A15"/>
    <w:rsid w:val="00025ABA"/>
    <w:rsid w:val="00025C10"/>
    <w:rsid w:val="00025E05"/>
    <w:rsid w:val="0002691D"/>
    <w:rsid w:val="00026F6E"/>
    <w:rsid w:val="000276CC"/>
    <w:rsid w:val="00030D85"/>
    <w:rsid w:val="00031EC4"/>
    <w:rsid w:val="0003210A"/>
    <w:rsid w:val="00032D8A"/>
    <w:rsid w:val="00035A2D"/>
    <w:rsid w:val="000360AB"/>
    <w:rsid w:val="00036A68"/>
    <w:rsid w:val="00037F84"/>
    <w:rsid w:val="00040840"/>
    <w:rsid w:val="000423D5"/>
    <w:rsid w:val="0004256D"/>
    <w:rsid w:val="00043A90"/>
    <w:rsid w:val="00045013"/>
    <w:rsid w:val="00046139"/>
    <w:rsid w:val="00046557"/>
    <w:rsid w:val="00047F9C"/>
    <w:rsid w:val="000515AA"/>
    <w:rsid w:val="00051C07"/>
    <w:rsid w:val="00052D81"/>
    <w:rsid w:val="00053F12"/>
    <w:rsid w:val="00054E8D"/>
    <w:rsid w:val="00055985"/>
    <w:rsid w:val="000568E9"/>
    <w:rsid w:val="00056CD4"/>
    <w:rsid w:val="000608FD"/>
    <w:rsid w:val="000609AB"/>
    <w:rsid w:val="00060A24"/>
    <w:rsid w:val="0006217C"/>
    <w:rsid w:val="000623D0"/>
    <w:rsid w:val="00062FB7"/>
    <w:rsid w:val="00063D96"/>
    <w:rsid w:val="00064C61"/>
    <w:rsid w:val="00065A7F"/>
    <w:rsid w:val="0006678D"/>
    <w:rsid w:val="00070E8E"/>
    <w:rsid w:val="00071708"/>
    <w:rsid w:val="000719CD"/>
    <w:rsid w:val="00073896"/>
    <w:rsid w:val="000740A4"/>
    <w:rsid w:val="0007581C"/>
    <w:rsid w:val="00075E66"/>
    <w:rsid w:val="0007645A"/>
    <w:rsid w:val="00076572"/>
    <w:rsid w:val="000769DD"/>
    <w:rsid w:val="000830F9"/>
    <w:rsid w:val="0008472A"/>
    <w:rsid w:val="00085394"/>
    <w:rsid w:val="000854ED"/>
    <w:rsid w:val="000871F2"/>
    <w:rsid w:val="0009005E"/>
    <w:rsid w:val="000902F2"/>
    <w:rsid w:val="00090671"/>
    <w:rsid w:val="00090B4C"/>
    <w:rsid w:val="00092354"/>
    <w:rsid w:val="000929EA"/>
    <w:rsid w:val="00092BD9"/>
    <w:rsid w:val="000940B3"/>
    <w:rsid w:val="00094F33"/>
    <w:rsid w:val="000959C0"/>
    <w:rsid w:val="0009675B"/>
    <w:rsid w:val="000A2862"/>
    <w:rsid w:val="000A2A37"/>
    <w:rsid w:val="000A2AD0"/>
    <w:rsid w:val="000A3CD4"/>
    <w:rsid w:val="000A4A92"/>
    <w:rsid w:val="000A67E1"/>
    <w:rsid w:val="000B18B7"/>
    <w:rsid w:val="000B1A49"/>
    <w:rsid w:val="000B335D"/>
    <w:rsid w:val="000B7586"/>
    <w:rsid w:val="000C0358"/>
    <w:rsid w:val="000C0943"/>
    <w:rsid w:val="000C1808"/>
    <w:rsid w:val="000C1A6B"/>
    <w:rsid w:val="000C3B4D"/>
    <w:rsid w:val="000C4669"/>
    <w:rsid w:val="000C52E8"/>
    <w:rsid w:val="000C61E5"/>
    <w:rsid w:val="000C6584"/>
    <w:rsid w:val="000D0F6B"/>
    <w:rsid w:val="000D253D"/>
    <w:rsid w:val="000D32B9"/>
    <w:rsid w:val="000D56F0"/>
    <w:rsid w:val="000D5899"/>
    <w:rsid w:val="000D62D1"/>
    <w:rsid w:val="000D7234"/>
    <w:rsid w:val="000D73A5"/>
    <w:rsid w:val="000D73B6"/>
    <w:rsid w:val="000D7582"/>
    <w:rsid w:val="000D7DB6"/>
    <w:rsid w:val="000E0C30"/>
    <w:rsid w:val="000E10A9"/>
    <w:rsid w:val="000E13EA"/>
    <w:rsid w:val="000E36DD"/>
    <w:rsid w:val="000E4703"/>
    <w:rsid w:val="000F274D"/>
    <w:rsid w:val="000F2BBA"/>
    <w:rsid w:val="000F2E8A"/>
    <w:rsid w:val="000F6BF6"/>
    <w:rsid w:val="000F736F"/>
    <w:rsid w:val="000F757D"/>
    <w:rsid w:val="00100B2A"/>
    <w:rsid w:val="001016DA"/>
    <w:rsid w:val="001051CE"/>
    <w:rsid w:val="00105A89"/>
    <w:rsid w:val="0010669E"/>
    <w:rsid w:val="00106D7D"/>
    <w:rsid w:val="00107461"/>
    <w:rsid w:val="00110C43"/>
    <w:rsid w:val="00110F76"/>
    <w:rsid w:val="001128EC"/>
    <w:rsid w:val="00114E97"/>
    <w:rsid w:val="00116574"/>
    <w:rsid w:val="00116E5D"/>
    <w:rsid w:val="001203DE"/>
    <w:rsid w:val="00121860"/>
    <w:rsid w:val="0012203B"/>
    <w:rsid w:val="00122F64"/>
    <w:rsid w:val="00125CC3"/>
    <w:rsid w:val="00125F3A"/>
    <w:rsid w:val="0012675C"/>
    <w:rsid w:val="00126C81"/>
    <w:rsid w:val="00130F2B"/>
    <w:rsid w:val="00131045"/>
    <w:rsid w:val="00131054"/>
    <w:rsid w:val="00131C98"/>
    <w:rsid w:val="00131D91"/>
    <w:rsid w:val="00132AA6"/>
    <w:rsid w:val="00132C22"/>
    <w:rsid w:val="00135A53"/>
    <w:rsid w:val="00135CC1"/>
    <w:rsid w:val="00135F90"/>
    <w:rsid w:val="001360A3"/>
    <w:rsid w:val="0014114A"/>
    <w:rsid w:val="001415A1"/>
    <w:rsid w:val="00142666"/>
    <w:rsid w:val="001441B3"/>
    <w:rsid w:val="001455C7"/>
    <w:rsid w:val="00147851"/>
    <w:rsid w:val="00147AFB"/>
    <w:rsid w:val="001505A1"/>
    <w:rsid w:val="001514F9"/>
    <w:rsid w:val="001516EA"/>
    <w:rsid w:val="00151716"/>
    <w:rsid w:val="00151E16"/>
    <w:rsid w:val="001545C6"/>
    <w:rsid w:val="00154B36"/>
    <w:rsid w:val="0016144A"/>
    <w:rsid w:val="00161B57"/>
    <w:rsid w:val="00162765"/>
    <w:rsid w:val="001637F2"/>
    <w:rsid w:val="00165DD5"/>
    <w:rsid w:val="00166F56"/>
    <w:rsid w:val="0016705B"/>
    <w:rsid w:val="00167862"/>
    <w:rsid w:val="001717E8"/>
    <w:rsid w:val="00171A02"/>
    <w:rsid w:val="001743FC"/>
    <w:rsid w:val="00174913"/>
    <w:rsid w:val="00175268"/>
    <w:rsid w:val="00175EAA"/>
    <w:rsid w:val="00176004"/>
    <w:rsid w:val="00176A6D"/>
    <w:rsid w:val="00177E25"/>
    <w:rsid w:val="0018054A"/>
    <w:rsid w:val="00182019"/>
    <w:rsid w:val="001832DD"/>
    <w:rsid w:val="00185EFA"/>
    <w:rsid w:val="00186835"/>
    <w:rsid w:val="0018715D"/>
    <w:rsid w:val="0019002B"/>
    <w:rsid w:val="001909DF"/>
    <w:rsid w:val="0019210A"/>
    <w:rsid w:val="00192169"/>
    <w:rsid w:val="001963C0"/>
    <w:rsid w:val="00196441"/>
    <w:rsid w:val="001974C2"/>
    <w:rsid w:val="001A00A5"/>
    <w:rsid w:val="001A0446"/>
    <w:rsid w:val="001A125D"/>
    <w:rsid w:val="001A2AED"/>
    <w:rsid w:val="001A2E42"/>
    <w:rsid w:val="001A3D7D"/>
    <w:rsid w:val="001A6489"/>
    <w:rsid w:val="001A69EA"/>
    <w:rsid w:val="001A70A6"/>
    <w:rsid w:val="001A765E"/>
    <w:rsid w:val="001A7C47"/>
    <w:rsid w:val="001B2C83"/>
    <w:rsid w:val="001B388F"/>
    <w:rsid w:val="001B439A"/>
    <w:rsid w:val="001B50DA"/>
    <w:rsid w:val="001B6DF2"/>
    <w:rsid w:val="001B6E13"/>
    <w:rsid w:val="001B6ED4"/>
    <w:rsid w:val="001B6EE4"/>
    <w:rsid w:val="001B7175"/>
    <w:rsid w:val="001B71F0"/>
    <w:rsid w:val="001B72F9"/>
    <w:rsid w:val="001C0161"/>
    <w:rsid w:val="001C330F"/>
    <w:rsid w:val="001C3F5A"/>
    <w:rsid w:val="001C623A"/>
    <w:rsid w:val="001C7376"/>
    <w:rsid w:val="001C7C44"/>
    <w:rsid w:val="001D25BE"/>
    <w:rsid w:val="001D4500"/>
    <w:rsid w:val="001D4AB4"/>
    <w:rsid w:val="001D543B"/>
    <w:rsid w:val="001D5BD8"/>
    <w:rsid w:val="001E38F2"/>
    <w:rsid w:val="001E3A5A"/>
    <w:rsid w:val="001E5496"/>
    <w:rsid w:val="001E597E"/>
    <w:rsid w:val="001E6218"/>
    <w:rsid w:val="001E7C5F"/>
    <w:rsid w:val="001F0527"/>
    <w:rsid w:val="001F06D3"/>
    <w:rsid w:val="001F10CD"/>
    <w:rsid w:val="001F1187"/>
    <w:rsid w:val="001F1C4C"/>
    <w:rsid w:val="001F2CC2"/>
    <w:rsid w:val="001F52AD"/>
    <w:rsid w:val="001F6367"/>
    <w:rsid w:val="001F7CAE"/>
    <w:rsid w:val="0020008C"/>
    <w:rsid w:val="00200535"/>
    <w:rsid w:val="00201120"/>
    <w:rsid w:val="00201EB4"/>
    <w:rsid w:val="00201F9D"/>
    <w:rsid w:val="00204A50"/>
    <w:rsid w:val="00205117"/>
    <w:rsid w:val="0020549E"/>
    <w:rsid w:val="00205B0A"/>
    <w:rsid w:val="00206ABB"/>
    <w:rsid w:val="00206C75"/>
    <w:rsid w:val="00211ADE"/>
    <w:rsid w:val="00214C7D"/>
    <w:rsid w:val="00215DC6"/>
    <w:rsid w:val="00215E28"/>
    <w:rsid w:val="00215F2F"/>
    <w:rsid w:val="002172C6"/>
    <w:rsid w:val="002177D6"/>
    <w:rsid w:val="00220AC7"/>
    <w:rsid w:val="00220CF1"/>
    <w:rsid w:val="00222452"/>
    <w:rsid w:val="00224A65"/>
    <w:rsid w:val="00224EAF"/>
    <w:rsid w:val="0022668C"/>
    <w:rsid w:val="00226D9C"/>
    <w:rsid w:val="00230331"/>
    <w:rsid w:val="00230F6F"/>
    <w:rsid w:val="002318DA"/>
    <w:rsid w:val="00231EE1"/>
    <w:rsid w:val="00232D30"/>
    <w:rsid w:val="0023323F"/>
    <w:rsid w:val="0023410B"/>
    <w:rsid w:val="002343F0"/>
    <w:rsid w:val="00234E6D"/>
    <w:rsid w:val="002351DE"/>
    <w:rsid w:val="00235CE2"/>
    <w:rsid w:val="002400BE"/>
    <w:rsid w:val="00241A93"/>
    <w:rsid w:val="00241E0C"/>
    <w:rsid w:val="002422A2"/>
    <w:rsid w:val="0024496F"/>
    <w:rsid w:val="00245B54"/>
    <w:rsid w:val="0024681B"/>
    <w:rsid w:val="00247200"/>
    <w:rsid w:val="00247573"/>
    <w:rsid w:val="00251F53"/>
    <w:rsid w:val="0025212D"/>
    <w:rsid w:val="00254D1B"/>
    <w:rsid w:val="00255542"/>
    <w:rsid w:val="00256A1D"/>
    <w:rsid w:val="00256AE4"/>
    <w:rsid w:val="00256D27"/>
    <w:rsid w:val="002570ED"/>
    <w:rsid w:val="002612DB"/>
    <w:rsid w:val="002613E0"/>
    <w:rsid w:val="00261688"/>
    <w:rsid w:val="0026432A"/>
    <w:rsid w:val="0026501C"/>
    <w:rsid w:val="00265883"/>
    <w:rsid w:val="00266A0F"/>
    <w:rsid w:val="00266A90"/>
    <w:rsid w:val="002671E3"/>
    <w:rsid w:val="00267CBF"/>
    <w:rsid w:val="00271A35"/>
    <w:rsid w:val="00273211"/>
    <w:rsid w:val="0027466A"/>
    <w:rsid w:val="0027529B"/>
    <w:rsid w:val="0027591D"/>
    <w:rsid w:val="00276214"/>
    <w:rsid w:val="002764B8"/>
    <w:rsid w:val="00276E05"/>
    <w:rsid w:val="002802A7"/>
    <w:rsid w:val="00280FCD"/>
    <w:rsid w:val="002815DD"/>
    <w:rsid w:val="00281712"/>
    <w:rsid w:val="002824DA"/>
    <w:rsid w:val="00282667"/>
    <w:rsid w:val="00284287"/>
    <w:rsid w:val="002866E4"/>
    <w:rsid w:val="00290637"/>
    <w:rsid w:val="00291BDD"/>
    <w:rsid w:val="00291DFC"/>
    <w:rsid w:val="00293724"/>
    <w:rsid w:val="002942D1"/>
    <w:rsid w:val="002943C4"/>
    <w:rsid w:val="00294983"/>
    <w:rsid w:val="00296E48"/>
    <w:rsid w:val="002A01CC"/>
    <w:rsid w:val="002A0AD1"/>
    <w:rsid w:val="002A2BD0"/>
    <w:rsid w:val="002A3052"/>
    <w:rsid w:val="002A3170"/>
    <w:rsid w:val="002A373B"/>
    <w:rsid w:val="002A4DA6"/>
    <w:rsid w:val="002A519E"/>
    <w:rsid w:val="002A547D"/>
    <w:rsid w:val="002B2F27"/>
    <w:rsid w:val="002B3101"/>
    <w:rsid w:val="002B5103"/>
    <w:rsid w:val="002B6DF1"/>
    <w:rsid w:val="002C09E0"/>
    <w:rsid w:val="002C0BA5"/>
    <w:rsid w:val="002C17BE"/>
    <w:rsid w:val="002C1B9C"/>
    <w:rsid w:val="002C2BA6"/>
    <w:rsid w:val="002C50C9"/>
    <w:rsid w:val="002C5111"/>
    <w:rsid w:val="002C5771"/>
    <w:rsid w:val="002C588E"/>
    <w:rsid w:val="002C5EE2"/>
    <w:rsid w:val="002C5F79"/>
    <w:rsid w:val="002C6A3B"/>
    <w:rsid w:val="002C78DD"/>
    <w:rsid w:val="002D1AA5"/>
    <w:rsid w:val="002D1BF5"/>
    <w:rsid w:val="002D1C57"/>
    <w:rsid w:val="002D2851"/>
    <w:rsid w:val="002D35E8"/>
    <w:rsid w:val="002D408E"/>
    <w:rsid w:val="002D4807"/>
    <w:rsid w:val="002D5A21"/>
    <w:rsid w:val="002D5E04"/>
    <w:rsid w:val="002D69D1"/>
    <w:rsid w:val="002D7205"/>
    <w:rsid w:val="002D7587"/>
    <w:rsid w:val="002E01C6"/>
    <w:rsid w:val="002E0429"/>
    <w:rsid w:val="002E0B73"/>
    <w:rsid w:val="002E0D0B"/>
    <w:rsid w:val="002E1497"/>
    <w:rsid w:val="002E1512"/>
    <w:rsid w:val="002E1739"/>
    <w:rsid w:val="002E3690"/>
    <w:rsid w:val="002E40BE"/>
    <w:rsid w:val="002E535F"/>
    <w:rsid w:val="002E576B"/>
    <w:rsid w:val="002E5AF0"/>
    <w:rsid w:val="002F056A"/>
    <w:rsid w:val="002F0CDB"/>
    <w:rsid w:val="002F1572"/>
    <w:rsid w:val="002F1E55"/>
    <w:rsid w:val="002F1E96"/>
    <w:rsid w:val="002F252B"/>
    <w:rsid w:val="002F348D"/>
    <w:rsid w:val="002F3591"/>
    <w:rsid w:val="002F42C0"/>
    <w:rsid w:val="002F51B4"/>
    <w:rsid w:val="0030125E"/>
    <w:rsid w:val="003025C6"/>
    <w:rsid w:val="003030B4"/>
    <w:rsid w:val="00303635"/>
    <w:rsid w:val="003049F9"/>
    <w:rsid w:val="00305745"/>
    <w:rsid w:val="00306007"/>
    <w:rsid w:val="00306ADF"/>
    <w:rsid w:val="00306D45"/>
    <w:rsid w:val="00306F05"/>
    <w:rsid w:val="00307443"/>
    <w:rsid w:val="00307C15"/>
    <w:rsid w:val="00312ADE"/>
    <w:rsid w:val="00315761"/>
    <w:rsid w:val="00317A2E"/>
    <w:rsid w:val="00320CAE"/>
    <w:rsid w:val="003210D1"/>
    <w:rsid w:val="0032179D"/>
    <w:rsid w:val="0032204A"/>
    <w:rsid w:val="003237C8"/>
    <w:rsid w:val="0032481E"/>
    <w:rsid w:val="00325636"/>
    <w:rsid w:val="00325D44"/>
    <w:rsid w:val="0032641C"/>
    <w:rsid w:val="00330515"/>
    <w:rsid w:val="00330DF5"/>
    <w:rsid w:val="0033152D"/>
    <w:rsid w:val="00333114"/>
    <w:rsid w:val="00333280"/>
    <w:rsid w:val="003338B3"/>
    <w:rsid w:val="0033475F"/>
    <w:rsid w:val="00337A2C"/>
    <w:rsid w:val="003401D9"/>
    <w:rsid w:val="003408E3"/>
    <w:rsid w:val="00341464"/>
    <w:rsid w:val="00344598"/>
    <w:rsid w:val="00346177"/>
    <w:rsid w:val="00346AC9"/>
    <w:rsid w:val="00351371"/>
    <w:rsid w:val="00351622"/>
    <w:rsid w:val="00351955"/>
    <w:rsid w:val="00351F27"/>
    <w:rsid w:val="0035278B"/>
    <w:rsid w:val="003533F6"/>
    <w:rsid w:val="0035661B"/>
    <w:rsid w:val="003601BA"/>
    <w:rsid w:val="003601CB"/>
    <w:rsid w:val="0036041F"/>
    <w:rsid w:val="0036284B"/>
    <w:rsid w:val="00364311"/>
    <w:rsid w:val="003646D5"/>
    <w:rsid w:val="00365B8A"/>
    <w:rsid w:val="0036686F"/>
    <w:rsid w:val="003675D7"/>
    <w:rsid w:val="00367A15"/>
    <w:rsid w:val="003704ED"/>
    <w:rsid w:val="00371D45"/>
    <w:rsid w:val="00371FB7"/>
    <w:rsid w:val="003725E6"/>
    <w:rsid w:val="00372AAA"/>
    <w:rsid w:val="0037482F"/>
    <w:rsid w:val="00375131"/>
    <w:rsid w:val="003759A4"/>
    <w:rsid w:val="0037646F"/>
    <w:rsid w:val="0037717A"/>
    <w:rsid w:val="003812E7"/>
    <w:rsid w:val="0038132C"/>
    <w:rsid w:val="00381ACE"/>
    <w:rsid w:val="003820F5"/>
    <w:rsid w:val="003831E7"/>
    <w:rsid w:val="00383B55"/>
    <w:rsid w:val="00384A3E"/>
    <w:rsid w:val="00385C26"/>
    <w:rsid w:val="00385C27"/>
    <w:rsid w:val="0039017B"/>
    <w:rsid w:val="00390433"/>
    <w:rsid w:val="00390F7D"/>
    <w:rsid w:val="00390FEF"/>
    <w:rsid w:val="00391943"/>
    <w:rsid w:val="0039296B"/>
    <w:rsid w:val="00394868"/>
    <w:rsid w:val="003949E9"/>
    <w:rsid w:val="00394A8D"/>
    <w:rsid w:val="00395827"/>
    <w:rsid w:val="00397AB4"/>
    <w:rsid w:val="00397D46"/>
    <w:rsid w:val="003A07D3"/>
    <w:rsid w:val="003A214E"/>
    <w:rsid w:val="003A284B"/>
    <w:rsid w:val="003A526C"/>
    <w:rsid w:val="003A650A"/>
    <w:rsid w:val="003A6D72"/>
    <w:rsid w:val="003B02C1"/>
    <w:rsid w:val="003B0B9C"/>
    <w:rsid w:val="003B3C88"/>
    <w:rsid w:val="003B3D91"/>
    <w:rsid w:val="003B5CA5"/>
    <w:rsid w:val="003B5D80"/>
    <w:rsid w:val="003B76B1"/>
    <w:rsid w:val="003B7F7D"/>
    <w:rsid w:val="003C2F62"/>
    <w:rsid w:val="003C3342"/>
    <w:rsid w:val="003C39FA"/>
    <w:rsid w:val="003C3DD6"/>
    <w:rsid w:val="003C42A1"/>
    <w:rsid w:val="003C4F51"/>
    <w:rsid w:val="003C57A6"/>
    <w:rsid w:val="003C7273"/>
    <w:rsid w:val="003C79F0"/>
    <w:rsid w:val="003D0520"/>
    <w:rsid w:val="003D15B6"/>
    <w:rsid w:val="003D2DC7"/>
    <w:rsid w:val="003D2E4D"/>
    <w:rsid w:val="003D3585"/>
    <w:rsid w:val="003D6F01"/>
    <w:rsid w:val="003D7FA1"/>
    <w:rsid w:val="003E0D38"/>
    <w:rsid w:val="003E47B8"/>
    <w:rsid w:val="003E5ED9"/>
    <w:rsid w:val="003E617B"/>
    <w:rsid w:val="003E61C5"/>
    <w:rsid w:val="003E62FD"/>
    <w:rsid w:val="003E733A"/>
    <w:rsid w:val="003E73E0"/>
    <w:rsid w:val="003F0822"/>
    <w:rsid w:val="003F31CA"/>
    <w:rsid w:val="003F43B5"/>
    <w:rsid w:val="003F5588"/>
    <w:rsid w:val="003F603A"/>
    <w:rsid w:val="003F674A"/>
    <w:rsid w:val="003F6979"/>
    <w:rsid w:val="003F6C42"/>
    <w:rsid w:val="003F77EA"/>
    <w:rsid w:val="0040041C"/>
    <w:rsid w:val="00400733"/>
    <w:rsid w:val="00400CA0"/>
    <w:rsid w:val="00400E2A"/>
    <w:rsid w:val="004019FE"/>
    <w:rsid w:val="0040220E"/>
    <w:rsid w:val="00402E7A"/>
    <w:rsid w:val="00403066"/>
    <w:rsid w:val="004030EF"/>
    <w:rsid w:val="004036B8"/>
    <w:rsid w:val="004046AC"/>
    <w:rsid w:val="00404935"/>
    <w:rsid w:val="00404947"/>
    <w:rsid w:val="00405D32"/>
    <w:rsid w:val="00405F16"/>
    <w:rsid w:val="004060BF"/>
    <w:rsid w:val="0040789B"/>
    <w:rsid w:val="0040795F"/>
    <w:rsid w:val="00410871"/>
    <w:rsid w:val="004123A0"/>
    <w:rsid w:val="0041257A"/>
    <w:rsid w:val="00412B02"/>
    <w:rsid w:val="00412E28"/>
    <w:rsid w:val="004146B0"/>
    <w:rsid w:val="00415116"/>
    <w:rsid w:val="00415817"/>
    <w:rsid w:val="00416C87"/>
    <w:rsid w:val="004171E4"/>
    <w:rsid w:val="00421CC8"/>
    <w:rsid w:val="00421EC3"/>
    <w:rsid w:val="00422A66"/>
    <w:rsid w:val="00423548"/>
    <w:rsid w:val="00425827"/>
    <w:rsid w:val="00426BC5"/>
    <w:rsid w:val="004270EC"/>
    <w:rsid w:val="004273AC"/>
    <w:rsid w:val="00430E01"/>
    <w:rsid w:val="0043144E"/>
    <w:rsid w:val="00431804"/>
    <w:rsid w:val="004324FC"/>
    <w:rsid w:val="004344B3"/>
    <w:rsid w:val="00434701"/>
    <w:rsid w:val="00435651"/>
    <w:rsid w:val="00436B5F"/>
    <w:rsid w:val="004376F5"/>
    <w:rsid w:val="00437CAB"/>
    <w:rsid w:val="00442A38"/>
    <w:rsid w:val="00443492"/>
    <w:rsid w:val="004446E7"/>
    <w:rsid w:val="00444973"/>
    <w:rsid w:val="00444D18"/>
    <w:rsid w:val="0044509C"/>
    <w:rsid w:val="00445638"/>
    <w:rsid w:val="0044574D"/>
    <w:rsid w:val="00445936"/>
    <w:rsid w:val="004459A1"/>
    <w:rsid w:val="00445D88"/>
    <w:rsid w:val="00446BC4"/>
    <w:rsid w:val="00447CA1"/>
    <w:rsid w:val="00453168"/>
    <w:rsid w:val="004531C9"/>
    <w:rsid w:val="00455CC9"/>
    <w:rsid w:val="00456E1B"/>
    <w:rsid w:val="004578A6"/>
    <w:rsid w:val="00460A0C"/>
    <w:rsid w:val="00462108"/>
    <w:rsid w:val="00462289"/>
    <w:rsid w:val="004623F5"/>
    <w:rsid w:val="004632D4"/>
    <w:rsid w:val="00464519"/>
    <w:rsid w:val="0046658C"/>
    <w:rsid w:val="00466C38"/>
    <w:rsid w:val="004673F4"/>
    <w:rsid w:val="004675EA"/>
    <w:rsid w:val="004717D2"/>
    <w:rsid w:val="00471E51"/>
    <w:rsid w:val="00472449"/>
    <w:rsid w:val="004725C7"/>
    <w:rsid w:val="0047297A"/>
    <w:rsid w:val="00472DB0"/>
    <w:rsid w:val="004734BF"/>
    <w:rsid w:val="00474A83"/>
    <w:rsid w:val="00480347"/>
    <w:rsid w:val="00480C12"/>
    <w:rsid w:val="00480E87"/>
    <w:rsid w:val="00481064"/>
    <w:rsid w:val="0048243F"/>
    <w:rsid w:val="00482CAE"/>
    <w:rsid w:val="004833EB"/>
    <w:rsid w:val="004841DE"/>
    <w:rsid w:val="0048566F"/>
    <w:rsid w:val="00486B88"/>
    <w:rsid w:val="00487080"/>
    <w:rsid w:val="00487817"/>
    <w:rsid w:val="00490258"/>
    <w:rsid w:val="0049236A"/>
    <w:rsid w:val="00492653"/>
    <w:rsid w:val="00492F84"/>
    <w:rsid w:val="00493143"/>
    <w:rsid w:val="00493FCE"/>
    <w:rsid w:val="00494AD3"/>
    <w:rsid w:val="004951C5"/>
    <w:rsid w:val="00495D5F"/>
    <w:rsid w:val="00496B12"/>
    <w:rsid w:val="004977ED"/>
    <w:rsid w:val="004A0AA4"/>
    <w:rsid w:val="004A0BDE"/>
    <w:rsid w:val="004A3DFF"/>
    <w:rsid w:val="004A4D52"/>
    <w:rsid w:val="004A4F22"/>
    <w:rsid w:val="004A502D"/>
    <w:rsid w:val="004A57DE"/>
    <w:rsid w:val="004A6949"/>
    <w:rsid w:val="004A6AD3"/>
    <w:rsid w:val="004A7CB6"/>
    <w:rsid w:val="004B0054"/>
    <w:rsid w:val="004B12A5"/>
    <w:rsid w:val="004B23D6"/>
    <w:rsid w:val="004B3275"/>
    <w:rsid w:val="004B32E3"/>
    <w:rsid w:val="004B341E"/>
    <w:rsid w:val="004B3DC0"/>
    <w:rsid w:val="004B42DA"/>
    <w:rsid w:val="004B4ECA"/>
    <w:rsid w:val="004B5708"/>
    <w:rsid w:val="004B6AFF"/>
    <w:rsid w:val="004B71C2"/>
    <w:rsid w:val="004B73A8"/>
    <w:rsid w:val="004B7A14"/>
    <w:rsid w:val="004C11EC"/>
    <w:rsid w:val="004C308E"/>
    <w:rsid w:val="004C3EB4"/>
    <w:rsid w:val="004C4028"/>
    <w:rsid w:val="004C41C9"/>
    <w:rsid w:val="004C486B"/>
    <w:rsid w:val="004C4924"/>
    <w:rsid w:val="004C4C41"/>
    <w:rsid w:val="004C53B3"/>
    <w:rsid w:val="004C5643"/>
    <w:rsid w:val="004C59A1"/>
    <w:rsid w:val="004C5ED8"/>
    <w:rsid w:val="004C6D78"/>
    <w:rsid w:val="004C6E6F"/>
    <w:rsid w:val="004D113A"/>
    <w:rsid w:val="004D31BC"/>
    <w:rsid w:val="004D45D4"/>
    <w:rsid w:val="004D57BF"/>
    <w:rsid w:val="004D743C"/>
    <w:rsid w:val="004E0253"/>
    <w:rsid w:val="004E049B"/>
    <w:rsid w:val="004E05C3"/>
    <w:rsid w:val="004E15E7"/>
    <w:rsid w:val="004E197C"/>
    <w:rsid w:val="004E1F3E"/>
    <w:rsid w:val="004E28C6"/>
    <w:rsid w:val="004E2B1B"/>
    <w:rsid w:val="004E2DEF"/>
    <w:rsid w:val="004E2FBF"/>
    <w:rsid w:val="004E5389"/>
    <w:rsid w:val="004E540C"/>
    <w:rsid w:val="004E56A5"/>
    <w:rsid w:val="004E6412"/>
    <w:rsid w:val="004F027C"/>
    <w:rsid w:val="004F0FBD"/>
    <w:rsid w:val="004F15B2"/>
    <w:rsid w:val="004F1CB9"/>
    <w:rsid w:val="004F3024"/>
    <w:rsid w:val="004F32EC"/>
    <w:rsid w:val="004F5C94"/>
    <w:rsid w:val="004F6037"/>
    <w:rsid w:val="004F7288"/>
    <w:rsid w:val="004F7539"/>
    <w:rsid w:val="005004DA"/>
    <w:rsid w:val="0050134E"/>
    <w:rsid w:val="00501690"/>
    <w:rsid w:val="00501BED"/>
    <w:rsid w:val="005024FA"/>
    <w:rsid w:val="0050259B"/>
    <w:rsid w:val="005030A6"/>
    <w:rsid w:val="00503324"/>
    <w:rsid w:val="005035E5"/>
    <w:rsid w:val="0050382D"/>
    <w:rsid w:val="005046B5"/>
    <w:rsid w:val="005061FA"/>
    <w:rsid w:val="0050710D"/>
    <w:rsid w:val="005106B5"/>
    <w:rsid w:val="00510C86"/>
    <w:rsid w:val="005115FA"/>
    <w:rsid w:val="005123B1"/>
    <w:rsid w:val="00512F68"/>
    <w:rsid w:val="0051494C"/>
    <w:rsid w:val="00514B82"/>
    <w:rsid w:val="00514F9A"/>
    <w:rsid w:val="00515CF1"/>
    <w:rsid w:val="0051647F"/>
    <w:rsid w:val="005202B6"/>
    <w:rsid w:val="00522C35"/>
    <w:rsid w:val="00524D81"/>
    <w:rsid w:val="00526B0A"/>
    <w:rsid w:val="00527194"/>
    <w:rsid w:val="0052750C"/>
    <w:rsid w:val="0053004F"/>
    <w:rsid w:val="00530E94"/>
    <w:rsid w:val="00531510"/>
    <w:rsid w:val="005351D5"/>
    <w:rsid w:val="005363CE"/>
    <w:rsid w:val="00536EC2"/>
    <w:rsid w:val="00537871"/>
    <w:rsid w:val="005400CA"/>
    <w:rsid w:val="00540AFD"/>
    <w:rsid w:val="00541238"/>
    <w:rsid w:val="00541796"/>
    <w:rsid w:val="005433C1"/>
    <w:rsid w:val="00545775"/>
    <w:rsid w:val="00547CFA"/>
    <w:rsid w:val="0055126A"/>
    <w:rsid w:val="00552C98"/>
    <w:rsid w:val="00554091"/>
    <w:rsid w:val="00555AC2"/>
    <w:rsid w:val="00555B09"/>
    <w:rsid w:val="005573C0"/>
    <w:rsid w:val="00560A57"/>
    <w:rsid w:val="00561180"/>
    <w:rsid w:val="00561373"/>
    <w:rsid w:val="005624A6"/>
    <w:rsid w:val="00564D22"/>
    <w:rsid w:val="00564D2B"/>
    <w:rsid w:val="0056675D"/>
    <w:rsid w:val="00566D0A"/>
    <w:rsid w:val="00567104"/>
    <w:rsid w:val="00571A9E"/>
    <w:rsid w:val="00572AF9"/>
    <w:rsid w:val="00574A0C"/>
    <w:rsid w:val="005751C4"/>
    <w:rsid w:val="0057590D"/>
    <w:rsid w:val="0057718C"/>
    <w:rsid w:val="0058088E"/>
    <w:rsid w:val="005818FF"/>
    <w:rsid w:val="00582DD4"/>
    <w:rsid w:val="00583179"/>
    <w:rsid w:val="00583C0B"/>
    <w:rsid w:val="005849AF"/>
    <w:rsid w:val="0058590F"/>
    <w:rsid w:val="005859D6"/>
    <w:rsid w:val="005865F2"/>
    <w:rsid w:val="00590028"/>
    <w:rsid w:val="0059181B"/>
    <w:rsid w:val="005923F6"/>
    <w:rsid w:val="005926FB"/>
    <w:rsid w:val="0059277E"/>
    <w:rsid w:val="00593111"/>
    <w:rsid w:val="0059359A"/>
    <w:rsid w:val="00595F5E"/>
    <w:rsid w:val="00596286"/>
    <w:rsid w:val="0059681C"/>
    <w:rsid w:val="005A0242"/>
    <w:rsid w:val="005A0C73"/>
    <w:rsid w:val="005A1078"/>
    <w:rsid w:val="005A1DC4"/>
    <w:rsid w:val="005A232F"/>
    <w:rsid w:val="005A267D"/>
    <w:rsid w:val="005A2A4E"/>
    <w:rsid w:val="005A3E6B"/>
    <w:rsid w:val="005A5058"/>
    <w:rsid w:val="005A515D"/>
    <w:rsid w:val="005A55EE"/>
    <w:rsid w:val="005A72D3"/>
    <w:rsid w:val="005A7F9A"/>
    <w:rsid w:val="005B0917"/>
    <w:rsid w:val="005B299B"/>
    <w:rsid w:val="005B2B6A"/>
    <w:rsid w:val="005B2FB4"/>
    <w:rsid w:val="005B5826"/>
    <w:rsid w:val="005B77A8"/>
    <w:rsid w:val="005B7B67"/>
    <w:rsid w:val="005C0EFB"/>
    <w:rsid w:val="005C1C67"/>
    <w:rsid w:val="005C2B23"/>
    <w:rsid w:val="005C38F4"/>
    <w:rsid w:val="005C50D4"/>
    <w:rsid w:val="005C5BD7"/>
    <w:rsid w:val="005C6DD9"/>
    <w:rsid w:val="005C7C1F"/>
    <w:rsid w:val="005D0B04"/>
    <w:rsid w:val="005D1A18"/>
    <w:rsid w:val="005D20E5"/>
    <w:rsid w:val="005D4EF9"/>
    <w:rsid w:val="005D56D5"/>
    <w:rsid w:val="005D67B4"/>
    <w:rsid w:val="005D6EEE"/>
    <w:rsid w:val="005D77BC"/>
    <w:rsid w:val="005E5BD8"/>
    <w:rsid w:val="005E790D"/>
    <w:rsid w:val="005F0BC1"/>
    <w:rsid w:val="005F2D9E"/>
    <w:rsid w:val="005F3188"/>
    <w:rsid w:val="005F3342"/>
    <w:rsid w:val="005F3828"/>
    <w:rsid w:val="0060028C"/>
    <w:rsid w:val="006002F1"/>
    <w:rsid w:val="0060132F"/>
    <w:rsid w:val="00602372"/>
    <w:rsid w:val="00602CF6"/>
    <w:rsid w:val="00603196"/>
    <w:rsid w:val="00603E82"/>
    <w:rsid w:val="00603F8C"/>
    <w:rsid w:val="00607C44"/>
    <w:rsid w:val="00611565"/>
    <w:rsid w:val="00614CEE"/>
    <w:rsid w:val="00615380"/>
    <w:rsid w:val="00615B45"/>
    <w:rsid w:val="00615BAB"/>
    <w:rsid w:val="00616759"/>
    <w:rsid w:val="00616A2C"/>
    <w:rsid w:val="00616C25"/>
    <w:rsid w:val="00616EED"/>
    <w:rsid w:val="006173E7"/>
    <w:rsid w:val="00621A18"/>
    <w:rsid w:val="00621ADA"/>
    <w:rsid w:val="00622DB5"/>
    <w:rsid w:val="00622F18"/>
    <w:rsid w:val="00623BB1"/>
    <w:rsid w:val="00623DD1"/>
    <w:rsid w:val="00624CBE"/>
    <w:rsid w:val="0062511A"/>
    <w:rsid w:val="0063038C"/>
    <w:rsid w:val="00631B18"/>
    <w:rsid w:val="00632315"/>
    <w:rsid w:val="0063305E"/>
    <w:rsid w:val="00634BE6"/>
    <w:rsid w:val="00635431"/>
    <w:rsid w:val="00636A99"/>
    <w:rsid w:val="00637C21"/>
    <w:rsid w:val="006408D4"/>
    <w:rsid w:val="00642850"/>
    <w:rsid w:val="00642B3F"/>
    <w:rsid w:val="006431A7"/>
    <w:rsid w:val="00644D4F"/>
    <w:rsid w:val="006517CB"/>
    <w:rsid w:val="00651F49"/>
    <w:rsid w:val="00653385"/>
    <w:rsid w:val="0065375B"/>
    <w:rsid w:val="00655354"/>
    <w:rsid w:val="00655B85"/>
    <w:rsid w:val="00656E4E"/>
    <w:rsid w:val="00657DF8"/>
    <w:rsid w:val="00657EB0"/>
    <w:rsid w:val="006608FB"/>
    <w:rsid w:val="00660A06"/>
    <w:rsid w:val="00661728"/>
    <w:rsid w:val="0066175B"/>
    <w:rsid w:val="00661932"/>
    <w:rsid w:val="0066246E"/>
    <w:rsid w:val="00663875"/>
    <w:rsid w:val="00663974"/>
    <w:rsid w:val="00663BBE"/>
    <w:rsid w:val="006643A5"/>
    <w:rsid w:val="0066474F"/>
    <w:rsid w:val="00664C94"/>
    <w:rsid w:val="0066510F"/>
    <w:rsid w:val="00665E11"/>
    <w:rsid w:val="006672F9"/>
    <w:rsid w:val="006675BD"/>
    <w:rsid w:val="00667E96"/>
    <w:rsid w:val="00667FCA"/>
    <w:rsid w:val="006701ED"/>
    <w:rsid w:val="00674769"/>
    <w:rsid w:val="00674F0F"/>
    <w:rsid w:val="00675FB1"/>
    <w:rsid w:val="00676F20"/>
    <w:rsid w:val="0068095B"/>
    <w:rsid w:val="00683167"/>
    <w:rsid w:val="00683170"/>
    <w:rsid w:val="00683E88"/>
    <w:rsid w:val="00683EC5"/>
    <w:rsid w:val="006859F3"/>
    <w:rsid w:val="00686D9B"/>
    <w:rsid w:val="00687254"/>
    <w:rsid w:val="0068738A"/>
    <w:rsid w:val="006877FA"/>
    <w:rsid w:val="00687814"/>
    <w:rsid w:val="00690AD0"/>
    <w:rsid w:val="0069118E"/>
    <w:rsid w:val="00691262"/>
    <w:rsid w:val="006914DB"/>
    <w:rsid w:val="00692568"/>
    <w:rsid w:val="00692828"/>
    <w:rsid w:val="0069321F"/>
    <w:rsid w:val="0069379A"/>
    <w:rsid w:val="00696518"/>
    <w:rsid w:val="006A0EFB"/>
    <w:rsid w:val="006A1E4D"/>
    <w:rsid w:val="006A22B1"/>
    <w:rsid w:val="006A3D0F"/>
    <w:rsid w:val="006A43D4"/>
    <w:rsid w:val="006A440C"/>
    <w:rsid w:val="006A6649"/>
    <w:rsid w:val="006A6C23"/>
    <w:rsid w:val="006A7FB4"/>
    <w:rsid w:val="006B09C4"/>
    <w:rsid w:val="006B0CE5"/>
    <w:rsid w:val="006B12B6"/>
    <w:rsid w:val="006B206E"/>
    <w:rsid w:val="006B2B5A"/>
    <w:rsid w:val="006B34B3"/>
    <w:rsid w:val="006B40E6"/>
    <w:rsid w:val="006B4338"/>
    <w:rsid w:val="006B48BA"/>
    <w:rsid w:val="006B5364"/>
    <w:rsid w:val="006B5500"/>
    <w:rsid w:val="006B6E23"/>
    <w:rsid w:val="006B7948"/>
    <w:rsid w:val="006C1B20"/>
    <w:rsid w:val="006C1C46"/>
    <w:rsid w:val="006C1D39"/>
    <w:rsid w:val="006C2C2E"/>
    <w:rsid w:val="006C2D90"/>
    <w:rsid w:val="006C409F"/>
    <w:rsid w:val="006C48C1"/>
    <w:rsid w:val="006C5BEB"/>
    <w:rsid w:val="006C65DB"/>
    <w:rsid w:val="006C6D5C"/>
    <w:rsid w:val="006C7221"/>
    <w:rsid w:val="006D0982"/>
    <w:rsid w:val="006D0CDC"/>
    <w:rsid w:val="006D0E9A"/>
    <w:rsid w:val="006D2FF8"/>
    <w:rsid w:val="006D36F9"/>
    <w:rsid w:val="006D4453"/>
    <w:rsid w:val="006D4AAC"/>
    <w:rsid w:val="006D6736"/>
    <w:rsid w:val="006E681B"/>
    <w:rsid w:val="006F12CB"/>
    <w:rsid w:val="006F2065"/>
    <w:rsid w:val="006F3E95"/>
    <w:rsid w:val="006F56C2"/>
    <w:rsid w:val="006F5BEB"/>
    <w:rsid w:val="006F5E45"/>
    <w:rsid w:val="0070027F"/>
    <w:rsid w:val="007005ED"/>
    <w:rsid w:val="00700A15"/>
    <w:rsid w:val="00700B7E"/>
    <w:rsid w:val="00700D7A"/>
    <w:rsid w:val="0070278A"/>
    <w:rsid w:val="00704D0D"/>
    <w:rsid w:val="007051CE"/>
    <w:rsid w:val="00706C6F"/>
    <w:rsid w:val="0070738F"/>
    <w:rsid w:val="00707E0F"/>
    <w:rsid w:val="007105A4"/>
    <w:rsid w:val="00712C4A"/>
    <w:rsid w:val="00712D2D"/>
    <w:rsid w:val="00713542"/>
    <w:rsid w:val="00714768"/>
    <w:rsid w:val="007155BE"/>
    <w:rsid w:val="00715619"/>
    <w:rsid w:val="00715EC8"/>
    <w:rsid w:val="00716548"/>
    <w:rsid w:val="007201E3"/>
    <w:rsid w:val="00720213"/>
    <w:rsid w:val="00721970"/>
    <w:rsid w:val="00722009"/>
    <w:rsid w:val="00722F88"/>
    <w:rsid w:val="007234C5"/>
    <w:rsid w:val="007248BA"/>
    <w:rsid w:val="00724CD7"/>
    <w:rsid w:val="00725918"/>
    <w:rsid w:val="00725BDD"/>
    <w:rsid w:val="00725F2B"/>
    <w:rsid w:val="007264AA"/>
    <w:rsid w:val="0072668A"/>
    <w:rsid w:val="00726BAE"/>
    <w:rsid w:val="0072716C"/>
    <w:rsid w:val="00727E3C"/>
    <w:rsid w:val="0073077B"/>
    <w:rsid w:val="00732563"/>
    <w:rsid w:val="00733994"/>
    <w:rsid w:val="00734062"/>
    <w:rsid w:val="00735337"/>
    <w:rsid w:val="00737C75"/>
    <w:rsid w:val="007430FE"/>
    <w:rsid w:val="00743B7D"/>
    <w:rsid w:val="0074507E"/>
    <w:rsid w:val="00745240"/>
    <w:rsid w:val="00747720"/>
    <w:rsid w:val="007503D6"/>
    <w:rsid w:val="00750864"/>
    <w:rsid w:val="00751F73"/>
    <w:rsid w:val="007534F0"/>
    <w:rsid w:val="0075379C"/>
    <w:rsid w:val="00753B83"/>
    <w:rsid w:val="00753F82"/>
    <w:rsid w:val="00755A18"/>
    <w:rsid w:val="00755AD1"/>
    <w:rsid w:val="00756809"/>
    <w:rsid w:val="00756892"/>
    <w:rsid w:val="00756DA2"/>
    <w:rsid w:val="00756E0C"/>
    <w:rsid w:val="00757AF6"/>
    <w:rsid w:val="00761F61"/>
    <w:rsid w:val="007621B4"/>
    <w:rsid w:val="00762739"/>
    <w:rsid w:val="00762A4A"/>
    <w:rsid w:val="00762EF9"/>
    <w:rsid w:val="00763720"/>
    <w:rsid w:val="007637B9"/>
    <w:rsid w:val="007667AE"/>
    <w:rsid w:val="0076777E"/>
    <w:rsid w:val="0077046F"/>
    <w:rsid w:val="00771DD9"/>
    <w:rsid w:val="00774503"/>
    <w:rsid w:val="00775247"/>
    <w:rsid w:val="00775583"/>
    <w:rsid w:val="0077619D"/>
    <w:rsid w:val="007764E9"/>
    <w:rsid w:val="007774B1"/>
    <w:rsid w:val="007776AF"/>
    <w:rsid w:val="00780094"/>
    <w:rsid w:val="00780682"/>
    <w:rsid w:val="00780C77"/>
    <w:rsid w:val="00780F85"/>
    <w:rsid w:val="00781E98"/>
    <w:rsid w:val="00783955"/>
    <w:rsid w:val="00784257"/>
    <w:rsid w:val="00784565"/>
    <w:rsid w:val="0078525B"/>
    <w:rsid w:val="00786FB4"/>
    <w:rsid w:val="00790286"/>
    <w:rsid w:val="007917E0"/>
    <w:rsid w:val="00792862"/>
    <w:rsid w:val="007934FA"/>
    <w:rsid w:val="00793995"/>
    <w:rsid w:val="00795534"/>
    <w:rsid w:val="00795727"/>
    <w:rsid w:val="007A03C5"/>
    <w:rsid w:val="007A0593"/>
    <w:rsid w:val="007A0736"/>
    <w:rsid w:val="007A0AC2"/>
    <w:rsid w:val="007A14B8"/>
    <w:rsid w:val="007A165C"/>
    <w:rsid w:val="007A19B7"/>
    <w:rsid w:val="007A1FF2"/>
    <w:rsid w:val="007A2169"/>
    <w:rsid w:val="007A2383"/>
    <w:rsid w:val="007A2AC9"/>
    <w:rsid w:val="007A2E0E"/>
    <w:rsid w:val="007A40EF"/>
    <w:rsid w:val="007A5ACE"/>
    <w:rsid w:val="007A5F0F"/>
    <w:rsid w:val="007A7591"/>
    <w:rsid w:val="007B08CB"/>
    <w:rsid w:val="007B419C"/>
    <w:rsid w:val="007B5AD0"/>
    <w:rsid w:val="007B5EA4"/>
    <w:rsid w:val="007B75E9"/>
    <w:rsid w:val="007B7CC2"/>
    <w:rsid w:val="007C0B1B"/>
    <w:rsid w:val="007C32FA"/>
    <w:rsid w:val="007C3399"/>
    <w:rsid w:val="007C4068"/>
    <w:rsid w:val="007D0361"/>
    <w:rsid w:val="007D231E"/>
    <w:rsid w:val="007D42EC"/>
    <w:rsid w:val="007D4D50"/>
    <w:rsid w:val="007D510C"/>
    <w:rsid w:val="007D5C53"/>
    <w:rsid w:val="007E0002"/>
    <w:rsid w:val="007E0017"/>
    <w:rsid w:val="007E0253"/>
    <w:rsid w:val="007E03A8"/>
    <w:rsid w:val="007E06A9"/>
    <w:rsid w:val="007E20DA"/>
    <w:rsid w:val="007E242F"/>
    <w:rsid w:val="007E32AF"/>
    <w:rsid w:val="007E4C92"/>
    <w:rsid w:val="007E5373"/>
    <w:rsid w:val="007E54B5"/>
    <w:rsid w:val="007E5735"/>
    <w:rsid w:val="007E5CAD"/>
    <w:rsid w:val="007E5FCB"/>
    <w:rsid w:val="007E65FD"/>
    <w:rsid w:val="007F0555"/>
    <w:rsid w:val="007F0713"/>
    <w:rsid w:val="007F27EF"/>
    <w:rsid w:val="007F29C2"/>
    <w:rsid w:val="007F3979"/>
    <w:rsid w:val="007F3CDD"/>
    <w:rsid w:val="007F403E"/>
    <w:rsid w:val="007F4DA3"/>
    <w:rsid w:val="007F65E5"/>
    <w:rsid w:val="007F68FE"/>
    <w:rsid w:val="007F7EF3"/>
    <w:rsid w:val="007F7FB8"/>
    <w:rsid w:val="0080016B"/>
    <w:rsid w:val="00800C5C"/>
    <w:rsid w:val="00802EEA"/>
    <w:rsid w:val="00804024"/>
    <w:rsid w:val="00807C8B"/>
    <w:rsid w:val="00810A2D"/>
    <w:rsid w:val="00810BC5"/>
    <w:rsid w:val="00810BCD"/>
    <w:rsid w:val="00811B7A"/>
    <w:rsid w:val="00811FF9"/>
    <w:rsid w:val="008120FF"/>
    <w:rsid w:val="00812F08"/>
    <w:rsid w:val="0081394F"/>
    <w:rsid w:val="00813BA6"/>
    <w:rsid w:val="00815486"/>
    <w:rsid w:val="008155F5"/>
    <w:rsid w:val="00815FF2"/>
    <w:rsid w:val="0081607E"/>
    <w:rsid w:val="008164A7"/>
    <w:rsid w:val="00817B88"/>
    <w:rsid w:val="00823989"/>
    <w:rsid w:val="00827273"/>
    <w:rsid w:val="00827CB5"/>
    <w:rsid w:val="00827F10"/>
    <w:rsid w:val="00831EA8"/>
    <w:rsid w:val="008329BA"/>
    <w:rsid w:val="00834C6C"/>
    <w:rsid w:val="00836B52"/>
    <w:rsid w:val="00837BA0"/>
    <w:rsid w:val="00840184"/>
    <w:rsid w:val="00840EC9"/>
    <w:rsid w:val="008424D5"/>
    <w:rsid w:val="00842586"/>
    <w:rsid w:val="0084426E"/>
    <w:rsid w:val="00847469"/>
    <w:rsid w:val="008475A6"/>
    <w:rsid w:val="00847750"/>
    <w:rsid w:val="00851897"/>
    <w:rsid w:val="00853295"/>
    <w:rsid w:val="00853DA7"/>
    <w:rsid w:val="00855EAA"/>
    <w:rsid w:val="008562C1"/>
    <w:rsid w:val="00857319"/>
    <w:rsid w:val="00857703"/>
    <w:rsid w:val="0085772E"/>
    <w:rsid w:val="00860584"/>
    <w:rsid w:val="0086117B"/>
    <w:rsid w:val="008625CD"/>
    <w:rsid w:val="00862AA6"/>
    <w:rsid w:val="008638A7"/>
    <w:rsid w:val="00863B15"/>
    <w:rsid w:val="00863FF0"/>
    <w:rsid w:val="00864BA0"/>
    <w:rsid w:val="0086567F"/>
    <w:rsid w:val="00865832"/>
    <w:rsid w:val="00866132"/>
    <w:rsid w:val="0086659E"/>
    <w:rsid w:val="00866F54"/>
    <w:rsid w:val="00870A0A"/>
    <w:rsid w:val="0087176B"/>
    <w:rsid w:val="00871D5D"/>
    <w:rsid w:val="00871F7E"/>
    <w:rsid w:val="00873728"/>
    <w:rsid w:val="00875073"/>
    <w:rsid w:val="00875B1A"/>
    <w:rsid w:val="00875D0D"/>
    <w:rsid w:val="00877DBD"/>
    <w:rsid w:val="008815C4"/>
    <w:rsid w:val="00881743"/>
    <w:rsid w:val="008818F5"/>
    <w:rsid w:val="0088264B"/>
    <w:rsid w:val="00882D09"/>
    <w:rsid w:val="00882E11"/>
    <w:rsid w:val="00884358"/>
    <w:rsid w:val="00884733"/>
    <w:rsid w:val="008850A7"/>
    <w:rsid w:val="008862F9"/>
    <w:rsid w:val="00891790"/>
    <w:rsid w:val="00892917"/>
    <w:rsid w:val="008960C6"/>
    <w:rsid w:val="00896F3E"/>
    <w:rsid w:val="00897AE8"/>
    <w:rsid w:val="008A0CAB"/>
    <w:rsid w:val="008A1B5C"/>
    <w:rsid w:val="008A43F7"/>
    <w:rsid w:val="008A51DF"/>
    <w:rsid w:val="008A63CA"/>
    <w:rsid w:val="008A7E77"/>
    <w:rsid w:val="008B02B4"/>
    <w:rsid w:val="008B1307"/>
    <w:rsid w:val="008B1968"/>
    <w:rsid w:val="008B2071"/>
    <w:rsid w:val="008B22DA"/>
    <w:rsid w:val="008B2F49"/>
    <w:rsid w:val="008B2F51"/>
    <w:rsid w:val="008B2FB7"/>
    <w:rsid w:val="008B5EDC"/>
    <w:rsid w:val="008B65BF"/>
    <w:rsid w:val="008B7DFB"/>
    <w:rsid w:val="008C015A"/>
    <w:rsid w:val="008C279B"/>
    <w:rsid w:val="008C35D5"/>
    <w:rsid w:val="008C3F14"/>
    <w:rsid w:val="008C4228"/>
    <w:rsid w:val="008C4F39"/>
    <w:rsid w:val="008C6C0B"/>
    <w:rsid w:val="008C6DEB"/>
    <w:rsid w:val="008C7922"/>
    <w:rsid w:val="008D1433"/>
    <w:rsid w:val="008D1D34"/>
    <w:rsid w:val="008D241A"/>
    <w:rsid w:val="008D3114"/>
    <w:rsid w:val="008D4096"/>
    <w:rsid w:val="008D45CC"/>
    <w:rsid w:val="008D4783"/>
    <w:rsid w:val="008D5274"/>
    <w:rsid w:val="008D5A98"/>
    <w:rsid w:val="008E0A20"/>
    <w:rsid w:val="008E117D"/>
    <w:rsid w:val="008E3143"/>
    <w:rsid w:val="008E35B4"/>
    <w:rsid w:val="008E5F52"/>
    <w:rsid w:val="008E795F"/>
    <w:rsid w:val="008F069D"/>
    <w:rsid w:val="008F09E4"/>
    <w:rsid w:val="008F1448"/>
    <w:rsid w:val="008F1622"/>
    <w:rsid w:val="008F2C8C"/>
    <w:rsid w:val="008F5228"/>
    <w:rsid w:val="008F53D3"/>
    <w:rsid w:val="008F77A1"/>
    <w:rsid w:val="0090151F"/>
    <w:rsid w:val="00901DC1"/>
    <w:rsid w:val="009027D0"/>
    <w:rsid w:val="00902974"/>
    <w:rsid w:val="00902A8A"/>
    <w:rsid w:val="00903745"/>
    <w:rsid w:val="00904539"/>
    <w:rsid w:val="0090597B"/>
    <w:rsid w:val="00905D09"/>
    <w:rsid w:val="009075AF"/>
    <w:rsid w:val="00910825"/>
    <w:rsid w:val="00911420"/>
    <w:rsid w:val="00913F75"/>
    <w:rsid w:val="00914827"/>
    <w:rsid w:val="00914AA2"/>
    <w:rsid w:val="00915B64"/>
    <w:rsid w:val="00917975"/>
    <w:rsid w:val="00921323"/>
    <w:rsid w:val="00922978"/>
    <w:rsid w:val="009232B9"/>
    <w:rsid w:val="00923E88"/>
    <w:rsid w:val="009254BC"/>
    <w:rsid w:val="009259C5"/>
    <w:rsid w:val="00926753"/>
    <w:rsid w:val="00926BAD"/>
    <w:rsid w:val="00927B6E"/>
    <w:rsid w:val="0093063C"/>
    <w:rsid w:val="00930B28"/>
    <w:rsid w:val="00930F6A"/>
    <w:rsid w:val="00932347"/>
    <w:rsid w:val="00932E09"/>
    <w:rsid w:val="00933322"/>
    <w:rsid w:val="00933AE8"/>
    <w:rsid w:val="00934CF1"/>
    <w:rsid w:val="00934D6E"/>
    <w:rsid w:val="0093500F"/>
    <w:rsid w:val="009351B6"/>
    <w:rsid w:val="0093586B"/>
    <w:rsid w:val="00936825"/>
    <w:rsid w:val="009372AD"/>
    <w:rsid w:val="00941720"/>
    <w:rsid w:val="00942A94"/>
    <w:rsid w:val="009439D9"/>
    <w:rsid w:val="009443E9"/>
    <w:rsid w:val="0094496D"/>
    <w:rsid w:val="00946DCE"/>
    <w:rsid w:val="009471AB"/>
    <w:rsid w:val="0094762B"/>
    <w:rsid w:val="009476C6"/>
    <w:rsid w:val="00947DF1"/>
    <w:rsid w:val="009503CD"/>
    <w:rsid w:val="00950621"/>
    <w:rsid w:val="00950B96"/>
    <w:rsid w:val="009515B1"/>
    <w:rsid w:val="00951A73"/>
    <w:rsid w:val="00952343"/>
    <w:rsid w:val="009548DE"/>
    <w:rsid w:val="00954C2E"/>
    <w:rsid w:val="00954DD6"/>
    <w:rsid w:val="00955278"/>
    <w:rsid w:val="00956EB4"/>
    <w:rsid w:val="00957793"/>
    <w:rsid w:val="009607D5"/>
    <w:rsid w:val="00961303"/>
    <w:rsid w:val="009614AA"/>
    <w:rsid w:val="00961B6F"/>
    <w:rsid w:val="00961DF3"/>
    <w:rsid w:val="009625B0"/>
    <w:rsid w:val="009626EF"/>
    <w:rsid w:val="00964142"/>
    <w:rsid w:val="00964503"/>
    <w:rsid w:val="0096480E"/>
    <w:rsid w:val="009656DE"/>
    <w:rsid w:val="00965C62"/>
    <w:rsid w:val="00966997"/>
    <w:rsid w:val="00967F59"/>
    <w:rsid w:val="009708C1"/>
    <w:rsid w:val="00973C9F"/>
    <w:rsid w:val="00974555"/>
    <w:rsid w:val="0097518C"/>
    <w:rsid w:val="009773BE"/>
    <w:rsid w:val="009803C9"/>
    <w:rsid w:val="00980E67"/>
    <w:rsid w:val="0098348F"/>
    <w:rsid w:val="00983B0D"/>
    <w:rsid w:val="009849A8"/>
    <w:rsid w:val="00984ACB"/>
    <w:rsid w:val="00985109"/>
    <w:rsid w:val="009853F0"/>
    <w:rsid w:val="009863A1"/>
    <w:rsid w:val="00990555"/>
    <w:rsid w:val="00990A84"/>
    <w:rsid w:val="00993C43"/>
    <w:rsid w:val="00993CC3"/>
    <w:rsid w:val="00994064"/>
    <w:rsid w:val="00995D7E"/>
    <w:rsid w:val="009A02E1"/>
    <w:rsid w:val="009A0C3A"/>
    <w:rsid w:val="009A4323"/>
    <w:rsid w:val="009A4710"/>
    <w:rsid w:val="009A4819"/>
    <w:rsid w:val="009A5330"/>
    <w:rsid w:val="009A715B"/>
    <w:rsid w:val="009B13A9"/>
    <w:rsid w:val="009B15B6"/>
    <w:rsid w:val="009B2D18"/>
    <w:rsid w:val="009B4217"/>
    <w:rsid w:val="009B4EE4"/>
    <w:rsid w:val="009B58B0"/>
    <w:rsid w:val="009B5A31"/>
    <w:rsid w:val="009B654D"/>
    <w:rsid w:val="009B68FA"/>
    <w:rsid w:val="009B7A42"/>
    <w:rsid w:val="009B7E9C"/>
    <w:rsid w:val="009C042A"/>
    <w:rsid w:val="009C053A"/>
    <w:rsid w:val="009C0715"/>
    <w:rsid w:val="009C2DB4"/>
    <w:rsid w:val="009C42F0"/>
    <w:rsid w:val="009C5C52"/>
    <w:rsid w:val="009C5D8B"/>
    <w:rsid w:val="009C779B"/>
    <w:rsid w:val="009D0B4D"/>
    <w:rsid w:val="009D181E"/>
    <w:rsid w:val="009D2242"/>
    <w:rsid w:val="009D49B7"/>
    <w:rsid w:val="009D532E"/>
    <w:rsid w:val="009D7381"/>
    <w:rsid w:val="009E0C3E"/>
    <w:rsid w:val="009E17C1"/>
    <w:rsid w:val="009E19C9"/>
    <w:rsid w:val="009E29A3"/>
    <w:rsid w:val="009E2A04"/>
    <w:rsid w:val="009E34A2"/>
    <w:rsid w:val="009E660D"/>
    <w:rsid w:val="009E6D81"/>
    <w:rsid w:val="009E78A5"/>
    <w:rsid w:val="009F059C"/>
    <w:rsid w:val="009F0D23"/>
    <w:rsid w:val="009F1433"/>
    <w:rsid w:val="009F19F8"/>
    <w:rsid w:val="009F3EE8"/>
    <w:rsid w:val="009F4FD8"/>
    <w:rsid w:val="009F5055"/>
    <w:rsid w:val="009F53A7"/>
    <w:rsid w:val="009F6D7F"/>
    <w:rsid w:val="00A03D66"/>
    <w:rsid w:val="00A0477F"/>
    <w:rsid w:val="00A1094F"/>
    <w:rsid w:val="00A10DCB"/>
    <w:rsid w:val="00A11AB1"/>
    <w:rsid w:val="00A124E8"/>
    <w:rsid w:val="00A12D26"/>
    <w:rsid w:val="00A12F9F"/>
    <w:rsid w:val="00A13B6B"/>
    <w:rsid w:val="00A1448D"/>
    <w:rsid w:val="00A1552D"/>
    <w:rsid w:val="00A16CD7"/>
    <w:rsid w:val="00A16D82"/>
    <w:rsid w:val="00A172C4"/>
    <w:rsid w:val="00A17A23"/>
    <w:rsid w:val="00A2036B"/>
    <w:rsid w:val="00A20FEF"/>
    <w:rsid w:val="00A233D9"/>
    <w:rsid w:val="00A24E7A"/>
    <w:rsid w:val="00A25E32"/>
    <w:rsid w:val="00A26729"/>
    <w:rsid w:val="00A305AD"/>
    <w:rsid w:val="00A314D2"/>
    <w:rsid w:val="00A31DDC"/>
    <w:rsid w:val="00A326F3"/>
    <w:rsid w:val="00A3372D"/>
    <w:rsid w:val="00A353AD"/>
    <w:rsid w:val="00A3661A"/>
    <w:rsid w:val="00A3722A"/>
    <w:rsid w:val="00A400A1"/>
    <w:rsid w:val="00A40ED1"/>
    <w:rsid w:val="00A413DA"/>
    <w:rsid w:val="00A42F09"/>
    <w:rsid w:val="00A4389F"/>
    <w:rsid w:val="00A45233"/>
    <w:rsid w:val="00A4524D"/>
    <w:rsid w:val="00A46344"/>
    <w:rsid w:val="00A4783A"/>
    <w:rsid w:val="00A47C1F"/>
    <w:rsid w:val="00A47D10"/>
    <w:rsid w:val="00A47D8A"/>
    <w:rsid w:val="00A5090C"/>
    <w:rsid w:val="00A53F5D"/>
    <w:rsid w:val="00A54CC5"/>
    <w:rsid w:val="00A558AB"/>
    <w:rsid w:val="00A55996"/>
    <w:rsid w:val="00A56527"/>
    <w:rsid w:val="00A576AA"/>
    <w:rsid w:val="00A61A5A"/>
    <w:rsid w:val="00A626B1"/>
    <w:rsid w:val="00A6380B"/>
    <w:rsid w:val="00A65588"/>
    <w:rsid w:val="00A6585F"/>
    <w:rsid w:val="00A65ADB"/>
    <w:rsid w:val="00A700A9"/>
    <w:rsid w:val="00A7086D"/>
    <w:rsid w:val="00A71647"/>
    <w:rsid w:val="00A727D4"/>
    <w:rsid w:val="00A75FBA"/>
    <w:rsid w:val="00A76523"/>
    <w:rsid w:val="00A76CAB"/>
    <w:rsid w:val="00A770CC"/>
    <w:rsid w:val="00A80630"/>
    <w:rsid w:val="00A83875"/>
    <w:rsid w:val="00A85514"/>
    <w:rsid w:val="00A87517"/>
    <w:rsid w:val="00A87631"/>
    <w:rsid w:val="00A902EE"/>
    <w:rsid w:val="00A917B6"/>
    <w:rsid w:val="00A92A86"/>
    <w:rsid w:val="00A93AAB"/>
    <w:rsid w:val="00A93D46"/>
    <w:rsid w:val="00A9490E"/>
    <w:rsid w:val="00A9509B"/>
    <w:rsid w:val="00A95927"/>
    <w:rsid w:val="00A97C7C"/>
    <w:rsid w:val="00AA01CC"/>
    <w:rsid w:val="00AA077C"/>
    <w:rsid w:val="00AA1B52"/>
    <w:rsid w:val="00AA1BF4"/>
    <w:rsid w:val="00AA30FD"/>
    <w:rsid w:val="00AA3728"/>
    <w:rsid w:val="00AA439B"/>
    <w:rsid w:val="00AA44CD"/>
    <w:rsid w:val="00AA5512"/>
    <w:rsid w:val="00AB0CE1"/>
    <w:rsid w:val="00AB1A97"/>
    <w:rsid w:val="00AB2566"/>
    <w:rsid w:val="00AB27A5"/>
    <w:rsid w:val="00AB4C14"/>
    <w:rsid w:val="00AB5DFF"/>
    <w:rsid w:val="00AB79CD"/>
    <w:rsid w:val="00AC20C8"/>
    <w:rsid w:val="00AC2469"/>
    <w:rsid w:val="00AC2A2D"/>
    <w:rsid w:val="00AC3138"/>
    <w:rsid w:val="00AC4363"/>
    <w:rsid w:val="00AC5B2A"/>
    <w:rsid w:val="00AC6730"/>
    <w:rsid w:val="00AC6F9B"/>
    <w:rsid w:val="00AD1144"/>
    <w:rsid w:val="00AD181D"/>
    <w:rsid w:val="00AD49CA"/>
    <w:rsid w:val="00AD4FE6"/>
    <w:rsid w:val="00AD5584"/>
    <w:rsid w:val="00AD58CE"/>
    <w:rsid w:val="00AD5A1B"/>
    <w:rsid w:val="00AD5E8E"/>
    <w:rsid w:val="00AD62BA"/>
    <w:rsid w:val="00AD668D"/>
    <w:rsid w:val="00AD6F31"/>
    <w:rsid w:val="00AD7667"/>
    <w:rsid w:val="00AE170E"/>
    <w:rsid w:val="00AE3289"/>
    <w:rsid w:val="00AE4243"/>
    <w:rsid w:val="00AE429A"/>
    <w:rsid w:val="00AE42EE"/>
    <w:rsid w:val="00AE59C5"/>
    <w:rsid w:val="00AE6E5C"/>
    <w:rsid w:val="00AE7FB9"/>
    <w:rsid w:val="00AF0636"/>
    <w:rsid w:val="00AF08DA"/>
    <w:rsid w:val="00AF0DC8"/>
    <w:rsid w:val="00AF1C53"/>
    <w:rsid w:val="00AF42D8"/>
    <w:rsid w:val="00AF4A6E"/>
    <w:rsid w:val="00AF5D1E"/>
    <w:rsid w:val="00AF61CD"/>
    <w:rsid w:val="00AF745C"/>
    <w:rsid w:val="00AF7BEC"/>
    <w:rsid w:val="00AF7FC2"/>
    <w:rsid w:val="00B0044D"/>
    <w:rsid w:val="00B0050E"/>
    <w:rsid w:val="00B02F1F"/>
    <w:rsid w:val="00B046CC"/>
    <w:rsid w:val="00B0497A"/>
    <w:rsid w:val="00B10596"/>
    <w:rsid w:val="00B10B1A"/>
    <w:rsid w:val="00B1240F"/>
    <w:rsid w:val="00B136B1"/>
    <w:rsid w:val="00B145C0"/>
    <w:rsid w:val="00B154E8"/>
    <w:rsid w:val="00B155D1"/>
    <w:rsid w:val="00B1603E"/>
    <w:rsid w:val="00B173B2"/>
    <w:rsid w:val="00B17C24"/>
    <w:rsid w:val="00B17F2B"/>
    <w:rsid w:val="00B20F60"/>
    <w:rsid w:val="00B21543"/>
    <w:rsid w:val="00B22694"/>
    <w:rsid w:val="00B23254"/>
    <w:rsid w:val="00B23798"/>
    <w:rsid w:val="00B23C9C"/>
    <w:rsid w:val="00B267E5"/>
    <w:rsid w:val="00B26D4F"/>
    <w:rsid w:val="00B27265"/>
    <w:rsid w:val="00B30511"/>
    <w:rsid w:val="00B33DB0"/>
    <w:rsid w:val="00B34BB2"/>
    <w:rsid w:val="00B3531C"/>
    <w:rsid w:val="00B35366"/>
    <w:rsid w:val="00B3547F"/>
    <w:rsid w:val="00B35E07"/>
    <w:rsid w:val="00B35FAD"/>
    <w:rsid w:val="00B366D8"/>
    <w:rsid w:val="00B36979"/>
    <w:rsid w:val="00B374CD"/>
    <w:rsid w:val="00B37D8C"/>
    <w:rsid w:val="00B4037B"/>
    <w:rsid w:val="00B4077A"/>
    <w:rsid w:val="00B40DB5"/>
    <w:rsid w:val="00B412AA"/>
    <w:rsid w:val="00B42EC1"/>
    <w:rsid w:val="00B4389B"/>
    <w:rsid w:val="00B44EB5"/>
    <w:rsid w:val="00B453F4"/>
    <w:rsid w:val="00B50E34"/>
    <w:rsid w:val="00B5107E"/>
    <w:rsid w:val="00B524EE"/>
    <w:rsid w:val="00B52AA9"/>
    <w:rsid w:val="00B547DF"/>
    <w:rsid w:val="00B5490A"/>
    <w:rsid w:val="00B55DD0"/>
    <w:rsid w:val="00B568E8"/>
    <w:rsid w:val="00B5690D"/>
    <w:rsid w:val="00B56A4D"/>
    <w:rsid w:val="00B57C5E"/>
    <w:rsid w:val="00B57D4F"/>
    <w:rsid w:val="00B61BB6"/>
    <w:rsid w:val="00B624DF"/>
    <w:rsid w:val="00B63BCE"/>
    <w:rsid w:val="00B64100"/>
    <w:rsid w:val="00B65330"/>
    <w:rsid w:val="00B70139"/>
    <w:rsid w:val="00B707D0"/>
    <w:rsid w:val="00B71299"/>
    <w:rsid w:val="00B71AC4"/>
    <w:rsid w:val="00B722A9"/>
    <w:rsid w:val="00B734D4"/>
    <w:rsid w:val="00B73D2C"/>
    <w:rsid w:val="00B746C9"/>
    <w:rsid w:val="00B74E04"/>
    <w:rsid w:val="00B74FDA"/>
    <w:rsid w:val="00B7718D"/>
    <w:rsid w:val="00B779BE"/>
    <w:rsid w:val="00B80163"/>
    <w:rsid w:val="00B82439"/>
    <w:rsid w:val="00B82D61"/>
    <w:rsid w:val="00B8309E"/>
    <w:rsid w:val="00B83DF6"/>
    <w:rsid w:val="00B83F8C"/>
    <w:rsid w:val="00B86E6B"/>
    <w:rsid w:val="00B8700B"/>
    <w:rsid w:val="00B8744A"/>
    <w:rsid w:val="00B90740"/>
    <w:rsid w:val="00B90E12"/>
    <w:rsid w:val="00B91F1A"/>
    <w:rsid w:val="00B941F3"/>
    <w:rsid w:val="00B9464D"/>
    <w:rsid w:val="00B94C60"/>
    <w:rsid w:val="00B953C3"/>
    <w:rsid w:val="00B95F4B"/>
    <w:rsid w:val="00B96324"/>
    <w:rsid w:val="00B964FE"/>
    <w:rsid w:val="00B96C35"/>
    <w:rsid w:val="00BA1332"/>
    <w:rsid w:val="00BA1858"/>
    <w:rsid w:val="00BA18EA"/>
    <w:rsid w:val="00BA1CA8"/>
    <w:rsid w:val="00BA1DB9"/>
    <w:rsid w:val="00BA29D9"/>
    <w:rsid w:val="00BA2EF1"/>
    <w:rsid w:val="00BA4377"/>
    <w:rsid w:val="00BA53F0"/>
    <w:rsid w:val="00BA5993"/>
    <w:rsid w:val="00BA5BB9"/>
    <w:rsid w:val="00BA632B"/>
    <w:rsid w:val="00BA7CC5"/>
    <w:rsid w:val="00BB0B5C"/>
    <w:rsid w:val="00BB0D52"/>
    <w:rsid w:val="00BB1939"/>
    <w:rsid w:val="00BB32D8"/>
    <w:rsid w:val="00BB3A31"/>
    <w:rsid w:val="00BB4E2D"/>
    <w:rsid w:val="00BB50B6"/>
    <w:rsid w:val="00BB510A"/>
    <w:rsid w:val="00BB5214"/>
    <w:rsid w:val="00BB64E3"/>
    <w:rsid w:val="00BB6953"/>
    <w:rsid w:val="00BB778F"/>
    <w:rsid w:val="00BC23C2"/>
    <w:rsid w:val="00BC273A"/>
    <w:rsid w:val="00BC50F5"/>
    <w:rsid w:val="00BC6773"/>
    <w:rsid w:val="00BC6E31"/>
    <w:rsid w:val="00BD013F"/>
    <w:rsid w:val="00BD179C"/>
    <w:rsid w:val="00BD1DDA"/>
    <w:rsid w:val="00BD2C64"/>
    <w:rsid w:val="00BD3774"/>
    <w:rsid w:val="00BD38BC"/>
    <w:rsid w:val="00BD5428"/>
    <w:rsid w:val="00BD598F"/>
    <w:rsid w:val="00BD7A42"/>
    <w:rsid w:val="00BD7A78"/>
    <w:rsid w:val="00BE1350"/>
    <w:rsid w:val="00BE21E6"/>
    <w:rsid w:val="00BE7B4B"/>
    <w:rsid w:val="00BF075F"/>
    <w:rsid w:val="00BF0C88"/>
    <w:rsid w:val="00BF1C15"/>
    <w:rsid w:val="00BF2E0A"/>
    <w:rsid w:val="00BF3DD9"/>
    <w:rsid w:val="00BF5F24"/>
    <w:rsid w:val="00BF7BB0"/>
    <w:rsid w:val="00C00A00"/>
    <w:rsid w:val="00C0143C"/>
    <w:rsid w:val="00C02E50"/>
    <w:rsid w:val="00C03B3A"/>
    <w:rsid w:val="00C043AF"/>
    <w:rsid w:val="00C04C23"/>
    <w:rsid w:val="00C05214"/>
    <w:rsid w:val="00C05D39"/>
    <w:rsid w:val="00C07F25"/>
    <w:rsid w:val="00C106C0"/>
    <w:rsid w:val="00C10EE1"/>
    <w:rsid w:val="00C11977"/>
    <w:rsid w:val="00C11E73"/>
    <w:rsid w:val="00C12F0C"/>
    <w:rsid w:val="00C13ADA"/>
    <w:rsid w:val="00C154A6"/>
    <w:rsid w:val="00C1589C"/>
    <w:rsid w:val="00C21AD0"/>
    <w:rsid w:val="00C23CF6"/>
    <w:rsid w:val="00C24301"/>
    <w:rsid w:val="00C27B11"/>
    <w:rsid w:val="00C308D3"/>
    <w:rsid w:val="00C30FF0"/>
    <w:rsid w:val="00C31A8D"/>
    <w:rsid w:val="00C31DC1"/>
    <w:rsid w:val="00C3254E"/>
    <w:rsid w:val="00C32871"/>
    <w:rsid w:val="00C332B2"/>
    <w:rsid w:val="00C33334"/>
    <w:rsid w:val="00C33466"/>
    <w:rsid w:val="00C337A3"/>
    <w:rsid w:val="00C33A2D"/>
    <w:rsid w:val="00C33F06"/>
    <w:rsid w:val="00C34196"/>
    <w:rsid w:val="00C349A9"/>
    <w:rsid w:val="00C34CC7"/>
    <w:rsid w:val="00C378D1"/>
    <w:rsid w:val="00C42A4B"/>
    <w:rsid w:val="00C44FF8"/>
    <w:rsid w:val="00C47B05"/>
    <w:rsid w:val="00C50354"/>
    <w:rsid w:val="00C5066C"/>
    <w:rsid w:val="00C50B45"/>
    <w:rsid w:val="00C525AE"/>
    <w:rsid w:val="00C52BEF"/>
    <w:rsid w:val="00C53DCC"/>
    <w:rsid w:val="00C545E0"/>
    <w:rsid w:val="00C576E0"/>
    <w:rsid w:val="00C576ED"/>
    <w:rsid w:val="00C579C6"/>
    <w:rsid w:val="00C60089"/>
    <w:rsid w:val="00C61D7D"/>
    <w:rsid w:val="00C61E85"/>
    <w:rsid w:val="00C631A4"/>
    <w:rsid w:val="00C63686"/>
    <w:rsid w:val="00C63F1E"/>
    <w:rsid w:val="00C64764"/>
    <w:rsid w:val="00C6784B"/>
    <w:rsid w:val="00C70BAA"/>
    <w:rsid w:val="00C72083"/>
    <w:rsid w:val="00C75343"/>
    <w:rsid w:val="00C75D74"/>
    <w:rsid w:val="00C75ED2"/>
    <w:rsid w:val="00C766FD"/>
    <w:rsid w:val="00C80E8B"/>
    <w:rsid w:val="00C815C2"/>
    <w:rsid w:val="00C84E59"/>
    <w:rsid w:val="00C87740"/>
    <w:rsid w:val="00C87A4F"/>
    <w:rsid w:val="00C9080F"/>
    <w:rsid w:val="00C908B5"/>
    <w:rsid w:val="00C931D0"/>
    <w:rsid w:val="00C941F9"/>
    <w:rsid w:val="00C95AB6"/>
    <w:rsid w:val="00C96C0D"/>
    <w:rsid w:val="00CA02E0"/>
    <w:rsid w:val="00CA1358"/>
    <w:rsid w:val="00CA1DE0"/>
    <w:rsid w:val="00CA3BC9"/>
    <w:rsid w:val="00CA3D57"/>
    <w:rsid w:val="00CA4722"/>
    <w:rsid w:val="00CA47C6"/>
    <w:rsid w:val="00CA574C"/>
    <w:rsid w:val="00CA58FD"/>
    <w:rsid w:val="00CA624D"/>
    <w:rsid w:val="00CA6384"/>
    <w:rsid w:val="00CA7680"/>
    <w:rsid w:val="00CA7CEC"/>
    <w:rsid w:val="00CB00A8"/>
    <w:rsid w:val="00CB0108"/>
    <w:rsid w:val="00CB0CE0"/>
    <w:rsid w:val="00CB2D9E"/>
    <w:rsid w:val="00CB3F10"/>
    <w:rsid w:val="00CB5141"/>
    <w:rsid w:val="00CB689A"/>
    <w:rsid w:val="00CB7C69"/>
    <w:rsid w:val="00CB7D6D"/>
    <w:rsid w:val="00CC0100"/>
    <w:rsid w:val="00CC04BD"/>
    <w:rsid w:val="00CC17E5"/>
    <w:rsid w:val="00CC1A3A"/>
    <w:rsid w:val="00CC4436"/>
    <w:rsid w:val="00CC4CC5"/>
    <w:rsid w:val="00CC5745"/>
    <w:rsid w:val="00CC74ED"/>
    <w:rsid w:val="00CC7A04"/>
    <w:rsid w:val="00CD0594"/>
    <w:rsid w:val="00CD0CF9"/>
    <w:rsid w:val="00CD0DAD"/>
    <w:rsid w:val="00CD1B14"/>
    <w:rsid w:val="00CD3F1E"/>
    <w:rsid w:val="00CD65F0"/>
    <w:rsid w:val="00CD69E8"/>
    <w:rsid w:val="00CD7035"/>
    <w:rsid w:val="00CE0186"/>
    <w:rsid w:val="00CE74DD"/>
    <w:rsid w:val="00CE757C"/>
    <w:rsid w:val="00CE79DD"/>
    <w:rsid w:val="00CF0FED"/>
    <w:rsid w:val="00CF2AD8"/>
    <w:rsid w:val="00CF3291"/>
    <w:rsid w:val="00CF3DBB"/>
    <w:rsid w:val="00CF5B2C"/>
    <w:rsid w:val="00CF6DF5"/>
    <w:rsid w:val="00CF72C1"/>
    <w:rsid w:val="00D0049A"/>
    <w:rsid w:val="00D01814"/>
    <w:rsid w:val="00D04E91"/>
    <w:rsid w:val="00D055FF"/>
    <w:rsid w:val="00D118BE"/>
    <w:rsid w:val="00D11D05"/>
    <w:rsid w:val="00D123B1"/>
    <w:rsid w:val="00D13527"/>
    <w:rsid w:val="00D1447E"/>
    <w:rsid w:val="00D14ECC"/>
    <w:rsid w:val="00D167D6"/>
    <w:rsid w:val="00D168F2"/>
    <w:rsid w:val="00D16F82"/>
    <w:rsid w:val="00D209B5"/>
    <w:rsid w:val="00D21824"/>
    <w:rsid w:val="00D22CA0"/>
    <w:rsid w:val="00D23CAF"/>
    <w:rsid w:val="00D241D3"/>
    <w:rsid w:val="00D2482B"/>
    <w:rsid w:val="00D25116"/>
    <w:rsid w:val="00D2595D"/>
    <w:rsid w:val="00D270A3"/>
    <w:rsid w:val="00D274A7"/>
    <w:rsid w:val="00D3157D"/>
    <w:rsid w:val="00D31DB1"/>
    <w:rsid w:val="00D32C60"/>
    <w:rsid w:val="00D3321B"/>
    <w:rsid w:val="00D334FA"/>
    <w:rsid w:val="00D359C4"/>
    <w:rsid w:val="00D363C5"/>
    <w:rsid w:val="00D36459"/>
    <w:rsid w:val="00D3687C"/>
    <w:rsid w:val="00D36BE2"/>
    <w:rsid w:val="00D36E1C"/>
    <w:rsid w:val="00D40134"/>
    <w:rsid w:val="00D41862"/>
    <w:rsid w:val="00D41E8B"/>
    <w:rsid w:val="00D41EAD"/>
    <w:rsid w:val="00D4201A"/>
    <w:rsid w:val="00D43080"/>
    <w:rsid w:val="00D43927"/>
    <w:rsid w:val="00D4592E"/>
    <w:rsid w:val="00D45DDD"/>
    <w:rsid w:val="00D460BA"/>
    <w:rsid w:val="00D46579"/>
    <w:rsid w:val="00D50036"/>
    <w:rsid w:val="00D504BB"/>
    <w:rsid w:val="00D51013"/>
    <w:rsid w:val="00D53457"/>
    <w:rsid w:val="00D55876"/>
    <w:rsid w:val="00D55A89"/>
    <w:rsid w:val="00D56B70"/>
    <w:rsid w:val="00D56E70"/>
    <w:rsid w:val="00D57577"/>
    <w:rsid w:val="00D6139A"/>
    <w:rsid w:val="00D61A42"/>
    <w:rsid w:val="00D62822"/>
    <w:rsid w:val="00D63957"/>
    <w:rsid w:val="00D64348"/>
    <w:rsid w:val="00D648EC"/>
    <w:rsid w:val="00D650B7"/>
    <w:rsid w:val="00D67856"/>
    <w:rsid w:val="00D67FC1"/>
    <w:rsid w:val="00D70EE9"/>
    <w:rsid w:val="00D70F36"/>
    <w:rsid w:val="00D71C0C"/>
    <w:rsid w:val="00D72954"/>
    <w:rsid w:val="00D72A5E"/>
    <w:rsid w:val="00D7314C"/>
    <w:rsid w:val="00D74C37"/>
    <w:rsid w:val="00D753D7"/>
    <w:rsid w:val="00D75A11"/>
    <w:rsid w:val="00D75D13"/>
    <w:rsid w:val="00D766AF"/>
    <w:rsid w:val="00D76FBA"/>
    <w:rsid w:val="00D77515"/>
    <w:rsid w:val="00D77801"/>
    <w:rsid w:val="00D77B8E"/>
    <w:rsid w:val="00D806EB"/>
    <w:rsid w:val="00D81A90"/>
    <w:rsid w:val="00D82F64"/>
    <w:rsid w:val="00D83686"/>
    <w:rsid w:val="00D844BE"/>
    <w:rsid w:val="00D845A7"/>
    <w:rsid w:val="00D85F36"/>
    <w:rsid w:val="00D872B1"/>
    <w:rsid w:val="00D8742F"/>
    <w:rsid w:val="00D92922"/>
    <w:rsid w:val="00D9441A"/>
    <w:rsid w:val="00D945F3"/>
    <w:rsid w:val="00D94652"/>
    <w:rsid w:val="00D94F0D"/>
    <w:rsid w:val="00D95254"/>
    <w:rsid w:val="00D968D4"/>
    <w:rsid w:val="00D96F05"/>
    <w:rsid w:val="00DA06C2"/>
    <w:rsid w:val="00DA17A5"/>
    <w:rsid w:val="00DA3FF8"/>
    <w:rsid w:val="00DA5108"/>
    <w:rsid w:val="00DA58BF"/>
    <w:rsid w:val="00DA67CE"/>
    <w:rsid w:val="00DA7F03"/>
    <w:rsid w:val="00DB0C4E"/>
    <w:rsid w:val="00DB2526"/>
    <w:rsid w:val="00DB2852"/>
    <w:rsid w:val="00DB2CCD"/>
    <w:rsid w:val="00DB6940"/>
    <w:rsid w:val="00DB73F0"/>
    <w:rsid w:val="00DC1599"/>
    <w:rsid w:val="00DC17E8"/>
    <w:rsid w:val="00DC2BFD"/>
    <w:rsid w:val="00DC31B7"/>
    <w:rsid w:val="00DC3C52"/>
    <w:rsid w:val="00DC3F90"/>
    <w:rsid w:val="00DC45C2"/>
    <w:rsid w:val="00DC551C"/>
    <w:rsid w:val="00DC6E2A"/>
    <w:rsid w:val="00DC6FDA"/>
    <w:rsid w:val="00DC7E33"/>
    <w:rsid w:val="00DD15FC"/>
    <w:rsid w:val="00DD18B3"/>
    <w:rsid w:val="00DD2A6E"/>
    <w:rsid w:val="00DD3F9F"/>
    <w:rsid w:val="00DD46CF"/>
    <w:rsid w:val="00DD54A6"/>
    <w:rsid w:val="00DD55E3"/>
    <w:rsid w:val="00DD5BD3"/>
    <w:rsid w:val="00DD6B41"/>
    <w:rsid w:val="00DD6C0E"/>
    <w:rsid w:val="00DD6EE5"/>
    <w:rsid w:val="00DE02FE"/>
    <w:rsid w:val="00DE0978"/>
    <w:rsid w:val="00DE09B2"/>
    <w:rsid w:val="00DE13F2"/>
    <w:rsid w:val="00DE25F1"/>
    <w:rsid w:val="00DE3094"/>
    <w:rsid w:val="00DE4142"/>
    <w:rsid w:val="00DE43FC"/>
    <w:rsid w:val="00DE5623"/>
    <w:rsid w:val="00DE5A4A"/>
    <w:rsid w:val="00DE70C8"/>
    <w:rsid w:val="00DE7EFC"/>
    <w:rsid w:val="00DF1AA9"/>
    <w:rsid w:val="00DF3194"/>
    <w:rsid w:val="00DF3C57"/>
    <w:rsid w:val="00DF56EA"/>
    <w:rsid w:val="00DF5D89"/>
    <w:rsid w:val="00DF654F"/>
    <w:rsid w:val="00DF65B5"/>
    <w:rsid w:val="00DF6D3A"/>
    <w:rsid w:val="00E00502"/>
    <w:rsid w:val="00E00BC7"/>
    <w:rsid w:val="00E02D76"/>
    <w:rsid w:val="00E034D1"/>
    <w:rsid w:val="00E03589"/>
    <w:rsid w:val="00E03A48"/>
    <w:rsid w:val="00E04207"/>
    <w:rsid w:val="00E04C70"/>
    <w:rsid w:val="00E05D09"/>
    <w:rsid w:val="00E0626C"/>
    <w:rsid w:val="00E07298"/>
    <w:rsid w:val="00E114A0"/>
    <w:rsid w:val="00E114DF"/>
    <w:rsid w:val="00E11DAC"/>
    <w:rsid w:val="00E120B9"/>
    <w:rsid w:val="00E14170"/>
    <w:rsid w:val="00E17003"/>
    <w:rsid w:val="00E221DE"/>
    <w:rsid w:val="00E222D8"/>
    <w:rsid w:val="00E224AD"/>
    <w:rsid w:val="00E24331"/>
    <w:rsid w:val="00E25299"/>
    <w:rsid w:val="00E25396"/>
    <w:rsid w:val="00E256E0"/>
    <w:rsid w:val="00E26334"/>
    <w:rsid w:val="00E26D84"/>
    <w:rsid w:val="00E2748A"/>
    <w:rsid w:val="00E31A5A"/>
    <w:rsid w:val="00E31E39"/>
    <w:rsid w:val="00E31F79"/>
    <w:rsid w:val="00E32B51"/>
    <w:rsid w:val="00E32EF3"/>
    <w:rsid w:val="00E330C2"/>
    <w:rsid w:val="00E332C5"/>
    <w:rsid w:val="00E33F52"/>
    <w:rsid w:val="00E34CAB"/>
    <w:rsid w:val="00E34E64"/>
    <w:rsid w:val="00E365E1"/>
    <w:rsid w:val="00E3721C"/>
    <w:rsid w:val="00E37499"/>
    <w:rsid w:val="00E3766E"/>
    <w:rsid w:val="00E37977"/>
    <w:rsid w:val="00E37E2D"/>
    <w:rsid w:val="00E4221F"/>
    <w:rsid w:val="00E42BE0"/>
    <w:rsid w:val="00E43D0A"/>
    <w:rsid w:val="00E447D2"/>
    <w:rsid w:val="00E466F3"/>
    <w:rsid w:val="00E47FCA"/>
    <w:rsid w:val="00E50EAD"/>
    <w:rsid w:val="00E51333"/>
    <w:rsid w:val="00E52082"/>
    <w:rsid w:val="00E5439D"/>
    <w:rsid w:val="00E56533"/>
    <w:rsid w:val="00E56D28"/>
    <w:rsid w:val="00E57458"/>
    <w:rsid w:val="00E60133"/>
    <w:rsid w:val="00E611CD"/>
    <w:rsid w:val="00E6347D"/>
    <w:rsid w:val="00E63490"/>
    <w:rsid w:val="00E64A3D"/>
    <w:rsid w:val="00E66E18"/>
    <w:rsid w:val="00E7117E"/>
    <w:rsid w:val="00E71736"/>
    <w:rsid w:val="00E71E62"/>
    <w:rsid w:val="00E71F2A"/>
    <w:rsid w:val="00E72109"/>
    <w:rsid w:val="00E743C6"/>
    <w:rsid w:val="00E7617E"/>
    <w:rsid w:val="00E76A79"/>
    <w:rsid w:val="00E777B8"/>
    <w:rsid w:val="00E803BD"/>
    <w:rsid w:val="00E827FC"/>
    <w:rsid w:val="00E83ED4"/>
    <w:rsid w:val="00E868F5"/>
    <w:rsid w:val="00E90365"/>
    <w:rsid w:val="00E90B7B"/>
    <w:rsid w:val="00E910F6"/>
    <w:rsid w:val="00E91553"/>
    <w:rsid w:val="00E9176E"/>
    <w:rsid w:val="00E91941"/>
    <w:rsid w:val="00E922B6"/>
    <w:rsid w:val="00E92907"/>
    <w:rsid w:val="00E93404"/>
    <w:rsid w:val="00E94B72"/>
    <w:rsid w:val="00E956AA"/>
    <w:rsid w:val="00E956B9"/>
    <w:rsid w:val="00E96C87"/>
    <w:rsid w:val="00EA055A"/>
    <w:rsid w:val="00EA0CC8"/>
    <w:rsid w:val="00EA0FDE"/>
    <w:rsid w:val="00EA2C54"/>
    <w:rsid w:val="00EA2EE7"/>
    <w:rsid w:val="00EA329D"/>
    <w:rsid w:val="00EA3C2E"/>
    <w:rsid w:val="00EA412E"/>
    <w:rsid w:val="00EA698C"/>
    <w:rsid w:val="00EA6B7B"/>
    <w:rsid w:val="00EA6CB5"/>
    <w:rsid w:val="00EA72D7"/>
    <w:rsid w:val="00EA73B1"/>
    <w:rsid w:val="00EB12F1"/>
    <w:rsid w:val="00EB2FB0"/>
    <w:rsid w:val="00EB4E83"/>
    <w:rsid w:val="00EB52FB"/>
    <w:rsid w:val="00EB57BE"/>
    <w:rsid w:val="00EB57EB"/>
    <w:rsid w:val="00EB6FE9"/>
    <w:rsid w:val="00EC251A"/>
    <w:rsid w:val="00EC323A"/>
    <w:rsid w:val="00EC46D5"/>
    <w:rsid w:val="00EC4B62"/>
    <w:rsid w:val="00EC5471"/>
    <w:rsid w:val="00EC66DE"/>
    <w:rsid w:val="00EC68A8"/>
    <w:rsid w:val="00EC6E0A"/>
    <w:rsid w:val="00ED1EAD"/>
    <w:rsid w:val="00ED2EE1"/>
    <w:rsid w:val="00ED6F2C"/>
    <w:rsid w:val="00ED6FF9"/>
    <w:rsid w:val="00ED7A76"/>
    <w:rsid w:val="00ED7F70"/>
    <w:rsid w:val="00EE0EB3"/>
    <w:rsid w:val="00EE1299"/>
    <w:rsid w:val="00EE1362"/>
    <w:rsid w:val="00EE2229"/>
    <w:rsid w:val="00EE253E"/>
    <w:rsid w:val="00EE28B4"/>
    <w:rsid w:val="00EE30A0"/>
    <w:rsid w:val="00EE3341"/>
    <w:rsid w:val="00EE389D"/>
    <w:rsid w:val="00EE55B5"/>
    <w:rsid w:val="00EE5B84"/>
    <w:rsid w:val="00EE6F0E"/>
    <w:rsid w:val="00EE7376"/>
    <w:rsid w:val="00EF048F"/>
    <w:rsid w:val="00EF1342"/>
    <w:rsid w:val="00EF29B7"/>
    <w:rsid w:val="00EF2CB4"/>
    <w:rsid w:val="00EF3F33"/>
    <w:rsid w:val="00EF67D6"/>
    <w:rsid w:val="00EF6CD9"/>
    <w:rsid w:val="00F01307"/>
    <w:rsid w:val="00F013EB"/>
    <w:rsid w:val="00F015BD"/>
    <w:rsid w:val="00F02359"/>
    <w:rsid w:val="00F02621"/>
    <w:rsid w:val="00F033F6"/>
    <w:rsid w:val="00F03FA3"/>
    <w:rsid w:val="00F0462A"/>
    <w:rsid w:val="00F046C1"/>
    <w:rsid w:val="00F04D68"/>
    <w:rsid w:val="00F05130"/>
    <w:rsid w:val="00F061CF"/>
    <w:rsid w:val="00F073E6"/>
    <w:rsid w:val="00F077DB"/>
    <w:rsid w:val="00F101FD"/>
    <w:rsid w:val="00F111F6"/>
    <w:rsid w:val="00F11C3C"/>
    <w:rsid w:val="00F11E2D"/>
    <w:rsid w:val="00F12215"/>
    <w:rsid w:val="00F1351F"/>
    <w:rsid w:val="00F14074"/>
    <w:rsid w:val="00F14118"/>
    <w:rsid w:val="00F152E4"/>
    <w:rsid w:val="00F15F70"/>
    <w:rsid w:val="00F17D90"/>
    <w:rsid w:val="00F17F16"/>
    <w:rsid w:val="00F217E3"/>
    <w:rsid w:val="00F21A0A"/>
    <w:rsid w:val="00F22EAD"/>
    <w:rsid w:val="00F24B39"/>
    <w:rsid w:val="00F30C39"/>
    <w:rsid w:val="00F3249E"/>
    <w:rsid w:val="00F32FBE"/>
    <w:rsid w:val="00F34862"/>
    <w:rsid w:val="00F35C5E"/>
    <w:rsid w:val="00F363D5"/>
    <w:rsid w:val="00F37E0C"/>
    <w:rsid w:val="00F40D60"/>
    <w:rsid w:val="00F422A2"/>
    <w:rsid w:val="00F43BD2"/>
    <w:rsid w:val="00F46435"/>
    <w:rsid w:val="00F46509"/>
    <w:rsid w:val="00F518A5"/>
    <w:rsid w:val="00F52709"/>
    <w:rsid w:val="00F52BF6"/>
    <w:rsid w:val="00F54FF8"/>
    <w:rsid w:val="00F560D3"/>
    <w:rsid w:val="00F57D15"/>
    <w:rsid w:val="00F624B1"/>
    <w:rsid w:val="00F64BCD"/>
    <w:rsid w:val="00F6676D"/>
    <w:rsid w:val="00F667B2"/>
    <w:rsid w:val="00F66E13"/>
    <w:rsid w:val="00F671D6"/>
    <w:rsid w:val="00F700A9"/>
    <w:rsid w:val="00F70643"/>
    <w:rsid w:val="00F7081C"/>
    <w:rsid w:val="00F73375"/>
    <w:rsid w:val="00F737AB"/>
    <w:rsid w:val="00F73B8A"/>
    <w:rsid w:val="00F73F39"/>
    <w:rsid w:val="00F759E3"/>
    <w:rsid w:val="00F76632"/>
    <w:rsid w:val="00F76BF9"/>
    <w:rsid w:val="00F77997"/>
    <w:rsid w:val="00F80D63"/>
    <w:rsid w:val="00F80D7B"/>
    <w:rsid w:val="00F81738"/>
    <w:rsid w:val="00F82F1F"/>
    <w:rsid w:val="00F83E28"/>
    <w:rsid w:val="00F85F00"/>
    <w:rsid w:val="00F86A3A"/>
    <w:rsid w:val="00F9052A"/>
    <w:rsid w:val="00F96E7C"/>
    <w:rsid w:val="00FA02A0"/>
    <w:rsid w:val="00FA1166"/>
    <w:rsid w:val="00FA1E4D"/>
    <w:rsid w:val="00FA3514"/>
    <w:rsid w:val="00FA38FD"/>
    <w:rsid w:val="00FA47EF"/>
    <w:rsid w:val="00FA4E0A"/>
    <w:rsid w:val="00FA56DF"/>
    <w:rsid w:val="00FA685E"/>
    <w:rsid w:val="00FA6B98"/>
    <w:rsid w:val="00FB0794"/>
    <w:rsid w:val="00FB19D7"/>
    <w:rsid w:val="00FB2726"/>
    <w:rsid w:val="00FB5F18"/>
    <w:rsid w:val="00FB6A45"/>
    <w:rsid w:val="00FC28BB"/>
    <w:rsid w:val="00FC28F5"/>
    <w:rsid w:val="00FC2F48"/>
    <w:rsid w:val="00FC328B"/>
    <w:rsid w:val="00FC3690"/>
    <w:rsid w:val="00FC39E8"/>
    <w:rsid w:val="00FC5B53"/>
    <w:rsid w:val="00FC5FF3"/>
    <w:rsid w:val="00FC668C"/>
    <w:rsid w:val="00FC6FBF"/>
    <w:rsid w:val="00FD3974"/>
    <w:rsid w:val="00FD430E"/>
    <w:rsid w:val="00FD4465"/>
    <w:rsid w:val="00FD471C"/>
    <w:rsid w:val="00FD4BB6"/>
    <w:rsid w:val="00FD4DDF"/>
    <w:rsid w:val="00FD4F21"/>
    <w:rsid w:val="00FD5063"/>
    <w:rsid w:val="00FD6DA8"/>
    <w:rsid w:val="00FD7D71"/>
    <w:rsid w:val="00FE3B63"/>
    <w:rsid w:val="00FE480A"/>
    <w:rsid w:val="00FE5CB3"/>
    <w:rsid w:val="00FE7EC4"/>
    <w:rsid w:val="00FF0E03"/>
    <w:rsid w:val="00FF28A7"/>
    <w:rsid w:val="00FF319E"/>
    <w:rsid w:val="00FF355F"/>
    <w:rsid w:val="00FF4951"/>
    <w:rsid w:val="00FF5D05"/>
    <w:rsid w:val="00FF5DDE"/>
    <w:rsid w:val="00FF608A"/>
    <w:rsid w:val="00FF62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63A32B6"/>
  <w15:chartTrackingRefBased/>
  <w15:docId w15:val="{BA69CA8A-1D2F-9347-A67E-729EF071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8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1F2"/>
    <w:pPr>
      <w:jc w:val="left"/>
    </w:pPr>
    <w:rPr>
      <w:rFonts w:ascii="Times New Roman" w:eastAsia="Times New Roman" w:hAnsi="Times New Roman" w:cs="Times New Roman"/>
      <w:kern w:val="0"/>
      <w:lang w:eastAsia="es-MX"/>
      <w14:ligatures w14:val="none"/>
    </w:rPr>
  </w:style>
  <w:style w:type="paragraph" w:styleId="Ttulo3">
    <w:name w:val="heading 3"/>
    <w:basedOn w:val="Normal"/>
    <w:next w:val="Normal"/>
    <w:link w:val="Ttulo3Car"/>
    <w:rsid w:val="001B7175"/>
    <w:pPr>
      <w:spacing w:before="200" w:after="0" w:line="360" w:lineRule="auto"/>
      <w:ind w:left="-15"/>
      <w:outlineLvl w:val="2"/>
    </w:pPr>
    <w:rPr>
      <w:rFonts w:ascii="Open Sans" w:hAnsi="Open Sans" w:cs="Open Sans"/>
      <w:b/>
      <w:color w:val="8C7252"/>
      <w:lang w:val="e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85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65A7F"/>
    <w:pPr>
      <w:ind w:left="720"/>
      <w:contextualSpacing/>
      <w:jc w:val="both"/>
    </w:pPr>
    <w:rPr>
      <w:rFonts w:asciiTheme="minorHAnsi" w:eastAsiaTheme="minorHAnsi" w:hAnsiTheme="minorHAnsi" w:cstheme="minorBidi"/>
      <w:kern w:val="2"/>
      <w:lang w:eastAsia="en-US"/>
      <w14:ligatures w14:val="standardContextual"/>
    </w:rPr>
  </w:style>
  <w:style w:type="paragraph" w:styleId="NormalWeb">
    <w:name w:val="Normal (Web)"/>
    <w:basedOn w:val="Normal"/>
    <w:uiPriority w:val="99"/>
    <w:semiHidden/>
    <w:unhideWhenUsed/>
    <w:rsid w:val="00762739"/>
    <w:pPr>
      <w:spacing w:before="100" w:beforeAutospacing="1" w:after="100" w:afterAutospacing="1"/>
    </w:pPr>
  </w:style>
  <w:style w:type="paragraph" w:customStyle="1" w:styleId="EndNoteBibliographyTitle">
    <w:name w:val="EndNote Bibliography Title"/>
    <w:basedOn w:val="Normal"/>
    <w:link w:val="EndNoteBibliographyTitleCar"/>
    <w:rsid w:val="00DC3C52"/>
    <w:pPr>
      <w:jc w:val="center"/>
    </w:pPr>
  </w:style>
  <w:style w:type="character" w:customStyle="1" w:styleId="EndNoteBibliographyTitleCar">
    <w:name w:val="EndNote Bibliography Title Car"/>
    <w:basedOn w:val="Fuentedeprrafopredeter"/>
    <w:link w:val="EndNoteBibliographyTitle"/>
    <w:rsid w:val="00DC3C52"/>
    <w:rPr>
      <w:rFonts w:ascii="Times New Roman" w:eastAsia="Times New Roman" w:hAnsi="Times New Roman" w:cs="Times New Roman"/>
      <w:kern w:val="0"/>
      <w:lang w:eastAsia="es-MX"/>
      <w14:ligatures w14:val="none"/>
    </w:rPr>
  </w:style>
  <w:style w:type="paragraph" w:customStyle="1" w:styleId="EndNoteBibliography">
    <w:name w:val="EndNote Bibliography"/>
    <w:basedOn w:val="Normal"/>
    <w:link w:val="EndNoteBibliographyCar"/>
    <w:rsid w:val="00DC3C52"/>
  </w:style>
  <w:style w:type="character" w:customStyle="1" w:styleId="EndNoteBibliographyCar">
    <w:name w:val="EndNote Bibliography Car"/>
    <w:basedOn w:val="Fuentedeprrafopredeter"/>
    <w:link w:val="EndNoteBibliography"/>
    <w:rsid w:val="00DC3C52"/>
    <w:rPr>
      <w:rFonts w:ascii="Times New Roman" w:eastAsia="Times New Roman" w:hAnsi="Times New Roman" w:cs="Times New Roman"/>
      <w:kern w:val="0"/>
      <w:lang w:eastAsia="es-MX"/>
      <w14:ligatures w14:val="none"/>
    </w:rPr>
  </w:style>
  <w:style w:type="character" w:styleId="Hipervnculo">
    <w:name w:val="Hyperlink"/>
    <w:basedOn w:val="Fuentedeprrafopredeter"/>
    <w:uiPriority w:val="99"/>
    <w:unhideWhenUsed/>
    <w:rsid w:val="00076572"/>
    <w:rPr>
      <w:color w:val="0563C1" w:themeColor="hyperlink"/>
      <w:u w:val="single"/>
    </w:rPr>
  </w:style>
  <w:style w:type="character" w:styleId="Mencinsinresolver">
    <w:name w:val="Unresolved Mention"/>
    <w:basedOn w:val="Fuentedeprrafopredeter"/>
    <w:uiPriority w:val="99"/>
    <w:semiHidden/>
    <w:unhideWhenUsed/>
    <w:rsid w:val="00076572"/>
    <w:rPr>
      <w:color w:val="605E5C"/>
      <w:shd w:val="clear" w:color="auto" w:fill="E1DFDD"/>
    </w:rPr>
  </w:style>
  <w:style w:type="paragraph" w:styleId="Textonotapie">
    <w:name w:val="footnote text"/>
    <w:basedOn w:val="Normal"/>
    <w:link w:val="TextonotapieCar"/>
    <w:uiPriority w:val="99"/>
    <w:semiHidden/>
    <w:unhideWhenUsed/>
    <w:rsid w:val="00306007"/>
    <w:rPr>
      <w:sz w:val="20"/>
      <w:szCs w:val="20"/>
    </w:rPr>
  </w:style>
  <w:style w:type="character" w:customStyle="1" w:styleId="TextonotapieCar">
    <w:name w:val="Texto nota pie Car"/>
    <w:basedOn w:val="Fuentedeprrafopredeter"/>
    <w:link w:val="Textonotapie"/>
    <w:uiPriority w:val="99"/>
    <w:semiHidden/>
    <w:rsid w:val="00306007"/>
    <w:rPr>
      <w:rFonts w:ascii="Times New Roman" w:eastAsia="Times New Roman" w:hAnsi="Times New Roman" w:cs="Times New Roman"/>
      <w:kern w:val="0"/>
      <w:sz w:val="20"/>
      <w:szCs w:val="20"/>
      <w:lang w:eastAsia="es-MX"/>
      <w14:ligatures w14:val="none"/>
    </w:rPr>
  </w:style>
  <w:style w:type="character" w:styleId="Refdenotaalpie">
    <w:name w:val="footnote reference"/>
    <w:basedOn w:val="Fuentedeprrafopredeter"/>
    <w:uiPriority w:val="99"/>
    <w:semiHidden/>
    <w:unhideWhenUsed/>
    <w:rsid w:val="00306007"/>
    <w:rPr>
      <w:vertAlign w:val="superscript"/>
    </w:rPr>
  </w:style>
  <w:style w:type="character" w:styleId="Hipervnculovisitado">
    <w:name w:val="FollowedHyperlink"/>
    <w:basedOn w:val="Fuentedeprrafopredeter"/>
    <w:uiPriority w:val="99"/>
    <w:semiHidden/>
    <w:unhideWhenUsed/>
    <w:rsid w:val="00390F7D"/>
    <w:rPr>
      <w:color w:val="954F72" w:themeColor="followedHyperlink"/>
      <w:u w:val="single"/>
    </w:rPr>
  </w:style>
  <w:style w:type="paragraph" w:styleId="Piedepgina">
    <w:name w:val="footer"/>
    <w:basedOn w:val="Normal"/>
    <w:link w:val="PiedepginaCar"/>
    <w:uiPriority w:val="99"/>
    <w:unhideWhenUsed/>
    <w:rsid w:val="00667E96"/>
    <w:pPr>
      <w:tabs>
        <w:tab w:val="center" w:pos="4419"/>
        <w:tab w:val="right" w:pos="8838"/>
      </w:tabs>
    </w:pPr>
  </w:style>
  <w:style w:type="character" w:customStyle="1" w:styleId="PiedepginaCar">
    <w:name w:val="Pie de página Car"/>
    <w:basedOn w:val="Fuentedeprrafopredeter"/>
    <w:link w:val="Piedepgina"/>
    <w:uiPriority w:val="99"/>
    <w:rsid w:val="00667E96"/>
    <w:rPr>
      <w:rFonts w:ascii="Times New Roman" w:eastAsia="Times New Roman" w:hAnsi="Times New Roman" w:cs="Times New Roman"/>
      <w:kern w:val="0"/>
      <w:lang w:eastAsia="es-MX"/>
      <w14:ligatures w14:val="none"/>
    </w:rPr>
  </w:style>
  <w:style w:type="character" w:styleId="Nmerodepgina">
    <w:name w:val="page number"/>
    <w:basedOn w:val="Fuentedeprrafopredeter"/>
    <w:uiPriority w:val="99"/>
    <w:semiHidden/>
    <w:unhideWhenUsed/>
    <w:rsid w:val="00667E96"/>
  </w:style>
  <w:style w:type="table" w:customStyle="1" w:styleId="Tablaconcuadrcula1">
    <w:name w:val="Tabla con cuadrícula1"/>
    <w:basedOn w:val="Tablanormal"/>
    <w:next w:val="Tablaconcuadrcula"/>
    <w:uiPriority w:val="39"/>
    <w:rsid w:val="00AF42D8"/>
    <w:pPr>
      <w:jc w:val="left"/>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0871F2"/>
    <w:pPr>
      <w:spacing w:after="0"/>
      <w:jc w:val="left"/>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412B02"/>
    <w:pPr>
      <w:spacing w:after="0"/>
      <w:jc w:val="left"/>
    </w:pPr>
    <w:rPr>
      <w:rFonts w:ascii="Times New Roman" w:eastAsia="Times New Roman" w:hAnsi="Times New Roman" w:cs="Times New Roman"/>
      <w:kern w:val="0"/>
      <w:lang w:eastAsia="es-MX"/>
      <w14:ligatures w14:val="none"/>
    </w:rPr>
  </w:style>
  <w:style w:type="character" w:styleId="Textodelmarcadordeposicin">
    <w:name w:val="Placeholder Text"/>
    <w:basedOn w:val="Fuentedeprrafopredeter"/>
    <w:uiPriority w:val="99"/>
    <w:semiHidden/>
    <w:rsid w:val="006B12B6"/>
    <w:rPr>
      <w:color w:val="666666"/>
    </w:rPr>
  </w:style>
  <w:style w:type="paragraph" w:styleId="Encabezado">
    <w:name w:val="header"/>
    <w:basedOn w:val="Normal"/>
    <w:link w:val="EncabezadoCar"/>
    <w:uiPriority w:val="99"/>
    <w:unhideWhenUsed/>
    <w:rsid w:val="00AC4363"/>
    <w:pPr>
      <w:tabs>
        <w:tab w:val="center" w:pos="4419"/>
        <w:tab w:val="right" w:pos="8838"/>
      </w:tabs>
      <w:spacing w:after="0"/>
    </w:pPr>
  </w:style>
  <w:style w:type="character" w:customStyle="1" w:styleId="EncabezadoCar">
    <w:name w:val="Encabezado Car"/>
    <w:basedOn w:val="Fuentedeprrafopredeter"/>
    <w:link w:val="Encabezado"/>
    <w:uiPriority w:val="99"/>
    <w:rsid w:val="00AC4363"/>
    <w:rPr>
      <w:rFonts w:ascii="Times New Roman" w:eastAsia="Times New Roman" w:hAnsi="Times New Roman" w:cs="Times New Roman"/>
      <w:kern w:val="0"/>
      <w:lang w:eastAsia="es-MX"/>
      <w14:ligatures w14:val="none"/>
    </w:rPr>
  </w:style>
  <w:style w:type="paragraph" w:styleId="HTMLconformatoprevio">
    <w:name w:val="HTML Preformatted"/>
    <w:basedOn w:val="Normal"/>
    <w:link w:val="HTMLconformatoprevioCar"/>
    <w:uiPriority w:val="99"/>
    <w:rsid w:val="00AC4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textAlignment w:val="baseline"/>
    </w:pPr>
    <w:rPr>
      <w:rFonts w:ascii="Courier New" w:hAnsi="Courier New" w:cs="Courier New"/>
      <w:kern w:val="3"/>
      <w:sz w:val="20"/>
      <w:szCs w:val="20"/>
    </w:rPr>
  </w:style>
  <w:style w:type="character" w:customStyle="1" w:styleId="HTMLconformatoprevioCar">
    <w:name w:val="HTML con formato previo Car"/>
    <w:basedOn w:val="Fuentedeprrafopredeter"/>
    <w:link w:val="HTMLconformatoprevio"/>
    <w:uiPriority w:val="99"/>
    <w:rsid w:val="00AC4363"/>
    <w:rPr>
      <w:rFonts w:ascii="Courier New" w:eastAsia="Times New Roman" w:hAnsi="Courier New" w:cs="Courier New"/>
      <w:kern w:val="3"/>
      <w:sz w:val="20"/>
      <w:szCs w:val="20"/>
      <w:lang w:eastAsia="es-MX"/>
      <w14:ligatures w14:val="none"/>
    </w:rPr>
  </w:style>
  <w:style w:type="character" w:customStyle="1" w:styleId="Ttulo3Car">
    <w:name w:val="Título 3 Car"/>
    <w:basedOn w:val="Fuentedeprrafopredeter"/>
    <w:link w:val="Ttulo3"/>
    <w:rsid w:val="001B7175"/>
    <w:rPr>
      <w:rFonts w:ascii="Open Sans" w:eastAsia="Times New Roman" w:hAnsi="Open Sans" w:cs="Open Sans"/>
      <w:b/>
      <w:color w:val="8C7252"/>
      <w:kern w:val="0"/>
      <w:lang w:val="en"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88959">
      <w:bodyDiv w:val="1"/>
      <w:marLeft w:val="0"/>
      <w:marRight w:val="0"/>
      <w:marTop w:val="0"/>
      <w:marBottom w:val="0"/>
      <w:divBdr>
        <w:top w:val="none" w:sz="0" w:space="0" w:color="auto"/>
        <w:left w:val="none" w:sz="0" w:space="0" w:color="auto"/>
        <w:bottom w:val="none" w:sz="0" w:space="0" w:color="auto"/>
        <w:right w:val="none" w:sz="0" w:space="0" w:color="auto"/>
      </w:divBdr>
    </w:div>
    <w:div w:id="219749878">
      <w:bodyDiv w:val="1"/>
      <w:marLeft w:val="0"/>
      <w:marRight w:val="0"/>
      <w:marTop w:val="0"/>
      <w:marBottom w:val="0"/>
      <w:divBdr>
        <w:top w:val="none" w:sz="0" w:space="0" w:color="auto"/>
        <w:left w:val="none" w:sz="0" w:space="0" w:color="auto"/>
        <w:bottom w:val="none" w:sz="0" w:space="0" w:color="auto"/>
        <w:right w:val="none" w:sz="0" w:space="0" w:color="auto"/>
      </w:divBdr>
      <w:divsChild>
        <w:div w:id="1959489207">
          <w:marLeft w:val="0"/>
          <w:marRight w:val="0"/>
          <w:marTop w:val="0"/>
          <w:marBottom w:val="0"/>
          <w:divBdr>
            <w:top w:val="none" w:sz="0" w:space="0" w:color="auto"/>
            <w:left w:val="none" w:sz="0" w:space="0" w:color="auto"/>
            <w:bottom w:val="none" w:sz="0" w:space="0" w:color="auto"/>
            <w:right w:val="none" w:sz="0" w:space="0" w:color="auto"/>
          </w:divBdr>
          <w:divsChild>
            <w:div w:id="84037344">
              <w:marLeft w:val="0"/>
              <w:marRight w:val="0"/>
              <w:marTop w:val="0"/>
              <w:marBottom w:val="0"/>
              <w:divBdr>
                <w:top w:val="none" w:sz="0" w:space="0" w:color="auto"/>
                <w:left w:val="none" w:sz="0" w:space="0" w:color="auto"/>
                <w:bottom w:val="none" w:sz="0" w:space="0" w:color="auto"/>
                <w:right w:val="none" w:sz="0" w:space="0" w:color="auto"/>
              </w:divBdr>
              <w:divsChild>
                <w:div w:id="162754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367859">
      <w:bodyDiv w:val="1"/>
      <w:marLeft w:val="0"/>
      <w:marRight w:val="0"/>
      <w:marTop w:val="0"/>
      <w:marBottom w:val="0"/>
      <w:divBdr>
        <w:top w:val="none" w:sz="0" w:space="0" w:color="auto"/>
        <w:left w:val="none" w:sz="0" w:space="0" w:color="auto"/>
        <w:bottom w:val="none" w:sz="0" w:space="0" w:color="auto"/>
        <w:right w:val="none" w:sz="0" w:space="0" w:color="auto"/>
      </w:divBdr>
    </w:div>
    <w:div w:id="266693826">
      <w:bodyDiv w:val="1"/>
      <w:marLeft w:val="0"/>
      <w:marRight w:val="0"/>
      <w:marTop w:val="0"/>
      <w:marBottom w:val="0"/>
      <w:divBdr>
        <w:top w:val="none" w:sz="0" w:space="0" w:color="auto"/>
        <w:left w:val="none" w:sz="0" w:space="0" w:color="auto"/>
        <w:bottom w:val="none" w:sz="0" w:space="0" w:color="auto"/>
        <w:right w:val="none" w:sz="0" w:space="0" w:color="auto"/>
      </w:divBdr>
      <w:divsChild>
        <w:div w:id="1906332765">
          <w:marLeft w:val="0"/>
          <w:marRight w:val="0"/>
          <w:marTop w:val="0"/>
          <w:marBottom w:val="0"/>
          <w:divBdr>
            <w:top w:val="single" w:sz="2" w:space="0" w:color="auto"/>
            <w:left w:val="single" w:sz="2" w:space="0" w:color="auto"/>
            <w:bottom w:val="single" w:sz="6" w:space="0" w:color="auto"/>
            <w:right w:val="single" w:sz="2" w:space="0" w:color="auto"/>
          </w:divBdr>
          <w:divsChild>
            <w:div w:id="840967524">
              <w:marLeft w:val="0"/>
              <w:marRight w:val="0"/>
              <w:marTop w:val="100"/>
              <w:marBottom w:val="100"/>
              <w:divBdr>
                <w:top w:val="single" w:sz="2" w:space="0" w:color="D9D9E3"/>
                <w:left w:val="single" w:sz="2" w:space="0" w:color="D9D9E3"/>
                <w:bottom w:val="single" w:sz="2" w:space="0" w:color="D9D9E3"/>
                <w:right w:val="single" w:sz="2" w:space="0" w:color="D9D9E3"/>
              </w:divBdr>
              <w:divsChild>
                <w:div w:id="2078554304">
                  <w:marLeft w:val="0"/>
                  <w:marRight w:val="0"/>
                  <w:marTop w:val="0"/>
                  <w:marBottom w:val="0"/>
                  <w:divBdr>
                    <w:top w:val="single" w:sz="2" w:space="0" w:color="D9D9E3"/>
                    <w:left w:val="single" w:sz="2" w:space="0" w:color="D9D9E3"/>
                    <w:bottom w:val="single" w:sz="2" w:space="0" w:color="D9D9E3"/>
                    <w:right w:val="single" w:sz="2" w:space="0" w:color="D9D9E3"/>
                  </w:divBdr>
                  <w:divsChild>
                    <w:div w:id="1105199431">
                      <w:marLeft w:val="0"/>
                      <w:marRight w:val="0"/>
                      <w:marTop w:val="0"/>
                      <w:marBottom w:val="0"/>
                      <w:divBdr>
                        <w:top w:val="single" w:sz="2" w:space="0" w:color="D9D9E3"/>
                        <w:left w:val="single" w:sz="2" w:space="0" w:color="D9D9E3"/>
                        <w:bottom w:val="single" w:sz="2" w:space="0" w:color="D9D9E3"/>
                        <w:right w:val="single" w:sz="2" w:space="0" w:color="D9D9E3"/>
                      </w:divBdr>
                      <w:divsChild>
                        <w:div w:id="784545874">
                          <w:marLeft w:val="0"/>
                          <w:marRight w:val="0"/>
                          <w:marTop w:val="0"/>
                          <w:marBottom w:val="0"/>
                          <w:divBdr>
                            <w:top w:val="single" w:sz="2" w:space="0" w:color="D9D9E3"/>
                            <w:left w:val="single" w:sz="2" w:space="0" w:color="D9D9E3"/>
                            <w:bottom w:val="single" w:sz="2" w:space="0" w:color="D9D9E3"/>
                            <w:right w:val="single" w:sz="2" w:space="0" w:color="D9D9E3"/>
                          </w:divBdr>
                          <w:divsChild>
                            <w:div w:id="522287307">
                              <w:marLeft w:val="0"/>
                              <w:marRight w:val="0"/>
                              <w:marTop w:val="0"/>
                              <w:marBottom w:val="0"/>
                              <w:divBdr>
                                <w:top w:val="single" w:sz="2" w:space="0" w:color="D9D9E3"/>
                                <w:left w:val="single" w:sz="2" w:space="0" w:color="D9D9E3"/>
                                <w:bottom w:val="single" w:sz="2" w:space="0" w:color="D9D9E3"/>
                                <w:right w:val="single" w:sz="2" w:space="0" w:color="D9D9E3"/>
                              </w:divBdr>
                              <w:divsChild>
                                <w:div w:id="20781662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390464135">
      <w:bodyDiv w:val="1"/>
      <w:marLeft w:val="0"/>
      <w:marRight w:val="0"/>
      <w:marTop w:val="0"/>
      <w:marBottom w:val="0"/>
      <w:divBdr>
        <w:top w:val="none" w:sz="0" w:space="0" w:color="auto"/>
        <w:left w:val="none" w:sz="0" w:space="0" w:color="auto"/>
        <w:bottom w:val="none" w:sz="0" w:space="0" w:color="auto"/>
        <w:right w:val="none" w:sz="0" w:space="0" w:color="auto"/>
      </w:divBdr>
      <w:divsChild>
        <w:div w:id="753672151">
          <w:marLeft w:val="0"/>
          <w:marRight w:val="0"/>
          <w:marTop w:val="0"/>
          <w:marBottom w:val="0"/>
          <w:divBdr>
            <w:top w:val="none" w:sz="0" w:space="0" w:color="auto"/>
            <w:left w:val="none" w:sz="0" w:space="0" w:color="auto"/>
            <w:bottom w:val="none" w:sz="0" w:space="0" w:color="auto"/>
            <w:right w:val="none" w:sz="0" w:space="0" w:color="auto"/>
          </w:divBdr>
          <w:divsChild>
            <w:div w:id="362360963">
              <w:marLeft w:val="0"/>
              <w:marRight w:val="0"/>
              <w:marTop w:val="0"/>
              <w:marBottom w:val="0"/>
              <w:divBdr>
                <w:top w:val="none" w:sz="0" w:space="0" w:color="auto"/>
                <w:left w:val="none" w:sz="0" w:space="0" w:color="auto"/>
                <w:bottom w:val="none" w:sz="0" w:space="0" w:color="auto"/>
                <w:right w:val="none" w:sz="0" w:space="0" w:color="auto"/>
              </w:divBdr>
              <w:divsChild>
                <w:div w:id="159524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899319">
      <w:bodyDiv w:val="1"/>
      <w:marLeft w:val="0"/>
      <w:marRight w:val="0"/>
      <w:marTop w:val="0"/>
      <w:marBottom w:val="0"/>
      <w:divBdr>
        <w:top w:val="none" w:sz="0" w:space="0" w:color="auto"/>
        <w:left w:val="none" w:sz="0" w:space="0" w:color="auto"/>
        <w:bottom w:val="none" w:sz="0" w:space="0" w:color="auto"/>
        <w:right w:val="none" w:sz="0" w:space="0" w:color="auto"/>
      </w:divBdr>
    </w:div>
    <w:div w:id="420224205">
      <w:bodyDiv w:val="1"/>
      <w:marLeft w:val="0"/>
      <w:marRight w:val="0"/>
      <w:marTop w:val="0"/>
      <w:marBottom w:val="0"/>
      <w:divBdr>
        <w:top w:val="none" w:sz="0" w:space="0" w:color="auto"/>
        <w:left w:val="none" w:sz="0" w:space="0" w:color="auto"/>
        <w:bottom w:val="none" w:sz="0" w:space="0" w:color="auto"/>
        <w:right w:val="none" w:sz="0" w:space="0" w:color="auto"/>
      </w:divBdr>
      <w:divsChild>
        <w:div w:id="386103785">
          <w:marLeft w:val="0"/>
          <w:marRight w:val="0"/>
          <w:marTop w:val="0"/>
          <w:marBottom w:val="0"/>
          <w:divBdr>
            <w:top w:val="none" w:sz="0" w:space="0" w:color="auto"/>
            <w:left w:val="none" w:sz="0" w:space="0" w:color="auto"/>
            <w:bottom w:val="none" w:sz="0" w:space="0" w:color="auto"/>
            <w:right w:val="none" w:sz="0" w:space="0" w:color="auto"/>
          </w:divBdr>
          <w:divsChild>
            <w:div w:id="202375369">
              <w:marLeft w:val="0"/>
              <w:marRight w:val="0"/>
              <w:marTop w:val="0"/>
              <w:marBottom w:val="0"/>
              <w:divBdr>
                <w:top w:val="none" w:sz="0" w:space="0" w:color="auto"/>
                <w:left w:val="none" w:sz="0" w:space="0" w:color="auto"/>
                <w:bottom w:val="none" w:sz="0" w:space="0" w:color="auto"/>
                <w:right w:val="none" w:sz="0" w:space="0" w:color="auto"/>
              </w:divBdr>
              <w:divsChild>
                <w:div w:id="178634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140861">
      <w:bodyDiv w:val="1"/>
      <w:marLeft w:val="0"/>
      <w:marRight w:val="0"/>
      <w:marTop w:val="0"/>
      <w:marBottom w:val="0"/>
      <w:divBdr>
        <w:top w:val="none" w:sz="0" w:space="0" w:color="auto"/>
        <w:left w:val="none" w:sz="0" w:space="0" w:color="auto"/>
        <w:bottom w:val="none" w:sz="0" w:space="0" w:color="auto"/>
        <w:right w:val="none" w:sz="0" w:space="0" w:color="auto"/>
      </w:divBdr>
      <w:divsChild>
        <w:div w:id="414791828">
          <w:marLeft w:val="0"/>
          <w:marRight w:val="0"/>
          <w:marTop w:val="0"/>
          <w:marBottom w:val="0"/>
          <w:divBdr>
            <w:top w:val="none" w:sz="0" w:space="0" w:color="auto"/>
            <w:left w:val="none" w:sz="0" w:space="0" w:color="auto"/>
            <w:bottom w:val="none" w:sz="0" w:space="0" w:color="auto"/>
            <w:right w:val="none" w:sz="0" w:space="0" w:color="auto"/>
          </w:divBdr>
          <w:divsChild>
            <w:div w:id="829247981">
              <w:marLeft w:val="0"/>
              <w:marRight w:val="0"/>
              <w:marTop w:val="0"/>
              <w:marBottom w:val="0"/>
              <w:divBdr>
                <w:top w:val="none" w:sz="0" w:space="0" w:color="auto"/>
                <w:left w:val="none" w:sz="0" w:space="0" w:color="auto"/>
                <w:bottom w:val="none" w:sz="0" w:space="0" w:color="auto"/>
                <w:right w:val="none" w:sz="0" w:space="0" w:color="auto"/>
              </w:divBdr>
              <w:divsChild>
                <w:div w:id="364059351">
                  <w:marLeft w:val="0"/>
                  <w:marRight w:val="0"/>
                  <w:marTop w:val="0"/>
                  <w:marBottom w:val="0"/>
                  <w:divBdr>
                    <w:top w:val="none" w:sz="0" w:space="0" w:color="auto"/>
                    <w:left w:val="none" w:sz="0" w:space="0" w:color="auto"/>
                    <w:bottom w:val="none" w:sz="0" w:space="0" w:color="auto"/>
                    <w:right w:val="none" w:sz="0" w:space="0" w:color="auto"/>
                  </w:divBdr>
                  <w:divsChild>
                    <w:div w:id="181301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410781">
      <w:bodyDiv w:val="1"/>
      <w:marLeft w:val="0"/>
      <w:marRight w:val="0"/>
      <w:marTop w:val="0"/>
      <w:marBottom w:val="0"/>
      <w:divBdr>
        <w:top w:val="none" w:sz="0" w:space="0" w:color="auto"/>
        <w:left w:val="none" w:sz="0" w:space="0" w:color="auto"/>
        <w:bottom w:val="none" w:sz="0" w:space="0" w:color="auto"/>
        <w:right w:val="none" w:sz="0" w:space="0" w:color="auto"/>
      </w:divBdr>
      <w:divsChild>
        <w:div w:id="1238706740">
          <w:marLeft w:val="0"/>
          <w:marRight w:val="0"/>
          <w:marTop w:val="0"/>
          <w:marBottom w:val="0"/>
          <w:divBdr>
            <w:top w:val="none" w:sz="0" w:space="0" w:color="auto"/>
            <w:left w:val="none" w:sz="0" w:space="0" w:color="auto"/>
            <w:bottom w:val="none" w:sz="0" w:space="0" w:color="auto"/>
            <w:right w:val="none" w:sz="0" w:space="0" w:color="auto"/>
          </w:divBdr>
          <w:divsChild>
            <w:div w:id="592202232">
              <w:marLeft w:val="0"/>
              <w:marRight w:val="0"/>
              <w:marTop w:val="0"/>
              <w:marBottom w:val="0"/>
              <w:divBdr>
                <w:top w:val="none" w:sz="0" w:space="0" w:color="auto"/>
                <w:left w:val="none" w:sz="0" w:space="0" w:color="auto"/>
                <w:bottom w:val="none" w:sz="0" w:space="0" w:color="auto"/>
                <w:right w:val="none" w:sz="0" w:space="0" w:color="auto"/>
              </w:divBdr>
              <w:divsChild>
                <w:div w:id="45051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57299">
      <w:bodyDiv w:val="1"/>
      <w:marLeft w:val="0"/>
      <w:marRight w:val="0"/>
      <w:marTop w:val="0"/>
      <w:marBottom w:val="0"/>
      <w:divBdr>
        <w:top w:val="none" w:sz="0" w:space="0" w:color="auto"/>
        <w:left w:val="none" w:sz="0" w:space="0" w:color="auto"/>
        <w:bottom w:val="none" w:sz="0" w:space="0" w:color="auto"/>
        <w:right w:val="none" w:sz="0" w:space="0" w:color="auto"/>
      </w:divBdr>
      <w:divsChild>
        <w:div w:id="691608239">
          <w:marLeft w:val="0"/>
          <w:marRight w:val="0"/>
          <w:marTop w:val="0"/>
          <w:marBottom w:val="0"/>
          <w:divBdr>
            <w:top w:val="none" w:sz="0" w:space="0" w:color="auto"/>
            <w:left w:val="none" w:sz="0" w:space="0" w:color="auto"/>
            <w:bottom w:val="none" w:sz="0" w:space="0" w:color="auto"/>
            <w:right w:val="none" w:sz="0" w:space="0" w:color="auto"/>
          </w:divBdr>
          <w:divsChild>
            <w:div w:id="1555384783">
              <w:marLeft w:val="0"/>
              <w:marRight w:val="0"/>
              <w:marTop w:val="0"/>
              <w:marBottom w:val="0"/>
              <w:divBdr>
                <w:top w:val="none" w:sz="0" w:space="0" w:color="auto"/>
                <w:left w:val="none" w:sz="0" w:space="0" w:color="auto"/>
                <w:bottom w:val="none" w:sz="0" w:space="0" w:color="auto"/>
                <w:right w:val="none" w:sz="0" w:space="0" w:color="auto"/>
              </w:divBdr>
              <w:divsChild>
                <w:div w:id="159412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065189">
      <w:bodyDiv w:val="1"/>
      <w:marLeft w:val="0"/>
      <w:marRight w:val="0"/>
      <w:marTop w:val="0"/>
      <w:marBottom w:val="0"/>
      <w:divBdr>
        <w:top w:val="none" w:sz="0" w:space="0" w:color="auto"/>
        <w:left w:val="none" w:sz="0" w:space="0" w:color="auto"/>
        <w:bottom w:val="none" w:sz="0" w:space="0" w:color="auto"/>
        <w:right w:val="none" w:sz="0" w:space="0" w:color="auto"/>
      </w:divBdr>
    </w:div>
    <w:div w:id="1251311374">
      <w:bodyDiv w:val="1"/>
      <w:marLeft w:val="0"/>
      <w:marRight w:val="0"/>
      <w:marTop w:val="0"/>
      <w:marBottom w:val="0"/>
      <w:divBdr>
        <w:top w:val="none" w:sz="0" w:space="0" w:color="auto"/>
        <w:left w:val="none" w:sz="0" w:space="0" w:color="auto"/>
        <w:bottom w:val="none" w:sz="0" w:space="0" w:color="auto"/>
        <w:right w:val="none" w:sz="0" w:space="0" w:color="auto"/>
      </w:divBdr>
    </w:div>
    <w:div w:id="1282961304">
      <w:bodyDiv w:val="1"/>
      <w:marLeft w:val="0"/>
      <w:marRight w:val="0"/>
      <w:marTop w:val="0"/>
      <w:marBottom w:val="0"/>
      <w:divBdr>
        <w:top w:val="none" w:sz="0" w:space="0" w:color="auto"/>
        <w:left w:val="none" w:sz="0" w:space="0" w:color="auto"/>
        <w:bottom w:val="none" w:sz="0" w:space="0" w:color="auto"/>
        <w:right w:val="none" w:sz="0" w:space="0" w:color="auto"/>
      </w:divBdr>
      <w:divsChild>
        <w:div w:id="110171793">
          <w:marLeft w:val="0"/>
          <w:marRight w:val="0"/>
          <w:marTop w:val="0"/>
          <w:marBottom w:val="0"/>
          <w:divBdr>
            <w:top w:val="none" w:sz="0" w:space="0" w:color="auto"/>
            <w:left w:val="none" w:sz="0" w:space="0" w:color="auto"/>
            <w:bottom w:val="none" w:sz="0" w:space="0" w:color="auto"/>
            <w:right w:val="none" w:sz="0" w:space="0" w:color="auto"/>
          </w:divBdr>
          <w:divsChild>
            <w:div w:id="2128624577">
              <w:marLeft w:val="0"/>
              <w:marRight w:val="0"/>
              <w:marTop w:val="0"/>
              <w:marBottom w:val="0"/>
              <w:divBdr>
                <w:top w:val="none" w:sz="0" w:space="0" w:color="auto"/>
                <w:left w:val="none" w:sz="0" w:space="0" w:color="auto"/>
                <w:bottom w:val="none" w:sz="0" w:space="0" w:color="auto"/>
                <w:right w:val="none" w:sz="0" w:space="0" w:color="auto"/>
              </w:divBdr>
              <w:divsChild>
                <w:div w:id="210603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181220">
      <w:bodyDiv w:val="1"/>
      <w:marLeft w:val="0"/>
      <w:marRight w:val="0"/>
      <w:marTop w:val="0"/>
      <w:marBottom w:val="0"/>
      <w:divBdr>
        <w:top w:val="none" w:sz="0" w:space="0" w:color="auto"/>
        <w:left w:val="none" w:sz="0" w:space="0" w:color="auto"/>
        <w:bottom w:val="none" w:sz="0" w:space="0" w:color="auto"/>
        <w:right w:val="none" w:sz="0" w:space="0" w:color="auto"/>
      </w:divBdr>
      <w:divsChild>
        <w:div w:id="1864320794">
          <w:marLeft w:val="0"/>
          <w:marRight w:val="0"/>
          <w:marTop w:val="0"/>
          <w:marBottom w:val="0"/>
          <w:divBdr>
            <w:top w:val="none" w:sz="0" w:space="0" w:color="auto"/>
            <w:left w:val="none" w:sz="0" w:space="0" w:color="auto"/>
            <w:bottom w:val="none" w:sz="0" w:space="0" w:color="auto"/>
            <w:right w:val="none" w:sz="0" w:space="0" w:color="auto"/>
          </w:divBdr>
          <w:divsChild>
            <w:div w:id="1666544557">
              <w:marLeft w:val="0"/>
              <w:marRight w:val="0"/>
              <w:marTop w:val="0"/>
              <w:marBottom w:val="0"/>
              <w:divBdr>
                <w:top w:val="none" w:sz="0" w:space="0" w:color="auto"/>
                <w:left w:val="none" w:sz="0" w:space="0" w:color="auto"/>
                <w:bottom w:val="none" w:sz="0" w:space="0" w:color="auto"/>
                <w:right w:val="none" w:sz="0" w:space="0" w:color="auto"/>
              </w:divBdr>
              <w:divsChild>
                <w:div w:id="182296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689591">
      <w:bodyDiv w:val="1"/>
      <w:marLeft w:val="0"/>
      <w:marRight w:val="0"/>
      <w:marTop w:val="0"/>
      <w:marBottom w:val="0"/>
      <w:divBdr>
        <w:top w:val="none" w:sz="0" w:space="0" w:color="auto"/>
        <w:left w:val="none" w:sz="0" w:space="0" w:color="auto"/>
        <w:bottom w:val="none" w:sz="0" w:space="0" w:color="auto"/>
        <w:right w:val="none" w:sz="0" w:space="0" w:color="auto"/>
      </w:divBdr>
      <w:divsChild>
        <w:div w:id="1692875335">
          <w:marLeft w:val="0"/>
          <w:marRight w:val="0"/>
          <w:marTop w:val="0"/>
          <w:marBottom w:val="0"/>
          <w:divBdr>
            <w:top w:val="none" w:sz="0" w:space="0" w:color="auto"/>
            <w:left w:val="none" w:sz="0" w:space="0" w:color="auto"/>
            <w:bottom w:val="none" w:sz="0" w:space="0" w:color="auto"/>
            <w:right w:val="none" w:sz="0" w:space="0" w:color="auto"/>
          </w:divBdr>
          <w:divsChild>
            <w:div w:id="1355568940">
              <w:marLeft w:val="0"/>
              <w:marRight w:val="0"/>
              <w:marTop w:val="0"/>
              <w:marBottom w:val="0"/>
              <w:divBdr>
                <w:top w:val="none" w:sz="0" w:space="0" w:color="auto"/>
                <w:left w:val="none" w:sz="0" w:space="0" w:color="auto"/>
                <w:bottom w:val="none" w:sz="0" w:space="0" w:color="auto"/>
                <w:right w:val="none" w:sz="0" w:space="0" w:color="auto"/>
              </w:divBdr>
              <w:divsChild>
                <w:div w:id="55209794">
                  <w:marLeft w:val="0"/>
                  <w:marRight w:val="0"/>
                  <w:marTop w:val="0"/>
                  <w:marBottom w:val="0"/>
                  <w:divBdr>
                    <w:top w:val="none" w:sz="0" w:space="0" w:color="auto"/>
                    <w:left w:val="none" w:sz="0" w:space="0" w:color="auto"/>
                    <w:bottom w:val="none" w:sz="0" w:space="0" w:color="auto"/>
                    <w:right w:val="none" w:sz="0" w:space="0" w:color="auto"/>
                  </w:divBdr>
                  <w:divsChild>
                    <w:div w:id="70144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665896">
      <w:bodyDiv w:val="1"/>
      <w:marLeft w:val="0"/>
      <w:marRight w:val="0"/>
      <w:marTop w:val="0"/>
      <w:marBottom w:val="0"/>
      <w:divBdr>
        <w:top w:val="none" w:sz="0" w:space="0" w:color="auto"/>
        <w:left w:val="none" w:sz="0" w:space="0" w:color="auto"/>
        <w:bottom w:val="none" w:sz="0" w:space="0" w:color="auto"/>
        <w:right w:val="none" w:sz="0" w:space="0" w:color="auto"/>
      </w:divBdr>
      <w:divsChild>
        <w:div w:id="1652366017">
          <w:marLeft w:val="0"/>
          <w:marRight w:val="0"/>
          <w:marTop w:val="0"/>
          <w:marBottom w:val="0"/>
          <w:divBdr>
            <w:top w:val="none" w:sz="0" w:space="0" w:color="auto"/>
            <w:left w:val="none" w:sz="0" w:space="0" w:color="auto"/>
            <w:bottom w:val="none" w:sz="0" w:space="0" w:color="auto"/>
            <w:right w:val="none" w:sz="0" w:space="0" w:color="auto"/>
          </w:divBdr>
          <w:divsChild>
            <w:div w:id="1762294168">
              <w:marLeft w:val="0"/>
              <w:marRight w:val="0"/>
              <w:marTop w:val="0"/>
              <w:marBottom w:val="0"/>
              <w:divBdr>
                <w:top w:val="none" w:sz="0" w:space="0" w:color="auto"/>
                <w:left w:val="none" w:sz="0" w:space="0" w:color="auto"/>
                <w:bottom w:val="none" w:sz="0" w:space="0" w:color="auto"/>
                <w:right w:val="none" w:sz="0" w:space="0" w:color="auto"/>
              </w:divBdr>
              <w:divsChild>
                <w:div w:id="95742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445314">
      <w:bodyDiv w:val="1"/>
      <w:marLeft w:val="0"/>
      <w:marRight w:val="0"/>
      <w:marTop w:val="0"/>
      <w:marBottom w:val="0"/>
      <w:divBdr>
        <w:top w:val="none" w:sz="0" w:space="0" w:color="auto"/>
        <w:left w:val="none" w:sz="0" w:space="0" w:color="auto"/>
        <w:bottom w:val="none" w:sz="0" w:space="0" w:color="auto"/>
        <w:right w:val="none" w:sz="0" w:space="0" w:color="auto"/>
      </w:divBdr>
    </w:div>
    <w:div w:id="1981105143">
      <w:bodyDiv w:val="1"/>
      <w:marLeft w:val="0"/>
      <w:marRight w:val="0"/>
      <w:marTop w:val="0"/>
      <w:marBottom w:val="0"/>
      <w:divBdr>
        <w:top w:val="none" w:sz="0" w:space="0" w:color="auto"/>
        <w:left w:val="none" w:sz="0" w:space="0" w:color="auto"/>
        <w:bottom w:val="none" w:sz="0" w:space="0" w:color="auto"/>
        <w:right w:val="none" w:sz="0" w:space="0" w:color="auto"/>
      </w:divBdr>
      <w:divsChild>
        <w:div w:id="844054222">
          <w:marLeft w:val="0"/>
          <w:marRight w:val="0"/>
          <w:marTop w:val="0"/>
          <w:marBottom w:val="0"/>
          <w:divBdr>
            <w:top w:val="none" w:sz="0" w:space="0" w:color="auto"/>
            <w:left w:val="none" w:sz="0" w:space="0" w:color="auto"/>
            <w:bottom w:val="none" w:sz="0" w:space="0" w:color="auto"/>
            <w:right w:val="none" w:sz="0" w:space="0" w:color="auto"/>
          </w:divBdr>
          <w:divsChild>
            <w:div w:id="1201896878">
              <w:marLeft w:val="0"/>
              <w:marRight w:val="0"/>
              <w:marTop w:val="0"/>
              <w:marBottom w:val="0"/>
              <w:divBdr>
                <w:top w:val="none" w:sz="0" w:space="0" w:color="auto"/>
                <w:left w:val="none" w:sz="0" w:space="0" w:color="auto"/>
                <w:bottom w:val="none" w:sz="0" w:space="0" w:color="auto"/>
                <w:right w:val="none" w:sz="0" w:space="0" w:color="auto"/>
              </w:divBdr>
              <w:divsChild>
                <w:div w:id="19315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20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B8548-46FA-A549-BD29-644AABA6F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40</Pages>
  <Words>18912</Words>
  <Characters>104017</Characters>
  <Application>Microsoft Office Word</Application>
  <DocSecurity>0</DocSecurity>
  <Lines>866</Lines>
  <Paragraphs>245</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122684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ALBINO RODRÍGUEZ DÍAZ</dc:creator>
  <cp:keywords/>
  <dc:description/>
  <cp:lastModifiedBy>Norma Alicia Santilan Castillo</cp:lastModifiedBy>
  <cp:revision>9</cp:revision>
  <cp:lastPrinted>2025-06-23T18:02:00Z</cp:lastPrinted>
  <dcterms:created xsi:type="dcterms:W3CDTF">2025-09-22T14:49:00Z</dcterms:created>
  <dcterms:modified xsi:type="dcterms:W3CDTF">2025-10-06T14:59:00Z</dcterms:modified>
  <cp:category/>
</cp:coreProperties>
</file>