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230BC" w14:textId="1568FD6C" w:rsidR="00F20F99" w:rsidRPr="00FE4589" w:rsidRDefault="00FE4589" w:rsidP="00F20F99">
      <w:pPr>
        <w:spacing w:before="240" w:line="360" w:lineRule="auto"/>
        <w:jc w:val="right"/>
        <w:rPr>
          <w:rFonts w:ascii="Times New Roman" w:hAnsi="Times New Roman"/>
          <w:b/>
          <w:bCs/>
          <w:i/>
          <w:iCs/>
          <w:color w:val="000000" w:themeColor="text1"/>
          <w:sz w:val="24"/>
          <w:szCs w:val="24"/>
        </w:rPr>
      </w:pPr>
      <w:r w:rsidRPr="00FE4589">
        <w:rPr>
          <w:rFonts w:ascii="Times New Roman" w:hAnsi="Times New Roman"/>
          <w:b/>
          <w:bCs/>
          <w:i/>
          <w:iCs/>
          <w:color w:val="000000" w:themeColor="text1"/>
          <w:sz w:val="24"/>
          <w:szCs w:val="24"/>
        </w:rPr>
        <w:t>https://doi.org/10.23913/ride.v15i30.2320</w:t>
      </w:r>
    </w:p>
    <w:p w14:paraId="1B112651" w14:textId="711C5D57" w:rsidR="00F20F99" w:rsidRPr="007602EA" w:rsidRDefault="00F20F99" w:rsidP="00F20F99">
      <w:pPr>
        <w:spacing w:before="240" w:line="360" w:lineRule="auto"/>
        <w:jc w:val="right"/>
        <w:rPr>
          <w:rFonts w:ascii="Times New Roman" w:hAnsi="Times New Roman" w:cs="Times New Roman"/>
          <w:b/>
          <w:bCs/>
          <w:sz w:val="28"/>
          <w:szCs w:val="28"/>
        </w:rPr>
      </w:pPr>
      <w:r w:rsidRPr="007602EA">
        <w:rPr>
          <w:rFonts w:ascii="Times New Roman" w:hAnsi="Times New Roman"/>
          <w:b/>
          <w:bCs/>
          <w:i/>
          <w:iCs/>
          <w:color w:val="000000" w:themeColor="text1"/>
          <w:sz w:val="24"/>
          <w:szCs w:val="24"/>
        </w:rPr>
        <w:t>Artículos científicos</w:t>
      </w:r>
    </w:p>
    <w:p w14:paraId="3DD2BDC8" w14:textId="63B46846" w:rsidR="002A2DF0" w:rsidRPr="00F20F99" w:rsidRDefault="002A2DF0" w:rsidP="00F20F99">
      <w:pPr>
        <w:spacing w:after="0" w:line="276" w:lineRule="auto"/>
        <w:jc w:val="right"/>
        <w:rPr>
          <w:rFonts w:ascii="Calibri" w:hAnsi="Calibri" w:cs="Calibri"/>
          <w:b/>
          <w:sz w:val="32"/>
          <w:szCs w:val="32"/>
        </w:rPr>
      </w:pPr>
      <w:r w:rsidRPr="00F20F99">
        <w:rPr>
          <w:rFonts w:ascii="Calibri" w:hAnsi="Calibri" w:cs="Calibri"/>
          <w:b/>
          <w:sz w:val="32"/>
          <w:szCs w:val="32"/>
        </w:rPr>
        <w:t>Validación de Instrumento de medición para Transferencia de Tecnología Intra-Empresa</w:t>
      </w:r>
    </w:p>
    <w:p w14:paraId="55475138" w14:textId="02AF47B3" w:rsidR="002A2DF0" w:rsidRPr="00F20F99" w:rsidRDefault="00F20F99" w:rsidP="00F20F99">
      <w:pPr>
        <w:spacing w:after="0" w:line="276" w:lineRule="auto"/>
        <w:jc w:val="right"/>
        <w:rPr>
          <w:rFonts w:ascii="Calibri" w:hAnsi="Calibri" w:cs="Calibri"/>
          <w:b/>
          <w:i/>
          <w:iCs/>
          <w:sz w:val="28"/>
          <w:szCs w:val="28"/>
        </w:rPr>
      </w:pPr>
      <w:r>
        <w:rPr>
          <w:rFonts w:ascii="Calibri" w:hAnsi="Calibri" w:cs="Calibri"/>
          <w:b/>
          <w:i/>
          <w:iCs/>
          <w:sz w:val="28"/>
          <w:szCs w:val="28"/>
        </w:rPr>
        <w:br/>
      </w:r>
      <w:proofErr w:type="spellStart"/>
      <w:r w:rsidR="002A2DF0" w:rsidRPr="00F20F99">
        <w:rPr>
          <w:rFonts w:ascii="Calibri" w:hAnsi="Calibri" w:cs="Calibri"/>
          <w:b/>
          <w:i/>
          <w:iCs/>
          <w:sz w:val="28"/>
          <w:szCs w:val="28"/>
        </w:rPr>
        <w:t>Validation</w:t>
      </w:r>
      <w:proofErr w:type="spellEnd"/>
      <w:r w:rsidR="002A2DF0" w:rsidRPr="00F20F99">
        <w:rPr>
          <w:rFonts w:ascii="Calibri" w:hAnsi="Calibri" w:cs="Calibri"/>
          <w:b/>
          <w:i/>
          <w:iCs/>
          <w:sz w:val="28"/>
          <w:szCs w:val="28"/>
        </w:rPr>
        <w:t xml:space="preserve"> </w:t>
      </w:r>
      <w:proofErr w:type="spellStart"/>
      <w:r w:rsidR="002A2DF0" w:rsidRPr="00F20F99">
        <w:rPr>
          <w:rFonts w:ascii="Calibri" w:hAnsi="Calibri" w:cs="Calibri"/>
          <w:b/>
          <w:i/>
          <w:iCs/>
          <w:sz w:val="28"/>
          <w:szCs w:val="28"/>
        </w:rPr>
        <w:t>of</w:t>
      </w:r>
      <w:proofErr w:type="spellEnd"/>
      <w:r w:rsidR="002A2DF0" w:rsidRPr="00F20F99">
        <w:rPr>
          <w:rFonts w:ascii="Calibri" w:hAnsi="Calibri" w:cs="Calibri"/>
          <w:b/>
          <w:i/>
          <w:iCs/>
          <w:sz w:val="28"/>
          <w:szCs w:val="28"/>
        </w:rPr>
        <w:t xml:space="preserve"> a </w:t>
      </w:r>
      <w:proofErr w:type="spellStart"/>
      <w:r w:rsidR="002A2DF0" w:rsidRPr="00F20F99">
        <w:rPr>
          <w:rFonts w:ascii="Calibri" w:hAnsi="Calibri" w:cs="Calibri"/>
          <w:b/>
          <w:i/>
          <w:iCs/>
          <w:sz w:val="28"/>
          <w:szCs w:val="28"/>
        </w:rPr>
        <w:t>Measurement</w:t>
      </w:r>
      <w:proofErr w:type="spellEnd"/>
      <w:r w:rsidR="002A2DF0" w:rsidRPr="00F20F99">
        <w:rPr>
          <w:rFonts w:ascii="Calibri" w:hAnsi="Calibri" w:cs="Calibri"/>
          <w:b/>
          <w:i/>
          <w:iCs/>
          <w:sz w:val="28"/>
          <w:szCs w:val="28"/>
        </w:rPr>
        <w:t xml:space="preserve"> </w:t>
      </w:r>
      <w:proofErr w:type="spellStart"/>
      <w:r w:rsidR="002A2DF0" w:rsidRPr="00F20F99">
        <w:rPr>
          <w:rFonts w:ascii="Calibri" w:hAnsi="Calibri" w:cs="Calibri"/>
          <w:b/>
          <w:i/>
          <w:iCs/>
          <w:sz w:val="28"/>
          <w:szCs w:val="28"/>
        </w:rPr>
        <w:t>Instrument</w:t>
      </w:r>
      <w:proofErr w:type="spellEnd"/>
      <w:r w:rsidR="002A2DF0" w:rsidRPr="00F20F99">
        <w:rPr>
          <w:rFonts w:ascii="Calibri" w:hAnsi="Calibri" w:cs="Calibri"/>
          <w:b/>
          <w:i/>
          <w:iCs/>
          <w:sz w:val="28"/>
          <w:szCs w:val="28"/>
        </w:rPr>
        <w:t xml:space="preserve"> </w:t>
      </w:r>
      <w:proofErr w:type="spellStart"/>
      <w:r w:rsidR="002A2DF0" w:rsidRPr="00F20F99">
        <w:rPr>
          <w:rFonts w:ascii="Calibri" w:hAnsi="Calibri" w:cs="Calibri"/>
          <w:b/>
          <w:i/>
          <w:iCs/>
          <w:sz w:val="28"/>
          <w:szCs w:val="28"/>
        </w:rPr>
        <w:t>for</w:t>
      </w:r>
      <w:proofErr w:type="spellEnd"/>
      <w:r w:rsidR="002A2DF0" w:rsidRPr="00F20F99">
        <w:rPr>
          <w:rFonts w:ascii="Calibri" w:hAnsi="Calibri" w:cs="Calibri"/>
          <w:b/>
          <w:i/>
          <w:iCs/>
          <w:sz w:val="28"/>
          <w:szCs w:val="28"/>
        </w:rPr>
        <w:t xml:space="preserve"> </w:t>
      </w:r>
      <w:proofErr w:type="spellStart"/>
      <w:r w:rsidR="002A2DF0" w:rsidRPr="00F20F99">
        <w:rPr>
          <w:rFonts w:ascii="Calibri" w:hAnsi="Calibri" w:cs="Calibri"/>
          <w:b/>
          <w:i/>
          <w:iCs/>
          <w:sz w:val="28"/>
          <w:szCs w:val="28"/>
        </w:rPr>
        <w:t>Intra-</w:t>
      </w:r>
      <w:r w:rsidR="00181CB4" w:rsidRPr="00F20F99">
        <w:rPr>
          <w:rFonts w:ascii="Calibri" w:hAnsi="Calibri" w:cs="Calibri"/>
          <w:b/>
          <w:i/>
          <w:iCs/>
          <w:sz w:val="28"/>
          <w:szCs w:val="28"/>
        </w:rPr>
        <w:t>firm</w:t>
      </w:r>
      <w:proofErr w:type="spellEnd"/>
      <w:r w:rsidR="00181CB4" w:rsidRPr="00F20F99">
        <w:rPr>
          <w:rFonts w:ascii="Calibri" w:hAnsi="Calibri" w:cs="Calibri"/>
          <w:b/>
          <w:i/>
          <w:iCs/>
          <w:sz w:val="28"/>
          <w:szCs w:val="28"/>
        </w:rPr>
        <w:t xml:space="preserve"> </w:t>
      </w:r>
      <w:proofErr w:type="spellStart"/>
      <w:r w:rsidR="002A2DF0" w:rsidRPr="00F20F99">
        <w:rPr>
          <w:rFonts w:ascii="Calibri" w:hAnsi="Calibri" w:cs="Calibri"/>
          <w:b/>
          <w:i/>
          <w:iCs/>
          <w:sz w:val="28"/>
          <w:szCs w:val="28"/>
        </w:rPr>
        <w:t>Technology</w:t>
      </w:r>
      <w:proofErr w:type="spellEnd"/>
      <w:r w:rsidR="002A2DF0" w:rsidRPr="00F20F99">
        <w:rPr>
          <w:rFonts w:ascii="Calibri" w:hAnsi="Calibri" w:cs="Calibri"/>
          <w:b/>
          <w:i/>
          <w:iCs/>
          <w:sz w:val="28"/>
          <w:szCs w:val="28"/>
        </w:rPr>
        <w:t xml:space="preserve"> Transfer</w:t>
      </w:r>
    </w:p>
    <w:p w14:paraId="64BBDA6F" w14:textId="195E3DA6" w:rsidR="00F20F99" w:rsidRPr="00F20F99" w:rsidRDefault="00F20F99" w:rsidP="00F20F99">
      <w:pPr>
        <w:spacing w:after="0" w:line="276" w:lineRule="auto"/>
        <w:jc w:val="right"/>
        <w:rPr>
          <w:rFonts w:ascii="Calibri" w:hAnsi="Calibri" w:cs="Calibri"/>
          <w:b/>
          <w:i/>
          <w:iCs/>
          <w:sz w:val="28"/>
          <w:szCs w:val="28"/>
        </w:rPr>
      </w:pPr>
      <w:r>
        <w:rPr>
          <w:rFonts w:ascii="Calibri" w:hAnsi="Calibri" w:cs="Calibri"/>
          <w:b/>
          <w:i/>
          <w:iCs/>
          <w:sz w:val="28"/>
          <w:szCs w:val="28"/>
        </w:rPr>
        <w:br/>
      </w:r>
      <w:proofErr w:type="spellStart"/>
      <w:r w:rsidRPr="00F20F99">
        <w:rPr>
          <w:rFonts w:ascii="Calibri" w:hAnsi="Calibri" w:cs="Calibri"/>
          <w:b/>
          <w:i/>
          <w:iCs/>
          <w:sz w:val="28"/>
          <w:szCs w:val="28"/>
        </w:rPr>
        <w:t>Validação</w:t>
      </w:r>
      <w:proofErr w:type="spellEnd"/>
      <w:r w:rsidRPr="00F20F99">
        <w:rPr>
          <w:rFonts w:ascii="Calibri" w:hAnsi="Calibri" w:cs="Calibri"/>
          <w:b/>
          <w:i/>
          <w:iCs/>
          <w:sz w:val="28"/>
          <w:szCs w:val="28"/>
        </w:rPr>
        <w:t xml:space="preserve"> de Instrumento de </w:t>
      </w:r>
      <w:proofErr w:type="spellStart"/>
      <w:r w:rsidRPr="00F20F99">
        <w:rPr>
          <w:rFonts w:ascii="Calibri" w:hAnsi="Calibri" w:cs="Calibri"/>
          <w:b/>
          <w:i/>
          <w:iCs/>
          <w:sz w:val="28"/>
          <w:szCs w:val="28"/>
        </w:rPr>
        <w:t>Medição</w:t>
      </w:r>
      <w:proofErr w:type="spellEnd"/>
      <w:r w:rsidRPr="00F20F99">
        <w:rPr>
          <w:rFonts w:ascii="Calibri" w:hAnsi="Calibri" w:cs="Calibri"/>
          <w:b/>
          <w:i/>
          <w:iCs/>
          <w:sz w:val="28"/>
          <w:szCs w:val="28"/>
        </w:rPr>
        <w:t xml:space="preserve"> para </w:t>
      </w:r>
      <w:proofErr w:type="spellStart"/>
      <w:r w:rsidRPr="00F20F99">
        <w:rPr>
          <w:rFonts w:ascii="Calibri" w:hAnsi="Calibri" w:cs="Calibri"/>
          <w:b/>
          <w:i/>
          <w:iCs/>
          <w:sz w:val="28"/>
          <w:szCs w:val="28"/>
        </w:rPr>
        <w:t>Transferência</w:t>
      </w:r>
      <w:proofErr w:type="spellEnd"/>
      <w:r w:rsidRPr="00F20F99">
        <w:rPr>
          <w:rFonts w:ascii="Calibri" w:hAnsi="Calibri" w:cs="Calibri"/>
          <w:b/>
          <w:i/>
          <w:iCs/>
          <w:sz w:val="28"/>
          <w:szCs w:val="28"/>
        </w:rPr>
        <w:t xml:space="preserve"> de </w:t>
      </w:r>
      <w:proofErr w:type="spellStart"/>
      <w:r w:rsidRPr="00F20F99">
        <w:rPr>
          <w:rFonts w:ascii="Calibri" w:hAnsi="Calibri" w:cs="Calibri"/>
          <w:b/>
          <w:i/>
          <w:iCs/>
          <w:sz w:val="28"/>
          <w:szCs w:val="28"/>
        </w:rPr>
        <w:t>Tecnologia</w:t>
      </w:r>
      <w:proofErr w:type="spellEnd"/>
      <w:r w:rsidRPr="00F20F99">
        <w:rPr>
          <w:rFonts w:ascii="Calibri" w:hAnsi="Calibri" w:cs="Calibri"/>
          <w:b/>
          <w:i/>
          <w:iCs/>
          <w:sz w:val="28"/>
          <w:szCs w:val="28"/>
        </w:rPr>
        <w:t xml:space="preserve"> </w:t>
      </w:r>
      <w:proofErr w:type="spellStart"/>
      <w:r w:rsidRPr="00F20F99">
        <w:rPr>
          <w:rFonts w:ascii="Calibri" w:hAnsi="Calibri" w:cs="Calibri"/>
          <w:b/>
          <w:i/>
          <w:iCs/>
          <w:sz w:val="28"/>
          <w:szCs w:val="28"/>
        </w:rPr>
        <w:t>Intraempresarial</w:t>
      </w:r>
      <w:proofErr w:type="spellEnd"/>
    </w:p>
    <w:p w14:paraId="5412B6A4" w14:textId="77777777" w:rsidR="00700D41" w:rsidRPr="00F20F99" w:rsidRDefault="00700D41" w:rsidP="00700D41">
      <w:pPr>
        <w:spacing w:after="0" w:line="360" w:lineRule="auto"/>
        <w:rPr>
          <w:rFonts w:ascii="Times New Roman" w:hAnsi="Times New Roman" w:cs="Times New Roman"/>
          <w:i/>
          <w:iCs/>
          <w:lang w:val="en-US"/>
        </w:rPr>
      </w:pPr>
    </w:p>
    <w:p w14:paraId="2B55DB73" w14:textId="77777777" w:rsidR="00E85379" w:rsidRPr="00F20F99" w:rsidRDefault="00E85379" w:rsidP="00F20F99">
      <w:pPr>
        <w:spacing w:after="0" w:line="276" w:lineRule="auto"/>
        <w:jc w:val="right"/>
        <w:rPr>
          <w:rFonts w:cstheme="minorHAnsi"/>
          <w:b/>
          <w:bCs/>
          <w:sz w:val="24"/>
          <w:szCs w:val="24"/>
        </w:rPr>
      </w:pPr>
      <w:r w:rsidRPr="00F20F99">
        <w:rPr>
          <w:rFonts w:cstheme="minorHAnsi"/>
          <w:b/>
          <w:bCs/>
          <w:sz w:val="24"/>
          <w:szCs w:val="24"/>
        </w:rPr>
        <w:t xml:space="preserve">Jorge Quijano </w:t>
      </w:r>
      <w:proofErr w:type="spellStart"/>
      <w:r w:rsidRPr="00F20F99">
        <w:rPr>
          <w:rFonts w:cstheme="minorHAnsi"/>
          <w:b/>
          <w:bCs/>
          <w:sz w:val="24"/>
          <w:szCs w:val="24"/>
        </w:rPr>
        <w:t>Gallardo</w:t>
      </w:r>
      <w:proofErr w:type="spellEnd"/>
    </w:p>
    <w:p w14:paraId="53335459" w14:textId="77777777" w:rsidR="00F20F99" w:rsidRPr="00F20F99" w:rsidRDefault="00E85379" w:rsidP="00F20F99">
      <w:pPr>
        <w:spacing w:after="0" w:line="276" w:lineRule="auto"/>
        <w:jc w:val="right"/>
        <w:rPr>
          <w:rFonts w:cstheme="minorHAnsi"/>
          <w:color w:val="FF0000"/>
          <w:sz w:val="24"/>
          <w:szCs w:val="24"/>
        </w:rPr>
      </w:pPr>
      <w:r w:rsidRPr="00E85379">
        <w:rPr>
          <w:rFonts w:ascii="Times New Roman" w:hAnsi="Times New Roman" w:cs="Times New Roman"/>
          <w:sz w:val="24"/>
          <w:szCs w:val="24"/>
        </w:rPr>
        <w:t>Universidad Autónoma de Ciudad Juárez, México</w:t>
      </w:r>
      <w:r w:rsidR="00F20F99">
        <w:rPr>
          <w:rFonts w:ascii="Times New Roman" w:hAnsi="Times New Roman" w:cs="Times New Roman"/>
          <w:sz w:val="24"/>
          <w:szCs w:val="24"/>
        </w:rPr>
        <w:br/>
      </w:r>
      <w:r w:rsidR="00F20F99" w:rsidRPr="00F20F99">
        <w:rPr>
          <w:rFonts w:cstheme="minorHAnsi"/>
          <w:color w:val="FF0000"/>
          <w:sz w:val="24"/>
          <w:szCs w:val="24"/>
        </w:rPr>
        <w:t>jorge.quijano@live.com.mx</w:t>
      </w:r>
    </w:p>
    <w:p w14:paraId="35E145C4" w14:textId="16311FF3" w:rsidR="00E85379" w:rsidRPr="00E85379" w:rsidRDefault="00F20F99" w:rsidP="00F20F99">
      <w:pPr>
        <w:spacing w:after="0" w:line="276" w:lineRule="auto"/>
        <w:jc w:val="right"/>
        <w:rPr>
          <w:rFonts w:ascii="Times New Roman" w:hAnsi="Times New Roman" w:cs="Times New Roman"/>
          <w:sz w:val="24"/>
          <w:szCs w:val="24"/>
        </w:rPr>
      </w:pPr>
      <w:r w:rsidRPr="00F20F99">
        <w:rPr>
          <w:rFonts w:ascii="Times New Roman" w:hAnsi="Times New Roman"/>
          <w:sz w:val="24"/>
          <w:szCs w:val="28"/>
        </w:rPr>
        <w:t>https://orcid.org/</w:t>
      </w:r>
      <w:r w:rsidR="00E85379" w:rsidRPr="00E85379">
        <w:rPr>
          <w:rFonts w:ascii="Times New Roman" w:hAnsi="Times New Roman" w:cs="Times New Roman"/>
          <w:sz w:val="24"/>
          <w:szCs w:val="24"/>
        </w:rPr>
        <w:t>0000-0001-6293-4982</w:t>
      </w:r>
    </w:p>
    <w:p w14:paraId="573B1333" w14:textId="77777777" w:rsidR="00E85379" w:rsidRPr="00E85379" w:rsidRDefault="00E85379" w:rsidP="00F20F99">
      <w:pPr>
        <w:spacing w:after="0" w:line="276" w:lineRule="auto"/>
        <w:jc w:val="right"/>
        <w:rPr>
          <w:rFonts w:ascii="Times New Roman" w:hAnsi="Times New Roman" w:cs="Times New Roman"/>
          <w:sz w:val="24"/>
          <w:szCs w:val="24"/>
        </w:rPr>
      </w:pPr>
    </w:p>
    <w:p w14:paraId="105C7D0C" w14:textId="77777777" w:rsidR="00E85379" w:rsidRPr="00F20F99" w:rsidRDefault="00E85379" w:rsidP="00F20F99">
      <w:pPr>
        <w:spacing w:after="0" w:line="276" w:lineRule="auto"/>
        <w:jc w:val="right"/>
        <w:rPr>
          <w:rFonts w:cstheme="minorHAnsi"/>
          <w:b/>
          <w:bCs/>
          <w:sz w:val="24"/>
          <w:szCs w:val="24"/>
        </w:rPr>
      </w:pPr>
      <w:r w:rsidRPr="00F20F99">
        <w:rPr>
          <w:rFonts w:cstheme="minorHAnsi"/>
          <w:b/>
          <w:bCs/>
          <w:sz w:val="24"/>
          <w:szCs w:val="24"/>
        </w:rPr>
        <w:t>Jesús Hernández Gómez</w:t>
      </w:r>
    </w:p>
    <w:p w14:paraId="048820BD" w14:textId="77777777" w:rsidR="00F20F99" w:rsidRPr="00F20F99" w:rsidRDefault="00E85379" w:rsidP="00F20F99">
      <w:pPr>
        <w:spacing w:after="0" w:line="276" w:lineRule="auto"/>
        <w:jc w:val="right"/>
        <w:rPr>
          <w:rFonts w:cstheme="minorHAnsi"/>
          <w:color w:val="FF0000"/>
          <w:sz w:val="24"/>
          <w:szCs w:val="24"/>
        </w:rPr>
      </w:pPr>
      <w:r w:rsidRPr="00E85379">
        <w:rPr>
          <w:rFonts w:ascii="Times New Roman" w:hAnsi="Times New Roman" w:cs="Times New Roman"/>
          <w:sz w:val="24"/>
          <w:szCs w:val="24"/>
        </w:rPr>
        <w:t>Universidad Autónoma de Ciudad Juárez, México</w:t>
      </w:r>
      <w:r w:rsidR="00F20F99">
        <w:rPr>
          <w:rFonts w:ascii="Times New Roman" w:hAnsi="Times New Roman" w:cs="Times New Roman"/>
          <w:sz w:val="24"/>
          <w:szCs w:val="24"/>
        </w:rPr>
        <w:br/>
      </w:r>
      <w:r w:rsidR="00F20F99" w:rsidRPr="00F20F99">
        <w:rPr>
          <w:rFonts w:cstheme="minorHAnsi"/>
          <w:color w:val="FF0000"/>
          <w:sz w:val="24"/>
          <w:szCs w:val="24"/>
        </w:rPr>
        <w:t>jhernand@uacj.mx</w:t>
      </w:r>
    </w:p>
    <w:p w14:paraId="7B433F20" w14:textId="7818A721" w:rsidR="00E85379" w:rsidRPr="00F20F99" w:rsidRDefault="00F20F99" w:rsidP="00F20F99">
      <w:pPr>
        <w:spacing w:after="0" w:line="276" w:lineRule="auto"/>
        <w:jc w:val="right"/>
        <w:rPr>
          <w:rFonts w:ascii="Times New Roman" w:hAnsi="Times New Roman"/>
          <w:sz w:val="24"/>
          <w:szCs w:val="28"/>
        </w:rPr>
      </w:pPr>
      <w:r w:rsidRPr="00F20F99">
        <w:rPr>
          <w:rFonts w:ascii="Times New Roman" w:hAnsi="Times New Roman"/>
          <w:sz w:val="24"/>
          <w:szCs w:val="28"/>
        </w:rPr>
        <w:t>https://orcid.org/</w:t>
      </w:r>
      <w:r w:rsidR="00E85379" w:rsidRPr="00F20F99">
        <w:rPr>
          <w:rFonts w:ascii="Times New Roman" w:hAnsi="Times New Roman"/>
          <w:sz w:val="24"/>
          <w:szCs w:val="28"/>
        </w:rPr>
        <w:t>0000-0003-2325-2051</w:t>
      </w:r>
    </w:p>
    <w:p w14:paraId="01D5BB0C" w14:textId="77777777" w:rsidR="00E85379" w:rsidRPr="00E85379" w:rsidRDefault="00E85379" w:rsidP="00F20F99">
      <w:pPr>
        <w:spacing w:after="0" w:line="276" w:lineRule="auto"/>
        <w:jc w:val="right"/>
        <w:rPr>
          <w:rFonts w:ascii="Times New Roman" w:hAnsi="Times New Roman" w:cs="Times New Roman"/>
          <w:sz w:val="24"/>
          <w:szCs w:val="24"/>
        </w:rPr>
      </w:pPr>
    </w:p>
    <w:p w14:paraId="7F756B76" w14:textId="77777777" w:rsidR="00E85379" w:rsidRPr="00F20F99" w:rsidRDefault="00E85379" w:rsidP="00F20F99">
      <w:pPr>
        <w:spacing w:after="0" w:line="276" w:lineRule="auto"/>
        <w:jc w:val="right"/>
        <w:rPr>
          <w:rFonts w:cstheme="minorHAnsi"/>
          <w:b/>
          <w:bCs/>
          <w:sz w:val="24"/>
          <w:szCs w:val="24"/>
        </w:rPr>
      </w:pPr>
      <w:r w:rsidRPr="00F20F99">
        <w:rPr>
          <w:rFonts w:cstheme="minorHAnsi"/>
          <w:b/>
          <w:bCs/>
          <w:sz w:val="24"/>
          <w:szCs w:val="24"/>
        </w:rPr>
        <w:t>Salvador A Noriega Morales</w:t>
      </w:r>
    </w:p>
    <w:p w14:paraId="25B86535" w14:textId="77777777" w:rsidR="00F20F99" w:rsidRPr="00F20F99" w:rsidRDefault="00E85379" w:rsidP="00F20F99">
      <w:pPr>
        <w:spacing w:after="0" w:line="276" w:lineRule="auto"/>
        <w:jc w:val="right"/>
        <w:rPr>
          <w:rFonts w:cstheme="minorHAnsi"/>
          <w:color w:val="FF0000"/>
          <w:sz w:val="24"/>
          <w:szCs w:val="24"/>
        </w:rPr>
      </w:pPr>
      <w:r w:rsidRPr="00E85379">
        <w:rPr>
          <w:rFonts w:ascii="Times New Roman" w:hAnsi="Times New Roman" w:cs="Times New Roman"/>
          <w:sz w:val="24"/>
          <w:szCs w:val="24"/>
        </w:rPr>
        <w:t>Universidad Autónoma de Ciudad Juárez, México</w:t>
      </w:r>
      <w:r w:rsidR="00F20F99">
        <w:rPr>
          <w:rFonts w:ascii="Times New Roman" w:hAnsi="Times New Roman" w:cs="Times New Roman"/>
          <w:sz w:val="24"/>
          <w:szCs w:val="24"/>
        </w:rPr>
        <w:br/>
      </w:r>
      <w:r w:rsidR="00F20F99" w:rsidRPr="00F20F99">
        <w:rPr>
          <w:rFonts w:cstheme="minorHAnsi"/>
          <w:color w:val="FF0000"/>
          <w:sz w:val="24"/>
          <w:szCs w:val="24"/>
        </w:rPr>
        <w:t>snoriega@uacj.mx</w:t>
      </w:r>
    </w:p>
    <w:p w14:paraId="19260AD3" w14:textId="31FD8623" w:rsidR="00E85379" w:rsidRPr="00F20F99" w:rsidRDefault="00F20F99" w:rsidP="00F20F99">
      <w:pPr>
        <w:spacing w:after="0" w:line="276" w:lineRule="auto"/>
        <w:jc w:val="right"/>
        <w:rPr>
          <w:rFonts w:ascii="Times New Roman" w:hAnsi="Times New Roman"/>
          <w:sz w:val="24"/>
          <w:szCs w:val="28"/>
        </w:rPr>
      </w:pPr>
      <w:r w:rsidRPr="00F20F99">
        <w:rPr>
          <w:rFonts w:ascii="Times New Roman" w:hAnsi="Times New Roman"/>
          <w:sz w:val="24"/>
          <w:szCs w:val="28"/>
        </w:rPr>
        <w:t>https://orcid.org/</w:t>
      </w:r>
      <w:r w:rsidR="00E85379" w:rsidRPr="00F20F99">
        <w:rPr>
          <w:rFonts w:ascii="Times New Roman" w:hAnsi="Times New Roman"/>
          <w:sz w:val="24"/>
          <w:szCs w:val="28"/>
        </w:rPr>
        <w:t>0000-0001-7813-5835</w:t>
      </w:r>
    </w:p>
    <w:p w14:paraId="3C150606" w14:textId="77777777" w:rsidR="00E85379" w:rsidRPr="00851FC1" w:rsidRDefault="00E85379" w:rsidP="00700D41">
      <w:pPr>
        <w:spacing w:after="0" w:line="360" w:lineRule="auto"/>
        <w:rPr>
          <w:rFonts w:ascii="Times New Roman" w:hAnsi="Times New Roman" w:cs="Times New Roman"/>
          <w:sz w:val="24"/>
          <w:szCs w:val="24"/>
        </w:rPr>
      </w:pPr>
    </w:p>
    <w:p w14:paraId="41D49EEC" w14:textId="39C6E7C7" w:rsidR="00683E16" w:rsidRPr="00F20F99" w:rsidRDefault="00683E16" w:rsidP="00683E16">
      <w:pPr>
        <w:spacing w:after="0" w:line="360" w:lineRule="auto"/>
        <w:jc w:val="both"/>
        <w:rPr>
          <w:rFonts w:cstheme="minorHAnsi"/>
          <w:sz w:val="28"/>
          <w:szCs w:val="28"/>
        </w:rPr>
      </w:pPr>
      <w:r w:rsidRPr="00F20F99">
        <w:rPr>
          <w:rFonts w:cstheme="minorHAnsi"/>
          <w:b/>
          <w:bCs/>
          <w:sz w:val="28"/>
          <w:szCs w:val="28"/>
        </w:rPr>
        <w:t>Resumen</w:t>
      </w:r>
    </w:p>
    <w:p w14:paraId="76DDD70A" w14:textId="067F6EDC" w:rsidR="00A51775" w:rsidRPr="00A51775" w:rsidRDefault="00A51775" w:rsidP="00A51775">
      <w:pPr>
        <w:spacing w:after="0" w:line="360" w:lineRule="auto"/>
        <w:jc w:val="both"/>
        <w:rPr>
          <w:rFonts w:ascii="Times New Roman" w:hAnsi="Times New Roman" w:cs="Times New Roman"/>
          <w:sz w:val="24"/>
          <w:szCs w:val="24"/>
        </w:rPr>
      </w:pPr>
      <w:r w:rsidRPr="00A51775">
        <w:rPr>
          <w:rFonts w:ascii="Times New Roman" w:hAnsi="Times New Roman" w:cs="Times New Roman"/>
          <w:sz w:val="24"/>
          <w:szCs w:val="24"/>
        </w:rPr>
        <w:t xml:space="preserve">Este estudio valida un instrumento de medición diseñado para analizar las relaciones entre los componentes de la </w:t>
      </w:r>
      <w:r w:rsidR="005939C7">
        <w:rPr>
          <w:rFonts w:ascii="Times New Roman" w:hAnsi="Times New Roman" w:cs="Times New Roman"/>
          <w:sz w:val="24"/>
          <w:szCs w:val="24"/>
        </w:rPr>
        <w:t>c</w:t>
      </w:r>
      <w:r w:rsidRPr="00A51775">
        <w:rPr>
          <w:rFonts w:ascii="Times New Roman" w:hAnsi="Times New Roman" w:cs="Times New Roman"/>
          <w:sz w:val="24"/>
          <w:szCs w:val="24"/>
        </w:rPr>
        <w:t xml:space="preserve">apacidad de </w:t>
      </w:r>
      <w:r w:rsidR="005939C7">
        <w:rPr>
          <w:rFonts w:ascii="Times New Roman" w:hAnsi="Times New Roman" w:cs="Times New Roman"/>
          <w:sz w:val="24"/>
          <w:szCs w:val="24"/>
        </w:rPr>
        <w:t>a</w:t>
      </w:r>
      <w:r w:rsidRPr="00A51775">
        <w:rPr>
          <w:rFonts w:ascii="Times New Roman" w:hAnsi="Times New Roman" w:cs="Times New Roman"/>
          <w:sz w:val="24"/>
          <w:szCs w:val="24"/>
        </w:rPr>
        <w:t xml:space="preserve">bsorción y su impacto en la transferencia de tecnología </w:t>
      </w:r>
      <w:proofErr w:type="spellStart"/>
      <w:r w:rsidRPr="00A51775">
        <w:rPr>
          <w:rFonts w:ascii="Times New Roman" w:hAnsi="Times New Roman" w:cs="Times New Roman"/>
          <w:sz w:val="24"/>
          <w:szCs w:val="24"/>
        </w:rPr>
        <w:t>intra-empresa</w:t>
      </w:r>
      <w:proofErr w:type="spellEnd"/>
      <w:r w:rsidRPr="00A51775">
        <w:rPr>
          <w:rFonts w:ascii="Times New Roman" w:hAnsi="Times New Roman" w:cs="Times New Roman"/>
          <w:sz w:val="24"/>
          <w:szCs w:val="24"/>
        </w:rPr>
        <w:t xml:space="preserve">, </w:t>
      </w:r>
      <w:r w:rsidR="00851FC1" w:rsidRPr="00851FC1">
        <w:rPr>
          <w:rFonts w:ascii="Times New Roman" w:hAnsi="Times New Roman" w:cs="Times New Roman"/>
          <w:sz w:val="24"/>
          <w:szCs w:val="24"/>
        </w:rPr>
        <w:t>un proceso clave para potenciar la competitividad e innovación en organizaciones industriales</w:t>
      </w:r>
      <w:r w:rsidRPr="00A51775">
        <w:rPr>
          <w:rFonts w:ascii="Times New Roman" w:hAnsi="Times New Roman" w:cs="Times New Roman"/>
          <w:sz w:val="24"/>
          <w:szCs w:val="24"/>
        </w:rPr>
        <w:t xml:space="preserve">. El instrumento, basado en un modelo teórico que integra constructos como </w:t>
      </w:r>
      <w:r w:rsidR="00851FC1">
        <w:rPr>
          <w:rFonts w:ascii="Times New Roman" w:hAnsi="Times New Roman" w:cs="Times New Roman"/>
          <w:sz w:val="24"/>
          <w:szCs w:val="24"/>
        </w:rPr>
        <w:t>g</w:t>
      </w:r>
      <w:r w:rsidRPr="00A51775">
        <w:rPr>
          <w:rFonts w:ascii="Times New Roman" w:hAnsi="Times New Roman" w:cs="Times New Roman"/>
          <w:sz w:val="24"/>
          <w:szCs w:val="24"/>
        </w:rPr>
        <w:t xml:space="preserve">estión del </w:t>
      </w:r>
      <w:r w:rsidR="00851FC1">
        <w:rPr>
          <w:rFonts w:ascii="Times New Roman" w:hAnsi="Times New Roman" w:cs="Times New Roman"/>
          <w:sz w:val="24"/>
          <w:szCs w:val="24"/>
        </w:rPr>
        <w:t>c</w:t>
      </w:r>
      <w:r w:rsidRPr="00A51775">
        <w:rPr>
          <w:rFonts w:ascii="Times New Roman" w:hAnsi="Times New Roman" w:cs="Times New Roman"/>
          <w:sz w:val="24"/>
          <w:szCs w:val="24"/>
        </w:rPr>
        <w:t xml:space="preserve">onocimiento, </w:t>
      </w:r>
      <w:r w:rsidR="00851FC1">
        <w:rPr>
          <w:rFonts w:ascii="Times New Roman" w:hAnsi="Times New Roman" w:cs="Times New Roman"/>
          <w:sz w:val="24"/>
          <w:szCs w:val="24"/>
        </w:rPr>
        <w:t>l</w:t>
      </w:r>
      <w:r w:rsidRPr="00A51775">
        <w:rPr>
          <w:rFonts w:ascii="Times New Roman" w:hAnsi="Times New Roman" w:cs="Times New Roman"/>
          <w:sz w:val="24"/>
          <w:szCs w:val="24"/>
        </w:rPr>
        <w:t xml:space="preserve">iderazgo, </w:t>
      </w:r>
      <w:r w:rsidR="00851FC1">
        <w:rPr>
          <w:rFonts w:ascii="Times New Roman" w:hAnsi="Times New Roman" w:cs="Times New Roman"/>
          <w:sz w:val="24"/>
          <w:szCs w:val="24"/>
        </w:rPr>
        <w:t>a</w:t>
      </w:r>
      <w:r w:rsidRPr="00A51775">
        <w:rPr>
          <w:rFonts w:ascii="Times New Roman" w:hAnsi="Times New Roman" w:cs="Times New Roman"/>
          <w:sz w:val="24"/>
          <w:szCs w:val="24"/>
        </w:rPr>
        <w:t xml:space="preserve">gilidad </w:t>
      </w:r>
      <w:r w:rsidR="00851FC1">
        <w:rPr>
          <w:rFonts w:ascii="Times New Roman" w:hAnsi="Times New Roman" w:cs="Times New Roman"/>
          <w:sz w:val="24"/>
          <w:szCs w:val="24"/>
        </w:rPr>
        <w:t>o</w:t>
      </w:r>
      <w:r w:rsidRPr="00A51775">
        <w:rPr>
          <w:rFonts w:ascii="Times New Roman" w:hAnsi="Times New Roman" w:cs="Times New Roman"/>
          <w:sz w:val="24"/>
          <w:szCs w:val="24"/>
        </w:rPr>
        <w:t xml:space="preserve">rganizacional y </w:t>
      </w:r>
      <w:r w:rsidR="00851FC1">
        <w:rPr>
          <w:rFonts w:ascii="Times New Roman" w:hAnsi="Times New Roman" w:cs="Times New Roman"/>
          <w:sz w:val="24"/>
          <w:szCs w:val="24"/>
        </w:rPr>
        <w:t>t</w:t>
      </w:r>
      <w:r w:rsidRPr="00A51775">
        <w:rPr>
          <w:rFonts w:ascii="Times New Roman" w:hAnsi="Times New Roman" w:cs="Times New Roman"/>
          <w:sz w:val="24"/>
          <w:szCs w:val="24"/>
        </w:rPr>
        <w:t xml:space="preserve">alento </w:t>
      </w:r>
      <w:r w:rsidR="00851FC1">
        <w:rPr>
          <w:rFonts w:ascii="Times New Roman" w:hAnsi="Times New Roman" w:cs="Times New Roman"/>
          <w:sz w:val="24"/>
          <w:szCs w:val="24"/>
        </w:rPr>
        <w:t>h</w:t>
      </w:r>
      <w:r w:rsidRPr="00A51775">
        <w:rPr>
          <w:rFonts w:ascii="Times New Roman" w:hAnsi="Times New Roman" w:cs="Times New Roman"/>
          <w:sz w:val="24"/>
          <w:szCs w:val="24"/>
        </w:rPr>
        <w:t xml:space="preserve">umano </w:t>
      </w:r>
      <w:r w:rsidR="00851FC1">
        <w:rPr>
          <w:rFonts w:ascii="Times New Roman" w:hAnsi="Times New Roman" w:cs="Times New Roman"/>
          <w:sz w:val="24"/>
          <w:szCs w:val="24"/>
        </w:rPr>
        <w:t>c</w:t>
      </w:r>
      <w:r w:rsidRPr="00A51775">
        <w:rPr>
          <w:rFonts w:ascii="Times New Roman" w:hAnsi="Times New Roman" w:cs="Times New Roman"/>
          <w:sz w:val="24"/>
          <w:szCs w:val="24"/>
        </w:rPr>
        <w:t xml:space="preserve">alificado, </w:t>
      </w:r>
      <w:r w:rsidR="000E3D77">
        <w:rPr>
          <w:rFonts w:ascii="Times New Roman" w:hAnsi="Times New Roman" w:cs="Times New Roman"/>
          <w:sz w:val="24"/>
          <w:szCs w:val="24"/>
        </w:rPr>
        <w:t xml:space="preserve">entre otros, </w:t>
      </w:r>
      <w:r w:rsidRPr="00A51775">
        <w:rPr>
          <w:rFonts w:ascii="Times New Roman" w:hAnsi="Times New Roman" w:cs="Times New Roman"/>
          <w:sz w:val="24"/>
          <w:szCs w:val="24"/>
        </w:rPr>
        <w:t>fue sometido a un riguroso proceso de validación mediante el juicio de expertos: dos académicos y dos profesionales del sector manufacturero.</w:t>
      </w:r>
    </w:p>
    <w:p w14:paraId="4EEE1980" w14:textId="6E5E2F70" w:rsidR="00683E16" w:rsidRDefault="00A51775" w:rsidP="00A51775">
      <w:pPr>
        <w:spacing w:after="0" w:line="360" w:lineRule="auto"/>
        <w:jc w:val="both"/>
        <w:rPr>
          <w:rFonts w:ascii="Times New Roman" w:hAnsi="Times New Roman" w:cs="Times New Roman"/>
          <w:sz w:val="24"/>
          <w:szCs w:val="24"/>
        </w:rPr>
      </w:pPr>
      <w:r w:rsidRPr="00A51775">
        <w:rPr>
          <w:rFonts w:ascii="Times New Roman" w:hAnsi="Times New Roman" w:cs="Times New Roman"/>
          <w:sz w:val="24"/>
          <w:szCs w:val="24"/>
        </w:rPr>
        <w:lastRenderedPageBreak/>
        <w:t xml:space="preserve">Los resultados demostraron que el instrumento mide con precisión las dimensiones propuestas, permitiendo identificar cómo cada componente de la </w:t>
      </w:r>
      <w:r w:rsidR="005939C7">
        <w:rPr>
          <w:rFonts w:ascii="Times New Roman" w:hAnsi="Times New Roman" w:cs="Times New Roman"/>
          <w:sz w:val="24"/>
          <w:szCs w:val="24"/>
        </w:rPr>
        <w:t>c</w:t>
      </w:r>
      <w:r w:rsidRPr="00A51775">
        <w:rPr>
          <w:rFonts w:ascii="Times New Roman" w:hAnsi="Times New Roman" w:cs="Times New Roman"/>
          <w:sz w:val="24"/>
          <w:szCs w:val="24"/>
        </w:rPr>
        <w:t xml:space="preserve">apacidad de </w:t>
      </w:r>
      <w:r w:rsidR="005939C7">
        <w:rPr>
          <w:rFonts w:ascii="Times New Roman" w:hAnsi="Times New Roman" w:cs="Times New Roman"/>
          <w:sz w:val="24"/>
          <w:szCs w:val="24"/>
        </w:rPr>
        <w:t>a</w:t>
      </w:r>
      <w:r w:rsidRPr="00A51775">
        <w:rPr>
          <w:rFonts w:ascii="Times New Roman" w:hAnsi="Times New Roman" w:cs="Times New Roman"/>
          <w:sz w:val="24"/>
          <w:szCs w:val="24"/>
        </w:rPr>
        <w:t xml:space="preserve">bsorción influye significativamente en la efectividad de la transferencia tecnológica interna. En particular, este estudio destaca que la integración de capacidades organizacionales robustas potencia la implementación de tecnologías avanzadas en contextos industriales </w:t>
      </w:r>
      <w:r w:rsidR="00851FC1">
        <w:rPr>
          <w:rFonts w:ascii="Times New Roman" w:hAnsi="Times New Roman" w:cs="Times New Roman"/>
          <w:sz w:val="24"/>
          <w:szCs w:val="24"/>
        </w:rPr>
        <w:t>altamente competitivos</w:t>
      </w:r>
      <w:r w:rsidRPr="00A51775">
        <w:rPr>
          <w:rFonts w:ascii="Times New Roman" w:hAnsi="Times New Roman" w:cs="Times New Roman"/>
          <w:sz w:val="24"/>
          <w:szCs w:val="24"/>
        </w:rPr>
        <w:t>. Estas conclusiones subrayan la relevancia del instrumento para investigaciones futuras y su utilidad como herramienta estratégica para optimizar la transferencia de tecnología en sectores industriales clave, especialmente en regiones como Ciudad Juárez, donde las dinámicas tecnológicas son críticas para el desarrollo competitivo.</w:t>
      </w:r>
    </w:p>
    <w:p w14:paraId="7A42C387" w14:textId="77777777" w:rsidR="00F20F99" w:rsidRPr="00D45D63" w:rsidRDefault="00F20F99" w:rsidP="00F20F99">
      <w:pPr>
        <w:spacing w:after="0" w:line="360" w:lineRule="auto"/>
        <w:jc w:val="both"/>
        <w:rPr>
          <w:rFonts w:ascii="Times New Roman" w:hAnsi="Times New Roman" w:cs="Times New Roman"/>
          <w:sz w:val="24"/>
          <w:szCs w:val="24"/>
        </w:rPr>
      </w:pPr>
      <w:r w:rsidRPr="00F20F99">
        <w:rPr>
          <w:rFonts w:cstheme="minorHAnsi"/>
          <w:b/>
          <w:bCs/>
          <w:sz w:val="28"/>
          <w:szCs w:val="28"/>
        </w:rPr>
        <w:t>Palabras Clave:</w:t>
      </w:r>
      <w:r w:rsidRPr="00D45D63">
        <w:rPr>
          <w:rFonts w:ascii="Times New Roman" w:hAnsi="Times New Roman" w:cs="Times New Roman"/>
          <w:sz w:val="24"/>
          <w:szCs w:val="24"/>
        </w:rPr>
        <w:t xml:space="preserve"> Transferencia de Tecnología, Validación de Contenido, Juicio de Expertos, Capacidad de Absorción.</w:t>
      </w:r>
    </w:p>
    <w:p w14:paraId="1EA02D9E" w14:textId="77777777" w:rsidR="00A51775" w:rsidRPr="00A51775" w:rsidRDefault="00A51775" w:rsidP="00A51775">
      <w:pPr>
        <w:spacing w:after="0" w:line="360" w:lineRule="auto"/>
        <w:jc w:val="both"/>
        <w:rPr>
          <w:rFonts w:ascii="Times New Roman" w:hAnsi="Times New Roman" w:cs="Times New Roman"/>
          <w:sz w:val="24"/>
          <w:szCs w:val="24"/>
        </w:rPr>
      </w:pPr>
    </w:p>
    <w:p w14:paraId="1E0E92E5" w14:textId="2C2ADBF1" w:rsidR="00683E16" w:rsidRPr="00F20F99" w:rsidRDefault="00683E16" w:rsidP="00683E16">
      <w:pPr>
        <w:spacing w:after="0" w:line="360" w:lineRule="auto"/>
        <w:jc w:val="both"/>
        <w:rPr>
          <w:rFonts w:cstheme="minorHAnsi"/>
          <w:b/>
          <w:bCs/>
          <w:sz w:val="28"/>
          <w:szCs w:val="28"/>
        </w:rPr>
      </w:pPr>
      <w:proofErr w:type="spellStart"/>
      <w:r w:rsidRPr="00F20F99">
        <w:rPr>
          <w:rFonts w:cstheme="minorHAnsi"/>
          <w:b/>
          <w:bCs/>
          <w:sz w:val="28"/>
          <w:szCs w:val="28"/>
        </w:rPr>
        <w:t>Abstract</w:t>
      </w:r>
      <w:proofErr w:type="spellEnd"/>
    </w:p>
    <w:p w14:paraId="18F1927E" w14:textId="034464FA" w:rsidR="00A51775" w:rsidRPr="00A51775" w:rsidRDefault="00A51775" w:rsidP="00A51775">
      <w:pPr>
        <w:spacing w:after="0" w:line="360" w:lineRule="auto"/>
        <w:jc w:val="both"/>
        <w:rPr>
          <w:rFonts w:ascii="Times New Roman" w:hAnsi="Times New Roman" w:cs="Times New Roman"/>
          <w:sz w:val="24"/>
          <w:szCs w:val="24"/>
          <w:lang w:val="en-US"/>
        </w:rPr>
      </w:pPr>
      <w:r w:rsidRPr="00A51775">
        <w:rPr>
          <w:rFonts w:ascii="Times New Roman" w:hAnsi="Times New Roman" w:cs="Times New Roman"/>
          <w:sz w:val="24"/>
          <w:szCs w:val="24"/>
          <w:lang w:val="en-US"/>
        </w:rPr>
        <w:t xml:space="preserve">This study validates a measurement instrument designed to analyze the relationships between the components of Absorptive Capacity and their impact on intra-firm technology transfer, a critical process for maximizing competitiveness and fostering innovation in industrial organizations. The instrument, based on a theoretical model integrating constructs such as </w:t>
      </w:r>
      <w:r w:rsidR="005939C7">
        <w:rPr>
          <w:rFonts w:ascii="Times New Roman" w:hAnsi="Times New Roman" w:cs="Times New Roman"/>
          <w:sz w:val="24"/>
          <w:szCs w:val="24"/>
          <w:lang w:val="en-US"/>
        </w:rPr>
        <w:t>k</w:t>
      </w:r>
      <w:r w:rsidRPr="00A51775">
        <w:rPr>
          <w:rFonts w:ascii="Times New Roman" w:hAnsi="Times New Roman" w:cs="Times New Roman"/>
          <w:sz w:val="24"/>
          <w:szCs w:val="24"/>
          <w:lang w:val="en-US"/>
        </w:rPr>
        <w:t xml:space="preserve">nowledge </w:t>
      </w:r>
      <w:r w:rsidR="005939C7">
        <w:rPr>
          <w:rFonts w:ascii="Times New Roman" w:hAnsi="Times New Roman" w:cs="Times New Roman"/>
          <w:sz w:val="24"/>
          <w:szCs w:val="24"/>
          <w:lang w:val="en-US"/>
        </w:rPr>
        <w:t>m</w:t>
      </w:r>
      <w:r w:rsidRPr="00A51775">
        <w:rPr>
          <w:rFonts w:ascii="Times New Roman" w:hAnsi="Times New Roman" w:cs="Times New Roman"/>
          <w:sz w:val="24"/>
          <w:szCs w:val="24"/>
          <w:lang w:val="en-US"/>
        </w:rPr>
        <w:t xml:space="preserve">anagement, </w:t>
      </w:r>
      <w:r w:rsidR="005939C7">
        <w:rPr>
          <w:rFonts w:ascii="Times New Roman" w:hAnsi="Times New Roman" w:cs="Times New Roman"/>
          <w:sz w:val="24"/>
          <w:szCs w:val="24"/>
          <w:lang w:val="en-US"/>
        </w:rPr>
        <w:t>l</w:t>
      </w:r>
      <w:r w:rsidRPr="00A51775">
        <w:rPr>
          <w:rFonts w:ascii="Times New Roman" w:hAnsi="Times New Roman" w:cs="Times New Roman"/>
          <w:sz w:val="24"/>
          <w:szCs w:val="24"/>
          <w:lang w:val="en-US"/>
        </w:rPr>
        <w:t xml:space="preserve">eadership, </w:t>
      </w:r>
      <w:r w:rsidR="005939C7">
        <w:rPr>
          <w:rFonts w:ascii="Times New Roman" w:hAnsi="Times New Roman" w:cs="Times New Roman"/>
          <w:sz w:val="24"/>
          <w:szCs w:val="24"/>
          <w:lang w:val="en-US"/>
        </w:rPr>
        <w:t>o</w:t>
      </w:r>
      <w:r w:rsidRPr="00A51775">
        <w:rPr>
          <w:rFonts w:ascii="Times New Roman" w:hAnsi="Times New Roman" w:cs="Times New Roman"/>
          <w:sz w:val="24"/>
          <w:szCs w:val="24"/>
          <w:lang w:val="en-US"/>
        </w:rPr>
        <w:t xml:space="preserve">rganizational </w:t>
      </w:r>
      <w:r w:rsidR="005939C7">
        <w:rPr>
          <w:rFonts w:ascii="Times New Roman" w:hAnsi="Times New Roman" w:cs="Times New Roman"/>
          <w:sz w:val="24"/>
          <w:szCs w:val="24"/>
          <w:lang w:val="en-US"/>
        </w:rPr>
        <w:t>a</w:t>
      </w:r>
      <w:r w:rsidRPr="00A51775">
        <w:rPr>
          <w:rFonts w:ascii="Times New Roman" w:hAnsi="Times New Roman" w:cs="Times New Roman"/>
          <w:sz w:val="24"/>
          <w:szCs w:val="24"/>
          <w:lang w:val="en-US"/>
        </w:rPr>
        <w:t xml:space="preserve">gility, and </w:t>
      </w:r>
      <w:r w:rsidR="005939C7">
        <w:rPr>
          <w:rFonts w:ascii="Times New Roman" w:hAnsi="Times New Roman" w:cs="Times New Roman"/>
          <w:sz w:val="24"/>
          <w:szCs w:val="24"/>
          <w:lang w:val="en-US"/>
        </w:rPr>
        <w:t>q</w:t>
      </w:r>
      <w:r w:rsidRPr="00A51775">
        <w:rPr>
          <w:rFonts w:ascii="Times New Roman" w:hAnsi="Times New Roman" w:cs="Times New Roman"/>
          <w:sz w:val="24"/>
          <w:szCs w:val="24"/>
          <w:lang w:val="en-US"/>
        </w:rPr>
        <w:t xml:space="preserve">ualified </w:t>
      </w:r>
      <w:r w:rsidR="005939C7">
        <w:rPr>
          <w:rFonts w:ascii="Times New Roman" w:hAnsi="Times New Roman" w:cs="Times New Roman"/>
          <w:sz w:val="24"/>
          <w:szCs w:val="24"/>
          <w:lang w:val="en-US"/>
        </w:rPr>
        <w:t>h</w:t>
      </w:r>
      <w:r w:rsidRPr="00A51775">
        <w:rPr>
          <w:rFonts w:ascii="Times New Roman" w:hAnsi="Times New Roman" w:cs="Times New Roman"/>
          <w:sz w:val="24"/>
          <w:szCs w:val="24"/>
          <w:lang w:val="en-US"/>
        </w:rPr>
        <w:t xml:space="preserve">uman </w:t>
      </w:r>
      <w:r w:rsidR="005939C7">
        <w:rPr>
          <w:rFonts w:ascii="Times New Roman" w:hAnsi="Times New Roman" w:cs="Times New Roman"/>
          <w:sz w:val="24"/>
          <w:szCs w:val="24"/>
          <w:lang w:val="en-US"/>
        </w:rPr>
        <w:t>t</w:t>
      </w:r>
      <w:r w:rsidRPr="00A51775">
        <w:rPr>
          <w:rFonts w:ascii="Times New Roman" w:hAnsi="Times New Roman" w:cs="Times New Roman"/>
          <w:sz w:val="24"/>
          <w:szCs w:val="24"/>
          <w:lang w:val="en-US"/>
        </w:rPr>
        <w:t xml:space="preserve">alent </w:t>
      </w:r>
      <w:r w:rsidR="000E3D77">
        <w:rPr>
          <w:rFonts w:ascii="Times New Roman" w:hAnsi="Times New Roman" w:cs="Times New Roman"/>
          <w:sz w:val="24"/>
          <w:szCs w:val="24"/>
          <w:lang w:val="en-US"/>
        </w:rPr>
        <w:t xml:space="preserve">and others, </w:t>
      </w:r>
      <w:r w:rsidRPr="00A51775">
        <w:rPr>
          <w:rFonts w:ascii="Times New Roman" w:hAnsi="Times New Roman" w:cs="Times New Roman"/>
          <w:sz w:val="24"/>
          <w:szCs w:val="24"/>
          <w:lang w:val="en-US"/>
        </w:rPr>
        <w:t>underwent a rigorous validation process through expert judgment: two academics and two professionals from the manufacturing sector.</w:t>
      </w:r>
    </w:p>
    <w:p w14:paraId="3355DE4F" w14:textId="4165A2EA" w:rsidR="00F9383A" w:rsidRPr="00F20F99" w:rsidRDefault="00A51775" w:rsidP="00C406B8">
      <w:pPr>
        <w:spacing w:after="0" w:line="360" w:lineRule="auto"/>
        <w:jc w:val="both"/>
        <w:rPr>
          <w:rFonts w:ascii="Times New Roman" w:hAnsi="Times New Roman" w:cs="Times New Roman"/>
          <w:sz w:val="24"/>
          <w:szCs w:val="24"/>
          <w:lang w:val="en-US"/>
        </w:rPr>
      </w:pPr>
      <w:r w:rsidRPr="00A51775">
        <w:rPr>
          <w:rFonts w:ascii="Times New Roman" w:hAnsi="Times New Roman" w:cs="Times New Roman"/>
          <w:sz w:val="24"/>
          <w:szCs w:val="24"/>
          <w:lang w:val="en-US"/>
        </w:rPr>
        <w:t xml:space="preserve">The results demonstrated that the instrument accurately measures the proposed dimensions, allowing the identification of how each component of Absorptive Capacity significantly influences the efficiency and effectiveness of internal technology transfer. </w:t>
      </w:r>
      <w:r w:rsidR="00851FC1" w:rsidRPr="00851FC1">
        <w:rPr>
          <w:rFonts w:ascii="Times New Roman" w:hAnsi="Times New Roman" w:cs="Times New Roman"/>
          <w:sz w:val="24"/>
          <w:szCs w:val="24"/>
          <w:lang w:val="en-US"/>
        </w:rPr>
        <w:t>The study notably highlights how robust organizational capabilities enhance the implementation of advanced technologies in dynamic industrial contexts</w:t>
      </w:r>
      <w:r w:rsidRPr="00A51775">
        <w:rPr>
          <w:rFonts w:ascii="Times New Roman" w:hAnsi="Times New Roman" w:cs="Times New Roman"/>
          <w:sz w:val="24"/>
          <w:szCs w:val="24"/>
          <w:lang w:val="en-US"/>
        </w:rPr>
        <w:t>. These conclusions underscore the relevance of the instrument for future research and its utility as a strategic tool to optimize technology transfer in key industrial sectors, particularly in regions like Ciudad Juárez, where technological dynamics are critical for competitive development.</w:t>
      </w:r>
    </w:p>
    <w:p w14:paraId="75396D77" w14:textId="56232D29" w:rsidR="00700D41" w:rsidRPr="00D45D63" w:rsidRDefault="00700D41" w:rsidP="00700D41">
      <w:pPr>
        <w:spacing w:after="0" w:line="360" w:lineRule="auto"/>
        <w:jc w:val="both"/>
        <w:rPr>
          <w:rFonts w:ascii="Times New Roman" w:hAnsi="Times New Roman" w:cs="Times New Roman"/>
          <w:sz w:val="24"/>
          <w:szCs w:val="24"/>
          <w:lang w:val="en-US"/>
        </w:rPr>
      </w:pPr>
      <w:proofErr w:type="spellStart"/>
      <w:r w:rsidRPr="00F20F99">
        <w:rPr>
          <w:rFonts w:cstheme="minorHAnsi"/>
          <w:b/>
          <w:bCs/>
          <w:sz w:val="28"/>
          <w:szCs w:val="28"/>
        </w:rPr>
        <w:t>Keywords</w:t>
      </w:r>
      <w:proofErr w:type="spellEnd"/>
      <w:r w:rsidRPr="00F20F99">
        <w:rPr>
          <w:rFonts w:cstheme="minorHAnsi"/>
          <w:b/>
          <w:bCs/>
          <w:sz w:val="28"/>
          <w:szCs w:val="28"/>
        </w:rPr>
        <w:t>:</w:t>
      </w:r>
      <w:r w:rsidRPr="00D45D63">
        <w:rPr>
          <w:rFonts w:ascii="Times New Roman" w:hAnsi="Times New Roman" w:cs="Times New Roman"/>
          <w:sz w:val="24"/>
          <w:szCs w:val="24"/>
          <w:lang w:val="en-US"/>
        </w:rPr>
        <w:t xml:space="preserve"> </w:t>
      </w:r>
      <w:r w:rsidR="00683E16" w:rsidRPr="00D45D63">
        <w:rPr>
          <w:rFonts w:ascii="Times New Roman" w:hAnsi="Times New Roman" w:cs="Times New Roman"/>
          <w:sz w:val="24"/>
          <w:szCs w:val="24"/>
          <w:lang w:val="en-US"/>
        </w:rPr>
        <w:t>Technology Transfer, Content Validation, Expert Judgment, Absorptive Capacity.</w:t>
      </w:r>
    </w:p>
    <w:p w14:paraId="1ADC459F" w14:textId="77777777" w:rsidR="00C34D9A" w:rsidRDefault="00C34D9A" w:rsidP="00C406B8">
      <w:pPr>
        <w:spacing w:after="0" w:line="360" w:lineRule="auto"/>
        <w:jc w:val="both"/>
        <w:rPr>
          <w:rFonts w:ascii="Times New Roman" w:hAnsi="Times New Roman" w:cs="Times New Roman"/>
          <w:sz w:val="24"/>
          <w:szCs w:val="24"/>
          <w:lang w:val="en-US"/>
        </w:rPr>
      </w:pPr>
    </w:p>
    <w:p w14:paraId="4B8E1BEE" w14:textId="77777777" w:rsidR="00FE4589" w:rsidRDefault="00FE4589" w:rsidP="00C406B8">
      <w:pPr>
        <w:spacing w:after="0" w:line="360" w:lineRule="auto"/>
        <w:jc w:val="both"/>
        <w:rPr>
          <w:rFonts w:ascii="Times New Roman" w:hAnsi="Times New Roman" w:cs="Times New Roman"/>
          <w:sz w:val="24"/>
          <w:szCs w:val="24"/>
          <w:lang w:val="en-US"/>
        </w:rPr>
      </w:pPr>
    </w:p>
    <w:p w14:paraId="043B8201" w14:textId="50D15FDB" w:rsidR="00F20F99" w:rsidRPr="00F20F99" w:rsidRDefault="00F20F99" w:rsidP="00C406B8">
      <w:pPr>
        <w:spacing w:after="0" w:line="360" w:lineRule="auto"/>
        <w:jc w:val="both"/>
        <w:rPr>
          <w:rFonts w:cstheme="minorHAnsi"/>
          <w:b/>
          <w:bCs/>
          <w:sz w:val="28"/>
          <w:szCs w:val="28"/>
        </w:rPr>
      </w:pPr>
      <w:r w:rsidRPr="00F20F99">
        <w:rPr>
          <w:rFonts w:cstheme="minorHAnsi"/>
          <w:b/>
          <w:bCs/>
          <w:sz w:val="28"/>
          <w:szCs w:val="28"/>
        </w:rPr>
        <w:lastRenderedPageBreak/>
        <w:t>Resumo</w:t>
      </w:r>
    </w:p>
    <w:p w14:paraId="4130664C" w14:textId="2EF01B22" w:rsidR="00F20F99" w:rsidRPr="00F20F99" w:rsidRDefault="00F20F99" w:rsidP="00F20F99">
      <w:pPr>
        <w:spacing w:after="0" w:line="360" w:lineRule="auto"/>
        <w:jc w:val="both"/>
        <w:rPr>
          <w:rFonts w:ascii="Times New Roman" w:hAnsi="Times New Roman" w:cs="Times New Roman"/>
          <w:sz w:val="24"/>
          <w:szCs w:val="24"/>
          <w:lang w:val="en-US"/>
        </w:rPr>
      </w:pPr>
      <w:r w:rsidRPr="00F20F99">
        <w:rPr>
          <w:rFonts w:ascii="Times New Roman" w:hAnsi="Times New Roman" w:cs="Times New Roman"/>
          <w:sz w:val="24"/>
          <w:szCs w:val="24"/>
          <w:lang w:val="en-US"/>
        </w:rPr>
        <w:t xml:space="preserve">Este </w:t>
      </w:r>
      <w:proofErr w:type="spellStart"/>
      <w:r w:rsidRPr="00F20F99">
        <w:rPr>
          <w:rFonts w:ascii="Times New Roman" w:hAnsi="Times New Roman" w:cs="Times New Roman"/>
          <w:sz w:val="24"/>
          <w:szCs w:val="24"/>
          <w:lang w:val="en-US"/>
        </w:rPr>
        <w:t>estudo</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valida</w:t>
      </w:r>
      <w:proofErr w:type="spellEnd"/>
      <w:r w:rsidRPr="00F20F99">
        <w:rPr>
          <w:rFonts w:ascii="Times New Roman" w:hAnsi="Times New Roman" w:cs="Times New Roman"/>
          <w:sz w:val="24"/>
          <w:szCs w:val="24"/>
          <w:lang w:val="en-US"/>
        </w:rPr>
        <w:t xml:space="preserve"> um </w:t>
      </w:r>
      <w:proofErr w:type="spellStart"/>
      <w:r w:rsidRPr="00F20F99">
        <w:rPr>
          <w:rFonts w:ascii="Times New Roman" w:hAnsi="Times New Roman" w:cs="Times New Roman"/>
          <w:sz w:val="24"/>
          <w:szCs w:val="24"/>
          <w:lang w:val="en-US"/>
        </w:rPr>
        <w:t>instrumento</w:t>
      </w:r>
      <w:proofErr w:type="spellEnd"/>
      <w:r w:rsidRPr="00F20F99">
        <w:rPr>
          <w:rFonts w:ascii="Times New Roman" w:hAnsi="Times New Roman" w:cs="Times New Roman"/>
          <w:sz w:val="24"/>
          <w:szCs w:val="24"/>
          <w:lang w:val="en-US"/>
        </w:rPr>
        <w:t xml:space="preserve"> de </w:t>
      </w:r>
      <w:proofErr w:type="spellStart"/>
      <w:r w:rsidRPr="00F20F99">
        <w:rPr>
          <w:rFonts w:ascii="Times New Roman" w:hAnsi="Times New Roman" w:cs="Times New Roman"/>
          <w:sz w:val="24"/>
          <w:szCs w:val="24"/>
          <w:lang w:val="en-US"/>
        </w:rPr>
        <w:t>medição</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projetado</w:t>
      </w:r>
      <w:proofErr w:type="spellEnd"/>
      <w:r w:rsidRPr="00F20F99">
        <w:rPr>
          <w:rFonts w:ascii="Times New Roman" w:hAnsi="Times New Roman" w:cs="Times New Roman"/>
          <w:sz w:val="24"/>
          <w:szCs w:val="24"/>
          <w:lang w:val="en-US"/>
        </w:rPr>
        <w:t xml:space="preserve"> para </w:t>
      </w:r>
      <w:proofErr w:type="spellStart"/>
      <w:r w:rsidRPr="00F20F99">
        <w:rPr>
          <w:rFonts w:ascii="Times New Roman" w:hAnsi="Times New Roman" w:cs="Times New Roman"/>
          <w:sz w:val="24"/>
          <w:szCs w:val="24"/>
          <w:lang w:val="en-US"/>
        </w:rPr>
        <w:t>analisar</w:t>
      </w:r>
      <w:proofErr w:type="spellEnd"/>
      <w:r w:rsidRPr="00F20F99">
        <w:rPr>
          <w:rFonts w:ascii="Times New Roman" w:hAnsi="Times New Roman" w:cs="Times New Roman"/>
          <w:sz w:val="24"/>
          <w:szCs w:val="24"/>
          <w:lang w:val="en-US"/>
        </w:rPr>
        <w:t xml:space="preserve"> as </w:t>
      </w:r>
      <w:proofErr w:type="spellStart"/>
      <w:r w:rsidRPr="00F20F99">
        <w:rPr>
          <w:rFonts w:ascii="Times New Roman" w:hAnsi="Times New Roman" w:cs="Times New Roman"/>
          <w:sz w:val="24"/>
          <w:szCs w:val="24"/>
          <w:lang w:val="en-US"/>
        </w:rPr>
        <w:t>relações</w:t>
      </w:r>
      <w:proofErr w:type="spellEnd"/>
      <w:r w:rsidRPr="00F20F99">
        <w:rPr>
          <w:rFonts w:ascii="Times New Roman" w:hAnsi="Times New Roman" w:cs="Times New Roman"/>
          <w:sz w:val="24"/>
          <w:szCs w:val="24"/>
          <w:lang w:val="en-US"/>
        </w:rPr>
        <w:t xml:space="preserve"> entre </w:t>
      </w:r>
      <w:proofErr w:type="spellStart"/>
      <w:r w:rsidRPr="00F20F99">
        <w:rPr>
          <w:rFonts w:ascii="Times New Roman" w:hAnsi="Times New Roman" w:cs="Times New Roman"/>
          <w:sz w:val="24"/>
          <w:szCs w:val="24"/>
          <w:lang w:val="en-US"/>
        </w:rPr>
        <w:t>os</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componentes</w:t>
      </w:r>
      <w:proofErr w:type="spellEnd"/>
      <w:r w:rsidRPr="00F20F99">
        <w:rPr>
          <w:rFonts w:ascii="Times New Roman" w:hAnsi="Times New Roman" w:cs="Times New Roman"/>
          <w:sz w:val="24"/>
          <w:szCs w:val="24"/>
          <w:lang w:val="en-US"/>
        </w:rPr>
        <w:t xml:space="preserve"> da </w:t>
      </w:r>
      <w:proofErr w:type="spellStart"/>
      <w:r w:rsidRPr="00F20F99">
        <w:rPr>
          <w:rFonts w:ascii="Times New Roman" w:hAnsi="Times New Roman" w:cs="Times New Roman"/>
          <w:sz w:val="24"/>
          <w:szCs w:val="24"/>
          <w:lang w:val="en-US"/>
        </w:rPr>
        <w:t>capacidade</w:t>
      </w:r>
      <w:proofErr w:type="spellEnd"/>
      <w:r w:rsidRPr="00F20F99">
        <w:rPr>
          <w:rFonts w:ascii="Times New Roman" w:hAnsi="Times New Roman" w:cs="Times New Roman"/>
          <w:sz w:val="24"/>
          <w:szCs w:val="24"/>
          <w:lang w:val="en-US"/>
        </w:rPr>
        <w:t xml:space="preserve"> de </w:t>
      </w:r>
      <w:proofErr w:type="spellStart"/>
      <w:r w:rsidRPr="00F20F99">
        <w:rPr>
          <w:rFonts w:ascii="Times New Roman" w:hAnsi="Times New Roman" w:cs="Times New Roman"/>
          <w:sz w:val="24"/>
          <w:szCs w:val="24"/>
          <w:lang w:val="en-US"/>
        </w:rPr>
        <w:t>absorção</w:t>
      </w:r>
      <w:proofErr w:type="spellEnd"/>
      <w:r w:rsidRPr="00F20F99">
        <w:rPr>
          <w:rFonts w:ascii="Times New Roman" w:hAnsi="Times New Roman" w:cs="Times New Roman"/>
          <w:sz w:val="24"/>
          <w:szCs w:val="24"/>
          <w:lang w:val="en-US"/>
        </w:rPr>
        <w:t xml:space="preserve"> e </w:t>
      </w:r>
      <w:proofErr w:type="spellStart"/>
      <w:r w:rsidRPr="00F20F99">
        <w:rPr>
          <w:rFonts w:ascii="Times New Roman" w:hAnsi="Times New Roman" w:cs="Times New Roman"/>
          <w:sz w:val="24"/>
          <w:szCs w:val="24"/>
          <w:lang w:val="en-US"/>
        </w:rPr>
        <w:t>seu</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impacto</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na</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transferência</w:t>
      </w:r>
      <w:proofErr w:type="spellEnd"/>
      <w:r w:rsidRPr="00F20F99">
        <w:rPr>
          <w:rFonts w:ascii="Times New Roman" w:hAnsi="Times New Roman" w:cs="Times New Roman"/>
          <w:sz w:val="24"/>
          <w:szCs w:val="24"/>
          <w:lang w:val="en-US"/>
        </w:rPr>
        <w:t xml:space="preserve"> de </w:t>
      </w:r>
      <w:proofErr w:type="spellStart"/>
      <w:r w:rsidRPr="00F20F99">
        <w:rPr>
          <w:rFonts w:ascii="Times New Roman" w:hAnsi="Times New Roman" w:cs="Times New Roman"/>
          <w:sz w:val="24"/>
          <w:szCs w:val="24"/>
          <w:lang w:val="en-US"/>
        </w:rPr>
        <w:t>tecnologia</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intrafirma</w:t>
      </w:r>
      <w:proofErr w:type="spellEnd"/>
      <w:r w:rsidRPr="00F20F99">
        <w:rPr>
          <w:rFonts w:ascii="Times New Roman" w:hAnsi="Times New Roman" w:cs="Times New Roman"/>
          <w:sz w:val="24"/>
          <w:szCs w:val="24"/>
          <w:lang w:val="en-US"/>
        </w:rPr>
        <w:t xml:space="preserve">, um </w:t>
      </w:r>
      <w:proofErr w:type="spellStart"/>
      <w:r w:rsidRPr="00F20F99">
        <w:rPr>
          <w:rFonts w:ascii="Times New Roman" w:hAnsi="Times New Roman" w:cs="Times New Roman"/>
          <w:sz w:val="24"/>
          <w:szCs w:val="24"/>
          <w:lang w:val="en-US"/>
        </w:rPr>
        <w:t>processo</w:t>
      </w:r>
      <w:proofErr w:type="spellEnd"/>
      <w:r w:rsidRPr="00F20F99">
        <w:rPr>
          <w:rFonts w:ascii="Times New Roman" w:hAnsi="Times New Roman" w:cs="Times New Roman"/>
          <w:sz w:val="24"/>
          <w:szCs w:val="24"/>
          <w:lang w:val="en-US"/>
        </w:rPr>
        <w:t xml:space="preserve"> fundamental para </w:t>
      </w:r>
      <w:proofErr w:type="spellStart"/>
      <w:r w:rsidRPr="00F20F99">
        <w:rPr>
          <w:rFonts w:ascii="Times New Roman" w:hAnsi="Times New Roman" w:cs="Times New Roman"/>
          <w:sz w:val="24"/>
          <w:szCs w:val="24"/>
          <w:lang w:val="en-US"/>
        </w:rPr>
        <w:t>aumentar</w:t>
      </w:r>
      <w:proofErr w:type="spellEnd"/>
      <w:r w:rsidRPr="00F20F99">
        <w:rPr>
          <w:rFonts w:ascii="Times New Roman" w:hAnsi="Times New Roman" w:cs="Times New Roman"/>
          <w:sz w:val="24"/>
          <w:szCs w:val="24"/>
          <w:lang w:val="en-US"/>
        </w:rPr>
        <w:t xml:space="preserve"> a </w:t>
      </w:r>
      <w:proofErr w:type="spellStart"/>
      <w:r w:rsidRPr="00F20F99">
        <w:rPr>
          <w:rFonts w:ascii="Times New Roman" w:hAnsi="Times New Roman" w:cs="Times New Roman"/>
          <w:sz w:val="24"/>
          <w:szCs w:val="24"/>
          <w:lang w:val="en-US"/>
        </w:rPr>
        <w:t>competitividade</w:t>
      </w:r>
      <w:proofErr w:type="spellEnd"/>
      <w:r w:rsidRPr="00F20F99">
        <w:rPr>
          <w:rFonts w:ascii="Times New Roman" w:hAnsi="Times New Roman" w:cs="Times New Roman"/>
          <w:sz w:val="24"/>
          <w:szCs w:val="24"/>
          <w:lang w:val="en-US"/>
        </w:rPr>
        <w:t xml:space="preserve"> e </w:t>
      </w:r>
      <w:proofErr w:type="gramStart"/>
      <w:r w:rsidRPr="00F20F99">
        <w:rPr>
          <w:rFonts w:ascii="Times New Roman" w:hAnsi="Times New Roman" w:cs="Times New Roman"/>
          <w:sz w:val="24"/>
          <w:szCs w:val="24"/>
          <w:lang w:val="en-US"/>
        </w:rPr>
        <w:t>a</w:t>
      </w:r>
      <w:proofErr w:type="gram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inovação</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em</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organizações</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industriais</w:t>
      </w:r>
      <w:proofErr w:type="spellEnd"/>
      <w:r w:rsidRPr="00F20F99">
        <w:rPr>
          <w:rFonts w:ascii="Times New Roman" w:hAnsi="Times New Roman" w:cs="Times New Roman"/>
          <w:sz w:val="24"/>
          <w:szCs w:val="24"/>
          <w:lang w:val="en-US"/>
        </w:rPr>
        <w:t xml:space="preserve">. O </w:t>
      </w:r>
      <w:proofErr w:type="spellStart"/>
      <w:r w:rsidRPr="00F20F99">
        <w:rPr>
          <w:rFonts w:ascii="Times New Roman" w:hAnsi="Times New Roman" w:cs="Times New Roman"/>
          <w:sz w:val="24"/>
          <w:szCs w:val="24"/>
          <w:lang w:val="en-US"/>
        </w:rPr>
        <w:t>instrumento</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baseado</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em</w:t>
      </w:r>
      <w:proofErr w:type="spellEnd"/>
      <w:r w:rsidRPr="00F20F99">
        <w:rPr>
          <w:rFonts w:ascii="Times New Roman" w:hAnsi="Times New Roman" w:cs="Times New Roman"/>
          <w:sz w:val="24"/>
          <w:szCs w:val="24"/>
          <w:lang w:val="en-US"/>
        </w:rPr>
        <w:t xml:space="preserve"> um </w:t>
      </w:r>
      <w:proofErr w:type="spellStart"/>
      <w:r w:rsidRPr="00F20F99">
        <w:rPr>
          <w:rFonts w:ascii="Times New Roman" w:hAnsi="Times New Roman" w:cs="Times New Roman"/>
          <w:sz w:val="24"/>
          <w:szCs w:val="24"/>
          <w:lang w:val="en-US"/>
        </w:rPr>
        <w:t>modelo</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teórico</w:t>
      </w:r>
      <w:proofErr w:type="spellEnd"/>
      <w:r w:rsidRPr="00F20F99">
        <w:rPr>
          <w:rFonts w:ascii="Times New Roman" w:hAnsi="Times New Roman" w:cs="Times New Roman"/>
          <w:sz w:val="24"/>
          <w:szCs w:val="24"/>
          <w:lang w:val="en-US"/>
        </w:rPr>
        <w:t xml:space="preserve"> que integra </w:t>
      </w:r>
      <w:proofErr w:type="spellStart"/>
      <w:r w:rsidRPr="00F20F99">
        <w:rPr>
          <w:rFonts w:ascii="Times New Roman" w:hAnsi="Times New Roman" w:cs="Times New Roman"/>
          <w:sz w:val="24"/>
          <w:szCs w:val="24"/>
          <w:lang w:val="en-US"/>
        </w:rPr>
        <w:t>construtos</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como</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gestão</w:t>
      </w:r>
      <w:proofErr w:type="spellEnd"/>
      <w:r w:rsidRPr="00F20F99">
        <w:rPr>
          <w:rFonts w:ascii="Times New Roman" w:hAnsi="Times New Roman" w:cs="Times New Roman"/>
          <w:sz w:val="24"/>
          <w:szCs w:val="24"/>
          <w:lang w:val="en-US"/>
        </w:rPr>
        <w:t xml:space="preserve"> do </w:t>
      </w:r>
      <w:proofErr w:type="spellStart"/>
      <w:r w:rsidRPr="00F20F99">
        <w:rPr>
          <w:rFonts w:ascii="Times New Roman" w:hAnsi="Times New Roman" w:cs="Times New Roman"/>
          <w:sz w:val="24"/>
          <w:szCs w:val="24"/>
          <w:lang w:val="en-US"/>
        </w:rPr>
        <w:t>conhecimento</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liderança</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agilidade</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organizacional</w:t>
      </w:r>
      <w:proofErr w:type="spellEnd"/>
      <w:r w:rsidRPr="00F20F99">
        <w:rPr>
          <w:rFonts w:ascii="Times New Roman" w:hAnsi="Times New Roman" w:cs="Times New Roman"/>
          <w:sz w:val="24"/>
          <w:szCs w:val="24"/>
          <w:lang w:val="en-US"/>
        </w:rPr>
        <w:t xml:space="preserve"> e </w:t>
      </w:r>
      <w:proofErr w:type="spellStart"/>
      <w:r w:rsidRPr="00F20F99">
        <w:rPr>
          <w:rFonts w:ascii="Times New Roman" w:hAnsi="Times New Roman" w:cs="Times New Roman"/>
          <w:sz w:val="24"/>
          <w:szCs w:val="24"/>
          <w:lang w:val="en-US"/>
        </w:rPr>
        <w:t>talento</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humano</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qualificado</w:t>
      </w:r>
      <w:proofErr w:type="spellEnd"/>
      <w:r w:rsidRPr="00F20F99">
        <w:rPr>
          <w:rFonts w:ascii="Times New Roman" w:hAnsi="Times New Roman" w:cs="Times New Roman"/>
          <w:sz w:val="24"/>
          <w:szCs w:val="24"/>
          <w:lang w:val="en-US"/>
        </w:rPr>
        <w:t xml:space="preserve">, entre outros, </w:t>
      </w:r>
      <w:proofErr w:type="spellStart"/>
      <w:r w:rsidRPr="00F20F99">
        <w:rPr>
          <w:rFonts w:ascii="Times New Roman" w:hAnsi="Times New Roman" w:cs="Times New Roman"/>
          <w:sz w:val="24"/>
          <w:szCs w:val="24"/>
          <w:lang w:val="en-US"/>
        </w:rPr>
        <w:t>foi</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submetido</w:t>
      </w:r>
      <w:proofErr w:type="spellEnd"/>
      <w:r w:rsidRPr="00F20F99">
        <w:rPr>
          <w:rFonts w:ascii="Times New Roman" w:hAnsi="Times New Roman" w:cs="Times New Roman"/>
          <w:sz w:val="24"/>
          <w:szCs w:val="24"/>
          <w:lang w:val="en-US"/>
        </w:rPr>
        <w:t xml:space="preserve"> </w:t>
      </w:r>
      <w:proofErr w:type="gramStart"/>
      <w:r w:rsidRPr="00F20F99">
        <w:rPr>
          <w:rFonts w:ascii="Times New Roman" w:hAnsi="Times New Roman" w:cs="Times New Roman"/>
          <w:sz w:val="24"/>
          <w:szCs w:val="24"/>
          <w:lang w:val="en-US"/>
        </w:rPr>
        <w:t>a</w:t>
      </w:r>
      <w:proofErr w:type="gramEnd"/>
      <w:r w:rsidRPr="00F20F99">
        <w:rPr>
          <w:rFonts w:ascii="Times New Roman" w:hAnsi="Times New Roman" w:cs="Times New Roman"/>
          <w:sz w:val="24"/>
          <w:szCs w:val="24"/>
          <w:lang w:val="en-US"/>
        </w:rPr>
        <w:t xml:space="preserve"> um </w:t>
      </w:r>
      <w:proofErr w:type="spellStart"/>
      <w:r w:rsidRPr="00F20F99">
        <w:rPr>
          <w:rFonts w:ascii="Times New Roman" w:hAnsi="Times New Roman" w:cs="Times New Roman"/>
          <w:sz w:val="24"/>
          <w:szCs w:val="24"/>
          <w:lang w:val="en-US"/>
        </w:rPr>
        <w:t>rigoroso</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processo</w:t>
      </w:r>
      <w:proofErr w:type="spellEnd"/>
      <w:r w:rsidRPr="00F20F99">
        <w:rPr>
          <w:rFonts w:ascii="Times New Roman" w:hAnsi="Times New Roman" w:cs="Times New Roman"/>
          <w:sz w:val="24"/>
          <w:szCs w:val="24"/>
          <w:lang w:val="en-US"/>
        </w:rPr>
        <w:t xml:space="preserve"> de </w:t>
      </w:r>
      <w:proofErr w:type="spellStart"/>
      <w:r w:rsidRPr="00F20F99">
        <w:rPr>
          <w:rFonts w:ascii="Times New Roman" w:hAnsi="Times New Roman" w:cs="Times New Roman"/>
          <w:sz w:val="24"/>
          <w:szCs w:val="24"/>
          <w:lang w:val="en-US"/>
        </w:rPr>
        <w:t>validação</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por</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meio</w:t>
      </w:r>
      <w:proofErr w:type="spellEnd"/>
      <w:r w:rsidRPr="00F20F99">
        <w:rPr>
          <w:rFonts w:ascii="Times New Roman" w:hAnsi="Times New Roman" w:cs="Times New Roman"/>
          <w:sz w:val="24"/>
          <w:szCs w:val="24"/>
          <w:lang w:val="en-US"/>
        </w:rPr>
        <w:t xml:space="preserve"> do </w:t>
      </w:r>
      <w:proofErr w:type="spellStart"/>
      <w:r w:rsidRPr="00F20F99">
        <w:rPr>
          <w:rFonts w:ascii="Times New Roman" w:hAnsi="Times New Roman" w:cs="Times New Roman"/>
          <w:sz w:val="24"/>
          <w:szCs w:val="24"/>
          <w:lang w:val="en-US"/>
        </w:rPr>
        <w:t>julgamento</w:t>
      </w:r>
      <w:proofErr w:type="spellEnd"/>
      <w:r w:rsidRPr="00F20F99">
        <w:rPr>
          <w:rFonts w:ascii="Times New Roman" w:hAnsi="Times New Roman" w:cs="Times New Roman"/>
          <w:sz w:val="24"/>
          <w:szCs w:val="24"/>
          <w:lang w:val="en-US"/>
        </w:rPr>
        <w:t xml:space="preserve"> de </w:t>
      </w:r>
      <w:proofErr w:type="spellStart"/>
      <w:r w:rsidRPr="00F20F99">
        <w:rPr>
          <w:rFonts w:ascii="Times New Roman" w:hAnsi="Times New Roman" w:cs="Times New Roman"/>
          <w:sz w:val="24"/>
          <w:szCs w:val="24"/>
          <w:lang w:val="en-US"/>
        </w:rPr>
        <w:t>especialistas</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dois</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acadêmicos</w:t>
      </w:r>
      <w:proofErr w:type="spellEnd"/>
      <w:r w:rsidRPr="00F20F99">
        <w:rPr>
          <w:rFonts w:ascii="Times New Roman" w:hAnsi="Times New Roman" w:cs="Times New Roman"/>
          <w:sz w:val="24"/>
          <w:szCs w:val="24"/>
          <w:lang w:val="en-US"/>
        </w:rPr>
        <w:t xml:space="preserve"> e </w:t>
      </w:r>
      <w:proofErr w:type="spellStart"/>
      <w:r w:rsidRPr="00F20F99">
        <w:rPr>
          <w:rFonts w:ascii="Times New Roman" w:hAnsi="Times New Roman" w:cs="Times New Roman"/>
          <w:sz w:val="24"/>
          <w:szCs w:val="24"/>
          <w:lang w:val="en-US"/>
        </w:rPr>
        <w:t>dois</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profissionais</w:t>
      </w:r>
      <w:proofErr w:type="spellEnd"/>
      <w:r w:rsidRPr="00F20F99">
        <w:rPr>
          <w:rFonts w:ascii="Times New Roman" w:hAnsi="Times New Roman" w:cs="Times New Roman"/>
          <w:sz w:val="24"/>
          <w:szCs w:val="24"/>
          <w:lang w:val="en-US"/>
        </w:rPr>
        <w:t xml:space="preserve"> do </w:t>
      </w:r>
      <w:proofErr w:type="spellStart"/>
      <w:r w:rsidRPr="00F20F99">
        <w:rPr>
          <w:rFonts w:ascii="Times New Roman" w:hAnsi="Times New Roman" w:cs="Times New Roman"/>
          <w:sz w:val="24"/>
          <w:szCs w:val="24"/>
          <w:lang w:val="en-US"/>
        </w:rPr>
        <w:t>setor</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manufatureiro</w:t>
      </w:r>
      <w:proofErr w:type="spellEnd"/>
      <w:r w:rsidRPr="00F20F99">
        <w:rPr>
          <w:rFonts w:ascii="Times New Roman" w:hAnsi="Times New Roman" w:cs="Times New Roman"/>
          <w:sz w:val="24"/>
          <w:szCs w:val="24"/>
          <w:lang w:val="en-US"/>
        </w:rPr>
        <w:t>.</w:t>
      </w:r>
    </w:p>
    <w:p w14:paraId="78D14B85" w14:textId="77777777" w:rsidR="00F20F99" w:rsidRPr="00F20F99" w:rsidRDefault="00F20F99" w:rsidP="00F20F99">
      <w:pPr>
        <w:spacing w:after="0" w:line="360" w:lineRule="auto"/>
        <w:jc w:val="both"/>
        <w:rPr>
          <w:rFonts w:ascii="Times New Roman" w:hAnsi="Times New Roman" w:cs="Times New Roman"/>
          <w:sz w:val="24"/>
          <w:szCs w:val="24"/>
          <w:lang w:val="en-US"/>
        </w:rPr>
      </w:pPr>
      <w:proofErr w:type="spellStart"/>
      <w:r w:rsidRPr="00F20F99">
        <w:rPr>
          <w:rFonts w:ascii="Times New Roman" w:hAnsi="Times New Roman" w:cs="Times New Roman"/>
          <w:sz w:val="24"/>
          <w:szCs w:val="24"/>
          <w:lang w:val="en-US"/>
        </w:rPr>
        <w:t>Os</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resultados</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mostraram</w:t>
      </w:r>
      <w:proofErr w:type="spellEnd"/>
      <w:r w:rsidRPr="00F20F99">
        <w:rPr>
          <w:rFonts w:ascii="Times New Roman" w:hAnsi="Times New Roman" w:cs="Times New Roman"/>
          <w:sz w:val="24"/>
          <w:szCs w:val="24"/>
          <w:lang w:val="en-US"/>
        </w:rPr>
        <w:t xml:space="preserve"> que </w:t>
      </w:r>
      <w:proofErr w:type="spellStart"/>
      <w:r w:rsidRPr="00F20F99">
        <w:rPr>
          <w:rFonts w:ascii="Times New Roman" w:hAnsi="Times New Roman" w:cs="Times New Roman"/>
          <w:sz w:val="24"/>
          <w:szCs w:val="24"/>
          <w:lang w:val="en-US"/>
        </w:rPr>
        <w:t>o</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instrumento</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mede</w:t>
      </w:r>
      <w:proofErr w:type="spellEnd"/>
      <w:r w:rsidRPr="00F20F99">
        <w:rPr>
          <w:rFonts w:ascii="Times New Roman" w:hAnsi="Times New Roman" w:cs="Times New Roman"/>
          <w:sz w:val="24"/>
          <w:szCs w:val="24"/>
          <w:lang w:val="en-US"/>
        </w:rPr>
        <w:t xml:space="preserve"> com </w:t>
      </w:r>
      <w:proofErr w:type="spellStart"/>
      <w:r w:rsidRPr="00F20F99">
        <w:rPr>
          <w:rFonts w:ascii="Times New Roman" w:hAnsi="Times New Roman" w:cs="Times New Roman"/>
          <w:sz w:val="24"/>
          <w:szCs w:val="24"/>
          <w:lang w:val="en-US"/>
        </w:rPr>
        <w:t>precisão</w:t>
      </w:r>
      <w:proofErr w:type="spellEnd"/>
      <w:r w:rsidRPr="00F20F99">
        <w:rPr>
          <w:rFonts w:ascii="Times New Roman" w:hAnsi="Times New Roman" w:cs="Times New Roman"/>
          <w:sz w:val="24"/>
          <w:szCs w:val="24"/>
          <w:lang w:val="en-US"/>
        </w:rPr>
        <w:t xml:space="preserve"> as </w:t>
      </w:r>
      <w:proofErr w:type="spellStart"/>
      <w:r w:rsidRPr="00F20F99">
        <w:rPr>
          <w:rFonts w:ascii="Times New Roman" w:hAnsi="Times New Roman" w:cs="Times New Roman"/>
          <w:sz w:val="24"/>
          <w:szCs w:val="24"/>
          <w:lang w:val="en-US"/>
        </w:rPr>
        <w:t>dimensões</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propostas</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permitindo</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identificar</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como</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cada</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componente</w:t>
      </w:r>
      <w:proofErr w:type="spellEnd"/>
      <w:r w:rsidRPr="00F20F99">
        <w:rPr>
          <w:rFonts w:ascii="Times New Roman" w:hAnsi="Times New Roman" w:cs="Times New Roman"/>
          <w:sz w:val="24"/>
          <w:szCs w:val="24"/>
          <w:lang w:val="en-US"/>
        </w:rPr>
        <w:t xml:space="preserve"> da </w:t>
      </w:r>
      <w:proofErr w:type="spellStart"/>
      <w:r w:rsidRPr="00F20F99">
        <w:rPr>
          <w:rFonts w:ascii="Times New Roman" w:hAnsi="Times New Roman" w:cs="Times New Roman"/>
          <w:sz w:val="24"/>
          <w:szCs w:val="24"/>
          <w:lang w:val="en-US"/>
        </w:rPr>
        <w:t>capacidade</w:t>
      </w:r>
      <w:proofErr w:type="spellEnd"/>
      <w:r w:rsidRPr="00F20F99">
        <w:rPr>
          <w:rFonts w:ascii="Times New Roman" w:hAnsi="Times New Roman" w:cs="Times New Roman"/>
          <w:sz w:val="24"/>
          <w:szCs w:val="24"/>
          <w:lang w:val="en-US"/>
        </w:rPr>
        <w:t xml:space="preserve"> de </w:t>
      </w:r>
      <w:proofErr w:type="spellStart"/>
      <w:r w:rsidRPr="00F20F99">
        <w:rPr>
          <w:rFonts w:ascii="Times New Roman" w:hAnsi="Times New Roman" w:cs="Times New Roman"/>
          <w:sz w:val="24"/>
          <w:szCs w:val="24"/>
          <w:lang w:val="en-US"/>
        </w:rPr>
        <w:t>absorção</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influencia</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significativamente</w:t>
      </w:r>
      <w:proofErr w:type="spellEnd"/>
      <w:r w:rsidRPr="00F20F99">
        <w:rPr>
          <w:rFonts w:ascii="Times New Roman" w:hAnsi="Times New Roman" w:cs="Times New Roman"/>
          <w:sz w:val="24"/>
          <w:szCs w:val="24"/>
          <w:lang w:val="en-US"/>
        </w:rPr>
        <w:t xml:space="preserve"> </w:t>
      </w:r>
      <w:proofErr w:type="gramStart"/>
      <w:r w:rsidRPr="00F20F99">
        <w:rPr>
          <w:rFonts w:ascii="Times New Roman" w:hAnsi="Times New Roman" w:cs="Times New Roman"/>
          <w:sz w:val="24"/>
          <w:szCs w:val="24"/>
          <w:lang w:val="en-US"/>
        </w:rPr>
        <w:t>a</w:t>
      </w:r>
      <w:proofErr w:type="gram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eficácia</w:t>
      </w:r>
      <w:proofErr w:type="spellEnd"/>
      <w:r w:rsidRPr="00F20F99">
        <w:rPr>
          <w:rFonts w:ascii="Times New Roman" w:hAnsi="Times New Roman" w:cs="Times New Roman"/>
          <w:sz w:val="24"/>
          <w:szCs w:val="24"/>
          <w:lang w:val="en-US"/>
        </w:rPr>
        <w:t xml:space="preserve"> da </w:t>
      </w:r>
      <w:proofErr w:type="spellStart"/>
      <w:r w:rsidRPr="00F20F99">
        <w:rPr>
          <w:rFonts w:ascii="Times New Roman" w:hAnsi="Times New Roman" w:cs="Times New Roman"/>
          <w:sz w:val="24"/>
          <w:szCs w:val="24"/>
          <w:lang w:val="en-US"/>
        </w:rPr>
        <w:t>transferência</w:t>
      </w:r>
      <w:proofErr w:type="spellEnd"/>
      <w:r w:rsidRPr="00F20F99">
        <w:rPr>
          <w:rFonts w:ascii="Times New Roman" w:hAnsi="Times New Roman" w:cs="Times New Roman"/>
          <w:sz w:val="24"/>
          <w:szCs w:val="24"/>
          <w:lang w:val="en-US"/>
        </w:rPr>
        <w:t xml:space="preserve"> interna de </w:t>
      </w:r>
      <w:proofErr w:type="spellStart"/>
      <w:r w:rsidRPr="00F20F99">
        <w:rPr>
          <w:rFonts w:ascii="Times New Roman" w:hAnsi="Times New Roman" w:cs="Times New Roman"/>
          <w:sz w:val="24"/>
          <w:szCs w:val="24"/>
          <w:lang w:val="en-US"/>
        </w:rPr>
        <w:t>tecnologia</w:t>
      </w:r>
      <w:proofErr w:type="spellEnd"/>
      <w:r w:rsidRPr="00F20F99">
        <w:rPr>
          <w:rFonts w:ascii="Times New Roman" w:hAnsi="Times New Roman" w:cs="Times New Roman"/>
          <w:sz w:val="24"/>
          <w:szCs w:val="24"/>
          <w:lang w:val="en-US"/>
        </w:rPr>
        <w:t xml:space="preserve">. Em particular, </w:t>
      </w:r>
      <w:proofErr w:type="spellStart"/>
      <w:r w:rsidRPr="00F20F99">
        <w:rPr>
          <w:rFonts w:ascii="Times New Roman" w:hAnsi="Times New Roman" w:cs="Times New Roman"/>
          <w:sz w:val="24"/>
          <w:szCs w:val="24"/>
          <w:lang w:val="en-US"/>
        </w:rPr>
        <w:t>este</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estudo</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destaca</w:t>
      </w:r>
      <w:proofErr w:type="spellEnd"/>
      <w:r w:rsidRPr="00F20F99">
        <w:rPr>
          <w:rFonts w:ascii="Times New Roman" w:hAnsi="Times New Roman" w:cs="Times New Roman"/>
          <w:sz w:val="24"/>
          <w:szCs w:val="24"/>
          <w:lang w:val="en-US"/>
        </w:rPr>
        <w:t xml:space="preserve"> que </w:t>
      </w:r>
      <w:proofErr w:type="gramStart"/>
      <w:r w:rsidRPr="00F20F99">
        <w:rPr>
          <w:rFonts w:ascii="Times New Roman" w:hAnsi="Times New Roman" w:cs="Times New Roman"/>
          <w:sz w:val="24"/>
          <w:szCs w:val="24"/>
          <w:lang w:val="en-US"/>
        </w:rPr>
        <w:t>a</w:t>
      </w:r>
      <w:proofErr w:type="gram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integração</w:t>
      </w:r>
      <w:proofErr w:type="spellEnd"/>
      <w:r w:rsidRPr="00F20F99">
        <w:rPr>
          <w:rFonts w:ascii="Times New Roman" w:hAnsi="Times New Roman" w:cs="Times New Roman"/>
          <w:sz w:val="24"/>
          <w:szCs w:val="24"/>
          <w:lang w:val="en-US"/>
        </w:rPr>
        <w:t xml:space="preserve"> de </w:t>
      </w:r>
      <w:proofErr w:type="spellStart"/>
      <w:r w:rsidRPr="00F20F99">
        <w:rPr>
          <w:rFonts w:ascii="Times New Roman" w:hAnsi="Times New Roman" w:cs="Times New Roman"/>
          <w:sz w:val="24"/>
          <w:szCs w:val="24"/>
          <w:lang w:val="en-US"/>
        </w:rPr>
        <w:t>capacidades</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organizacionais</w:t>
      </w:r>
      <w:proofErr w:type="spellEnd"/>
      <w:r w:rsidRPr="00F20F99">
        <w:rPr>
          <w:rFonts w:ascii="Times New Roman" w:hAnsi="Times New Roman" w:cs="Times New Roman"/>
          <w:sz w:val="24"/>
          <w:szCs w:val="24"/>
          <w:lang w:val="en-US"/>
        </w:rPr>
        <w:t xml:space="preserve"> robustas </w:t>
      </w:r>
      <w:proofErr w:type="spellStart"/>
      <w:r w:rsidRPr="00F20F99">
        <w:rPr>
          <w:rFonts w:ascii="Times New Roman" w:hAnsi="Times New Roman" w:cs="Times New Roman"/>
          <w:sz w:val="24"/>
          <w:szCs w:val="24"/>
          <w:lang w:val="en-US"/>
        </w:rPr>
        <w:t>melhora</w:t>
      </w:r>
      <w:proofErr w:type="spellEnd"/>
      <w:r w:rsidRPr="00F20F99">
        <w:rPr>
          <w:rFonts w:ascii="Times New Roman" w:hAnsi="Times New Roman" w:cs="Times New Roman"/>
          <w:sz w:val="24"/>
          <w:szCs w:val="24"/>
          <w:lang w:val="en-US"/>
        </w:rPr>
        <w:t xml:space="preserve"> a </w:t>
      </w:r>
      <w:proofErr w:type="spellStart"/>
      <w:r w:rsidRPr="00F20F99">
        <w:rPr>
          <w:rFonts w:ascii="Times New Roman" w:hAnsi="Times New Roman" w:cs="Times New Roman"/>
          <w:sz w:val="24"/>
          <w:szCs w:val="24"/>
          <w:lang w:val="en-US"/>
        </w:rPr>
        <w:t>implementação</w:t>
      </w:r>
      <w:proofErr w:type="spellEnd"/>
      <w:r w:rsidRPr="00F20F99">
        <w:rPr>
          <w:rFonts w:ascii="Times New Roman" w:hAnsi="Times New Roman" w:cs="Times New Roman"/>
          <w:sz w:val="24"/>
          <w:szCs w:val="24"/>
          <w:lang w:val="en-US"/>
        </w:rPr>
        <w:t xml:space="preserve"> de </w:t>
      </w:r>
      <w:proofErr w:type="spellStart"/>
      <w:r w:rsidRPr="00F20F99">
        <w:rPr>
          <w:rFonts w:ascii="Times New Roman" w:hAnsi="Times New Roman" w:cs="Times New Roman"/>
          <w:sz w:val="24"/>
          <w:szCs w:val="24"/>
          <w:lang w:val="en-US"/>
        </w:rPr>
        <w:t>tecnologias</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avançadas</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em</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contextos</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industriais</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altamente</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competitivos</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Essas</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descobertas</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ressaltam</w:t>
      </w:r>
      <w:proofErr w:type="spellEnd"/>
      <w:r w:rsidRPr="00F20F99">
        <w:rPr>
          <w:rFonts w:ascii="Times New Roman" w:hAnsi="Times New Roman" w:cs="Times New Roman"/>
          <w:sz w:val="24"/>
          <w:szCs w:val="24"/>
          <w:lang w:val="en-US"/>
        </w:rPr>
        <w:t xml:space="preserve"> a </w:t>
      </w:r>
      <w:proofErr w:type="spellStart"/>
      <w:r w:rsidRPr="00F20F99">
        <w:rPr>
          <w:rFonts w:ascii="Times New Roman" w:hAnsi="Times New Roman" w:cs="Times New Roman"/>
          <w:sz w:val="24"/>
          <w:szCs w:val="24"/>
          <w:lang w:val="en-US"/>
        </w:rPr>
        <w:t>relevância</w:t>
      </w:r>
      <w:proofErr w:type="spellEnd"/>
      <w:r w:rsidRPr="00F20F99">
        <w:rPr>
          <w:rFonts w:ascii="Times New Roman" w:hAnsi="Times New Roman" w:cs="Times New Roman"/>
          <w:sz w:val="24"/>
          <w:szCs w:val="24"/>
          <w:lang w:val="en-US"/>
        </w:rPr>
        <w:t xml:space="preserve"> do </w:t>
      </w:r>
      <w:proofErr w:type="spellStart"/>
      <w:r w:rsidRPr="00F20F99">
        <w:rPr>
          <w:rFonts w:ascii="Times New Roman" w:hAnsi="Times New Roman" w:cs="Times New Roman"/>
          <w:sz w:val="24"/>
          <w:szCs w:val="24"/>
          <w:lang w:val="en-US"/>
        </w:rPr>
        <w:t>instrumento</w:t>
      </w:r>
      <w:proofErr w:type="spellEnd"/>
      <w:r w:rsidRPr="00F20F99">
        <w:rPr>
          <w:rFonts w:ascii="Times New Roman" w:hAnsi="Times New Roman" w:cs="Times New Roman"/>
          <w:sz w:val="24"/>
          <w:szCs w:val="24"/>
          <w:lang w:val="en-US"/>
        </w:rPr>
        <w:t xml:space="preserve"> para </w:t>
      </w:r>
      <w:proofErr w:type="spellStart"/>
      <w:r w:rsidRPr="00F20F99">
        <w:rPr>
          <w:rFonts w:ascii="Times New Roman" w:hAnsi="Times New Roman" w:cs="Times New Roman"/>
          <w:sz w:val="24"/>
          <w:szCs w:val="24"/>
          <w:lang w:val="en-US"/>
        </w:rPr>
        <w:t>pesquisas</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futuras</w:t>
      </w:r>
      <w:proofErr w:type="spellEnd"/>
      <w:r w:rsidRPr="00F20F99">
        <w:rPr>
          <w:rFonts w:ascii="Times New Roman" w:hAnsi="Times New Roman" w:cs="Times New Roman"/>
          <w:sz w:val="24"/>
          <w:szCs w:val="24"/>
          <w:lang w:val="en-US"/>
        </w:rPr>
        <w:t xml:space="preserve"> e </w:t>
      </w:r>
      <w:proofErr w:type="spellStart"/>
      <w:r w:rsidRPr="00F20F99">
        <w:rPr>
          <w:rFonts w:ascii="Times New Roman" w:hAnsi="Times New Roman" w:cs="Times New Roman"/>
          <w:sz w:val="24"/>
          <w:szCs w:val="24"/>
          <w:lang w:val="en-US"/>
        </w:rPr>
        <w:t>sua</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utilidade</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como</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uma</w:t>
      </w:r>
      <w:proofErr w:type="spellEnd"/>
      <w:r w:rsidRPr="00F20F99">
        <w:rPr>
          <w:rFonts w:ascii="Times New Roman" w:hAnsi="Times New Roman" w:cs="Times New Roman"/>
          <w:sz w:val="24"/>
          <w:szCs w:val="24"/>
          <w:lang w:val="en-US"/>
        </w:rPr>
        <w:t xml:space="preserve"> ferramenta </w:t>
      </w:r>
      <w:proofErr w:type="spellStart"/>
      <w:r w:rsidRPr="00F20F99">
        <w:rPr>
          <w:rFonts w:ascii="Times New Roman" w:hAnsi="Times New Roman" w:cs="Times New Roman"/>
          <w:sz w:val="24"/>
          <w:szCs w:val="24"/>
          <w:lang w:val="en-US"/>
        </w:rPr>
        <w:t>estratégica</w:t>
      </w:r>
      <w:proofErr w:type="spellEnd"/>
      <w:r w:rsidRPr="00F20F99">
        <w:rPr>
          <w:rFonts w:ascii="Times New Roman" w:hAnsi="Times New Roman" w:cs="Times New Roman"/>
          <w:sz w:val="24"/>
          <w:szCs w:val="24"/>
          <w:lang w:val="en-US"/>
        </w:rPr>
        <w:t xml:space="preserve"> para </w:t>
      </w:r>
      <w:proofErr w:type="spellStart"/>
      <w:r w:rsidRPr="00F20F99">
        <w:rPr>
          <w:rFonts w:ascii="Times New Roman" w:hAnsi="Times New Roman" w:cs="Times New Roman"/>
          <w:sz w:val="24"/>
          <w:szCs w:val="24"/>
          <w:lang w:val="en-US"/>
        </w:rPr>
        <w:t>otimizar</w:t>
      </w:r>
      <w:proofErr w:type="spellEnd"/>
      <w:r w:rsidRPr="00F20F99">
        <w:rPr>
          <w:rFonts w:ascii="Times New Roman" w:hAnsi="Times New Roman" w:cs="Times New Roman"/>
          <w:sz w:val="24"/>
          <w:szCs w:val="24"/>
          <w:lang w:val="en-US"/>
        </w:rPr>
        <w:t xml:space="preserve"> a </w:t>
      </w:r>
      <w:proofErr w:type="spellStart"/>
      <w:r w:rsidRPr="00F20F99">
        <w:rPr>
          <w:rFonts w:ascii="Times New Roman" w:hAnsi="Times New Roman" w:cs="Times New Roman"/>
          <w:sz w:val="24"/>
          <w:szCs w:val="24"/>
          <w:lang w:val="en-US"/>
        </w:rPr>
        <w:t>transferência</w:t>
      </w:r>
      <w:proofErr w:type="spellEnd"/>
      <w:r w:rsidRPr="00F20F99">
        <w:rPr>
          <w:rFonts w:ascii="Times New Roman" w:hAnsi="Times New Roman" w:cs="Times New Roman"/>
          <w:sz w:val="24"/>
          <w:szCs w:val="24"/>
          <w:lang w:val="en-US"/>
        </w:rPr>
        <w:t xml:space="preserve"> de </w:t>
      </w:r>
      <w:proofErr w:type="spellStart"/>
      <w:r w:rsidRPr="00F20F99">
        <w:rPr>
          <w:rFonts w:ascii="Times New Roman" w:hAnsi="Times New Roman" w:cs="Times New Roman"/>
          <w:sz w:val="24"/>
          <w:szCs w:val="24"/>
          <w:lang w:val="en-US"/>
        </w:rPr>
        <w:t>tecnologia</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em</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setores</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industriais</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importantes</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especialmente</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em</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regiões</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como</w:t>
      </w:r>
      <w:proofErr w:type="spellEnd"/>
      <w:r w:rsidRPr="00F20F99">
        <w:rPr>
          <w:rFonts w:ascii="Times New Roman" w:hAnsi="Times New Roman" w:cs="Times New Roman"/>
          <w:sz w:val="24"/>
          <w:szCs w:val="24"/>
          <w:lang w:val="en-US"/>
        </w:rPr>
        <w:t xml:space="preserve"> Ciudad Juárez, </w:t>
      </w:r>
      <w:proofErr w:type="spellStart"/>
      <w:r w:rsidRPr="00F20F99">
        <w:rPr>
          <w:rFonts w:ascii="Times New Roman" w:hAnsi="Times New Roman" w:cs="Times New Roman"/>
          <w:sz w:val="24"/>
          <w:szCs w:val="24"/>
          <w:lang w:val="en-US"/>
        </w:rPr>
        <w:t>onde</w:t>
      </w:r>
      <w:proofErr w:type="spellEnd"/>
      <w:r w:rsidRPr="00F20F99">
        <w:rPr>
          <w:rFonts w:ascii="Times New Roman" w:hAnsi="Times New Roman" w:cs="Times New Roman"/>
          <w:sz w:val="24"/>
          <w:szCs w:val="24"/>
          <w:lang w:val="en-US"/>
        </w:rPr>
        <w:t xml:space="preserve"> a </w:t>
      </w:r>
      <w:proofErr w:type="spellStart"/>
      <w:r w:rsidRPr="00F20F99">
        <w:rPr>
          <w:rFonts w:ascii="Times New Roman" w:hAnsi="Times New Roman" w:cs="Times New Roman"/>
          <w:sz w:val="24"/>
          <w:szCs w:val="24"/>
          <w:lang w:val="en-US"/>
        </w:rPr>
        <w:t>dinâmica</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tecnológica</w:t>
      </w:r>
      <w:proofErr w:type="spellEnd"/>
      <w:r w:rsidRPr="00F20F99">
        <w:rPr>
          <w:rFonts w:ascii="Times New Roman" w:hAnsi="Times New Roman" w:cs="Times New Roman"/>
          <w:sz w:val="24"/>
          <w:szCs w:val="24"/>
          <w:lang w:val="en-US"/>
        </w:rPr>
        <w:t xml:space="preserve"> é </w:t>
      </w:r>
      <w:proofErr w:type="spellStart"/>
      <w:r w:rsidRPr="00F20F99">
        <w:rPr>
          <w:rFonts w:ascii="Times New Roman" w:hAnsi="Times New Roman" w:cs="Times New Roman"/>
          <w:sz w:val="24"/>
          <w:szCs w:val="24"/>
          <w:lang w:val="en-US"/>
        </w:rPr>
        <w:t>crítica</w:t>
      </w:r>
      <w:proofErr w:type="spellEnd"/>
      <w:r w:rsidRPr="00F20F99">
        <w:rPr>
          <w:rFonts w:ascii="Times New Roman" w:hAnsi="Times New Roman" w:cs="Times New Roman"/>
          <w:sz w:val="24"/>
          <w:szCs w:val="24"/>
          <w:lang w:val="en-US"/>
        </w:rPr>
        <w:t xml:space="preserve"> para o </w:t>
      </w:r>
      <w:proofErr w:type="spellStart"/>
      <w:r w:rsidRPr="00F20F99">
        <w:rPr>
          <w:rFonts w:ascii="Times New Roman" w:hAnsi="Times New Roman" w:cs="Times New Roman"/>
          <w:sz w:val="24"/>
          <w:szCs w:val="24"/>
          <w:lang w:val="en-US"/>
        </w:rPr>
        <w:t>desenvolvimento</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competitivo</w:t>
      </w:r>
      <w:proofErr w:type="spellEnd"/>
      <w:r w:rsidRPr="00F20F99">
        <w:rPr>
          <w:rFonts w:ascii="Times New Roman" w:hAnsi="Times New Roman" w:cs="Times New Roman"/>
          <w:sz w:val="24"/>
          <w:szCs w:val="24"/>
          <w:lang w:val="en-US"/>
        </w:rPr>
        <w:t>.</w:t>
      </w:r>
    </w:p>
    <w:p w14:paraId="28FDE35A" w14:textId="104B2C53" w:rsidR="00F20F99" w:rsidRDefault="00F20F99" w:rsidP="00F20F99">
      <w:pPr>
        <w:spacing w:after="0" w:line="360" w:lineRule="auto"/>
        <w:jc w:val="both"/>
        <w:rPr>
          <w:rFonts w:ascii="Times New Roman" w:hAnsi="Times New Roman" w:cs="Times New Roman"/>
          <w:sz w:val="24"/>
          <w:szCs w:val="24"/>
          <w:lang w:val="en-US"/>
        </w:rPr>
      </w:pPr>
      <w:proofErr w:type="spellStart"/>
      <w:r w:rsidRPr="00F20F99">
        <w:rPr>
          <w:rFonts w:cstheme="minorHAnsi"/>
          <w:b/>
          <w:bCs/>
          <w:sz w:val="28"/>
          <w:szCs w:val="28"/>
        </w:rPr>
        <w:t>Palavras</w:t>
      </w:r>
      <w:proofErr w:type="spellEnd"/>
      <w:r w:rsidRPr="00F20F99">
        <w:rPr>
          <w:rFonts w:cstheme="minorHAnsi"/>
          <w:b/>
          <w:bCs/>
          <w:sz w:val="28"/>
          <w:szCs w:val="28"/>
        </w:rPr>
        <w:t>-chave:</w:t>
      </w:r>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Transferência</w:t>
      </w:r>
      <w:proofErr w:type="spellEnd"/>
      <w:r w:rsidRPr="00F20F99">
        <w:rPr>
          <w:rFonts w:ascii="Times New Roman" w:hAnsi="Times New Roman" w:cs="Times New Roman"/>
          <w:sz w:val="24"/>
          <w:szCs w:val="24"/>
          <w:lang w:val="en-US"/>
        </w:rPr>
        <w:t xml:space="preserve"> de </w:t>
      </w:r>
      <w:proofErr w:type="spellStart"/>
      <w:r w:rsidRPr="00F20F99">
        <w:rPr>
          <w:rFonts w:ascii="Times New Roman" w:hAnsi="Times New Roman" w:cs="Times New Roman"/>
          <w:sz w:val="24"/>
          <w:szCs w:val="24"/>
          <w:lang w:val="en-US"/>
        </w:rPr>
        <w:t>Tecnologia</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Validação</w:t>
      </w:r>
      <w:proofErr w:type="spellEnd"/>
      <w:r w:rsidRPr="00F20F99">
        <w:rPr>
          <w:rFonts w:ascii="Times New Roman" w:hAnsi="Times New Roman" w:cs="Times New Roman"/>
          <w:sz w:val="24"/>
          <w:szCs w:val="24"/>
          <w:lang w:val="en-US"/>
        </w:rPr>
        <w:t xml:space="preserve"> de </w:t>
      </w:r>
      <w:proofErr w:type="spellStart"/>
      <w:r w:rsidRPr="00F20F99">
        <w:rPr>
          <w:rFonts w:ascii="Times New Roman" w:hAnsi="Times New Roman" w:cs="Times New Roman"/>
          <w:sz w:val="24"/>
          <w:szCs w:val="24"/>
          <w:lang w:val="en-US"/>
        </w:rPr>
        <w:t>Conteúdo</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Julgamento</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Pericial</w:t>
      </w:r>
      <w:proofErr w:type="spellEnd"/>
      <w:r w:rsidRPr="00F20F99">
        <w:rPr>
          <w:rFonts w:ascii="Times New Roman" w:hAnsi="Times New Roman" w:cs="Times New Roman"/>
          <w:sz w:val="24"/>
          <w:szCs w:val="24"/>
          <w:lang w:val="en-US"/>
        </w:rPr>
        <w:t xml:space="preserve">, </w:t>
      </w:r>
      <w:proofErr w:type="spellStart"/>
      <w:r w:rsidRPr="00F20F99">
        <w:rPr>
          <w:rFonts w:ascii="Times New Roman" w:hAnsi="Times New Roman" w:cs="Times New Roman"/>
          <w:sz w:val="24"/>
          <w:szCs w:val="24"/>
          <w:lang w:val="en-US"/>
        </w:rPr>
        <w:t>Capacidade</w:t>
      </w:r>
      <w:proofErr w:type="spellEnd"/>
      <w:r w:rsidRPr="00F20F99">
        <w:rPr>
          <w:rFonts w:ascii="Times New Roman" w:hAnsi="Times New Roman" w:cs="Times New Roman"/>
          <w:sz w:val="24"/>
          <w:szCs w:val="24"/>
          <w:lang w:val="en-US"/>
        </w:rPr>
        <w:t xml:space="preserve"> de </w:t>
      </w:r>
      <w:proofErr w:type="spellStart"/>
      <w:r w:rsidRPr="00F20F99">
        <w:rPr>
          <w:rFonts w:ascii="Times New Roman" w:hAnsi="Times New Roman" w:cs="Times New Roman"/>
          <w:sz w:val="24"/>
          <w:szCs w:val="24"/>
          <w:lang w:val="en-US"/>
        </w:rPr>
        <w:t>Absorção</w:t>
      </w:r>
      <w:proofErr w:type="spellEnd"/>
      <w:r w:rsidRPr="00F20F99">
        <w:rPr>
          <w:rFonts w:ascii="Times New Roman" w:hAnsi="Times New Roman" w:cs="Times New Roman"/>
          <w:sz w:val="24"/>
          <w:szCs w:val="24"/>
          <w:lang w:val="en-US"/>
        </w:rPr>
        <w:t>.</w:t>
      </w:r>
    </w:p>
    <w:p w14:paraId="6C86F651" w14:textId="77777777" w:rsidR="00F20F99" w:rsidRPr="004334EF" w:rsidRDefault="00F20F99" w:rsidP="00F20F99">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Abril</w:t>
      </w:r>
      <w:proofErr w:type="gramEnd"/>
      <w:r>
        <w:rPr>
          <w:rFonts w:ascii="Times New Roman" w:hAnsi="Times New Roman"/>
          <w:color w:val="000000"/>
          <w:sz w:val="24"/>
        </w:rPr>
        <w:t xml:space="preserve"> 2024                                       </w:t>
      </w:r>
      <w:r w:rsidRPr="00906375">
        <w:rPr>
          <w:rFonts w:ascii="Times New Roman" w:hAnsi="Times New Roman"/>
          <w:b/>
          <w:color w:val="000000"/>
          <w:sz w:val="24"/>
        </w:rPr>
        <w:t xml:space="preserve">Fecha Aceptación: </w:t>
      </w:r>
      <w:r>
        <w:rPr>
          <w:rFonts w:ascii="Times New Roman" w:hAnsi="Times New Roman"/>
          <w:color w:val="000000"/>
          <w:sz w:val="24"/>
        </w:rPr>
        <w:t>Noviembre</w:t>
      </w:r>
      <w:r w:rsidRPr="00906375">
        <w:rPr>
          <w:rFonts w:ascii="Times New Roman" w:hAnsi="Times New Roman"/>
          <w:color w:val="000000"/>
          <w:sz w:val="24"/>
        </w:rPr>
        <w:t xml:space="preserve"> 2024</w:t>
      </w:r>
    </w:p>
    <w:p w14:paraId="10A461DD" w14:textId="77777777" w:rsidR="00F20F99" w:rsidRPr="00AA3327" w:rsidRDefault="00000000" w:rsidP="00F20F99">
      <w:pPr>
        <w:spacing w:after="40" w:line="360" w:lineRule="auto"/>
        <w:ind w:right="-285"/>
        <w:jc w:val="both"/>
        <w:rPr>
          <w:rFonts w:ascii="Times New Roman" w:hAnsi="Times New Roman"/>
          <w:szCs w:val="24"/>
        </w:rPr>
      </w:pPr>
      <w:r>
        <w:rPr>
          <w:noProof/>
        </w:rPr>
        <w:pict w14:anchorId="08F2FAAA">
          <v:rect id="_x0000_i1025" alt="" style="width:441.9pt;height:.05pt;mso-width-percent:0;mso-height-percent:0;mso-width-percent:0;mso-height-percent:0" o:hralign="center" o:hrstd="t" o:hr="t" fillcolor="#a0a0a0" stroked="f"/>
        </w:pict>
      </w:r>
    </w:p>
    <w:p w14:paraId="1C03BC3F" w14:textId="482C0422" w:rsidR="007C382D" w:rsidRPr="00F20F99" w:rsidRDefault="007C382D" w:rsidP="00700D41">
      <w:pPr>
        <w:spacing w:after="0" w:line="360" w:lineRule="auto"/>
        <w:jc w:val="center"/>
        <w:rPr>
          <w:rFonts w:ascii="Times New Roman" w:hAnsi="Times New Roman" w:cs="Times New Roman"/>
          <w:b/>
          <w:bCs/>
          <w:sz w:val="32"/>
          <w:szCs w:val="32"/>
        </w:rPr>
      </w:pPr>
      <w:r w:rsidRPr="00F20F99">
        <w:rPr>
          <w:rFonts w:ascii="Times New Roman" w:hAnsi="Times New Roman" w:cs="Times New Roman"/>
          <w:b/>
          <w:bCs/>
          <w:sz w:val="32"/>
          <w:szCs w:val="32"/>
        </w:rPr>
        <w:t>Introducción</w:t>
      </w:r>
    </w:p>
    <w:p w14:paraId="2A8B2D4A" w14:textId="6751297D" w:rsidR="008A0DC7" w:rsidRDefault="008A0DC7" w:rsidP="00F20F99">
      <w:pPr>
        <w:spacing w:after="0" w:line="360" w:lineRule="auto"/>
        <w:ind w:firstLine="709"/>
        <w:jc w:val="both"/>
        <w:rPr>
          <w:rFonts w:ascii="Times New Roman" w:hAnsi="Times New Roman" w:cs="Times New Roman"/>
          <w:sz w:val="24"/>
          <w:szCs w:val="24"/>
        </w:rPr>
      </w:pPr>
      <w:r w:rsidRPr="008A0DC7">
        <w:rPr>
          <w:rFonts w:ascii="Times New Roman" w:hAnsi="Times New Roman" w:cs="Times New Roman"/>
          <w:sz w:val="24"/>
          <w:szCs w:val="24"/>
        </w:rPr>
        <w:t xml:space="preserve">En el contexto de la transferencia de tecnología </w:t>
      </w:r>
      <w:proofErr w:type="spellStart"/>
      <w:r w:rsidRPr="008A0DC7">
        <w:rPr>
          <w:rFonts w:ascii="Times New Roman" w:hAnsi="Times New Roman" w:cs="Times New Roman"/>
          <w:sz w:val="24"/>
          <w:szCs w:val="24"/>
        </w:rPr>
        <w:t>intraempresarial</w:t>
      </w:r>
      <w:proofErr w:type="spellEnd"/>
      <w:r w:rsidRPr="008A0DC7">
        <w:rPr>
          <w:rFonts w:ascii="Times New Roman" w:hAnsi="Times New Roman" w:cs="Times New Roman"/>
          <w:sz w:val="24"/>
          <w:szCs w:val="24"/>
        </w:rPr>
        <w:t xml:space="preserve"> en Ciudad Juárez, el concepto de capacidad de absorción juega un papel crucial en determinar la eficacia con la que una organización puede adquirir, asimilar y aplicar tecnología nueva y existente para mantener una ventaja competitiva y fomentar la innovación interna. Este proceso es esencial para las empresas que buscan </w:t>
      </w:r>
      <w:r w:rsidR="00851FC1" w:rsidRPr="00851FC1">
        <w:rPr>
          <w:rFonts w:ascii="Times New Roman" w:hAnsi="Times New Roman" w:cs="Times New Roman"/>
          <w:sz w:val="24"/>
          <w:szCs w:val="24"/>
        </w:rPr>
        <w:t xml:space="preserve">mejorar continuamente sus procesos y productos mediante la adquisición de conocimientos y tecnologías avanzadas en el conglomerado empresarial </w:t>
      </w:r>
      <w:r w:rsidRPr="008A0DC7">
        <w:rPr>
          <w:rFonts w:ascii="Times New Roman" w:hAnsi="Times New Roman" w:cs="Times New Roman"/>
          <w:sz w:val="24"/>
          <w:szCs w:val="24"/>
        </w:rPr>
        <w:t xml:space="preserve">(Singh </w:t>
      </w:r>
      <w:r w:rsidR="005939C7">
        <w:rPr>
          <w:rFonts w:ascii="Times New Roman" w:hAnsi="Times New Roman" w:cs="Times New Roman"/>
          <w:sz w:val="24"/>
          <w:szCs w:val="24"/>
        </w:rPr>
        <w:t>et ál</w:t>
      </w:r>
      <w:r w:rsidRPr="008A0DC7">
        <w:rPr>
          <w:rFonts w:ascii="Times New Roman" w:hAnsi="Times New Roman" w:cs="Times New Roman"/>
          <w:sz w:val="24"/>
          <w:szCs w:val="24"/>
        </w:rPr>
        <w:t xml:space="preserve">., 2023; </w:t>
      </w:r>
      <w:proofErr w:type="spellStart"/>
      <w:r w:rsidRPr="008A0DC7">
        <w:rPr>
          <w:rFonts w:ascii="Times New Roman" w:hAnsi="Times New Roman" w:cs="Times New Roman"/>
          <w:sz w:val="24"/>
          <w:szCs w:val="24"/>
        </w:rPr>
        <w:t>Tippakoon</w:t>
      </w:r>
      <w:proofErr w:type="spellEnd"/>
      <w:r w:rsidRPr="008A0DC7">
        <w:rPr>
          <w:rFonts w:ascii="Times New Roman" w:hAnsi="Times New Roman" w:cs="Times New Roman"/>
          <w:sz w:val="24"/>
          <w:szCs w:val="24"/>
        </w:rPr>
        <w:t xml:space="preserve"> </w:t>
      </w:r>
      <w:r w:rsidR="005939C7">
        <w:rPr>
          <w:rFonts w:ascii="Times New Roman" w:hAnsi="Times New Roman" w:cs="Times New Roman"/>
          <w:sz w:val="24"/>
          <w:szCs w:val="24"/>
        </w:rPr>
        <w:t>et ál</w:t>
      </w:r>
      <w:r w:rsidRPr="008A0DC7">
        <w:rPr>
          <w:rFonts w:ascii="Times New Roman" w:hAnsi="Times New Roman" w:cs="Times New Roman"/>
          <w:sz w:val="24"/>
          <w:szCs w:val="24"/>
        </w:rPr>
        <w:t>., 2023).</w:t>
      </w:r>
    </w:p>
    <w:p w14:paraId="2BA54655" w14:textId="77777777" w:rsidR="00FE4589" w:rsidRPr="008A0DC7" w:rsidRDefault="00FE4589" w:rsidP="00F20F99">
      <w:pPr>
        <w:spacing w:after="0" w:line="360" w:lineRule="auto"/>
        <w:ind w:firstLine="709"/>
        <w:jc w:val="both"/>
        <w:rPr>
          <w:rFonts w:ascii="Times New Roman" w:hAnsi="Times New Roman" w:cs="Times New Roman"/>
          <w:sz w:val="24"/>
          <w:szCs w:val="24"/>
        </w:rPr>
      </w:pPr>
    </w:p>
    <w:p w14:paraId="388D2BD0" w14:textId="2FB19FCA" w:rsidR="008A0DC7" w:rsidRPr="008A0DC7" w:rsidRDefault="00851FC1" w:rsidP="00F20F99">
      <w:pPr>
        <w:spacing w:after="0" w:line="360" w:lineRule="auto"/>
        <w:ind w:firstLine="709"/>
        <w:jc w:val="both"/>
        <w:rPr>
          <w:rFonts w:ascii="Times New Roman" w:hAnsi="Times New Roman" w:cs="Times New Roman"/>
          <w:sz w:val="24"/>
          <w:szCs w:val="24"/>
        </w:rPr>
      </w:pPr>
      <w:r w:rsidRPr="00851FC1">
        <w:rPr>
          <w:rFonts w:ascii="Times New Roman" w:hAnsi="Times New Roman" w:cs="Times New Roman"/>
          <w:sz w:val="24"/>
          <w:szCs w:val="24"/>
        </w:rPr>
        <w:lastRenderedPageBreak/>
        <w:t>La capacidad de absorción se divide en dos componentes principales: la potencial, relacionada con la habilidad de la empresa para identificar, comprender y evaluar el valor del conocimiento externo; y la realizada, enfocada en la aplicación efectiva de dicho conocimiento para fines comerciales</w:t>
      </w:r>
      <w:r w:rsidR="008A0DC7" w:rsidRPr="008A0DC7">
        <w:rPr>
          <w:rFonts w:ascii="Times New Roman" w:hAnsi="Times New Roman" w:cs="Times New Roman"/>
          <w:sz w:val="24"/>
          <w:szCs w:val="24"/>
        </w:rPr>
        <w:t xml:space="preserve">. Estas dimensiones permiten a las organizaciones no solo adquirir nuevas tecnologías, sino también adaptarlas y aplicarlas en sus operaciones. </w:t>
      </w:r>
      <w:r w:rsidRPr="00851FC1">
        <w:rPr>
          <w:rFonts w:ascii="Times New Roman" w:hAnsi="Times New Roman" w:cs="Times New Roman"/>
          <w:sz w:val="24"/>
          <w:szCs w:val="24"/>
        </w:rPr>
        <w:t xml:space="preserve">Este marco conceptual ha resultado clave en investigaciones previas sobre el impacto de la capacidad de absorción en el desempeño organizacional </w:t>
      </w:r>
      <w:r w:rsidR="008A0DC7" w:rsidRPr="008A0DC7">
        <w:rPr>
          <w:rFonts w:ascii="Times New Roman" w:hAnsi="Times New Roman" w:cs="Times New Roman"/>
          <w:sz w:val="24"/>
          <w:szCs w:val="24"/>
        </w:rPr>
        <w:t>(</w:t>
      </w:r>
      <w:proofErr w:type="spellStart"/>
      <w:r w:rsidR="008A0DC7" w:rsidRPr="008A0DC7">
        <w:rPr>
          <w:rFonts w:ascii="Times New Roman" w:hAnsi="Times New Roman" w:cs="Times New Roman"/>
          <w:sz w:val="24"/>
          <w:szCs w:val="24"/>
        </w:rPr>
        <w:t>Truong</w:t>
      </w:r>
      <w:proofErr w:type="spellEnd"/>
      <w:r w:rsidR="008A0DC7" w:rsidRPr="008A0DC7">
        <w:rPr>
          <w:rFonts w:ascii="Times New Roman" w:hAnsi="Times New Roman" w:cs="Times New Roman"/>
          <w:sz w:val="24"/>
          <w:szCs w:val="24"/>
        </w:rPr>
        <w:t xml:space="preserve"> &amp; Nguyen, 2024).</w:t>
      </w:r>
    </w:p>
    <w:p w14:paraId="3887886B" w14:textId="4C4BDA21" w:rsidR="008A0DC7" w:rsidRPr="008A0DC7" w:rsidRDefault="00851FC1" w:rsidP="00F20F99">
      <w:pPr>
        <w:spacing w:after="0" w:line="360" w:lineRule="auto"/>
        <w:ind w:firstLine="709"/>
        <w:jc w:val="both"/>
        <w:rPr>
          <w:rFonts w:ascii="Times New Roman" w:hAnsi="Times New Roman" w:cs="Times New Roman"/>
          <w:sz w:val="24"/>
          <w:szCs w:val="24"/>
        </w:rPr>
      </w:pPr>
      <w:r w:rsidRPr="00851FC1">
        <w:rPr>
          <w:rFonts w:ascii="Times New Roman" w:hAnsi="Times New Roman" w:cs="Times New Roman"/>
          <w:sz w:val="24"/>
          <w:szCs w:val="24"/>
        </w:rPr>
        <w:t xml:space="preserve">La relación entre la transferencia de tecnología </w:t>
      </w:r>
      <w:proofErr w:type="spellStart"/>
      <w:r w:rsidRPr="00851FC1">
        <w:rPr>
          <w:rFonts w:ascii="Times New Roman" w:hAnsi="Times New Roman" w:cs="Times New Roman"/>
          <w:sz w:val="24"/>
          <w:szCs w:val="24"/>
        </w:rPr>
        <w:t>intraempresarial</w:t>
      </w:r>
      <w:proofErr w:type="spellEnd"/>
      <w:r w:rsidRPr="00851FC1">
        <w:rPr>
          <w:rFonts w:ascii="Times New Roman" w:hAnsi="Times New Roman" w:cs="Times New Roman"/>
          <w:sz w:val="24"/>
          <w:szCs w:val="24"/>
        </w:rPr>
        <w:t xml:space="preserve"> y la capacidad de absorción se manifiesta en la gestión eficaz del conocimiento para impulsar la innovación y optimizar los procesos organizacionales</w:t>
      </w:r>
      <w:r w:rsidR="008A0DC7" w:rsidRPr="008A0DC7">
        <w:rPr>
          <w:rFonts w:ascii="Times New Roman" w:hAnsi="Times New Roman" w:cs="Times New Roman"/>
          <w:sz w:val="24"/>
          <w:szCs w:val="24"/>
        </w:rPr>
        <w:t>. Las organizaciones con altas capacidades de absorción son más aptas para integrar nuevas tecnologías de manera que complementen y potencien sus recursos existentes. Este vínculo es consistente con investigaciones que resaltan cómo la capacidad de absorción facilita ecosistemas efectivos de transferencia tecnológica (</w:t>
      </w:r>
      <w:proofErr w:type="spellStart"/>
      <w:r w:rsidR="008A0DC7" w:rsidRPr="008A0DC7">
        <w:rPr>
          <w:rFonts w:ascii="Times New Roman" w:hAnsi="Times New Roman" w:cs="Times New Roman"/>
          <w:sz w:val="24"/>
          <w:szCs w:val="24"/>
        </w:rPr>
        <w:t>Conlé</w:t>
      </w:r>
      <w:proofErr w:type="spellEnd"/>
      <w:r w:rsidR="008A0DC7" w:rsidRPr="008A0DC7">
        <w:rPr>
          <w:rFonts w:ascii="Times New Roman" w:hAnsi="Times New Roman" w:cs="Times New Roman"/>
          <w:sz w:val="24"/>
          <w:szCs w:val="24"/>
        </w:rPr>
        <w:t xml:space="preserve"> </w:t>
      </w:r>
      <w:r w:rsidR="005939C7">
        <w:rPr>
          <w:rFonts w:ascii="Times New Roman" w:hAnsi="Times New Roman" w:cs="Times New Roman"/>
          <w:sz w:val="24"/>
          <w:szCs w:val="24"/>
        </w:rPr>
        <w:t>et ál</w:t>
      </w:r>
      <w:r w:rsidR="008A0DC7" w:rsidRPr="008A0DC7">
        <w:rPr>
          <w:rFonts w:ascii="Times New Roman" w:hAnsi="Times New Roman" w:cs="Times New Roman"/>
          <w:sz w:val="24"/>
          <w:szCs w:val="24"/>
        </w:rPr>
        <w:t>., 2023).</w:t>
      </w:r>
    </w:p>
    <w:p w14:paraId="2FA17373" w14:textId="14FC0459" w:rsidR="008A0DC7" w:rsidRPr="00D45D63" w:rsidRDefault="008A0DC7" w:rsidP="00F20F99">
      <w:pPr>
        <w:spacing w:after="0" w:line="360" w:lineRule="auto"/>
        <w:ind w:firstLine="709"/>
        <w:jc w:val="both"/>
        <w:rPr>
          <w:rFonts w:ascii="Times New Roman" w:hAnsi="Times New Roman" w:cs="Times New Roman"/>
          <w:sz w:val="24"/>
          <w:szCs w:val="24"/>
        </w:rPr>
      </w:pPr>
      <w:r w:rsidRPr="008A0DC7">
        <w:rPr>
          <w:rFonts w:ascii="Times New Roman" w:hAnsi="Times New Roman" w:cs="Times New Roman"/>
          <w:sz w:val="24"/>
          <w:szCs w:val="24"/>
        </w:rPr>
        <w:t xml:space="preserve">El desarrollo de una estrategia efectiva de transferencia de tecnología </w:t>
      </w:r>
      <w:proofErr w:type="spellStart"/>
      <w:r w:rsidRPr="008A0DC7">
        <w:rPr>
          <w:rFonts w:ascii="Times New Roman" w:hAnsi="Times New Roman" w:cs="Times New Roman"/>
          <w:sz w:val="24"/>
          <w:szCs w:val="24"/>
        </w:rPr>
        <w:t>intraempresarial</w:t>
      </w:r>
      <w:proofErr w:type="spellEnd"/>
      <w:r w:rsidRPr="008A0DC7">
        <w:rPr>
          <w:rFonts w:ascii="Times New Roman" w:hAnsi="Times New Roman" w:cs="Times New Roman"/>
          <w:sz w:val="24"/>
          <w:szCs w:val="24"/>
        </w:rPr>
        <w:t xml:space="preserve">, apoyada por robustas capacidades de absorción, </w:t>
      </w:r>
      <w:r w:rsidR="00851FC1" w:rsidRPr="00851FC1">
        <w:rPr>
          <w:rFonts w:ascii="Times New Roman" w:hAnsi="Times New Roman" w:cs="Times New Roman"/>
          <w:sz w:val="24"/>
          <w:szCs w:val="24"/>
        </w:rPr>
        <w:t>permite a las empresas maximizar el valor de las innovaciones tecnológicas y asegurar que estos avances contribuyan a su éxito competitivo</w:t>
      </w:r>
      <w:r w:rsidRPr="008A0DC7">
        <w:rPr>
          <w:rFonts w:ascii="Times New Roman" w:hAnsi="Times New Roman" w:cs="Times New Roman"/>
          <w:sz w:val="24"/>
          <w:szCs w:val="24"/>
        </w:rPr>
        <w:t xml:space="preserve">. Además, fomenta un ambiente de innovación continua, donde el conocimiento y la tecnología se utilizan de manera estratégica para mantener la competitividad en un mercado global dinámico (Yang </w:t>
      </w:r>
      <w:r w:rsidR="005939C7">
        <w:rPr>
          <w:rFonts w:ascii="Times New Roman" w:hAnsi="Times New Roman" w:cs="Times New Roman"/>
          <w:sz w:val="24"/>
          <w:szCs w:val="24"/>
        </w:rPr>
        <w:t>et ál</w:t>
      </w:r>
      <w:r w:rsidRPr="008A0DC7">
        <w:rPr>
          <w:rFonts w:ascii="Times New Roman" w:hAnsi="Times New Roman" w:cs="Times New Roman"/>
          <w:sz w:val="24"/>
          <w:szCs w:val="24"/>
        </w:rPr>
        <w:t>., 2023).</w:t>
      </w:r>
    </w:p>
    <w:p w14:paraId="108BF063" w14:textId="06DF8DB4" w:rsidR="007C382D" w:rsidRPr="00D45D63"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 xml:space="preserve">A través de una revisión sistemática de la literatura empleando la metodología PRISMA, se han identificado múltiples factores relacionados con la transferencia de tecnología </w:t>
      </w:r>
      <w:proofErr w:type="spellStart"/>
      <w:r w:rsidRPr="00D45D63">
        <w:rPr>
          <w:rFonts w:ascii="Times New Roman" w:hAnsi="Times New Roman" w:cs="Times New Roman"/>
          <w:sz w:val="24"/>
          <w:szCs w:val="24"/>
        </w:rPr>
        <w:t>intraempresarial</w:t>
      </w:r>
      <w:proofErr w:type="spellEnd"/>
      <w:r w:rsidRPr="00D45D63">
        <w:rPr>
          <w:rFonts w:ascii="Times New Roman" w:hAnsi="Times New Roman" w:cs="Times New Roman"/>
          <w:sz w:val="24"/>
          <w:szCs w:val="24"/>
        </w:rPr>
        <w:t xml:space="preserve"> (Quijano, 2023). En el contexto específico de Ciudad Juárez, un importante centro industrial y tecnológico, la investigación sobre la transferencia de tecnología </w:t>
      </w:r>
      <w:proofErr w:type="spellStart"/>
      <w:r w:rsidRPr="00D45D63">
        <w:rPr>
          <w:rFonts w:ascii="Times New Roman" w:hAnsi="Times New Roman" w:cs="Times New Roman"/>
          <w:sz w:val="24"/>
          <w:szCs w:val="24"/>
        </w:rPr>
        <w:t>intraempresarial</w:t>
      </w:r>
      <w:proofErr w:type="spellEnd"/>
      <w:r w:rsidRPr="00D45D63">
        <w:rPr>
          <w:rFonts w:ascii="Times New Roman" w:hAnsi="Times New Roman" w:cs="Times New Roman"/>
          <w:sz w:val="24"/>
          <w:szCs w:val="24"/>
        </w:rPr>
        <w:t xml:space="preserve"> y su interacción con la capacidad de absorción adquiere una relevancia particular. </w:t>
      </w:r>
      <w:r w:rsidR="00851FC1" w:rsidRPr="00851FC1">
        <w:rPr>
          <w:rFonts w:ascii="Times New Roman" w:hAnsi="Times New Roman" w:cs="Times New Roman"/>
          <w:sz w:val="24"/>
          <w:szCs w:val="24"/>
        </w:rPr>
        <w:t>Dada la concentración de industrias manufactureras y tecnológicas en la región, explorar estas dinámicas desde un enfoque estadístico no solo aclara las relaciones y procesos subyacentes, sino que también facilita la formulación de estrategias efectivas para la implementación tecnológica</w:t>
      </w:r>
      <w:r w:rsidRPr="00D45D63">
        <w:rPr>
          <w:rFonts w:ascii="Times New Roman" w:hAnsi="Times New Roman" w:cs="Times New Roman"/>
          <w:sz w:val="24"/>
          <w:szCs w:val="24"/>
        </w:rPr>
        <w:t xml:space="preserve">. Este enfoque estadístico permitirá no solo comprender las dinámicas actuales, sino también prever y planificar para futuros desarrollos tecnológicos y organizacionales, </w:t>
      </w:r>
      <w:r w:rsidR="00851FC1" w:rsidRPr="00851FC1">
        <w:rPr>
          <w:rFonts w:ascii="Times New Roman" w:hAnsi="Times New Roman" w:cs="Times New Roman"/>
          <w:sz w:val="24"/>
          <w:szCs w:val="24"/>
        </w:rPr>
        <w:t>asegurando que las empresas en Ciudad Juárez se mantengan a la vanguardia de la innovación y mantengan su ventaja competitiva</w:t>
      </w:r>
      <w:r w:rsidRPr="00D45D63">
        <w:rPr>
          <w:rFonts w:ascii="Times New Roman" w:hAnsi="Times New Roman" w:cs="Times New Roman"/>
          <w:sz w:val="24"/>
          <w:szCs w:val="24"/>
        </w:rPr>
        <w:t>.</w:t>
      </w:r>
    </w:p>
    <w:p w14:paraId="61F915D1" w14:textId="77777777" w:rsidR="002A7B81" w:rsidRPr="00D45D63" w:rsidRDefault="002A7B81" w:rsidP="00C406B8">
      <w:pPr>
        <w:spacing w:after="0" w:line="360" w:lineRule="auto"/>
        <w:jc w:val="both"/>
        <w:rPr>
          <w:rFonts w:ascii="Times New Roman" w:hAnsi="Times New Roman" w:cs="Times New Roman"/>
          <w:sz w:val="24"/>
          <w:szCs w:val="24"/>
        </w:rPr>
      </w:pPr>
    </w:p>
    <w:p w14:paraId="682648AE" w14:textId="6B418B05" w:rsidR="00400EA0" w:rsidRPr="00D45D63" w:rsidRDefault="002A7B81" w:rsidP="002A7B81">
      <w:pPr>
        <w:spacing w:after="0" w:line="360" w:lineRule="auto"/>
        <w:jc w:val="center"/>
        <w:rPr>
          <w:rFonts w:ascii="Times New Roman" w:hAnsi="Times New Roman" w:cs="Times New Roman"/>
          <w:sz w:val="24"/>
          <w:szCs w:val="24"/>
        </w:rPr>
      </w:pPr>
      <w:r w:rsidRPr="00F20F99">
        <w:rPr>
          <w:rFonts w:ascii="Times New Roman" w:hAnsi="Times New Roman" w:cs="Times New Roman"/>
          <w:b/>
          <w:bCs/>
          <w:sz w:val="24"/>
          <w:szCs w:val="24"/>
        </w:rPr>
        <w:lastRenderedPageBreak/>
        <w:t>Figura 1:</w:t>
      </w:r>
      <w:r w:rsidRPr="00D45D63">
        <w:rPr>
          <w:rFonts w:ascii="Times New Roman" w:hAnsi="Times New Roman" w:cs="Times New Roman"/>
          <w:sz w:val="24"/>
          <w:szCs w:val="24"/>
        </w:rPr>
        <w:t xml:space="preserve"> Modelo conceptual</w:t>
      </w:r>
      <w:r w:rsidR="00400EA0" w:rsidRPr="00D45D63">
        <w:rPr>
          <w:rFonts w:ascii="Times New Roman" w:hAnsi="Times New Roman" w:cs="Times New Roman"/>
          <w:noProof/>
          <w:sz w:val="24"/>
          <w:szCs w:val="24"/>
        </w:rPr>
        <w:drawing>
          <wp:inline distT="0" distB="0" distL="0" distR="0" wp14:anchorId="3EF5A60E" wp14:editId="72A43DDA">
            <wp:extent cx="5402580" cy="2812743"/>
            <wp:effectExtent l="0" t="0" r="7620" b="6985"/>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pic:cNvPicPr/>
                  </pic:nvPicPr>
                  <pic:blipFill rotWithShape="1">
                    <a:blip r:embed="rId8">
                      <a:extLst>
                        <a:ext uri="{28A0092B-C50C-407E-A947-70E740481C1C}">
                          <a14:useLocalDpi xmlns:a14="http://schemas.microsoft.com/office/drawing/2010/main" val="0"/>
                        </a:ext>
                      </a:extLst>
                    </a:blip>
                    <a:srcRect t="5217" b="2231"/>
                    <a:stretch/>
                  </pic:blipFill>
                  <pic:spPr bwMode="auto">
                    <a:xfrm>
                      <a:off x="0" y="0"/>
                      <a:ext cx="5409386" cy="2816286"/>
                    </a:xfrm>
                    <a:prstGeom prst="rect">
                      <a:avLst/>
                    </a:prstGeom>
                    <a:ln>
                      <a:noFill/>
                    </a:ln>
                    <a:extLst>
                      <a:ext uri="{53640926-AAD7-44D8-BBD7-CCE9431645EC}">
                        <a14:shadowObscured xmlns:a14="http://schemas.microsoft.com/office/drawing/2010/main"/>
                      </a:ext>
                    </a:extLst>
                  </pic:spPr>
                </pic:pic>
              </a:graphicData>
            </a:graphic>
          </wp:inline>
        </w:drawing>
      </w:r>
    </w:p>
    <w:p w14:paraId="236D3DEF" w14:textId="233F9470" w:rsidR="002A7B81" w:rsidRPr="00D45D63" w:rsidRDefault="002A7B81" w:rsidP="00F20F99">
      <w:pPr>
        <w:spacing w:after="0" w:line="360" w:lineRule="auto"/>
        <w:jc w:val="center"/>
        <w:rPr>
          <w:rFonts w:ascii="Times New Roman" w:hAnsi="Times New Roman" w:cs="Times New Roman"/>
          <w:sz w:val="24"/>
          <w:szCs w:val="24"/>
        </w:rPr>
      </w:pPr>
      <w:r w:rsidRPr="00D45D63">
        <w:rPr>
          <w:rFonts w:ascii="Times New Roman" w:hAnsi="Times New Roman" w:cs="Times New Roman"/>
          <w:sz w:val="24"/>
          <w:szCs w:val="24"/>
        </w:rPr>
        <w:t>Fuente: Elaboración propia</w:t>
      </w:r>
    </w:p>
    <w:p w14:paraId="0573848A" w14:textId="3BAD5313" w:rsidR="007C382D" w:rsidRPr="00D45D63"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 xml:space="preserve">El modelo conceptual, como se muestra en la Figura 1, ilustra cómo la transferencia de tecnología </w:t>
      </w:r>
      <w:proofErr w:type="spellStart"/>
      <w:r w:rsidRPr="00D45D63">
        <w:rPr>
          <w:rFonts w:ascii="Times New Roman" w:hAnsi="Times New Roman" w:cs="Times New Roman"/>
          <w:sz w:val="24"/>
          <w:szCs w:val="24"/>
        </w:rPr>
        <w:t>intraempresarial</w:t>
      </w:r>
      <w:proofErr w:type="spellEnd"/>
      <w:r w:rsidRPr="00D45D63">
        <w:rPr>
          <w:rFonts w:ascii="Times New Roman" w:hAnsi="Times New Roman" w:cs="Times New Roman"/>
          <w:sz w:val="24"/>
          <w:szCs w:val="24"/>
        </w:rPr>
        <w:t xml:space="preserve"> está intrínsecamente ligada a las capacidades de absorción potencial y realizada. Las diferentes dimensiones de la capacidad de absorción, tales como la gestión del conocimiento, el liderazgo y compromiso, la agilidad organizacional, el talento humano calificado, la cultura de aprendizaje y el acceso a fuentes de conocimiento, juegan un papel vital en la efectiva implementación y aprovechamiento de nuevas tecnologías dentro de la empresa.</w:t>
      </w:r>
    </w:p>
    <w:p w14:paraId="0358CD75" w14:textId="31ED6C5A" w:rsidR="00C34D9A" w:rsidRPr="00D45D63" w:rsidRDefault="00C34D9A" w:rsidP="00C406B8">
      <w:pPr>
        <w:spacing w:after="0" w:line="360" w:lineRule="auto"/>
        <w:jc w:val="both"/>
        <w:rPr>
          <w:rFonts w:ascii="Times New Roman" w:hAnsi="Times New Roman" w:cs="Times New Roman"/>
          <w:sz w:val="24"/>
          <w:szCs w:val="24"/>
        </w:rPr>
      </w:pPr>
    </w:p>
    <w:p w14:paraId="3BB051A3" w14:textId="403FAB1B" w:rsidR="007C382D" w:rsidRPr="00F20F99" w:rsidRDefault="007C382D" w:rsidP="00700D41">
      <w:pPr>
        <w:spacing w:after="0" w:line="360" w:lineRule="auto"/>
        <w:jc w:val="center"/>
        <w:rPr>
          <w:rFonts w:ascii="Times New Roman" w:hAnsi="Times New Roman" w:cs="Times New Roman"/>
          <w:b/>
          <w:bCs/>
          <w:sz w:val="32"/>
          <w:szCs w:val="32"/>
        </w:rPr>
      </w:pPr>
      <w:r w:rsidRPr="00F20F99">
        <w:rPr>
          <w:rFonts w:ascii="Times New Roman" w:hAnsi="Times New Roman" w:cs="Times New Roman"/>
          <w:b/>
          <w:bCs/>
          <w:sz w:val="32"/>
          <w:szCs w:val="32"/>
        </w:rPr>
        <w:t>Metodología</w:t>
      </w:r>
    </w:p>
    <w:p w14:paraId="76587787" w14:textId="14F86E27" w:rsidR="009D6CDA" w:rsidRDefault="00A5345D" w:rsidP="00F20F99">
      <w:pPr>
        <w:spacing w:after="0" w:line="360" w:lineRule="auto"/>
        <w:ind w:firstLine="709"/>
        <w:jc w:val="both"/>
        <w:rPr>
          <w:rFonts w:ascii="Times New Roman" w:hAnsi="Times New Roman" w:cs="Times New Roman"/>
          <w:sz w:val="24"/>
          <w:szCs w:val="24"/>
        </w:rPr>
      </w:pPr>
      <w:r w:rsidRPr="00A5345D">
        <w:rPr>
          <w:rFonts w:ascii="Times New Roman" w:hAnsi="Times New Roman" w:cs="Times New Roman"/>
          <w:sz w:val="24"/>
          <w:szCs w:val="24"/>
        </w:rPr>
        <w:t xml:space="preserve">La metodología de esta investigación se centra en la meticulosa operacionalización de los constructos esenciales para comprender la dinámica de la transferencia de tecnología </w:t>
      </w:r>
      <w:proofErr w:type="spellStart"/>
      <w:r w:rsidRPr="00A5345D">
        <w:rPr>
          <w:rFonts w:ascii="Times New Roman" w:hAnsi="Times New Roman" w:cs="Times New Roman"/>
          <w:sz w:val="24"/>
          <w:szCs w:val="24"/>
        </w:rPr>
        <w:t>intraempresarial</w:t>
      </w:r>
      <w:proofErr w:type="spellEnd"/>
      <w:r w:rsidR="009D6CDA" w:rsidRPr="009D6CDA">
        <w:rPr>
          <w:rFonts w:ascii="Times New Roman" w:hAnsi="Times New Roman" w:cs="Times New Roman"/>
          <w:sz w:val="24"/>
          <w:szCs w:val="24"/>
        </w:rPr>
        <w:t xml:space="preserve">. </w:t>
      </w:r>
      <w:r w:rsidRPr="00A5345D">
        <w:rPr>
          <w:rFonts w:ascii="Times New Roman" w:hAnsi="Times New Roman" w:cs="Times New Roman"/>
          <w:sz w:val="24"/>
          <w:szCs w:val="24"/>
        </w:rPr>
        <w:t>Dicha operacionalización es crucial para evaluar la capacidad de absorción y facilitar la implementación de tecnologías dentro de las organizaciones</w:t>
      </w:r>
      <w:r w:rsidR="009D6CDA" w:rsidRPr="009D6CDA">
        <w:rPr>
          <w:rFonts w:ascii="Times New Roman" w:hAnsi="Times New Roman" w:cs="Times New Roman"/>
          <w:sz w:val="24"/>
          <w:szCs w:val="24"/>
        </w:rPr>
        <w:t>. Los constructos clave que se abordan son la Gestión del Conocimiento (GC), Liderazgo y Compromiso (LC), Agilidad Organizacional (AO), Capacidad de Absorción Realizada (RACAP), Capacidad de Absorción Potencial (PACAP), Talento Humano Calificado (THC), Cultura de Aprendizaje (CA)</w:t>
      </w:r>
      <w:r w:rsidR="000E3D77">
        <w:rPr>
          <w:rFonts w:ascii="Times New Roman" w:hAnsi="Times New Roman" w:cs="Times New Roman"/>
          <w:sz w:val="24"/>
          <w:szCs w:val="24"/>
        </w:rPr>
        <w:t xml:space="preserve">, Transferencia de Tecnología </w:t>
      </w:r>
      <w:proofErr w:type="spellStart"/>
      <w:r w:rsidR="000E3D77">
        <w:rPr>
          <w:rFonts w:ascii="Times New Roman" w:hAnsi="Times New Roman" w:cs="Times New Roman"/>
          <w:sz w:val="24"/>
          <w:szCs w:val="24"/>
        </w:rPr>
        <w:t>Intraempresa</w:t>
      </w:r>
      <w:proofErr w:type="spellEnd"/>
      <w:r w:rsidR="000E3D77">
        <w:rPr>
          <w:rFonts w:ascii="Times New Roman" w:hAnsi="Times New Roman" w:cs="Times New Roman"/>
          <w:sz w:val="24"/>
          <w:szCs w:val="24"/>
        </w:rPr>
        <w:t xml:space="preserve"> (IFTT)</w:t>
      </w:r>
      <w:r w:rsidR="009D6CDA" w:rsidRPr="009D6CDA">
        <w:rPr>
          <w:rFonts w:ascii="Times New Roman" w:hAnsi="Times New Roman" w:cs="Times New Roman"/>
          <w:sz w:val="24"/>
          <w:szCs w:val="24"/>
        </w:rPr>
        <w:t xml:space="preserve"> y Acceso a Fuentes de Conocimiento (AFC).</w:t>
      </w:r>
    </w:p>
    <w:p w14:paraId="438B941E" w14:textId="77777777" w:rsidR="00FE4589" w:rsidRPr="009D6CDA" w:rsidRDefault="00FE4589" w:rsidP="00F20F99">
      <w:pPr>
        <w:spacing w:after="0" w:line="360" w:lineRule="auto"/>
        <w:ind w:firstLine="709"/>
        <w:jc w:val="both"/>
        <w:rPr>
          <w:rFonts w:ascii="Times New Roman" w:hAnsi="Times New Roman" w:cs="Times New Roman"/>
          <w:sz w:val="24"/>
          <w:szCs w:val="24"/>
        </w:rPr>
      </w:pPr>
    </w:p>
    <w:p w14:paraId="68A2C78F" w14:textId="4447E3BC" w:rsidR="009D6CDA" w:rsidRPr="009D6CDA" w:rsidRDefault="009D6CDA" w:rsidP="00F20F99">
      <w:pPr>
        <w:spacing w:after="0" w:line="360" w:lineRule="auto"/>
        <w:ind w:firstLine="709"/>
        <w:jc w:val="both"/>
        <w:rPr>
          <w:rFonts w:ascii="Times New Roman" w:hAnsi="Times New Roman" w:cs="Times New Roman"/>
          <w:sz w:val="24"/>
          <w:szCs w:val="24"/>
        </w:rPr>
      </w:pPr>
      <w:r w:rsidRPr="009D6CDA">
        <w:rPr>
          <w:rFonts w:ascii="Times New Roman" w:hAnsi="Times New Roman" w:cs="Times New Roman"/>
          <w:sz w:val="24"/>
          <w:szCs w:val="24"/>
        </w:rPr>
        <w:lastRenderedPageBreak/>
        <w:t xml:space="preserve">El instrumento está diseñado para su aplicación en industrias del sector manufacturero, especialmente aquellas orientadas a la producción de alta tecnología, como la industria electrónica, automotriz y aeroespacial. </w:t>
      </w:r>
      <w:r w:rsidR="00A5345D" w:rsidRPr="00A5345D">
        <w:rPr>
          <w:rFonts w:ascii="Times New Roman" w:hAnsi="Times New Roman" w:cs="Times New Roman"/>
          <w:sz w:val="24"/>
          <w:szCs w:val="24"/>
        </w:rPr>
        <w:t>Estas industrias, caracterizadas por su dinamismo, requieren procesos eficientes de transferencia de tecnología para preservar su ventaja competitiva</w:t>
      </w:r>
      <w:r w:rsidRPr="009D6CDA">
        <w:rPr>
          <w:rFonts w:ascii="Times New Roman" w:hAnsi="Times New Roman" w:cs="Times New Roman"/>
          <w:sz w:val="24"/>
          <w:szCs w:val="24"/>
        </w:rPr>
        <w:t>.</w:t>
      </w:r>
    </w:p>
    <w:p w14:paraId="25423AFB" w14:textId="5E678436" w:rsidR="009D6CDA" w:rsidRPr="00D45D63" w:rsidRDefault="009D6CDA" w:rsidP="00F20F99">
      <w:pPr>
        <w:spacing w:after="0" w:line="360" w:lineRule="auto"/>
        <w:ind w:firstLine="709"/>
        <w:jc w:val="both"/>
        <w:rPr>
          <w:rFonts w:ascii="Times New Roman" w:hAnsi="Times New Roman" w:cs="Times New Roman"/>
          <w:sz w:val="24"/>
          <w:szCs w:val="24"/>
        </w:rPr>
      </w:pPr>
      <w:r w:rsidRPr="009D6CDA">
        <w:rPr>
          <w:rFonts w:ascii="Times New Roman" w:hAnsi="Times New Roman" w:cs="Times New Roman"/>
          <w:sz w:val="24"/>
          <w:szCs w:val="24"/>
        </w:rPr>
        <w:t xml:space="preserve">Cada constructo se define a través de dimensiones tanto conceptuales como operacionales que permiten una comprensión y aplicación rigurosa. </w:t>
      </w:r>
      <w:r w:rsidR="00A5345D" w:rsidRPr="00A5345D">
        <w:rPr>
          <w:rFonts w:ascii="Times New Roman" w:hAnsi="Times New Roman" w:cs="Times New Roman"/>
          <w:sz w:val="24"/>
          <w:szCs w:val="24"/>
        </w:rPr>
        <w:t>La operacionalización incluye la creación de ítems de medición detallados, lo que facilita evaluaciones cuantitativas que revelan el impacto</w:t>
      </w:r>
      <w:r w:rsidR="00DB0E63">
        <w:rPr>
          <w:rFonts w:ascii="Times New Roman" w:hAnsi="Times New Roman" w:cs="Times New Roman"/>
          <w:sz w:val="24"/>
          <w:szCs w:val="24"/>
        </w:rPr>
        <w:t xml:space="preserve"> </w:t>
      </w:r>
      <w:r w:rsidR="00A5345D" w:rsidRPr="00A5345D">
        <w:rPr>
          <w:rFonts w:ascii="Times New Roman" w:hAnsi="Times New Roman" w:cs="Times New Roman"/>
          <w:sz w:val="24"/>
          <w:szCs w:val="24"/>
        </w:rPr>
        <w:t>directo de cada factor en la transferencia de tecnología</w:t>
      </w:r>
      <w:r w:rsidRPr="009D6CDA">
        <w:rPr>
          <w:rFonts w:ascii="Times New Roman" w:hAnsi="Times New Roman" w:cs="Times New Roman"/>
          <w:sz w:val="24"/>
          <w:szCs w:val="24"/>
        </w:rPr>
        <w:t>. Este enfoque proporciona claridad sobre cómo se manifiestan estos constructos en la práctica empresarial y establece una base sólida para la aplicación efectiva de estrategias de transferencia de tecnología y para futuras investigaciones en este campo vital.</w:t>
      </w:r>
    </w:p>
    <w:p w14:paraId="7E0E10A5" w14:textId="156F0034" w:rsidR="00C34D9A" w:rsidRPr="00D45D63" w:rsidRDefault="00A5345D" w:rsidP="00F20F99">
      <w:pPr>
        <w:spacing w:after="0" w:line="360" w:lineRule="auto"/>
        <w:ind w:firstLine="709"/>
        <w:jc w:val="both"/>
        <w:rPr>
          <w:rFonts w:ascii="Times New Roman" w:hAnsi="Times New Roman" w:cs="Times New Roman"/>
          <w:sz w:val="24"/>
          <w:szCs w:val="24"/>
        </w:rPr>
      </w:pPr>
      <w:r w:rsidRPr="00A5345D">
        <w:rPr>
          <w:rFonts w:ascii="Times New Roman" w:hAnsi="Times New Roman" w:cs="Times New Roman"/>
          <w:sz w:val="24"/>
          <w:szCs w:val="24"/>
        </w:rPr>
        <w:t>La validación del instrumento de medición se lleva a cabo mediante el juicio de cuatro expertos: dos académicos y dos profesionales del sector manufacturero de dispositivos electrónicos en Ciudad Juárez</w:t>
      </w:r>
      <w:r w:rsidR="007C382D" w:rsidRPr="00D45D63">
        <w:rPr>
          <w:rFonts w:ascii="Times New Roman" w:hAnsi="Times New Roman" w:cs="Times New Roman"/>
          <w:sz w:val="24"/>
          <w:szCs w:val="24"/>
        </w:rPr>
        <w:t>. Esta</w:t>
      </w:r>
      <w:r w:rsidR="001525D4" w:rsidRPr="00D45D63">
        <w:rPr>
          <w:rFonts w:ascii="Times New Roman" w:hAnsi="Times New Roman" w:cs="Times New Roman"/>
          <w:sz w:val="24"/>
          <w:szCs w:val="24"/>
        </w:rPr>
        <w:t xml:space="preserve"> </w:t>
      </w:r>
      <w:r w:rsidR="007C382D" w:rsidRPr="00D45D63">
        <w:rPr>
          <w:rFonts w:ascii="Times New Roman" w:hAnsi="Times New Roman" w:cs="Times New Roman"/>
          <w:sz w:val="24"/>
          <w:szCs w:val="24"/>
        </w:rPr>
        <w:t>validación busca garantizar que el instrumento sea adecuado para medir con precisión y eficacia las variables</w:t>
      </w:r>
      <w:r w:rsidR="001525D4" w:rsidRPr="00D45D63">
        <w:rPr>
          <w:rFonts w:ascii="Times New Roman" w:hAnsi="Times New Roman" w:cs="Times New Roman"/>
          <w:sz w:val="24"/>
          <w:szCs w:val="24"/>
        </w:rPr>
        <w:t xml:space="preserve"> </w:t>
      </w:r>
      <w:r w:rsidR="007C382D" w:rsidRPr="00D45D63">
        <w:rPr>
          <w:rFonts w:ascii="Times New Roman" w:hAnsi="Times New Roman" w:cs="Times New Roman"/>
          <w:sz w:val="24"/>
          <w:szCs w:val="24"/>
        </w:rPr>
        <w:t>de estudio y que los resultados obtenidos puedan ser utilizados para tomar decisiones fundamentadas en la</w:t>
      </w:r>
      <w:r w:rsidR="001525D4" w:rsidRPr="00D45D63">
        <w:rPr>
          <w:rFonts w:ascii="Times New Roman" w:hAnsi="Times New Roman" w:cs="Times New Roman"/>
          <w:sz w:val="24"/>
          <w:szCs w:val="24"/>
        </w:rPr>
        <w:t xml:space="preserve"> </w:t>
      </w:r>
      <w:r w:rsidR="007C382D" w:rsidRPr="00D45D63">
        <w:rPr>
          <w:rFonts w:ascii="Times New Roman" w:hAnsi="Times New Roman" w:cs="Times New Roman"/>
          <w:sz w:val="24"/>
          <w:szCs w:val="24"/>
        </w:rPr>
        <w:t>mejora de los procesos</w:t>
      </w:r>
      <w:r w:rsidR="0035066F" w:rsidRPr="00D45D63">
        <w:rPr>
          <w:rFonts w:ascii="Times New Roman" w:hAnsi="Times New Roman" w:cs="Times New Roman"/>
          <w:sz w:val="24"/>
          <w:szCs w:val="24"/>
        </w:rPr>
        <w:t xml:space="preserve"> bajo el contexto </w:t>
      </w:r>
      <w:proofErr w:type="spellStart"/>
      <w:r w:rsidR="0035066F" w:rsidRPr="00D45D63">
        <w:rPr>
          <w:rFonts w:ascii="Times New Roman" w:hAnsi="Times New Roman" w:cs="Times New Roman"/>
          <w:sz w:val="24"/>
          <w:szCs w:val="24"/>
        </w:rPr>
        <w:t>Intraempresa</w:t>
      </w:r>
      <w:proofErr w:type="spellEnd"/>
      <w:r w:rsidR="0035066F" w:rsidRPr="00D45D63">
        <w:rPr>
          <w:rFonts w:ascii="Times New Roman" w:hAnsi="Times New Roman" w:cs="Times New Roman"/>
          <w:sz w:val="24"/>
          <w:szCs w:val="24"/>
        </w:rPr>
        <w:t>.</w:t>
      </w:r>
    </w:p>
    <w:p w14:paraId="0BF425AC" w14:textId="4B623632" w:rsidR="007C382D" w:rsidRPr="00D45D63"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Las siguientes secciones del documento profundizarán en cada uno de los constructos mencionados,</w:t>
      </w:r>
      <w:r w:rsidR="001525D4" w:rsidRPr="00D45D63">
        <w:rPr>
          <w:rFonts w:ascii="Times New Roman" w:hAnsi="Times New Roman" w:cs="Times New Roman"/>
          <w:sz w:val="24"/>
          <w:szCs w:val="24"/>
        </w:rPr>
        <w:t xml:space="preserve"> </w:t>
      </w:r>
      <w:r w:rsidRPr="00D45D63">
        <w:rPr>
          <w:rFonts w:ascii="Times New Roman" w:hAnsi="Times New Roman" w:cs="Times New Roman"/>
          <w:sz w:val="24"/>
          <w:szCs w:val="24"/>
        </w:rPr>
        <w:t>proporcionando una exploración exhaustiva de los ítems de medición y la estructura de validación empleada.</w:t>
      </w:r>
      <w:r w:rsidR="001525D4" w:rsidRPr="00D45D63">
        <w:rPr>
          <w:rFonts w:ascii="Times New Roman" w:hAnsi="Times New Roman" w:cs="Times New Roman"/>
          <w:sz w:val="24"/>
          <w:szCs w:val="24"/>
        </w:rPr>
        <w:t xml:space="preserve"> </w:t>
      </w:r>
      <w:r w:rsidR="00A5345D" w:rsidRPr="00A5345D">
        <w:rPr>
          <w:rFonts w:ascii="Times New Roman" w:hAnsi="Times New Roman" w:cs="Times New Roman"/>
          <w:sz w:val="24"/>
          <w:szCs w:val="24"/>
        </w:rPr>
        <w:t xml:space="preserve">Este desglose asegura una comprensión integral del marco metodológico adoptado, proporcionando una comprensión clara de la interrelación entre los elementos teóricos y prácticos en la investigación de la transferencia de tecnología </w:t>
      </w:r>
      <w:proofErr w:type="spellStart"/>
      <w:r w:rsidR="00A5345D" w:rsidRPr="00A5345D">
        <w:rPr>
          <w:rFonts w:ascii="Times New Roman" w:hAnsi="Times New Roman" w:cs="Times New Roman"/>
          <w:sz w:val="24"/>
          <w:szCs w:val="24"/>
        </w:rPr>
        <w:t>intraempresarial</w:t>
      </w:r>
      <w:proofErr w:type="spellEnd"/>
      <w:r w:rsidRPr="00D45D63">
        <w:rPr>
          <w:rFonts w:ascii="Times New Roman" w:hAnsi="Times New Roman" w:cs="Times New Roman"/>
          <w:sz w:val="24"/>
          <w:szCs w:val="24"/>
        </w:rPr>
        <w:t>.</w:t>
      </w:r>
    </w:p>
    <w:p w14:paraId="45535247" w14:textId="77777777" w:rsidR="0022218C" w:rsidRPr="00D45D63" w:rsidRDefault="0022218C" w:rsidP="00C406B8">
      <w:pPr>
        <w:spacing w:after="0" w:line="360" w:lineRule="auto"/>
        <w:jc w:val="both"/>
        <w:rPr>
          <w:rFonts w:ascii="Times New Roman" w:hAnsi="Times New Roman" w:cs="Times New Roman"/>
          <w:sz w:val="24"/>
          <w:szCs w:val="24"/>
        </w:rPr>
      </w:pPr>
    </w:p>
    <w:p w14:paraId="3055FEE4" w14:textId="19A69341" w:rsidR="007C382D" w:rsidRPr="00F20F99" w:rsidRDefault="007C382D" w:rsidP="00F20F99">
      <w:pPr>
        <w:spacing w:after="0" w:line="360" w:lineRule="auto"/>
        <w:jc w:val="center"/>
        <w:rPr>
          <w:rFonts w:ascii="Times New Roman" w:hAnsi="Times New Roman" w:cs="Times New Roman"/>
          <w:b/>
          <w:bCs/>
          <w:sz w:val="28"/>
          <w:szCs w:val="28"/>
        </w:rPr>
      </w:pPr>
      <w:r w:rsidRPr="00F20F99">
        <w:rPr>
          <w:rFonts w:ascii="Times New Roman" w:hAnsi="Times New Roman" w:cs="Times New Roman"/>
          <w:b/>
          <w:bCs/>
          <w:sz w:val="28"/>
          <w:szCs w:val="28"/>
        </w:rPr>
        <w:t>Gestión del conocimiento</w:t>
      </w:r>
    </w:p>
    <w:p w14:paraId="1ACD0D91" w14:textId="7AF8A14A" w:rsidR="007C382D" w:rsidRPr="00D45D63"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La Gestión del Conocimiento</w:t>
      </w:r>
      <w:r w:rsidR="00295E0C">
        <w:rPr>
          <w:rFonts w:ascii="Times New Roman" w:hAnsi="Times New Roman" w:cs="Times New Roman"/>
          <w:sz w:val="24"/>
          <w:szCs w:val="24"/>
        </w:rPr>
        <w:t xml:space="preserve"> (GC)</w:t>
      </w:r>
      <w:r w:rsidRPr="00D45D63">
        <w:rPr>
          <w:rFonts w:ascii="Times New Roman" w:hAnsi="Times New Roman" w:cs="Times New Roman"/>
          <w:sz w:val="24"/>
          <w:szCs w:val="24"/>
        </w:rPr>
        <w:t xml:space="preserve"> es un proceso esencial en la estructura organizativa moderna que abarca desde</w:t>
      </w:r>
      <w:r w:rsidR="001525D4" w:rsidRPr="00D45D63">
        <w:rPr>
          <w:rFonts w:ascii="Times New Roman" w:hAnsi="Times New Roman" w:cs="Times New Roman"/>
          <w:sz w:val="24"/>
          <w:szCs w:val="24"/>
        </w:rPr>
        <w:t xml:space="preserve"> </w:t>
      </w:r>
      <w:r w:rsidRPr="00D45D63">
        <w:rPr>
          <w:rFonts w:ascii="Times New Roman" w:hAnsi="Times New Roman" w:cs="Times New Roman"/>
          <w:sz w:val="24"/>
          <w:szCs w:val="24"/>
        </w:rPr>
        <w:t>la generación y captura inicial de conocimientos, tanto implícitos como explícitos, hasta su asimilación y</w:t>
      </w:r>
      <w:r w:rsidR="001525D4" w:rsidRPr="00D45D63">
        <w:rPr>
          <w:rFonts w:ascii="Times New Roman" w:hAnsi="Times New Roman" w:cs="Times New Roman"/>
          <w:sz w:val="24"/>
          <w:szCs w:val="24"/>
        </w:rPr>
        <w:t xml:space="preserve"> </w:t>
      </w:r>
      <w:r w:rsidRPr="00D45D63">
        <w:rPr>
          <w:rFonts w:ascii="Times New Roman" w:hAnsi="Times New Roman" w:cs="Times New Roman"/>
          <w:sz w:val="24"/>
          <w:szCs w:val="24"/>
        </w:rPr>
        <w:t>aplicación estratégica para impulsar la innovación y optimizar los productos y procesos organizacionales,</w:t>
      </w:r>
      <w:r w:rsidR="001525D4" w:rsidRPr="00D45D63">
        <w:rPr>
          <w:rFonts w:ascii="Times New Roman" w:hAnsi="Times New Roman" w:cs="Times New Roman"/>
          <w:sz w:val="24"/>
          <w:szCs w:val="24"/>
        </w:rPr>
        <w:t xml:space="preserve"> </w:t>
      </w:r>
      <w:r w:rsidRPr="00D45D63">
        <w:rPr>
          <w:rFonts w:ascii="Times New Roman" w:hAnsi="Times New Roman" w:cs="Times New Roman"/>
          <w:sz w:val="24"/>
          <w:szCs w:val="24"/>
        </w:rPr>
        <w:t>se refiere al proceso de comprender y aprovechar el conocimiento dentro de una organización con el fin</w:t>
      </w:r>
      <w:r w:rsidR="001525D4" w:rsidRPr="00D45D63">
        <w:rPr>
          <w:rFonts w:ascii="Times New Roman" w:hAnsi="Times New Roman" w:cs="Times New Roman"/>
          <w:sz w:val="24"/>
          <w:szCs w:val="24"/>
        </w:rPr>
        <w:t xml:space="preserve"> </w:t>
      </w:r>
      <w:r w:rsidRPr="00D45D63">
        <w:rPr>
          <w:rFonts w:ascii="Times New Roman" w:hAnsi="Times New Roman" w:cs="Times New Roman"/>
          <w:sz w:val="24"/>
          <w:szCs w:val="24"/>
        </w:rPr>
        <w:t>de obtener una ventaja competitiva. Esto implica compartir, adquirir, diseminar, intercambiar y preservar</w:t>
      </w:r>
      <w:r w:rsidR="001525D4"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la información, utilizando tecnologías como los sistemas de gestión del </w:t>
      </w:r>
      <w:r w:rsidRPr="00D45D63">
        <w:rPr>
          <w:rFonts w:ascii="Times New Roman" w:hAnsi="Times New Roman" w:cs="Times New Roman"/>
          <w:sz w:val="24"/>
          <w:szCs w:val="24"/>
        </w:rPr>
        <w:lastRenderedPageBreak/>
        <w:t>conocimiento (KMS). Además,</w:t>
      </w:r>
      <w:r w:rsidR="001525D4" w:rsidRPr="00D45D63">
        <w:rPr>
          <w:rFonts w:ascii="Times New Roman" w:hAnsi="Times New Roman" w:cs="Times New Roman"/>
          <w:sz w:val="24"/>
          <w:szCs w:val="24"/>
        </w:rPr>
        <w:t xml:space="preserve"> </w:t>
      </w:r>
      <w:r w:rsidRPr="00D45D63">
        <w:rPr>
          <w:rFonts w:ascii="Times New Roman" w:hAnsi="Times New Roman" w:cs="Times New Roman"/>
          <w:sz w:val="24"/>
          <w:szCs w:val="24"/>
        </w:rPr>
        <w:t>está estrechamente relacionado con la implementación efectiva de sistemas de gestión de documentos y</w:t>
      </w:r>
      <w:r w:rsidR="001525D4" w:rsidRPr="00D45D63">
        <w:rPr>
          <w:rFonts w:ascii="Times New Roman" w:hAnsi="Times New Roman" w:cs="Times New Roman"/>
          <w:sz w:val="24"/>
          <w:szCs w:val="24"/>
        </w:rPr>
        <w:t xml:space="preserve"> </w:t>
      </w:r>
      <w:r w:rsidRPr="00D45D63">
        <w:rPr>
          <w:rFonts w:ascii="Times New Roman" w:hAnsi="Times New Roman" w:cs="Times New Roman"/>
          <w:sz w:val="24"/>
          <w:szCs w:val="24"/>
        </w:rPr>
        <w:t>la participación en discusiones de información en línea (</w:t>
      </w:r>
      <w:proofErr w:type="spellStart"/>
      <w:r w:rsidRPr="00D45D63">
        <w:rPr>
          <w:rFonts w:ascii="Times New Roman" w:hAnsi="Times New Roman" w:cs="Times New Roman"/>
          <w:sz w:val="24"/>
          <w:szCs w:val="24"/>
        </w:rPr>
        <w:t>Mubuyaeta</w:t>
      </w:r>
      <w:proofErr w:type="spellEnd"/>
      <w:r w:rsidRPr="00D45D63">
        <w:rPr>
          <w:rFonts w:ascii="Times New Roman" w:hAnsi="Times New Roman" w:cs="Times New Roman"/>
          <w:sz w:val="24"/>
          <w:szCs w:val="24"/>
        </w:rPr>
        <w:t xml:space="preserve"> </w:t>
      </w:r>
      <w:r w:rsidR="00BF1F4A" w:rsidRPr="00D45D63">
        <w:rPr>
          <w:rFonts w:ascii="Times New Roman" w:hAnsi="Times New Roman" w:cs="Times New Roman"/>
          <w:sz w:val="24"/>
          <w:szCs w:val="24"/>
        </w:rPr>
        <w:t>y</w:t>
      </w:r>
      <w:r w:rsidRPr="00D45D63">
        <w:rPr>
          <w:rFonts w:ascii="Times New Roman" w:hAnsi="Times New Roman" w:cs="Times New Roman"/>
          <w:sz w:val="24"/>
          <w:szCs w:val="24"/>
        </w:rPr>
        <w:t xml:space="preserve"> </w:t>
      </w:r>
      <w:proofErr w:type="spellStart"/>
      <w:r w:rsidRPr="00D45D63">
        <w:rPr>
          <w:rFonts w:ascii="Times New Roman" w:hAnsi="Times New Roman" w:cs="Times New Roman"/>
          <w:sz w:val="24"/>
          <w:szCs w:val="24"/>
        </w:rPr>
        <w:t>Ponera</w:t>
      </w:r>
      <w:proofErr w:type="spellEnd"/>
      <w:r w:rsidRPr="00D45D63">
        <w:rPr>
          <w:rFonts w:ascii="Times New Roman" w:hAnsi="Times New Roman" w:cs="Times New Roman"/>
          <w:sz w:val="24"/>
          <w:szCs w:val="24"/>
        </w:rPr>
        <w:t>, 2023). La implementación</w:t>
      </w:r>
      <w:r w:rsidR="001525D4"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sistemática de estrategias en </w:t>
      </w:r>
      <w:r w:rsidR="00295E0C">
        <w:rPr>
          <w:rFonts w:ascii="Times New Roman" w:hAnsi="Times New Roman" w:cs="Times New Roman"/>
          <w:sz w:val="24"/>
          <w:szCs w:val="24"/>
        </w:rPr>
        <w:t>GC</w:t>
      </w:r>
      <w:r w:rsidRPr="00D45D63">
        <w:rPr>
          <w:rFonts w:ascii="Times New Roman" w:hAnsi="Times New Roman" w:cs="Times New Roman"/>
          <w:sz w:val="24"/>
          <w:szCs w:val="24"/>
        </w:rPr>
        <w:t xml:space="preserve"> juega un papel crucial en el mantenimiento y avance de</w:t>
      </w:r>
      <w:r w:rsidR="001525D4"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la innovación (Alegre </w:t>
      </w:r>
      <w:r w:rsidR="005939C7">
        <w:rPr>
          <w:rFonts w:ascii="Times New Roman" w:hAnsi="Times New Roman" w:cs="Times New Roman"/>
          <w:sz w:val="24"/>
          <w:szCs w:val="24"/>
        </w:rPr>
        <w:t>et ál</w:t>
      </w:r>
      <w:r w:rsidRPr="00D45D63">
        <w:rPr>
          <w:rFonts w:ascii="Times New Roman" w:hAnsi="Times New Roman" w:cs="Times New Roman"/>
          <w:sz w:val="24"/>
          <w:szCs w:val="24"/>
        </w:rPr>
        <w:t>., 2013), permitiendo una mejora significativa en la capacidad de innovación. Esto</w:t>
      </w:r>
      <w:r w:rsidR="001525D4" w:rsidRPr="00D45D63">
        <w:rPr>
          <w:rFonts w:ascii="Times New Roman" w:hAnsi="Times New Roman" w:cs="Times New Roman"/>
          <w:sz w:val="24"/>
          <w:szCs w:val="24"/>
        </w:rPr>
        <w:t xml:space="preserve"> </w:t>
      </w:r>
      <w:r w:rsidRPr="00D45D63">
        <w:rPr>
          <w:rFonts w:ascii="Times New Roman" w:hAnsi="Times New Roman" w:cs="Times New Roman"/>
          <w:sz w:val="24"/>
          <w:szCs w:val="24"/>
        </w:rPr>
        <w:t>no solo fortalece la posición competitiva de la empresa a corto plazo, sino que también sienta las bases para</w:t>
      </w:r>
      <w:r w:rsidR="001525D4"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un crecimiento y </w:t>
      </w:r>
      <w:r w:rsidR="001525D4" w:rsidRPr="00D45D63">
        <w:rPr>
          <w:rFonts w:ascii="Times New Roman" w:hAnsi="Times New Roman" w:cs="Times New Roman"/>
          <w:sz w:val="24"/>
          <w:szCs w:val="24"/>
        </w:rPr>
        <w:t>adaptabilidad sostenibles</w:t>
      </w:r>
      <w:r w:rsidRPr="00D45D63">
        <w:rPr>
          <w:rFonts w:ascii="Times New Roman" w:hAnsi="Times New Roman" w:cs="Times New Roman"/>
          <w:sz w:val="24"/>
          <w:szCs w:val="24"/>
        </w:rPr>
        <w:t xml:space="preserve"> a largo plazo.</w:t>
      </w:r>
    </w:p>
    <w:p w14:paraId="4899048B" w14:textId="58BD8DE0" w:rsidR="00C34D9A" w:rsidRPr="00D45D63"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 xml:space="preserve">La importancia de la </w:t>
      </w:r>
      <w:r w:rsidR="00295E0C">
        <w:rPr>
          <w:rFonts w:ascii="Times New Roman" w:hAnsi="Times New Roman" w:cs="Times New Roman"/>
          <w:sz w:val="24"/>
          <w:szCs w:val="24"/>
        </w:rPr>
        <w:t>GC</w:t>
      </w:r>
      <w:r w:rsidRPr="00D45D63">
        <w:rPr>
          <w:rFonts w:ascii="Times New Roman" w:hAnsi="Times New Roman" w:cs="Times New Roman"/>
          <w:sz w:val="24"/>
          <w:szCs w:val="24"/>
        </w:rPr>
        <w:t xml:space="preserve"> se evidencia en la correlación directa entre una gestión</w:t>
      </w:r>
      <w:r w:rsidR="001525D4" w:rsidRPr="00D45D63">
        <w:rPr>
          <w:rFonts w:ascii="Times New Roman" w:hAnsi="Times New Roman" w:cs="Times New Roman"/>
          <w:sz w:val="24"/>
          <w:szCs w:val="24"/>
        </w:rPr>
        <w:t xml:space="preserve"> </w:t>
      </w:r>
      <w:r w:rsidRPr="00D45D63">
        <w:rPr>
          <w:rFonts w:ascii="Times New Roman" w:hAnsi="Times New Roman" w:cs="Times New Roman"/>
          <w:sz w:val="24"/>
          <w:szCs w:val="24"/>
        </w:rPr>
        <w:t>efectiva del conocimiento y un aumento en la capacidad innovadora de las organizaciones, tal como señalan</w:t>
      </w:r>
      <w:r w:rsidR="001525D4" w:rsidRPr="00D45D63">
        <w:rPr>
          <w:rFonts w:ascii="Times New Roman" w:hAnsi="Times New Roman" w:cs="Times New Roman"/>
          <w:sz w:val="24"/>
          <w:szCs w:val="24"/>
        </w:rPr>
        <w:t xml:space="preserve"> </w:t>
      </w:r>
      <w:proofErr w:type="spellStart"/>
      <w:r w:rsidRPr="00D45D63">
        <w:rPr>
          <w:rFonts w:ascii="Times New Roman" w:hAnsi="Times New Roman" w:cs="Times New Roman"/>
          <w:sz w:val="24"/>
          <w:szCs w:val="24"/>
        </w:rPr>
        <w:t>Siregar</w:t>
      </w:r>
      <w:proofErr w:type="spellEnd"/>
      <w:r w:rsidRPr="00D45D63">
        <w:rPr>
          <w:rFonts w:ascii="Times New Roman" w:hAnsi="Times New Roman" w:cs="Times New Roman"/>
          <w:sz w:val="24"/>
          <w:szCs w:val="24"/>
        </w:rPr>
        <w:t xml:space="preserve"> </w:t>
      </w:r>
      <w:r w:rsidR="005939C7">
        <w:rPr>
          <w:rFonts w:ascii="Times New Roman" w:hAnsi="Times New Roman" w:cs="Times New Roman"/>
          <w:sz w:val="24"/>
          <w:szCs w:val="24"/>
        </w:rPr>
        <w:t>et ál</w:t>
      </w:r>
      <w:r w:rsidRPr="00D45D63">
        <w:rPr>
          <w:rFonts w:ascii="Times New Roman" w:hAnsi="Times New Roman" w:cs="Times New Roman"/>
          <w:sz w:val="24"/>
          <w:szCs w:val="24"/>
        </w:rPr>
        <w:t>. (2019). Este vínculo se traduce en una mayor capacidad para aprovechar oportunidades</w:t>
      </w:r>
      <w:r w:rsidR="001525D4"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emergentes y en una mejora continua del rendimiento operativo. Andrea y </w:t>
      </w:r>
      <w:proofErr w:type="spellStart"/>
      <w:r w:rsidRPr="00D45D63">
        <w:rPr>
          <w:rFonts w:ascii="Times New Roman" w:hAnsi="Times New Roman" w:cs="Times New Roman"/>
          <w:sz w:val="24"/>
          <w:szCs w:val="24"/>
        </w:rPr>
        <w:t>Wanyoike</w:t>
      </w:r>
      <w:proofErr w:type="spellEnd"/>
      <w:r w:rsidRPr="00D45D63">
        <w:rPr>
          <w:rFonts w:ascii="Times New Roman" w:hAnsi="Times New Roman" w:cs="Times New Roman"/>
          <w:sz w:val="24"/>
          <w:szCs w:val="24"/>
        </w:rPr>
        <w:t xml:space="preserve"> (2024) </w:t>
      </w:r>
      <w:r w:rsidR="00A5345D" w:rsidRPr="00A5345D">
        <w:rPr>
          <w:rFonts w:ascii="Times New Roman" w:hAnsi="Times New Roman" w:cs="Times New Roman"/>
          <w:sz w:val="24"/>
          <w:szCs w:val="24"/>
        </w:rPr>
        <w:t xml:space="preserve">destacan la importancia crítica de la </w:t>
      </w:r>
      <w:r w:rsidR="00295E0C">
        <w:rPr>
          <w:rFonts w:ascii="Times New Roman" w:hAnsi="Times New Roman" w:cs="Times New Roman"/>
          <w:sz w:val="24"/>
          <w:szCs w:val="24"/>
        </w:rPr>
        <w:t>GC</w:t>
      </w:r>
      <w:r w:rsidR="00A5345D" w:rsidRPr="00A5345D">
        <w:rPr>
          <w:rFonts w:ascii="Times New Roman" w:hAnsi="Times New Roman" w:cs="Times New Roman"/>
          <w:sz w:val="24"/>
          <w:szCs w:val="24"/>
        </w:rPr>
        <w:t xml:space="preserve"> para el rendimiento organizacional.</w:t>
      </w:r>
      <w:r w:rsidR="00A5345D">
        <w:rPr>
          <w:rFonts w:ascii="Times New Roman" w:hAnsi="Times New Roman" w:cs="Times New Roman"/>
          <w:sz w:val="24"/>
          <w:szCs w:val="24"/>
        </w:rPr>
        <w:t xml:space="preserve"> </w:t>
      </w:r>
      <w:r w:rsidR="00A5345D" w:rsidRPr="00A5345D">
        <w:rPr>
          <w:rFonts w:ascii="Times New Roman" w:hAnsi="Times New Roman" w:cs="Times New Roman"/>
          <w:sz w:val="24"/>
          <w:szCs w:val="24"/>
        </w:rPr>
        <w:t>Señalan que las prácticas varían significativamente entre organizaciones y contextos nacionales, dependiendo de las economías orientadas al conocimiento. Los autores subrayan la necesidad de adoptar estrategias deliberadas y efectivas, vinculando directamente su implementación con la mejora del rendimiento organizacional</w:t>
      </w:r>
      <w:r w:rsidRPr="00D45D63">
        <w:rPr>
          <w:rFonts w:ascii="Times New Roman" w:hAnsi="Times New Roman" w:cs="Times New Roman"/>
          <w:sz w:val="24"/>
          <w:szCs w:val="24"/>
        </w:rPr>
        <w:t>.</w:t>
      </w:r>
    </w:p>
    <w:p w14:paraId="21F24FD1" w14:textId="3DB80211" w:rsidR="00C34D9A" w:rsidRPr="00D45D63"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 xml:space="preserve">El uso estratégico de la </w:t>
      </w:r>
      <w:r w:rsidR="00295E0C">
        <w:rPr>
          <w:rFonts w:ascii="Times New Roman" w:hAnsi="Times New Roman" w:cs="Times New Roman"/>
          <w:sz w:val="24"/>
          <w:szCs w:val="24"/>
        </w:rPr>
        <w:t>GC</w:t>
      </w:r>
      <w:r w:rsidRPr="00D45D63">
        <w:rPr>
          <w:rFonts w:ascii="Times New Roman" w:hAnsi="Times New Roman" w:cs="Times New Roman"/>
          <w:sz w:val="24"/>
          <w:szCs w:val="24"/>
        </w:rPr>
        <w:t xml:space="preserve"> tiene un impacto profundo en el desarrollo de las</w:t>
      </w:r>
      <w:r w:rsidR="001525D4" w:rsidRPr="00D45D63">
        <w:rPr>
          <w:rFonts w:ascii="Times New Roman" w:hAnsi="Times New Roman" w:cs="Times New Roman"/>
          <w:sz w:val="24"/>
          <w:szCs w:val="24"/>
        </w:rPr>
        <w:t xml:space="preserve"> </w:t>
      </w:r>
      <w:r w:rsidRPr="00D45D63">
        <w:rPr>
          <w:rFonts w:ascii="Times New Roman" w:hAnsi="Times New Roman" w:cs="Times New Roman"/>
          <w:sz w:val="24"/>
          <w:szCs w:val="24"/>
        </w:rPr>
        <w:t>organizaciones, facilitando la creación y el mantenimiento de ventajas competitivas duraderas. Mediante la</w:t>
      </w:r>
      <w:r w:rsidR="001525D4"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integración y aplicación efectiva de conocimientos, las organizaciones </w:t>
      </w:r>
      <w:r w:rsidR="00C406B8" w:rsidRPr="00D45D63">
        <w:rPr>
          <w:rFonts w:ascii="Times New Roman" w:hAnsi="Times New Roman" w:cs="Times New Roman"/>
          <w:sz w:val="24"/>
          <w:szCs w:val="24"/>
        </w:rPr>
        <w:t>continúan</w:t>
      </w:r>
      <w:r w:rsidRPr="00D45D63">
        <w:rPr>
          <w:rFonts w:ascii="Times New Roman" w:hAnsi="Times New Roman" w:cs="Times New Roman"/>
          <w:sz w:val="24"/>
          <w:szCs w:val="24"/>
        </w:rPr>
        <w:t xml:space="preserve"> adaptándose a los cambios</w:t>
      </w:r>
      <w:r w:rsidR="001525D4"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en el mercado y el entorno, asegurando su éxito y viabilidad a largo plazo, la </w:t>
      </w:r>
      <w:r w:rsidR="00295E0C">
        <w:rPr>
          <w:rFonts w:ascii="Times New Roman" w:hAnsi="Times New Roman" w:cs="Times New Roman"/>
          <w:sz w:val="24"/>
          <w:szCs w:val="24"/>
        </w:rPr>
        <w:t>GC</w:t>
      </w:r>
      <w:r w:rsidRPr="00D45D63">
        <w:rPr>
          <w:rFonts w:ascii="Times New Roman" w:hAnsi="Times New Roman" w:cs="Times New Roman"/>
          <w:sz w:val="24"/>
          <w:szCs w:val="24"/>
        </w:rPr>
        <w:t xml:space="preserve"> no solo</w:t>
      </w:r>
      <w:r w:rsidR="001525D4" w:rsidRPr="00D45D63">
        <w:rPr>
          <w:rFonts w:ascii="Times New Roman" w:hAnsi="Times New Roman" w:cs="Times New Roman"/>
          <w:sz w:val="24"/>
          <w:szCs w:val="24"/>
        </w:rPr>
        <w:t xml:space="preserve"> </w:t>
      </w:r>
      <w:r w:rsidRPr="00D45D63">
        <w:rPr>
          <w:rFonts w:ascii="Times New Roman" w:hAnsi="Times New Roman" w:cs="Times New Roman"/>
          <w:sz w:val="24"/>
          <w:szCs w:val="24"/>
        </w:rPr>
        <w:t>es proceso esencial para la optimización organizacional, sino también un recurso crítico para la consecución</w:t>
      </w:r>
      <w:r w:rsidR="001525D4" w:rsidRPr="00D45D63">
        <w:rPr>
          <w:rFonts w:ascii="Times New Roman" w:hAnsi="Times New Roman" w:cs="Times New Roman"/>
          <w:sz w:val="24"/>
          <w:szCs w:val="24"/>
        </w:rPr>
        <w:t xml:space="preserve"> </w:t>
      </w:r>
      <w:r w:rsidRPr="00D45D63">
        <w:rPr>
          <w:rFonts w:ascii="Times New Roman" w:hAnsi="Times New Roman" w:cs="Times New Roman"/>
          <w:sz w:val="24"/>
          <w:szCs w:val="24"/>
        </w:rPr>
        <w:t>de ventajas competitivas sostenibles en el contexto de economías variadas. La Tabla 1 muestra la descripción</w:t>
      </w:r>
      <w:r w:rsidR="001525D4" w:rsidRPr="00D45D63">
        <w:rPr>
          <w:rFonts w:ascii="Times New Roman" w:hAnsi="Times New Roman" w:cs="Times New Roman"/>
          <w:sz w:val="24"/>
          <w:szCs w:val="24"/>
        </w:rPr>
        <w:t xml:space="preserve"> </w:t>
      </w:r>
      <w:r w:rsidRPr="00D45D63">
        <w:rPr>
          <w:rFonts w:ascii="Times New Roman" w:hAnsi="Times New Roman" w:cs="Times New Roman"/>
          <w:sz w:val="24"/>
          <w:szCs w:val="24"/>
        </w:rPr>
        <w:t>conceptual, la descripción opera</w:t>
      </w:r>
      <w:r w:rsidR="00295E0C">
        <w:rPr>
          <w:rFonts w:ascii="Times New Roman" w:hAnsi="Times New Roman" w:cs="Times New Roman"/>
          <w:sz w:val="24"/>
          <w:szCs w:val="24"/>
        </w:rPr>
        <w:t>tiva</w:t>
      </w:r>
      <w:r w:rsidRPr="00D45D63">
        <w:rPr>
          <w:rFonts w:ascii="Times New Roman" w:hAnsi="Times New Roman" w:cs="Times New Roman"/>
          <w:sz w:val="24"/>
          <w:szCs w:val="24"/>
        </w:rPr>
        <w:t xml:space="preserve"> y los ítems propuestos para el constructo GC.</w:t>
      </w:r>
    </w:p>
    <w:p w14:paraId="739FE74D" w14:textId="77777777" w:rsidR="000E3D77" w:rsidRDefault="000E3D77" w:rsidP="00C406B8">
      <w:pPr>
        <w:spacing w:after="0" w:line="360" w:lineRule="auto"/>
        <w:jc w:val="both"/>
        <w:rPr>
          <w:rFonts w:ascii="Times New Roman" w:hAnsi="Times New Roman" w:cs="Times New Roman"/>
          <w:sz w:val="24"/>
          <w:szCs w:val="24"/>
        </w:rPr>
      </w:pPr>
    </w:p>
    <w:p w14:paraId="064FBA17" w14:textId="77777777" w:rsidR="00FE4589" w:rsidRDefault="00FE4589" w:rsidP="00C406B8">
      <w:pPr>
        <w:spacing w:after="0" w:line="360" w:lineRule="auto"/>
        <w:jc w:val="both"/>
        <w:rPr>
          <w:rFonts w:ascii="Times New Roman" w:hAnsi="Times New Roman" w:cs="Times New Roman"/>
          <w:sz w:val="24"/>
          <w:szCs w:val="24"/>
        </w:rPr>
      </w:pPr>
    </w:p>
    <w:p w14:paraId="6F64562A" w14:textId="77777777" w:rsidR="00FE4589" w:rsidRDefault="00FE4589" w:rsidP="00C406B8">
      <w:pPr>
        <w:spacing w:after="0" w:line="360" w:lineRule="auto"/>
        <w:jc w:val="both"/>
        <w:rPr>
          <w:rFonts w:ascii="Times New Roman" w:hAnsi="Times New Roman" w:cs="Times New Roman"/>
          <w:sz w:val="24"/>
          <w:szCs w:val="24"/>
        </w:rPr>
      </w:pPr>
    </w:p>
    <w:p w14:paraId="00A24FF7" w14:textId="77777777" w:rsidR="00FE4589" w:rsidRDefault="00FE4589" w:rsidP="00C406B8">
      <w:pPr>
        <w:spacing w:after="0" w:line="360" w:lineRule="auto"/>
        <w:jc w:val="both"/>
        <w:rPr>
          <w:rFonts w:ascii="Times New Roman" w:hAnsi="Times New Roman" w:cs="Times New Roman"/>
          <w:sz w:val="24"/>
          <w:szCs w:val="24"/>
        </w:rPr>
      </w:pPr>
    </w:p>
    <w:p w14:paraId="20B85473" w14:textId="77777777" w:rsidR="00FE4589" w:rsidRDefault="00FE4589" w:rsidP="00C406B8">
      <w:pPr>
        <w:spacing w:after="0" w:line="360" w:lineRule="auto"/>
        <w:jc w:val="both"/>
        <w:rPr>
          <w:rFonts w:ascii="Times New Roman" w:hAnsi="Times New Roman" w:cs="Times New Roman"/>
          <w:sz w:val="24"/>
          <w:szCs w:val="24"/>
        </w:rPr>
      </w:pPr>
    </w:p>
    <w:p w14:paraId="5A36CA63" w14:textId="77777777" w:rsidR="00FE4589" w:rsidRDefault="00FE4589" w:rsidP="00C406B8">
      <w:pPr>
        <w:spacing w:after="0" w:line="360" w:lineRule="auto"/>
        <w:jc w:val="both"/>
        <w:rPr>
          <w:rFonts w:ascii="Times New Roman" w:hAnsi="Times New Roman" w:cs="Times New Roman"/>
          <w:sz w:val="24"/>
          <w:szCs w:val="24"/>
        </w:rPr>
      </w:pPr>
    </w:p>
    <w:p w14:paraId="0EF61687" w14:textId="77777777" w:rsidR="00FE4589" w:rsidRDefault="00FE4589" w:rsidP="00C406B8">
      <w:pPr>
        <w:spacing w:after="0" w:line="360" w:lineRule="auto"/>
        <w:jc w:val="both"/>
        <w:rPr>
          <w:rFonts w:ascii="Times New Roman" w:hAnsi="Times New Roman" w:cs="Times New Roman"/>
          <w:sz w:val="24"/>
          <w:szCs w:val="24"/>
        </w:rPr>
      </w:pPr>
    </w:p>
    <w:p w14:paraId="31F48694" w14:textId="77777777" w:rsidR="00FE4589" w:rsidRDefault="00FE4589" w:rsidP="00C406B8">
      <w:pPr>
        <w:spacing w:after="0" w:line="360" w:lineRule="auto"/>
        <w:jc w:val="both"/>
        <w:rPr>
          <w:rFonts w:ascii="Times New Roman" w:hAnsi="Times New Roman" w:cs="Times New Roman"/>
          <w:sz w:val="24"/>
          <w:szCs w:val="24"/>
        </w:rPr>
      </w:pPr>
    </w:p>
    <w:p w14:paraId="6099D218" w14:textId="77777777" w:rsidR="00FE4589" w:rsidRPr="00D45D63" w:rsidRDefault="00FE4589" w:rsidP="00C406B8">
      <w:pPr>
        <w:spacing w:after="0" w:line="360" w:lineRule="auto"/>
        <w:jc w:val="both"/>
        <w:rPr>
          <w:rFonts w:ascii="Times New Roman" w:hAnsi="Times New Roman" w:cs="Times New Roman"/>
          <w:sz w:val="24"/>
          <w:szCs w:val="24"/>
        </w:rPr>
      </w:pPr>
    </w:p>
    <w:p w14:paraId="787BFD28" w14:textId="7C8BF56E" w:rsidR="007C382D" w:rsidRPr="00D45D63" w:rsidRDefault="007C382D" w:rsidP="00F20F99">
      <w:pPr>
        <w:spacing w:after="0" w:line="360" w:lineRule="auto"/>
        <w:jc w:val="center"/>
        <w:rPr>
          <w:rFonts w:ascii="Times New Roman" w:hAnsi="Times New Roman" w:cs="Times New Roman"/>
          <w:sz w:val="24"/>
          <w:szCs w:val="24"/>
        </w:rPr>
      </w:pPr>
      <w:r w:rsidRPr="00F20F99">
        <w:rPr>
          <w:rFonts w:ascii="Times New Roman" w:hAnsi="Times New Roman" w:cs="Times New Roman"/>
          <w:b/>
          <w:bCs/>
          <w:sz w:val="24"/>
          <w:szCs w:val="24"/>
        </w:rPr>
        <w:lastRenderedPageBreak/>
        <w:t>Tabla 1</w:t>
      </w:r>
      <w:r w:rsidR="00FE4589">
        <w:rPr>
          <w:rFonts w:ascii="Times New Roman" w:hAnsi="Times New Roman" w:cs="Times New Roman"/>
          <w:b/>
          <w:bCs/>
          <w:sz w:val="24"/>
          <w:szCs w:val="24"/>
        </w:rPr>
        <w:t>.</w:t>
      </w:r>
      <w:r w:rsidRPr="00D45D63">
        <w:rPr>
          <w:rFonts w:ascii="Times New Roman" w:hAnsi="Times New Roman" w:cs="Times New Roman"/>
          <w:sz w:val="24"/>
          <w:szCs w:val="24"/>
        </w:rPr>
        <w:t xml:space="preserve"> Operacionalización del Constructo Gestión del Conocimiento (GC)</w:t>
      </w:r>
    </w:p>
    <w:tbl>
      <w:tblPr>
        <w:tblStyle w:val="Tablaconcuadrcula"/>
        <w:tblW w:w="0" w:type="auto"/>
        <w:tblCellMar>
          <w:left w:w="57" w:type="dxa"/>
          <w:right w:w="57" w:type="dxa"/>
        </w:tblCellMar>
        <w:tblLook w:val="04A0" w:firstRow="1" w:lastRow="0" w:firstColumn="1" w:lastColumn="0" w:noHBand="0" w:noVBand="1"/>
      </w:tblPr>
      <w:tblGrid>
        <w:gridCol w:w="1475"/>
        <w:gridCol w:w="1859"/>
        <w:gridCol w:w="2114"/>
        <w:gridCol w:w="3380"/>
      </w:tblGrid>
      <w:tr w:rsidR="00181CB4" w:rsidRPr="00F20F99" w14:paraId="44938658" w14:textId="77777777" w:rsidTr="00F20F99">
        <w:tc>
          <w:tcPr>
            <w:tcW w:w="1134" w:type="dxa"/>
            <w:vAlign w:val="center"/>
          </w:tcPr>
          <w:p w14:paraId="136C6C61" w14:textId="3558FB48" w:rsidR="001525D4" w:rsidRPr="00F20F99" w:rsidRDefault="001525D4" w:rsidP="00C34D9A">
            <w:pPr>
              <w:rPr>
                <w:rFonts w:ascii="Times New Roman" w:hAnsi="Times New Roman" w:cs="Times New Roman"/>
                <w:sz w:val="24"/>
                <w:szCs w:val="24"/>
              </w:rPr>
            </w:pPr>
            <w:r w:rsidRPr="00F20F99">
              <w:rPr>
                <w:rFonts w:ascii="Times New Roman" w:hAnsi="Times New Roman" w:cs="Times New Roman"/>
                <w:sz w:val="24"/>
                <w:szCs w:val="24"/>
              </w:rPr>
              <w:t>Constructo</w:t>
            </w:r>
          </w:p>
        </w:tc>
        <w:tc>
          <w:tcPr>
            <w:tcW w:w="1980" w:type="dxa"/>
            <w:vAlign w:val="center"/>
          </w:tcPr>
          <w:p w14:paraId="41869304" w14:textId="350A50FF" w:rsidR="001525D4" w:rsidRPr="00F20F99" w:rsidRDefault="001525D4" w:rsidP="00C34D9A">
            <w:pPr>
              <w:rPr>
                <w:rFonts w:ascii="Times New Roman" w:hAnsi="Times New Roman" w:cs="Times New Roman"/>
                <w:sz w:val="24"/>
                <w:szCs w:val="24"/>
              </w:rPr>
            </w:pPr>
            <w:r w:rsidRPr="00F20F99">
              <w:rPr>
                <w:rFonts w:ascii="Times New Roman" w:hAnsi="Times New Roman" w:cs="Times New Roman"/>
                <w:sz w:val="24"/>
                <w:szCs w:val="24"/>
              </w:rPr>
              <w:t>Descripción Conceptual</w:t>
            </w:r>
          </w:p>
        </w:tc>
        <w:tc>
          <w:tcPr>
            <w:tcW w:w="2268" w:type="dxa"/>
            <w:vAlign w:val="center"/>
          </w:tcPr>
          <w:p w14:paraId="62C2C8C2" w14:textId="1CB850C7" w:rsidR="001525D4" w:rsidRPr="00F20F99" w:rsidRDefault="001525D4" w:rsidP="00C34D9A">
            <w:pPr>
              <w:rPr>
                <w:rFonts w:ascii="Times New Roman" w:hAnsi="Times New Roman" w:cs="Times New Roman"/>
                <w:sz w:val="24"/>
                <w:szCs w:val="24"/>
              </w:rPr>
            </w:pPr>
            <w:r w:rsidRPr="00F20F99">
              <w:rPr>
                <w:rFonts w:ascii="Times New Roman" w:hAnsi="Times New Roman" w:cs="Times New Roman"/>
                <w:sz w:val="24"/>
                <w:szCs w:val="24"/>
              </w:rPr>
              <w:t>Descripción Operativa</w:t>
            </w:r>
          </w:p>
        </w:tc>
        <w:tc>
          <w:tcPr>
            <w:tcW w:w="4012" w:type="dxa"/>
            <w:vAlign w:val="center"/>
          </w:tcPr>
          <w:p w14:paraId="659C9F2E" w14:textId="49506E6F" w:rsidR="001525D4" w:rsidRPr="00F20F99" w:rsidRDefault="001525D4" w:rsidP="00C34D9A">
            <w:pPr>
              <w:rPr>
                <w:rFonts w:ascii="Times New Roman" w:hAnsi="Times New Roman" w:cs="Times New Roman"/>
                <w:sz w:val="24"/>
                <w:szCs w:val="24"/>
              </w:rPr>
            </w:pPr>
            <w:r w:rsidRPr="00F20F99">
              <w:rPr>
                <w:rFonts w:ascii="Times New Roman" w:hAnsi="Times New Roman" w:cs="Times New Roman"/>
                <w:sz w:val="24"/>
                <w:szCs w:val="24"/>
              </w:rPr>
              <w:t>Ítems para medición</w:t>
            </w:r>
          </w:p>
        </w:tc>
      </w:tr>
      <w:tr w:rsidR="00181CB4" w:rsidRPr="00F20F99" w14:paraId="21752A8E" w14:textId="77777777" w:rsidTr="00F20F99">
        <w:tc>
          <w:tcPr>
            <w:tcW w:w="1134" w:type="dxa"/>
            <w:vMerge w:val="restart"/>
          </w:tcPr>
          <w:p w14:paraId="2A3189CE" w14:textId="77777777" w:rsidR="001525D4" w:rsidRPr="00F20F99" w:rsidRDefault="001525D4" w:rsidP="00C34D9A">
            <w:pPr>
              <w:jc w:val="both"/>
              <w:rPr>
                <w:rFonts w:ascii="Times New Roman" w:hAnsi="Times New Roman" w:cs="Times New Roman"/>
                <w:sz w:val="24"/>
                <w:szCs w:val="24"/>
              </w:rPr>
            </w:pPr>
            <w:r w:rsidRPr="00F20F99">
              <w:rPr>
                <w:rFonts w:ascii="Times New Roman" w:hAnsi="Times New Roman" w:cs="Times New Roman"/>
                <w:sz w:val="24"/>
                <w:szCs w:val="24"/>
              </w:rPr>
              <w:t>Gestión del</w:t>
            </w:r>
          </w:p>
          <w:p w14:paraId="49806B3E" w14:textId="77777777" w:rsidR="001525D4" w:rsidRPr="00F20F99" w:rsidRDefault="001525D4" w:rsidP="00C34D9A">
            <w:pPr>
              <w:jc w:val="both"/>
              <w:rPr>
                <w:rFonts w:ascii="Times New Roman" w:hAnsi="Times New Roman" w:cs="Times New Roman"/>
                <w:sz w:val="24"/>
                <w:szCs w:val="24"/>
              </w:rPr>
            </w:pPr>
            <w:r w:rsidRPr="00F20F99">
              <w:rPr>
                <w:rFonts w:ascii="Times New Roman" w:hAnsi="Times New Roman" w:cs="Times New Roman"/>
                <w:sz w:val="24"/>
                <w:szCs w:val="24"/>
              </w:rPr>
              <w:t>Conocimiento</w:t>
            </w:r>
          </w:p>
          <w:p w14:paraId="6A95C79E" w14:textId="5E9F0755" w:rsidR="001525D4" w:rsidRPr="00F20F99" w:rsidRDefault="001525D4" w:rsidP="00C34D9A">
            <w:pPr>
              <w:jc w:val="both"/>
              <w:rPr>
                <w:rFonts w:ascii="Times New Roman" w:hAnsi="Times New Roman" w:cs="Times New Roman"/>
                <w:sz w:val="24"/>
                <w:szCs w:val="24"/>
              </w:rPr>
            </w:pPr>
            <w:r w:rsidRPr="00F20F99">
              <w:rPr>
                <w:rFonts w:ascii="Times New Roman" w:hAnsi="Times New Roman" w:cs="Times New Roman"/>
                <w:sz w:val="24"/>
                <w:szCs w:val="24"/>
              </w:rPr>
              <w:t>(GC)</w:t>
            </w:r>
          </w:p>
        </w:tc>
        <w:tc>
          <w:tcPr>
            <w:tcW w:w="1980" w:type="dxa"/>
            <w:vMerge w:val="restart"/>
          </w:tcPr>
          <w:p w14:paraId="0F17D696" w14:textId="6BE67865" w:rsidR="001525D4" w:rsidRPr="00F20F99" w:rsidRDefault="001525D4" w:rsidP="00C34D9A">
            <w:pPr>
              <w:jc w:val="both"/>
              <w:rPr>
                <w:rFonts w:ascii="Times New Roman" w:hAnsi="Times New Roman" w:cs="Times New Roman"/>
                <w:sz w:val="24"/>
                <w:szCs w:val="24"/>
              </w:rPr>
            </w:pPr>
            <w:r w:rsidRPr="00F20F99">
              <w:rPr>
                <w:rFonts w:ascii="Times New Roman" w:hAnsi="Times New Roman" w:cs="Times New Roman"/>
                <w:sz w:val="24"/>
                <w:szCs w:val="24"/>
              </w:rPr>
              <w:t>Proceso por el cual las organizaciones generan valor a partir de su capital intelectual y del conocimiento existente.</w:t>
            </w:r>
          </w:p>
        </w:tc>
        <w:tc>
          <w:tcPr>
            <w:tcW w:w="2268" w:type="dxa"/>
            <w:vMerge w:val="restart"/>
          </w:tcPr>
          <w:p w14:paraId="208FF855" w14:textId="26E27266" w:rsidR="001525D4" w:rsidRPr="00F20F99" w:rsidRDefault="001525D4" w:rsidP="00C34D9A">
            <w:pPr>
              <w:jc w:val="both"/>
              <w:rPr>
                <w:rFonts w:ascii="Times New Roman" w:hAnsi="Times New Roman" w:cs="Times New Roman"/>
                <w:sz w:val="24"/>
                <w:szCs w:val="24"/>
              </w:rPr>
            </w:pPr>
            <w:r w:rsidRPr="00F20F99">
              <w:rPr>
                <w:rFonts w:ascii="Times New Roman" w:hAnsi="Times New Roman" w:cs="Times New Roman"/>
                <w:sz w:val="24"/>
                <w:szCs w:val="24"/>
              </w:rPr>
              <w:t>Se materializa a través de procedimientos definidos para la adquisición, integración y difusión del saber. Estos procesos están respaldados por políticas organizacionales que promueven la transferencia activa y la aplicación estratégica del conocimiento.</w:t>
            </w:r>
          </w:p>
        </w:tc>
        <w:tc>
          <w:tcPr>
            <w:tcW w:w="4012" w:type="dxa"/>
          </w:tcPr>
          <w:p w14:paraId="4E36A56D" w14:textId="6C378069" w:rsidR="001525D4" w:rsidRPr="00F20F99" w:rsidRDefault="001525D4" w:rsidP="00C34D9A">
            <w:pPr>
              <w:jc w:val="both"/>
              <w:rPr>
                <w:rFonts w:ascii="Times New Roman" w:hAnsi="Times New Roman" w:cs="Times New Roman"/>
                <w:sz w:val="24"/>
                <w:szCs w:val="24"/>
              </w:rPr>
            </w:pPr>
            <w:r w:rsidRPr="00F20F99">
              <w:rPr>
                <w:rFonts w:ascii="Times New Roman" w:hAnsi="Times New Roman" w:cs="Times New Roman"/>
                <w:sz w:val="24"/>
                <w:szCs w:val="24"/>
              </w:rPr>
              <w:t>GC1.- La organización sistematiza la recolección de información pertinente a las operaciones cotidianas.</w:t>
            </w:r>
          </w:p>
        </w:tc>
      </w:tr>
      <w:tr w:rsidR="00181CB4" w:rsidRPr="00F20F99" w14:paraId="04AA8511" w14:textId="77777777" w:rsidTr="00F20F99">
        <w:tc>
          <w:tcPr>
            <w:tcW w:w="1134" w:type="dxa"/>
            <w:vMerge/>
          </w:tcPr>
          <w:p w14:paraId="26EE48E7" w14:textId="77777777" w:rsidR="001525D4" w:rsidRPr="00F20F99" w:rsidRDefault="001525D4" w:rsidP="00C34D9A">
            <w:pPr>
              <w:jc w:val="both"/>
              <w:rPr>
                <w:rFonts w:ascii="Times New Roman" w:hAnsi="Times New Roman" w:cs="Times New Roman"/>
                <w:sz w:val="24"/>
                <w:szCs w:val="24"/>
              </w:rPr>
            </w:pPr>
          </w:p>
        </w:tc>
        <w:tc>
          <w:tcPr>
            <w:tcW w:w="1980" w:type="dxa"/>
            <w:vMerge/>
          </w:tcPr>
          <w:p w14:paraId="1E6F8C0E" w14:textId="77777777" w:rsidR="001525D4" w:rsidRPr="00F20F99" w:rsidRDefault="001525D4" w:rsidP="00C34D9A">
            <w:pPr>
              <w:jc w:val="both"/>
              <w:rPr>
                <w:rFonts w:ascii="Times New Roman" w:hAnsi="Times New Roman" w:cs="Times New Roman"/>
                <w:sz w:val="24"/>
                <w:szCs w:val="24"/>
              </w:rPr>
            </w:pPr>
          </w:p>
        </w:tc>
        <w:tc>
          <w:tcPr>
            <w:tcW w:w="2268" w:type="dxa"/>
            <w:vMerge/>
          </w:tcPr>
          <w:p w14:paraId="385CA929" w14:textId="77777777" w:rsidR="001525D4" w:rsidRPr="00F20F99" w:rsidRDefault="001525D4" w:rsidP="00C34D9A">
            <w:pPr>
              <w:jc w:val="both"/>
              <w:rPr>
                <w:rFonts w:ascii="Times New Roman" w:hAnsi="Times New Roman" w:cs="Times New Roman"/>
                <w:sz w:val="24"/>
                <w:szCs w:val="24"/>
              </w:rPr>
            </w:pPr>
          </w:p>
        </w:tc>
        <w:tc>
          <w:tcPr>
            <w:tcW w:w="4012" w:type="dxa"/>
          </w:tcPr>
          <w:p w14:paraId="55D26CF3" w14:textId="2F08EF56" w:rsidR="001525D4" w:rsidRPr="00F20F99" w:rsidRDefault="00C34D9A" w:rsidP="00C34D9A">
            <w:pPr>
              <w:jc w:val="both"/>
              <w:rPr>
                <w:rFonts w:ascii="Times New Roman" w:hAnsi="Times New Roman" w:cs="Times New Roman"/>
                <w:sz w:val="24"/>
                <w:szCs w:val="24"/>
              </w:rPr>
            </w:pPr>
            <w:r w:rsidRPr="00F20F99">
              <w:rPr>
                <w:rFonts w:ascii="Times New Roman" w:hAnsi="Times New Roman" w:cs="Times New Roman"/>
                <w:sz w:val="24"/>
                <w:szCs w:val="24"/>
              </w:rPr>
              <w:t>GC2.- Se realizan cambios en los procesos de la organización para integrar nuevos conocimientos.</w:t>
            </w:r>
          </w:p>
        </w:tc>
      </w:tr>
      <w:tr w:rsidR="00181CB4" w:rsidRPr="00F20F99" w14:paraId="4211986B" w14:textId="77777777" w:rsidTr="00F20F99">
        <w:tc>
          <w:tcPr>
            <w:tcW w:w="1134" w:type="dxa"/>
            <w:vMerge/>
          </w:tcPr>
          <w:p w14:paraId="1CBF880A" w14:textId="77777777" w:rsidR="001525D4" w:rsidRPr="00F20F99" w:rsidRDefault="001525D4" w:rsidP="00C34D9A">
            <w:pPr>
              <w:jc w:val="both"/>
              <w:rPr>
                <w:rFonts w:ascii="Times New Roman" w:hAnsi="Times New Roman" w:cs="Times New Roman"/>
                <w:sz w:val="24"/>
                <w:szCs w:val="24"/>
              </w:rPr>
            </w:pPr>
          </w:p>
        </w:tc>
        <w:tc>
          <w:tcPr>
            <w:tcW w:w="1980" w:type="dxa"/>
            <w:vMerge/>
          </w:tcPr>
          <w:p w14:paraId="7AD29736" w14:textId="77777777" w:rsidR="001525D4" w:rsidRPr="00F20F99" w:rsidRDefault="001525D4" w:rsidP="00C34D9A">
            <w:pPr>
              <w:jc w:val="both"/>
              <w:rPr>
                <w:rFonts w:ascii="Times New Roman" w:hAnsi="Times New Roman" w:cs="Times New Roman"/>
                <w:sz w:val="24"/>
                <w:szCs w:val="24"/>
              </w:rPr>
            </w:pPr>
          </w:p>
        </w:tc>
        <w:tc>
          <w:tcPr>
            <w:tcW w:w="2268" w:type="dxa"/>
            <w:vMerge/>
          </w:tcPr>
          <w:p w14:paraId="7BFFD991" w14:textId="77777777" w:rsidR="001525D4" w:rsidRPr="00F20F99" w:rsidRDefault="001525D4" w:rsidP="00C34D9A">
            <w:pPr>
              <w:jc w:val="both"/>
              <w:rPr>
                <w:rFonts w:ascii="Times New Roman" w:hAnsi="Times New Roman" w:cs="Times New Roman"/>
                <w:sz w:val="24"/>
                <w:szCs w:val="24"/>
              </w:rPr>
            </w:pPr>
          </w:p>
        </w:tc>
        <w:tc>
          <w:tcPr>
            <w:tcW w:w="4012" w:type="dxa"/>
          </w:tcPr>
          <w:p w14:paraId="214A7FB2" w14:textId="7349C875" w:rsidR="001525D4" w:rsidRPr="00F20F99" w:rsidRDefault="00C34D9A" w:rsidP="00C34D9A">
            <w:pPr>
              <w:jc w:val="both"/>
              <w:rPr>
                <w:rFonts w:ascii="Times New Roman" w:hAnsi="Times New Roman" w:cs="Times New Roman"/>
                <w:sz w:val="24"/>
                <w:szCs w:val="24"/>
              </w:rPr>
            </w:pPr>
            <w:r w:rsidRPr="00F20F99">
              <w:rPr>
                <w:rFonts w:ascii="Times New Roman" w:hAnsi="Times New Roman" w:cs="Times New Roman"/>
                <w:sz w:val="24"/>
                <w:szCs w:val="24"/>
              </w:rPr>
              <w:t>GC3.- En la organización, existe un flujo activo de información relevante entre los miembros del equipo.</w:t>
            </w:r>
          </w:p>
        </w:tc>
      </w:tr>
      <w:tr w:rsidR="00181CB4" w:rsidRPr="00F20F99" w14:paraId="7BCB06C2" w14:textId="77777777" w:rsidTr="00F20F99">
        <w:tc>
          <w:tcPr>
            <w:tcW w:w="1134" w:type="dxa"/>
            <w:vMerge/>
          </w:tcPr>
          <w:p w14:paraId="38112906" w14:textId="77777777" w:rsidR="001525D4" w:rsidRPr="00F20F99" w:rsidRDefault="001525D4" w:rsidP="00C34D9A">
            <w:pPr>
              <w:jc w:val="both"/>
              <w:rPr>
                <w:rFonts w:ascii="Times New Roman" w:hAnsi="Times New Roman" w:cs="Times New Roman"/>
                <w:sz w:val="24"/>
                <w:szCs w:val="24"/>
              </w:rPr>
            </w:pPr>
          </w:p>
        </w:tc>
        <w:tc>
          <w:tcPr>
            <w:tcW w:w="1980" w:type="dxa"/>
            <w:vMerge/>
          </w:tcPr>
          <w:p w14:paraId="055F9117" w14:textId="77777777" w:rsidR="001525D4" w:rsidRPr="00F20F99" w:rsidRDefault="001525D4" w:rsidP="00C34D9A">
            <w:pPr>
              <w:jc w:val="both"/>
              <w:rPr>
                <w:rFonts w:ascii="Times New Roman" w:hAnsi="Times New Roman" w:cs="Times New Roman"/>
                <w:sz w:val="24"/>
                <w:szCs w:val="24"/>
              </w:rPr>
            </w:pPr>
          </w:p>
        </w:tc>
        <w:tc>
          <w:tcPr>
            <w:tcW w:w="2268" w:type="dxa"/>
            <w:vMerge/>
          </w:tcPr>
          <w:p w14:paraId="3E4DE4E4" w14:textId="77777777" w:rsidR="001525D4" w:rsidRPr="00F20F99" w:rsidRDefault="001525D4" w:rsidP="00C34D9A">
            <w:pPr>
              <w:jc w:val="both"/>
              <w:rPr>
                <w:rFonts w:ascii="Times New Roman" w:hAnsi="Times New Roman" w:cs="Times New Roman"/>
                <w:sz w:val="24"/>
                <w:szCs w:val="24"/>
              </w:rPr>
            </w:pPr>
          </w:p>
        </w:tc>
        <w:tc>
          <w:tcPr>
            <w:tcW w:w="4012" w:type="dxa"/>
          </w:tcPr>
          <w:p w14:paraId="4D52C7E2" w14:textId="02A08D45" w:rsidR="001525D4" w:rsidRPr="00F20F99" w:rsidRDefault="00C34D9A" w:rsidP="00C34D9A">
            <w:pPr>
              <w:jc w:val="both"/>
              <w:rPr>
                <w:rFonts w:ascii="Times New Roman" w:hAnsi="Times New Roman" w:cs="Times New Roman"/>
                <w:sz w:val="24"/>
                <w:szCs w:val="24"/>
              </w:rPr>
            </w:pPr>
            <w:r w:rsidRPr="00F20F99">
              <w:rPr>
                <w:rFonts w:ascii="Times New Roman" w:hAnsi="Times New Roman" w:cs="Times New Roman"/>
                <w:sz w:val="24"/>
                <w:szCs w:val="24"/>
              </w:rPr>
              <w:t>GC4.- Existen normas que facilitan el intercambio de conocimiento dentro de la organización.</w:t>
            </w:r>
          </w:p>
        </w:tc>
      </w:tr>
      <w:tr w:rsidR="00181CB4" w:rsidRPr="00F20F99" w14:paraId="2EF04E8D" w14:textId="77777777" w:rsidTr="00F20F99">
        <w:tc>
          <w:tcPr>
            <w:tcW w:w="1134" w:type="dxa"/>
            <w:vMerge/>
          </w:tcPr>
          <w:p w14:paraId="36CF42A1" w14:textId="77777777" w:rsidR="001525D4" w:rsidRPr="00F20F99" w:rsidRDefault="001525D4" w:rsidP="00C34D9A">
            <w:pPr>
              <w:jc w:val="both"/>
              <w:rPr>
                <w:rFonts w:ascii="Times New Roman" w:hAnsi="Times New Roman" w:cs="Times New Roman"/>
                <w:sz w:val="24"/>
                <w:szCs w:val="24"/>
              </w:rPr>
            </w:pPr>
          </w:p>
        </w:tc>
        <w:tc>
          <w:tcPr>
            <w:tcW w:w="1980" w:type="dxa"/>
            <w:vMerge/>
          </w:tcPr>
          <w:p w14:paraId="483BE198" w14:textId="77777777" w:rsidR="001525D4" w:rsidRPr="00F20F99" w:rsidRDefault="001525D4" w:rsidP="00C34D9A">
            <w:pPr>
              <w:jc w:val="both"/>
              <w:rPr>
                <w:rFonts w:ascii="Times New Roman" w:hAnsi="Times New Roman" w:cs="Times New Roman"/>
                <w:sz w:val="24"/>
                <w:szCs w:val="24"/>
              </w:rPr>
            </w:pPr>
          </w:p>
        </w:tc>
        <w:tc>
          <w:tcPr>
            <w:tcW w:w="2268" w:type="dxa"/>
            <w:vMerge/>
          </w:tcPr>
          <w:p w14:paraId="3C4A6C85" w14:textId="77777777" w:rsidR="001525D4" w:rsidRPr="00F20F99" w:rsidRDefault="001525D4" w:rsidP="00C34D9A">
            <w:pPr>
              <w:jc w:val="both"/>
              <w:rPr>
                <w:rFonts w:ascii="Times New Roman" w:hAnsi="Times New Roman" w:cs="Times New Roman"/>
                <w:sz w:val="24"/>
                <w:szCs w:val="24"/>
              </w:rPr>
            </w:pPr>
          </w:p>
        </w:tc>
        <w:tc>
          <w:tcPr>
            <w:tcW w:w="4012" w:type="dxa"/>
          </w:tcPr>
          <w:p w14:paraId="0E31FE2A" w14:textId="025B622A" w:rsidR="001525D4" w:rsidRPr="00F20F99" w:rsidRDefault="00C34D9A" w:rsidP="00C34D9A">
            <w:pPr>
              <w:jc w:val="both"/>
              <w:rPr>
                <w:rFonts w:ascii="Times New Roman" w:hAnsi="Times New Roman" w:cs="Times New Roman"/>
                <w:sz w:val="24"/>
                <w:szCs w:val="24"/>
              </w:rPr>
            </w:pPr>
            <w:r w:rsidRPr="00F20F99">
              <w:rPr>
                <w:rFonts w:ascii="Times New Roman" w:hAnsi="Times New Roman" w:cs="Times New Roman"/>
                <w:sz w:val="24"/>
                <w:szCs w:val="24"/>
              </w:rPr>
              <w:t xml:space="preserve">GC5.- Se implementa el conocimiento recién adquirido estratégicamente para impulsar </w:t>
            </w:r>
            <w:r w:rsidR="00DB0E63" w:rsidRPr="00F20F99">
              <w:rPr>
                <w:rFonts w:ascii="Times New Roman" w:hAnsi="Times New Roman" w:cs="Times New Roman"/>
                <w:sz w:val="24"/>
                <w:szCs w:val="24"/>
              </w:rPr>
              <w:t xml:space="preserve">la </w:t>
            </w:r>
            <w:r w:rsidRPr="00F20F99">
              <w:rPr>
                <w:rFonts w:ascii="Times New Roman" w:hAnsi="Times New Roman" w:cs="Times New Roman"/>
                <w:sz w:val="24"/>
                <w:szCs w:val="24"/>
              </w:rPr>
              <w:t>mejorar</w:t>
            </w:r>
            <w:r w:rsidR="00DB0E63" w:rsidRPr="00F20F99">
              <w:rPr>
                <w:rFonts w:ascii="Times New Roman" w:hAnsi="Times New Roman" w:cs="Times New Roman"/>
                <w:sz w:val="24"/>
                <w:szCs w:val="24"/>
              </w:rPr>
              <w:t>a</w:t>
            </w:r>
            <w:r w:rsidRPr="00F20F99">
              <w:rPr>
                <w:rFonts w:ascii="Times New Roman" w:hAnsi="Times New Roman" w:cs="Times New Roman"/>
                <w:sz w:val="24"/>
                <w:szCs w:val="24"/>
              </w:rPr>
              <w:t xml:space="preserve"> </w:t>
            </w:r>
            <w:r w:rsidR="00DB0E63" w:rsidRPr="00F20F99">
              <w:rPr>
                <w:rFonts w:ascii="Times New Roman" w:hAnsi="Times New Roman" w:cs="Times New Roman"/>
                <w:sz w:val="24"/>
                <w:szCs w:val="24"/>
              </w:rPr>
              <w:t xml:space="preserve">de </w:t>
            </w:r>
            <w:r w:rsidRPr="00F20F99">
              <w:rPr>
                <w:rFonts w:ascii="Times New Roman" w:hAnsi="Times New Roman" w:cs="Times New Roman"/>
                <w:sz w:val="24"/>
                <w:szCs w:val="24"/>
              </w:rPr>
              <w:t>las prácticas organizacionales.</w:t>
            </w:r>
          </w:p>
        </w:tc>
      </w:tr>
    </w:tbl>
    <w:p w14:paraId="067FC647" w14:textId="79E07169" w:rsidR="001525D4" w:rsidRPr="00D45D63" w:rsidRDefault="002A7B81" w:rsidP="002A7B81">
      <w:pPr>
        <w:jc w:val="center"/>
        <w:rPr>
          <w:rFonts w:ascii="Times New Roman" w:hAnsi="Times New Roman" w:cs="Times New Roman"/>
          <w:sz w:val="24"/>
          <w:szCs w:val="24"/>
        </w:rPr>
      </w:pPr>
      <w:bookmarkStart w:id="0" w:name="_Hlk179645247"/>
      <w:r w:rsidRPr="00D45D63">
        <w:rPr>
          <w:rFonts w:ascii="Times New Roman" w:hAnsi="Times New Roman" w:cs="Times New Roman"/>
          <w:sz w:val="24"/>
          <w:szCs w:val="24"/>
        </w:rPr>
        <w:t>Fuente: Elaboración propia</w:t>
      </w:r>
    </w:p>
    <w:p w14:paraId="326BB20C" w14:textId="77777777" w:rsidR="002A7B81" w:rsidRPr="00D45D63" w:rsidRDefault="002A7B81" w:rsidP="002A7B81">
      <w:pPr>
        <w:jc w:val="center"/>
        <w:rPr>
          <w:rFonts w:ascii="Times New Roman" w:hAnsi="Times New Roman" w:cs="Times New Roman"/>
          <w:sz w:val="24"/>
          <w:szCs w:val="24"/>
        </w:rPr>
      </w:pPr>
    </w:p>
    <w:bookmarkEnd w:id="0"/>
    <w:p w14:paraId="2536CE31" w14:textId="45340983" w:rsidR="007C382D" w:rsidRPr="00D45D63" w:rsidRDefault="007C382D" w:rsidP="00F20F99">
      <w:pPr>
        <w:spacing w:after="0" w:line="360" w:lineRule="auto"/>
        <w:jc w:val="center"/>
        <w:rPr>
          <w:rFonts w:ascii="Times New Roman" w:hAnsi="Times New Roman" w:cs="Times New Roman"/>
          <w:b/>
          <w:bCs/>
          <w:sz w:val="24"/>
          <w:szCs w:val="24"/>
        </w:rPr>
      </w:pPr>
      <w:r w:rsidRPr="00D45D63">
        <w:rPr>
          <w:rFonts w:ascii="Times New Roman" w:hAnsi="Times New Roman" w:cs="Times New Roman"/>
          <w:b/>
          <w:bCs/>
          <w:sz w:val="24"/>
          <w:szCs w:val="24"/>
        </w:rPr>
        <w:t>Liderazgo y Compromiso</w:t>
      </w:r>
    </w:p>
    <w:p w14:paraId="4F77DFAA" w14:textId="4B6719EE" w:rsidR="00C34D9A" w:rsidRPr="00D45D63"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En el ámbito de las organizaciones, el liderazgo se entiende como la capacidad de influir y gestionar</w:t>
      </w:r>
      <w:r w:rsidR="00C34D9A" w:rsidRPr="00D45D63">
        <w:rPr>
          <w:rFonts w:ascii="Times New Roman" w:hAnsi="Times New Roman" w:cs="Times New Roman"/>
          <w:sz w:val="24"/>
          <w:szCs w:val="24"/>
        </w:rPr>
        <w:t xml:space="preserve"> </w:t>
      </w:r>
      <w:r w:rsidRPr="00D45D63">
        <w:rPr>
          <w:rFonts w:ascii="Times New Roman" w:hAnsi="Times New Roman" w:cs="Times New Roman"/>
          <w:sz w:val="24"/>
          <w:szCs w:val="24"/>
        </w:rPr>
        <w:t>eficazmente a los empleados, apoyándose en principios morales como la confianza y la honestidad. Un</w:t>
      </w:r>
      <w:r w:rsidR="00C34D9A" w:rsidRPr="00D45D63">
        <w:rPr>
          <w:rFonts w:ascii="Times New Roman" w:hAnsi="Times New Roman" w:cs="Times New Roman"/>
          <w:sz w:val="24"/>
          <w:szCs w:val="24"/>
        </w:rPr>
        <w:t xml:space="preserve"> </w:t>
      </w:r>
      <w:r w:rsidRPr="00D45D63">
        <w:rPr>
          <w:rFonts w:ascii="Times New Roman" w:hAnsi="Times New Roman" w:cs="Times New Roman"/>
          <w:sz w:val="24"/>
          <w:szCs w:val="24"/>
        </w:rPr>
        <w:t>liderazgo efectivo y ético es crucial para retener empleados y fomentar un compromiso organizacional sólido.</w:t>
      </w:r>
      <w:r w:rsidR="00C34D9A"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Se observa que un estilo de liderazgo que promueve un trato justo y ético </w:t>
      </w:r>
      <w:r w:rsidR="00363BD7" w:rsidRPr="00D45D63">
        <w:rPr>
          <w:rFonts w:ascii="Times New Roman" w:hAnsi="Times New Roman" w:cs="Times New Roman"/>
          <w:sz w:val="24"/>
          <w:szCs w:val="24"/>
        </w:rPr>
        <w:t>contribuye significativamente</w:t>
      </w:r>
      <w:r w:rsidRPr="00D45D63">
        <w:rPr>
          <w:rFonts w:ascii="Times New Roman" w:hAnsi="Times New Roman" w:cs="Times New Roman"/>
          <w:sz w:val="24"/>
          <w:szCs w:val="24"/>
        </w:rPr>
        <w:t xml:space="preserve"> a</w:t>
      </w:r>
      <w:r w:rsidR="00C34D9A" w:rsidRPr="00D45D63">
        <w:rPr>
          <w:rFonts w:ascii="Times New Roman" w:hAnsi="Times New Roman" w:cs="Times New Roman"/>
          <w:sz w:val="24"/>
          <w:szCs w:val="24"/>
        </w:rPr>
        <w:t xml:space="preserve"> </w:t>
      </w:r>
      <w:r w:rsidRPr="00D45D63">
        <w:rPr>
          <w:rFonts w:ascii="Times New Roman" w:hAnsi="Times New Roman" w:cs="Times New Roman"/>
          <w:sz w:val="24"/>
          <w:szCs w:val="24"/>
        </w:rPr>
        <w:t>la integración del empleado con los objetivos y valores de la organización, potenciando así su motivación</w:t>
      </w:r>
      <w:r w:rsidR="00C34D9A" w:rsidRPr="00D45D63">
        <w:rPr>
          <w:rFonts w:ascii="Times New Roman" w:hAnsi="Times New Roman" w:cs="Times New Roman"/>
          <w:sz w:val="24"/>
          <w:szCs w:val="24"/>
        </w:rPr>
        <w:t xml:space="preserve"> </w:t>
      </w:r>
      <w:r w:rsidRPr="00D45D63">
        <w:rPr>
          <w:rFonts w:ascii="Times New Roman" w:hAnsi="Times New Roman" w:cs="Times New Roman"/>
          <w:sz w:val="24"/>
          <w:szCs w:val="24"/>
        </w:rPr>
        <w:t>intrínseca y su compromiso con el trabajo (Santiago-</w:t>
      </w:r>
      <w:proofErr w:type="spellStart"/>
      <w:r w:rsidRPr="00D45D63">
        <w:rPr>
          <w:rFonts w:ascii="Times New Roman" w:hAnsi="Times New Roman" w:cs="Times New Roman"/>
          <w:sz w:val="24"/>
          <w:szCs w:val="24"/>
        </w:rPr>
        <w:t>Torner</w:t>
      </w:r>
      <w:proofErr w:type="spellEnd"/>
      <w:r w:rsidRPr="00D45D63">
        <w:rPr>
          <w:rFonts w:ascii="Times New Roman" w:hAnsi="Times New Roman" w:cs="Times New Roman"/>
          <w:sz w:val="24"/>
          <w:szCs w:val="24"/>
        </w:rPr>
        <w:t>, 2023).</w:t>
      </w:r>
      <w:r w:rsidR="00C34D9A" w:rsidRPr="00D45D63">
        <w:rPr>
          <w:rFonts w:ascii="Times New Roman" w:hAnsi="Times New Roman" w:cs="Times New Roman"/>
          <w:sz w:val="24"/>
          <w:szCs w:val="24"/>
        </w:rPr>
        <w:t xml:space="preserve"> </w:t>
      </w:r>
    </w:p>
    <w:p w14:paraId="3D7A6923" w14:textId="7BB78B47" w:rsidR="00C406B8" w:rsidRPr="00D45D63"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 xml:space="preserve">Por otro lado, el compromiso en el entorno organizacional se ve influenciado por varios factores, </w:t>
      </w:r>
      <w:r w:rsidR="00363BD7" w:rsidRPr="00D45D63">
        <w:rPr>
          <w:rFonts w:ascii="Times New Roman" w:hAnsi="Times New Roman" w:cs="Times New Roman"/>
          <w:sz w:val="24"/>
          <w:szCs w:val="24"/>
        </w:rPr>
        <w:t>entre los</w:t>
      </w:r>
      <w:r w:rsidRPr="00D45D63">
        <w:rPr>
          <w:rFonts w:ascii="Times New Roman" w:hAnsi="Times New Roman" w:cs="Times New Roman"/>
          <w:sz w:val="24"/>
          <w:szCs w:val="24"/>
        </w:rPr>
        <w:t xml:space="preserve"> cuales la conducta y el enfoque del liderazgo juegan un papel fundamental. Un liderazgo efectivo puede</w:t>
      </w:r>
      <w:r w:rsidR="00C34D9A" w:rsidRPr="00D45D63">
        <w:rPr>
          <w:rFonts w:ascii="Times New Roman" w:hAnsi="Times New Roman" w:cs="Times New Roman"/>
          <w:sz w:val="24"/>
          <w:szCs w:val="24"/>
        </w:rPr>
        <w:t xml:space="preserve"> </w:t>
      </w:r>
      <w:r w:rsidRPr="00D45D63">
        <w:rPr>
          <w:rFonts w:ascii="Times New Roman" w:hAnsi="Times New Roman" w:cs="Times New Roman"/>
          <w:sz w:val="24"/>
          <w:szCs w:val="24"/>
        </w:rPr>
        <w:t>reducir la tendencia natural de los trabajadores a buscar nuevas oportunidades de empleo, aumentando su</w:t>
      </w:r>
      <w:r w:rsidR="00C34D9A"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motivación intrínseca y compromiso con la actividad laboral. Rejas </w:t>
      </w:r>
      <w:r w:rsidR="005939C7">
        <w:rPr>
          <w:rFonts w:ascii="Times New Roman" w:hAnsi="Times New Roman" w:cs="Times New Roman"/>
          <w:sz w:val="24"/>
          <w:szCs w:val="24"/>
        </w:rPr>
        <w:t>et ál</w:t>
      </w:r>
      <w:r w:rsidRPr="00D45D63">
        <w:rPr>
          <w:rFonts w:ascii="Times New Roman" w:hAnsi="Times New Roman" w:cs="Times New Roman"/>
          <w:sz w:val="24"/>
          <w:szCs w:val="24"/>
        </w:rPr>
        <w:t>. (2021) Proponen que el liderazgo</w:t>
      </w:r>
      <w:r w:rsidR="00C34D9A" w:rsidRPr="00D45D63">
        <w:rPr>
          <w:rFonts w:ascii="Times New Roman" w:hAnsi="Times New Roman" w:cs="Times New Roman"/>
          <w:sz w:val="24"/>
          <w:szCs w:val="24"/>
        </w:rPr>
        <w:t xml:space="preserve"> </w:t>
      </w:r>
      <w:r w:rsidRPr="00D45D63">
        <w:rPr>
          <w:rFonts w:ascii="Times New Roman" w:hAnsi="Times New Roman" w:cs="Times New Roman"/>
          <w:sz w:val="24"/>
          <w:szCs w:val="24"/>
        </w:rPr>
        <w:t>transformacional desempeña un papel clave en la alineación de los objetivos estratégicos de las organizaciones.</w:t>
      </w:r>
    </w:p>
    <w:p w14:paraId="6A19B813" w14:textId="4579E2C5" w:rsidR="007C382D" w:rsidRPr="00D45D63"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lastRenderedPageBreak/>
        <w:t>Este estilo de liderazgo motiva e inspira a los empleados a alinearse con los objetivos e intereses de</w:t>
      </w:r>
      <w:r w:rsidR="003D1A98" w:rsidRPr="00D45D63">
        <w:rPr>
          <w:rFonts w:ascii="Times New Roman" w:hAnsi="Times New Roman" w:cs="Times New Roman"/>
          <w:sz w:val="24"/>
          <w:szCs w:val="24"/>
        </w:rPr>
        <w:t xml:space="preserve"> </w:t>
      </w:r>
      <w:r w:rsidRPr="00D45D63">
        <w:rPr>
          <w:rFonts w:ascii="Times New Roman" w:hAnsi="Times New Roman" w:cs="Times New Roman"/>
          <w:sz w:val="24"/>
          <w:szCs w:val="24"/>
        </w:rPr>
        <w:t>la organización, fomentando una cultura de innovación. Los líderes transformacionales empoderan a los</w:t>
      </w:r>
      <w:r w:rsidR="003D1A98" w:rsidRPr="00D45D63">
        <w:rPr>
          <w:rFonts w:ascii="Times New Roman" w:hAnsi="Times New Roman" w:cs="Times New Roman"/>
          <w:sz w:val="24"/>
          <w:szCs w:val="24"/>
        </w:rPr>
        <w:t xml:space="preserve"> </w:t>
      </w:r>
      <w:r w:rsidRPr="00D45D63">
        <w:rPr>
          <w:rFonts w:ascii="Times New Roman" w:hAnsi="Times New Roman" w:cs="Times New Roman"/>
          <w:sz w:val="24"/>
          <w:szCs w:val="24"/>
        </w:rPr>
        <w:t>subordinados, promueven la creatividad, y generan un clima de trabajo propicio para el aprendizaje y la</w:t>
      </w:r>
      <w:r w:rsidR="003D1A98" w:rsidRPr="00D45D63">
        <w:rPr>
          <w:rFonts w:ascii="Times New Roman" w:hAnsi="Times New Roman" w:cs="Times New Roman"/>
          <w:sz w:val="24"/>
          <w:szCs w:val="24"/>
        </w:rPr>
        <w:t xml:space="preserve"> </w:t>
      </w:r>
      <w:r w:rsidRPr="00D45D63">
        <w:rPr>
          <w:rFonts w:ascii="Times New Roman" w:hAnsi="Times New Roman" w:cs="Times New Roman"/>
          <w:sz w:val="24"/>
          <w:szCs w:val="24"/>
        </w:rPr>
        <w:t>innovación, lo cual impacta directamente en la calidad y el desempeño de la institución. La Tabla 2 muestra</w:t>
      </w:r>
      <w:r w:rsidR="003D1A98" w:rsidRPr="00D45D63">
        <w:rPr>
          <w:rFonts w:ascii="Times New Roman" w:hAnsi="Times New Roman" w:cs="Times New Roman"/>
          <w:sz w:val="24"/>
          <w:szCs w:val="24"/>
        </w:rPr>
        <w:t xml:space="preserve"> </w:t>
      </w:r>
      <w:r w:rsidRPr="00D45D63">
        <w:rPr>
          <w:rFonts w:ascii="Times New Roman" w:hAnsi="Times New Roman" w:cs="Times New Roman"/>
          <w:sz w:val="24"/>
          <w:szCs w:val="24"/>
        </w:rPr>
        <w:t>la descripción conceptual, la descripción opera</w:t>
      </w:r>
      <w:r w:rsidR="00295E0C">
        <w:rPr>
          <w:rFonts w:ascii="Times New Roman" w:hAnsi="Times New Roman" w:cs="Times New Roman"/>
          <w:sz w:val="24"/>
          <w:szCs w:val="24"/>
        </w:rPr>
        <w:t>tiva</w:t>
      </w:r>
      <w:r w:rsidRPr="00D45D63">
        <w:rPr>
          <w:rFonts w:ascii="Times New Roman" w:hAnsi="Times New Roman" w:cs="Times New Roman"/>
          <w:sz w:val="24"/>
          <w:szCs w:val="24"/>
        </w:rPr>
        <w:t xml:space="preserve"> y los ítems propuestos para el constructo Liderazgo y</w:t>
      </w:r>
      <w:r w:rsidR="003D1A98" w:rsidRPr="00D45D63">
        <w:rPr>
          <w:rFonts w:ascii="Times New Roman" w:hAnsi="Times New Roman" w:cs="Times New Roman"/>
          <w:sz w:val="24"/>
          <w:szCs w:val="24"/>
        </w:rPr>
        <w:t xml:space="preserve"> </w:t>
      </w:r>
      <w:r w:rsidRPr="00D45D63">
        <w:rPr>
          <w:rFonts w:ascii="Times New Roman" w:hAnsi="Times New Roman" w:cs="Times New Roman"/>
          <w:sz w:val="24"/>
          <w:szCs w:val="24"/>
        </w:rPr>
        <w:t>Compromiso (LC).</w:t>
      </w:r>
    </w:p>
    <w:p w14:paraId="7B7B0331" w14:textId="77777777" w:rsidR="003D1A98" w:rsidRPr="00D45D63" w:rsidRDefault="003D1A98" w:rsidP="003D1A98">
      <w:pPr>
        <w:spacing w:after="0" w:line="360" w:lineRule="auto"/>
        <w:jc w:val="both"/>
        <w:rPr>
          <w:rFonts w:ascii="Times New Roman" w:hAnsi="Times New Roman" w:cs="Times New Roman"/>
          <w:sz w:val="24"/>
          <w:szCs w:val="24"/>
        </w:rPr>
      </w:pPr>
    </w:p>
    <w:p w14:paraId="48B40B68" w14:textId="3DD5E75A" w:rsidR="003D1A98" w:rsidRPr="00D45D63" w:rsidRDefault="007C382D" w:rsidP="00F20F99">
      <w:pPr>
        <w:spacing w:after="0" w:line="360" w:lineRule="auto"/>
        <w:jc w:val="center"/>
      </w:pPr>
      <w:r w:rsidRPr="00F20F99">
        <w:rPr>
          <w:rFonts w:ascii="Times New Roman" w:hAnsi="Times New Roman" w:cs="Times New Roman"/>
          <w:b/>
          <w:bCs/>
          <w:sz w:val="24"/>
          <w:szCs w:val="24"/>
        </w:rPr>
        <w:t>Tabla 2</w:t>
      </w:r>
      <w:r w:rsidR="00FE4589">
        <w:rPr>
          <w:rFonts w:ascii="Times New Roman" w:hAnsi="Times New Roman" w:cs="Times New Roman"/>
          <w:b/>
          <w:bCs/>
          <w:sz w:val="24"/>
          <w:szCs w:val="24"/>
        </w:rPr>
        <w:t>.</w:t>
      </w:r>
      <w:r w:rsidRPr="00D45D63">
        <w:rPr>
          <w:rFonts w:ascii="Times New Roman" w:hAnsi="Times New Roman" w:cs="Times New Roman"/>
          <w:sz w:val="24"/>
          <w:szCs w:val="24"/>
        </w:rPr>
        <w:t xml:space="preserve"> Operacionalización del Constructo Liderazgo y Compromiso (LC)</w:t>
      </w:r>
    </w:p>
    <w:tbl>
      <w:tblPr>
        <w:tblStyle w:val="Tablaconcuadrcula"/>
        <w:tblW w:w="0" w:type="auto"/>
        <w:tblCellMar>
          <w:left w:w="57" w:type="dxa"/>
          <w:right w:w="57" w:type="dxa"/>
        </w:tblCellMar>
        <w:tblLook w:val="04A0" w:firstRow="1" w:lastRow="0" w:firstColumn="1" w:lastColumn="0" w:noHBand="0" w:noVBand="1"/>
      </w:tblPr>
      <w:tblGrid>
        <w:gridCol w:w="1368"/>
        <w:gridCol w:w="1828"/>
        <w:gridCol w:w="2194"/>
        <w:gridCol w:w="3438"/>
      </w:tblGrid>
      <w:tr w:rsidR="00181CB4" w:rsidRPr="00F20F99" w14:paraId="51028690" w14:textId="77777777" w:rsidTr="00F20F99">
        <w:tc>
          <w:tcPr>
            <w:tcW w:w="1134" w:type="dxa"/>
            <w:vAlign w:val="center"/>
          </w:tcPr>
          <w:p w14:paraId="3E26616F" w14:textId="77777777" w:rsidR="003D1A98" w:rsidRPr="00F20F99" w:rsidRDefault="003D1A98" w:rsidP="008E79D6">
            <w:pPr>
              <w:rPr>
                <w:rFonts w:ascii="Times New Roman" w:hAnsi="Times New Roman" w:cs="Times New Roman"/>
                <w:sz w:val="24"/>
                <w:szCs w:val="24"/>
              </w:rPr>
            </w:pPr>
            <w:r w:rsidRPr="00F20F99">
              <w:rPr>
                <w:rFonts w:ascii="Times New Roman" w:hAnsi="Times New Roman" w:cs="Times New Roman"/>
                <w:sz w:val="24"/>
                <w:szCs w:val="24"/>
              </w:rPr>
              <w:t>Constructo</w:t>
            </w:r>
          </w:p>
        </w:tc>
        <w:tc>
          <w:tcPr>
            <w:tcW w:w="1843" w:type="dxa"/>
            <w:vAlign w:val="center"/>
          </w:tcPr>
          <w:p w14:paraId="6174B231" w14:textId="77777777" w:rsidR="003D1A98" w:rsidRPr="00F20F99" w:rsidRDefault="003D1A98" w:rsidP="008E79D6">
            <w:pPr>
              <w:rPr>
                <w:rFonts w:ascii="Times New Roman" w:hAnsi="Times New Roman" w:cs="Times New Roman"/>
                <w:sz w:val="24"/>
                <w:szCs w:val="24"/>
              </w:rPr>
            </w:pPr>
            <w:r w:rsidRPr="00F20F99">
              <w:rPr>
                <w:rFonts w:ascii="Times New Roman" w:hAnsi="Times New Roman" w:cs="Times New Roman"/>
                <w:sz w:val="24"/>
                <w:szCs w:val="24"/>
              </w:rPr>
              <w:t>Descripción Conceptual</w:t>
            </w:r>
          </w:p>
        </w:tc>
        <w:tc>
          <w:tcPr>
            <w:tcW w:w="2405" w:type="dxa"/>
            <w:vAlign w:val="center"/>
          </w:tcPr>
          <w:p w14:paraId="54E4FDF5" w14:textId="77777777" w:rsidR="003D1A98" w:rsidRPr="00F20F99" w:rsidRDefault="003D1A98" w:rsidP="008E79D6">
            <w:pPr>
              <w:rPr>
                <w:rFonts w:ascii="Times New Roman" w:hAnsi="Times New Roman" w:cs="Times New Roman"/>
                <w:sz w:val="24"/>
                <w:szCs w:val="24"/>
              </w:rPr>
            </w:pPr>
            <w:r w:rsidRPr="00F20F99">
              <w:rPr>
                <w:rFonts w:ascii="Times New Roman" w:hAnsi="Times New Roman" w:cs="Times New Roman"/>
                <w:sz w:val="24"/>
                <w:szCs w:val="24"/>
              </w:rPr>
              <w:t>Descripción Operativa</w:t>
            </w:r>
          </w:p>
        </w:tc>
        <w:tc>
          <w:tcPr>
            <w:tcW w:w="4012" w:type="dxa"/>
            <w:vAlign w:val="center"/>
          </w:tcPr>
          <w:p w14:paraId="6FEF7904" w14:textId="77777777" w:rsidR="003D1A98" w:rsidRPr="00F20F99" w:rsidRDefault="003D1A98" w:rsidP="008E79D6">
            <w:pPr>
              <w:rPr>
                <w:rFonts w:ascii="Times New Roman" w:hAnsi="Times New Roman" w:cs="Times New Roman"/>
                <w:sz w:val="24"/>
                <w:szCs w:val="24"/>
              </w:rPr>
            </w:pPr>
            <w:r w:rsidRPr="00F20F99">
              <w:rPr>
                <w:rFonts w:ascii="Times New Roman" w:hAnsi="Times New Roman" w:cs="Times New Roman"/>
                <w:sz w:val="24"/>
                <w:szCs w:val="24"/>
              </w:rPr>
              <w:t>Ítems para medición</w:t>
            </w:r>
          </w:p>
        </w:tc>
      </w:tr>
      <w:tr w:rsidR="00181CB4" w:rsidRPr="00F20F99" w14:paraId="55A66584" w14:textId="77777777" w:rsidTr="00F20F99">
        <w:tc>
          <w:tcPr>
            <w:tcW w:w="1134" w:type="dxa"/>
            <w:vMerge w:val="restart"/>
          </w:tcPr>
          <w:p w14:paraId="23FAEC41" w14:textId="77777777" w:rsidR="003D1A98" w:rsidRPr="00F20F99" w:rsidRDefault="003D1A98" w:rsidP="003D1A98">
            <w:pPr>
              <w:jc w:val="both"/>
              <w:rPr>
                <w:rFonts w:ascii="Times New Roman" w:hAnsi="Times New Roman" w:cs="Times New Roman"/>
                <w:sz w:val="24"/>
                <w:szCs w:val="24"/>
              </w:rPr>
            </w:pPr>
            <w:r w:rsidRPr="00F20F99">
              <w:rPr>
                <w:rFonts w:ascii="Times New Roman" w:hAnsi="Times New Roman" w:cs="Times New Roman"/>
                <w:sz w:val="24"/>
                <w:szCs w:val="24"/>
              </w:rPr>
              <w:t>Liderazgo y</w:t>
            </w:r>
          </w:p>
          <w:p w14:paraId="6C462CB6" w14:textId="77777777" w:rsidR="003D1A98" w:rsidRPr="00F20F99" w:rsidRDefault="003D1A98" w:rsidP="003D1A98">
            <w:pPr>
              <w:jc w:val="both"/>
              <w:rPr>
                <w:rFonts w:ascii="Times New Roman" w:hAnsi="Times New Roman" w:cs="Times New Roman"/>
                <w:sz w:val="24"/>
                <w:szCs w:val="24"/>
              </w:rPr>
            </w:pPr>
            <w:r w:rsidRPr="00F20F99">
              <w:rPr>
                <w:rFonts w:ascii="Times New Roman" w:hAnsi="Times New Roman" w:cs="Times New Roman"/>
                <w:sz w:val="24"/>
                <w:szCs w:val="24"/>
              </w:rPr>
              <w:t>Compromiso</w:t>
            </w:r>
          </w:p>
          <w:p w14:paraId="6939D8DF" w14:textId="5B2E3DAC" w:rsidR="003D1A98" w:rsidRPr="00F20F99" w:rsidRDefault="003D1A98" w:rsidP="003D1A98">
            <w:pPr>
              <w:jc w:val="both"/>
              <w:rPr>
                <w:rFonts w:ascii="Times New Roman" w:hAnsi="Times New Roman" w:cs="Times New Roman"/>
                <w:sz w:val="24"/>
                <w:szCs w:val="24"/>
              </w:rPr>
            </w:pPr>
            <w:r w:rsidRPr="00F20F99">
              <w:rPr>
                <w:rFonts w:ascii="Times New Roman" w:hAnsi="Times New Roman" w:cs="Times New Roman"/>
                <w:sz w:val="24"/>
                <w:szCs w:val="24"/>
              </w:rPr>
              <w:t>(LC)</w:t>
            </w:r>
          </w:p>
        </w:tc>
        <w:tc>
          <w:tcPr>
            <w:tcW w:w="1843" w:type="dxa"/>
            <w:vMerge w:val="restart"/>
          </w:tcPr>
          <w:p w14:paraId="6B41D234" w14:textId="3EE52692" w:rsidR="003D1A98" w:rsidRPr="00F20F99" w:rsidRDefault="003D1A98" w:rsidP="003D1A98">
            <w:pPr>
              <w:jc w:val="both"/>
              <w:rPr>
                <w:rFonts w:ascii="Times New Roman" w:hAnsi="Times New Roman" w:cs="Times New Roman"/>
                <w:sz w:val="24"/>
                <w:szCs w:val="24"/>
              </w:rPr>
            </w:pPr>
            <w:r w:rsidRPr="00F20F99">
              <w:rPr>
                <w:rFonts w:ascii="Times New Roman" w:hAnsi="Times New Roman" w:cs="Times New Roman"/>
                <w:sz w:val="24"/>
                <w:szCs w:val="24"/>
              </w:rPr>
              <w:t>Capacidad de los líderes para inspirar, influir y guiar a los empleados hacia los objetivos organizacionales.</w:t>
            </w:r>
          </w:p>
        </w:tc>
        <w:tc>
          <w:tcPr>
            <w:tcW w:w="2405" w:type="dxa"/>
            <w:vMerge w:val="restart"/>
          </w:tcPr>
          <w:p w14:paraId="572A0402" w14:textId="374A569C" w:rsidR="003D1A98" w:rsidRPr="00F20F99" w:rsidRDefault="003D1A98" w:rsidP="003D1A98">
            <w:pPr>
              <w:jc w:val="both"/>
              <w:rPr>
                <w:rFonts w:ascii="Times New Roman" w:hAnsi="Times New Roman" w:cs="Times New Roman"/>
                <w:sz w:val="24"/>
                <w:szCs w:val="24"/>
              </w:rPr>
            </w:pPr>
            <w:r w:rsidRPr="00F20F99">
              <w:rPr>
                <w:rFonts w:ascii="Times New Roman" w:hAnsi="Times New Roman" w:cs="Times New Roman"/>
                <w:sz w:val="24"/>
                <w:szCs w:val="24"/>
              </w:rPr>
              <w:t>Se manifiestan a través de la comunicación efectiva de la visión y misión organizacional, el ejercicio de un liderazgo que moviliza al cambio, la evaluación positiva de los líderes por parte del personal, y la congruencia entre las metas individuales de los empleados y los objetivos de la empresa.</w:t>
            </w:r>
          </w:p>
        </w:tc>
        <w:tc>
          <w:tcPr>
            <w:tcW w:w="4012" w:type="dxa"/>
          </w:tcPr>
          <w:p w14:paraId="01E8A8F5" w14:textId="0F8851EF" w:rsidR="003D1A98" w:rsidRPr="00F20F99" w:rsidRDefault="003D1A98" w:rsidP="003D1A98">
            <w:pPr>
              <w:jc w:val="both"/>
              <w:rPr>
                <w:rFonts w:ascii="Times New Roman" w:hAnsi="Times New Roman" w:cs="Times New Roman"/>
                <w:sz w:val="24"/>
                <w:szCs w:val="24"/>
              </w:rPr>
            </w:pPr>
            <w:r w:rsidRPr="00F20F99">
              <w:rPr>
                <w:rFonts w:ascii="Times New Roman" w:hAnsi="Times New Roman" w:cs="Times New Roman"/>
                <w:sz w:val="24"/>
                <w:szCs w:val="24"/>
              </w:rPr>
              <w:t>LC1.- La alta dirección comunica claramente la visión y misión de la organización a todo el personal, asegurando su comprensión y alineación con los objetivos estratégicos.</w:t>
            </w:r>
          </w:p>
        </w:tc>
      </w:tr>
      <w:tr w:rsidR="00181CB4" w:rsidRPr="00F20F99" w14:paraId="64CFA659" w14:textId="77777777" w:rsidTr="00F20F99">
        <w:tc>
          <w:tcPr>
            <w:tcW w:w="1134" w:type="dxa"/>
            <w:vMerge/>
          </w:tcPr>
          <w:p w14:paraId="6B9160BB" w14:textId="77777777" w:rsidR="003D1A98" w:rsidRPr="00F20F99" w:rsidRDefault="003D1A98" w:rsidP="008E79D6">
            <w:pPr>
              <w:jc w:val="both"/>
              <w:rPr>
                <w:rFonts w:ascii="Times New Roman" w:hAnsi="Times New Roman" w:cs="Times New Roman"/>
                <w:sz w:val="24"/>
                <w:szCs w:val="24"/>
              </w:rPr>
            </w:pPr>
          </w:p>
        </w:tc>
        <w:tc>
          <w:tcPr>
            <w:tcW w:w="1843" w:type="dxa"/>
            <w:vMerge/>
          </w:tcPr>
          <w:p w14:paraId="4338C65E" w14:textId="77777777" w:rsidR="003D1A98" w:rsidRPr="00F20F99" w:rsidRDefault="003D1A98" w:rsidP="008E79D6">
            <w:pPr>
              <w:jc w:val="both"/>
              <w:rPr>
                <w:rFonts w:ascii="Times New Roman" w:hAnsi="Times New Roman" w:cs="Times New Roman"/>
                <w:sz w:val="24"/>
                <w:szCs w:val="24"/>
              </w:rPr>
            </w:pPr>
          </w:p>
        </w:tc>
        <w:tc>
          <w:tcPr>
            <w:tcW w:w="2405" w:type="dxa"/>
            <w:vMerge/>
          </w:tcPr>
          <w:p w14:paraId="741ED54B" w14:textId="77777777" w:rsidR="003D1A98" w:rsidRPr="00F20F99" w:rsidRDefault="003D1A98" w:rsidP="008E79D6">
            <w:pPr>
              <w:jc w:val="both"/>
              <w:rPr>
                <w:rFonts w:ascii="Times New Roman" w:hAnsi="Times New Roman" w:cs="Times New Roman"/>
                <w:sz w:val="24"/>
                <w:szCs w:val="24"/>
              </w:rPr>
            </w:pPr>
          </w:p>
        </w:tc>
        <w:tc>
          <w:tcPr>
            <w:tcW w:w="4012" w:type="dxa"/>
          </w:tcPr>
          <w:p w14:paraId="5DE99395" w14:textId="7545FFD3" w:rsidR="003D1A98" w:rsidRPr="00F20F99" w:rsidRDefault="00C406B8" w:rsidP="00C406B8">
            <w:pPr>
              <w:jc w:val="both"/>
              <w:rPr>
                <w:rFonts w:ascii="Times New Roman" w:hAnsi="Times New Roman" w:cs="Times New Roman"/>
                <w:sz w:val="24"/>
                <w:szCs w:val="24"/>
              </w:rPr>
            </w:pPr>
            <w:r w:rsidRPr="00F20F99">
              <w:rPr>
                <w:rFonts w:ascii="Times New Roman" w:hAnsi="Times New Roman" w:cs="Times New Roman"/>
                <w:sz w:val="24"/>
                <w:szCs w:val="24"/>
              </w:rPr>
              <w:t>LC2.- Los líderes inspiran a otros con una visión clara del futuro, motivando a alcanzar metas ambiciosas.</w:t>
            </w:r>
          </w:p>
        </w:tc>
      </w:tr>
      <w:tr w:rsidR="00181CB4" w:rsidRPr="00F20F99" w14:paraId="782BA0E4" w14:textId="77777777" w:rsidTr="00F20F99">
        <w:tc>
          <w:tcPr>
            <w:tcW w:w="1134" w:type="dxa"/>
            <w:vMerge/>
          </w:tcPr>
          <w:p w14:paraId="0D2DA1C4" w14:textId="77777777" w:rsidR="003D1A98" w:rsidRPr="00F20F99" w:rsidRDefault="003D1A98" w:rsidP="008E79D6">
            <w:pPr>
              <w:jc w:val="both"/>
              <w:rPr>
                <w:rFonts w:ascii="Times New Roman" w:hAnsi="Times New Roman" w:cs="Times New Roman"/>
                <w:sz w:val="24"/>
                <w:szCs w:val="24"/>
              </w:rPr>
            </w:pPr>
          </w:p>
        </w:tc>
        <w:tc>
          <w:tcPr>
            <w:tcW w:w="1843" w:type="dxa"/>
            <w:vMerge/>
          </w:tcPr>
          <w:p w14:paraId="2AA3923A" w14:textId="77777777" w:rsidR="003D1A98" w:rsidRPr="00F20F99" w:rsidRDefault="003D1A98" w:rsidP="008E79D6">
            <w:pPr>
              <w:jc w:val="both"/>
              <w:rPr>
                <w:rFonts w:ascii="Times New Roman" w:hAnsi="Times New Roman" w:cs="Times New Roman"/>
                <w:sz w:val="24"/>
                <w:szCs w:val="24"/>
              </w:rPr>
            </w:pPr>
          </w:p>
        </w:tc>
        <w:tc>
          <w:tcPr>
            <w:tcW w:w="2405" w:type="dxa"/>
            <w:vMerge/>
          </w:tcPr>
          <w:p w14:paraId="602D937C" w14:textId="77777777" w:rsidR="003D1A98" w:rsidRPr="00F20F99" w:rsidRDefault="003D1A98" w:rsidP="008E79D6">
            <w:pPr>
              <w:jc w:val="both"/>
              <w:rPr>
                <w:rFonts w:ascii="Times New Roman" w:hAnsi="Times New Roman" w:cs="Times New Roman"/>
                <w:sz w:val="24"/>
                <w:szCs w:val="24"/>
              </w:rPr>
            </w:pPr>
          </w:p>
        </w:tc>
        <w:tc>
          <w:tcPr>
            <w:tcW w:w="4012" w:type="dxa"/>
          </w:tcPr>
          <w:p w14:paraId="4F7FE2C6" w14:textId="58D1C6B9" w:rsidR="003D1A98" w:rsidRPr="00F20F99" w:rsidRDefault="00C406B8" w:rsidP="00C406B8">
            <w:pPr>
              <w:jc w:val="both"/>
              <w:rPr>
                <w:rFonts w:ascii="Times New Roman" w:hAnsi="Times New Roman" w:cs="Times New Roman"/>
                <w:sz w:val="24"/>
                <w:szCs w:val="24"/>
              </w:rPr>
            </w:pPr>
            <w:r w:rsidRPr="00F20F99">
              <w:rPr>
                <w:rFonts w:ascii="Times New Roman" w:hAnsi="Times New Roman" w:cs="Times New Roman"/>
                <w:sz w:val="24"/>
                <w:szCs w:val="24"/>
              </w:rPr>
              <w:t>LC3.- Los líderes demuestran habilidades efectivas para motivar al equipo, guiándolo con claridad.</w:t>
            </w:r>
          </w:p>
        </w:tc>
      </w:tr>
      <w:tr w:rsidR="00181CB4" w:rsidRPr="00F20F99" w14:paraId="0543C630" w14:textId="77777777" w:rsidTr="00F20F99">
        <w:tc>
          <w:tcPr>
            <w:tcW w:w="1134" w:type="dxa"/>
            <w:vMerge/>
          </w:tcPr>
          <w:p w14:paraId="3CC8384D" w14:textId="77777777" w:rsidR="003D1A98" w:rsidRPr="00F20F99" w:rsidRDefault="003D1A98" w:rsidP="008E79D6">
            <w:pPr>
              <w:jc w:val="both"/>
              <w:rPr>
                <w:rFonts w:ascii="Times New Roman" w:hAnsi="Times New Roman" w:cs="Times New Roman"/>
                <w:sz w:val="24"/>
                <w:szCs w:val="24"/>
              </w:rPr>
            </w:pPr>
          </w:p>
        </w:tc>
        <w:tc>
          <w:tcPr>
            <w:tcW w:w="1843" w:type="dxa"/>
            <w:vMerge/>
          </w:tcPr>
          <w:p w14:paraId="6824A3FB" w14:textId="77777777" w:rsidR="003D1A98" w:rsidRPr="00F20F99" w:rsidRDefault="003D1A98" w:rsidP="008E79D6">
            <w:pPr>
              <w:jc w:val="both"/>
              <w:rPr>
                <w:rFonts w:ascii="Times New Roman" w:hAnsi="Times New Roman" w:cs="Times New Roman"/>
                <w:sz w:val="24"/>
                <w:szCs w:val="24"/>
              </w:rPr>
            </w:pPr>
          </w:p>
        </w:tc>
        <w:tc>
          <w:tcPr>
            <w:tcW w:w="2405" w:type="dxa"/>
            <w:vMerge/>
          </w:tcPr>
          <w:p w14:paraId="60B3D55C" w14:textId="77777777" w:rsidR="003D1A98" w:rsidRPr="00F20F99" w:rsidRDefault="003D1A98" w:rsidP="008E79D6">
            <w:pPr>
              <w:jc w:val="both"/>
              <w:rPr>
                <w:rFonts w:ascii="Times New Roman" w:hAnsi="Times New Roman" w:cs="Times New Roman"/>
                <w:sz w:val="24"/>
                <w:szCs w:val="24"/>
              </w:rPr>
            </w:pPr>
          </w:p>
        </w:tc>
        <w:tc>
          <w:tcPr>
            <w:tcW w:w="4012" w:type="dxa"/>
          </w:tcPr>
          <w:p w14:paraId="6E0D09F4" w14:textId="154457F9" w:rsidR="003D1A98" w:rsidRPr="00F20F99" w:rsidRDefault="00C406B8" w:rsidP="00C406B8">
            <w:pPr>
              <w:jc w:val="both"/>
              <w:rPr>
                <w:rFonts w:ascii="Times New Roman" w:hAnsi="Times New Roman" w:cs="Times New Roman"/>
                <w:sz w:val="24"/>
                <w:szCs w:val="24"/>
              </w:rPr>
            </w:pPr>
            <w:r w:rsidRPr="00F20F99">
              <w:rPr>
                <w:rFonts w:ascii="Times New Roman" w:hAnsi="Times New Roman" w:cs="Times New Roman"/>
                <w:sz w:val="24"/>
                <w:szCs w:val="24"/>
              </w:rPr>
              <w:t>LC4.- Los líderes muestran empatía hacia las necesidades de los empleados, promoviendo un ambiente de trabajo colaborativo.</w:t>
            </w:r>
          </w:p>
        </w:tc>
      </w:tr>
      <w:tr w:rsidR="00181CB4" w:rsidRPr="00F20F99" w14:paraId="30C89D44" w14:textId="77777777" w:rsidTr="00F20F99">
        <w:tc>
          <w:tcPr>
            <w:tcW w:w="1134" w:type="dxa"/>
            <w:vMerge/>
          </w:tcPr>
          <w:p w14:paraId="1416CC53" w14:textId="77777777" w:rsidR="003D1A98" w:rsidRPr="00F20F99" w:rsidRDefault="003D1A98" w:rsidP="008E79D6">
            <w:pPr>
              <w:jc w:val="both"/>
              <w:rPr>
                <w:rFonts w:ascii="Times New Roman" w:hAnsi="Times New Roman" w:cs="Times New Roman"/>
                <w:sz w:val="24"/>
                <w:szCs w:val="24"/>
              </w:rPr>
            </w:pPr>
          </w:p>
        </w:tc>
        <w:tc>
          <w:tcPr>
            <w:tcW w:w="1843" w:type="dxa"/>
            <w:vMerge/>
          </w:tcPr>
          <w:p w14:paraId="49A9380F" w14:textId="77777777" w:rsidR="003D1A98" w:rsidRPr="00F20F99" w:rsidRDefault="003D1A98" w:rsidP="008E79D6">
            <w:pPr>
              <w:jc w:val="both"/>
              <w:rPr>
                <w:rFonts w:ascii="Times New Roman" w:hAnsi="Times New Roman" w:cs="Times New Roman"/>
                <w:sz w:val="24"/>
                <w:szCs w:val="24"/>
              </w:rPr>
            </w:pPr>
          </w:p>
        </w:tc>
        <w:tc>
          <w:tcPr>
            <w:tcW w:w="2405" w:type="dxa"/>
            <w:vMerge/>
          </w:tcPr>
          <w:p w14:paraId="7BD88238" w14:textId="77777777" w:rsidR="003D1A98" w:rsidRPr="00F20F99" w:rsidRDefault="003D1A98" w:rsidP="008E79D6">
            <w:pPr>
              <w:jc w:val="both"/>
              <w:rPr>
                <w:rFonts w:ascii="Times New Roman" w:hAnsi="Times New Roman" w:cs="Times New Roman"/>
                <w:sz w:val="24"/>
                <w:szCs w:val="24"/>
              </w:rPr>
            </w:pPr>
          </w:p>
        </w:tc>
        <w:tc>
          <w:tcPr>
            <w:tcW w:w="4012" w:type="dxa"/>
          </w:tcPr>
          <w:p w14:paraId="3C089854" w14:textId="559E67FB" w:rsidR="003D1A98" w:rsidRPr="00F20F99" w:rsidRDefault="00C406B8" w:rsidP="00C406B8">
            <w:pPr>
              <w:jc w:val="both"/>
              <w:rPr>
                <w:rFonts w:ascii="Times New Roman" w:hAnsi="Times New Roman" w:cs="Times New Roman"/>
                <w:sz w:val="24"/>
                <w:szCs w:val="24"/>
              </w:rPr>
            </w:pPr>
            <w:r w:rsidRPr="00F20F99">
              <w:rPr>
                <w:rFonts w:ascii="Times New Roman" w:hAnsi="Times New Roman" w:cs="Times New Roman"/>
                <w:sz w:val="24"/>
                <w:szCs w:val="24"/>
              </w:rPr>
              <w:t>LC5.- Los líderes aseguran que los objetivos personales del empleado respalden las metas organizacionales.</w:t>
            </w:r>
          </w:p>
        </w:tc>
      </w:tr>
    </w:tbl>
    <w:p w14:paraId="329334DF" w14:textId="7C7E183D" w:rsidR="007C382D" w:rsidRPr="00D45D63" w:rsidRDefault="002A7B81" w:rsidP="00F20F99">
      <w:pPr>
        <w:spacing w:after="0" w:line="360" w:lineRule="auto"/>
        <w:jc w:val="center"/>
        <w:rPr>
          <w:rFonts w:ascii="Times New Roman" w:hAnsi="Times New Roman" w:cs="Times New Roman"/>
          <w:sz w:val="24"/>
          <w:szCs w:val="24"/>
        </w:rPr>
      </w:pPr>
      <w:r w:rsidRPr="00D45D63">
        <w:rPr>
          <w:rFonts w:ascii="Times New Roman" w:hAnsi="Times New Roman" w:cs="Times New Roman"/>
          <w:sz w:val="24"/>
          <w:szCs w:val="24"/>
        </w:rPr>
        <w:t>Fuente: Elaboración propia</w:t>
      </w:r>
    </w:p>
    <w:p w14:paraId="0C74DA1E" w14:textId="77777777" w:rsidR="002A7B81" w:rsidRPr="00D45D63" w:rsidRDefault="002A7B81" w:rsidP="00F20F99">
      <w:pPr>
        <w:spacing w:after="0"/>
        <w:jc w:val="center"/>
        <w:rPr>
          <w:rFonts w:ascii="Times New Roman" w:hAnsi="Times New Roman" w:cs="Times New Roman"/>
          <w:sz w:val="24"/>
          <w:szCs w:val="24"/>
        </w:rPr>
      </w:pPr>
    </w:p>
    <w:p w14:paraId="54602B9F" w14:textId="69FB8663" w:rsidR="007C382D" w:rsidRPr="00D45D63" w:rsidRDefault="007C382D" w:rsidP="00F20F99">
      <w:pPr>
        <w:spacing w:after="0" w:line="360" w:lineRule="auto"/>
        <w:jc w:val="center"/>
        <w:rPr>
          <w:rFonts w:ascii="Times New Roman" w:hAnsi="Times New Roman" w:cs="Times New Roman"/>
          <w:b/>
          <w:bCs/>
          <w:sz w:val="24"/>
          <w:szCs w:val="24"/>
        </w:rPr>
      </w:pPr>
      <w:r w:rsidRPr="00D45D63">
        <w:rPr>
          <w:rFonts w:ascii="Times New Roman" w:hAnsi="Times New Roman" w:cs="Times New Roman"/>
          <w:b/>
          <w:bCs/>
          <w:sz w:val="24"/>
          <w:szCs w:val="24"/>
        </w:rPr>
        <w:t>Agilidad Organizacional</w:t>
      </w:r>
    </w:p>
    <w:p w14:paraId="7B3F60DE" w14:textId="3F17F172" w:rsidR="00227918" w:rsidRPr="00D45D63"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Tanto la flexibilidad como la agilidad organizacional se han convertido en términos fundamentales</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en la literatura sobre gestión y operaciones de negocios. Gómez-Duque </w:t>
      </w:r>
      <w:r w:rsidR="005939C7">
        <w:rPr>
          <w:rFonts w:ascii="Times New Roman" w:hAnsi="Times New Roman" w:cs="Times New Roman"/>
          <w:sz w:val="24"/>
          <w:szCs w:val="24"/>
        </w:rPr>
        <w:t>et ál</w:t>
      </w:r>
      <w:r w:rsidRPr="00D45D63">
        <w:rPr>
          <w:rFonts w:ascii="Times New Roman" w:hAnsi="Times New Roman" w:cs="Times New Roman"/>
          <w:sz w:val="24"/>
          <w:szCs w:val="24"/>
        </w:rPr>
        <w:t>. (2023) proponen que la</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flexibilidad es la capacidad de una organización para adaptarse a cambios y desafíos con una cierta</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previsión, esta capacidad de adaptación es crucial para mantener una ventaja competitiva en un mercado</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dinámico. </w:t>
      </w:r>
      <w:proofErr w:type="spellStart"/>
      <w:r w:rsidRPr="00D45D63">
        <w:rPr>
          <w:rFonts w:ascii="Times New Roman" w:hAnsi="Times New Roman" w:cs="Times New Roman"/>
          <w:sz w:val="24"/>
          <w:szCs w:val="24"/>
        </w:rPr>
        <w:t>Akpan</w:t>
      </w:r>
      <w:proofErr w:type="spellEnd"/>
      <w:r w:rsidRPr="00D45D63">
        <w:rPr>
          <w:rFonts w:ascii="Times New Roman" w:hAnsi="Times New Roman" w:cs="Times New Roman"/>
          <w:sz w:val="24"/>
          <w:szCs w:val="24"/>
        </w:rPr>
        <w:t xml:space="preserve"> y </w:t>
      </w:r>
      <w:proofErr w:type="spellStart"/>
      <w:r w:rsidRPr="00D45D63">
        <w:rPr>
          <w:rFonts w:ascii="Times New Roman" w:hAnsi="Times New Roman" w:cs="Times New Roman"/>
          <w:sz w:val="24"/>
          <w:szCs w:val="24"/>
        </w:rPr>
        <w:t>Adim</w:t>
      </w:r>
      <w:proofErr w:type="spellEnd"/>
      <w:r w:rsidRPr="00D45D63">
        <w:rPr>
          <w:rFonts w:ascii="Times New Roman" w:hAnsi="Times New Roman" w:cs="Times New Roman"/>
          <w:sz w:val="24"/>
          <w:szCs w:val="24"/>
        </w:rPr>
        <w:t xml:space="preserve"> (2023) proponen que la flexibilidad estratégica, fortalece a las pequeñas y</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medianas empresas para adaptarse </w:t>
      </w:r>
      <w:r w:rsidRPr="00D45D63">
        <w:rPr>
          <w:rFonts w:ascii="Times New Roman" w:hAnsi="Times New Roman" w:cs="Times New Roman"/>
          <w:sz w:val="24"/>
          <w:szCs w:val="24"/>
        </w:rPr>
        <w:lastRenderedPageBreak/>
        <w:t>a cambiantes condiciones del mercado, necesidades de los clientes, y</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avances tecnológicos. </w:t>
      </w:r>
      <w:proofErr w:type="spellStart"/>
      <w:r w:rsidR="0021319D" w:rsidRPr="00D45D63">
        <w:rPr>
          <w:rFonts w:ascii="Times New Roman" w:hAnsi="Times New Roman" w:cs="Times New Roman"/>
          <w:sz w:val="24"/>
          <w:szCs w:val="24"/>
        </w:rPr>
        <w:t>Koçyiğit</w:t>
      </w:r>
      <w:proofErr w:type="spellEnd"/>
      <w:r w:rsidRPr="00D45D63">
        <w:rPr>
          <w:rFonts w:ascii="Times New Roman" w:hAnsi="Times New Roman" w:cs="Times New Roman"/>
          <w:sz w:val="24"/>
          <w:szCs w:val="24"/>
        </w:rPr>
        <w:t xml:space="preserve"> y </w:t>
      </w:r>
      <w:proofErr w:type="spellStart"/>
      <w:r w:rsidRPr="00D45D63">
        <w:rPr>
          <w:rFonts w:ascii="Times New Roman" w:hAnsi="Times New Roman" w:cs="Times New Roman"/>
          <w:sz w:val="24"/>
          <w:szCs w:val="24"/>
        </w:rPr>
        <w:t>Akkaya</w:t>
      </w:r>
      <w:proofErr w:type="spellEnd"/>
      <w:r w:rsidRPr="00D45D63">
        <w:rPr>
          <w:rFonts w:ascii="Times New Roman" w:hAnsi="Times New Roman" w:cs="Times New Roman"/>
          <w:sz w:val="24"/>
          <w:szCs w:val="24"/>
        </w:rPr>
        <w:t xml:space="preserve"> (2020) subrayan cómo una </w:t>
      </w:r>
      <w:r w:rsidR="00227918" w:rsidRPr="00D45D63">
        <w:rPr>
          <w:rFonts w:ascii="Times New Roman" w:hAnsi="Times New Roman" w:cs="Times New Roman"/>
          <w:sz w:val="24"/>
          <w:szCs w:val="24"/>
        </w:rPr>
        <w:t>estructura organizacional</w:t>
      </w:r>
      <w:r w:rsidRPr="00D45D63">
        <w:rPr>
          <w:rFonts w:ascii="Times New Roman" w:hAnsi="Times New Roman" w:cs="Times New Roman"/>
          <w:sz w:val="24"/>
          <w:szCs w:val="24"/>
        </w:rPr>
        <w:t xml:space="preserve"> flexible</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puede facilitar una mayor agilidad, permitiendo adaptaciones rápidas a los cambios del mercado y tecnológicos.</w:t>
      </w:r>
    </w:p>
    <w:p w14:paraId="0661DFD9" w14:textId="6678B07F" w:rsidR="00227918" w:rsidRPr="00D45D63"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 xml:space="preserve">Por otro lado, la agilidad, como destacan </w:t>
      </w:r>
      <w:proofErr w:type="spellStart"/>
      <w:r w:rsidRPr="00D45D63">
        <w:rPr>
          <w:rFonts w:ascii="Times New Roman" w:hAnsi="Times New Roman" w:cs="Times New Roman"/>
          <w:sz w:val="24"/>
          <w:szCs w:val="24"/>
        </w:rPr>
        <w:t>Nogalski</w:t>
      </w:r>
      <w:proofErr w:type="spellEnd"/>
      <w:r w:rsidRPr="00D45D63">
        <w:rPr>
          <w:rFonts w:ascii="Times New Roman" w:hAnsi="Times New Roman" w:cs="Times New Roman"/>
          <w:sz w:val="24"/>
          <w:szCs w:val="24"/>
        </w:rPr>
        <w:t xml:space="preserve"> </w:t>
      </w:r>
      <w:r w:rsidR="005939C7">
        <w:rPr>
          <w:rFonts w:ascii="Times New Roman" w:hAnsi="Times New Roman" w:cs="Times New Roman"/>
          <w:sz w:val="24"/>
          <w:szCs w:val="24"/>
        </w:rPr>
        <w:t>et ál</w:t>
      </w:r>
      <w:r w:rsidRPr="00D45D63">
        <w:rPr>
          <w:rFonts w:ascii="Times New Roman" w:hAnsi="Times New Roman" w:cs="Times New Roman"/>
          <w:sz w:val="24"/>
          <w:szCs w:val="24"/>
        </w:rPr>
        <w:t>. (2020), implica una respuesta rápida y efectiva</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ante oportunidades y riesgos imprevistos, destacando la importancia de anticiparse y liderar el cambio más</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que simplemente adaptarse a él. </w:t>
      </w:r>
      <w:proofErr w:type="spellStart"/>
      <w:r w:rsidRPr="00D45D63">
        <w:rPr>
          <w:rFonts w:ascii="Times New Roman" w:hAnsi="Times New Roman" w:cs="Times New Roman"/>
          <w:sz w:val="24"/>
          <w:szCs w:val="24"/>
        </w:rPr>
        <w:t>Abourokbah</w:t>
      </w:r>
      <w:proofErr w:type="spellEnd"/>
      <w:r w:rsidRPr="00D45D63">
        <w:rPr>
          <w:rFonts w:ascii="Times New Roman" w:hAnsi="Times New Roman" w:cs="Times New Roman"/>
          <w:sz w:val="24"/>
          <w:szCs w:val="24"/>
        </w:rPr>
        <w:t xml:space="preserve"> </w:t>
      </w:r>
      <w:r w:rsidR="005939C7">
        <w:rPr>
          <w:rFonts w:ascii="Times New Roman" w:hAnsi="Times New Roman" w:cs="Times New Roman"/>
          <w:sz w:val="24"/>
          <w:szCs w:val="24"/>
        </w:rPr>
        <w:t>et ál</w:t>
      </w:r>
      <w:r w:rsidRPr="00D45D63">
        <w:rPr>
          <w:rFonts w:ascii="Times New Roman" w:hAnsi="Times New Roman" w:cs="Times New Roman"/>
          <w:sz w:val="24"/>
          <w:szCs w:val="24"/>
        </w:rPr>
        <w:t>. (2023) refuerzan la idea de que la agilidad y la resiliencia</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en la cadena de suministro, potenciadas por capacidades digitales robustas, son esenciales para el rendimiento</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innovador, especialmente en contextos de intensa digitalización.</w:t>
      </w:r>
      <w:r w:rsidR="00227918" w:rsidRPr="00D45D63">
        <w:rPr>
          <w:rFonts w:ascii="Times New Roman" w:hAnsi="Times New Roman" w:cs="Times New Roman"/>
          <w:sz w:val="24"/>
          <w:szCs w:val="24"/>
        </w:rPr>
        <w:t xml:space="preserve"> </w:t>
      </w:r>
    </w:p>
    <w:p w14:paraId="6560B5A8" w14:textId="6EAC63AC" w:rsidR="00227918" w:rsidRPr="00D45D63"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Esta combinación de comportamientos empresariales corporativos y una cultura de innovación y toma</w:t>
      </w:r>
      <w:r w:rsidR="00227918" w:rsidRPr="00D45D63">
        <w:rPr>
          <w:rFonts w:ascii="Times New Roman" w:hAnsi="Times New Roman" w:cs="Times New Roman"/>
          <w:sz w:val="24"/>
          <w:szCs w:val="24"/>
        </w:rPr>
        <w:t xml:space="preserve"> d</w:t>
      </w:r>
      <w:r w:rsidRPr="00D45D63">
        <w:rPr>
          <w:rFonts w:ascii="Times New Roman" w:hAnsi="Times New Roman" w:cs="Times New Roman"/>
          <w:sz w:val="24"/>
          <w:szCs w:val="24"/>
        </w:rPr>
        <w:t>e riesgos permite explorar nuevas oportunidades de negocio y desarrollar recursos y capacidades únicas,</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contribuyendo significativamente al éxito sostenido a largo plazo de las organizaciones. Estas perspectivas</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colectivas sugieren que, aunque la flexibilidad y la agilidad comparten un propósito común de adaptación,</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divergen en su enfoque y aplicación. </w:t>
      </w:r>
    </w:p>
    <w:p w14:paraId="0110B00C" w14:textId="1EE20A25" w:rsidR="00227918" w:rsidRPr="00D45D63"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La flexibilidad se asocia más con una capacidad pasiva de ajuste, mientras</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que la agilidad implica una capacidad proactiva y dinámica que facilita no solo la adaptación sino también</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la anticipación y el liderazgo en el cambio. En este sentido, la agilidad organizacional se presenta como un</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imperativo estratégico para la madurez del modelo de negocio, asegurando la competitividad y la sostenibilidad</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de la empresa en el futuro. La Tabla 3 muestra la descripción conceptual, la descripción oper</w:t>
      </w:r>
      <w:r w:rsidR="00295E0C">
        <w:rPr>
          <w:rFonts w:ascii="Times New Roman" w:hAnsi="Times New Roman" w:cs="Times New Roman"/>
          <w:sz w:val="24"/>
          <w:szCs w:val="24"/>
        </w:rPr>
        <w:t>ativa</w:t>
      </w:r>
      <w:r w:rsidRPr="00D45D63">
        <w:rPr>
          <w:rFonts w:ascii="Times New Roman" w:hAnsi="Times New Roman" w:cs="Times New Roman"/>
          <w:sz w:val="24"/>
          <w:szCs w:val="24"/>
        </w:rPr>
        <w:t xml:space="preserve"> y los</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ítems propuestos para el constructo Agilidad Organizacional (AO).</w:t>
      </w:r>
      <w:r w:rsidR="00227918" w:rsidRPr="00D45D63">
        <w:rPr>
          <w:rFonts w:ascii="Times New Roman" w:hAnsi="Times New Roman" w:cs="Times New Roman"/>
          <w:sz w:val="24"/>
          <w:szCs w:val="24"/>
        </w:rPr>
        <w:t xml:space="preserve"> </w:t>
      </w:r>
    </w:p>
    <w:p w14:paraId="0F214D3D" w14:textId="3A614CE6" w:rsidR="00227918" w:rsidRDefault="00227918" w:rsidP="00227918">
      <w:pPr>
        <w:spacing w:after="0" w:line="360" w:lineRule="auto"/>
        <w:jc w:val="both"/>
        <w:rPr>
          <w:rFonts w:ascii="Times New Roman" w:hAnsi="Times New Roman" w:cs="Times New Roman"/>
          <w:sz w:val="24"/>
          <w:szCs w:val="24"/>
        </w:rPr>
      </w:pPr>
    </w:p>
    <w:p w14:paraId="2EEE0B31" w14:textId="77777777" w:rsidR="00FE4589" w:rsidRDefault="00FE4589" w:rsidP="00227918">
      <w:pPr>
        <w:spacing w:after="0" w:line="360" w:lineRule="auto"/>
        <w:jc w:val="both"/>
        <w:rPr>
          <w:rFonts w:ascii="Times New Roman" w:hAnsi="Times New Roman" w:cs="Times New Roman"/>
          <w:sz w:val="24"/>
          <w:szCs w:val="24"/>
        </w:rPr>
      </w:pPr>
    </w:p>
    <w:p w14:paraId="3AB8CCEB" w14:textId="77777777" w:rsidR="00FE4589" w:rsidRDefault="00FE4589" w:rsidP="00227918">
      <w:pPr>
        <w:spacing w:after="0" w:line="360" w:lineRule="auto"/>
        <w:jc w:val="both"/>
        <w:rPr>
          <w:rFonts w:ascii="Times New Roman" w:hAnsi="Times New Roman" w:cs="Times New Roman"/>
          <w:sz w:val="24"/>
          <w:szCs w:val="24"/>
        </w:rPr>
      </w:pPr>
    </w:p>
    <w:p w14:paraId="59BFD991" w14:textId="77777777" w:rsidR="00FE4589" w:rsidRDefault="00FE4589" w:rsidP="00227918">
      <w:pPr>
        <w:spacing w:after="0" w:line="360" w:lineRule="auto"/>
        <w:jc w:val="both"/>
        <w:rPr>
          <w:rFonts w:ascii="Times New Roman" w:hAnsi="Times New Roman" w:cs="Times New Roman"/>
          <w:sz w:val="24"/>
          <w:szCs w:val="24"/>
        </w:rPr>
      </w:pPr>
    </w:p>
    <w:p w14:paraId="1C5BE929" w14:textId="77777777" w:rsidR="00FE4589" w:rsidRDefault="00FE4589" w:rsidP="00227918">
      <w:pPr>
        <w:spacing w:after="0" w:line="360" w:lineRule="auto"/>
        <w:jc w:val="both"/>
        <w:rPr>
          <w:rFonts w:ascii="Times New Roman" w:hAnsi="Times New Roman" w:cs="Times New Roman"/>
          <w:sz w:val="24"/>
          <w:szCs w:val="24"/>
        </w:rPr>
      </w:pPr>
    </w:p>
    <w:p w14:paraId="34186CD7" w14:textId="77777777" w:rsidR="00FE4589" w:rsidRDefault="00FE4589" w:rsidP="00227918">
      <w:pPr>
        <w:spacing w:after="0" w:line="360" w:lineRule="auto"/>
        <w:jc w:val="both"/>
        <w:rPr>
          <w:rFonts w:ascii="Times New Roman" w:hAnsi="Times New Roman" w:cs="Times New Roman"/>
          <w:sz w:val="24"/>
          <w:szCs w:val="24"/>
        </w:rPr>
      </w:pPr>
    </w:p>
    <w:p w14:paraId="2A83F6AE" w14:textId="77777777" w:rsidR="00FE4589" w:rsidRDefault="00FE4589" w:rsidP="00227918">
      <w:pPr>
        <w:spacing w:after="0" w:line="360" w:lineRule="auto"/>
        <w:jc w:val="both"/>
        <w:rPr>
          <w:rFonts w:ascii="Times New Roman" w:hAnsi="Times New Roman" w:cs="Times New Roman"/>
          <w:sz w:val="24"/>
          <w:szCs w:val="24"/>
        </w:rPr>
      </w:pPr>
    </w:p>
    <w:p w14:paraId="1384B279" w14:textId="77777777" w:rsidR="00FE4589" w:rsidRDefault="00FE4589" w:rsidP="00227918">
      <w:pPr>
        <w:spacing w:after="0" w:line="360" w:lineRule="auto"/>
        <w:jc w:val="both"/>
        <w:rPr>
          <w:rFonts w:ascii="Times New Roman" w:hAnsi="Times New Roman" w:cs="Times New Roman"/>
          <w:sz w:val="24"/>
          <w:szCs w:val="24"/>
        </w:rPr>
      </w:pPr>
    </w:p>
    <w:p w14:paraId="220CD10D" w14:textId="77777777" w:rsidR="00FE4589" w:rsidRDefault="00FE4589" w:rsidP="00227918">
      <w:pPr>
        <w:spacing w:after="0" w:line="360" w:lineRule="auto"/>
        <w:jc w:val="both"/>
        <w:rPr>
          <w:rFonts w:ascii="Times New Roman" w:hAnsi="Times New Roman" w:cs="Times New Roman"/>
          <w:sz w:val="24"/>
          <w:szCs w:val="24"/>
        </w:rPr>
      </w:pPr>
    </w:p>
    <w:p w14:paraId="3DACDA19" w14:textId="77777777" w:rsidR="00FE4589" w:rsidRPr="00D45D63" w:rsidRDefault="00FE4589" w:rsidP="00227918">
      <w:pPr>
        <w:spacing w:after="0" w:line="360" w:lineRule="auto"/>
        <w:jc w:val="both"/>
        <w:rPr>
          <w:rFonts w:ascii="Times New Roman" w:hAnsi="Times New Roman" w:cs="Times New Roman"/>
          <w:sz w:val="24"/>
          <w:szCs w:val="24"/>
        </w:rPr>
      </w:pPr>
    </w:p>
    <w:p w14:paraId="6EA48D48" w14:textId="130C7877" w:rsidR="007C382D" w:rsidRPr="00D45D63" w:rsidRDefault="007C382D" w:rsidP="00F20F99">
      <w:pPr>
        <w:spacing w:after="0" w:line="360" w:lineRule="auto"/>
        <w:jc w:val="center"/>
        <w:rPr>
          <w:rFonts w:ascii="Times New Roman" w:hAnsi="Times New Roman" w:cs="Times New Roman"/>
          <w:sz w:val="24"/>
          <w:szCs w:val="24"/>
        </w:rPr>
      </w:pPr>
      <w:r w:rsidRPr="00F20F99">
        <w:rPr>
          <w:rFonts w:ascii="Times New Roman" w:hAnsi="Times New Roman" w:cs="Times New Roman"/>
          <w:b/>
          <w:bCs/>
          <w:sz w:val="24"/>
          <w:szCs w:val="24"/>
        </w:rPr>
        <w:lastRenderedPageBreak/>
        <w:t>Tabla 3</w:t>
      </w:r>
      <w:r w:rsidR="00FE4589">
        <w:rPr>
          <w:rFonts w:ascii="Times New Roman" w:hAnsi="Times New Roman" w:cs="Times New Roman"/>
          <w:b/>
          <w:bCs/>
          <w:sz w:val="24"/>
          <w:szCs w:val="24"/>
        </w:rPr>
        <w:t>.</w:t>
      </w:r>
      <w:r w:rsidRPr="00D45D63">
        <w:rPr>
          <w:rFonts w:ascii="Times New Roman" w:hAnsi="Times New Roman" w:cs="Times New Roman"/>
          <w:sz w:val="24"/>
          <w:szCs w:val="24"/>
        </w:rPr>
        <w:t xml:space="preserve"> Operacionalización del Constructo Agilidad Organizacional (AO)</w:t>
      </w:r>
    </w:p>
    <w:tbl>
      <w:tblPr>
        <w:tblStyle w:val="Tablaconcuadrcula"/>
        <w:tblW w:w="0" w:type="auto"/>
        <w:tblCellMar>
          <w:left w:w="57" w:type="dxa"/>
          <w:right w:w="57" w:type="dxa"/>
        </w:tblCellMar>
        <w:tblLook w:val="04A0" w:firstRow="1" w:lastRow="0" w:firstColumn="1" w:lastColumn="0" w:noHBand="0" w:noVBand="1"/>
      </w:tblPr>
      <w:tblGrid>
        <w:gridCol w:w="1580"/>
        <w:gridCol w:w="1713"/>
        <w:gridCol w:w="2112"/>
        <w:gridCol w:w="3423"/>
      </w:tblGrid>
      <w:tr w:rsidR="00181CB4" w:rsidRPr="00F20F99" w14:paraId="7168CCFE" w14:textId="77777777" w:rsidTr="00F20F99">
        <w:tc>
          <w:tcPr>
            <w:tcW w:w="1276" w:type="dxa"/>
            <w:vAlign w:val="center"/>
          </w:tcPr>
          <w:p w14:paraId="7E3692F7" w14:textId="77777777" w:rsidR="00227918" w:rsidRPr="00F20F99" w:rsidRDefault="00227918" w:rsidP="008E79D6">
            <w:pPr>
              <w:rPr>
                <w:rFonts w:ascii="Times New Roman" w:hAnsi="Times New Roman" w:cs="Times New Roman"/>
                <w:sz w:val="24"/>
                <w:szCs w:val="24"/>
              </w:rPr>
            </w:pPr>
            <w:r w:rsidRPr="00F20F99">
              <w:rPr>
                <w:rFonts w:ascii="Times New Roman" w:hAnsi="Times New Roman" w:cs="Times New Roman"/>
                <w:sz w:val="24"/>
                <w:szCs w:val="24"/>
              </w:rPr>
              <w:t>Constructo</w:t>
            </w:r>
          </w:p>
        </w:tc>
        <w:tc>
          <w:tcPr>
            <w:tcW w:w="1838" w:type="dxa"/>
            <w:vAlign w:val="center"/>
          </w:tcPr>
          <w:p w14:paraId="0EB0FC2E" w14:textId="77777777" w:rsidR="00227918" w:rsidRPr="00F20F99" w:rsidRDefault="00227918" w:rsidP="008E79D6">
            <w:pPr>
              <w:rPr>
                <w:rFonts w:ascii="Times New Roman" w:hAnsi="Times New Roman" w:cs="Times New Roman"/>
                <w:sz w:val="24"/>
                <w:szCs w:val="24"/>
              </w:rPr>
            </w:pPr>
            <w:r w:rsidRPr="00F20F99">
              <w:rPr>
                <w:rFonts w:ascii="Times New Roman" w:hAnsi="Times New Roman" w:cs="Times New Roman"/>
                <w:sz w:val="24"/>
                <w:szCs w:val="24"/>
              </w:rPr>
              <w:t>Descripción Conceptual</w:t>
            </w:r>
          </w:p>
        </w:tc>
        <w:tc>
          <w:tcPr>
            <w:tcW w:w="2268" w:type="dxa"/>
            <w:vAlign w:val="center"/>
          </w:tcPr>
          <w:p w14:paraId="36C71A4C" w14:textId="77777777" w:rsidR="00227918" w:rsidRPr="00F20F99" w:rsidRDefault="00227918" w:rsidP="008E79D6">
            <w:pPr>
              <w:rPr>
                <w:rFonts w:ascii="Times New Roman" w:hAnsi="Times New Roman" w:cs="Times New Roman"/>
                <w:sz w:val="24"/>
                <w:szCs w:val="24"/>
              </w:rPr>
            </w:pPr>
            <w:r w:rsidRPr="00F20F99">
              <w:rPr>
                <w:rFonts w:ascii="Times New Roman" w:hAnsi="Times New Roman" w:cs="Times New Roman"/>
                <w:sz w:val="24"/>
                <w:szCs w:val="24"/>
              </w:rPr>
              <w:t>Descripción Operativa</w:t>
            </w:r>
          </w:p>
        </w:tc>
        <w:tc>
          <w:tcPr>
            <w:tcW w:w="4012" w:type="dxa"/>
            <w:vAlign w:val="center"/>
          </w:tcPr>
          <w:p w14:paraId="0F48A82F" w14:textId="77777777" w:rsidR="00227918" w:rsidRPr="00F20F99" w:rsidRDefault="00227918" w:rsidP="008E79D6">
            <w:pPr>
              <w:rPr>
                <w:rFonts w:ascii="Times New Roman" w:hAnsi="Times New Roman" w:cs="Times New Roman"/>
                <w:sz w:val="24"/>
                <w:szCs w:val="24"/>
              </w:rPr>
            </w:pPr>
            <w:r w:rsidRPr="00F20F99">
              <w:rPr>
                <w:rFonts w:ascii="Times New Roman" w:hAnsi="Times New Roman" w:cs="Times New Roman"/>
                <w:sz w:val="24"/>
                <w:szCs w:val="24"/>
              </w:rPr>
              <w:t>Ítems para medición</w:t>
            </w:r>
          </w:p>
        </w:tc>
      </w:tr>
      <w:tr w:rsidR="00181CB4" w:rsidRPr="00F20F99" w14:paraId="605BCB7E" w14:textId="77777777" w:rsidTr="00F20F99">
        <w:tc>
          <w:tcPr>
            <w:tcW w:w="1276" w:type="dxa"/>
            <w:vMerge w:val="restart"/>
          </w:tcPr>
          <w:p w14:paraId="1374EDB8" w14:textId="3C0A937A" w:rsidR="00227918" w:rsidRPr="00F20F99" w:rsidRDefault="00227918" w:rsidP="00227918">
            <w:pPr>
              <w:jc w:val="both"/>
              <w:rPr>
                <w:rFonts w:ascii="Times New Roman" w:hAnsi="Times New Roman" w:cs="Times New Roman"/>
                <w:sz w:val="24"/>
                <w:szCs w:val="24"/>
              </w:rPr>
            </w:pPr>
            <w:r w:rsidRPr="00F20F99">
              <w:rPr>
                <w:rFonts w:ascii="Times New Roman" w:hAnsi="Times New Roman" w:cs="Times New Roman"/>
                <w:sz w:val="24"/>
                <w:szCs w:val="24"/>
              </w:rPr>
              <w:t>Agilidad Organizacional</w:t>
            </w:r>
          </w:p>
          <w:p w14:paraId="5C8D15C5" w14:textId="07D063F8" w:rsidR="00227918" w:rsidRPr="00F20F99" w:rsidRDefault="00227918" w:rsidP="00227918">
            <w:pPr>
              <w:jc w:val="both"/>
              <w:rPr>
                <w:rFonts w:ascii="Times New Roman" w:hAnsi="Times New Roman" w:cs="Times New Roman"/>
                <w:sz w:val="24"/>
                <w:szCs w:val="24"/>
              </w:rPr>
            </w:pPr>
            <w:r w:rsidRPr="00F20F99">
              <w:rPr>
                <w:rFonts w:ascii="Times New Roman" w:hAnsi="Times New Roman" w:cs="Times New Roman"/>
                <w:sz w:val="24"/>
                <w:szCs w:val="24"/>
              </w:rPr>
              <w:t>(AO)</w:t>
            </w:r>
          </w:p>
        </w:tc>
        <w:tc>
          <w:tcPr>
            <w:tcW w:w="1838" w:type="dxa"/>
            <w:vMerge w:val="restart"/>
          </w:tcPr>
          <w:p w14:paraId="2B891D2E" w14:textId="35EFC2D0" w:rsidR="00227918" w:rsidRPr="00F20F99" w:rsidRDefault="00227918" w:rsidP="00227918">
            <w:pPr>
              <w:jc w:val="both"/>
              <w:rPr>
                <w:rFonts w:ascii="Times New Roman" w:hAnsi="Times New Roman" w:cs="Times New Roman"/>
                <w:sz w:val="24"/>
                <w:szCs w:val="24"/>
              </w:rPr>
            </w:pPr>
            <w:r w:rsidRPr="00F20F99">
              <w:rPr>
                <w:rFonts w:ascii="Times New Roman" w:hAnsi="Times New Roman" w:cs="Times New Roman"/>
                <w:sz w:val="24"/>
                <w:szCs w:val="24"/>
              </w:rPr>
              <w:t>La capacidad de una organización para tomar decisiones rápidamente basadas en los cambios del entorno.</w:t>
            </w:r>
          </w:p>
        </w:tc>
        <w:tc>
          <w:tcPr>
            <w:tcW w:w="2268" w:type="dxa"/>
            <w:vMerge w:val="restart"/>
          </w:tcPr>
          <w:p w14:paraId="7C15B1E5" w14:textId="38E026D3" w:rsidR="00227918" w:rsidRPr="00F20F99" w:rsidRDefault="00227918" w:rsidP="00227918">
            <w:pPr>
              <w:jc w:val="both"/>
              <w:rPr>
                <w:rFonts w:ascii="Times New Roman" w:hAnsi="Times New Roman" w:cs="Times New Roman"/>
                <w:sz w:val="24"/>
                <w:szCs w:val="24"/>
              </w:rPr>
            </w:pPr>
            <w:r w:rsidRPr="00F20F99">
              <w:rPr>
                <w:rFonts w:ascii="Times New Roman" w:hAnsi="Times New Roman" w:cs="Times New Roman"/>
                <w:sz w:val="24"/>
                <w:szCs w:val="24"/>
              </w:rPr>
              <w:t>La rapidez con que una organización responde a cambios del entorno, medido por la celeridad en identificar estos cambios y en ejecutar decisiones ajustadas a ellos. Se cuantifica a través del tiempo de respuesta a nuevas oportunidades o amenazas y la velocidad en la implementación de acciones</w:t>
            </w:r>
          </w:p>
          <w:p w14:paraId="463135CB" w14:textId="6756A49C" w:rsidR="00227918" w:rsidRPr="00F20F99" w:rsidRDefault="00227918" w:rsidP="00227918">
            <w:pPr>
              <w:jc w:val="both"/>
              <w:rPr>
                <w:rFonts w:ascii="Times New Roman" w:hAnsi="Times New Roman" w:cs="Times New Roman"/>
                <w:sz w:val="24"/>
                <w:szCs w:val="24"/>
              </w:rPr>
            </w:pPr>
            <w:r w:rsidRPr="00F20F99">
              <w:rPr>
                <w:rFonts w:ascii="Times New Roman" w:hAnsi="Times New Roman" w:cs="Times New Roman"/>
                <w:sz w:val="24"/>
                <w:szCs w:val="24"/>
              </w:rPr>
              <w:t>estratégicas.</w:t>
            </w:r>
          </w:p>
        </w:tc>
        <w:tc>
          <w:tcPr>
            <w:tcW w:w="4012" w:type="dxa"/>
          </w:tcPr>
          <w:p w14:paraId="68E97C8B" w14:textId="4E3844F1" w:rsidR="00227918" w:rsidRPr="00F20F99" w:rsidRDefault="00227918" w:rsidP="00227918">
            <w:pPr>
              <w:jc w:val="both"/>
              <w:rPr>
                <w:rFonts w:ascii="Times New Roman" w:hAnsi="Times New Roman" w:cs="Times New Roman"/>
                <w:sz w:val="24"/>
                <w:szCs w:val="24"/>
              </w:rPr>
            </w:pPr>
            <w:r w:rsidRPr="00F20F99">
              <w:rPr>
                <w:rFonts w:ascii="Times New Roman" w:hAnsi="Times New Roman" w:cs="Times New Roman"/>
                <w:sz w:val="24"/>
                <w:szCs w:val="24"/>
              </w:rPr>
              <w:t>AO1.- La organización responde dentro de tiempos de respuesta predeterminados ante cambios externos significativos.</w:t>
            </w:r>
          </w:p>
        </w:tc>
      </w:tr>
      <w:tr w:rsidR="00181CB4" w:rsidRPr="00F20F99" w14:paraId="2F0C7833" w14:textId="77777777" w:rsidTr="00F20F99">
        <w:tc>
          <w:tcPr>
            <w:tcW w:w="1276" w:type="dxa"/>
            <w:vMerge/>
          </w:tcPr>
          <w:p w14:paraId="3C9A894D" w14:textId="77777777" w:rsidR="00227918" w:rsidRPr="00F20F99" w:rsidRDefault="00227918" w:rsidP="008E79D6">
            <w:pPr>
              <w:jc w:val="both"/>
              <w:rPr>
                <w:rFonts w:ascii="Times New Roman" w:hAnsi="Times New Roman" w:cs="Times New Roman"/>
                <w:sz w:val="24"/>
                <w:szCs w:val="24"/>
              </w:rPr>
            </w:pPr>
          </w:p>
        </w:tc>
        <w:tc>
          <w:tcPr>
            <w:tcW w:w="1838" w:type="dxa"/>
            <w:vMerge/>
          </w:tcPr>
          <w:p w14:paraId="0F92115D" w14:textId="77777777" w:rsidR="00227918" w:rsidRPr="00F20F99" w:rsidRDefault="00227918" w:rsidP="008E79D6">
            <w:pPr>
              <w:jc w:val="both"/>
              <w:rPr>
                <w:rFonts w:ascii="Times New Roman" w:hAnsi="Times New Roman" w:cs="Times New Roman"/>
                <w:sz w:val="24"/>
                <w:szCs w:val="24"/>
              </w:rPr>
            </w:pPr>
          </w:p>
        </w:tc>
        <w:tc>
          <w:tcPr>
            <w:tcW w:w="2268" w:type="dxa"/>
            <w:vMerge/>
          </w:tcPr>
          <w:p w14:paraId="71B0CDB6" w14:textId="77777777" w:rsidR="00227918" w:rsidRPr="00F20F99" w:rsidRDefault="00227918" w:rsidP="008E79D6">
            <w:pPr>
              <w:jc w:val="both"/>
              <w:rPr>
                <w:rFonts w:ascii="Times New Roman" w:hAnsi="Times New Roman" w:cs="Times New Roman"/>
                <w:sz w:val="24"/>
                <w:szCs w:val="24"/>
              </w:rPr>
            </w:pPr>
          </w:p>
        </w:tc>
        <w:tc>
          <w:tcPr>
            <w:tcW w:w="4012" w:type="dxa"/>
          </w:tcPr>
          <w:p w14:paraId="26D0B069" w14:textId="2D12A9E0" w:rsidR="00227918" w:rsidRPr="00F20F99" w:rsidRDefault="00227918" w:rsidP="00227918">
            <w:pPr>
              <w:jc w:val="both"/>
              <w:rPr>
                <w:rFonts w:ascii="Times New Roman" w:hAnsi="Times New Roman" w:cs="Times New Roman"/>
                <w:sz w:val="24"/>
                <w:szCs w:val="24"/>
              </w:rPr>
            </w:pPr>
            <w:r w:rsidRPr="00F20F99">
              <w:rPr>
                <w:rFonts w:ascii="Times New Roman" w:hAnsi="Times New Roman" w:cs="Times New Roman"/>
                <w:sz w:val="24"/>
                <w:szCs w:val="24"/>
              </w:rPr>
              <w:t>AO2.- Se identifican de forma anticipada las variaciones del entorno que podrían afectar a la organización.</w:t>
            </w:r>
          </w:p>
        </w:tc>
      </w:tr>
      <w:tr w:rsidR="00181CB4" w:rsidRPr="00F20F99" w14:paraId="2220F885" w14:textId="77777777" w:rsidTr="00F20F99">
        <w:tc>
          <w:tcPr>
            <w:tcW w:w="1276" w:type="dxa"/>
            <w:vMerge/>
          </w:tcPr>
          <w:p w14:paraId="0C6BFE05" w14:textId="77777777" w:rsidR="00227918" w:rsidRPr="00F20F99" w:rsidRDefault="00227918" w:rsidP="008E79D6">
            <w:pPr>
              <w:jc w:val="both"/>
              <w:rPr>
                <w:rFonts w:ascii="Times New Roman" w:hAnsi="Times New Roman" w:cs="Times New Roman"/>
                <w:sz w:val="24"/>
                <w:szCs w:val="24"/>
              </w:rPr>
            </w:pPr>
          </w:p>
        </w:tc>
        <w:tc>
          <w:tcPr>
            <w:tcW w:w="1838" w:type="dxa"/>
            <w:vMerge/>
          </w:tcPr>
          <w:p w14:paraId="25FCAFDA" w14:textId="77777777" w:rsidR="00227918" w:rsidRPr="00F20F99" w:rsidRDefault="00227918" w:rsidP="008E79D6">
            <w:pPr>
              <w:jc w:val="both"/>
              <w:rPr>
                <w:rFonts w:ascii="Times New Roman" w:hAnsi="Times New Roman" w:cs="Times New Roman"/>
                <w:sz w:val="24"/>
                <w:szCs w:val="24"/>
              </w:rPr>
            </w:pPr>
          </w:p>
        </w:tc>
        <w:tc>
          <w:tcPr>
            <w:tcW w:w="2268" w:type="dxa"/>
            <w:vMerge/>
          </w:tcPr>
          <w:p w14:paraId="69F31436" w14:textId="77777777" w:rsidR="00227918" w:rsidRPr="00F20F99" w:rsidRDefault="00227918" w:rsidP="008E79D6">
            <w:pPr>
              <w:jc w:val="both"/>
              <w:rPr>
                <w:rFonts w:ascii="Times New Roman" w:hAnsi="Times New Roman" w:cs="Times New Roman"/>
                <w:sz w:val="24"/>
                <w:szCs w:val="24"/>
              </w:rPr>
            </w:pPr>
          </w:p>
        </w:tc>
        <w:tc>
          <w:tcPr>
            <w:tcW w:w="4012" w:type="dxa"/>
          </w:tcPr>
          <w:p w14:paraId="2D5B498A" w14:textId="12BCF845" w:rsidR="00227918" w:rsidRPr="00F20F99" w:rsidRDefault="00227918" w:rsidP="00227918">
            <w:pPr>
              <w:jc w:val="both"/>
              <w:rPr>
                <w:rFonts w:ascii="Times New Roman" w:hAnsi="Times New Roman" w:cs="Times New Roman"/>
                <w:sz w:val="24"/>
                <w:szCs w:val="24"/>
              </w:rPr>
            </w:pPr>
            <w:r w:rsidRPr="00F20F99">
              <w:rPr>
                <w:rFonts w:ascii="Times New Roman" w:hAnsi="Times New Roman" w:cs="Times New Roman"/>
                <w:sz w:val="24"/>
                <w:szCs w:val="24"/>
              </w:rPr>
              <w:t>AO3.- Las estrategias organizacionales se adaptan dinámicamente en función de los análisis de escenarios cambiantes.</w:t>
            </w:r>
          </w:p>
        </w:tc>
      </w:tr>
      <w:tr w:rsidR="00181CB4" w:rsidRPr="00F20F99" w14:paraId="10AF59F1" w14:textId="77777777" w:rsidTr="00F20F99">
        <w:tc>
          <w:tcPr>
            <w:tcW w:w="1276" w:type="dxa"/>
            <w:vMerge/>
          </w:tcPr>
          <w:p w14:paraId="65EAC16F" w14:textId="77777777" w:rsidR="00227918" w:rsidRPr="00F20F99" w:rsidRDefault="00227918" w:rsidP="008E79D6">
            <w:pPr>
              <w:jc w:val="both"/>
              <w:rPr>
                <w:rFonts w:ascii="Times New Roman" w:hAnsi="Times New Roman" w:cs="Times New Roman"/>
                <w:sz w:val="24"/>
                <w:szCs w:val="24"/>
              </w:rPr>
            </w:pPr>
          </w:p>
        </w:tc>
        <w:tc>
          <w:tcPr>
            <w:tcW w:w="1838" w:type="dxa"/>
            <w:vMerge/>
          </w:tcPr>
          <w:p w14:paraId="7A0BA539" w14:textId="77777777" w:rsidR="00227918" w:rsidRPr="00F20F99" w:rsidRDefault="00227918" w:rsidP="008E79D6">
            <w:pPr>
              <w:jc w:val="both"/>
              <w:rPr>
                <w:rFonts w:ascii="Times New Roman" w:hAnsi="Times New Roman" w:cs="Times New Roman"/>
                <w:sz w:val="24"/>
                <w:szCs w:val="24"/>
              </w:rPr>
            </w:pPr>
          </w:p>
        </w:tc>
        <w:tc>
          <w:tcPr>
            <w:tcW w:w="2268" w:type="dxa"/>
            <w:vMerge/>
          </w:tcPr>
          <w:p w14:paraId="2BCE7D1C" w14:textId="77777777" w:rsidR="00227918" w:rsidRPr="00F20F99" w:rsidRDefault="00227918" w:rsidP="008E79D6">
            <w:pPr>
              <w:jc w:val="both"/>
              <w:rPr>
                <w:rFonts w:ascii="Times New Roman" w:hAnsi="Times New Roman" w:cs="Times New Roman"/>
                <w:sz w:val="24"/>
                <w:szCs w:val="24"/>
              </w:rPr>
            </w:pPr>
          </w:p>
        </w:tc>
        <w:tc>
          <w:tcPr>
            <w:tcW w:w="4012" w:type="dxa"/>
          </w:tcPr>
          <w:p w14:paraId="2BA26953" w14:textId="59DA4659" w:rsidR="00227918" w:rsidRPr="00F20F99" w:rsidRDefault="00227918" w:rsidP="00227918">
            <w:pPr>
              <w:jc w:val="both"/>
              <w:rPr>
                <w:rFonts w:ascii="Times New Roman" w:hAnsi="Times New Roman" w:cs="Times New Roman"/>
                <w:sz w:val="24"/>
                <w:szCs w:val="24"/>
              </w:rPr>
            </w:pPr>
            <w:r w:rsidRPr="00F20F99">
              <w:rPr>
                <w:rFonts w:ascii="Times New Roman" w:hAnsi="Times New Roman" w:cs="Times New Roman"/>
                <w:sz w:val="24"/>
                <w:szCs w:val="24"/>
              </w:rPr>
              <w:t>AO4.- La organización evalúa continuamente los procesos internos para acelerar el tiempo de toma de decisiones estratégicas.</w:t>
            </w:r>
          </w:p>
        </w:tc>
      </w:tr>
      <w:tr w:rsidR="00181CB4" w:rsidRPr="00F20F99" w14:paraId="1BACCD98" w14:textId="77777777" w:rsidTr="00F20F99">
        <w:tc>
          <w:tcPr>
            <w:tcW w:w="1276" w:type="dxa"/>
            <w:vMerge/>
          </w:tcPr>
          <w:p w14:paraId="321A1C49" w14:textId="77777777" w:rsidR="00227918" w:rsidRPr="00F20F99" w:rsidRDefault="00227918" w:rsidP="008E79D6">
            <w:pPr>
              <w:jc w:val="both"/>
              <w:rPr>
                <w:rFonts w:ascii="Times New Roman" w:hAnsi="Times New Roman" w:cs="Times New Roman"/>
                <w:sz w:val="24"/>
                <w:szCs w:val="24"/>
              </w:rPr>
            </w:pPr>
          </w:p>
        </w:tc>
        <w:tc>
          <w:tcPr>
            <w:tcW w:w="1838" w:type="dxa"/>
            <w:vMerge/>
          </w:tcPr>
          <w:p w14:paraId="2EBBFD07" w14:textId="77777777" w:rsidR="00227918" w:rsidRPr="00F20F99" w:rsidRDefault="00227918" w:rsidP="008E79D6">
            <w:pPr>
              <w:jc w:val="both"/>
              <w:rPr>
                <w:rFonts w:ascii="Times New Roman" w:hAnsi="Times New Roman" w:cs="Times New Roman"/>
                <w:sz w:val="24"/>
                <w:szCs w:val="24"/>
              </w:rPr>
            </w:pPr>
          </w:p>
        </w:tc>
        <w:tc>
          <w:tcPr>
            <w:tcW w:w="2268" w:type="dxa"/>
            <w:vMerge/>
          </w:tcPr>
          <w:p w14:paraId="7CE6CD95" w14:textId="77777777" w:rsidR="00227918" w:rsidRPr="00F20F99" w:rsidRDefault="00227918" w:rsidP="008E79D6">
            <w:pPr>
              <w:jc w:val="both"/>
              <w:rPr>
                <w:rFonts w:ascii="Times New Roman" w:hAnsi="Times New Roman" w:cs="Times New Roman"/>
                <w:sz w:val="24"/>
                <w:szCs w:val="24"/>
              </w:rPr>
            </w:pPr>
          </w:p>
        </w:tc>
        <w:tc>
          <w:tcPr>
            <w:tcW w:w="4012" w:type="dxa"/>
          </w:tcPr>
          <w:p w14:paraId="3D69B761" w14:textId="6233DDE3" w:rsidR="00227918" w:rsidRPr="00F20F99" w:rsidRDefault="00227918" w:rsidP="00227918">
            <w:pPr>
              <w:jc w:val="both"/>
              <w:rPr>
                <w:rFonts w:ascii="Times New Roman" w:hAnsi="Times New Roman" w:cs="Times New Roman"/>
                <w:sz w:val="24"/>
                <w:szCs w:val="24"/>
              </w:rPr>
            </w:pPr>
            <w:r w:rsidRPr="00F20F99">
              <w:rPr>
                <w:rFonts w:ascii="Times New Roman" w:hAnsi="Times New Roman" w:cs="Times New Roman"/>
                <w:sz w:val="24"/>
                <w:szCs w:val="24"/>
              </w:rPr>
              <w:t>AO5.- La organización evalúa la eficacia de las acciones estratégicas por su impacto en la rapidez de respuesta organizacional.</w:t>
            </w:r>
          </w:p>
        </w:tc>
      </w:tr>
    </w:tbl>
    <w:p w14:paraId="3FC83218" w14:textId="01BCAA1B" w:rsidR="00227918" w:rsidRPr="00D45D63" w:rsidRDefault="002A7B81" w:rsidP="002A7B81">
      <w:pPr>
        <w:spacing w:after="0" w:line="360" w:lineRule="auto"/>
        <w:jc w:val="center"/>
        <w:rPr>
          <w:rFonts w:ascii="Times New Roman" w:hAnsi="Times New Roman" w:cs="Times New Roman"/>
          <w:sz w:val="24"/>
          <w:szCs w:val="24"/>
        </w:rPr>
      </w:pPr>
      <w:r w:rsidRPr="00D45D63">
        <w:rPr>
          <w:rFonts w:ascii="Times New Roman" w:hAnsi="Times New Roman" w:cs="Times New Roman"/>
          <w:sz w:val="24"/>
          <w:szCs w:val="24"/>
        </w:rPr>
        <w:t>Fuente: Elaboración propia</w:t>
      </w:r>
    </w:p>
    <w:p w14:paraId="3DD682A2" w14:textId="77777777" w:rsidR="002A7B81" w:rsidRPr="00D45D63" w:rsidRDefault="002A7B81" w:rsidP="002A7B81">
      <w:pPr>
        <w:spacing w:after="0" w:line="360" w:lineRule="auto"/>
        <w:jc w:val="center"/>
        <w:rPr>
          <w:rFonts w:ascii="Times New Roman" w:hAnsi="Times New Roman" w:cs="Times New Roman"/>
          <w:sz w:val="24"/>
          <w:szCs w:val="24"/>
        </w:rPr>
      </w:pPr>
    </w:p>
    <w:p w14:paraId="5DB926BF" w14:textId="401693D9" w:rsidR="007C382D" w:rsidRPr="00D45D63" w:rsidRDefault="007C382D" w:rsidP="00F20F99">
      <w:pPr>
        <w:spacing w:after="0" w:line="360" w:lineRule="auto"/>
        <w:jc w:val="center"/>
        <w:rPr>
          <w:rFonts w:ascii="Times New Roman" w:hAnsi="Times New Roman" w:cs="Times New Roman"/>
          <w:b/>
          <w:bCs/>
          <w:sz w:val="24"/>
          <w:szCs w:val="24"/>
        </w:rPr>
      </w:pPr>
      <w:r w:rsidRPr="00D45D63">
        <w:rPr>
          <w:rFonts w:ascii="Times New Roman" w:hAnsi="Times New Roman" w:cs="Times New Roman"/>
          <w:b/>
          <w:bCs/>
          <w:sz w:val="24"/>
          <w:szCs w:val="24"/>
        </w:rPr>
        <w:t>Talento Humano Calificado</w:t>
      </w:r>
    </w:p>
    <w:p w14:paraId="1483C967" w14:textId="2F1535CD" w:rsidR="00227918" w:rsidRPr="00D45D63"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El talento humano calificado</w:t>
      </w:r>
      <w:r w:rsidR="00295E0C">
        <w:rPr>
          <w:rFonts w:ascii="Times New Roman" w:hAnsi="Times New Roman" w:cs="Times New Roman"/>
          <w:sz w:val="24"/>
          <w:szCs w:val="24"/>
        </w:rPr>
        <w:t xml:space="preserve"> (THC)</w:t>
      </w:r>
      <w:r w:rsidRPr="00D45D63">
        <w:rPr>
          <w:rFonts w:ascii="Times New Roman" w:hAnsi="Times New Roman" w:cs="Times New Roman"/>
          <w:sz w:val="24"/>
          <w:szCs w:val="24"/>
        </w:rPr>
        <w:t xml:space="preserve"> abarca la adquisición y desarrollo de conocimientos y habilidades por parte de los</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individuos, aspectos cruciales para el éxito o fracaso de cualquier organización. Según Salazar Vázquez </w:t>
      </w:r>
      <w:r w:rsidR="005939C7">
        <w:rPr>
          <w:rFonts w:ascii="Times New Roman" w:hAnsi="Times New Roman" w:cs="Times New Roman"/>
          <w:sz w:val="24"/>
          <w:szCs w:val="24"/>
        </w:rPr>
        <w:t>et ál</w:t>
      </w:r>
      <w:r w:rsidRPr="00D45D63">
        <w:rPr>
          <w:rFonts w:ascii="Times New Roman" w:hAnsi="Times New Roman" w:cs="Times New Roman"/>
          <w:sz w:val="24"/>
          <w:szCs w:val="24"/>
        </w:rPr>
        <w:t>.</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(2023), este talento se erige como una fuente de ventaja competitiva, al impulsar la innovación, creatividad y la</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implementación de nuevas metodologías dentro de las organizaciones. La habilidad para compartir, transferir</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y aplicar adecuadamente estos conocimientos dentro del entorno organizacional es esencial para mantener</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la agilidad y capacidad de adaptación a los cambios, elementos clave para sobresalir en el mercado competitivo.</w:t>
      </w:r>
    </w:p>
    <w:p w14:paraId="58055017" w14:textId="2A73204F" w:rsidR="00227918" w:rsidRPr="00D45D63" w:rsidRDefault="007C382D" w:rsidP="00F20F99">
      <w:pPr>
        <w:spacing w:after="0" w:line="360" w:lineRule="auto"/>
        <w:ind w:firstLine="709"/>
        <w:jc w:val="both"/>
        <w:rPr>
          <w:rFonts w:ascii="Times New Roman" w:hAnsi="Times New Roman" w:cs="Times New Roman"/>
          <w:sz w:val="24"/>
          <w:szCs w:val="24"/>
        </w:rPr>
      </w:pPr>
      <w:proofErr w:type="spellStart"/>
      <w:r w:rsidRPr="00D45D63">
        <w:rPr>
          <w:rFonts w:ascii="Times New Roman" w:hAnsi="Times New Roman" w:cs="Times New Roman"/>
          <w:sz w:val="24"/>
          <w:szCs w:val="24"/>
        </w:rPr>
        <w:t>Krylov</w:t>
      </w:r>
      <w:proofErr w:type="spellEnd"/>
      <w:r w:rsidRPr="00D45D63">
        <w:rPr>
          <w:rFonts w:ascii="Times New Roman" w:hAnsi="Times New Roman" w:cs="Times New Roman"/>
          <w:sz w:val="24"/>
          <w:szCs w:val="24"/>
        </w:rPr>
        <w:t xml:space="preserve"> (2023) argumenta que</w:t>
      </w:r>
      <w:r w:rsidR="00DF400D">
        <w:rPr>
          <w:rFonts w:ascii="Times New Roman" w:hAnsi="Times New Roman" w:cs="Times New Roman"/>
          <w:sz w:val="24"/>
          <w:szCs w:val="24"/>
        </w:rPr>
        <w:t xml:space="preserve"> el THC es</w:t>
      </w:r>
      <w:r w:rsidRPr="00D45D63">
        <w:rPr>
          <w:rFonts w:ascii="Times New Roman" w:hAnsi="Times New Roman" w:cs="Times New Roman"/>
          <w:sz w:val="24"/>
          <w:szCs w:val="24"/>
        </w:rPr>
        <w:t xml:space="preserve"> fundamental para la consecución de</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una ventaja competitiva sostenible, ya que permite la generación de valor único para los clientes, difícil</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de imitar por los competidores. Esta generación de valor no solo se logra a través de la optimización de los</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recursos internos, sino también aprovechando el talento humano </w:t>
      </w:r>
      <w:r w:rsidRPr="00D45D63">
        <w:rPr>
          <w:rFonts w:ascii="Times New Roman" w:hAnsi="Times New Roman" w:cs="Times New Roman"/>
          <w:sz w:val="24"/>
          <w:szCs w:val="24"/>
        </w:rPr>
        <w:lastRenderedPageBreak/>
        <w:t>existente en la organización, estableciendo</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una relación intrínseca entre el talento humano y la ventaja competitiva como variables que se refuerzan</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mutuamente. </w:t>
      </w:r>
    </w:p>
    <w:p w14:paraId="7998D264" w14:textId="7C036CD5" w:rsidR="00227918" w:rsidRPr="00D45D63"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La capacitación y el entrenamiento emergen como elementos vitales en este contexto, actuando</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como catalizadores para el logro de resultados satisfactorios en diversas dimensiones organizacionales.</w:t>
      </w:r>
      <w:r w:rsidR="00227918" w:rsidRPr="00D45D63">
        <w:rPr>
          <w:rFonts w:ascii="Times New Roman" w:hAnsi="Times New Roman" w:cs="Times New Roman"/>
          <w:sz w:val="24"/>
          <w:szCs w:val="24"/>
        </w:rPr>
        <w:t xml:space="preserve"> </w:t>
      </w:r>
      <w:proofErr w:type="spellStart"/>
      <w:r w:rsidRPr="00D45D63">
        <w:rPr>
          <w:rFonts w:ascii="Times New Roman" w:hAnsi="Times New Roman" w:cs="Times New Roman"/>
          <w:sz w:val="24"/>
          <w:szCs w:val="24"/>
        </w:rPr>
        <w:t>Rajagopal</w:t>
      </w:r>
      <w:proofErr w:type="spellEnd"/>
      <w:r w:rsidRPr="00D45D63">
        <w:rPr>
          <w:rFonts w:ascii="Times New Roman" w:hAnsi="Times New Roman" w:cs="Times New Roman"/>
          <w:sz w:val="24"/>
          <w:szCs w:val="24"/>
        </w:rPr>
        <w:t xml:space="preserve"> </w:t>
      </w:r>
      <w:r w:rsidR="005939C7">
        <w:rPr>
          <w:rFonts w:ascii="Times New Roman" w:hAnsi="Times New Roman" w:cs="Times New Roman"/>
          <w:sz w:val="24"/>
          <w:szCs w:val="24"/>
        </w:rPr>
        <w:t>et ál</w:t>
      </w:r>
      <w:r w:rsidRPr="00D45D63">
        <w:rPr>
          <w:rFonts w:ascii="Times New Roman" w:hAnsi="Times New Roman" w:cs="Times New Roman"/>
          <w:sz w:val="24"/>
          <w:szCs w:val="24"/>
        </w:rPr>
        <w:t>. (2021) enfatizan la importancia de alinear los programas de capacitación con las necesidades</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y objetivos estratégicos de la empresa, garantizando que el personal esté preparado para enfrentar los desafíos</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presentes y futuros. Esta preparación no solo mejora la competencia individual de los empleados, sino que</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también contribuye significativamente al rendimiento general de la organización.</w:t>
      </w:r>
    </w:p>
    <w:p w14:paraId="481110F7" w14:textId="7C00228B" w:rsidR="00700D41" w:rsidRPr="00D45D63"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 xml:space="preserve">En una línea similar, </w:t>
      </w:r>
      <w:proofErr w:type="spellStart"/>
      <w:r w:rsidRPr="00D45D63">
        <w:rPr>
          <w:rFonts w:ascii="Times New Roman" w:hAnsi="Times New Roman" w:cs="Times New Roman"/>
          <w:sz w:val="24"/>
          <w:szCs w:val="24"/>
        </w:rPr>
        <w:t>Yasa</w:t>
      </w:r>
      <w:proofErr w:type="spellEnd"/>
      <w:r w:rsidRPr="00D45D63">
        <w:rPr>
          <w:rFonts w:ascii="Times New Roman" w:hAnsi="Times New Roman" w:cs="Times New Roman"/>
          <w:sz w:val="24"/>
          <w:szCs w:val="24"/>
        </w:rPr>
        <w:t xml:space="preserve"> y </w:t>
      </w:r>
      <w:proofErr w:type="spellStart"/>
      <w:r w:rsidRPr="00D45D63">
        <w:rPr>
          <w:rFonts w:ascii="Times New Roman" w:hAnsi="Times New Roman" w:cs="Times New Roman"/>
          <w:sz w:val="24"/>
          <w:szCs w:val="24"/>
        </w:rPr>
        <w:t>Irwansyah</w:t>
      </w:r>
      <w:proofErr w:type="spellEnd"/>
      <w:r w:rsidRPr="00D45D63">
        <w:rPr>
          <w:rFonts w:ascii="Times New Roman" w:hAnsi="Times New Roman" w:cs="Times New Roman"/>
          <w:sz w:val="24"/>
          <w:szCs w:val="24"/>
        </w:rPr>
        <w:t xml:space="preserve"> (2023) sostienen que el </w:t>
      </w:r>
      <w:r w:rsidR="00295E0C">
        <w:rPr>
          <w:rFonts w:ascii="Times New Roman" w:hAnsi="Times New Roman" w:cs="Times New Roman"/>
          <w:sz w:val="24"/>
          <w:szCs w:val="24"/>
        </w:rPr>
        <w:t>THC</w:t>
      </w:r>
      <w:r w:rsidRPr="00D45D63">
        <w:rPr>
          <w:rFonts w:ascii="Times New Roman" w:hAnsi="Times New Roman" w:cs="Times New Roman"/>
          <w:sz w:val="24"/>
          <w:szCs w:val="24"/>
        </w:rPr>
        <w:t xml:space="preserve"> es un factor</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determinante para el desarrollo y mantenimiento de ventajas competitivas en cualquier sector. La capacidad,</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habilidades y conocimientos de los empleados tienen un impacto significativo en la innovación, eficiencia y</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calidad del servicio o producto ofrecido, diferenciando así a una organización de sus competidores. Un equipo</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bien capacitado y educado es crucial para adaptarse rápidamente a los cambios del mercado y satisfacer las</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crecientes demandas de los clientes, reforzando la posición competitiva de la empresa en el mercado. La Tabla</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4 muestra la descripción conceptual, la descripción opera</w:t>
      </w:r>
      <w:r w:rsidR="00295E0C">
        <w:rPr>
          <w:rFonts w:ascii="Times New Roman" w:hAnsi="Times New Roman" w:cs="Times New Roman"/>
          <w:sz w:val="24"/>
          <w:szCs w:val="24"/>
        </w:rPr>
        <w:t>tiva</w:t>
      </w:r>
      <w:r w:rsidRPr="00D45D63">
        <w:rPr>
          <w:rFonts w:ascii="Times New Roman" w:hAnsi="Times New Roman" w:cs="Times New Roman"/>
          <w:sz w:val="24"/>
          <w:szCs w:val="24"/>
        </w:rPr>
        <w:t xml:space="preserve"> y los ítems propuestos para el constructo</w:t>
      </w:r>
      <w:r w:rsidR="00227918" w:rsidRPr="00D45D63">
        <w:rPr>
          <w:rFonts w:ascii="Times New Roman" w:hAnsi="Times New Roman" w:cs="Times New Roman"/>
          <w:sz w:val="24"/>
          <w:szCs w:val="24"/>
        </w:rPr>
        <w:t xml:space="preserve"> </w:t>
      </w:r>
      <w:r w:rsidRPr="00D45D63">
        <w:rPr>
          <w:rFonts w:ascii="Times New Roman" w:hAnsi="Times New Roman" w:cs="Times New Roman"/>
          <w:sz w:val="24"/>
          <w:szCs w:val="24"/>
        </w:rPr>
        <w:t>THC.</w:t>
      </w:r>
    </w:p>
    <w:p w14:paraId="55A36FFB" w14:textId="77777777" w:rsidR="000E3D77" w:rsidRDefault="000E3D77" w:rsidP="00227918">
      <w:pPr>
        <w:spacing w:after="0" w:line="360" w:lineRule="auto"/>
        <w:jc w:val="both"/>
        <w:rPr>
          <w:rFonts w:ascii="Times New Roman" w:hAnsi="Times New Roman" w:cs="Times New Roman"/>
          <w:sz w:val="24"/>
          <w:szCs w:val="24"/>
        </w:rPr>
      </w:pPr>
    </w:p>
    <w:p w14:paraId="48CD33BE" w14:textId="77777777" w:rsidR="00FE4589" w:rsidRDefault="00FE4589" w:rsidP="00227918">
      <w:pPr>
        <w:spacing w:after="0" w:line="360" w:lineRule="auto"/>
        <w:jc w:val="both"/>
        <w:rPr>
          <w:rFonts w:ascii="Times New Roman" w:hAnsi="Times New Roman" w:cs="Times New Roman"/>
          <w:sz w:val="24"/>
          <w:szCs w:val="24"/>
        </w:rPr>
      </w:pPr>
    </w:p>
    <w:p w14:paraId="52A4A7FD" w14:textId="77777777" w:rsidR="00FE4589" w:rsidRDefault="00FE4589" w:rsidP="00227918">
      <w:pPr>
        <w:spacing w:after="0" w:line="360" w:lineRule="auto"/>
        <w:jc w:val="both"/>
        <w:rPr>
          <w:rFonts w:ascii="Times New Roman" w:hAnsi="Times New Roman" w:cs="Times New Roman"/>
          <w:sz w:val="24"/>
          <w:szCs w:val="24"/>
        </w:rPr>
      </w:pPr>
    </w:p>
    <w:p w14:paraId="10B16958" w14:textId="77777777" w:rsidR="00FE4589" w:rsidRDefault="00FE4589" w:rsidP="00227918">
      <w:pPr>
        <w:spacing w:after="0" w:line="360" w:lineRule="auto"/>
        <w:jc w:val="both"/>
        <w:rPr>
          <w:rFonts w:ascii="Times New Roman" w:hAnsi="Times New Roman" w:cs="Times New Roman"/>
          <w:sz w:val="24"/>
          <w:szCs w:val="24"/>
        </w:rPr>
      </w:pPr>
    </w:p>
    <w:p w14:paraId="37137A14" w14:textId="77777777" w:rsidR="00FE4589" w:rsidRDefault="00FE4589" w:rsidP="00227918">
      <w:pPr>
        <w:spacing w:after="0" w:line="360" w:lineRule="auto"/>
        <w:jc w:val="both"/>
        <w:rPr>
          <w:rFonts w:ascii="Times New Roman" w:hAnsi="Times New Roman" w:cs="Times New Roman"/>
          <w:sz w:val="24"/>
          <w:szCs w:val="24"/>
        </w:rPr>
      </w:pPr>
    </w:p>
    <w:p w14:paraId="7014E00E" w14:textId="77777777" w:rsidR="00FE4589" w:rsidRDefault="00FE4589" w:rsidP="00227918">
      <w:pPr>
        <w:spacing w:after="0" w:line="360" w:lineRule="auto"/>
        <w:jc w:val="both"/>
        <w:rPr>
          <w:rFonts w:ascii="Times New Roman" w:hAnsi="Times New Roman" w:cs="Times New Roman"/>
          <w:sz w:val="24"/>
          <w:szCs w:val="24"/>
        </w:rPr>
      </w:pPr>
    </w:p>
    <w:p w14:paraId="329B9C62" w14:textId="77777777" w:rsidR="00FE4589" w:rsidRDefault="00FE4589" w:rsidP="00227918">
      <w:pPr>
        <w:spacing w:after="0" w:line="360" w:lineRule="auto"/>
        <w:jc w:val="both"/>
        <w:rPr>
          <w:rFonts w:ascii="Times New Roman" w:hAnsi="Times New Roman" w:cs="Times New Roman"/>
          <w:sz w:val="24"/>
          <w:szCs w:val="24"/>
        </w:rPr>
      </w:pPr>
    </w:p>
    <w:p w14:paraId="0AFC56AD" w14:textId="77777777" w:rsidR="00FE4589" w:rsidRDefault="00FE4589" w:rsidP="00227918">
      <w:pPr>
        <w:spacing w:after="0" w:line="360" w:lineRule="auto"/>
        <w:jc w:val="both"/>
        <w:rPr>
          <w:rFonts w:ascii="Times New Roman" w:hAnsi="Times New Roman" w:cs="Times New Roman"/>
          <w:sz w:val="24"/>
          <w:szCs w:val="24"/>
        </w:rPr>
      </w:pPr>
    </w:p>
    <w:p w14:paraId="4BBDCDF5" w14:textId="77777777" w:rsidR="00FE4589" w:rsidRDefault="00FE4589" w:rsidP="00227918">
      <w:pPr>
        <w:spacing w:after="0" w:line="360" w:lineRule="auto"/>
        <w:jc w:val="both"/>
        <w:rPr>
          <w:rFonts w:ascii="Times New Roman" w:hAnsi="Times New Roman" w:cs="Times New Roman"/>
          <w:sz w:val="24"/>
          <w:szCs w:val="24"/>
        </w:rPr>
      </w:pPr>
    </w:p>
    <w:p w14:paraId="65D313C6" w14:textId="77777777" w:rsidR="00FE4589" w:rsidRDefault="00FE4589" w:rsidP="00227918">
      <w:pPr>
        <w:spacing w:after="0" w:line="360" w:lineRule="auto"/>
        <w:jc w:val="both"/>
        <w:rPr>
          <w:rFonts w:ascii="Times New Roman" w:hAnsi="Times New Roman" w:cs="Times New Roman"/>
          <w:sz w:val="24"/>
          <w:szCs w:val="24"/>
        </w:rPr>
      </w:pPr>
    </w:p>
    <w:p w14:paraId="3FAE0122" w14:textId="77777777" w:rsidR="00FE4589" w:rsidRDefault="00FE4589" w:rsidP="00227918">
      <w:pPr>
        <w:spacing w:after="0" w:line="360" w:lineRule="auto"/>
        <w:jc w:val="both"/>
        <w:rPr>
          <w:rFonts w:ascii="Times New Roman" w:hAnsi="Times New Roman" w:cs="Times New Roman"/>
          <w:sz w:val="24"/>
          <w:szCs w:val="24"/>
        </w:rPr>
      </w:pPr>
    </w:p>
    <w:p w14:paraId="4F9BDF93" w14:textId="77777777" w:rsidR="00FE4589" w:rsidRDefault="00FE4589" w:rsidP="00227918">
      <w:pPr>
        <w:spacing w:after="0" w:line="360" w:lineRule="auto"/>
        <w:jc w:val="both"/>
        <w:rPr>
          <w:rFonts w:ascii="Times New Roman" w:hAnsi="Times New Roman" w:cs="Times New Roman"/>
          <w:sz w:val="24"/>
          <w:szCs w:val="24"/>
        </w:rPr>
      </w:pPr>
    </w:p>
    <w:p w14:paraId="1D6E8AB1" w14:textId="77777777" w:rsidR="00FE4589" w:rsidRDefault="00FE4589" w:rsidP="00227918">
      <w:pPr>
        <w:spacing w:after="0" w:line="360" w:lineRule="auto"/>
        <w:jc w:val="both"/>
        <w:rPr>
          <w:rFonts w:ascii="Times New Roman" w:hAnsi="Times New Roman" w:cs="Times New Roman"/>
          <w:sz w:val="24"/>
          <w:szCs w:val="24"/>
        </w:rPr>
      </w:pPr>
    </w:p>
    <w:p w14:paraId="7D5AFB9C" w14:textId="77777777" w:rsidR="00FE4589" w:rsidRDefault="00FE4589" w:rsidP="00227918">
      <w:pPr>
        <w:spacing w:after="0" w:line="360" w:lineRule="auto"/>
        <w:jc w:val="both"/>
        <w:rPr>
          <w:rFonts w:ascii="Times New Roman" w:hAnsi="Times New Roman" w:cs="Times New Roman"/>
          <w:sz w:val="24"/>
          <w:szCs w:val="24"/>
        </w:rPr>
      </w:pPr>
    </w:p>
    <w:p w14:paraId="76865614" w14:textId="77777777" w:rsidR="00FE4589" w:rsidRPr="00D45D63" w:rsidRDefault="00FE4589" w:rsidP="00227918">
      <w:pPr>
        <w:spacing w:after="0" w:line="360" w:lineRule="auto"/>
        <w:jc w:val="both"/>
        <w:rPr>
          <w:rFonts w:ascii="Times New Roman" w:hAnsi="Times New Roman" w:cs="Times New Roman"/>
          <w:sz w:val="24"/>
          <w:szCs w:val="24"/>
        </w:rPr>
      </w:pPr>
    </w:p>
    <w:p w14:paraId="09B6A008" w14:textId="3149F4FA" w:rsidR="007C382D" w:rsidRPr="00D45D63" w:rsidRDefault="007C382D" w:rsidP="00F20F99">
      <w:pPr>
        <w:spacing w:after="0" w:line="360" w:lineRule="auto"/>
        <w:jc w:val="center"/>
        <w:rPr>
          <w:rFonts w:ascii="Times New Roman" w:hAnsi="Times New Roman" w:cs="Times New Roman"/>
          <w:sz w:val="24"/>
          <w:szCs w:val="24"/>
        </w:rPr>
      </w:pPr>
      <w:r w:rsidRPr="00F20F99">
        <w:rPr>
          <w:rFonts w:ascii="Times New Roman" w:hAnsi="Times New Roman" w:cs="Times New Roman"/>
          <w:b/>
          <w:bCs/>
          <w:sz w:val="24"/>
          <w:szCs w:val="24"/>
        </w:rPr>
        <w:lastRenderedPageBreak/>
        <w:t>Tabla 4</w:t>
      </w:r>
      <w:r w:rsidR="00FE4589">
        <w:rPr>
          <w:rFonts w:ascii="Times New Roman" w:hAnsi="Times New Roman" w:cs="Times New Roman"/>
          <w:b/>
          <w:bCs/>
          <w:sz w:val="24"/>
          <w:szCs w:val="24"/>
        </w:rPr>
        <w:t>.</w:t>
      </w:r>
      <w:r w:rsidRPr="00D45D63">
        <w:rPr>
          <w:rFonts w:ascii="Times New Roman" w:hAnsi="Times New Roman" w:cs="Times New Roman"/>
          <w:sz w:val="24"/>
          <w:szCs w:val="24"/>
        </w:rPr>
        <w:t xml:space="preserve"> Operacionalización del Constructo Talento Humano Calificado (THC)</w:t>
      </w:r>
    </w:p>
    <w:tbl>
      <w:tblPr>
        <w:tblStyle w:val="Tablaconcuadrcula"/>
        <w:tblW w:w="0" w:type="auto"/>
        <w:tblCellMar>
          <w:left w:w="57" w:type="dxa"/>
          <w:right w:w="57" w:type="dxa"/>
        </w:tblCellMar>
        <w:tblLook w:val="04A0" w:firstRow="1" w:lastRow="0" w:firstColumn="1" w:lastColumn="0" w:noHBand="0" w:noVBand="1"/>
      </w:tblPr>
      <w:tblGrid>
        <w:gridCol w:w="1323"/>
        <w:gridCol w:w="1839"/>
        <w:gridCol w:w="2042"/>
        <w:gridCol w:w="3624"/>
      </w:tblGrid>
      <w:tr w:rsidR="00181CB4" w:rsidRPr="00F20F99" w14:paraId="051E5823" w14:textId="77777777" w:rsidTr="00F20F99">
        <w:tc>
          <w:tcPr>
            <w:tcW w:w="1350" w:type="dxa"/>
            <w:vAlign w:val="center"/>
          </w:tcPr>
          <w:p w14:paraId="5C033F4E" w14:textId="77777777" w:rsidR="00227918" w:rsidRPr="00F20F99" w:rsidRDefault="00227918" w:rsidP="008E79D6">
            <w:pPr>
              <w:rPr>
                <w:rFonts w:ascii="Times New Roman" w:hAnsi="Times New Roman" w:cs="Times New Roman"/>
                <w:sz w:val="24"/>
                <w:szCs w:val="24"/>
              </w:rPr>
            </w:pPr>
            <w:r w:rsidRPr="00F20F99">
              <w:rPr>
                <w:rFonts w:ascii="Times New Roman" w:hAnsi="Times New Roman" w:cs="Times New Roman"/>
                <w:sz w:val="24"/>
                <w:szCs w:val="24"/>
              </w:rPr>
              <w:t>Constructo</w:t>
            </w:r>
          </w:p>
        </w:tc>
        <w:tc>
          <w:tcPr>
            <w:tcW w:w="1911" w:type="dxa"/>
            <w:vAlign w:val="center"/>
          </w:tcPr>
          <w:p w14:paraId="03A07413" w14:textId="77777777" w:rsidR="00227918" w:rsidRPr="00F20F99" w:rsidRDefault="00227918" w:rsidP="008E79D6">
            <w:pPr>
              <w:rPr>
                <w:rFonts w:ascii="Times New Roman" w:hAnsi="Times New Roman" w:cs="Times New Roman"/>
                <w:sz w:val="24"/>
                <w:szCs w:val="24"/>
              </w:rPr>
            </w:pPr>
            <w:r w:rsidRPr="00F20F99">
              <w:rPr>
                <w:rFonts w:ascii="Times New Roman" w:hAnsi="Times New Roman" w:cs="Times New Roman"/>
                <w:sz w:val="24"/>
                <w:szCs w:val="24"/>
              </w:rPr>
              <w:t>Descripción Conceptual</w:t>
            </w:r>
          </w:p>
        </w:tc>
        <w:tc>
          <w:tcPr>
            <w:tcW w:w="2121" w:type="dxa"/>
            <w:vAlign w:val="center"/>
          </w:tcPr>
          <w:p w14:paraId="3D919D1F" w14:textId="77777777" w:rsidR="00227918" w:rsidRPr="00F20F99" w:rsidRDefault="00227918" w:rsidP="008E79D6">
            <w:pPr>
              <w:rPr>
                <w:rFonts w:ascii="Times New Roman" w:hAnsi="Times New Roman" w:cs="Times New Roman"/>
                <w:sz w:val="24"/>
                <w:szCs w:val="24"/>
              </w:rPr>
            </w:pPr>
            <w:r w:rsidRPr="00F20F99">
              <w:rPr>
                <w:rFonts w:ascii="Times New Roman" w:hAnsi="Times New Roman" w:cs="Times New Roman"/>
                <w:sz w:val="24"/>
                <w:szCs w:val="24"/>
              </w:rPr>
              <w:t>Descripción Operativa</w:t>
            </w:r>
          </w:p>
        </w:tc>
        <w:tc>
          <w:tcPr>
            <w:tcW w:w="4012" w:type="dxa"/>
            <w:vAlign w:val="center"/>
          </w:tcPr>
          <w:p w14:paraId="16458C26" w14:textId="77777777" w:rsidR="00227918" w:rsidRPr="00F20F99" w:rsidRDefault="00227918" w:rsidP="008E79D6">
            <w:pPr>
              <w:rPr>
                <w:rFonts w:ascii="Times New Roman" w:hAnsi="Times New Roman" w:cs="Times New Roman"/>
                <w:sz w:val="24"/>
                <w:szCs w:val="24"/>
              </w:rPr>
            </w:pPr>
            <w:r w:rsidRPr="00F20F99">
              <w:rPr>
                <w:rFonts w:ascii="Times New Roman" w:hAnsi="Times New Roman" w:cs="Times New Roman"/>
                <w:sz w:val="24"/>
                <w:szCs w:val="24"/>
              </w:rPr>
              <w:t>Ítems para medición</w:t>
            </w:r>
          </w:p>
        </w:tc>
      </w:tr>
      <w:tr w:rsidR="00181CB4" w:rsidRPr="00F20F99" w14:paraId="17A1CEE9" w14:textId="77777777" w:rsidTr="00F20F99">
        <w:tc>
          <w:tcPr>
            <w:tcW w:w="1350" w:type="dxa"/>
            <w:vMerge w:val="restart"/>
          </w:tcPr>
          <w:p w14:paraId="0420CF4A" w14:textId="189DB25A" w:rsidR="00227918" w:rsidRPr="00F20F99" w:rsidRDefault="00227918" w:rsidP="00B75D4D">
            <w:pPr>
              <w:jc w:val="both"/>
              <w:rPr>
                <w:rFonts w:ascii="Times New Roman" w:hAnsi="Times New Roman" w:cs="Times New Roman"/>
                <w:sz w:val="24"/>
                <w:szCs w:val="24"/>
              </w:rPr>
            </w:pPr>
            <w:r w:rsidRPr="00F20F99">
              <w:rPr>
                <w:rFonts w:ascii="Times New Roman" w:hAnsi="Times New Roman" w:cs="Times New Roman"/>
                <w:sz w:val="24"/>
                <w:szCs w:val="24"/>
              </w:rPr>
              <w:t>Talento Humano</w:t>
            </w:r>
          </w:p>
          <w:p w14:paraId="7827F161" w14:textId="661F6E13" w:rsidR="00227918" w:rsidRPr="00F20F99" w:rsidRDefault="00227918" w:rsidP="00B75D4D">
            <w:pPr>
              <w:jc w:val="both"/>
              <w:rPr>
                <w:rFonts w:ascii="Times New Roman" w:hAnsi="Times New Roman" w:cs="Times New Roman"/>
                <w:sz w:val="24"/>
                <w:szCs w:val="24"/>
              </w:rPr>
            </w:pPr>
            <w:r w:rsidRPr="00F20F99">
              <w:rPr>
                <w:rFonts w:ascii="Times New Roman" w:hAnsi="Times New Roman" w:cs="Times New Roman"/>
                <w:sz w:val="24"/>
                <w:szCs w:val="24"/>
              </w:rPr>
              <w:t>Calificado (THC)</w:t>
            </w:r>
          </w:p>
        </w:tc>
        <w:tc>
          <w:tcPr>
            <w:tcW w:w="1911" w:type="dxa"/>
            <w:vMerge w:val="restart"/>
          </w:tcPr>
          <w:p w14:paraId="2F641F0F" w14:textId="20C07A31" w:rsidR="00227918" w:rsidRPr="00F20F99" w:rsidRDefault="00227918" w:rsidP="00B75D4D">
            <w:pPr>
              <w:jc w:val="both"/>
              <w:rPr>
                <w:rFonts w:ascii="Times New Roman" w:hAnsi="Times New Roman" w:cs="Times New Roman"/>
                <w:sz w:val="24"/>
                <w:szCs w:val="24"/>
              </w:rPr>
            </w:pPr>
            <w:r w:rsidRPr="00F20F99">
              <w:rPr>
                <w:rFonts w:ascii="Times New Roman" w:hAnsi="Times New Roman" w:cs="Times New Roman"/>
                <w:sz w:val="24"/>
                <w:szCs w:val="24"/>
              </w:rPr>
              <w:t>empleados para realizar tareas que requieren habilidades específicas, experiencia y conocimiento avanzado.</w:t>
            </w:r>
          </w:p>
        </w:tc>
        <w:tc>
          <w:tcPr>
            <w:tcW w:w="2121" w:type="dxa"/>
            <w:vMerge w:val="restart"/>
          </w:tcPr>
          <w:p w14:paraId="0FF1F2E3" w14:textId="77777777" w:rsidR="00B75D4D" w:rsidRPr="00F20F99" w:rsidRDefault="00227918" w:rsidP="00B75D4D">
            <w:pPr>
              <w:jc w:val="both"/>
              <w:rPr>
                <w:rFonts w:ascii="Times New Roman" w:hAnsi="Times New Roman" w:cs="Times New Roman"/>
                <w:sz w:val="24"/>
                <w:szCs w:val="24"/>
              </w:rPr>
            </w:pPr>
            <w:r w:rsidRPr="00F20F99">
              <w:rPr>
                <w:rFonts w:ascii="Times New Roman" w:hAnsi="Times New Roman" w:cs="Times New Roman"/>
                <w:sz w:val="24"/>
                <w:szCs w:val="24"/>
              </w:rPr>
              <w:t>Evalúa la competencia y la</w:t>
            </w:r>
            <w:r w:rsidR="00B75D4D" w:rsidRPr="00F20F99">
              <w:rPr>
                <w:rFonts w:ascii="Times New Roman" w:hAnsi="Times New Roman" w:cs="Times New Roman"/>
                <w:sz w:val="24"/>
                <w:szCs w:val="24"/>
              </w:rPr>
              <w:t xml:space="preserve"> </w:t>
            </w:r>
            <w:r w:rsidRPr="00F20F99">
              <w:rPr>
                <w:rFonts w:ascii="Times New Roman" w:hAnsi="Times New Roman" w:cs="Times New Roman"/>
                <w:sz w:val="24"/>
                <w:szCs w:val="24"/>
              </w:rPr>
              <w:t>habilidad de los empleados</w:t>
            </w:r>
            <w:r w:rsidR="00B75D4D" w:rsidRPr="00F20F99">
              <w:rPr>
                <w:rFonts w:ascii="Times New Roman" w:hAnsi="Times New Roman" w:cs="Times New Roman"/>
                <w:sz w:val="24"/>
                <w:szCs w:val="24"/>
              </w:rPr>
              <w:t xml:space="preserve"> </w:t>
            </w:r>
            <w:r w:rsidRPr="00F20F99">
              <w:rPr>
                <w:rFonts w:ascii="Times New Roman" w:hAnsi="Times New Roman" w:cs="Times New Roman"/>
                <w:sz w:val="24"/>
                <w:szCs w:val="24"/>
              </w:rPr>
              <w:t>para ejecutar tareas que son</w:t>
            </w:r>
            <w:r w:rsidR="00B75D4D" w:rsidRPr="00F20F99">
              <w:rPr>
                <w:rFonts w:ascii="Times New Roman" w:hAnsi="Times New Roman" w:cs="Times New Roman"/>
                <w:sz w:val="24"/>
                <w:szCs w:val="24"/>
              </w:rPr>
              <w:t xml:space="preserve"> </w:t>
            </w:r>
            <w:r w:rsidRPr="00F20F99">
              <w:rPr>
                <w:rFonts w:ascii="Times New Roman" w:hAnsi="Times New Roman" w:cs="Times New Roman"/>
                <w:sz w:val="24"/>
                <w:szCs w:val="24"/>
              </w:rPr>
              <w:t>críticas para el éxito</w:t>
            </w:r>
            <w:r w:rsidR="00B75D4D" w:rsidRPr="00F20F99">
              <w:rPr>
                <w:rFonts w:ascii="Times New Roman" w:hAnsi="Times New Roman" w:cs="Times New Roman"/>
                <w:sz w:val="24"/>
                <w:szCs w:val="24"/>
              </w:rPr>
              <w:t xml:space="preserve"> </w:t>
            </w:r>
            <w:r w:rsidRPr="00F20F99">
              <w:rPr>
                <w:rFonts w:ascii="Times New Roman" w:hAnsi="Times New Roman" w:cs="Times New Roman"/>
                <w:sz w:val="24"/>
                <w:szCs w:val="24"/>
              </w:rPr>
              <w:t xml:space="preserve">organizacional. </w:t>
            </w:r>
          </w:p>
          <w:p w14:paraId="2F085000" w14:textId="33B04F06" w:rsidR="00227918" w:rsidRPr="00F20F99" w:rsidRDefault="00227918" w:rsidP="00B75D4D">
            <w:pPr>
              <w:jc w:val="both"/>
              <w:rPr>
                <w:rFonts w:ascii="Times New Roman" w:hAnsi="Times New Roman" w:cs="Times New Roman"/>
                <w:sz w:val="24"/>
                <w:szCs w:val="24"/>
              </w:rPr>
            </w:pPr>
            <w:r w:rsidRPr="00F20F99">
              <w:rPr>
                <w:rFonts w:ascii="Times New Roman" w:hAnsi="Times New Roman" w:cs="Times New Roman"/>
                <w:sz w:val="24"/>
                <w:szCs w:val="24"/>
              </w:rPr>
              <w:t>La</w:t>
            </w:r>
            <w:r w:rsidR="00B75D4D" w:rsidRPr="00F20F99">
              <w:rPr>
                <w:rFonts w:ascii="Times New Roman" w:hAnsi="Times New Roman" w:cs="Times New Roman"/>
                <w:sz w:val="24"/>
                <w:szCs w:val="24"/>
              </w:rPr>
              <w:t xml:space="preserve"> </w:t>
            </w:r>
            <w:r w:rsidRPr="00F20F99">
              <w:rPr>
                <w:rFonts w:ascii="Times New Roman" w:hAnsi="Times New Roman" w:cs="Times New Roman"/>
                <w:sz w:val="24"/>
                <w:szCs w:val="24"/>
              </w:rPr>
              <w:t>medición</w:t>
            </w:r>
            <w:r w:rsidR="00B75D4D" w:rsidRPr="00F20F99">
              <w:rPr>
                <w:rFonts w:ascii="Times New Roman" w:hAnsi="Times New Roman" w:cs="Times New Roman"/>
                <w:sz w:val="24"/>
                <w:szCs w:val="24"/>
              </w:rPr>
              <w:t xml:space="preserve"> </w:t>
            </w:r>
            <w:r w:rsidRPr="00F20F99">
              <w:rPr>
                <w:rFonts w:ascii="Times New Roman" w:hAnsi="Times New Roman" w:cs="Times New Roman"/>
                <w:sz w:val="24"/>
                <w:szCs w:val="24"/>
              </w:rPr>
              <w:t>se basa en la efectividad y la</w:t>
            </w:r>
            <w:r w:rsidR="00B75D4D" w:rsidRPr="00F20F99">
              <w:rPr>
                <w:rFonts w:ascii="Times New Roman" w:hAnsi="Times New Roman" w:cs="Times New Roman"/>
                <w:sz w:val="24"/>
                <w:szCs w:val="24"/>
              </w:rPr>
              <w:t xml:space="preserve"> </w:t>
            </w:r>
            <w:r w:rsidRPr="00F20F99">
              <w:rPr>
                <w:rFonts w:ascii="Times New Roman" w:hAnsi="Times New Roman" w:cs="Times New Roman"/>
                <w:sz w:val="24"/>
                <w:szCs w:val="24"/>
              </w:rPr>
              <w:t>eficiencia de las tareas</w:t>
            </w:r>
            <w:r w:rsidR="00B75D4D" w:rsidRPr="00F20F99">
              <w:rPr>
                <w:rFonts w:ascii="Times New Roman" w:hAnsi="Times New Roman" w:cs="Times New Roman"/>
                <w:sz w:val="24"/>
                <w:szCs w:val="24"/>
              </w:rPr>
              <w:t xml:space="preserve"> </w:t>
            </w:r>
            <w:r w:rsidRPr="00F20F99">
              <w:rPr>
                <w:rFonts w:ascii="Times New Roman" w:hAnsi="Times New Roman" w:cs="Times New Roman"/>
                <w:sz w:val="24"/>
                <w:szCs w:val="24"/>
              </w:rPr>
              <w:t>completadas, así como en la</w:t>
            </w:r>
            <w:r w:rsidR="00B75D4D" w:rsidRPr="00F20F99">
              <w:rPr>
                <w:rFonts w:ascii="Times New Roman" w:hAnsi="Times New Roman" w:cs="Times New Roman"/>
                <w:sz w:val="24"/>
                <w:szCs w:val="24"/>
              </w:rPr>
              <w:t xml:space="preserve"> </w:t>
            </w:r>
            <w:r w:rsidRPr="00F20F99">
              <w:rPr>
                <w:rFonts w:ascii="Times New Roman" w:hAnsi="Times New Roman" w:cs="Times New Roman"/>
                <w:sz w:val="24"/>
                <w:szCs w:val="24"/>
              </w:rPr>
              <w:t>innovación y la creatividad</w:t>
            </w:r>
            <w:r w:rsidR="00B75D4D" w:rsidRPr="00F20F99">
              <w:rPr>
                <w:rFonts w:ascii="Times New Roman" w:hAnsi="Times New Roman" w:cs="Times New Roman"/>
                <w:sz w:val="24"/>
                <w:szCs w:val="24"/>
              </w:rPr>
              <w:t xml:space="preserve"> </w:t>
            </w:r>
            <w:r w:rsidRPr="00F20F99">
              <w:rPr>
                <w:rFonts w:ascii="Times New Roman" w:hAnsi="Times New Roman" w:cs="Times New Roman"/>
                <w:sz w:val="24"/>
                <w:szCs w:val="24"/>
              </w:rPr>
              <w:t>demostrada.</w:t>
            </w:r>
          </w:p>
        </w:tc>
        <w:tc>
          <w:tcPr>
            <w:tcW w:w="4012" w:type="dxa"/>
          </w:tcPr>
          <w:p w14:paraId="6CF1E9C3" w14:textId="04C96647" w:rsidR="00227918" w:rsidRPr="00F20F99" w:rsidRDefault="00B75D4D" w:rsidP="00B75D4D">
            <w:pPr>
              <w:jc w:val="both"/>
              <w:rPr>
                <w:rFonts w:ascii="Times New Roman" w:hAnsi="Times New Roman" w:cs="Times New Roman"/>
                <w:sz w:val="24"/>
                <w:szCs w:val="24"/>
              </w:rPr>
            </w:pPr>
            <w:r w:rsidRPr="00F20F99">
              <w:rPr>
                <w:rFonts w:ascii="Times New Roman" w:hAnsi="Times New Roman" w:cs="Times New Roman"/>
                <w:sz w:val="24"/>
                <w:szCs w:val="24"/>
              </w:rPr>
              <w:t xml:space="preserve">THC1.- Los empleados demuestran habilidades avanzadas en sus respectivos campos de trabajo. </w:t>
            </w:r>
          </w:p>
        </w:tc>
      </w:tr>
      <w:tr w:rsidR="00181CB4" w:rsidRPr="00F20F99" w14:paraId="39B0A575" w14:textId="77777777" w:rsidTr="00F20F99">
        <w:tc>
          <w:tcPr>
            <w:tcW w:w="1350" w:type="dxa"/>
            <w:vMerge/>
          </w:tcPr>
          <w:p w14:paraId="358B77DE" w14:textId="77777777" w:rsidR="00227918" w:rsidRPr="00F20F99" w:rsidRDefault="00227918" w:rsidP="00B75D4D">
            <w:pPr>
              <w:jc w:val="both"/>
              <w:rPr>
                <w:rFonts w:ascii="Times New Roman" w:hAnsi="Times New Roman" w:cs="Times New Roman"/>
                <w:sz w:val="24"/>
                <w:szCs w:val="24"/>
              </w:rPr>
            </w:pPr>
          </w:p>
        </w:tc>
        <w:tc>
          <w:tcPr>
            <w:tcW w:w="1911" w:type="dxa"/>
            <w:vMerge/>
          </w:tcPr>
          <w:p w14:paraId="42825478" w14:textId="77777777" w:rsidR="00227918" w:rsidRPr="00F20F99" w:rsidRDefault="00227918" w:rsidP="00B75D4D">
            <w:pPr>
              <w:jc w:val="both"/>
              <w:rPr>
                <w:rFonts w:ascii="Times New Roman" w:hAnsi="Times New Roman" w:cs="Times New Roman"/>
                <w:sz w:val="24"/>
                <w:szCs w:val="24"/>
              </w:rPr>
            </w:pPr>
          </w:p>
        </w:tc>
        <w:tc>
          <w:tcPr>
            <w:tcW w:w="2121" w:type="dxa"/>
            <w:vMerge/>
          </w:tcPr>
          <w:p w14:paraId="1CEF4AC0" w14:textId="77777777" w:rsidR="00227918" w:rsidRPr="00F20F99" w:rsidRDefault="00227918" w:rsidP="00B75D4D">
            <w:pPr>
              <w:jc w:val="both"/>
              <w:rPr>
                <w:rFonts w:ascii="Times New Roman" w:hAnsi="Times New Roman" w:cs="Times New Roman"/>
                <w:sz w:val="24"/>
                <w:szCs w:val="24"/>
              </w:rPr>
            </w:pPr>
          </w:p>
        </w:tc>
        <w:tc>
          <w:tcPr>
            <w:tcW w:w="4012" w:type="dxa"/>
          </w:tcPr>
          <w:p w14:paraId="23136259" w14:textId="336F49C9" w:rsidR="00227918" w:rsidRPr="00F20F99" w:rsidRDefault="00B75D4D" w:rsidP="00B75D4D">
            <w:pPr>
              <w:jc w:val="both"/>
              <w:rPr>
                <w:rFonts w:ascii="Times New Roman" w:hAnsi="Times New Roman" w:cs="Times New Roman"/>
                <w:sz w:val="24"/>
                <w:szCs w:val="24"/>
              </w:rPr>
            </w:pPr>
            <w:r w:rsidRPr="00F20F99">
              <w:rPr>
                <w:rFonts w:ascii="Times New Roman" w:hAnsi="Times New Roman" w:cs="Times New Roman"/>
                <w:sz w:val="24"/>
                <w:szCs w:val="24"/>
              </w:rPr>
              <w:t>THC2.- Se llevan a cabo programas de formación continua para mantener y mejorar las habilidades de los empleados.</w:t>
            </w:r>
          </w:p>
        </w:tc>
      </w:tr>
      <w:tr w:rsidR="00181CB4" w:rsidRPr="00F20F99" w14:paraId="1CAB5FA9" w14:textId="77777777" w:rsidTr="00F20F99">
        <w:tc>
          <w:tcPr>
            <w:tcW w:w="1350" w:type="dxa"/>
            <w:vMerge/>
          </w:tcPr>
          <w:p w14:paraId="48C84B07" w14:textId="77777777" w:rsidR="00227918" w:rsidRPr="00F20F99" w:rsidRDefault="00227918" w:rsidP="00B75D4D">
            <w:pPr>
              <w:jc w:val="both"/>
              <w:rPr>
                <w:rFonts w:ascii="Times New Roman" w:hAnsi="Times New Roman" w:cs="Times New Roman"/>
                <w:sz w:val="24"/>
                <w:szCs w:val="24"/>
              </w:rPr>
            </w:pPr>
          </w:p>
        </w:tc>
        <w:tc>
          <w:tcPr>
            <w:tcW w:w="1911" w:type="dxa"/>
            <w:vMerge/>
          </w:tcPr>
          <w:p w14:paraId="46F316FF" w14:textId="77777777" w:rsidR="00227918" w:rsidRPr="00F20F99" w:rsidRDefault="00227918" w:rsidP="00B75D4D">
            <w:pPr>
              <w:jc w:val="both"/>
              <w:rPr>
                <w:rFonts w:ascii="Times New Roman" w:hAnsi="Times New Roman" w:cs="Times New Roman"/>
                <w:sz w:val="24"/>
                <w:szCs w:val="24"/>
              </w:rPr>
            </w:pPr>
          </w:p>
        </w:tc>
        <w:tc>
          <w:tcPr>
            <w:tcW w:w="2121" w:type="dxa"/>
            <w:vMerge/>
          </w:tcPr>
          <w:p w14:paraId="76C60B1A" w14:textId="77777777" w:rsidR="00227918" w:rsidRPr="00F20F99" w:rsidRDefault="00227918" w:rsidP="00B75D4D">
            <w:pPr>
              <w:jc w:val="both"/>
              <w:rPr>
                <w:rFonts w:ascii="Times New Roman" w:hAnsi="Times New Roman" w:cs="Times New Roman"/>
                <w:sz w:val="24"/>
                <w:szCs w:val="24"/>
              </w:rPr>
            </w:pPr>
          </w:p>
        </w:tc>
        <w:tc>
          <w:tcPr>
            <w:tcW w:w="4012" w:type="dxa"/>
          </w:tcPr>
          <w:p w14:paraId="26A4D5D0" w14:textId="652FCBF9" w:rsidR="00227918" w:rsidRPr="00F20F99" w:rsidRDefault="00B75D4D" w:rsidP="00B75D4D">
            <w:pPr>
              <w:jc w:val="both"/>
              <w:rPr>
                <w:rFonts w:ascii="Times New Roman" w:hAnsi="Times New Roman" w:cs="Times New Roman"/>
                <w:sz w:val="24"/>
                <w:szCs w:val="24"/>
              </w:rPr>
            </w:pPr>
            <w:r w:rsidRPr="00F20F99">
              <w:rPr>
                <w:rFonts w:ascii="Times New Roman" w:hAnsi="Times New Roman" w:cs="Times New Roman"/>
                <w:sz w:val="24"/>
                <w:szCs w:val="24"/>
              </w:rPr>
              <w:t>THC3.- Los empleados participan activamente en conferencias y talleres para mejorar sus habilidades.</w:t>
            </w:r>
          </w:p>
        </w:tc>
      </w:tr>
      <w:tr w:rsidR="00181CB4" w:rsidRPr="00F20F99" w14:paraId="02924AAD" w14:textId="77777777" w:rsidTr="00F20F99">
        <w:tc>
          <w:tcPr>
            <w:tcW w:w="1350" w:type="dxa"/>
            <w:vMerge/>
          </w:tcPr>
          <w:p w14:paraId="75819ABA" w14:textId="77777777" w:rsidR="00227918" w:rsidRPr="00F20F99" w:rsidRDefault="00227918" w:rsidP="00B75D4D">
            <w:pPr>
              <w:jc w:val="both"/>
              <w:rPr>
                <w:rFonts w:ascii="Times New Roman" w:hAnsi="Times New Roman" w:cs="Times New Roman"/>
                <w:sz w:val="24"/>
                <w:szCs w:val="24"/>
              </w:rPr>
            </w:pPr>
          </w:p>
        </w:tc>
        <w:tc>
          <w:tcPr>
            <w:tcW w:w="1911" w:type="dxa"/>
            <w:vMerge/>
          </w:tcPr>
          <w:p w14:paraId="0819C497" w14:textId="77777777" w:rsidR="00227918" w:rsidRPr="00F20F99" w:rsidRDefault="00227918" w:rsidP="00B75D4D">
            <w:pPr>
              <w:jc w:val="both"/>
              <w:rPr>
                <w:rFonts w:ascii="Times New Roman" w:hAnsi="Times New Roman" w:cs="Times New Roman"/>
                <w:sz w:val="24"/>
                <w:szCs w:val="24"/>
              </w:rPr>
            </w:pPr>
          </w:p>
        </w:tc>
        <w:tc>
          <w:tcPr>
            <w:tcW w:w="2121" w:type="dxa"/>
            <w:vMerge/>
          </w:tcPr>
          <w:p w14:paraId="5F978170" w14:textId="77777777" w:rsidR="00227918" w:rsidRPr="00F20F99" w:rsidRDefault="00227918" w:rsidP="00B75D4D">
            <w:pPr>
              <w:jc w:val="both"/>
              <w:rPr>
                <w:rFonts w:ascii="Times New Roman" w:hAnsi="Times New Roman" w:cs="Times New Roman"/>
                <w:sz w:val="24"/>
                <w:szCs w:val="24"/>
              </w:rPr>
            </w:pPr>
          </w:p>
        </w:tc>
        <w:tc>
          <w:tcPr>
            <w:tcW w:w="4012" w:type="dxa"/>
          </w:tcPr>
          <w:p w14:paraId="524D8273" w14:textId="19C5AC72" w:rsidR="00227918" w:rsidRPr="00F20F99" w:rsidRDefault="00B75D4D" w:rsidP="00B75D4D">
            <w:pPr>
              <w:jc w:val="both"/>
              <w:rPr>
                <w:rFonts w:ascii="Times New Roman" w:hAnsi="Times New Roman" w:cs="Times New Roman"/>
                <w:sz w:val="24"/>
                <w:szCs w:val="24"/>
              </w:rPr>
            </w:pPr>
            <w:r w:rsidRPr="00F20F99">
              <w:rPr>
                <w:rFonts w:ascii="Times New Roman" w:hAnsi="Times New Roman" w:cs="Times New Roman"/>
                <w:sz w:val="24"/>
                <w:szCs w:val="24"/>
              </w:rPr>
              <w:t xml:space="preserve">THC4.- La organización evalúa regularmente la competencia técnica de los empleados para asegurar su adecuación con los roles asignados. </w:t>
            </w:r>
          </w:p>
        </w:tc>
      </w:tr>
      <w:tr w:rsidR="00181CB4" w:rsidRPr="00F20F99" w14:paraId="00C24EC3" w14:textId="77777777" w:rsidTr="00F20F99">
        <w:tc>
          <w:tcPr>
            <w:tcW w:w="1350" w:type="dxa"/>
            <w:vMerge/>
          </w:tcPr>
          <w:p w14:paraId="41477A9B" w14:textId="77777777" w:rsidR="00227918" w:rsidRPr="00F20F99" w:rsidRDefault="00227918" w:rsidP="00B75D4D">
            <w:pPr>
              <w:jc w:val="both"/>
              <w:rPr>
                <w:rFonts w:ascii="Times New Roman" w:hAnsi="Times New Roman" w:cs="Times New Roman"/>
                <w:sz w:val="24"/>
                <w:szCs w:val="24"/>
              </w:rPr>
            </w:pPr>
          </w:p>
        </w:tc>
        <w:tc>
          <w:tcPr>
            <w:tcW w:w="1911" w:type="dxa"/>
            <w:vMerge/>
          </w:tcPr>
          <w:p w14:paraId="6E376925" w14:textId="77777777" w:rsidR="00227918" w:rsidRPr="00F20F99" w:rsidRDefault="00227918" w:rsidP="00B75D4D">
            <w:pPr>
              <w:jc w:val="both"/>
              <w:rPr>
                <w:rFonts w:ascii="Times New Roman" w:hAnsi="Times New Roman" w:cs="Times New Roman"/>
                <w:sz w:val="24"/>
                <w:szCs w:val="24"/>
              </w:rPr>
            </w:pPr>
          </w:p>
        </w:tc>
        <w:tc>
          <w:tcPr>
            <w:tcW w:w="2121" w:type="dxa"/>
            <w:vMerge/>
          </w:tcPr>
          <w:p w14:paraId="5EC9A34E" w14:textId="77777777" w:rsidR="00227918" w:rsidRPr="00F20F99" w:rsidRDefault="00227918" w:rsidP="00B75D4D">
            <w:pPr>
              <w:jc w:val="both"/>
              <w:rPr>
                <w:rFonts w:ascii="Times New Roman" w:hAnsi="Times New Roman" w:cs="Times New Roman"/>
                <w:sz w:val="24"/>
                <w:szCs w:val="24"/>
              </w:rPr>
            </w:pPr>
          </w:p>
        </w:tc>
        <w:tc>
          <w:tcPr>
            <w:tcW w:w="4012" w:type="dxa"/>
          </w:tcPr>
          <w:p w14:paraId="788AD2B4" w14:textId="6053D6D6" w:rsidR="00227918" w:rsidRPr="00F20F99" w:rsidRDefault="00B75D4D" w:rsidP="00B75D4D">
            <w:pPr>
              <w:jc w:val="both"/>
              <w:rPr>
                <w:rFonts w:ascii="Times New Roman" w:hAnsi="Times New Roman" w:cs="Times New Roman"/>
                <w:sz w:val="24"/>
                <w:szCs w:val="24"/>
              </w:rPr>
            </w:pPr>
            <w:r w:rsidRPr="00F20F99">
              <w:rPr>
                <w:rFonts w:ascii="Times New Roman" w:hAnsi="Times New Roman" w:cs="Times New Roman"/>
                <w:sz w:val="24"/>
                <w:szCs w:val="24"/>
              </w:rPr>
              <w:t>THC5.- Se incentiva y reconoce la innovación y la creatividad en la realización de tareas laborales.</w:t>
            </w:r>
          </w:p>
        </w:tc>
      </w:tr>
    </w:tbl>
    <w:p w14:paraId="4694B6FD" w14:textId="44D1E151" w:rsidR="00227918" w:rsidRPr="00D45D63" w:rsidRDefault="002A7B81" w:rsidP="002A7B81">
      <w:pPr>
        <w:spacing w:after="0" w:line="360" w:lineRule="auto"/>
        <w:jc w:val="center"/>
        <w:rPr>
          <w:rFonts w:ascii="Times New Roman" w:hAnsi="Times New Roman" w:cs="Times New Roman"/>
          <w:sz w:val="24"/>
          <w:szCs w:val="24"/>
        </w:rPr>
      </w:pPr>
      <w:r w:rsidRPr="00D45D63">
        <w:rPr>
          <w:rFonts w:ascii="Times New Roman" w:hAnsi="Times New Roman" w:cs="Times New Roman"/>
          <w:sz w:val="24"/>
          <w:szCs w:val="24"/>
        </w:rPr>
        <w:t>Fuente: Elaboración propia</w:t>
      </w:r>
    </w:p>
    <w:p w14:paraId="42BDADAD" w14:textId="77777777" w:rsidR="002A7B81" w:rsidRPr="00D45D63" w:rsidRDefault="002A7B81" w:rsidP="002A7B81">
      <w:pPr>
        <w:spacing w:after="0" w:line="360" w:lineRule="auto"/>
        <w:jc w:val="center"/>
        <w:rPr>
          <w:rFonts w:ascii="Times New Roman" w:hAnsi="Times New Roman" w:cs="Times New Roman"/>
          <w:sz w:val="24"/>
          <w:szCs w:val="24"/>
        </w:rPr>
      </w:pPr>
    </w:p>
    <w:p w14:paraId="15D9CB78" w14:textId="66E95DAA" w:rsidR="007C382D" w:rsidRPr="00D45D63" w:rsidRDefault="007C382D" w:rsidP="00F20F99">
      <w:pPr>
        <w:spacing w:after="0" w:line="360" w:lineRule="auto"/>
        <w:jc w:val="center"/>
        <w:rPr>
          <w:rFonts w:ascii="Times New Roman" w:hAnsi="Times New Roman" w:cs="Times New Roman"/>
          <w:b/>
          <w:bCs/>
          <w:sz w:val="24"/>
          <w:szCs w:val="24"/>
        </w:rPr>
      </w:pPr>
      <w:r w:rsidRPr="00D45D63">
        <w:rPr>
          <w:rFonts w:ascii="Times New Roman" w:hAnsi="Times New Roman" w:cs="Times New Roman"/>
          <w:b/>
          <w:bCs/>
          <w:sz w:val="24"/>
          <w:szCs w:val="24"/>
        </w:rPr>
        <w:t>Cultura de Aprendizaje</w:t>
      </w:r>
    </w:p>
    <w:p w14:paraId="63F60C31" w14:textId="029471CC" w:rsidR="00B75D4D" w:rsidRPr="00D45D63"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La cultura de aprendizaje</w:t>
      </w:r>
      <w:r w:rsidR="00DF400D">
        <w:rPr>
          <w:rFonts w:ascii="Times New Roman" w:hAnsi="Times New Roman" w:cs="Times New Roman"/>
          <w:sz w:val="24"/>
          <w:szCs w:val="24"/>
        </w:rPr>
        <w:t xml:space="preserve"> (CA)</w:t>
      </w:r>
      <w:r w:rsidRPr="00D45D63">
        <w:rPr>
          <w:rFonts w:ascii="Times New Roman" w:hAnsi="Times New Roman" w:cs="Times New Roman"/>
          <w:sz w:val="24"/>
          <w:szCs w:val="24"/>
        </w:rPr>
        <w:t xml:space="preserve"> en el contexto organizacional se refiere a un conjunto de prácticas, creencias,</w:t>
      </w:r>
      <w:r w:rsidR="00B75D4D" w:rsidRPr="00D45D63">
        <w:rPr>
          <w:rFonts w:ascii="Times New Roman" w:hAnsi="Times New Roman" w:cs="Times New Roman"/>
          <w:sz w:val="24"/>
          <w:szCs w:val="24"/>
        </w:rPr>
        <w:t xml:space="preserve"> </w:t>
      </w:r>
      <w:r w:rsidRPr="00D45D63">
        <w:rPr>
          <w:rFonts w:ascii="Times New Roman" w:hAnsi="Times New Roman" w:cs="Times New Roman"/>
          <w:sz w:val="24"/>
          <w:szCs w:val="24"/>
        </w:rPr>
        <w:t>valores y normas que promueven y sostienen el aprendizaje continuo dentro de una organización. Esta cultura</w:t>
      </w:r>
      <w:r w:rsidR="00B75D4D" w:rsidRPr="00D45D63">
        <w:rPr>
          <w:rFonts w:ascii="Times New Roman" w:hAnsi="Times New Roman" w:cs="Times New Roman"/>
          <w:sz w:val="24"/>
          <w:szCs w:val="24"/>
        </w:rPr>
        <w:t xml:space="preserve"> </w:t>
      </w:r>
      <w:r w:rsidRPr="00D45D63">
        <w:rPr>
          <w:rFonts w:ascii="Times New Roman" w:hAnsi="Times New Roman" w:cs="Times New Roman"/>
          <w:sz w:val="24"/>
          <w:szCs w:val="24"/>
        </w:rPr>
        <w:t>fomenta un entorno en el que la adquisición, el intercambio y la aplicación del conocimiento son valorados y</w:t>
      </w:r>
      <w:r w:rsidR="00B75D4D" w:rsidRPr="00D45D63">
        <w:rPr>
          <w:rFonts w:ascii="Times New Roman" w:hAnsi="Times New Roman" w:cs="Times New Roman"/>
          <w:sz w:val="24"/>
          <w:szCs w:val="24"/>
        </w:rPr>
        <w:t xml:space="preserve"> </w:t>
      </w:r>
      <w:r w:rsidRPr="00D45D63">
        <w:rPr>
          <w:rFonts w:ascii="Times New Roman" w:hAnsi="Times New Roman" w:cs="Times New Roman"/>
          <w:sz w:val="24"/>
          <w:szCs w:val="24"/>
        </w:rPr>
        <w:t>facilitados, lo que a su vez permite a la organización adaptarse y evolucionar en respuesta a los cambios y</w:t>
      </w:r>
      <w:r w:rsidR="00B75D4D"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desafíos del entorno. La </w:t>
      </w:r>
      <w:r w:rsidR="00DF400D">
        <w:rPr>
          <w:rFonts w:ascii="Times New Roman" w:hAnsi="Times New Roman" w:cs="Times New Roman"/>
          <w:sz w:val="24"/>
          <w:szCs w:val="24"/>
        </w:rPr>
        <w:t xml:space="preserve">CA </w:t>
      </w:r>
      <w:r w:rsidRPr="00D45D63">
        <w:rPr>
          <w:rFonts w:ascii="Times New Roman" w:hAnsi="Times New Roman" w:cs="Times New Roman"/>
          <w:sz w:val="24"/>
          <w:szCs w:val="24"/>
        </w:rPr>
        <w:t>se caracteriza por el apoyo a la experimentación, la reflexión y</w:t>
      </w:r>
      <w:r w:rsidR="00B75D4D" w:rsidRPr="00D45D63">
        <w:rPr>
          <w:rFonts w:ascii="Times New Roman" w:hAnsi="Times New Roman" w:cs="Times New Roman"/>
          <w:sz w:val="24"/>
          <w:szCs w:val="24"/>
        </w:rPr>
        <w:t xml:space="preserve"> </w:t>
      </w:r>
      <w:r w:rsidRPr="00D45D63">
        <w:rPr>
          <w:rFonts w:ascii="Times New Roman" w:hAnsi="Times New Roman" w:cs="Times New Roman"/>
          <w:sz w:val="24"/>
          <w:szCs w:val="24"/>
        </w:rPr>
        <w:t>el intercambio de conocimientos, así como por la disposición a aprender de los errores y el fomento de la</w:t>
      </w:r>
      <w:r w:rsidR="00B75D4D"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curiosidad y la innovación entre los empleados </w:t>
      </w:r>
      <w:r w:rsidR="00D82BDE" w:rsidRPr="00D45D63">
        <w:rPr>
          <w:rFonts w:ascii="Times New Roman" w:hAnsi="Times New Roman" w:cs="Times New Roman"/>
          <w:sz w:val="24"/>
          <w:szCs w:val="24"/>
        </w:rPr>
        <w:t>(</w:t>
      </w:r>
      <w:r w:rsidRPr="00D45D63">
        <w:rPr>
          <w:rFonts w:ascii="Times New Roman" w:hAnsi="Times New Roman" w:cs="Times New Roman"/>
          <w:sz w:val="24"/>
          <w:szCs w:val="24"/>
        </w:rPr>
        <w:t>Garzón</w:t>
      </w:r>
      <w:r w:rsidR="00D82BDE" w:rsidRPr="00D45D63">
        <w:rPr>
          <w:rFonts w:ascii="Times New Roman" w:hAnsi="Times New Roman" w:cs="Times New Roman"/>
          <w:sz w:val="24"/>
          <w:szCs w:val="24"/>
        </w:rPr>
        <w:t xml:space="preserve">, </w:t>
      </w:r>
      <w:r w:rsidRPr="00D45D63">
        <w:rPr>
          <w:rFonts w:ascii="Times New Roman" w:hAnsi="Times New Roman" w:cs="Times New Roman"/>
          <w:sz w:val="24"/>
          <w:szCs w:val="24"/>
        </w:rPr>
        <w:t>2018).</w:t>
      </w:r>
    </w:p>
    <w:p w14:paraId="1B49998C" w14:textId="48714156" w:rsidR="00700D41" w:rsidRDefault="007C382D" w:rsidP="00F20F99">
      <w:pPr>
        <w:spacing w:after="0" w:line="360" w:lineRule="auto"/>
        <w:ind w:firstLine="709"/>
        <w:jc w:val="both"/>
        <w:rPr>
          <w:rFonts w:ascii="Times New Roman" w:hAnsi="Times New Roman" w:cs="Times New Roman"/>
          <w:sz w:val="24"/>
          <w:szCs w:val="24"/>
        </w:rPr>
      </w:pPr>
      <w:proofErr w:type="spellStart"/>
      <w:r w:rsidRPr="00D45D63">
        <w:rPr>
          <w:rFonts w:ascii="Times New Roman" w:hAnsi="Times New Roman" w:cs="Times New Roman"/>
          <w:sz w:val="24"/>
          <w:szCs w:val="24"/>
        </w:rPr>
        <w:t>Halmaghi</w:t>
      </w:r>
      <w:proofErr w:type="spellEnd"/>
      <w:r w:rsidRPr="00D45D63">
        <w:rPr>
          <w:rFonts w:ascii="Times New Roman" w:hAnsi="Times New Roman" w:cs="Times New Roman"/>
          <w:sz w:val="24"/>
          <w:szCs w:val="24"/>
        </w:rPr>
        <w:t xml:space="preserve"> y </w:t>
      </w:r>
      <w:proofErr w:type="spellStart"/>
      <w:r w:rsidR="00C406B8" w:rsidRPr="00D45D63">
        <w:rPr>
          <w:rFonts w:ascii="Times New Roman" w:hAnsi="Times New Roman" w:cs="Times New Roman"/>
          <w:sz w:val="24"/>
          <w:szCs w:val="24"/>
        </w:rPr>
        <w:t>Todăriță</w:t>
      </w:r>
      <w:proofErr w:type="spellEnd"/>
      <w:r w:rsidR="00C406B8" w:rsidRPr="00D45D63">
        <w:rPr>
          <w:rFonts w:ascii="Times New Roman" w:hAnsi="Times New Roman" w:cs="Times New Roman"/>
          <w:sz w:val="24"/>
          <w:szCs w:val="24"/>
        </w:rPr>
        <w:t xml:space="preserve"> </w:t>
      </w:r>
      <w:r w:rsidRPr="00D45D63">
        <w:rPr>
          <w:rFonts w:ascii="Times New Roman" w:hAnsi="Times New Roman" w:cs="Times New Roman"/>
          <w:sz w:val="24"/>
          <w:szCs w:val="24"/>
        </w:rPr>
        <w:t>(2023) proponen que el aprendizaje en una organización tiene un impacto significativo</w:t>
      </w:r>
      <w:r w:rsidR="00B75D4D" w:rsidRPr="00D45D63">
        <w:rPr>
          <w:rFonts w:ascii="Times New Roman" w:hAnsi="Times New Roman" w:cs="Times New Roman"/>
          <w:sz w:val="24"/>
          <w:szCs w:val="24"/>
        </w:rPr>
        <w:t xml:space="preserve"> </w:t>
      </w:r>
      <w:r w:rsidRPr="00D45D63">
        <w:rPr>
          <w:rFonts w:ascii="Times New Roman" w:hAnsi="Times New Roman" w:cs="Times New Roman"/>
          <w:sz w:val="24"/>
          <w:szCs w:val="24"/>
        </w:rPr>
        <w:t>en su capacidad de adaptación y desarrollo y que una cultura de aprendizaje robusta permite a la organización</w:t>
      </w:r>
      <w:r w:rsidR="00B75D4D" w:rsidRPr="00D45D63">
        <w:rPr>
          <w:rFonts w:ascii="Times New Roman" w:hAnsi="Times New Roman" w:cs="Times New Roman"/>
          <w:sz w:val="24"/>
          <w:szCs w:val="24"/>
        </w:rPr>
        <w:t xml:space="preserve"> </w:t>
      </w:r>
      <w:r w:rsidRPr="00D45D63">
        <w:rPr>
          <w:rFonts w:ascii="Times New Roman" w:hAnsi="Times New Roman" w:cs="Times New Roman"/>
          <w:sz w:val="24"/>
          <w:szCs w:val="24"/>
        </w:rPr>
        <w:t>ser más flexible y adaptable, lo que es crucial para sobrevivir y prosperar en un entorno competitivo y en</w:t>
      </w:r>
      <w:r w:rsidR="00B75D4D" w:rsidRPr="00D45D63">
        <w:rPr>
          <w:rFonts w:ascii="Times New Roman" w:hAnsi="Times New Roman" w:cs="Times New Roman"/>
          <w:sz w:val="24"/>
          <w:szCs w:val="24"/>
        </w:rPr>
        <w:t xml:space="preserve"> </w:t>
      </w:r>
      <w:r w:rsidRPr="00D45D63">
        <w:rPr>
          <w:rFonts w:ascii="Times New Roman" w:hAnsi="Times New Roman" w:cs="Times New Roman"/>
          <w:sz w:val="24"/>
          <w:szCs w:val="24"/>
        </w:rPr>
        <w:t>constante cambio. Esta cultura fomenta la innovación, la solución efectiva de problemas y la retención de</w:t>
      </w:r>
      <w:r w:rsidR="00B75D4D" w:rsidRPr="00D45D63">
        <w:rPr>
          <w:rFonts w:ascii="Times New Roman" w:hAnsi="Times New Roman" w:cs="Times New Roman"/>
          <w:sz w:val="24"/>
          <w:szCs w:val="24"/>
        </w:rPr>
        <w:t xml:space="preserve"> </w:t>
      </w:r>
      <w:r w:rsidRPr="00D45D63">
        <w:rPr>
          <w:rFonts w:ascii="Times New Roman" w:hAnsi="Times New Roman" w:cs="Times New Roman"/>
          <w:sz w:val="24"/>
          <w:szCs w:val="24"/>
        </w:rPr>
        <w:t>empleados, lo que conduce a una mayor eficiencia, productividad y rentabilidad en la organización, además</w:t>
      </w:r>
      <w:r w:rsidR="00B75D4D" w:rsidRPr="00D45D63">
        <w:rPr>
          <w:rFonts w:ascii="Times New Roman" w:hAnsi="Times New Roman" w:cs="Times New Roman"/>
          <w:sz w:val="24"/>
          <w:szCs w:val="24"/>
        </w:rPr>
        <w:t xml:space="preserve"> </w:t>
      </w:r>
      <w:r w:rsidRPr="00D45D63">
        <w:rPr>
          <w:rFonts w:ascii="Times New Roman" w:hAnsi="Times New Roman" w:cs="Times New Roman"/>
          <w:sz w:val="24"/>
          <w:szCs w:val="24"/>
        </w:rPr>
        <w:t>promueve el pensamiento crítico, la comunicación abierta, y la colaboración, asegurando un esfuerzo colectivo</w:t>
      </w:r>
      <w:r w:rsidR="00B75D4D" w:rsidRPr="00D45D63">
        <w:rPr>
          <w:rFonts w:ascii="Times New Roman" w:hAnsi="Times New Roman" w:cs="Times New Roman"/>
          <w:sz w:val="24"/>
          <w:szCs w:val="24"/>
        </w:rPr>
        <w:t xml:space="preserve"> </w:t>
      </w:r>
      <w:r w:rsidRPr="00D45D63">
        <w:rPr>
          <w:rFonts w:ascii="Times New Roman" w:hAnsi="Times New Roman" w:cs="Times New Roman"/>
          <w:sz w:val="24"/>
          <w:szCs w:val="24"/>
        </w:rPr>
        <w:t>en el aprendizaje y el intercambio de conocimientos.</w:t>
      </w:r>
      <w:r w:rsidR="00B75D4D"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La Tabla 5 muestra </w:t>
      </w:r>
      <w:r w:rsidRPr="00D45D63">
        <w:rPr>
          <w:rFonts w:ascii="Times New Roman" w:hAnsi="Times New Roman" w:cs="Times New Roman"/>
          <w:sz w:val="24"/>
          <w:szCs w:val="24"/>
        </w:rPr>
        <w:lastRenderedPageBreak/>
        <w:t>la descripción conceptual, la descripción opera</w:t>
      </w:r>
      <w:r w:rsidR="00295E0C">
        <w:rPr>
          <w:rFonts w:ascii="Times New Roman" w:hAnsi="Times New Roman" w:cs="Times New Roman"/>
          <w:sz w:val="24"/>
          <w:szCs w:val="24"/>
        </w:rPr>
        <w:t>tiva</w:t>
      </w:r>
      <w:r w:rsidRPr="00D45D63">
        <w:rPr>
          <w:rFonts w:ascii="Times New Roman" w:hAnsi="Times New Roman" w:cs="Times New Roman"/>
          <w:sz w:val="24"/>
          <w:szCs w:val="24"/>
        </w:rPr>
        <w:t xml:space="preserve"> y los ítems propuestos para el</w:t>
      </w:r>
      <w:r w:rsidR="00B75D4D" w:rsidRPr="00D45D63">
        <w:rPr>
          <w:rFonts w:ascii="Times New Roman" w:hAnsi="Times New Roman" w:cs="Times New Roman"/>
          <w:sz w:val="24"/>
          <w:szCs w:val="24"/>
        </w:rPr>
        <w:t xml:space="preserve"> </w:t>
      </w:r>
      <w:r w:rsidRPr="00D45D63">
        <w:rPr>
          <w:rFonts w:ascii="Times New Roman" w:hAnsi="Times New Roman" w:cs="Times New Roman"/>
          <w:sz w:val="24"/>
          <w:szCs w:val="24"/>
        </w:rPr>
        <w:t>constructo CA.</w:t>
      </w:r>
    </w:p>
    <w:p w14:paraId="32F2E71A" w14:textId="77777777" w:rsidR="000E3D77" w:rsidRPr="00D45D63" w:rsidRDefault="000E3D77" w:rsidP="00B75D4D">
      <w:pPr>
        <w:spacing w:after="0" w:line="360" w:lineRule="auto"/>
        <w:jc w:val="both"/>
        <w:rPr>
          <w:rFonts w:ascii="Times New Roman" w:hAnsi="Times New Roman" w:cs="Times New Roman"/>
          <w:sz w:val="24"/>
          <w:szCs w:val="24"/>
        </w:rPr>
      </w:pPr>
    </w:p>
    <w:p w14:paraId="789BC6C3" w14:textId="37471057" w:rsidR="007C382D" w:rsidRPr="00D45D63" w:rsidRDefault="007C382D" w:rsidP="00F20F99">
      <w:pPr>
        <w:spacing w:after="0" w:line="360" w:lineRule="auto"/>
        <w:jc w:val="center"/>
        <w:rPr>
          <w:rFonts w:ascii="Times New Roman" w:hAnsi="Times New Roman" w:cs="Times New Roman"/>
          <w:sz w:val="24"/>
          <w:szCs w:val="24"/>
        </w:rPr>
      </w:pPr>
      <w:r w:rsidRPr="00FE4589">
        <w:rPr>
          <w:rFonts w:ascii="Times New Roman" w:hAnsi="Times New Roman" w:cs="Times New Roman"/>
          <w:b/>
          <w:bCs/>
          <w:sz w:val="24"/>
          <w:szCs w:val="24"/>
        </w:rPr>
        <w:t>Tabla 5</w:t>
      </w:r>
      <w:r w:rsidR="00FE4589">
        <w:rPr>
          <w:rFonts w:ascii="Times New Roman" w:hAnsi="Times New Roman" w:cs="Times New Roman"/>
          <w:b/>
          <w:bCs/>
          <w:sz w:val="24"/>
          <w:szCs w:val="24"/>
        </w:rPr>
        <w:t>.</w:t>
      </w:r>
      <w:r w:rsidRPr="00D45D63">
        <w:rPr>
          <w:rFonts w:ascii="Times New Roman" w:hAnsi="Times New Roman" w:cs="Times New Roman"/>
          <w:sz w:val="24"/>
          <w:szCs w:val="24"/>
        </w:rPr>
        <w:t xml:space="preserve"> Operacionalización del Constructo Cultura de Aprendizaje (CA)</w:t>
      </w:r>
    </w:p>
    <w:tbl>
      <w:tblPr>
        <w:tblStyle w:val="Tablaconcuadrcula"/>
        <w:tblW w:w="0" w:type="auto"/>
        <w:tblCellMar>
          <w:left w:w="57" w:type="dxa"/>
          <w:right w:w="57" w:type="dxa"/>
        </w:tblCellMar>
        <w:tblLook w:val="04A0" w:firstRow="1" w:lastRow="0" w:firstColumn="1" w:lastColumn="0" w:noHBand="0" w:noVBand="1"/>
      </w:tblPr>
      <w:tblGrid>
        <w:gridCol w:w="1287"/>
        <w:gridCol w:w="2007"/>
        <w:gridCol w:w="2030"/>
        <w:gridCol w:w="3504"/>
      </w:tblGrid>
      <w:tr w:rsidR="00181CB4" w:rsidRPr="00F20F99" w14:paraId="0ADCE8A9" w14:textId="77777777" w:rsidTr="00F20F99">
        <w:tc>
          <w:tcPr>
            <w:tcW w:w="1134" w:type="dxa"/>
            <w:vAlign w:val="center"/>
          </w:tcPr>
          <w:p w14:paraId="51CA5245" w14:textId="77777777" w:rsidR="00B75D4D" w:rsidRPr="00F20F99" w:rsidRDefault="00B75D4D" w:rsidP="008E79D6">
            <w:pPr>
              <w:rPr>
                <w:rFonts w:ascii="Times New Roman" w:hAnsi="Times New Roman" w:cs="Times New Roman"/>
                <w:sz w:val="24"/>
                <w:szCs w:val="24"/>
              </w:rPr>
            </w:pPr>
            <w:r w:rsidRPr="00F20F99">
              <w:rPr>
                <w:rFonts w:ascii="Times New Roman" w:hAnsi="Times New Roman" w:cs="Times New Roman"/>
                <w:sz w:val="24"/>
                <w:szCs w:val="24"/>
              </w:rPr>
              <w:t>Constructo</w:t>
            </w:r>
          </w:p>
        </w:tc>
        <w:tc>
          <w:tcPr>
            <w:tcW w:w="2127" w:type="dxa"/>
            <w:vAlign w:val="center"/>
          </w:tcPr>
          <w:p w14:paraId="59C30924" w14:textId="77777777" w:rsidR="00B75D4D" w:rsidRPr="00F20F99" w:rsidRDefault="00B75D4D" w:rsidP="008E79D6">
            <w:pPr>
              <w:rPr>
                <w:rFonts w:ascii="Times New Roman" w:hAnsi="Times New Roman" w:cs="Times New Roman"/>
                <w:sz w:val="24"/>
                <w:szCs w:val="24"/>
              </w:rPr>
            </w:pPr>
            <w:r w:rsidRPr="00F20F99">
              <w:rPr>
                <w:rFonts w:ascii="Times New Roman" w:hAnsi="Times New Roman" w:cs="Times New Roman"/>
                <w:sz w:val="24"/>
                <w:szCs w:val="24"/>
              </w:rPr>
              <w:t>Descripción Conceptual</w:t>
            </w:r>
          </w:p>
        </w:tc>
        <w:tc>
          <w:tcPr>
            <w:tcW w:w="2121" w:type="dxa"/>
            <w:vAlign w:val="center"/>
          </w:tcPr>
          <w:p w14:paraId="2A428F62" w14:textId="77777777" w:rsidR="00B75D4D" w:rsidRPr="00F20F99" w:rsidRDefault="00B75D4D" w:rsidP="008E79D6">
            <w:pPr>
              <w:rPr>
                <w:rFonts w:ascii="Times New Roman" w:hAnsi="Times New Roman" w:cs="Times New Roman"/>
                <w:sz w:val="24"/>
                <w:szCs w:val="24"/>
              </w:rPr>
            </w:pPr>
            <w:r w:rsidRPr="00F20F99">
              <w:rPr>
                <w:rFonts w:ascii="Times New Roman" w:hAnsi="Times New Roman" w:cs="Times New Roman"/>
                <w:sz w:val="24"/>
                <w:szCs w:val="24"/>
              </w:rPr>
              <w:t>Descripción Operativa</w:t>
            </w:r>
          </w:p>
        </w:tc>
        <w:tc>
          <w:tcPr>
            <w:tcW w:w="4012" w:type="dxa"/>
            <w:vAlign w:val="center"/>
          </w:tcPr>
          <w:p w14:paraId="56836C41" w14:textId="77777777" w:rsidR="00B75D4D" w:rsidRPr="00F20F99" w:rsidRDefault="00B75D4D" w:rsidP="008E79D6">
            <w:pPr>
              <w:rPr>
                <w:rFonts w:ascii="Times New Roman" w:hAnsi="Times New Roman" w:cs="Times New Roman"/>
                <w:sz w:val="24"/>
                <w:szCs w:val="24"/>
              </w:rPr>
            </w:pPr>
            <w:r w:rsidRPr="00F20F99">
              <w:rPr>
                <w:rFonts w:ascii="Times New Roman" w:hAnsi="Times New Roman" w:cs="Times New Roman"/>
                <w:sz w:val="24"/>
                <w:szCs w:val="24"/>
              </w:rPr>
              <w:t>Ítems para medición</w:t>
            </w:r>
          </w:p>
        </w:tc>
      </w:tr>
      <w:tr w:rsidR="00181CB4" w:rsidRPr="00F20F99" w14:paraId="4CF8DE11" w14:textId="77777777" w:rsidTr="00F20F99">
        <w:tc>
          <w:tcPr>
            <w:tcW w:w="1134" w:type="dxa"/>
            <w:vMerge w:val="restart"/>
          </w:tcPr>
          <w:p w14:paraId="57D65636" w14:textId="650485C3" w:rsidR="00B75D4D" w:rsidRPr="00F20F99" w:rsidRDefault="00B75D4D" w:rsidP="00B75D4D">
            <w:pPr>
              <w:jc w:val="both"/>
              <w:rPr>
                <w:rFonts w:ascii="Times New Roman" w:hAnsi="Times New Roman" w:cs="Times New Roman"/>
                <w:sz w:val="24"/>
                <w:szCs w:val="24"/>
              </w:rPr>
            </w:pPr>
            <w:r w:rsidRPr="00F20F99">
              <w:rPr>
                <w:rFonts w:ascii="Times New Roman" w:hAnsi="Times New Roman" w:cs="Times New Roman"/>
                <w:sz w:val="24"/>
                <w:szCs w:val="24"/>
              </w:rPr>
              <w:t>Cultura de Aprendizaje (CA)</w:t>
            </w:r>
          </w:p>
        </w:tc>
        <w:tc>
          <w:tcPr>
            <w:tcW w:w="2127" w:type="dxa"/>
            <w:vMerge w:val="restart"/>
          </w:tcPr>
          <w:p w14:paraId="54B64602" w14:textId="6FCA860B" w:rsidR="00B75D4D" w:rsidRPr="00F20F99" w:rsidRDefault="00B75D4D" w:rsidP="00B75D4D">
            <w:pPr>
              <w:jc w:val="both"/>
              <w:rPr>
                <w:rFonts w:ascii="Times New Roman" w:hAnsi="Times New Roman" w:cs="Times New Roman"/>
                <w:sz w:val="24"/>
                <w:szCs w:val="24"/>
              </w:rPr>
            </w:pPr>
            <w:r w:rsidRPr="00F20F99">
              <w:rPr>
                <w:rFonts w:ascii="Times New Roman" w:hAnsi="Times New Roman" w:cs="Times New Roman"/>
                <w:sz w:val="24"/>
                <w:szCs w:val="24"/>
              </w:rPr>
              <w:t xml:space="preserve">Enfoque organizacional hacia el aprendizaje continuo y el desarrollo del conocimiento. </w:t>
            </w:r>
          </w:p>
        </w:tc>
        <w:tc>
          <w:tcPr>
            <w:tcW w:w="2121" w:type="dxa"/>
            <w:vMerge w:val="restart"/>
          </w:tcPr>
          <w:p w14:paraId="6FA8A63F" w14:textId="36852B70" w:rsidR="00B75D4D" w:rsidRPr="00F20F99" w:rsidRDefault="00B75D4D" w:rsidP="00B75D4D">
            <w:pPr>
              <w:jc w:val="both"/>
              <w:rPr>
                <w:rFonts w:ascii="Times New Roman" w:hAnsi="Times New Roman" w:cs="Times New Roman"/>
                <w:sz w:val="24"/>
                <w:szCs w:val="24"/>
              </w:rPr>
            </w:pPr>
            <w:r w:rsidRPr="00F20F99">
              <w:rPr>
                <w:rFonts w:ascii="Times New Roman" w:hAnsi="Times New Roman" w:cs="Times New Roman"/>
                <w:sz w:val="24"/>
                <w:szCs w:val="24"/>
              </w:rPr>
              <w:t>Se centra en la creación de un entorno que promueve el aprendizaje continuo y el intercambio de conocimientos, así como en la implementación de políticas que apoyan la educación y el desarrollo profesional continuos.</w:t>
            </w:r>
          </w:p>
        </w:tc>
        <w:tc>
          <w:tcPr>
            <w:tcW w:w="4012" w:type="dxa"/>
          </w:tcPr>
          <w:p w14:paraId="33FEB1D4" w14:textId="0B92B402" w:rsidR="00B75D4D" w:rsidRPr="00F20F99" w:rsidRDefault="00B75D4D" w:rsidP="00B75D4D">
            <w:pPr>
              <w:jc w:val="both"/>
              <w:rPr>
                <w:rFonts w:ascii="Times New Roman" w:hAnsi="Times New Roman" w:cs="Times New Roman"/>
                <w:sz w:val="24"/>
                <w:szCs w:val="24"/>
              </w:rPr>
            </w:pPr>
            <w:r w:rsidRPr="00F20F99">
              <w:rPr>
                <w:rFonts w:ascii="Times New Roman" w:hAnsi="Times New Roman" w:cs="Times New Roman"/>
                <w:sz w:val="24"/>
                <w:szCs w:val="24"/>
              </w:rPr>
              <w:t>CA1.- La organización dispone de recursos dedicados al aprendizaje y desarrollo profesional.</w:t>
            </w:r>
          </w:p>
        </w:tc>
      </w:tr>
      <w:tr w:rsidR="00181CB4" w:rsidRPr="00F20F99" w14:paraId="50CF284A" w14:textId="77777777" w:rsidTr="00F20F99">
        <w:tc>
          <w:tcPr>
            <w:tcW w:w="1134" w:type="dxa"/>
            <w:vMerge/>
          </w:tcPr>
          <w:p w14:paraId="026C1A08" w14:textId="77777777" w:rsidR="00B75D4D" w:rsidRPr="00F20F99" w:rsidRDefault="00B75D4D" w:rsidP="00B75D4D">
            <w:pPr>
              <w:jc w:val="both"/>
              <w:rPr>
                <w:rFonts w:ascii="Times New Roman" w:hAnsi="Times New Roman" w:cs="Times New Roman"/>
                <w:sz w:val="24"/>
                <w:szCs w:val="24"/>
              </w:rPr>
            </w:pPr>
          </w:p>
        </w:tc>
        <w:tc>
          <w:tcPr>
            <w:tcW w:w="2127" w:type="dxa"/>
            <w:vMerge/>
          </w:tcPr>
          <w:p w14:paraId="082F4EF2" w14:textId="77777777" w:rsidR="00B75D4D" w:rsidRPr="00F20F99" w:rsidRDefault="00B75D4D" w:rsidP="00B75D4D">
            <w:pPr>
              <w:jc w:val="both"/>
              <w:rPr>
                <w:rFonts w:ascii="Times New Roman" w:hAnsi="Times New Roman" w:cs="Times New Roman"/>
                <w:sz w:val="24"/>
                <w:szCs w:val="24"/>
              </w:rPr>
            </w:pPr>
          </w:p>
        </w:tc>
        <w:tc>
          <w:tcPr>
            <w:tcW w:w="2121" w:type="dxa"/>
            <w:vMerge/>
          </w:tcPr>
          <w:p w14:paraId="19F44993" w14:textId="77777777" w:rsidR="00B75D4D" w:rsidRPr="00F20F99" w:rsidRDefault="00B75D4D" w:rsidP="00B75D4D">
            <w:pPr>
              <w:jc w:val="both"/>
              <w:rPr>
                <w:rFonts w:ascii="Times New Roman" w:hAnsi="Times New Roman" w:cs="Times New Roman"/>
                <w:sz w:val="24"/>
                <w:szCs w:val="24"/>
              </w:rPr>
            </w:pPr>
          </w:p>
        </w:tc>
        <w:tc>
          <w:tcPr>
            <w:tcW w:w="4012" w:type="dxa"/>
          </w:tcPr>
          <w:p w14:paraId="4BB74497" w14:textId="73B40540" w:rsidR="00B75D4D" w:rsidRPr="00F20F99" w:rsidRDefault="00B75D4D" w:rsidP="00B75D4D">
            <w:pPr>
              <w:jc w:val="both"/>
              <w:rPr>
                <w:rFonts w:ascii="Times New Roman" w:hAnsi="Times New Roman" w:cs="Times New Roman"/>
                <w:sz w:val="24"/>
                <w:szCs w:val="24"/>
              </w:rPr>
            </w:pPr>
            <w:r w:rsidRPr="00F20F99">
              <w:rPr>
                <w:rFonts w:ascii="Times New Roman" w:hAnsi="Times New Roman" w:cs="Times New Roman"/>
                <w:sz w:val="24"/>
                <w:szCs w:val="24"/>
              </w:rPr>
              <w:t xml:space="preserve">CA2.- Existen políticas que promueven y apoyan la participación en programas de educación continua. </w:t>
            </w:r>
          </w:p>
        </w:tc>
      </w:tr>
      <w:tr w:rsidR="00181CB4" w:rsidRPr="00F20F99" w14:paraId="10F9239D" w14:textId="77777777" w:rsidTr="00F20F99">
        <w:tc>
          <w:tcPr>
            <w:tcW w:w="1134" w:type="dxa"/>
            <w:vMerge/>
          </w:tcPr>
          <w:p w14:paraId="36496F5B" w14:textId="77777777" w:rsidR="00B75D4D" w:rsidRPr="00F20F99" w:rsidRDefault="00B75D4D" w:rsidP="00B75D4D">
            <w:pPr>
              <w:jc w:val="both"/>
              <w:rPr>
                <w:rFonts w:ascii="Times New Roman" w:hAnsi="Times New Roman" w:cs="Times New Roman"/>
                <w:sz w:val="24"/>
                <w:szCs w:val="24"/>
              </w:rPr>
            </w:pPr>
          </w:p>
        </w:tc>
        <w:tc>
          <w:tcPr>
            <w:tcW w:w="2127" w:type="dxa"/>
            <w:vMerge/>
          </w:tcPr>
          <w:p w14:paraId="3A41D30C" w14:textId="77777777" w:rsidR="00B75D4D" w:rsidRPr="00F20F99" w:rsidRDefault="00B75D4D" w:rsidP="00B75D4D">
            <w:pPr>
              <w:jc w:val="both"/>
              <w:rPr>
                <w:rFonts w:ascii="Times New Roman" w:hAnsi="Times New Roman" w:cs="Times New Roman"/>
                <w:sz w:val="24"/>
                <w:szCs w:val="24"/>
              </w:rPr>
            </w:pPr>
          </w:p>
        </w:tc>
        <w:tc>
          <w:tcPr>
            <w:tcW w:w="2121" w:type="dxa"/>
            <w:vMerge/>
          </w:tcPr>
          <w:p w14:paraId="0A4A36CC" w14:textId="77777777" w:rsidR="00B75D4D" w:rsidRPr="00F20F99" w:rsidRDefault="00B75D4D" w:rsidP="00B75D4D">
            <w:pPr>
              <w:jc w:val="both"/>
              <w:rPr>
                <w:rFonts w:ascii="Times New Roman" w:hAnsi="Times New Roman" w:cs="Times New Roman"/>
                <w:sz w:val="24"/>
                <w:szCs w:val="24"/>
              </w:rPr>
            </w:pPr>
          </w:p>
        </w:tc>
        <w:tc>
          <w:tcPr>
            <w:tcW w:w="4012" w:type="dxa"/>
          </w:tcPr>
          <w:p w14:paraId="5C24F5DE" w14:textId="761D9C56" w:rsidR="00B75D4D" w:rsidRPr="00F20F99" w:rsidRDefault="00B75D4D" w:rsidP="00B75D4D">
            <w:pPr>
              <w:jc w:val="both"/>
              <w:rPr>
                <w:rFonts w:ascii="Times New Roman" w:hAnsi="Times New Roman" w:cs="Times New Roman"/>
                <w:sz w:val="24"/>
                <w:szCs w:val="24"/>
              </w:rPr>
            </w:pPr>
            <w:r w:rsidRPr="00F20F99">
              <w:rPr>
                <w:rFonts w:ascii="Times New Roman" w:hAnsi="Times New Roman" w:cs="Times New Roman"/>
                <w:sz w:val="24"/>
                <w:szCs w:val="24"/>
              </w:rPr>
              <w:t xml:space="preserve">CA3.- Se fomenta el intercambio de conocimiento entre los empleados a través de plataformas colaborativas. </w:t>
            </w:r>
          </w:p>
        </w:tc>
      </w:tr>
      <w:tr w:rsidR="00181CB4" w:rsidRPr="00F20F99" w14:paraId="390C4795" w14:textId="77777777" w:rsidTr="00F20F99">
        <w:tc>
          <w:tcPr>
            <w:tcW w:w="1134" w:type="dxa"/>
            <w:vMerge/>
          </w:tcPr>
          <w:p w14:paraId="40D7E8F8" w14:textId="77777777" w:rsidR="00B75D4D" w:rsidRPr="00F20F99" w:rsidRDefault="00B75D4D" w:rsidP="00B75D4D">
            <w:pPr>
              <w:jc w:val="both"/>
              <w:rPr>
                <w:rFonts w:ascii="Times New Roman" w:hAnsi="Times New Roman" w:cs="Times New Roman"/>
                <w:sz w:val="24"/>
                <w:szCs w:val="24"/>
              </w:rPr>
            </w:pPr>
          </w:p>
        </w:tc>
        <w:tc>
          <w:tcPr>
            <w:tcW w:w="2127" w:type="dxa"/>
            <w:vMerge/>
          </w:tcPr>
          <w:p w14:paraId="36114F01" w14:textId="77777777" w:rsidR="00B75D4D" w:rsidRPr="00F20F99" w:rsidRDefault="00B75D4D" w:rsidP="00B75D4D">
            <w:pPr>
              <w:jc w:val="both"/>
              <w:rPr>
                <w:rFonts w:ascii="Times New Roman" w:hAnsi="Times New Roman" w:cs="Times New Roman"/>
                <w:sz w:val="24"/>
                <w:szCs w:val="24"/>
              </w:rPr>
            </w:pPr>
          </w:p>
        </w:tc>
        <w:tc>
          <w:tcPr>
            <w:tcW w:w="2121" w:type="dxa"/>
            <w:vMerge/>
          </w:tcPr>
          <w:p w14:paraId="5110BC31" w14:textId="77777777" w:rsidR="00B75D4D" w:rsidRPr="00F20F99" w:rsidRDefault="00B75D4D" w:rsidP="00B75D4D">
            <w:pPr>
              <w:jc w:val="both"/>
              <w:rPr>
                <w:rFonts w:ascii="Times New Roman" w:hAnsi="Times New Roman" w:cs="Times New Roman"/>
                <w:sz w:val="24"/>
                <w:szCs w:val="24"/>
              </w:rPr>
            </w:pPr>
          </w:p>
        </w:tc>
        <w:tc>
          <w:tcPr>
            <w:tcW w:w="4012" w:type="dxa"/>
          </w:tcPr>
          <w:p w14:paraId="0A10940C" w14:textId="4ABCC74D" w:rsidR="00B75D4D" w:rsidRPr="00F20F99" w:rsidRDefault="00B75D4D" w:rsidP="00B75D4D">
            <w:pPr>
              <w:jc w:val="both"/>
              <w:rPr>
                <w:rFonts w:ascii="Times New Roman" w:hAnsi="Times New Roman" w:cs="Times New Roman"/>
                <w:sz w:val="24"/>
                <w:szCs w:val="24"/>
              </w:rPr>
            </w:pPr>
            <w:r w:rsidRPr="00F20F99">
              <w:rPr>
                <w:rFonts w:ascii="Times New Roman" w:hAnsi="Times New Roman" w:cs="Times New Roman"/>
                <w:sz w:val="24"/>
                <w:szCs w:val="24"/>
              </w:rPr>
              <w:t xml:space="preserve">CA4.- Los líderes de la organización actúan como mentores para fomentar el desarrollo profesional de los empleados. </w:t>
            </w:r>
          </w:p>
        </w:tc>
      </w:tr>
      <w:tr w:rsidR="00181CB4" w:rsidRPr="00F20F99" w14:paraId="44F51272" w14:textId="77777777" w:rsidTr="00F20F99">
        <w:tc>
          <w:tcPr>
            <w:tcW w:w="1134" w:type="dxa"/>
            <w:vMerge/>
          </w:tcPr>
          <w:p w14:paraId="2722F3F3" w14:textId="77777777" w:rsidR="00B75D4D" w:rsidRPr="00F20F99" w:rsidRDefault="00B75D4D" w:rsidP="00B75D4D">
            <w:pPr>
              <w:jc w:val="both"/>
              <w:rPr>
                <w:rFonts w:ascii="Times New Roman" w:hAnsi="Times New Roman" w:cs="Times New Roman"/>
                <w:sz w:val="24"/>
                <w:szCs w:val="24"/>
              </w:rPr>
            </w:pPr>
          </w:p>
        </w:tc>
        <w:tc>
          <w:tcPr>
            <w:tcW w:w="2127" w:type="dxa"/>
            <w:vMerge/>
          </w:tcPr>
          <w:p w14:paraId="02F57C6F" w14:textId="77777777" w:rsidR="00B75D4D" w:rsidRPr="00F20F99" w:rsidRDefault="00B75D4D" w:rsidP="00B75D4D">
            <w:pPr>
              <w:jc w:val="both"/>
              <w:rPr>
                <w:rFonts w:ascii="Times New Roman" w:hAnsi="Times New Roman" w:cs="Times New Roman"/>
                <w:sz w:val="24"/>
                <w:szCs w:val="24"/>
              </w:rPr>
            </w:pPr>
          </w:p>
        </w:tc>
        <w:tc>
          <w:tcPr>
            <w:tcW w:w="2121" w:type="dxa"/>
            <w:vMerge/>
          </w:tcPr>
          <w:p w14:paraId="1EB368EC" w14:textId="77777777" w:rsidR="00B75D4D" w:rsidRPr="00F20F99" w:rsidRDefault="00B75D4D" w:rsidP="00B75D4D">
            <w:pPr>
              <w:jc w:val="both"/>
              <w:rPr>
                <w:rFonts w:ascii="Times New Roman" w:hAnsi="Times New Roman" w:cs="Times New Roman"/>
                <w:sz w:val="24"/>
                <w:szCs w:val="24"/>
              </w:rPr>
            </w:pPr>
          </w:p>
        </w:tc>
        <w:tc>
          <w:tcPr>
            <w:tcW w:w="4012" w:type="dxa"/>
          </w:tcPr>
          <w:p w14:paraId="63CCDADC" w14:textId="2B2649A9" w:rsidR="00B75D4D" w:rsidRPr="00F20F99" w:rsidRDefault="00B75D4D" w:rsidP="00B75D4D">
            <w:pPr>
              <w:jc w:val="both"/>
              <w:rPr>
                <w:rFonts w:ascii="Times New Roman" w:hAnsi="Times New Roman" w:cs="Times New Roman"/>
                <w:sz w:val="24"/>
                <w:szCs w:val="24"/>
              </w:rPr>
            </w:pPr>
            <w:r w:rsidRPr="00F20F99">
              <w:rPr>
                <w:rFonts w:ascii="Times New Roman" w:hAnsi="Times New Roman" w:cs="Times New Roman"/>
                <w:sz w:val="24"/>
                <w:szCs w:val="24"/>
              </w:rPr>
              <w:t xml:space="preserve">CA5.- Se evalúan regularmente las necesidades de aprendizaje para ajustar las políticas y recursos de desarrollo profesional. </w:t>
            </w:r>
          </w:p>
        </w:tc>
      </w:tr>
    </w:tbl>
    <w:p w14:paraId="3716F28F" w14:textId="2B4BF297" w:rsidR="00B75D4D" w:rsidRPr="00D45D63" w:rsidRDefault="002A7B81" w:rsidP="002A7B81">
      <w:pPr>
        <w:jc w:val="center"/>
        <w:rPr>
          <w:rFonts w:ascii="Times New Roman" w:hAnsi="Times New Roman" w:cs="Times New Roman"/>
          <w:sz w:val="24"/>
          <w:szCs w:val="24"/>
        </w:rPr>
      </w:pPr>
      <w:r w:rsidRPr="00D45D63">
        <w:rPr>
          <w:rFonts w:ascii="Times New Roman" w:hAnsi="Times New Roman" w:cs="Times New Roman"/>
          <w:sz w:val="24"/>
          <w:szCs w:val="24"/>
        </w:rPr>
        <w:t>Fuente: Elaboración propia</w:t>
      </w:r>
    </w:p>
    <w:p w14:paraId="1BA642E8" w14:textId="77777777" w:rsidR="002A7B81" w:rsidRPr="00D45D63" w:rsidRDefault="002A7B81" w:rsidP="007C382D"/>
    <w:p w14:paraId="268707E1" w14:textId="39F70CB5" w:rsidR="007C382D" w:rsidRPr="00D45D63" w:rsidRDefault="007C382D" w:rsidP="00F20F99">
      <w:pPr>
        <w:spacing w:after="0" w:line="360" w:lineRule="auto"/>
        <w:jc w:val="center"/>
        <w:rPr>
          <w:rFonts w:ascii="Times New Roman" w:hAnsi="Times New Roman" w:cs="Times New Roman"/>
          <w:b/>
          <w:bCs/>
          <w:sz w:val="24"/>
          <w:szCs w:val="24"/>
        </w:rPr>
      </w:pPr>
      <w:r w:rsidRPr="00D45D63">
        <w:rPr>
          <w:rFonts w:ascii="Times New Roman" w:hAnsi="Times New Roman" w:cs="Times New Roman"/>
          <w:b/>
          <w:bCs/>
          <w:sz w:val="24"/>
          <w:szCs w:val="24"/>
        </w:rPr>
        <w:t>Acceso a Fuentes de Conocimiento</w:t>
      </w:r>
    </w:p>
    <w:p w14:paraId="58F828AC" w14:textId="63E2791A" w:rsidR="003C39B4" w:rsidRPr="00D45D63"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En las organizaciones modernas, el acceso a fuentes de conocimiento</w:t>
      </w:r>
      <w:r w:rsidR="00DF400D">
        <w:rPr>
          <w:rFonts w:ascii="Times New Roman" w:hAnsi="Times New Roman" w:cs="Times New Roman"/>
          <w:sz w:val="24"/>
          <w:szCs w:val="24"/>
        </w:rPr>
        <w:t xml:space="preserve"> (AFC)</w:t>
      </w:r>
      <w:r w:rsidRPr="00D45D63">
        <w:rPr>
          <w:rFonts w:ascii="Times New Roman" w:hAnsi="Times New Roman" w:cs="Times New Roman"/>
          <w:sz w:val="24"/>
          <w:szCs w:val="24"/>
        </w:rPr>
        <w:t xml:space="preserve"> es la capacidad de adquirir y utilizar</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información y habilidades provenientes de una amplia gama de orígenes, tanto interpersonales como digitales,</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lo cual es vital para impulsar la productividad, la innovación y el óptimo desempeño de los empleados. Este</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enfoque integral asegura que el conocimiento operativo esencial no solo se conserve, sino que también se</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transmita eficientemente tanto a los empleados actuales como a los futuros, abarcando distintas formas de</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conocimiento, incluyendo el tácito y el explícito (Zhao </w:t>
      </w:r>
      <w:r w:rsidR="005939C7">
        <w:rPr>
          <w:rFonts w:ascii="Times New Roman" w:hAnsi="Times New Roman" w:cs="Times New Roman"/>
          <w:sz w:val="24"/>
          <w:szCs w:val="24"/>
        </w:rPr>
        <w:t>et ál</w:t>
      </w:r>
      <w:r w:rsidRPr="00D45D63">
        <w:rPr>
          <w:rFonts w:ascii="Times New Roman" w:hAnsi="Times New Roman" w:cs="Times New Roman"/>
          <w:sz w:val="24"/>
          <w:szCs w:val="24"/>
        </w:rPr>
        <w:t>., 2021).</w:t>
      </w:r>
    </w:p>
    <w:p w14:paraId="38FBF571" w14:textId="1B857168" w:rsidR="003C39B4" w:rsidRPr="00D45D63" w:rsidRDefault="0018027C"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E</w:t>
      </w:r>
      <w:r w:rsidR="007C382D" w:rsidRPr="00D45D63">
        <w:rPr>
          <w:rFonts w:ascii="Times New Roman" w:hAnsi="Times New Roman" w:cs="Times New Roman"/>
          <w:sz w:val="24"/>
          <w:szCs w:val="24"/>
        </w:rPr>
        <w:t>ste conocimiento puede provenir de diversas fuentes, como las</w:t>
      </w:r>
      <w:r w:rsidR="003C39B4" w:rsidRPr="00D45D63">
        <w:rPr>
          <w:rFonts w:ascii="Times New Roman" w:hAnsi="Times New Roman" w:cs="Times New Roman"/>
          <w:sz w:val="24"/>
          <w:szCs w:val="24"/>
        </w:rPr>
        <w:t xml:space="preserve"> </w:t>
      </w:r>
      <w:r w:rsidR="007C382D" w:rsidRPr="00D45D63">
        <w:rPr>
          <w:rFonts w:ascii="Times New Roman" w:hAnsi="Times New Roman" w:cs="Times New Roman"/>
          <w:sz w:val="24"/>
          <w:szCs w:val="24"/>
        </w:rPr>
        <w:t>actividades de capacitación de empleados, colaboraciones con clientes y proveedores. Estas últimas son</w:t>
      </w:r>
      <w:r w:rsidR="003C39B4" w:rsidRPr="00D45D63">
        <w:rPr>
          <w:rFonts w:ascii="Times New Roman" w:hAnsi="Times New Roman" w:cs="Times New Roman"/>
          <w:sz w:val="24"/>
          <w:szCs w:val="24"/>
        </w:rPr>
        <w:t xml:space="preserve"> </w:t>
      </w:r>
      <w:r w:rsidR="007C382D" w:rsidRPr="00D45D63">
        <w:rPr>
          <w:rFonts w:ascii="Times New Roman" w:hAnsi="Times New Roman" w:cs="Times New Roman"/>
          <w:sz w:val="24"/>
          <w:szCs w:val="24"/>
        </w:rPr>
        <w:t>especialmente valiosas, ya que amplían las habilidades y competencias más allá de las capacidades</w:t>
      </w:r>
      <w:r w:rsidR="003C39B4" w:rsidRPr="00D45D63">
        <w:rPr>
          <w:rFonts w:ascii="Times New Roman" w:hAnsi="Times New Roman" w:cs="Times New Roman"/>
          <w:sz w:val="24"/>
          <w:szCs w:val="24"/>
        </w:rPr>
        <w:t xml:space="preserve"> </w:t>
      </w:r>
      <w:r w:rsidR="007C382D" w:rsidRPr="00D45D63">
        <w:rPr>
          <w:rFonts w:ascii="Times New Roman" w:hAnsi="Times New Roman" w:cs="Times New Roman"/>
          <w:sz w:val="24"/>
          <w:szCs w:val="24"/>
        </w:rPr>
        <w:t>internas</w:t>
      </w:r>
      <w:r w:rsidR="003C39B4" w:rsidRPr="00D45D63">
        <w:rPr>
          <w:rFonts w:ascii="Times New Roman" w:hAnsi="Times New Roman" w:cs="Times New Roman"/>
          <w:sz w:val="24"/>
          <w:szCs w:val="24"/>
        </w:rPr>
        <w:t xml:space="preserve"> </w:t>
      </w:r>
      <w:r w:rsidR="007C382D" w:rsidRPr="00D45D63">
        <w:rPr>
          <w:rFonts w:ascii="Times New Roman" w:hAnsi="Times New Roman" w:cs="Times New Roman"/>
          <w:sz w:val="24"/>
          <w:szCs w:val="24"/>
        </w:rPr>
        <w:t xml:space="preserve">de la organización, lo que enfatiza la necesidad de una </w:t>
      </w:r>
      <w:r w:rsidR="00DB0E63">
        <w:rPr>
          <w:rFonts w:ascii="Times New Roman" w:hAnsi="Times New Roman" w:cs="Times New Roman"/>
          <w:sz w:val="24"/>
          <w:szCs w:val="24"/>
        </w:rPr>
        <w:t>GC</w:t>
      </w:r>
      <w:r w:rsidR="007C382D" w:rsidRPr="00D45D63">
        <w:rPr>
          <w:rFonts w:ascii="Times New Roman" w:hAnsi="Times New Roman" w:cs="Times New Roman"/>
          <w:sz w:val="24"/>
          <w:szCs w:val="24"/>
        </w:rPr>
        <w:t xml:space="preserve"> que integre </w:t>
      </w:r>
      <w:r w:rsidR="007C382D" w:rsidRPr="00D45D63">
        <w:rPr>
          <w:rFonts w:ascii="Times New Roman" w:hAnsi="Times New Roman" w:cs="Times New Roman"/>
          <w:sz w:val="24"/>
          <w:szCs w:val="24"/>
        </w:rPr>
        <w:lastRenderedPageBreak/>
        <w:t>tanto recursos</w:t>
      </w:r>
      <w:r w:rsidR="003C39B4" w:rsidRPr="00D45D63">
        <w:rPr>
          <w:rFonts w:ascii="Times New Roman" w:hAnsi="Times New Roman" w:cs="Times New Roman"/>
          <w:sz w:val="24"/>
          <w:szCs w:val="24"/>
        </w:rPr>
        <w:t xml:space="preserve"> </w:t>
      </w:r>
      <w:r w:rsidR="007C382D" w:rsidRPr="00D45D63">
        <w:rPr>
          <w:rFonts w:ascii="Times New Roman" w:hAnsi="Times New Roman" w:cs="Times New Roman"/>
          <w:sz w:val="24"/>
          <w:szCs w:val="24"/>
        </w:rPr>
        <w:t>internos como externos para fomentar el éxito organizacional</w:t>
      </w:r>
      <w:r w:rsidRPr="00D45D63">
        <w:rPr>
          <w:rFonts w:ascii="Times New Roman" w:hAnsi="Times New Roman" w:cs="Times New Roman"/>
          <w:sz w:val="24"/>
          <w:szCs w:val="24"/>
        </w:rPr>
        <w:t xml:space="preserve"> (</w:t>
      </w:r>
      <w:proofErr w:type="spellStart"/>
      <w:r w:rsidRPr="00D45D63">
        <w:rPr>
          <w:rFonts w:ascii="Times New Roman" w:hAnsi="Times New Roman" w:cs="Times New Roman"/>
          <w:sz w:val="24"/>
          <w:szCs w:val="24"/>
        </w:rPr>
        <w:t>Chae</w:t>
      </w:r>
      <w:proofErr w:type="spellEnd"/>
      <w:r w:rsidRPr="00D45D63">
        <w:rPr>
          <w:rFonts w:ascii="Times New Roman" w:hAnsi="Times New Roman" w:cs="Times New Roman"/>
          <w:sz w:val="24"/>
          <w:szCs w:val="24"/>
        </w:rPr>
        <w:t xml:space="preserve"> </w:t>
      </w:r>
      <w:r w:rsidR="005939C7">
        <w:rPr>
          <w:rFonts w:ascii="Times New Roman" w:hAnsi="Times New Roman" w:cs="Times New Roman"/>
          <w:sz w:val="24"/>
          <w:szCs w:val="24"/>
        </w:rPr>
        <w:t>et ál</w:t>
      </w:r>
      <w:r w:rsidRPr="00D45D63">
        <w:rPr>
          <w:rFonts w:ascii="Times New Roman" w:hAnsi="Times New Roman" w:cs="Times New Roman"/>
          <w:sz w:val="24"/>
          <w:szCs w:val="24"/>
        </w:rPr>
        <w:t>., 2020).</w:t>
      </w:r>
    </w:p>
    <w:p w14:paraId="77F9313D" w14:textId="46532AC5" w:rsidR="007C382D" w:rsidRPr="00D45D63" w:rsidRDefault="007C382D" w:rsidP="00F20F99">
      <w:pPr>
        <w:spacing w:after="0" w:line="360" w:lineRule="auto"/>
        <w:ind w:firstLine="709"/>
        <w:jc w:val="both"/>
        <w:rPr>
          <w:rFonts w:ascii="Times New Roman" w:hAnsi="Times New Roman" w:cs="Times New Roman"/>
          <w:sz w:val="24"/>
          <w:szCs w:val="24"/>
        </w:rPr>
      </w:pPr>
      <w:proofErr w:type="spellStart"/>
      <w:r w:rsidRPr="00D45D63">
        <w:rPr>
          <w:rFonts w:ascii="Times New Roman" w:hAnsi="Times New Roman" w:cs="Times New Roman"/>
          <w:sz w:val="24"/>
          <w:szCs w:val="24"/>
        </w:rPr>
        <w:t>Basit</w:t>
      </w:r>
      <w:proofErr w:type="spellEnd"/>
      <w:r w:rsidRPr="00D45D63">
        <w:rPr>
          <w:rFonts w:ascii="Times New Roman" w:hAnsi="Times New Roman" w:cs="Times New Roman"/>
          <w:sz w:val="24"/>
          <w:szCs w:val="24"/>
        </w:rPr>
        <w:t xml:space="preserve"> (2021) por su parte, destaca cómo el aprovechamiento de las fuentes externas de conocimiento,</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particularmente las interacciones con el sector privado y las asociaciones industriales, es crucial para la</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innovación organizacional. Estas interacciones no solo promueven la adopción de nuevas metodologías de</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trabajo y toma de decisiones, sino que también facilitan mejoras significativas en la eficiencia y efectividad</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organizacionales. En conjunto, estos elementos subrayan la importancia crítica de una estrategia que permita</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el acceso a nuevos conocimientos de una forma fácil, que capitalice tanto el conocimiento interno como el</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externo para asegurar el éxito a largo plazo de la organización. La Tabla 6 muestra la descripción conceptual, la</w:t>
      </w:r>
      <w:r w:rsidR="003C39B4" w:rsidRPr="00D45D63">
        <w:rPr>
          <w:rFonts w:ascii="Times New Roman" w:hAnsi="Times New Roman" w:cs="Times New Roman"/>
          <w:sz w:val="24"/>
          <w:szCs w:val="24"/>
        </w:rPr>
        <w:t xml:space="preserve"> </w:t>
      </w:r>
      <w:r w:rsidR="00295E0C" w:rsidRPr="00D45D63">
        <w:rPr>
          <w:rFonts w:ascii="Times New Roman" w:hAnsi="Times New Roman" w:cs="Times New Roman"/>
          <w:sz w:val="24"/>
          <w:szCs w:val="24"/>
        </w:rPr>
        <w:t>descripción opera</w:t>
      </w:r>
      <w:r w:rsidR="00295E0C">
        <w:rPr>
          <w:rFonts w:ascii="Times New Roman" w:hAnsi="Times New Roman" w:cs="Times New Roman"/>
          <w:sz w:val="24"/>
          <w:szCs w:val="24"/>
        </w:rPr>
        <w:t>tiva</w:t>
      </w:r>
      <w:r w:rsidR="00295E0C" w:rsidRPr="00D45D63">
        <w:rPr>
          <w:rFonts w:ascii="Times New Roman" w:hAnsi="Times New Roman" w:cs="Times New Roman"/>
          <w:sz w:val="24"/>
          <w:szCs w:val="24"/>
        </w:rPr>
        <w:t xml:space="preserve"> </w:t>
      </w:r>
      <w:r w:rsidRPr="00D45D63">
        <w:rPr>
          <w:rFonts w:ascii="Times New Roman" w:hAnsi="Times New Roman" w:cs="Times New Roman"/>
          <w:sz w:val="24"/>
          <w:szCs w:val="24"/>
        </w:rPr>
        <w:t>y los ítems propuestos para el constructo AFC.</w:t>
      </w:r>
    </w:p>
    <w:p w14:paraId="37D00ED4" w14:textId="7E749340" w:rsidR="003C39B4" w:rsidRPr="00D45D63" w:rsidRDefault="003C39B4" w:rsidP="003C39B4">
      <w:pPr>
        <w:spacing w:after="0" w:line="360" w:lineRule="auto"/>
        <w:jc w:val="both"/>
        <w:rPr>
          <w:rFonts w:ascii="Times New Roman" w:hAnsi="Times New Roman" w:cs="Times New Roman"/>
          <w:sz w:val="24"/>
          <w:szCs w:val="24"/>
        </w:rPr>
      </w:pPr>
    </w:p>
    <w:p w14:paraId="4AF5385D" w14:textId="2794F9C0" w:rsidR="003C39B4" w:rsidRPr="00D45D63" w:rsidRDefault="003C39B4" w:rsidP="00F20F99">
      <w:pPr>
        <w:spacing w:after="0" w:line="360" w:lineRule="auto"/>
        <w:jc w:val="center"/>
        <w:rPr>
          <w:rFonts w:ascii="Times New Roman" w:hAnsi="Times New Roman" w:cs="Times New Roman"/>
          <w:sz w:val="24"/>
          <w:szCs w:val="24"/>
        </w:rPr>
      </w:pPr>
      <w:r w:rsidRPr="00F20F99">
        <w:rPr>
          <w:rFonts w:ascii="Times New Roman" w:hAnsi="Times New Roman" w:cs="Times New Roman"/>
          <w:b/>
          <w:bCs/>
          <w:sz w:val="24"/>
          <w:szCs w:val="24"/>
        </w:rPr>
        <w:t>Tabla 6</w:t>
      </w:r>
      <w:r w:rsidR="00FE4589">
        <w:rPr>
          <w:rFonts w:ascii="Times New Roman" w:hAnsi="Times New Roman" w:cs="Times New Roman"/>
          <w:b/>
          <w:bCs/>
          <w:sz w:val="24"/>
          <w:szCs w:val="24"/>
        </w:rPr>
        <w:t>.</w:t>
      </w:r>
      <w:r w:rsidRPr="00D45D63">
        <w:rPr>
          <w:rFonts w:ascii="Times New Roman" w:hAnsi="Times New Roman" w:cs="Times New Roman"/>
          <w:sz w:val="24"/>
          <w:szCs w:val="24"/>
        </w:rPr>
        <w:t xml:space="preserve"> Operacionalización del Constructo Acceso a Fuentes de Conocimiento (AFC)</w:t>
      </w:r>
    </w:p>
    <w:tbl>
      <w:tblPr>
        <w:tblStyle w:val="Tablaconcuadrcula"/>
        <w:tblW w:w="0" w:type="auto"/>
        <w:tblCellMar>
          <w:left w:w="57" w:type="dxa"/>
          <w:right w:w="57" w:type="dxa"/>
        </w:tblCellMar>
        <w:tblLook w:val="04A0" w:firstRow="1" w:lastRow="0" w:firstColumn="1" w:lastColumn="0" w:noHBand="0" w:noVBand="1"/>
      </w:tblPr>
      <w:tblGrid>
        <w:gridCol w:w="1474"/>
        <w:gridCol w:w="1736"/>
        <w:gridCol w:w="2232"/>
        <w:gridCol w:w="3386"/>
      </w:tblGrid>
      <w:tr w:rsidR="00181CB4" w:rsidRPr="00F20F99" w14:paraId="305B1E87" w14:textId="77777777" w:rsidTr="00F20F99">
        <w:tc>
          <w:tcPr>
            <w:tcW w:w="1134" w:type="dxa"/>
            <w:vAlign w:val="center"/>
          </w:tcPr>
          <w:p w14:paraId="146356E5" w14:textId="77777777" w:rsidR="003C39B4" w:rsidRPr="00F20F99" w:rsidRDefault="003C39B4" w:rsidP="003C39B4">
            <w:pPr>
              <w:rPr>
                <w:rFonts w:ascii="Times New Roman" w:hAnsi="Times New Roman" w:cs="Times New Roman"/>
                <w:sz w:val="24"/>
                <w:szCs w:val="24"/>
              </w:rPr>
            </w:pPr>
            <w:r w:rsidRPr="00F20F99">
              <w:rPr>
                <w:rFonts w:ascii="Times New Roman" w:hAnsi="Times New Roman" w:cs="Times New Roman"/>
                <w:sz w:val="24"/>
                <w:szCs w:val="24"/>
              </w:rPr>
              <w:t>Constructo</w:t>
            </w:r>
          </w:p>
        </w:tc>
        <w:tc>
          <w:tcPr>
            <w:tcW w:w="1843" w:type="dxa"/>
            <w:vAlign w:val="center"/>
          </w:tcPr>
          <w:p w14:paraId="420947B0" w14:textId="77777777" w:rsidR="003C39B4" w:rsidRPr="00F20F99" w:rsidRDefault="003C39B4" w:rsidP="003C39B4">
            <w:pPr>
              <w:rPr>
                <w:rFonts w:ascii="Times New Roman" w:hAnsi="Times New Roman" w:cs="Times New Roman"/>
                <w:sz w:val="24"/>
                <w:szCs w:val="24"/>
              </w:rPr>
            </w:pPr>
            <w:r w:rsidRPr="00F20F99">
              <w:rPr>
                <w:rFonts w:ascii="Times New Roman" w:hAnsi="Times New Roman" w:cs="Times New Roman"/>
                <w:sz w:val="24"/>
                <w:szCs w:val="24"/>
              </w:rPr>
              <w:t>Descripción Conceptual</w:t>
            </w:r>
          </w:p>
        </w:tc>
        <w:tc>
          <w:tcPr>
            <w:tcW w:w="2405" w:type="dxa"/>
            <w:vAlign w:val="center"/>
          </w:tcPr>
          <w:p w14:paraId="79100320" w14:textId="77777777" w:rsidR="003C39B4" w:rsidRPr="00F20F99" w:rsidRDefault="003C39B4" w:rsidP="003C39B4">
            <w:pPr>
              <w:rPr>
                <w:rFonts w:ascii="Times New Roman" w:hAnsi="Times New Roman" w:cs="Times New Roman"/>
                <w:sz w:val="24"/>
                <w:szCs w:val="24"/>
              </w:rPr>
            </w:pPr>
            <w:r w:rsidRPr="00F20F99">
              <w:rPr>
                <w:rFonts w:ascii="Times New Roman" w:hAnsi="Times New Roman" w:cs="Times New Roman"/>
                <w:sz w:val="24"/>
                <w:szCs w:val="24"/>
              </w:rPr>
              <w:t>Descripción Operativa</w:t>
            </w:r>
          </w:p>
        </w:tc>
        <w:tc>
          <w:tcPr>
            <w:tcW w:w="4012" w:type="dxa"/>
            <w:vAlign w:val="center"/>
          </w:tcPr>
          <w:p w14:paraId="7654DACF" w14:textId="77777777" w:rsidR="003C39B4" w:rsidRPr="00F20F99" w:rsidRDefault="003C39B4" w:rsidP="003C39B4">
            <w:pPr>
              <w:rPr>
                <w:rFonts w:ascii="Times New Roman" w:hAnsi="Times New Roman" w:cs="Times New Roman"/>
                <w:sz w:val="24"/>
                <w:szCs w:val="24"/>
              </w:rPr>
            </w:pPr>
            <w:r w:rsidRPr="00F20F99">
              <w:rPr>
                <w:rFonts w:ascii="Times New Roman" w:hAnsi="Times New Roman" w:cs="Times New Roman"/>
                <w:sz w:val="24"/>
                <w:szCs w:val="24"/>
              </w:rPr>
              <w:t>Ítems para medición</w:t>
            </w:r>
          </w:p>
        </w:tc>
      </w:tr>
      <w:tr w:rsidR="00181CB4" w:rsidRPr="00F20F99" w14:paraId="0F84D5AA" w14:textId="77777777" w:rsidTr="00F20F99">
        <w:tc>
          <w:tcPr>
            <w:tcW w:w="1134" w:type="dxa"/>
            <w:vMerge w:val="restart"/>
          </w:tcPr>
          <w:p w14:paraId="32AEE71A" w14:textId="1B737037" w:rsidR="003C39B4" w:rsidRPr="00F20F99" w:rsidRDefault="0035066F" w:rsidP="0035066F">
            <w:pPr>
              <w:jc w:val="both"/>
              <w:rPr>
                <w:rFonts w:ascii="Times New Roman" w:hAnsi="Times New Roman" w:cs="Times New Roman"/>
                <w:sz w:val="24"/>
                <w:szCs w:val="24"/>
              </w:rPr>
            </w:pPr>
            <w:r w:rsidRPr="00F20F99">
              <w:rPr>
                <w:rFonts w:ascii="Times New Roman" w:hAnsi="Times New Roman" w:cs="Times New Roman"/>
                <w:sz w:val="24"/>
                <w:szCs w:val="24"/>
              </w:rPr>
              <w:t>Acceso a Fuentes de Conocimiento (AFC)</w:t>
            </w:r>
          </w:p>
        </w:tc>
        <w:tc>
          <w:tcPr>
            <w:tcW w:w="1843" w:type="dxa"/>
            <w:vMerge w:val="restart"/>
          </w:tcPr>
          <w:p w14:paraId="7AE4A3EA" w14:textId="737E6384" w:rsidR="003C39B4" w:rsidRPr="00F20F99" w:rsidRDefault="0035066F" w:rsidP="0035066F">
            <w:pPr>
              <w:jc w:val="both"/>
              <w:rPr>
                <w:rFonts w:ascii="Times New Roman" w:hAnsi="Times New Roman" w:cs="Times New Roman"/>
                <w:sz w:val="24"/>
                <w:szCs w:val="24"/>
              </w:rPr>
            </w:pPr>
            <w:r w:rsidRPr="00F20F99">
              <w:rPr>
                <w:rFonts w:ascii="Times New Roman" w:hAnsi="Times New Roman" w:cs="Times New Roman"/>
                <w:sz w:val="24"/>
                <w:szCs w:val="24"/>
              </w:rPr>
              <w:t>La capacidad de una organización para identificar, acceder y utilizar diversas fuentes de conocimiento externas e internas.</w:t>
            </w:r>
          </w:p>
        </w:tc>
        <w:tc>
          <w:tcPr>
            <w:tcW w:w="2405" w:type="dxa"/>
            <w:vMerge w:val="restart"/>
          </w:tcPr>
          <w:p w14:paraId="6A27C3C0" w14:textId="76C50116" w:rsidR="0035066F" w:rsidRPr="00F20F99" w:rsidRDefault="0035066F" w:rsidP="0035066F">
            <w:pPr>
              <w:jc w:val="both"/>
              <w:rPr>
                <w:rFonts w:ascii="Times New Roman" w:hAnsi="Times New Roman" w:cs="Times New Roman"/>
                <w:sz w:val="24"/>
                <w:szCs w:val="24"/>
              </w:rPr>
            </w:pPr>
            <w:r w:rsidRPr="00F20F99">
              <w:rPr>
                <w:rFonts w:ascii="Times New Roman" w:hAnsi="Times New Roman" w:cs="Times New Roman"/>
                <w:sz w:val="24"/>
                <w:szCs w:val="24"/>
              </w:rPr>
              <w:t>Se mide por la efectividad de los procesos organizacionales en incorporar conocimiento de</w:t>
            </w:r>
          </w:p>
          <w:p w14:paraId="30712F2F" w14:textId="180AE4ED" w:rsidR="003C39B4" w:rsidRPr="00F20F99" w:rsidRDefault="0035066F" w:rsidP="0035066F">
            <w:pPr>
              <w:jc w:val="both"/>
              <w:rPr>
                <w:rFonts w:ascii="Times New Roman" w:hAnsi="Times New Roman" w:cs="Times New Roman"/>
                <w:sz w:val="24"/>
                <w:szCs w:val="24"/>
              </w:rPr>
            </w:pPr>
            <w:r w:rsidRPr="00F20F99">
              <w:rPr>
                <w:rFonts w:ascii="Times New Roman" w:hAnsi="Times New Roman" w:cs="Times New Roman"/>
                <w:sz w:val="24"/>
                <w:szCs w:val="24"/>
              </w:rPr>
              <w:t>fuentes externas y la facilidad de acceso a estas fuentes para los empleados.</w:t>
            </w:r>
          </w:p>
        </w:tc>
        <w:tc>
          <w:tcPr>
            <w:tcW w:w="4012" w:type="dxa"/>
          </w:tcPr>
          <w:p w14:paraId="012BFC90" w14:textId="5C225F0A" w:rsidR="003C39B4" w:rsidRPr="00F20F99" w:rsidRDefault="0035066F" w:rsidP="0035066F">
            <w:pPr>
              <w:jc w:val="both"/>
              <w:rPr>
                <w:rFonts w:ascii="Times New Roman" w:hAnsi="Times New Roman" w:cs="Times New Roman"/>
                <w:sz w:val="24"/>
                <w:szCs w:val="24"/>
              </w:rPr>
            </w:pPr>
            <w:r w:rsidRPr="00F20F99">
              <w:rPr>
                <w:rFonts w:ascii="Times New Roman" w:hAnsi="Times New Roman" w:cs="Times New Roman"/>
                <w:sz w:val="24"/>
                <w:szCs w:val="24"/>
              </w:rPr>
              <w:t>AFC1.- Los empleados tienen acceso a bases de datos y recursos bibliográficos actualizados.</w:t>
            </w:r>
          </w:p>
        </w:tc>
      </w:tr>
      <w:tr w:rsidR="00181CB4" w:rsidRPr="00F20F99" w14:paraId="078A33BF" w14:textId="77777777" w:rsidTr="00F20F99">
        <w:tc>
          <w:tcPr>
            <w:tcW w:w="1134" w:type="dxa"/>
            <w:vMerge/>
          </w:tcPr>
          <w:p w14:paraId="76059AD2" w14:textId="77777777" w:rsidR="003C39B4" w:rsidRPr="00F20F99" w:rsidRDefault="003C39B4" w:rsidP="003C39B4">
            <w:pPr>
              <w:jc w:val="both"/>
              <w:rPr>
                <w:rFonts w:ascii="Times New Roman" w:hAnsi="Times New Roman" w:cs="Times New Roman"/>
                <w:sz w:val="24"/>
                <w:szCs w:val="24"/>
              </w:rPr>
            </w:pPr>
          </w:p>
        </w:tc>
        <w:tc>
          <w:tcPr>
            <w:tcW w:w="1843" w:type="dxa"/>
            <w:vMerge/>
          </w:tcPr>
          <w:p w14:paraId="50115B3E" w14:textId="77777777" w:rsidR="003C39B4" w:rsidRPr="00F20F99" w:rsidRDefault="003C39B4" w:rsidP="003C39B4">
            <w:pPr>
              <w:jc w:val="both"/>
              <w:rPr>
                <w:rFonts w:ascii="Times New Roman" w:hAnsi="Times New Roman" w:cs="Times New Roman"/>
                <w:sz w:val="24"/>
                <w:szCs w:val="24"/>
              </w:rPr>
            </w:pPr>
          </w:p>
        </w:tc>
        <w:tc>
          <w:tcPr>
            <w:tcW w:w="2405" w:type="dxa"/>
            <w:vMerge/>
          </w:tcPr>
          <w:p w14:paraId="44E63FCD" w14:textId="77777777" w:rsidR="003C39B4" w:rsidRPr="00F20F99" w:rsidRDefault="003C39B4" w:rsidP="003C39B4">
            <w:pPr>
              <w:jc w:val="both"/>
              <w:rPr>
                <w:rFonts w:ascii="Times New Roman" w:hAnsi="Times New Roman" w:cs="Times New Roman"/>
                <w:sz w:val="24"/>
                <w:szCs w:val="24"/>
              </w:rPr>
            </w:pPr>
          </w:p>
        </w:tc>
        <w:tc>
          <w:tcPr>
            <w:tcW w:w="4012" w:type="dxa"/>
          </w:tcPr>
          <w:p w14:paraId="502A72FD" w14:textId="5C6BA0A0" w:rsidR="003C39B4" w:rsidRPr="00F20F99" w:rsidRDefault="0035066F" w:rsidP="0035066F">
            <w:pPr>
              <w:jc w:val="both"/>
              <w:rPr>
                <w:rFonts w:ascii="Times New Roman" w:hAnsi="Times New Roman" w:cs="Times New Roman"/>
                <w:sz w:val="24"/>
                <w:szCs w:val="24"/>
              </w:rPr>
            </w:pPr>
            <w:r w:rsidRPr="00F20F99">
              <w:rPr>
                <w:rFonts w:ascii="Times New Roman" w:hAnsi="Times New Roman" w:cs="Times New Roman"/>
                <w:sz w:val="24"/>
                <w:szCs w:val="24"/>
              </w:rPr>
              <w:t>AFC2.- Se promueven alianzas con instituciones académicas y otras organizaciones para el intercambio de conocimiento.</w:t>
            </w:r>
          </w:p>
        </w:tc>
      </w:tr>
      <w:tr w:rsidR="00181CB4" w:rsidRPr="00F20F99" w14:paraId="4A563845" w14:textId="77777777" w:rsidTr="00F20F99">
        <w:tc>
          <w:tcPr>
            <w:tcW w:w="1134" w:type="dxa"/>
            <w:vMerge/>
          </w:tcPr>
          <w:p w14:paraId="5BEFE613" w14:textId="77777777" w:rsidR="003C39B4" w:rsidRPr="00F20F99" w:rsidRDefault="003C39B4" w:rsidP="003C39B4">
            <w:pPr>
              <w:jc w:val="both"/>
              <w:rPr>
                <w:rFonts w:ascii="Times New Roman" w:hAnsi="Times New Roman" w:cs="Times New Roman"/>
                <w:sz w:val="24"/>
                <w:szCs w:val="24"/>
              </w:rPr>
            </w:pPr>
          </w:p>
        </w:tc>
        <w:tc>
          <w:tcPr>
            <w:tcW w:w="1843" w:type="dxa"/>
            <w:vMerge/>
          </w:tcPr>
          <w:p w14:paraId="1D5A4FE1" w14:textId="77777777" w:rsidR="003C39B4" w:rsidRPr="00F20F99" w:rsidRDefault="003C39B4" w:rsidP="003C39B4">
            <w:pPr>
              <w:jc w:val="both"/>
              <w:rPr>
                <w:rFonts w:ascii="Times New Roman" w:hAnsi="Times New Roman" w:cs="Times New Roman"/>
                <w:sz w:val="24"/>
                <w:szCs w:val="24"/>
              </w:rPr>
            </w:pPr>
          </w:p>
        </w:tc>
        <w:tc>
          <w:tcPr>
            <w:tcW w:w="2405" w:type="dxa"/>
            <w:vMerge/>
          </w:tcPr>
          <w:p w14:paraId="2CB73093" w14:textId="77777777" w:rsidR="003C39B4" w:rsidRPr="00F20F99" w:rsidRDefault="003C39B4" w:rsidP="003C39B4">
            <w:pPr>
              <w:jc w:val="both"/>
              <w:rPr>
                <w:rFonts w:ascii="Times New Roman" w:hAnsi="Times New Roman" w:cs="Times New Roman"/>
                <w:sz w:val="24"/>
                <w:szCs w:val="24"/>
              </w:rPr>
            </w:pPr>
          </w:p>
        </w:tc>
        <w:tc>
          <w:tcPr>
            <w:tcW w:w="4012" w:type="dxa"/>
          </w:tcPr>
          <w:p w14:paraId="0ACF35F9" w14:textId="56B6229F" w:rsidR="003C39B4" w:rsidRPr="00F20F99" w:rsidRDefault="0035066F" w:rsidP="0035066F">
            <w:pPr>
              <w:jc w:val="both"/>
              <w:rPr>
                <w:rFonts w:ascii="Times New Roman" w:hAnsi="Times New Roman" w:cs="Times New Roman"/>
                <w:sz w:val="24"/>
                <w:szCs w:val="24"/>
              </w:rPr>
            </w:pPr>
            <w:r w:rsidRPr="00F20F99">
              <w:rPr>
                <w:rFonts w:ascii="Times New Roman" w:hAnsi="Times New Roman" w:cs="Times New Roman"/>
                <w:sz w:val="24"/>
                <w:szCs w:val="24"/>
              </w:rPr>
              <w:t>AFC3.- Existen canales establecidos para la adquisición de conocimiento externo relevante.</w:t>
            </w:r>
          </w:p>
        </w:tc>
      </w:tr>
      <w:tr w:rsidR="00181CB4" w:rsidRPr="00F20F99" w14:paraId="47C91F14" w14:textId="77777777" w:rsidTr="00F20F99">
        <w:tc>
          <w:tcPr>
            <w:tcW w:w="1134" w:type="dxa"/>
            <w:vMerge/>
          </w:tcPr>
          <w:p w14:paraId="68B98C5A" w14:textId="77777777" w:rsidR="003C39B4" w:rsidRPr="00F20F99" w:rsidRDefault="003C39B4" w:rsidP="003C39B4">
            <w:pPr>
              <w:jc w:val="both"/>
              <w:rPr>
                <w:rFonts w:ascii="Times New Roman" w:hAnsi="Times New Roman" w:cs="Times New Roman"/>
                <w:sz w:val="24"/>
                <w:szCs w:val="24"/>
              </w:rPr>
            </w:pPr>
          </w:p>
        </w:tc>
        <w:tc>
          <w:tcPr>
            <w:tcW w:w="1843" w:type="dxa"/>
            <w:vMerge/>
          </w:tcPr>
          <w:p w14:paraId="314A3801" w14:textId="77777777" w:rsidR="003C39B4" w:rsidRPr="00F20F99" w:rsidRDefault="003C39B4" w:rsidP="003C39B4">
            <w:pPr>
              <w:jc w:val="both"/>
              <w:rPr>
                <w:rFonts w:ascii="Times New Roman" w:hAnsi="Times New Roman" w:cs="Times New Roman"/>
                <w:sz w:val="24"/>
                <w:szCs w:val="24"/>
              </w:rPr>
            </w:pPr>
          </w:p>
        </w:tc>
        <w:tc>
          <w:tcPr>
            <w:tcW w:w="2405" w:type="dxa"/>
            <w:vMerge/>
          </w:tcPr>
          <w:p w14:paraId="07535A01" w14:textId="77777777" w:rsidR="003C39B4" w:rsidRPr="00F20F99" w:rsidRDefault="003C39B4" w:rsidP="003C39B4">
            <w:pPr>
              <w:jc w:val="both"/>
              <w:rPr>
                <w:rFonts w:ascii="Times New Roman" w:hAnsi="Times New Roman" w:cs="Times New Roman"/>
                <w:sz w:val="24"/>
                <w:szCs w:val="24"/>
              </w:rPr>
            </w:pPr>
          </w:p>
        </w:tc>
        <w:tc>
          <w:tcPr>
            <w:tcW w:w="4012" w:type="dxa"/>
          </w:tcPr>
          <w:p w14:paraId="23B09176" w14:textId="7FA50783" w:rsidR="003C39B4" w:rsidRPr="00F20F99" w:rsidRDefault="0035066F" w:rsidP="0035066F">
            <w:pPr>
              <w:jc w:val="both"/>
              <w:rPr>
                <w:rFonts w:ascii="Times New Roman" w:hAnsi="Times New Roman" w:cs="Times New Roman"/>
                <w:sz w:val="24"/>
                <w:szCs w:val="24"/>
              </w:rPr>
            </w:pPr>
            <w:r w:rsidRPr="00F20F99">
              <w:rPr>
                <w:rFonts w:ascii="Times New Roman" w:hAnsi="Times New Roman" w:cs="Times New Roman"/>
                <w:sz w:val="24"/>
                <w:szCs w:val="24"/>
              </w:rPr>
              <w:t>AFC4.- La organización utiliza eficazmente el conocimiento adquirido de fuentes externas para mejorar sus procesos.</w:t>
            </w:r>
          </w:p>
        </w:tc>
      </w:tr>
      <w:tr w:rsidR="00181CB4" w:rsidRPr="00F20F99" w14:paraId="2376ABD4" w14:textId="77777777" w:rsidTr="00F20F99">
        <w:tc>
          <w:tcPr>
            <w:tcW w:w="1134" w:type="dxa"/>
            <w:vMerge/>
          </w:tcPr>
          <w:p w14:paraId="09BA197C" w14:textId="77777777" w:rsidR="003C39B4" w:rsidRPr="00F20F99" w:rsidRDefault="003C39B4" w:rsidP="003C39B4">
            <w:pPr>
              <w:jc w:val="both"/>
              <w:rPr>
                <w:rFonts w:ascii="Times New Roman" w:hAnsi="Times New Roman" w:cs="Times New Roman"/>
                <w:sz w:val="24"/>
                <w:szCs w:val="24"/>
              </w:rPr>
            </w:pPr>
          </w:p>
        </w:tc>
        <w:tc>
          <w:tcPr>
            <w:tcW w:w="1843" w:type="dxa"/>
            <w:vMerge/>
          </w:tcPr>
          <w:p w14:paraId="43706E02" w14:textId="77777777" w:rsidR="003C39B4" w:rsidRPr="00F20F99" w:rsidRDefault="003C39B4" w:rsidP="003C39B4">
            <w:pPr>
              <w:jc w:val="both"/>
              <w:rPr>
                <w:rFonts w:ascii="Times New Roman" w:hAnsi="Times New Roman" w:cs="Times New Roman"/>
                <w:sz w:val="24"/>
                <w:szCs w:val="24"/>
              </w:rPr>
            </w:pPr>
          </w:p>
        </w:tc>
        <w:tc>
          <w:tcPr>
            <w:tcW w:w="2405" w:type="dxa"/>
            <w:vMerge/>
          </w:tcPr>
          <w:p w14:paraId="4B3912E6" w14:textId="77777777" w:rsidR="003C39B4" w:rsidRPr="00F20F99" w:rsidRDefault="003C39B4" w:rsidP="003C39B4">
            <w:pPr>
              <w:jc w:val="both"/>
              <w:rPr>
                <w:rFonts w:ascii="Times New Roman" w:hAnsi="Times New Roman" w:cs="Times New Roman"/>
                <w:sz w:val="24"/>
                <w:szCs w:val="24"/>
              </w:rPr>
            </w:pPr>
          </w:p>
        </w:tc>
        <w:tc>
          <w:tcPr>
            <w:tcW w:w="4012" w:type="dxa"/>
          </w:tcPr>
          <w:p w14:paraId="6796E907" w14:textId="7CA82C7A" w:rsidR="003C39B4" w:rsidRPr="00F20F99" w:rsidRDefault="0035066F" w:rsidP="0035066F">
            <w:pPr>
              <w:jc w:val="both"/>
              <w:rPr>
                <w:rFonts w:ascii="Times New Roman" w:hAnsi="Times New Roman" w:cs="Times New Roman"/>
                <w:sz w:val="24"/>
                <w:szCs w:val="24"/>
              </w:rPr>
            </w:pPr>
            <w:r w:rsidRPr="00F20F99">
              <w:rPr>
                <w:rFonts w:ascii="Times New Roman" w:hAnsi="Times New Roman" w:cs="Times New Roman"/>
                <w:sz w:val="24"/>
                <w:szCs w:val="24"/>
              </w:rPr>
              <w:t>AFC5.- Los sistemas de información están integrados para facilitar el acceso a fuentes de conocimiento diversificadas.</w:t>
            </w:r>
          </w:p>
        </w:tc>
      </w:tr>
    </w:tbl>
    <w:p w14:paraId="60FE9E15" w14:textId="75C44C94" w:rsidR="003C39B4" w:rsidRPr="00D45D63" w:rsidRDefault="002A7B81" w:rsidP="002A7B81">
      <w:pPr>
        <w:spacing w:after="0"/>
        <w:jc w:val="center"/>
        <w:rPr>
          <w:rFonts w:ascii="Times New Roman" w:hAnsi="Times New Roman" w:cs="Times New Roman"/>
          <w:sz w:val="24"/>
          <w:szCs w:val="24"/>
        </w:rPr>
      </w:pPr>
      <w:r w:rsidRPr="00D45D63">
        <w:rPr>
          <w:rFonts w:ascii="Times New Roman" w:hAnsi="Times New Roman" w:cs="Times New Roman"/>
          <w:sz w:val="24"/>
          <w:szCs w:val="24"/>
        </w:rPr>
        <w:t>Fuente: Elaboración propia</w:t>
      </w:r>
    </w:p>
    <w:p w14:paraId="22490853" w14:textId="66D122A1" w:rsidR="00883A4C" w:rsidRDefault="00883A4C" w:rsidP="00F20F99">
      <w:pPr>
        <w:spacing w:after="0" w:line="360" w:lineRule="auto"/>
        <w:rPr>
          <w:rFonts w:ascii="Times New Roman" w:hAnsi="Times New Roman" w:cs="Times New Roman"/>
          <w:b/>
          <w:bCs/>
          <w:sz w:val="24"/>
          <w:szCs w:val="24"/>
        </w:rPr>
      </w:pPr>
    </w:p>
    <w:p w14:paraId="14D0BC42" w14:textId="77777777" w:rsidR="00FE4589" w:rsidRDefault="00FE4589" w:rsidP="00F20F99">
      <w:pPr>
        <w:spacing w:after="0" w:line="360" w:lineRule="auto"/>
        <w:rPr>
          <w:rFonts w:ascii="Times New Roman" w:hAnsi="Times New Roman" w:cs="Times New Roman"/>
          <w:b/>
          <w:bCs/>
          <w:sz w:val="24"/>
          <w:szCs w:val="24"/>
        </w:rPr>
      </w:pPr>
    </w:p>
    <w:p w14:paraId="055DF471" w14:textId="77777777" w:rsidR="00FE4589" w:rsidRDefault="00FE4589" w:rsidP="00F20F99">
      <w:pPr>
        <w:spacing w:after="0" w:line="360" w:lineRule="auto"/>
        <w:rPr>
          <w:rFonts w:ascii="Times New Roman" w:hAnsi="Times New Roman" w:cs="Times New Roman"/>
          <w:b/>
          <w:bCs/>
          <w:sz w:val="24"/>
          <w:szCs w:val="24"/>
        </w:rPr>
      </w:pPr>
    </w:p>
    <w:p w14:paraId="7D2C7FF1" w14:textId="77777777" w:rsidR="00FE4589" w:rsidRDefault="00FE4589" w:rsidP="00F20F99">
      <w:pPr>
        <w:spacing w:after="0" w:line="360" w:lineRule="auto"/>
        <w:rPr>
          <w:rFonts w:ascii="Times New Roman" w:hAnsi="Times New Roman" w:cs="Times New Roman"/>
          <w:b/>
          <w:bCs/>
          <w:sz w:val="24"/>
          <w:szCs w:val="24"/>
        </w:rPr>
      </w:pPr>
    </w:p>
    <w:p w14:paraId="2DE2D783" w14:textId="3F5CE021" w:rsidR="007C382D" w:rsidRPr="00D45D63" w:rsidRDefault="007C382D" w:rsidP="00F20F99">
      <w:pPr>
        <w:spacing w:after="0" w:line="360" w:lineRule="auto"/>
        <w:jc w:val="center"/>
        <w:rPr>
          <w:rFonts w:ascii="Times New Roman" w:hAnsi="Times New Roman" w:cs="Times New Roman"/>
          <w:b/>
          <w:bCs/>
          <w:sz w:val="24"/>
          <w:szCs w:val="24"/>
        </w:rPr>
      </w:pPr>
      <w:r w:rsidRPr="00D45D63">
        <w:rPr>
          <w:rFonts w:ascii="Times New Roman" w:hAnsi="Times New Roman" w:cs="Times New Roman"/>
          <w:b/>
          <w:bCs/>
          <w:sz w:val="24"/>
          <w:szCs w:val="24"/>
        </w:rPr>
        <w:lastRenderedPageBreak/>
        <w:t>Capacidad de Absorción Potencial</w:t>
      </w:r>
    </w:p>
    <w:p w14:paraId="14D4D19D" w14:textId="52DFAB62" w:rsidR="007C382D" w:rsidRPr="00D45D63"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 xml:space="preserve">La capacidad de absorción potencial (PACAP) es una dimensión crítica dentro del marco de la </w:t>
      </w:r>
      <w:r w:rsidR="00DB0E63">
        <w:rPr>
          <w:rFonts w:ascii="Times New Roman" w:hAnsi="Times New Roman" w:cs="Times New Roman"/>
          <w:sz w:val="24"/>
          <w:szCs w:val="24"/>
        </w:rPr>
        <w:t>GC</w:t>
      </w:r>
      <w:r w:rsidRPr="00D45D63">
        <w:rPr>
          <w:rFonts w:ascii="Times New Roman" w:hAnsi="Times New Roman" w:cs="Times New Roman"/>
          <w:sz w:val="24"/>
          <w:szCs w:val="24"/>
        </w:rPr>
        <w:t xml:space="preserve"> que facilita la integración de nuevas ideas y tecnologías desde el exterior hacia el entorno</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interno de una organización. Según </w:t>
      </w:r>
      <w:r w:rsidR="003C39B4" w:rsidRPr="00D45D63">
        <w:rPr>
          <w:rFonts w:ascii="Times New Roman" w:hAnsi="Times New Roman" w:cs="Times New Roman"/>
          <w:sz w:val="24"/>
          <w:szCs w:val="24"/>
        </w:rPr>
        <w:t>González</w:t>
      </w:r>
      <w:r w:rsidRPr="00D45D63">
        <w:rPr>
          <w:rFonts w:ascii="Times New Roman" w:hAnsi="Times New Roman" w:cs="Times New Roman"/>
          <w:sz w:val="24"/>
          <w:szCs w:val="24"/>
        </w:rPr>
        <w:t xml:space="preserve"> (2023), esta capacidad no solo implica la habilidad para</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identificar y adquirir conocimiento externo relevante, sino también para asimilarlo de manera que pueda ser</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aplicado efectivamente en procesos y productos innovadores. Este proceso se ve considerablemente reforzado</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por la presencia de recursos humanos bien capacitados, una cultura organizacional </w:t>
      </w:r>
      <w:r w:rsidR="003C39B4" w:rsidRPr="00D45D63">
        <w:rPr>
          <w:rFonts w:ascii="Times New Roman" w:hAnsi="Times New Roman" w:cs="Times New Roman"/>
          <w:sz w:val="24"/>
          <w:szCs w:val="24"/>
        </w:rPr>
        <w:t>f</w:t>
      </w:r>
      <w:r w:rsidRPr="00D45D63">
        <w:rPr>
          <w:rFonts w:ascii="Times New Roman" w:hAnsi="Times New Roman" w:cs="Times New Roman"/>
          <w:sz w:val="24"/>
          <w:szCs w:val="24"/>
        </w:rPr>
        <w:t>uertemente inclinada</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hacia el aprendizaje continuo, y el acceso estratégico a diversas fuentes de conocimiento.</w:t>
      </w:r>
    </w:p>
    <w:p w14:paraId="290C120B" w14:textId="0F7F9EFA" w:rsidR="003C39B4" w:rsidRPr="00D45D63"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 xml:space="preserve">El trabajo de </w:t>
      </w:r>
      <w:proofErr w:type="spellStart"/>
      <w:r w:rsidRPr="00D45D63">
        <w:rPr>
          <w:rFonts w:ascii="Times New Roman" w:hAnsi="Times New Roman" w:cs="Times New Roman"/>
          <w:sz w:val="24"/>
          <w:szCs w:val="24"/>
        </w:rPr>
        <w:t>Algarni</w:t>
      </w:r>
      <w:proofErr w:type="spellEnd"/>
      <w:r w:rsidRPr="00D45D63">
        <w:rPr>
          <w:rFonts w:ascii="Times New Roman" w:hAnsi="Times New Roman" w:cs="Times New Roman"/>
          <w:sz w:val="24"/>
          <w:szCs w:val="24"/>
        </w:rPr>
        <w:t xml:space="preserve"> </w:t>
      </w:r>
      <w:r w:rsidR="005939C7">
        <w:rPr>
          <w:rFonts w:ascii="Times New Roman" w:hAnsi="Times New Roman" w:cs="Times New Roman"/>
          <w:sz w:val="24"/>
          <w:szCs w:val="24"/>
        </w:rPr>
        <w:t>et ál</w:t>
      </w:r>
      <w:r w:rsidRPr="00D45D63">
        <w:rPr>
          <w:rFonts w:ascii="Times New Roman" w:hAnsi="Times New Roman" w:cs="Times New Roman"/>
          <w:sz w:val="24"/>
          <w:szCs w:val="24"/>
        </w:rPr>
        <w:t>. (2023) amplía esta conceptualización, subrayando la importancia crítica de la</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adaptabilidad organizacional y la predisposición hacia el cambio como elementos catalizadores que </w:t>
      </w:r>
      <w:r w:rsidR="003C39B4" w:rsidRPr="00D45D63">
        <w:rPr>
          <w:rFonts w:ascii="Times New Roman" w:hAnsi="Times New Roman" w:cs="Times New Roman"/>
          <w:sz w:val="24"/>
          <w:szCs w:val="24"/>
        </w:rPr>
        <w:t>f</w:t>
      </w:r>
      <w:r w:rsidRPr="00D45D63">
        <w:rPr>
          <w:rFonts w:ascii="Times New Roman" w:hAnsi="Times New Roman" w:cs="Times New Roman"/>
          <w:sz w:val="24"/>
          <w:szCs w:val="24"/>
        </w:rPr>
        <w:t>acilitan</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la asimilación efectiva del conocimiento. Estos factores son vitales porque permiten a la organización no solo</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reconocer y valorar el conocimiento externo, sino también integrarlo de manera que se convierta en un recurso</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valioso para la innovación continua y el crecimiento sustentable.</w:t>
      </w:r>
    </w:p>
    <w:p w14:paraId="0188C343" w14:textId="3686E59A" w:rsidR="00883A4C"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 xml:space="preserve">Adicionalmente, la </w:t>
      </w:r>
      <w:r w:rsidR="00DF400D">
        <w:rPr>
          <w:rFonts w:ascii="Times New Roman" w:hAnsi="Times New Roman" w:cs="Times New Roman"/>
          <w:sz w:val="24"/>
          <w:szCs w:val="24"/>
        </w:rPr>
        <w:t>PACAP</w:t>
      </w:r>
      <w:r w:rsidRPr="00D45D63">
        <w:rPr>
          <w:rFonts w:ascii="Times New Roman" w:hAnsi="Times New Roman" w:cs="Times New Roman"/>
          <w:sz w:val="24"/>
          <w:szCs w:val="24"/>
        </w:rPr>
        <w:t xml:space="preserve"> implica un compromiso con la mejora continua y la</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optimización de procesos internos para alinearlos con las nuevas tendencias y conocimientos adquiridos. Este</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compromiso se manifiesta en la capacidad de la organización para transformar prácticas existentes y adoptar</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nuevas metodologías que promuevan una mayor eficiencia y efectividad operacional. La Tabla 7 presenta de</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manera detallada la descripción conceptual, la descripción opera</w:t>
      </w:r>
      <w:r w:rsidR="00295E0C">
        <w:rPr>
          <w:rFonts w:ascii="Times New Roman" w:hAnsi="Times New Roman" w:cs="Times New Roman"/>
          <w:sz w:val="24"/>
          <w:szCs w:val="24"/>
        </w:rPr>
        <w:t>tiva</w:t>
      </w:r>
      <w:r w:rsidRPr="00D45D63">
        <w:rPr>
          <w:rFonts w:ascii="Times New Roman" w:hAnsi="Times New Roman" w:cs="Times New Roman"/>
          <w:sz w:val="24"/>
          <w:szCs w:val="24"/>
        </w:rPr>
        <w:t xml:space="preserve"> y los ítems propuestos para medir el</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constructo PACAP.</w:t>
      </w:r>
    </w:p>
    <w:p w14:paraId="79738303" w14:textId="77777777" w:rsidR="00883A4C" w:rsidRDefault="00883A4C" w:rsidP="003C39B4">
      <w:pPr>
        <w:spacing w:after="0" w:line="360" w:lineRule="auto"/>
        <w:jc w:val="both"/>
        <w:rPr>
          <w:rFonts w:ascii="Times New Roman" w:hAnsi="Times New Roman" w:cs="Times New Roman"/>
          <w:sz w:val="24"/>
          <w:szCs w:val="24"/>
        </w:rPr>
      </w:pPr>
    </w:p>
    <w:p w14:paraId="436B018A" w14:textId="77777777" w:rsidR="00FE4589" w:rsidRDefault="00FE4589" w:rsidP="003C39B4">
      <w:pPr>
        <w:spacing w:after="0" w:line="360" w:lineRule="auto"/>
        <w:jc w:val="both"/>
        <w:rPr>
          <w:rFonts w:ascii="Times New Roman" w:hAnsi="Times New Roman" w:cs="Times New Roman"/>
          <w:sz w:val="24"/>
          <w:szCs w:val="24"/>
        </w:rPr>
      </w:pPr>
    </w:p>
    <w:p w14:paraId="1C0BAE93" w14:textId="77777777" w:rsidR="00FE4589" w:rsidRDefault="00FE4589" w:rsidP="003C39B4">
      <w:pPr>
        <w:spacing w:after="0" w:line="360" w:lineRule="auto"/>
        <w:jc w:val="both"/>
        <w:rPr>
          <w:rFonts w:ascii="Times New Roman" w:hAnsi="Times New Roman" w:cs="Times New Roman"/>
          <w:sz w:val="24"/>
          <w:szCs w:val="24"/>
        </w:rPr>
      </w:pPr>
    </w:p>
    <w:p w14:paraId="16B8E604" w14:textId="77777777" w:rsidR="00FE4589" w:rsidRDefault="00FE4589" w:rsidP="003C39B4">
      <w:pPr>
        <w:spacing w:after="0" w:line="360" w:lineRule="auto"/>
        <w:jc w:val="both"/>
        <w:rPr>
          <w:rFonts w:ascii="Times New Roman" w:hAnsi="Times New Roman" w:cs="Times New Roman"/>
          <w:sz w:val="24"/>
          <w:szCs w:val="24"/>
        </w:rPr>
      </w:pPr>
    </w:p>
    <w:p w14:paraId="5A8FB669" w14:textId="77777777" w:rsidR="00FE4589" w:rsidRDefault="00FE4589" w:rsidP="003C39B4">
      <w:pPr>
        <w:spacing w:after="0" w:line="360" w:lineRule="auto"/>
        <w:jc w:val="both"/>
        <w:rPr>
          <w:rFonts w:ascii="Times New Roman" w:hAnsi="Times New Roman" w:cs="Times New Roman"/>
          <w:sz w:val="24"/>
          <w:szCs w:val="24"/>
        </w:rPr>
      </w:pPr>
    </w:p>
    <w:p w14:paraId="301D6546" w14:textId="77777777" w:rsidR="00FE4589" w:rsidRDefault="00FE4589" w:rsidP="003C39B4">
      <w:pPr>
        <w:spacing w:after="0" w:line="360" w:lineRule="auto"/>
        <w:jc w:val="both"/>
        <w:rPr>
          <w:rFonts w:ascii="Times New Roman" w:hAnsi="Times New Roman" w:cs="Times New Roman"/>
          <w:sz w:val="24"/>
          <w:szCs w:val="24"/>
        </w:rPr>
      </w:pPr>
    </w:p>
    <w:p w14:paraId="3C4CB154" w14:textId="77777777" w:rsidR="00FE4589" w:rsidRDefault="00FE4589" w:rsidP="003C39B4">
      <w:pPr>
        <w:spacing w:after="0" w:line="360" w:lineRule="auto"/>
        <w:jc w:val="both"/>
        <w:rPr>
          <w:rFonts w:ascii="Times New Roman" w:hAnsi="Times New Roman" w:cs="Times New Roman"/>
          <w:sz w:val="24"/>
          <w:szCs w:val="24"/>
        </w:rPr>
      </w:pPr>
    </w:p>
    <w:p w14:paraId="40381998" w14:textId="77777777" w:rsidR="00FE4589" w:rsidRDefault="00FE4589" w:rsidP="003C39B4">
      <w:pPr>
        <w:spacing w:after="0" w:line="360" w:lineRule="auto"/>
        <w:jc w:val="both"/>
        <w:rPr>
          <w:rFonts w:ascii="Times New Roman" w:hAnsi="Times New Roman" w:cs="Times New Roman"/>
          <w:sz w:val="24"/>
          <w:szCs w:val="24"/>
        </w:rPr>
      </w:pPr>
    </w:p>
    <w:p w14:paraId="3BD20CDE" w14:textId="77777777" w:rsidR="00FE4589" w:rsidRDefault="00FE4589" w:rsidP="003C39B4">
      <w:pPr>
        <w:spacing w:after="0" w:line="360" w:lineRule="auto"/>
        <w:jc w:val="both"/>
        <w:rPr>
          <w:rFonts w:ascii="Times New Roman" w:hAnsi="Times New Roman" w:cs="Times New Roman"/>
          <w:sz w:val="24"/>
          <w:szCs w:val="24"/>
        </w:rPr>
      </w:pPr>
    </w:p>
    <w:p w14:paraId="505B7342" w14:textId="77777777" w:rsidR="00FE4589" w:rsidRDefault="00FE4589" w:rsidP="003C39B4">
      <w:pPr>
        <w:spacing w:after="0" w:line="360" w:lineRule="auto"/>
        <w:jc w:val="both"/>
        <w:rPr>
          <w:rFonts w:ascii="Times New Roman" w:hAnsi="Times New Roman" w:cs="Times New Roman"/>
          <w:sz w:val="24"/>
          <w:szCs w:val="24"/>
        </w:rPr>
      </w:pPr>
    </w:p>
    <w:p w14:paraId="39BB6869" w14:textId="77777777" w:rsidR="00FE4589" w:rsidRDefault="00FE4589" w:rsidP="003C39B4">
      <w:pPr>
        <w:spacing w:after="0" w:line="360" w:lineRule="auto"/>
        <w:jc w:val="both"/>
        <w:rPr>
          <w:rFonts w:ascii="Times New Roman" w:hAnsi="Times New Roman" w:cs="Times New Roman"/>
          <w:sz w:val="24"/>
          <w:szCs w:val="24"/>
        </w:rPr>
      </w:pPr>
    </w:p>
    <w:p w14:paraId="7A5A6152" w14:textId="77777777" w:rsidR="00FE4589" w:rsidRPr="00D45D63" w:rsidRDefault="00FE4589" w:rsidP="003C39B4">
      <w:pPr>
        <w:spacing w:after="0" w:line="360" w:lineRule="auto"/>
        <w:jc w:val="both"/>
        <w:rPr>
          <w:rFonts w:ascii="Times New Roman" w:hAnsi="Times New Roman" w:cs="Times New Roman"/>
          <w:sz w:val="24"/>
          <w:szCs w:val="24"/>
        </w:rPr>
      </w:pPr>
    </w:p>
    <w:p w14:paraId="01FFC16F" w14:textId="7B6130C7" w:rsidR="007C382D" w:rsidRPr="00D45D63" w:rsidRDefault="007C382D" w:rsidP="00F20F99">
      <w:pPr>
        <w:spacing w:after="0" w:line="360" w:lineRule="auto"/>
        <w:jc w:val="center"/>
        <w:rPr>
          <w:rFonts w:ascii="Times New Roman" w:hAnsi="Times New Roman" w:cs="Times New Roman"/>
          <w:sz w:val="24"/>
          <w:szCs w:val="24"/>
        </w:rPr>
      </w:pPr>
      <w:r w:rsidRPr="00F20F99">
        <w:rPr>
          <w:rFonts w:ascii="Times New Roman" w:hAnsi="Times New Roman" w:cs="Times New Roman"/>
          <w:b/>
          <w:bCs/>
          <w:sz w:val="24"/>
          <w:szCs w:val="24"/>
        </w:rPr>
        <w:lastRenderedPageBreak/>
        <w:t>Tabla 7</w:t>
      </w:r>
      <w:r w:rsidR="00FE4589">
        <w:rPr>
          <w:rFonts w:ascii="Times New Roman" w:hAnsi="Times New Roman" w:cs="Times New Roman"/>
          <w:b/>
          <w:bCs/>
          <w:sz w:val="24"/>
          <w:szCs w:val="24"/>
        </w:rPr>
        <w:t>.</w:t>
      </w:r>
      <w:r w:rsidRPr="00D45D63">
        <w:rPr>
          <w:rFonts w:ascii="Times New Roman" w:hAnsi="Times New Roman" w:cs="Times New Roman"/>
          <w:sz w:val="24"/>
          <w:szCs w:val="24"/>
        </w:rPr>
        <w:t xml:space="preserve"> Operacionalización del Constructo Capacidad de Absorción Potencial (PACAP)</w:t>
      </w:r>
    </w:p>
    <w:tbl>
      <w:tblPr>
        <w:tblStyle w:val="Tablaconcuadrcula"/>
        <w:tblW w:w="0" w:type="auto"/>
        <w:tblCellMar>
          <w:left w:w="57" w:type="dxa"/>
          <w:right w:w="57" w:type="dxa"/>
        </w:tblCellMar>
        <w:tblLook w:val="04A0" w:firstRow="1" w:lastRow="0" w:firstColumn="1" w:lastColumn="0" w:noHBand="0" w:noVBand="1"/>
      </w:tblPr>
      <w:tblGrid>
        <w:gridCol w:w="1169"/>
        <w:gridCol w:w="2135"/>
        <w:gridCol w:w="2135"/>
        <w:gridCol w:w="3389"/>
      </w:tblGrid>
      <w:tr w:rsidR="00181CB4" w:rsidRPr="00F20F99" w14:paraId="5A8F936D" w14:textId="77777777" w:rsidTr="00F20F99">
        <w:tc>
          <w:tcPr>
            <w:tcW w:w="1134" w:type="dxa"/>
            <w:vAlign w:val="center"/>
          </w:tcPr>
          <w:p w14:paraId="04CC04EB" w14:textId="77777777" w:rsidR="003C39B4" w:rsidRPr="00F20F99" w:rsidRDefault="003C39B4" w:rsidP="008E79D6">
            <w:pPr>
              <w:rPr>
                <w:rFonts w:ascii="Times New Roman" w:hAnsi="Times New Roman" w:cs="Times New Roman"/>
                <w:sz w:val="24"/>
                <w:szCs w:val="24"/>
              </w:rPr>
            </w:pPr>
            <w:r w:rsidRPr="00F20F99">
              <w:rPr>
                <w:rFonts w:ascii="Times New Roman" w:hAnsi="Times New Roman" w:cs="Times New Roman"/>
                <w:sz w:val="24"/>
                <w:szCs w:val="24"/>
              </w:rPr>
              <w:t>Constructo</w:t>
            </w:r>
          </w:p>
        </w:tc>
        <w:tc>
          <w:tcPr>
            <w:tcW w:w="2268" w:type="dxa"/>
            <w:vAlign w:val="center"/>
          </w:tcPr>
          <w:p w14:paraId="21E55509" w14:textId="77777777" w:rsidR="003C39B4" w:rsidRPr="00F20F99" w:rsidRDefault="003C39B4" w:rsidP="008E79D6">
            <w:pPr>
              <w:rPr>
                <w:rFonts w:ascii="Times New Roman" w:hAnsi="Times New Roman" w:cs="Times New Roman"/>
                <w:sz w:val="24"/>
                <w:szCs w:val="24"/>
              </w:rPr>
            </w:pPr>
            <w:r w:rsidRPr="00F20F99">
              <w:rPr>
                <w:rFonts w:ascii="Times New Roman" w:hAnsi="Times New Roman" w:cs="Times New Roman"/>
                <w:sz w:val="24"/>
                <w:szCs w:val="24"/>
              </w:rPr>
              <w:t>Descripción Conceptual</w:t>
            </w:r>
          </w:p>
        </w:tc>
        <w:tc>
          <w:tcPr>
            <w:tcW w:w="2268" w:type="dxa"/>
            <w:vAlign w:val="center"/>
          </w:tcPr>
          <w:p w14:paraId="75FBED71" w14:textId="77777777" w:rsidR="003C39B4" w:rsidRPr="00F20F99" w:rsidRDefault="003C39B4" w:rsidP="008E79D6">
            <w:pPr>
              <w:rPr>
                <w:rFonts w:ascii="Times New Roman" w:hAnsi="Times New Roman" w:cs="Times New Roman"/>
                <w:sz w:val="24"/>
                <w:szCs w:val="24"/>
              </w:rPr>
            </w:pPr>
            <w:r w:rsidRPr="00F20F99">
              <w:rPr>
                <w:rFonts w:ascii="Times New Roman" w:hAnsi="Times New Roman" w:cs="Times New Roman"/>
                <w:sz w:val="24"/>
                <w:szCs w:val="24"/>
              </w:rPr>
              <w:t>Descripción Operativa</w:t>
            </w:r>
          </w:p>
        </w:tc>
        <w:tc>
          <w:tcPr>
            <w:tcW w:w="3724" w:type="dxa"/>
            <w:vAlign w:val="center"/>
          </w:tcPr>
          <w:p w14:paraId="5CD10A93" w14:textId="77777777" w:rsidR="003C39B4" w:rsidRPr="00F20F99" w:rsidRDefault="003C39B4" w:rsidP="008E79D6">
            <w:pPr>
              <w:rPr>
                <w:rFonts w:ascii="Times New Roman" w:hAnsi="Times New Roman" w:cs="Times New Roman"/>
                <w:sz w:val="24"/>
                <w:szCs w:val="24"/>
              </w:rPr>
            </w:pPr>
            <w:r w:rsidRPr="00F20F99">
              <w:rPr>
                <w:rFonts w:ascii="Times New Roman" w:hAnsi="Times New Roman" w:cs="Times New Roman"/>
                <w:sz w:val="24"/>
                <w:szCs w:val="24"/>
              </w:rPr>
              <w:t>Ítems para medición</w:t>
            </w:r>
          </w:p>
        </w:tc>
      </w:tr>
      <w:tr w:rsidR="00181CB4" w:rsidRPr="00F20F99" w14:paraId="21067132" w14:textId="77777777" w:rsidTr="00F20F99">
        <w:tc>
          <w:tcPr>
            <w:tcW w:w="1134" w:type="dxa"/>
            <w:vMerge w:val="restart"/>
          </w:tcPr>
          <w:p w14:paraId="51179743" w14:textId="49AD08F8" w:rsidR="003C39B4" w:rsidRPr="00F20F99" w:rsidRDefault="0035066F" w:rsidP="0035066F">
            <w:pPr>
              <w:jc w:val="both"/>
              <w:rPr>
                <w:rFonts w:ascii="Times New Roman" w:hAnsi="Times New Roman" w:cs="Times New Roman"/>
                <w:sz w:val="24"/>
                <w:szCs w:val="24"/>
              </w:rPr>
            </w:pPr>
            <w:r w:rsidRPr="00F20F99">
              <w:rPr>
                <w:rFonts w:ascii="Times New Roman" w:hAnsi="Times New Roman" w:cs="Times New Roman"/>
                <w:sz w:val="24"/>
                <w:szCs w:val="24"/>
              </w:rPr>
              <w:t xml:space="preserve">Capacidad </w:t>
            </w:r>
            <w:r w:rsidR="00ED7603" w:rsidRPr="00F20F99">
              <w:rPr>
                <w:rFonts w:ascii="Times New Roman" w:hAnsi="Times New Roman" w:cs="Times New Roman"/>
                <w:sz w:val="24"/>
                <w:szCs w:val="24"/>
              </w:rPr>
              <w:t>d</w:t>
            </w:r>
            <w:r w:rsidRPr="00F20F99">
              <w:rPr>
                <w:rFonts w:ascii="Times New Roman" w:hAnsi="Times New Roman" w:cs="Times New Roman"/>
                <w:sz w:val="24"/>
                <w:szCs w:val="24"/>
              </w:rPr>
              <w:t>e Absorción Potencial (PACAP)</w:t>
            </w:r>
          </w:p>
        </w:tc>
        <w:tc>
          <w:tcPr>
            <w:tcW w:w="2268" w:type="dxa"/>
            <w:vMerge w:val="restart"/>
          </w:tcPr>
          <w:p w14:paraId="1112B6F1" w14:textId="2D8F32A0" w:rsidR="003C39B4" w:rsidRPr="00F20F99" w:rsidRDefault="00ED7603" w:rsidP="00ED7603">
            <w:pPr>
              <w:jc w:val="both"/>
              <w:rPr>
                <w:rFonts w:ascii="Times New Roman" w:hAnsi="Times New Roman" w:cs="Times New Roman"/>
                <w:sz w:val="24"/>
                <w:szCs w:val="24"/>
              </w:rPr>
            </w:pPr>
            <w:r w:rsidRPr="00F20F99">
              <w:rPr>
                <w:rFonts w:ascii="Times New Roman" w:hAnsi="Times New Roman" w:cs="Times New Roman"/>
                <w:sz w:val="24"/>
                <w:szCs w:val="24"/>
              </w:rPr>
              <w:t>Incluye la disposición de la organización para identificar, adquirir y estar preparado para aplicar conocimiento externo. Se focaliza en la infraestructura y la cultura que fomentan el aprendizaje y la adaptabilidad, facilitando la innovación para el desarrollo de ventajas competitivas a futuro.</w:t>
            </w:r>
          </w:p>
        </w:tc>
        <w:tc>
          <w:tcPr>
            <w:tcW w:w="2268" w:type="dxa"/>
            <w:vMerge w:val="restart"/>
          </w:tcPr>
          <w:p w14:paraId="1600E79D" w14:textId="399BC5A5" w:rsidR="003C39B4" w:rsidRPr="00F20F99" w:rsidRDefault="00ED7603" w:rsidP="00ED7603">
            <w:pPr>
              <w:jc w:val="both"/>
              <w:rPr>
                <w:rFonts w:ascii="Times New Roman" w:hAnsi="Times New Roman" w:cs="Times New Roman"/>
                <w:sz w:val="24"/>
                <w:szCs w:val="24"/>
              </w:rPr>
            </w:pPr>
            <w:r w:rsidRPr="00F20F99">
              <w:rPr>
                <w:rFonts w:ascii="Times New Roman" w:hAnsi="Times New Roman" w:cs="Times New Roman"/>
                <w:sz w:val="24"/>
                <w:szCs w:val="24"/>
              </w:rPr>
              <w:t>Consiste en estructuras que favorecen las condiciones para el aprendizaje y la absorción de conocimiento. Esto incluye la asignación de recursos para la exploración de nuevas ideas y la creación de canales para la captación de conocimientos externos, así como el desarrollo de competencias clave dentro de la fuerza laboral.</w:t>
            </w:r>
          </w:p>
        </w:tc>
        <w:tc>
          <w:tcPr>
            <w:tcW w:w="3724" w:type="dxa"/>
          </w:tcPr>
          <w:p w14:paraId="3BC21E05" w14:textId="21455A01" w:rsidR="003C39B4" w:rsidRPr="00F20F99" w:rsidRDefault="00ED7603" w:rsidP="00ED7603">
            <w:pPr>
              <w:jc w:val="both"/>
              <w:rPr>
                <w:rFonts w:ascii="Times New Roman" w:hAnsi="Times New Roman" w:cs="Times New Roman"/>
                <w:sz w:val="24"/>
                <w:szCs w:val="24"/>
              </w:rPr>
            </w:pPr>
            <w:r w:rsidRPr="00F20F99">
              <w:rPr>
                <w:rFonts w:ascii="Times New Roman" w:hAnsi="Times New Roman" w:cs="Times New Roman"/>
                <w:sz w:val="24"/>
                <w:szCs w:val="24"/>
              </w:rPr>
              <w:t xml:space="preserve">PACAP1: La organización invierte recursos en monitorear sistemáticamente los avances tecnológicos en su sector. </w:t>
            </w:r>
          </w:p>
        </w:tc>
      </w:tr>
      <w:tr w:rsidR="00181CB4" w:rsidRPr="00F20F99" w14:paraId="0D39F278" w14:textId="77777777" w:rsidTr="00F20F99">
        <w:tc>
          <w:tcPr>
            <w:tcW w:w="1134" w:type="dxa"/>
            <w:vMerge/>
          </w:tcPr>
          <w:p w14:paraId="0F315AAB" w14:textId="77777777" w:rsidR="003C39B4" w:rsidRPr="00F20F99" w:rsidRDefault="003C39B4" w:rsidP="008E79D6">
            <w:pPr>
              <w:jc w:val="both"/>
              <w:rPr>
                <w:rFonts w:ascii="Times New Roman" w:hAnsi="Times New Roman" w:cs="Times New Roman"/>
                <w:sz w:val="24"/>
                <w:szCs w:val="24"/>
              </w:rPr>
            </w:pPr>
          </w:p>
        </w:tc>
        <w:tc>
          <w:tcPr>
            <w:tcW w:w="2268" w:type="dxa"/>
            <w:vMerge/>
          </w:tcPr>
          <w:p w14:paraId="736FFAE1" w14:textId="77777777" w:rsidR="003C39B4" w:rsidRPr="00F20F99" w:rsidRDefault="003C39B4" w:rsidP="008E79D6">
            <w:pPr>
              <w:jc w:val="both"/>
              <w:rPr>
                <w:rFonts w:ascii="Times New Roman" w:hAnsi="Times New Roman" w:cs="Times New Roman"/>
                <w:sz w:val="24"/>
                <w:szCs w:val="24"/>
              </w:rPr>
            </w:pPr>
          </w:p>
        </w:tc>
        <w:tc>
          <w:tcPr>
            <w:tcW w:w="2268" w:type="dxa"/>
            <w:vMerge/>
          </w:tcPr>
          <w:p w14:paraId="29F882C0" w14:textId="77777777" w:rsidR="003C39B4" w:rsidRPr="00F20F99" w:rsidRDefault="003C39B4" w:rsidP="008E79D6">
            <w:pPr>
              <w:jc w:val="both"/>
              <w:rPr>
                <w:rFonts w:ascii="Times New Roman" w:hAnsi="Times New Roman" w:cs="Times New Roman"/>
                <w:sz w:val="24"/>
                <w:szCs w:val="24"/>
              </w:rPr>
            </w:pPr>
          </w:p>
        </w:tc>
        <w:tc>
          <w:tcPr>
            <w:tcW w:w="3724" w:type="dxa"/>
          </w:tcPr>
          <w:p w14:paraId="3DBCC0B7" w14:textId="14A3F4AA" w:rsidR="003C39B4" w:rsidRPr="00F20F99" w:rsidRDefault="00ED7603" w:rsidP="00ED7603">
            <w:pPr>
              <w:jc w:val="both"/>
              <w:rPr>
                <w:rFonts w:ascii="Times New Roman" w:hAnsi="Times New Roman" w:cs="Times New Roman"/>
                <w:sz w:val="24"/>
                <w:szCs w:val="24"/>
              </w:rPr>
            </w:pPr>
            <w:r w:rsidRPr="00F20F99">
              <w:rPr>
                <w:rFonts w:ascii="Times New Roman" w:hAnsi="Times New Roman" w:cs="Times New Roman"/>
                <w:sz w:val="24"/>
                <w:szCs w:val="24"/>
              </w:rPr>
              <w:t>PACAP2: La organización implementa regularmente programas para el desarrollo de habilidades clave.</w:t>
            </w:r>
          </w:p>
        </w:tc>
      </w:tr>
      <w:tr w:rsidR="00181CB4" w:rsidRPr="00F20F99" w14:paraId="680B3D02" w14:textId="77777777" w:rsidTr="00F20F99">
        <w:tc>
          <w:tcPr>
            <w:tcW w:w="1134" w:type="dxa"/>
            <w:vMerge/>
          </w:tcPr>
          <w:p w14:paraId="03178BBC" w14:textId="77777777" w:rsidR="003C39B4" w:rsidRPr="00F20F99" w:rsidRDefault="003C39B4" w:rsidP="008E79D6">
            <w:pPr>
              <w:jc w:val="both"/>
              <w:rPr>
                <w:rFonts w:ascii="Times New Roman" w:hAnsi="Times New Roman" w:cs="Times New Roman"/>
                <w:sz w:val="24"/>
                <w:szCs w:val="24"/>
              </w:rPr>
            </w:pPr>
          </w:p>
        </w:tc>
        <w:tc>
          <w:tcPr>
            <w:tcW w:w="2268" w:type="dxa"/>
            <w:vMerge/>
          </w:tcPr>
          <w:p w14:paraId="3958703B" w14:textId="77777777" w:rsidR="003C39B4" w:rsidRPr="00F20F99" w:rsidRDefault="003C39B4" w:rsidP="008E79D6">
            <w:pPr>
              <w:jc w:val="both"/>
              <w:rPr>
                <w:rFonts w:ascii="Times New Roman" w:hAnsi="Times New Roman" w:cs="Times New Roman"/>
                <w:sz w:val="24"/>
                <w:szCs w:val="24"/>
              </w:rPr>
            </w:pPr>
          </w:p>
        </w:tc>
        <w:tc>
          <w:tcPr>
            <w:tcW w:w="2268" w:type="dxa"/>
            <w:vMerge/>
          </w:tcPr>
          <w:p w14:paraId="10D66579" w14:textId="77777777" w:rsidR="003C39B4" w:rsidRPr="00F20F99" w:rsidRDefault="003C39B4" w:rsidP="008E79D6">
            <w:pPr>
              <w:jc w:val="both"/>
              <w:rPr>
                <w:rFonts w:ascii="Times New Roman" w:hAnsi="Times New Roman" w:cs="Times New Roman"/>
                <w:sz w:val="24"/>
                <w:szCs w:val="24"/>
              </w:rPr>
            </w:pPr>
          </w:p>
        </w:tc>
        <w:tc>
          <w:tcPr>
            <w:tcW w:w="3724" w:type="dxa"/>
          </w:tcPr>
          <w:p w14:paraId="0BFF9BDE" w14:textId="040B9ADA" w:rsidR="003C39B4" w:rsidRPr="00F20F99" w:rsidRDefault="00ED7603" w:rsidP="00ED7603">
            <w:pPr>
              <w:jc w:val="both"/>
              <w:rPr>
                <w:rFonts w:ascii="Times New Roman" w:hAnsi="Times New Roman" w:cs="Times New Roman"/>
                <w:sz w:val="24"/>
                <w:szCs w:val="24"/>
              </w:rPr>
            </w:pPr>
            <w:r w:rsidRPr="00F20F99">
              <w:rPr>
                <w:rFonts w:ascii="Times New Roman" w:hAnsi="Times New Roman" w:cs="Times New Roman"/>
                <w:sz w:val="24"/>
                <w:szCs w:val="24"/>
              </w:rPr>
              <w:t>PACAP3: La organización fomenta la inclusión de diversas perspectivas de colaboradores externos.</w:t>
            </w:r>
          </w:p>
        </w:tc>
      </w:tr>
      <w:tr w:rsidR="00181CB4" w:rsidRPr="00F20F99" w14:paraId="41DB0543" w14:textId="77777777" w:rsidTr="00F20F99">
        <w:tc>
          <w:tcPr>
            <w:tcW w:w="1134" w:type="dxa"/>
            <w:vMerge/>
          </w:tcPr>
          <w:p w14:paraId="123059C2" w14:textId="77777777" w:rsidR="003C39B4" w:rsidRPr="00F20F99" w:rsidRDefault="003C39B4" w:rsidP="008E79D6">
            <w:pPr>
              <w:jc w:val="both"/>
              <w:rPr>
                <w:rFonts w:ascii="Times New Roman" w:hAnsi="Times New Roman" w:cs="Times New Roman"/>
                <w:sz w:val="24"/>
                <w:szCs w:val="24"/>
              </w:rPr>
            </w:pPr>
          </w:p>
        </w:tc>
        <w:tc>
          <w:tcPr>
            <w:tcW w:w="2268" w:type="dxa"/>
            <w:vMerge/>
          </w:tcPr>
          <w:p w14:paraId="63F02DC2" w14:textId="77777777" w:rsidR="003C39B4" w:rsidRPr="00F20F99" w:rsidRDefault="003C39B4" w:rsidP="008E79D6">
            <w:pPr>
              <w:jc w:val="both"/>
              <w:rPr>
                <w:rFonts w:ascii="Times New Roman" w:hAnsi="Times New Roman" w:cs="Times New Roman"/>
                <w:sz w:val="24"/>
                <w:szCs w:val="24"/>
              </w:rPr>
            </w:pPr>
          </w:p>
        </w:tc>
        <w:tc>
          <w:tcPr>
            <w:tcW w:w="2268" w:type="dxa"/>
            <w:vMerge/>
          </w:tcPr>
          <w:p w14:paraId="101853DB" w14:textId="77777777" w:rsidR="003C39B4" w:rsidRPr="00F20F99" w:rsidRDefault="003C39B4" w:rsidP="008E79D6">
            <w:pPr>
              <w:jc w:val="both"/>
              <w:rPr>
                <w:rFonts w:ascii="Times New Roman" w:hAnsi="Times New Roman" w:cs="Times New Roman"/>
                <w:sz w:val="24"/>
                <w:szCs w:val="24"/>
              </w:rPr>
            </w:pPr>
          </w:p>
        </w:tc>
        <w:tc>
          <w:tcPr>
            <w:tcW w:w="3724" w:type="dxa"/>
          </w:tcPr>
          <w:p w14:paraId="1055AD03" w14:textId="3C6C4190" w:rsidR="003C39B4" w:rsidRPr="00F20F99" w:rsidRDefault="00ED7603" w:rsidP="00ED7603">
            <w:pPr>
              <w:jc w:val="both"/>
              <w:rPr>
                <w:rFonts w:ascii="Times New Roman" w:hAnsi="Times New Roman" w:cs="Times New Roman"/>
                <w:sz w:val="24"/>
                <w:szCs w:val="24"/>
              </w:rPr>
            </w:pPr>
            <w:r w:rsidRPr="00F20F99">
              <w:rPr>
                <w:rFonts w:ascii="Times New Roman" w:hAnsi="Times New Roman" w:cs="Times New Roman"/>
                <w:sz w:val="24"/>
                <w:szCs w:val="24"/>
              </w:rPr>
              <w:t>PACAP4: La organización fomenta la participación en conferencias, seminarios y redes profesionales.</w:t>
            </w:r>
          </w:p>
        </w:tc>
      </w:tr>
      <w:tr w:rsidR="00181CB4" w:rsidRPr="00F20F99" w14:paraId="2CB2E722" w14:textId="77777777" w:rsidTr="00F20F99">
        <w:tc>
          <w:tcPr>
            <w:tcW w:w="1134" w:type="dxa"/>
            <w:vMerge/>
          </w:tcPr>
          <w:p w14:paraId="0A65A586" w14:textId="77777777" w:rsidR="003C39B4" w:rsidRPr="00F20F99" w:rsidRDefault="003C39B4" w:rsidP="008E79D6">
            <w:pPr>
              <w:jc w:val="both"/>
              <w:rPr>
                <w:rFonts w:ascii="Times New Roman" w:hAnsi="Times New Roman" w:cs="Times New Roman"/>
                <w:sz w:val="24"/>
                <w:szCs w:val="24"/>
              </w:rPr>
            </w:pPr>
          </w:p>
        </w:tc>
        <w:tc>
          <w:tcPr>
            <w:tcW w:w="2268" w:type="dxa"/>
            <w:vMerge/>
          </w:tcPr>
          <w:p w14:paraId="788BB269" w14:textId="77777777" w:rsidR="003C39B4" w:rsidRPr="00F20F99" w:rsidRDefault="003C39B4" w:rsidP="008E79D6">
            <w:pPr>
              <w:jc w:val="both"/>
              <w:rPr>
                <w:rFonts w:ascii="Times New Roman" w:hAnsi="Times New Roman" w:cs="Times New Roman"/>
                <w:sz w:val="24"/>
                <w:szCs w:val="24"/>
              </w:rPr>
            </w:pPr>
          </w:p>
        </w:tc>
        <w:tc>
          <w:tcPr>
            <w:tcW w:w="2268" w:type="dxa"/>
            <w:vMerge/>
          </w:tcPr>
          <w:p w14:paraId="224850D8" w14:textId="77777777" w:rsidR="003C39B4" w:rsidRPr="00F20F99" w:rsidRDefault="003C39B4" w:rsidP="008E79D6">
            <w:pPr>
              <w:jc w:val="both"/>
              <w:rPr>
                <w:rFonts w:ascii="Times New Roman" w:hAnsi="Times New Roman" w:cs="Times New Roman"/>
                <w:sz w:val="24"/>
                <w:szCs w:val="24"/>
              </w:rPr>
            </w:pPr>
          </w:p>
        </w:tc>
        <w:tc>
          <w:tcPr>
            <w:tcW w:w="3724" w:type="dxa"/>
          </w:tcPr>
          <w:p w14:paraId="4B523B1F" w14:textId="51778D23" w:rsidR="003C39B4" w:rsidRPr="00F20F99" w:rsidRDefault="00ED7603" w:rsidP="00ED7603">
            <w:pPr>
              <w:jc w:val="both"/>
              <w:rPr>
                <w:rFonts w:ascii="Times New Roman" w:hAnsi="Times New Roman" w:cs="Times New Roman"/>
                <w:sz w:val="24"/>
                <w:szCs w:val="24"/>
              </w:rPr>
            </w:pPr>
            <w:r w:rsidRPr="00F20F99">
              <w:rPr>
                <w:rFonts w:ascii="Times New Roman" w:hAnsi="Times New Roman" w:cs="Times New Roman"/>
                <w:sz w:val="24"/>
                <w:szCs w:val="24"/>
              </w:rPr>
              <w:t>PACAP5: Existen políticas que facilitan la reconfiguración de roles y responsabilidades ante nuevas ideas.</w:t>
            </w:r>
          </w:p>
        </w:tc>
      </w:tr>
    </w:tbl>
    <w:p w14:paraId="3B3BEBA6" w14:textId="32DB20D8" w:rsidR="003C39B4" w:rsidRPr="00D45D63" w:rsidRDefault="002A7B81" w:rsidP="002A7B81">
      <w:pPr>
        <w:jc w:val="center"/>
        <w:rPr>
          <w:rFonts w:ascii="Times New Roman" w:hAnsi="Times New Roman" w:cs="Times New Roman"/>
          <w:sz w:val="24"/>
          <w:szCs w:val="24"/>
        </w:rPr>
      </w:pPr>
      <w:r w:rsidRPr="00D45D63">
        <w:rPr>
          <w:rFonts w:ascii="Times New Roman" w:hAnsi="Times New Roman" w:cs="Times New Roman"/>
          <w:sz w:val="24"/>
          <w:szCs w:val="24"/>
        </w:rPr>
        <w:t>Fuente: Elaboración propia</w:t>
      </w:r>
    </w:p>
    <w:p w14:paraId="176B2AFE" w14:textId="77777777" w:rsidR="000E3D77" w:rsidRDefault="000E3D77" w:rsidP="003C39B4">
      <w:pPr>
        <w:spacing w:after="0" w:line="360" w:lineRule="auto"/>
        <w:jc w:val="both"/>
        <w:rPr>
          <w:rFonts w:ascii="Times New Roman" w:hAnsi="Times New Roman" w:cs="Times New Roman"/>
          <w:b/>
          <w:bCs/>
          <w:sz w:val="24"/>
          <w:szCs w:val="24"/>
        </w:rPr>
      </w:pPr>
    </w:p>
    <w:p w14:paraId="04F177C2" w14:textId="2B9893CF" w:rsidR="007C382D" w:rsidRPr="00D45D63" w:rsidRDefault="007C382D" w:rsidP="00F20F99">
      <w:pPr>
        <w:spacing w:after="0" w:line="360" w:lineRule="auto"/>
        <w:jc w:val="center"/>
        <w:rPr>
          <w:rFonts w:ascii="Times New Roman" w:hAnsi="Times New Roman" w:cs="Times New Roman"/>
          <w:b/>
          <w:bCs/>
          <w:sz w:val="24"/>
          <w:szCs w:val="24"/>
        </w:rPr>
      </w:pPr>
      <w:r w:rsidRPr="00D45D63">
        <w:rPr>
          <w:rFonts w:ascii="Times New Roman" w:hAnsi="Times New Roman" w:cs="Times New Roman"/>
          <w:b/>
          <w:bCs/>
          <w:sz w:val="24"/>
          <w:szCs w:val="24"/>
        </w:rPr>
        <w:t>Capacidad de Absorción Realizada</w:t>
      </w:r>
    </w:p>
    <w:p w14:paraId="23D72FBA" w14:textId="364676B1" w:rsidR="003C39B4" w:rsidRPr="00D45D63"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 xml:space="preserve">La capacidad de absorción realizada (RACAP), como se define en los estudios de </w:t>
      </w:r>
      <w:r w:rsidR="003C39B4" w:rsidRPr="00D45D63">
        <w:rPr>
          <w:rFonts w:ascii="Times New Roman" w:hAnsi="Times New Roman" w:cs="Times New Roman"/>
          <w:sz w:val="24"/>
          <w:szCs w:val="24"/>
        </w:rPr>
        <w:t>González</w:t>
      </w:r>
      <w:r w:rsidRPr="00D45D63">
        <w:rPr>
          <w:rFonts w:ascii="Times New Roman" w:hAnsi="Times New Roman" w:cs="Times New Roman"/>
          <w:sz w:val="24"/>
          <w:szCs w:val="24"/>
        </w:rPr>
        <w:t xml:space="preserve"> (2023), abarca</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la última fase del proceso de </w:t>
      </w:r>
      <w:r w:rsidR="00DB0E63">
        <w:rPr>
          <w:rFonts w:ascii="Times New Roman" w:hAnsi="Times New Roman" w:cs="Times New Roman"/>
          <w:sz w:val="24"/>
          <w:szCs w:val="24"/>
        </w:rPr>
        <w:t>GC</w:t>
      </w:r>
      <w:r w:rsidRPr="00D45D63">
        <w:rPr>
          <w:rFonts w:ascii="Times New Roman" w:hAnsi="Times New Roman" w:cs="Times New Roman"/>
          <w:sz w:val="24"/>
          <w:szCs w:val="24"/>
        </w:rPr>
        <w:t>, donde el conocimiento previamente adquirido y</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asimilado se transforma y explota para crear valor real dentro de la organización. Este nivel de absorción se</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centra intensamente en la integración efectiva del conocimiento en las estrategias corporativas, la mejora</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de productos y servicios, y en la optimización de los procesos operativos. La efectividad de la RACAP</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depende en gran medida de la gestión estratégica del conocimiento, un liderazgo comprometido y una agilidad</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organizacional que facilite la rápida adaptación a nuevas ideas y tecnologías.</w:t>
      </w:r>
    </w:p>
    <w:p w14:paraId="669139F4" w14:textId="7BBDAA98" w:rsidR="003C39B4" w:rsidRPr="00D45D63" w:rsidRDefault="007C382D" w:rsidP="00F20F99">
      <w:pPr>
        <w:spacing w:after="0" w:line="360" w:lineRule="auto"/>
        <w:ind w:firstLine="709"/>
        <w:jc w:val="both"/>
        <w:rPr>
          <w:rFonts w:ascii="Times New Roman" w:hAnsi="Times New Roman" w:cs="Times New Roman"/>
          <w:sz w:val="24"/>
          <w:szCs w:val="24"/>
        </w:rPr>
      </w:pPr>
      <w:proofErr w:type="spellStart"/>
      <w:r w:rsidRPr="00D45D63">
        <w:rPr>
          <w:rFonts w:ascii="Times New Roman" w:hAnsi="Times New Roman" w:cs="Times New Roman"/>
          <w:sz w:val="24"/>
          <w:szCs w:val="24"/>
        </w:rPr>
        <w:t>Algarni</w:t>
      </w:r>
      <w:proofErr w:type="spellEnd"/>
      <w:r w:rsidRPr="00D45D63">
        <w:rPr>
          <w:rFonts w:ascii="Times New Roman" w:hAnsi="Times New Roman" w:cs="Times New Roman"/>
          <w:sz w:val="24"/>
          <w:szCs w:val="24"/>
        </w:rPr>
        <w:t xml:space="preserve"> </w:t>
      </w:r>
      <w:r w:rsidR="005939C7">
        <w:rPr>
          <w:rFonts w:ascii="Times New Roman" w:hAnsi="Times New Roman" w:cs="Times New Roman"/>
          <w:sz w:val="24"/>
          <w:szCs w:val="24"/>
        </w:rPr>
        <w:t>et ál</w:t>
      </w:r>
      <w:r w:rsidRPr="00D45D63">
        <w:rPr>
          <w:rFonts w:ascii="Times New Roman" w:hAnsi="Times New Roman" w:cs="Times New Roman"/>
          <w:sz w:val="24"/>
          <w:szCs w:val="24"/>
        </w:rPr>
        <w:t>. (2023) argumentan que para que la RACAP funcione de manera óptima, es indispensable una</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integración profunda y efectiva de nuevas perspectivas y conocimientos en todas las áreas de la organización.</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Esto requiere no solo un liderazgo visionario sino también una cultura organizacional que incentive y valore</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la innovación y la experimentación. Dichos elementos culturales y de liderazgo son fundamentales para</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que la </w:t>
      </w:r>
      <w:r w:rsidRPr="00D45D63">
        <w:rPr>
          <w:rFonts w:ascii="Times New Roman" w:hAnsi="Times New Roman" w:cs="Times New Roman"/>
          <w:sz w:val="24"/>
          <w:szCs w:val="24"/>
        </w:rPr>
        <w:lastRenderedPageBreak/>
        <w:t xml:space="preserve">organización no solo adopte nuevas ideas, sino que </w:t>
      </w:r>
      <w:proofErr w:type="gramStart"/>
      <w:r w:rsidRPr="00D45D63">
        <w:rPr>
          <w:rFonts w:ascii="Times New Roman" w:hAnsi="Times New Roman" w:cs="Times New Roman"/>
          <w:sz w:val="24"/>
          <w:szCs w:val="24"/>
        </w:rPr>
        <w:t>las aplique</w:t>
      </w:r>
      <w:proofErr w:type="gramEnd"/>
      <w:r w:rsidRPr="00D45D63">
        <w:rPr>
          <w:rFonts w:ascii="Times New Roman" w:hAnsi="Times New Roman" w:cs="Times New Roman"/>
          <w:sz w:val="24"/>
          <w:szCs w:val="24"/>
        </w:rPr>
        <w:t xml:space="preserve"> de manera que generen un impacto</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significativo en su rendimiento y crecimiento.</w:t>
      </w:r>
    </w:p>
    <w:p w14:paraId="30A81847" w14:textId="0A42839A" w:rsidR="007C382D" w:rsidRPr="00D45D63"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 xml:space="preserve">Además, el estudio de </w:t>
      </w:r>
      <w:proofErr w:type="spellStart"/>
      <w:r w:rsidRPr="00D45D63">
        <w:rPr>
          <w:rFonts w:ascii="Times New Roman" w:hAnsi="Times New Roman" w:cs="Times New Roman"/>
          <w:sz w:val="24"/>
          <w:szCs w:val="24"/>
        </w:rPr>
        <w:t>Limaj</w:t>
      </w:r>
      <w:proofErr w:type="spellEnd"/>
      <w:r w:rsidRPr="00D45D63">
        <w:rPr>
          <w:rFonts w:ascii="Times New Roman" w:hAnsi="Times New Roman" w:cs="Times New Roman"/>
          <w:sz w:val="24"/>
          <w:szCs w:val="24"/>
        </w:rPr>
        <w:t xml:space="preserve"> y </w:t>
      </w:r>
      <w:proofErr w:type="spellStart"/>
      <w:r w:rsidRPr="00D45D63">
        <w:rPr>
          <w:rFonts w:ascii="Times New Roman" w:hAnsi="Times New Roman" w:cs="Times New Roman"/>
          <w:sz w:val="24"/>
          <w:szCs w:val="24"/>
        </w:rPr>
        <w:t>Bernroider</w:t>
      </w:r>
      <w:proofErr w:type="spellEnd"/>
      <w:r w:rsidRPr="00D45D63">
        <w:rPr>
          <w:rFonts w:ascii="Times New Roman" w:hAnsi="Times New Roman" w:cs="Times New Roman"/>
          <w:sz w:val="24"/>
          <w:szCs w:val="24"/>
        </w:rPr>
        <w:t xml:space="preserve"> (2019) sugiere que existe una relación directa y positiva entre la</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PCAP y la RACAP, indicando que una robusta PACAP puede amplificar significativamente los efectos de la</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RACAP. Esta relación subraya la importancia de una buena asimilación de conocimiento como paso preliminar</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indispensable para su aplicación exitosa. La interacción entre PACAP y RACAP ilustra una secuencia dinámica</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donde la calidad en la asimilación del conocimiento actúa como un precursor crítico para su transformación</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efectiva en ventajas competitivas sostenibles y desarrollo organizacional. Estos hallazgos resaltan la necesidad</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de fortalecer ambas capacidades para maximizar el potencial innovador y competitivo de la organización. La</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Tabla 8 muestra la descripción conceptual, la descripción opera</w:t>
      </w:r>
      <w:r w:rsidR="00295E0C">
        <w:rPr>
          <w:rFonts w:ascii="Times New Roman" w:hAnsi="Times New Roman" w:cs="Times New Roman"/>
          <w:sz w:val="24"/>
          <w:szCs w:val="24"/>
        </w:rPr>
        <w:t>tiva</w:t>
      </w:r>
      <w:r w:rsidRPr="00D45D63">
        <w:rPr>
          <w:rFonts w:ascii="Times New Roman" w:hAnsi="Times New Roman" w:cs="Times New Roman"/>
          <w:sz w:val="24"/>
          <w:szCs w:val="24"/>
        </w:rPr>
        <w:t xml:space="preserve"> y los ítems propuestos para el constructo</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RACAP.</w:t>
      </w:r>
    </w:p>
    <w:p w14:paraId="298E4524" w14:textId="77777777" w:rsidR="003C39B4" w:rsidRPr="00D45D63" w:rsidRDefault="003C39B4" w:rsidP="003C39B4">
      <w:pPr>
        <w:spacing w:after="0" w:line="360" w:lineRule="auto"/>
        <w:jc w:val="both"/>
        <w:rPr>
          <w:rFonts w:ascii="Times New Roman" w:hAnsi="Times New Roman" w:cs="Times New Roman"/>
          <w:sz w:val="24"/>
          <w:szCs w:val="24"/>
        </w:rPr>
      </w:pPr>
    </w:p>
    <w:p w14:paraId="5BF81008" w14:textId="3FF47121" w:rsidR="003C39B4" w:rsidRPr="00D45D63" w:rsidRDefault="007C382D" w:rsidP="00F20F99">
      <w:pPr>
        <w:spacing w:after="0" w:line="360" w:lineRule="auto"/>
        <w:jc w:val="center"/>
        <w:rPr>
          <w:rFonts w:ascii="Times New Roman" w:hAnsi="Times New Roman" w:cs="Times New Roman"/>
          <w:sz w:val="24"/>
          <w:szCs w:val="24"/>
        </w:rPr>
      </w:pPr>
      <w:r w:rsidRPr="00F20F99">
        <w:rPr>
          <w:rFonts w:ascii="Times New Roman" w:hAnsi="Times New Roman" w:cs="Times New Roman"/>
          <w:b/>
          <w:bCs/>
          <w:sz w:val="24"/>
          <w:szCs w:val="24"/>
        </w:rPr>
        <w:t>Tabla 8:</w:t>
      </w:r>
      <w:r w:rsidRPr="00D45D63">
        <w:rPr>
          <w:rFonts w:ascii="Times New Roman" w:hAnsi="Times New Roman" w:cs="Times New Roman"/>
          <w:sz w:val="24"/>
          <w:szCs w:val="24"/>
        </w:rPr>
        <w:t xml:space="preserve"> Operacionalización del Constructo Capacidad de Absorción Realizada (RACAP)</w:t>
      </w:r>
    </w:p>
    <w:tbl>
      <w:tblPr>
        <w:tblStyle w:val="Tablaconcuadrcula"/>
        <w:tblW w:w="0" w:type="auto"/>
        <w:tblCellMar>
          <w:left w:w="57" w:type="dxa"/>
          <w:right w:w="57" w:type="dxa"/>
        </w:tblCellMar>
        <w:tblLook w:val="04A0" w:firstRow="1" w:lastRow="0" w:firstColumn="1" w:lastColumn="0" w:noHBand="0" w:noVBand="1"/>
      </w:tblPr>
      <w:tblGrid>
        <w:gridCol w:w="1168"/>
        <w:gridCol w:w="2022"/>
        <w:gridCol w:w="2253"/>
        <w:gridCol w:w="3385"/>
      </w:tblGrid>
      <w:tr w:rsidR="00181CB4" w:rsidRPr="00F20F99" w14:paraId="57510A22" w14:textId="77777777" w:rsidTr="00F20F99">
        <w:tc>
          <w:tcPr>
            <w:tcW w:w="1134" w:type="dxa"/>
            <w:vAlign w:val="center"/>
          </w:tcPr>
          <w:p w14:paraId="568BD999" w14:textId="77777777" w:rsidR="003C39B4" w:rsidRPr="00F20F99" w:rsidRDefault="003C39B4" w:rsidP="008E79D6">
            <w:pPr>
              <w:rPr>
                <w:rFonts w:ascii="Times New Roman" w:hAnsi="Times New Roman" w:cs="Times New Roman"/>
                <w:sz w:val="24"/>
                <w:szCs w:val="24"/>
              </w:rPr>
            </w:pPr>
            <w:r w:rsidRPr="00F20F99">
              <w:rPr>
                <w:rFonts w:ascii="Times New Roman" w:hAnsi="Times New Roman" w:cs="Times New Roman"/>
                <w:sz w:val="24"/>
                <w:szCs w:val="24"/>
              </w:rPr>
              <w:t>Constructo</w:t>
            </w:r>
          </w:p>
        </w:tc>
        <w:tc>
          <w:tcPr>
            <w:tcW w:w="2127" w:type="dxa"/>
            <w:vAlign w:val="center"/>
          </w:tcPr>
          <w:p w14:paraId="4E27A27D" w14:textId="77777777" w:rsidR="003C39B4" w:rsidRPr="00F20F99" w:rsidRDefault="003C39B4" w:rsidP="008E79D6">
            <w:pPr>
              <w:rPr>
                <w:rFonts w:ascii="Times New Roman" w:hAnsi="Times New Roman" w:cs="Times New Roman"/>
                <w:sz w:val="24"/>
                <w:szCs w:val="24"/>
              </w:rPr>
            </w:pPr>
            <w:r w:rsidRPr="00F20F99">
              <w:rPr>
                <w:rFonts w:ascii="Times New Roman" w:hAnsi="Times New Roman" w:cs="Times New Roman"/>
                <w:sz w:val="24"/>
                <w:szCs w:val="24"/>
              </w:rPr>
              <w:t>Descripción Conceptual</w:t>
            </w:r>
          </w:p>
        </w:tc>
        <w:tc>
          <w:tcPr>
            <w:tcW w:w="2409" w:type="dxa"/>
            <w:vAlign w:val="center"/>
          </w:tcPr>
          <w:p w14:paraId="6191826E" w14:textId="77777777" w:rsidR="003C39B4" w:rsidRPr="00F20F99" w:rsidRDefault="003C39B4" w:rsidP="008E79D6">
            <w:pPr>
              <w:rPr>
                <w:rFonts w:ascii="Times New Roman" w:hAnsi="Times New Roman" w:cs="Times New Roman"/>
                <w:sz w:val="24"/>
                <w:szCs w:val="24"/>
              </w:rPr>
            </w:pPr>
            <w:r w:rsidRPr="00F20F99">
              <w:rPr>
                <w:rFonts w:ascii="Times New Roman" w:hAnsi="Times New Roman" w:cs="Times New Roman"/>
                <w:sz w:val="24"/>
                <w:szCs w:val="24"/>
              </w:rPr>
              <w:t>Descripción Operativa</w:t>
            </w:r>
          </w:p>
        </w:tc>
        <w:tc>
          <w:tcPr>
            <w:tcW w:w="3724" w:type="dxa"/>
            <w:vAlign w:val="center"/>
          </w:tcPr>
          <w:p w14:paraId="26459AD1" w14:textId="77777777" w:rsidR="003C39B4" w:rsidRPr="00F20F99" w:rsidRDefault="003C39B4" w:rsidP="008E79D6">
            <w:pPr>
              <w:rPr>
                <w:rFonts w:ascii="Times New Roman" w:hAnsi="Times New Roman" w:cs="Times New Roman"/>
                <w:sz w:val="24"/>
                <w:szCs w:val="24"/>
              </w:rPr>
            </w:pPr>
            <w:r w:rsidRPr="00F20F99">
              <w:rPr>
                <w:rFonts w:ascii="Times New Roman" w:hAnsi="Times New Roman" w:cs="Times New Roman"/>
                <w:sz w:val="24"/>
                <w:szCs w:val="24"/>
              </w:rPr>
              <w:t>Ítems para medición</w:t>
            </w:r>
          </w:p>
        </w:tc>
      </w:tr>
      <w:tr w:rsidR="00181CB4" w:rsidRPr="00F20F99" w14:paraId="2BE5B9B7" w14:textId="77777777" w:rsidTr="00F20F99">
        <w:tc>
          <w:tcPr>
            <w:tcW w:w="1134" w:type="dxa"/>
            <w:vMerge w:val="restart"/>
          </w:tcPr>
          <w:p w14:paraId="70D12AB6" w14:textId="03D37693" w:rsidR="00ED7603" w:rsidRPr="00F20F99" w:rsidRDefault="00ED7603" w:rsidP="00ED7603">
            <w:pPr>
              <w:jc w:val="both"/>
              <w:rPr>
                <w:rFonts w:ascii="Times New Roman" w:hAnsi="Times New Roman" w:cs="Times New Roman"/>
                <w:sz w:val="24"/>
                <w:szCs w:val="24"/>
              </w:rPr>
            </w:pPr>
            <w:r w:rsidRPr="00F20F99">
              <w:rPr>
                <w:rFonts w:ascii="Times New Roman" w:hAnsi="Times New Roman" w:cs="Times New Roman"/>
                <w:sz w:val="24"/>
                <w:szCs w:val="24"/>
              </w:rPr>
              <w:t>Capacidad de Absorción Realizada</w:t>
            </w:r>
          </w:p>
          <w:p w14:paraId="5AFE9BC2" w14:textId="23607C1C" w:rsidR="003C39B4" w:rsidRPr="00F20F99" w:rsidRDefault="00ED7603" w:rsidP="00ED7603">
            <w:pPr>
              <w:jc w:val="both"/>
              <w:rPr>
                <w:rFonts w:ascii="Times New Roman" w:hAnsi="Times New Roman" w:cs="Times New Roman"/>
                <w:sz w:val="24"/>
                <w:szCs w:val="24"/>
              </w:rPr>
            </w:pPr>
            <w:r w:rsidRPr="00F20F99">
              <w:rPr>
                <w:rFonts w:ascii="Times New Roman" w:hAnsi="Times New Roman" w:cs="Times New Roman"/>
                <w:sz w:val="24"/>
                <w:szCs w:val="24"/>
              </w:rPr>
              <w:t>(RACAP)</w:t>
            </w:r>
          </w:p>
        </w:tc>
        <w:tc>
          <w:tcPr>
            <w:tcW w:w="2127" w:type="dxa"/>
            <w:vMerge w:val="restart"/>
          </w:tcPr>
          <w:p w14:paraId="74AA4068" w14:textId="393A14B5" w:rsidR="003C39B4" w:rsidRPr="00F20F99" w:rsidRDefault="00ED7603" w:rsidP="00ED7603">
            <w:pPr>
              <w:jc w:val="both"/>
              <w:rPr>
                <w:rFonts w:ascii="Times New Roman" w:hAnsi="Times New Roman" w:cs="Times New Roman"/>
                <w:sz w:val="24"/>
                <w:szCs w:val="24"/>
              </w:rPr>
            </w:pPr>
            <w:r w:rsidRPr="00F20F99">
              <w:rPr>
                <w:rFonts w:ascii="Times New Roman" w:hAnsi="Times New Roman" w:cs="Times New Roman"/>
                <w:sz w:val="24"/>
                <w:szCs w:val="24"/>
              </w:rPr>
              <w:t>La habilidad de la organización para transformar y aprovechar el conocimiento adquirido integrándolo efectivamente en las operaciones diarias y la toma de decisiones estratégicas.</w:t>
            </w:r>
          </w:p>
        </w:tc>
        <w:tc>
          <w:tcPr>
            <w:tcW w:w="2409" w:type="dxa"/>
            <w:vMerge w:val="restart"/>
          </w:tcPr>
          <w:p w14:paraId="4275DB4E" w14:textId="5C1F38D1" w:rsidR="003C39B4" w:rsidRPr="00F20F99" w:rsidRDefault="00ED7603" w:rsidP="00ED7603">
            <w:pPr>
              <w:jc w:val="both"/>
              <w:rPr>
                <w:rFonts w:ascii="Times New Roman" w:hAnsi="Times New Roman" w:cs="Times New Roman"/>
                <w:sz w:val="24"/>
                <w:szCs w:val="24"/>
              </w:rPr>
            </w:pPr>
            <w:r w:rsidRPr="00F20F99">
              <w:rPr>
                <w:rFonts w:ascii="Times New Roman" w:hAnsi="Times New Roman" w:cs="Times New Roman"/>
                <w:sz w:val="24"/>
                <w:szCs w:val="24"/>
              </w:rPr>
              <w:t>Se evidencia en la integración del conocimiento adquirido en procesos y decisiones estratégicas, reflejándose en la habilidad de la organización para adaptar sus operaciones de manera continua y ágil, lo que resulta en mejoras en eficiencia y ventajas competitivas.</w:t>
            </w:r>
          </w:p>
        </w:tc>
        <w:tc>
          <w:tcPr>
            <w:tcW w:w="3724" w:type="dxa"/>
          </w:tcPr>
          <w:p w14:paraId="3E6B0D30" w14:textId="5981020C" w:rsidR="003C39B4" w:rsidRPr="00F20F99" w:rsidRDefault="00ED7603" w:rsidP="00ED7603">
            <w:pPr>
              <w:jc w:val="both"/>
              <w:rPr>
                <w:rFonts w:ascii="Times New Roman" w:hAnsi="Times New Roman" w:cs="Times New Roman"/>
                <w:sz w:val="24"/>
                <w:szCs w:val="24"/>
              </w:rPr>
            </w:pPr>
            <w:r w:rsidRPr="00F20F99">
              <w:rPr>
                <w:rFonts w:ascii="Times New Roman" w:hAnsi="Times New Roman" w:cs="Times New Roman"/>
                <w:sz w:val="24"/>
                <w:szCs w:val="24"/>
              </w:rPr>
              <w:t>RACAP1: La organización ha incorporado conocimiento externo en sus operaciones diarias.</w:t>
            </w:r>
          </w:p>
        </w:tc>
      </w:tr>
      <w:tr w:rsidR="00181CB4" w:rsidRPr="00F20F99" w14:paraId="4C25F514" w14:textId="77777777" w:rsidTr="00F20F99">
        <w:tc>
          <w:tcPr>
            <w:tcW w:w="1134" w:type="dxa"/>
            <w:vMerge/>
          </w:tcPr>
          <w:p w14:paraId="27125BB4" w14:textId="77777777" w:rsidR="003C39B4" w:rsidRPr="00F20F99" w:rsidRDefault="003C39B4" w:rsidP="008E79D6">
            <w:pPr>
              <w:jc w:val="both"/>
              <w:rPr>
                <w:rFonts w:ascii="Times New Roman" w:hAnsi="Times New Roman" w:cs="Times New Roman"/>
                <w:sz w:val="24"/>
                <w:szCs w:val="24"/>
              </w:rPr>
            </w:pPr>
          </w:p>
        </w:tc>
        <w:tc>
          <w:tcPr>
            <w:tcW w:w="2127" w:type="dxa"/>
            <w:vMerge/>
          </w:tcPr>
          <w:p w14:paraId="0654C10A" w14:textId="77777777" w:rsidR="003C39B4" w:rsidRPr="00F20F99" w:rsidRDefault="003C39B4" w:rsidP="008E79D6">
            <w:pPr>
              <w:jc w:val="both"/>
              <w:rPr>
                <w:rFonts w:ascii="Times New Roman" w:hAnsi="Times New Roman" w:cs="Times New Roman"/>
                <w:sz w:val="24"/>
                <w:szCs w:val="24"/>
              </w:rPr>
            </w:pPr>
          </w:p>
        </w:tc>
        <w:tc>
          <w:tcPr>
            <w:tcW w:w="2409" w:type="dxa"/>
            <w:vMerge/>
          </w:tcPr>
          <w:p w14:paraId="7C7E5C65" w14:textId="77777777" w:rsidR="003C39B4" w:rsidRPr="00F20F99" w:rsidRDefault="003C39B4" w:rsidP="008E79D6">
            <w:pPr>
              <w:jc w:val="both"/>
              <w:rPr>
                <w:rFonts w:ascii="Times New Roman" w:hAnsi="Times New Roman" w:cs="Times New Roman"/>
                <w:sz w:val="24"/>
                <w:szCs w:val="24"/>
              </w:rPr>
            </w:pPr>
          </w:p>
        </w:tc>
        <w:tc>
          <w:tcPr>
            <w:tcW w:w="3724" w:type="dxa"/>
          </w:tcPr>
          <w:p w14:paraId="16AB7EA3" w14:textId="43F1031D" w:rsidR="003C39B4" w:rsidRPr="00F20F99" w:rsidRDefault="00ED7603" w:rsidP="00ED7603">
            <w:pPr>
              <w:jc w:val="both"/>
              <w:rPr>
                <w:rFonts w:ascii="Times New Roman" w:hAnsi="Times New Roman" w:cs="Times New Roman"/>
                <w:sz w:val="24"/>
                <w:szCs w:val="24"/>
              </w:rPr>
            </w:pPr>
            <w:r w:rsidRPr="00F20F99">
              <w:rPr>
                <w:rFonts w:ascii="Times New Roman" w:hAnsi="Times New Roman" w:cs="Times New Roman"/>
                <w:sz w:val="24"/>
                <w:szCs w:val="24"/>
              </w:rPr>
              <w:t>RACAP2: Las decisiones estratégicas recientes se basan en conocimiento recientemente adquirido.</w:t>
            </w:r>
          </w:p>
        </w:tc>
      </w:tr>
      <w:tr w:rsidR="00181CB4" w:rsidRPr="00F20F99" w14:paraId="3BDCB0E8" w14:textId="77777777" w:rsidTr="00F20F99">
        <w:tc>
          <w:tcPr>
            <w:tcW w:w="1134" w:type="dxa"/>
            <w:vMerge/>
          </w:tcPr>
          <w:p w14:paraId="6737CD24" w14:textId="77777777" w:rsidR="003C39B4" w:rsidRPr="00F20F99" w:rsidRDefault="003C39B4" w:rsidP="008E79D6">
            <w:pPr>
              <w:jc w:val="both"/>
              <w:rPr>
                <w:rFonts w:ascii="Times New Roman" w:hAnsi="Times New Roman" w:cs="Times New Roman"/>
                <w:sz w:val="24"/>
                <w:szCs w:val="24"/>
              </w:rPr>
            </w:pPr>
          </w:p>
        </w:tc>
        <w:tc>
          <w:tcPr>
            <w:tcW w:w="2127" w:type="dxa"/>
            <w:vMerge/>
          </w:tcPr>
          <w:p w14:paraId="62C5C5DA" w14:textId="77777777" w:rsidR="003C39B4" w:rsidRPr="00F20F99" w:rsidRDefault="003C39B4" w:rsidP="008E79D6">
            <w:pPr>
              <w:jc w:val="both"/>
              <w:rPr>
                <w:rFonts w:ascii="Times New Roman" w:hAnsi="Times New Roman" w:cs="Times New Roman"/>
                <w:sz w:val="24"/>
                <w:szCs w:val="24"/>
              </w:rPr>
            </w:pPr>
          </w:p>
        </w:tc>
        <w:tc>
          <w:tcPr>
            <w:tcW w:w="2409" w:type="dxa"/>
            <w:vMerge/>
          </w:tcPr>
          <w:p w14:paraId="58442BFD" w14:textId="77777777" w:rsidR="003C39B4" w:rsidRPr="00F20F99" w:rsidRDefault="003C39B4" w:rsidP="008E79D6">
            <w:pPr>
              <w:jc w:val="both"/>
              <w:rPr>
                <w:rFonts w:ascii="Times New Roman" w:hAnsi="Times New Roman" w:cs="Times New Roman"/>
                <w:sz w:val="24"/>
                <w:szCs w:val="24"/>
              </w:rPr>
            </w:pPr>
          </w:p>
        </w:tc>
        <w:tc>
          <w:tcPr>
            <w:tcW w:w="3724" w:type="dxa"/>
          </w:tcPr>
          <w:p w14:paraId="4A58630C" w14:textId="2039CA1D" w:rsidR="003C39B4" w:rsidRPr="00F20F99" w:rsidRDefault="00ED7603" w:rsidP="00ED7603">
            <w:pPr>
              <w:jc w:val="both"/>
              <w:rPr>
                <w:rFonts w:ascii="Times New Roman" w:hAnsi="Times New Roman" w:cs="Times New Roman"/>
                <w:sz w:val="24"/>
                <w:szCs w:val="24"/>
              </w:rPr>
            </w:pPr>
            <w:r w:rsidRPr="00F20F99">
              <w:rPr>
                <w:rFonts w:ascii="Times New Roman" w:hAnsi="Times New Roman" w:cs="Times New Roman"/>
                <w:sz w:val="24"/>
                <w:szCs w:val="24"/>
              </w:rPr>
              <w:t>RACAP3: Los cambios en los procesos reflejan una adaptación a los conocimientos emergentes.</w:t>
            </w:r>
          </w:p>
        </w:tc>
      </w:tr>
      <w:tr w:rsidR="00181CB4" w:rsidRPr="00F20F99" w14:paraId="78C3AD9C" w14:textId="77777777" w:rsidTr="00F20F99">
        <w:tc>
          <w:tcPr>
            <w:tcW w:w="1134" w:type="dxa"/>
            <w:vMerge/>
          </w:tcPr>
          <w:p w14:paraId="1C7B7D30" w14:textId="77777777" w:rsidR="003C39B4" w:rsidRPr="00F20F99" w:rsidRDefault="003C39B4" w:rsidP="008E79D6">
            <w:pPr>
              <w:jc w:val="both"/>
              <w:rPr>
                <w:rFonts w:ascii="Times New Roman" w:hAnsi="Times New Roman" w:cs="Times New Roman"/>
                <w:sz w:val="24"/>
                <w:szCs w:val="24"/>
              </w:rPr>
            </w:pPr>
          </w:p>
        </w:tc>
        <w:tc>
          <w:tcPr>
            <w:tcW w:w="2127" w:type="dxa"/>
            <w:vMerge/>
          </w:tcPr>
          <w:p w14:paraId="487E6A29" w14:textId="77777777" w:rsidR="003C39B4" w:rsidRPr="00F20F99" w:rsidRDefault="003C39B4" w:rsidP="008E79D6">
            <w:pPr>
              <w:jc w:val="both"/>
              <w:rPr>
                <w:rFonts w:ascii="Times New Roman" w:hAnsi="Times New Roman" w:cs="Times New Roman"/>
                <w:sz w:val="24"/>
                <w:szCs w:val="24"/>
              </w:rPr>
            </w:pPr>
          </w:p>
        </w:tc>
        <w:tc>
          <w:tcPr>
            <w:tcW w:w="2409" w:type="dxa"/>
            <w:vMerge/>
          </w:tcPr>
          <w:p w14:paraId="34BB8AED" w14:textId="77777777" w:rsidR="003C39B4" w:rsidRPr="00F20F99" w:rsidRDefault="003C39B4" w:rsidP="008E79D6">
            <w:pPr>
              <w:jc w:val="both"/>
              <w:rPr>
                <w:rFonts w:ascii="Times New Roman" w:hAnsi="Times New Roman" w:cs="Times New Roman"/>
                <w:sz w:val="24"/>
                <w:szCs w:val="24"/>
              </w:rPr>
            </w:pPr>
          </w:p>
        </w:tc>
        <w:tc>
          <w:tcPr>
            <w:tcW w:w="3724" w:type="dxa"/>
          </w:tcPr>
          <w:p w14:paraId="19CD6C62" w14:textId="39364166" w:rsidR="003C39B4" w:rsidRPr="00F20F99" w:rsidRDefault="00ED7603" w:rsidP="00ED7603">
            <w:pPr>
              <w:jc w:val="both"/>
              <w:rPr>
                <w:rFonts w:ascii="Times New Roman" w:hAnsi="Times New Roman" w:cs="Times New Roman"/>
                <w:sz w:val="24"/>
                <w:szCs w:val="24"/>
              </w:rPr>
            </w:pPr>
            <w:r w:rsidRPr="00F20F99">
              <w:rPr>
                <w:rFonts w:ascii="Times New Roman" w:hAnsi="Times New Roman" w:cs="Times New Roman"/>
                <w:sz w:val="24"/>
                <w:szCs w:val="24"/>
              </w:rPr>
              <w:t>RACAP4: La organización ha mejorado su eficiencia por la aplicación de nuevos conocimientos.</w:t>
            </w:r>
          </w:p>
        </w:tc>
      </w:tr>
      <w:tr w:rsidR="00181CB4" w:rsidRPr="00F20F99" w14:paraId="645F9E5E" w14:textId="77777777" w:rsidTr="00F20F99">
        <w:tc>
          <w:tcPr>
            <w:tcW w:w="1134" w:type="dxa"/>
            <w:vMerge/>
          </w:tcPr>
          <w:p w14:paraId="05E83ADA" w14:textId="77777777" w:rsidR="003C39B4" w:rsidRPr="00F20F99" w:rsidRDefault="003C39B4" w:rsidP="008E79D6">
            <w:pPr>
              <w:jc w:val="both"/>
              <w:rPr>
                <w:rFonts w:ascii="Times New Roman" w:hAnsi="Times New Roman" w:cs="Times New Roman"/>
                <w:sz w:val="24"/>
                <w:szCs w:val="24"/>
              </w:rPr>
            </w:pPr>
          </w:p>
        </w:tc>
        <w:tc>
          <w:tcPr>
            <w:tcW w:w="2127" w:type="dxa"/>
            <w:vMerge/>
          </w:tcPr>
          <w:p w14:paraId="3926765E" w14:textId="77777777" w:rsidR="003C39B4" w:rsidRPr="00F20F99" w:rsidRDefault="003C39B4" w:rsidP="008E79D6">
            <w:pPr>
              <w:jc w:val="both"/>
              <w:rPr>
                <w:rFonts w:ascii="Times New Roman" w:hAnsi="Times New Roman" w:cs="Times New Roman"/>
                <w:sz w:val="24"/>
                <w:szCs w:val="24"/>
              </w:rPr>
            </w:pPr>
          </w:p>
        </w:tc>
        <w:tc>
          <w:tcPr>
            <w:tcW w:w="2409" w:type="dxa"/>
            <w:vMerge/>
          </w:tcPr>
          <w:p w14:paraId="1397BE55" w14:textId="77777777" w:rsidR="003C39B4" w:rsidRPr="00F20F99" w:rsidRDefault="003C39B4" w:rsidP="008E79D6">
            <w:pPr>
              <w:jc w:val="both"/>
              <w:rPr>
                <w:rFonts w:ascii="Times New Roman" w:hAnsi="Times New Roman" w:cs="Times New Roman"/>
                <w:sz w:val="24"/>
                <w:szCs w:val="24"/>
              </w:rPr>
            </w:pPr>
          </w:p>
        </w:tc>
        <w:tc>
          <w:tcPr>
            <w:tcW w:w="3724" w:type="dxa"/>
          </w:tcPr>
          <w:p w14:paraId="3F6D6F9D" w14:textId="67B47D90" w:rsidR="003C39B4" w:rsidRPr="00F20F99" w:rsidRDefault="00ED7603" w:rsidP="00ED7603">
            <w:pPr>
              <w:jc w:val="both"/>
              <w:rPr>
                <w:rFonts w:ascii="Times New Roman" w:hAnsi="Times New Roman" w:cs="Times New Roman"/>
                <w:sz w:val="24"/>
                <w:szCs w:val="24"/>
              </w:rPr>
            </w:pPr>
            <w:r w:rsidRPr="00F20F99">
              <w:rPr>
                <w:rFonts w:ascii="Times New Roman" w:hAnsi="Times New Roman" w:cs="Times New Roman"/>
                <w:sz w:val="24"/>
                <w:szCs w:val="24"/>
              </w:rPr>
              <w:t>RACAP5: La organización ha obtenido ventajas competitivas por la explotación de conocimientos.</w:t>
            </w:r>
          </w:p>
        </w:tc>
      </w:tr>
    </w:tbl>
    <w:p w14:paraId="2587CDB0" w14:textId="5CDC1C84" w:rsidR="007C382D" w:rsidRPr="00D45D63" w:rsidRDefault="002A7B81" w:rsidP="002A7B81">
      <w:pPr>
        <w:spacing w:after="0" w:line="360" w:lineRule="auto"/>
        <w:jc w:val="center"/>
        <w:rPr>
          <w:rFonts w:ascii="Times New Roman" w:hAnsi="Times New Roman" w:cs="Times New Roman"/>
          <w:sz w:val="24"/>
          <w:szCs w:val="24"/>
        </w:rPr>
      </w:pPr>
      <w:r w:rsidRPr="00D45D63">
        <w:rPr>
          <w:rFonts w:ascii="Times New Roman" w:hAnsi="Times New Roman" w:cs="Times New Roman"/>
          <w:sz w:val="24"/>
          <w:szCs w:val="24"/>
        </w:rPr>
        <w:t>Fuente: Elaboración propia</w:t>
      </w:r>
    </w:p>
    <w:p w14:paraId="033ED151" w14:textId="77777777" w:rsidR="002A7B81" w:rsidRDefault="002A7B81" w:rsidP="003C39B4">
      <w:pPr>
        <w:spacing w:after="0" w:line="360" w:lineRule="auto"/>
        <w:jc w:val="both"/>
        <w:rPr>
          <w:rFonts w:ascii="Times New Roman" w:hAnsi="Times New Roman" w:cs="Times New Roman"/>
          <w:sz w:val="24"/>
          <w:szCs w:val="24"/>
        </w:rPr>
      </w:pPr>
    </w:p>
    <w:p w14:paraId="5B4D6CBB" w14:textId="77777777" w:rsidR="00FE4589" w:rsidRDefault="00FE4589" w:rsidP="003C39B4">
      <w:pPr>
        <w:spacing w:after="0" w:line="360" w:lineRule="auto"/>
        <w:jc w:val="both"/>
        <w:rPr>
          <w:rFonts w:ascii="Times New Roman" w:hAnsi="Times New Roman" w:cs="Times New Roman"/>
          <w:sz w:val="24"/>
          <w:szCs w:val="24"/>
        </w:rPr>
      </w:pPr>
    </w:p>
    <w:p w14:paraId="76C00B4E" w14:textId="77777777" w:rsidR="00FE4589" w:rsidRDefault="00FE4589" w:rsidP="003C39B4">
      <w:pPr>
        <w:spacing w:after="0" w:line="360" w:lineRule="auto"/>
        <w:jc w:val="both"/>
        <w:rPr>
          <w:rFonts w:ascii="Times New Roman" w:hAnsi="Times New Roman" w:cs="Times New Roman"/>
          <w:sz w:val="24"/>
          <w:szCs w:val="24"/>
        </w:rPr>
      </w:pPr>
    </w:p>
    <w:p w14:paraId="56A29892" w14:textId="77777777" w:rsidR="00FE4589" w:rsidRPr="00D45D63" w:rsidRDefault="00FE4589" w:rsidP="003C39B4">
      <w:pPr>
        <w:spacing w:after="0" w:line="360" w:lineRule="auto"/>
        <w:jc w:val="both"/>
        <w:rPr>
          <w:rFonts w:ascii="Times New Roman" w:hAnsi="Times New Roman" w:cs="Times New Roman"/>
          <w:sz w:val="24"/>
          <w:szCs w:val="24"/>
        </w:rPr>
      </w:pPr>
    </w:p>
    <w:p w14:paraId="65EAB15A" w14:textId="326E2CCB" w:rsidR="007C382D" w:rsidRPr="00D45D63" w:rsidRDefault="007C382D" w:rsidP="00F20F99">
      <w:pPr>
        <w:spacing w:after="0" w:line="360" w:lineRule="auto"/>
        <w:jc w:val="center"/>
        <w:rPr>
          <w:rFonts w:ascii="Times New Roman" w:hAnsi="Times New Roman" w:cs="Times New Roman"/>
          <w:b/>
          <w:bCs/>
          <w:sz w:val="24"/>
          <w:szCs w:val="24"/>
        </w:rPr>
      </w:pPr>
      <w:r w:rsidRPr="00D45D63">
        <w:rPr>
          <w:rFonts w:ascii="Times New Roman" w:hAnsi="Times New Roman" w:cs="Times New Roman"/>
          <w:b/>
          <w:bCs/>
          <w:sz w:val="24"/>
          <w:szCs w:val="24"/>
        </w:rPr>
        <w:lastRenderedPageBreak/>
        <w:t xml:space="preserve">Transferencia de Tecnología </w:t>
      </w:r>
      <w:proofErr w:type="spellStart"/>
      <w:r w:rsidRPr="00D45D63">
        <w:rPr>
          <w:rFonts w:ascii="Times New Roman" w:hAnsi="Times New Roman" w:cs="Times New Roman"/>
          <w:b/>
          <w:bCs/>
          <w:sz w:val="24"/>
          <w:szCs w:val="24"/>
        </w:rPr>
        <w:t>Intra-empresa</w:t>
      </w:r>
      <w:proofErr w:type="spellEnd"/>
    </w:p>
    <w:p w14:paraId="1BE4CFB2" w14:textId="30885577" w:rsidR="0018027C" w:rsidRPr="00D45D63"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 xml:space="preserve">La transferencia de tecnología </w:t>
      </w:r>
      <w:proofErr w:type="spellStart"/>
      <w:r w:rsidRPr="00D45D63">
        <w:rPr>
          <w:rFonts w:ascii="Times New Roman" w:hAnsi="Times New Roman" w:cs="Times New Roman"/>
          <w:sz w:val="24"/>
          <w:szCs w:val="24"/>
        </w:rPr>
        <w:t>Intra-empresa</w:t>
      </w:r>
      <w:proofErr w:type="spellEnd"/>
      <w:r w:rsidRPr="00D45D63">
        <w:rPr>
          <w:rFonts w:ascii="Times New Roman" w:hAnsi="Times New Roman" w:cs="Times New Roman"/>
          <w:sz w:val="24"/>
          <w:szCs w:val="24"/>
        </w:rPr>
        <w:t xml:space="preserve"> (IFTT) es el proceso mediante el cual se comparten</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conocimientos técnicos, información y personal entre áreas técnicas, como ingeniería, I+D y manufactura, y</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áreas no técnicas, como ventas y marketing. El objetivo de este proceso es desarrollar servicios y productos</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innovadores que satisfagan las necesidades estratégicas de la empresa y sus clientes (</w:t>
      </w:r>
      <w:proofErr w:type="spellStart"/>
      <w:r w:rsidRPr="00D45D63">
        <w:rPr>
          <w:rFonts w:ascii="Times New Roman" w:hAnsi="Times New Roman" w:cs="Times New Roman"/>
          <w:sz w:val="24"/>
          <w:szCs w:val="24"/>
        </w:rPr>
        <w:t>Behane</w:t>
      </w:r>
      <w:proofErr w:type="spellEnd"/>
      <w:r w:rsidRPr="00D45D63">
        <w:rPr>
          <w:rFonts w:ascii="Times New Roman" w:hAnsi="Times New Roman" w:cs="Times New Roman"/>
          <w:sz w:val="24"/>
          <w:szCs w:val="24"/>
        </w:rPr>
        <w:t xml:space="preserve"> </w:t>
      </w:r>
      <w:r w:rsidR="00BF1F4A" w:rsidRPr="00D45D63">
        <w:rPr>
          <w:rFonts w:ascii="Times New Roman" w:hAnsi="Times New Roman" w:cs="Times New Roman"/>
          <w:sz w:val="24"/>
          <w:szCs w:val="24"/>
        </w:rPr>
        <w:t>y</w:t>
      </w:r>
      <w:r w:rsidRPr="00D45D63">
        <w:rPr>
          <w:rFonts w:ascii="Times New Roman" w:hAnsi="Times New Roman" w:cs="Times New Roman"/>
          <w:sz w:val="24"/>
          <w:szCs w:val="24"/>
        </w:rPr>
        <w:t xml:space="preserve"> </w:t>
      </w:r>
      <w:proofErr w:type="spellStart"/>
      <w:r w:rsidRPr="00D45D63">
        <w:rPr>
          <w:rFonts w:ascii="Times New Roman" w:hAnsi="Times New Roman" w:cs="Times New Roman"/>
          <w:sz w:val="24"/>
          <w:szCs w:val="24"/>
        </w:rPr>
        <w:t>Grobbelaar</w:t>
      </w:r>
      <w:proofErr w:type="spellEnd"/>
      <w:r w:rsidRPr="00D45D63">
        <w:rPr>
          <w:rFonts w:ascii="Times New Roman" w:hAnsi="Times New Roman" w:cs="Times New Roman"/>
          <w:sz w:val="24"/>
          <w:szCs w:val="24"/>
        </w:rPr>
        <w:t>,</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2018). Esta práctica se considera esencial para que las organizaciones puedan acceder y adquirir tecnologías</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avanzadas, lo que les permite competir en el mercado global y contribuir al desarrollo económico de países</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menos desarrollados (</w:t>
      </w:r>
      <w:proofErr w:type="spellStart"/>
      <w:r w:rsidRPr="00D45D63">
        <w:rPr>
          <w:rFonts w:ascii="Times New Roman" w:hAnsi="Times New Roman" w:cs="Times New Roman"/>
          <w:sz w:val="24"/>
          <w:szCs w:val="24"/>
        </w:rPr>
        <w:t>Elshahoupy</w:t>
      </w:r>
      <w:proofErr w:type="spellEnd"/>
      <w:r w:rsidRPr="00D45D63">
        <w:rPr>
          <w:rFonts w:ascii="Times New Roman" w:hAnsi="Times New Roman" w:cs="Times New Roman"/>
          <w:sz w:val="24"/>
          <w:szCs w:val="24"/>
        </w:rPr>
        <w:t>, 2020). Más que un simple traspaso de equipo, la TT implica un intercambio</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dinámico de conocimientos, experiencias y derechos de propiedad intelectual entre el proveedor y el receptor.</w:t>
      </w:r>
    </w:p>
    <w:p w14:paraId="6182B3AB" w14:textId="67367DE3" w:rsidR="003C39B4" w:rsidRPr="00D45D63"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La selección del método adecuado para la transferencia de tecnología requiere un análisis exhaustivo de la</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tecnología, una estrategia de colaboración a largo plazo, inversiones adecuadas y la capacidad técnica para</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integrar nuevas tecnologías. Esta cooperación cercana no solo mejora la eficiencia y calidad de los procesos</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de manufactura, sino que también asegura la constante actualización y adaptación de las tecnologías a las</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necesidades organizacionales, destacando que la verdadera transformación organizacional se origina de la</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transferencia de conocimiento y habilidades, no solo del equipo.</w:t>
      </w:r>
      <w:r w:rsidR="003C39B4" w:rsidRPr="00D45D63">
        <w:rPr>
          <w:rFonts w:ascii="Times New Roman" w:hAnsi="Times New Roman" w:cs="Times New Roman"/>
          <w:sz w:val="24"/>
          <w:szCs w:val="24"/>
        </w:rPr>
        <w:t xml:space="preserve"> </w:t>
      </w:r>
    </w:p>
    <w:p w14:paraId="34CA85D3" w14:textId="20132611" w:rsidR="007C382D"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Finalmente, la capacidad de una organización para realizar transferencias de tecnología en el contexto</w:t>
      </w:r>
      <w:r w:rsidR="003C39B4" w:rsidRPr="00D45D63">
        <w:rPr>
          <w:rFonts w:ascii="Times New Roman" w:hAnsi="Times New Roman" w:cs="Times New Roman"/>
          <w:sz w:val="24"/>
          <w:szCs w:val="24"/>
        </w:rPr>
        <w:t xml:space="preserve"> </w:t>
      </w:r>
      <w:proofErr w:type="spellStart"/>
      <w:r w:rsidRPr="00D45D63">
        <w:rPr>
          <w:rFonts w:ascii="Times New Roman" w:hAnsi="Times New Roman" w:cs="Times New Roman"/>
          <w:sz w:val="24"/>
          <w:szCs w:val="24"/>
        </w:rPr>
        <w:t>Intra-empresa</w:t>
      </w:r>
      <w:proofErr w:type="spellEnd"/>
      <w:r w:rsidRPr="00D45D63">
        <w:rPr>
          <w:rFonts w:ascii="Times New Roman" w:hAnsi="Times New Roman" w:cs="Times New Roman"/>
          <w:sz w:val="24"/>
          <w:szCs w:val="24"/>
        </w:rPr>
        <w:t>, facilitando eficazmente el movimiento de tecnología y conocimiento dentro de la misma,</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es crucial. La capacidad de absorción actúa como un puente entre la gestión del conocimiento, liderazgo,</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recursos humanos, cultura de aprendizaje, fuentes de conocimiento, y su impacto positivo en la </w:t>
      </w:r>
      <w:r w:rsidR="003C39B4" w:rsidRPr="00D45D63">
        <w:rPr>
          <w:rFonts w:ascii="Times New Roman" w:hAnsi="Times New Roman" w:cs="Times New Roman"/>
          <w:sz w:val="24"/>
          <w:szCs w:val="24"/>
        </w:rPr>
        <w:t>i</w:t>
      </w:r>
      <w:r w:rsidRPr="00D45D63">
        <w:rPr>
          <w:rFonts w:ascii="Times New Roman" w:hAnsi="Times New Roman" w:cs="Times New Roman"/>
          <w:sz w:val="24"/>
          <w:szCs w:val="24"/>
        </w:rPr>
        <w:t>nnovación y</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el rendimiento organizacional a largo plazo. Este enfoque integrado subraya la importancia de la TT no solo</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como una actividad puntual, sino como un elemento fundamental para el éxito sostenido de la organización en</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un entorno empresarial competitivo y en constante cambio. La Tabla 9 muestra la descripción conceptual, la</w:t>
      </w:r>
      <w:r w:rsidR="003C39B4" w:rsidRPr="00D45D63">
        <w:rPr>
          <w:rFonts w:ascii="Times New Roman" w:hAnsi="Times New Roman" w:cs="Times New Roman"/>
          <w:sz w:val="24"/>
          <w:szCs w:val="24"/>
        </w:rPr>
        <w:t xml:space="preserve"> </w:t>
      </w:r>
      <w:r w:rsidRPr="00D45D63">
        <w:rPr>
          <w:rFonts w:ascii="Times New Roman" w:hAnsi="Times New Roman" w:cs="Times New Roman"/>
          <w:sz w:val="24"/>
          <w:szCs w:val="24"/>
        </w:rPr>
        <w:t>descripción opera</w:t>
      </w:r>
      <w:r w:rsidR="00295E0C">
        <w:rPr>
          <w:rFonts w:ascii="Times New Roman" w:hAnsi="Times New Roman" w:cs="Times New Roman"/>
          <w:sz w:val="24"/>
          <w:szCs w:val="24"/>
        </w:rPr>
        <w:t xml:space="preserve">tiva </w:t>
      </w:r>
      <w:r w:rsidRPr="00D45D63">
        <w:rPr>
          <w:rFonts w:ascii="Times New Roman" w:hAnsi="Times New Roman" w:cs="Times New Roman"/>
          <w:sz w:val="24"/>
          <w:szCs w:val="24"/>
        </w:rPr>
        <w:t>y los ítems propuestos para el constructo</w:t>
      </w:r>
      <w:r w:rsidR="00DF400D">
        <w:rPr>
          <w:rFonts w:ascii="Times New Roman" w:hAnsi="Times New Roman" w:cs="Times New Roman"/>
          <w:sz w:val="24"/>
          <w:szCs w:val="24"/>
        </w:rPr>
        <w:t xml:space="preserve"> </w:t>
      </w:r>
      <w:r w:rsidRPr="00D45D63">
        <w:rPr>
          <w:rFonts w:ascii="Times New Roman" w:hAnsi="Times New Roman" w:cs="Times New Roman"/>
          <w:sz w:val="24"/>
          <w:szCs w:val="24"/>
        </w:rPr>
        <w:t>IFTT.</w:t>
      </w:r>
    </w:p>
    <w:p w14:paraId="23104DCD" w14:textId="77777777" w:rsidR="00DF400D" w:rsidRDefault="00DF400D" w:rsidP="003C39B4">
      <w:pPr>
        <w:spacing w:after="0" w:line="360" w:lineRule="auto"/>
        <w:jc w:val="both"/>
        <w:rPr>
          <w:rFonts w:ascii="Times New Roman" w:hAnsi="Times New Roman" w:cs="Times New Roman"/>
          <w:sz w:val="24"/>
          <w:szCs w:val="24"/>
        </w:rPr>
      </w:pPr>
    </w:p>
    <w:p w14:paraId="15B11A44" w14:textId="77777777" w:rsidR="00FE4589" w:rsidRDefault="00FE4589" w:rsidP="003C39B4">
      <w:pPr>
        <w:spacing w:after="0" w:line="360" w:lineRule="auto"/>
        <w:jc w:val="both"/>
        <w:rPr>
          <w:rFonts w:ascii="Times New Roman" w:hAnsi="Times New Roman" w:cs="Times New Roman"/>
          <w:sz w:val="24"/>
          <w:szCs w:val="24"/>
        </w:rPr>
      </w:pPr>
    </w:p>
    <w:p w14:paraId="0A672740" w14:textId="77777777" w:rsidR="00FE4589" w:rsidRDefault="00FE4589" w:rsidP="003C39B4">
      <w:pPr>
        <w:spacing w:after="0" w:line="360" w:lineRule="auto"/>
        <w:jc w:val="both"/>
        <w:rPr>
          <w:rFonts w:ascii="Times New Roman" w:hAnsi="Times New Roman" w:cs="Times New Roman"/>
          <w:sz w:val="24"/>
          <w:szCs w:val="24"/>
        </w:rPr>
      </w:pPr>
    </w:p>
    <w:p w14:paraId="2FE33144" w14:textId="77777777" w:rsidR="00FE4589" w:rsidRDefault="00FE4589" w:rsidP="003C39B4">
      <w:pPr>
        <w:spacing w:after="0" w:line="360" w:lineRule="auto"/>
        <w:jc w:val="both"/>
        <w:rPr>
          <w:rFonts w:ascii="Times New Roman" w:hAnsi="Times New Roman" w:cs="Times New Roman"/>
          <w:sz w:val="24"/>
          <w:szCs w:val="24"/>
        </w:rPr>
      </w:pPr>
    </w:p>
    <w:p w14:paraId="587CCD89" w14:textId="3F37BBF0" w:rsidR="007C382D" w:rsidRPr="00D45D63" w:rsidRDefault="007C382D" w:rsidP="00F20F99">
      <w:pPr>
        <w:spacing w:after="0" w:line="360" w:lineRule="auto"/>
        <w:jc w:val="center"/>
        <w:rPr>
          <w:rFonts w:ascii="Times New Roman" w:hAnsi="Times New Roman" w:cs="Times New Roman"/>
          <w:sz w:val="24"/>
          <w:szCs w:val="24"/>
        </w:rPr>
      </w:pPr>
      <w:r w:rsidRPr="00F20F99">
        <w:rPr>
          <w:rFonts w:ascii="Times New Roman" w:hAnsi="Times New Roman" w:cs="Times New Roman"/>
          <w:b/>
          <w:bCs/>
          <w:sz w:val="24"/>
          <w:szCs w:val="24"/>
        </w:rPr>
        <w:lastRenderedPageBreak/>
        <w:t>Tabla 9</w:t>
      </w:r>
      <w:r w:rsidR="00FE4589">
        <w:rPr>
          <w:rFonts w:ascii="Times New Roman" w:hAnsi="Times New Roman" w:cs="Times New Roman"/>
          <w:b/>
          <w:bCs/>
          <w:sz w:val="24"/>
          <w:szCs w:val="24"/>
        </w:rPr>
        <w:t>.</w:t>
      </w:r>
      <w:r w:rsidRPr="00D45D63">
        <w:rPr>
          <w:rFonts w:ascii="Times New Roman" w:hAnsi="Times New Roman" w:cs="Times New Roman"/>
          <w:sz w:val="24"/>
          <w:szCs w:val="24"/>
        </w:rPr>
        <w:t xml:space="preserve"> Operacionalización del Constructo Transferencia de Tecnología Intra-Empresa (IFTT)</w:t>
      </w:r>
    </w:p>
    <w:tbl>
      <w:tblPr>
        <w:tblStyle w:val="Tablaconcuadrcula"/>
        <w:tblW w:w="0" w:type="auto"/>
        <w:tblCellMar>
          <w:left w:w="57" w:type="dxa"/>
          <w:right w:w="57" w:type="dxa"/>
        </w:tblCellMar>
        <w:tblLook w:val="04A0" w:firstRow="1" w:lastRow="0" w:firstColumn="1" w:lastColumn="0" w:noHBand="0" w:noVBand="1"/>
      </w:tblPr>
      <w:tblGrid>
        <w:gridCol w:w="1434"/>
        <w:gridCol w:w="1893"/>
        <w:gridCol w:w="2122"/>
        <w:gridCol w:w="3379"/>
      </w:tblGrid>
      <w:tr w:rsidR="00181CB4" w:rsidRPr="00F20F99" w14:paraId="4573C1BC" w14:textId="77777777" w:rsidTr="00F20F99">
        <w:tc>
          <w:tcPr>
            <w:tcW w:w="1276" w:type="dxa"/>
            <w:vAlign w:val="center"/>
          </w:tcPr>
          <w:p w14:paraId="62953319" w14:textId="77777777" w:rsidR="003C39B4" w:rsidRPr="00F20F99" w:rsidRDefault="003C39B4" w:rsidP="008E79D6">
            <w:pPr>
              <w:rPr>
                <w:rFonts w:ascii="Times New Roman" w:hAnsi="Times New Roman" w:cs="Times New Roman"/>
                <w:sz w:val="24"/>
                <w:szCs w:val="24"/>
              </w:rPr>
            </w:pPr>
            <w:r w:rsidRPr="00F20F99">
              <w:rPr>
                <w:rFonts w:ascii="Times New Roman" w:hAnsi="Times New Roman" w:cs="Times New Roman"/>
                <w:sz w:val="24"/>
                <w:szCs w:val="24"/>
              </w:rPr>
              <w:t>Constructo</w:t>
            </w:r>
          </w:p>
        </w:tc>
        <w:tc>
          <w:tcPr>
            <w:tcW w:w="1985" w:type="dxa"/>
            <w:vAlign w:val="center"/>
          </w:tcPr>
          <w:p w14:paraId="10D62E29" w14:textId="77777777" w:rsidR="003C39B4" w:rsidRPr="00F20F99" w:rsidRDefault="003C39B4" w:rsidP="008E79D6">
            <w:pPr>
              <w:rPr>
                <w:rFonts w:ascii="Times New Roman" w:hAnsi="Times New Roman" w:cs="Times New Roman"/>
                <w:sz w:val="24"/>
                <w:szCs w:val="24"/>
              </w:rPr>
            </w:pPr>
            <w:r w:rsidRPr="00F20F99">
              <w:rPr>
                <w:rFonts w:ascii="Times New Roman" w:hAnsi="Times New Roman" w:cs="Times New Roman"/>
                <w:sz w:val="24"/>
                <w:szCs w:val="24"/>
              </w:rPr>
              <w:t>Descripción Conceptual</w:t>
            </w:r>
          </w:p>
        </w:tc>
        <w:tc>
          <w:tcPr>
            <w:tcW w:w="2268" w:type="dxa"/>
            <w:vAlign w:val="center"/>
          </w:tcPr>
          <w:p w14:paraId="03B599D7" w14:textId="77777777" w:rsidR="003C39B4" w:rsidRPr="00F20F99" w:rsidRDefault="003C39B4" w:rsidP="008E79D6">
            <w:pPr>
              <w:rPr>
                <w:rFonts w:ascii="Times New Roman" w:hAnsi="Times New Roman" w:cs="Times New Roman"/>
                <w:sz w:val="24"/>
                <w:szCs w:val="24"/>
              </w:rPr>
            </w:pPr>
            <w:r w:rsidRPr="00F20F99">
              <w:rPr>
                <w:rFonts w:ascii="Times New Roman" w:hAnsi="Times New Roman" w:cs="Times New Roman"/>
                <w:sz w:val="24"/>
                <w:szCs w:val="24"/>
              </w:rPr>
              <w:t>Descripción Operativa</w:t>
            </w:r>
          </w:p>
        </w:tc>
        <w:tc>
          <w:tcPr>
            <w:tcW w:w="3865" w:type="dxa"/>
            <w:vAlign w:val="center"/>
          </w:tcPr>
          <w:p w14:paraId="68DB7065" w14:textId="77777777" w:rsidR="003C39B4" w:rsidRPr="00F20F99" w:rsidRDefault="003C39B4" w:rsidP="008E79D6">
            <w:pPr>
              <w:rPr>
                <w:rFonts w:ascii="Times New Roman" w:hAnsi="Times New Roman" w:cs="Times New Roman"/>
                <w:sz w:val="24"/>
                <w:szCs w:val="24"/>
              </w:rPr>
            </w:pPr>
            <w:r w:rsidRPr="00F20F99">
              <w:rPr>
                <w:rFonts w:ascii="Times New Roman" w:hAnsi="Times New Roman" w:cs="Times New Roman"/>
                <w:sz w:val="24"/>
                <w:szCs w:val="24"/>
              </w:rPr>
              <w:t>Ítems para medición</w:t>
            </w:r>
          </w:p>
        </w:tc>
      </w:tr>
      <w:tr w:rsidR="00181CB4" w:rsidRPr="00F20F99" w14:paraId="71A2856E" w14:textId="77777777" w:rsidTr="00F20F99">
        <w:tc>
          <w:tcPr>
            <w:tcW w:w="1276" w:type="dxa"/>
            <w:vMerge w:val="restart"/>
          </w:tcPr>
          <w:p w14:paraId="58580461" w14:textId="77777777" w:rsidR="00ED7603" w:rsidRPr="00F20F99" w:rsidRDefault="00ED7603" w:rsidP="00ED7603">
            <w:pPr>
              <w:rPr>
                <w:rFonts w:ascii="Times New Roman" w:hAnsi="Times New Roman" w:cs="Times New Roman"/>
                <w:sz w:val="24"/>
                <w:szCs w:val="24"/>
              </w:rPr>
            </w:pPr>
            <w:r w:rsidRPr="00F20F99">
              <w:rPr>
                <w:rFonts w:ascii="Times New Roman" w:hAnsi="Times New Roman" w:cs="Times New Roman"/>
                <w:sz w:val="24"/>
                <w:szCs w:val="24"/>
              </w:rPr>
              <w:t>Transferencia</w:t>
            </w:r>
          </w:p>
          <w:p w14:paraId="43ACEAC9" w14:textId="77777777" w:rsidR="00ED7603" w:rsidRPr="00F20F99" w:rsidRDefault="00ED7603" w:rsidP="00ED7603">
            <w:pPr>
              <w:rPr>
                <w:rFonts w:ascii="Times New Roman" w:hAnsi="Times New Roman" w:cs="Times New Roman"/>
                <w:sz w:val="24"/>
                <w:szCs w:val="24"/>
              </w:rPr>
            </w:pPr>
            <w:r w:rsidRPr="00F20F99">
              <w:rPr>
                <w:rFonts w:ascii="Times New Roman" w:hAnsi="Times New Roman" w:cs="Times New Roman"/>
                <w:sz w:val="24"/>
                <w:szCs w:val="24"/>
              </w:rPr>
              <w:t>de Tecnología</w:t>
            </w:r>
          </w:p>
          <w:p w14:paraId="5BB7E9EC" w14:textId="77777777" w:rsidR="00ED7603" w:rsidRPr="00F20F99" w:rsidRDefault="00ED7603" w:rsidP="00ED7603">
            <w:pPr>
              <w:rPr>
                <w:rFonts w:ascii="Times New Roman" w:hAnsi="Times New Roman" w:cs="Times New Roman"/>
                <w:sz w:val="24"/>
                <w:szCs w:val="24"/>
              </w:rPr>
            </w:pPr>
            <w:r w:rsidRPr="00F20F99">
              <w:rPr>
                <w:rFonts w:ascii="Times New Roman" w:hAnsi="Times New Roman" w:cs="Times New Roman"/>
                <w:sz w:val="24"/>
                <w:szCs w:val="24"/>
              </w:rPr>
              <w:t>Intra-</w:t>
            </w:r>
          </w:p>
          <w:p w14:paraId="3995F8D2" w14:textId="77777777" w:rsidR="00ED7603" w:rsidRPr="00F20F99" w:rsidRDefault="00ED7603" w:rsidP="00ED7603">
            <w:pPr>
              <w:rPr>
                <w:rFonts w:ascii="Times New Roman" w:hAnsi="Times New Roman" w:cs="Times New Roman"/>
                <w:sz w:val="24"/>
                <w:szCs w:val="24"/>
              </w:rPr>
            </w:pPr>
            <w:r w:rsidRPr="00F20F99">
              <w:rPr>
                <w:rFonts w:ascii="Times New Roman" w:hAnsi="Times New Roman" w:cs="Times New Roman"/>
                <w:sz w:val="24"/>
                <w:szCs w:val="24"/>
              </w:rPr>
              <w:t>Empresa</w:t>
            </w:r>
          </w:p>
          <w:p w14:paraId="04DC2A7C" w14:textId="49777451" w:rsidR="003C39B4" w:rsidRPr="00F20F99" w:rsidRDefault="00ED7603" w:rsidP="00ED7603">
            <w:pPr>
              <w:rPr>
                <w:rFonts w:ascii="Times New Roman" w:hAnsi="Times New Roman" w:cs="Times New Roman"/>
                <w:sz w:val="24"/>
                <w:szCs w:val="24"/>
              </w:rPr>
            </w:pPr>
            <w:r w:rsidRPr="00F20F99">
              <w:rPr>
                <w:rFonts w:ascii="Times New Roman" w:hAnsi="Times New Roman" w:cs="Times New Roman"/>
                <w:sz w:val="24"/>
                <w:szCs w:val="24"/>
              </w:rPr>
              <w:t>(IFTT)</w:t>
            </w:r>
          </w:p>
        </w:tc>
        <w:tc>
          <w:tcPr>
            <w:tcW w:w="1985" w:type="dxa"/>
            <w:vMerge w:val="restart"/>
          </w:tcPr>
          <w:p w14:paraId="0D567AB7" w14:textId="0A35E290" w:rsidR="003C39B4" w:rsidRPr="00F20F99" w:rsidRDefault="00ED7603" w:rsidP="00ED7603">
            <w:pPr>
              <w:jc w:val="both"/>
              <w:rPr>
                <w:rFonts w:ascii="Times New Roman" w:hAnsi="Times New Roman" w:cs="Times New Roman"/>
                <w:sz w:val="24"/>
                <w:szCs w:val="24"/>
              </w:rPr>
            </w:pPr>
            <w:r w:rsidRPr="00F20F99">
              <w:rPr>
                <w:rFonts w:ascii="Times New Roman" w:hAnsi="Times New Roman" w:cs="Times New Roman"/>
                <w:sz w:val="24"/>
                <w:szCs w:val="24"/>
              </w:rPr>
              <w:t>El intercambio de conocimientos técnicos y personal entre áreas dentro de una organización para desarrollar productos y servicios innovadores, esencial para la competitividad global y el desarrollo económico.</w:t>
            </w:r>
          </w:p>
        </w:tc>
        <w:tc>
          <w:tcPr>
            <w:tcW w:w="2268" w:type="dxa"/>
            <w:vMerge w:val="restart"/>
          </w:tcPr>
          <w:p w14:paraId="49AE83A4" w14:textId="180B2755" w:rsidR="003C39B4" w:rsidRPr="00F20F99" w:rsidRDefault="00ED7603" w:rsidP="00ED7603">
            <w:pPr>
              <w:jc w:val="both"/>
              <w:rPr>
                <w:rFonts w:ascii="Times New Roman" w:hAnsi="Times New Roman" w:cs="Times New Roman"/>
                <w:sz w:val="24"/>
                <w:szCs w:val="24"/>
              </w:rPr>
            </w:pPr>
            <w:r w:rsidRPr="00F20F99">
              <w:rPr>
                <w:rFonts w:ascii="Times New Roman" w:hAnsi="Times New Roman" w:cs="Times New Roman"/>
                <w:sz w:val="24"/>
                <w:szCs w:val="24"/>
              </w:rPr>
              <w:t>Se centra en establecer estrategias y políticas que faciliten el flujo de información, conocimientos y habilidades técnicas entre diferentes áreas de la organización, evaluando su impacto en la innovación y el rendimiento organizacional.</w:t>
            </w:r>
          </w:p>
        </w:tc>
        <w:tc>
          <w:tcPr>
            <w:tcW w:w="3865" w:type="dxa"/>
          </w:tcPr>
          <w:p w14:paraId="46FCF728" w14:textId="64A8484C" w:rsidR="003C39B4" w:rsidRPr="00F20F99" w:rsidRDefault="00ED7603" w:rsidP="00ED7603">
            <w:pPr>
              <w:jc w:val="both"/>
              <w:rPr>
                <w:rFonts w:ascii="Times New Roman" w:hAnsi="Times New Roman" w:cs="Times New Roman"/>
                <w:sz w:val="24"/>
                <w:szCs w:val="24"/>
              </w:rPr>
            </w:pPr>
            <w:r w:rsidRPr="00F20F99">
              <w:rPr>
                <w:rFonts w:ascii="Times New Roman" w:hAnsi="Times New Roman" w:cs="Times New Roman"/>
                <w:sz w:val="24"/>
                <w:szCs w:val="24"/>
              </w:rPr>
              <w:t>IFTT1: Existen procedimientos claros para la transferencia de información técnica entre departamentos.</w:t>
            </w:r>
          </w:p>
        </w:tc>
      </w:tr>
      <w:tr w:rsidR="00181CB4" w:rsidRPr="00F20F99" w14:paraId="27D003A8" w14:textId="77777777" w:rsidTr="00F20F99">
        <w:tc>
          <w:tcPr>
            <w:tcW w:w="1276" w:type="dxa"/>
            <w:vMerge/>
          </w:tcPr>
          <w:p w14:paraId="02E5CD3E" w14:textId="77777777" w:rsidR="003C39B4" w:rsidRPr="00F20F99" w:rsidRDefault="003C39B4" w:rsidP="008E79D6">
            <w:pPr>
              <w:jc w:val="both"/>
              <w:rPr>
                <w:rFonts w:ascii="Times New Roman" w:hAnsi="Times New Roman" w:cs="Times New Roman"/>
                <w:sz w:val="24"/>
                <w:szCs w:val="24"/>
              </w:rPr>
            </w:pPr>
          </w:p>
        </w:tc>
        <w:tc>
          <w:tcPr>
            <w:tcW w:w="1985" w:type="dxa"/>
            <w:vMerge/>
          </w:tcPr>
          <w:p w14:paraId="44FF75CD" w14:textId="77777777" w:rsidR="003C39B4" w:rsidRPr="00F20F99" w:rsidRDefault="003C39B4" w:rsidP="008E79D6">
            <w:pPr>
              <w:jc w:val="both"/>
              <w:rPr>
                <w:rFonts w:ascii="Times New Roman" w:hAnsi="Times New Roman" w:cs="Times New Roman"/>
                <w:sz w:val="24"/>
                <w:szCs w:val="24"/>
              </w:rPr>
            </w:pPr>
          </w:p>
        </w:tc>
        <w:tc>
          <w:tcPr>
            <w:tcW w:w="2268" w:type="dxa"/>
            <w:vMerge/>
          </w:tcPr>
          <w:p w14:paraId="17570EBF" w14:textId="77777777" w:rsidR="003C39B4" w:rsidRPr="00F20F99" w:rsidRDefault="003C39B4" w:rsidP="008E79D6">
            <w:pPr>
              <w:jc w:val="both"/>
              <w:rPr>
                <w:rFonts w:ascii="Times New Roman" w:hAnsi="Times New Roman" w:cs="Times New Roman"/>
                <w:sz w:val="24"/>
                <w:szCs w:val="24"/>
              </w:rPr>
            </w:pPr>
          </w:p>
        </w:tc>
        <w:tc>
          <w:tcPr>
            <w:tcW w:w="3865" w:type="dxa"/>
          </w:tcPr>
          <w:p w14:paraId="01DD74A1" w14:textId="01F3678B" w:rsidR="003C39B4" w:rsidRPr="00F20F99" w:rsidRDefault="00ED7603" w:rsidP="00ED7603">
            <w:pPr>
              <w:jc w:val="both"/>
              <w:rPr>
                <w:rFonts w:ascii="Times New Roman" w:hAnsi="Times New Roman" w:cs="Times New Roman"/>
                <w:sz w:val="24"/>
                <w:szCs w:val="24"/>
              </w:rPr>
            </w:pPr>
            <w:r w:rsidRPr="00F20F99">
              <w:rPr>
                <w:rFonts w:ascii="Times New Roman" w:hAnsi="Times New Roman" w:cs="Times New Roman"/>
                <w:sz w:val="24"/>
                <w:szCs w:val="24"/>
              </w:rPr>
              <w:t>IFTT2: Se han establecido estrategias para compartir habilidades técnicas a través de la organización.</w:t>
            </w:r>
          </w:p>
        </w:tc>
      </w:tr>
      <w:tr w:rsidR="00181CB4" w:rsidRPr="00F20F99" w14:paraId="46B4DC54" w14:textId="77777777" w:rsidTr="00F20F99">
        <w:tc>
          <w:tcPr>
            <w:tcW w:w="1276" w:type="dxa"/>
            <w:vMerge/>
          </w:tcPr>
          <w:p w14:paraId="7228FC3A" w14:textId="77777777" w:rsidR="003C39B4" w:rsidRPr="00F20F99" w:rsidRDefault="003C39B4" w:rsidP="008E79D6">
            <w:pPr>
              <w:jc w:val="both"/>
              <w:rPr>
                <w:rFonts w:ascii="Times New Roman" w:hAnsi="Times New Roman" w:cs="Times New Roman"/>
                <w:sz w:val="24"/>
                <w:szCs w:val="24"/>
              </w:rPr>
            </w:pPr>
          </w:p>
        </w:tc>
        <w:tc>
          <w:tcPr>
            <w:tcW w:w="1985" w:type="dxa"/>
            <w:vMerge/>
          </w:tcPr>
          <w:p w14:paraId="296136C1" w14:textId="77777777" w:rsidR="003C39B4" w:rsidRPr="00F20F99" w:rsidRDefault="003C39B4" w:rsidP="008E79D6">
            <w:pPr>
              <w:jc w:val="both"/>
              <w:rPr>
                <w:rFonts w:ascii="Times New Roman" w:hAnsi="Times New Roman" w:cs="Times New Roman"/>
                <w:sz w:val="24"/>
                <w:szCs w:val="24"/>
              </w:rPr>
            </w:pPr>
          </w:p>
        </w:tc>
        <w:tc>
          <w:tcPr>
            <w:tcW w:w="2268" w:type="dxa"/>
            <w:vMerge/>
          </w:tcPr>
          <w:p w14:paraId="117E635B" w14:textId="77777777" w:rsidR="003C39B4" w:rsidRPr="00F20F99" w:rsidRDefault="003C39B4" w:rsidP="008E79D6">
            <w:pPr>
              <w:jc w:val="both"/>
              <w:rPr>
                <w:rFonts w:ascii="Times New Roman" w:hAnsi="Times New Roman" w:cs="Times New Roman"/>
                <w:sz w:val="24"/>
                <w:szCs w:val="24"/>
              </w:rPr>
            </w:pPr>
          </w:p>
        </w:tc>
        <w:tc>
          <w:tcPr>
            <w:tcW w:w="3865" w:type="dxa"/>
          </w:tcPr>
          <w:p w14:paraId="38B65A59" w14:textId="31320C28" w:rsidR="003C39B4" w:rsidRPr="00F20F99" w:rsidRDefault="00ED7603" w:rsidP="00ED7603">
            <w:pPr>
              <w:jc w:val="both"/>
              <w:rPr>
                <w:rFonts w:ascii="Times New Roman" w:hAnsi="Times New Roman" w:cs="Times New Roman"/>
                <w:sz w:val="24"/>
                <w:szCs w:val="24"/>
              </w:rPr>
            </w:pPr>
            <w:r w:rsidRPr="00F20F99">
              <w:rPr>
                <w:rFonts w:ascii="Times New Roman" w:hAnsi="Times New Roman" w:cs="Times New Roman"/>
                <w:sz w:val="24"/>
                <w:szCs w:val="24"/>
              </w:rPr>
              <w:t>IFTT3: Se evalúa regularmente el impacto de la transferencia de conocimientos técnicos en la innovación de la empresa.</w:t>
            </w:r>
          </w:p>
        </w:tc>
      </w:tr>
      <w:tr w:rsidR="00181CB4" w:rsidRPr="00F20F99" w14:paraId="7FA94509" w14:textId="77777777" w:rsidTr="00F20F99">
        <w:tc>
          <w:tcPr>
            <w:tcW w:w="1276" w:type="dxa"/>
            <w:vMerge/>
          </w:tcPr>
          <w:p w14:paraId="23754DBF" w14:textId="77777777" w:rsidR="003C39B4" w:rsidRPr="00F20F99" w:rsidRDefault="003C39B4" w:rsidP="008E79D6">
            <w:pPr>
              <w:jc w:val="both"/>
              <w:rPr>
                <w:rFonts w:ascii="Times New Roman" w:hAnsi="Times New Roman" w:cs="Times New Roman"/>
                <w:sz w:val="24"/>
                <w:szCs w:val="24"/>
              </w:rPr>
            </w:pPr>
          </w:p>
        </w:tc>
        <w:tc>
          <w:tcPr>
            <w:tcW w:w="1985" w:type="dxa"/>
            <w:vMerge/>
          </w:tcPr>
          <w:p w14:paraId="663459F2" w14:textId="77777777" w:rsidR="003C39B4" w:rsidRPr="00F20F99" w:rsidRDefault="003C39B4" w:rsidP="008E79D6">
            <w:pPr>
              <w:jc w:val="both"/>
              <w:rPr>
                <w:rFonts w:ascii="Times New Roman" w:hAnsi="Times New Roman" w:cs="Times New Roman"/>
                <w:sz w:val="24"/>
                <w:szCs w:val="24"/>
              </w:rPr>
            </w:pPr>
          </w:p>
        </w:tc>
        <w:tc>
          <w:tcPr>
            <w:tcW w:w="2268" w:type="dxa"/>
            <w:vMerge/>
          </w:tcPr>
          <w:p w14:paraId="016B96A6" w14:textId="77777777" w:rsidR="003C39B4" w:rsidRPr="00F20F99" w:rsidRDefault="003C39B4" w:rsidP="008E79D6">
            <w:pPr>
              <w:jc w:val="both"/>
              <w:rPr>
                <w:rFonts w:ascii="Times New Roman" w:hAnsi="Times New Roman" w:cs="Times New Roman"/>
                <w:sz w:val="24"/>
                <w:szCs w:val="24"/>
              </w:rPr>
            </w:pPr>
          </w:p>
        </w:tc>
        <w:tc>
          <w:tcPr>
            <w:tcW w:w="3865" w:type="dxa"/>
          </w:tcPr>
          <w:p w14:paraId="177F09D7" w14:textId="33DF9D9E" w:rsidR="003C39B4" w:rsidRPr="00F20F99" w:rsidRDefault="00ED7603" w:rsidP="00ED7603">
            <w:pPr>
              <w:jc w:val="both"/>
              <w:rPr>
                <w:rFonts w:ascii="Times New Roman" w:hAnsi="Times New Roman" w:cs="Times New Roman"/>
                <w:sz w:val="24"/>
                <w:szCs w:val="24"/>
              </w:rPr>
            </w:pPr>
            <w:r w:rsidRPr="00F20F99">
              <w:rPr>
                <w:rFonts w:ascii="Times New Roman" w:hAnsi="Times New Roman" w:cs="Times New Roman"/>
                <w:sz w:val="24"/>
                <w:szCs w:val="24"/>
              </w:rPr>
              <w:t>IFTT4: Hay una política definida para el flujo de personal con conocimientos especializados entre áreas clave.</w:t>
            </w:r>
          </w:p>
        </w:tc>
      </w:tr>
      <w:tr w:rsidR="00181CB4" w:rsidRPr="00F20F99" w14:paraId="1A624FDA" w14:textId="77777777" w:rsidTr="00F20F99">
        <w:tc>
          <w:tcPr>
            <w:tcW w:w="1276" w:type="dxa"/>
            <w:vMerge/>
          </w:tcPr>
          <w:p w14:paraId="1BCA5E00" w14:textId="77777777" w:rsidR="003C39B4" w:rsidRPr="00F20F99" w:rsidRDefault="003C39B4" w:rsidP="008E79D6">
            <w:pPr>
              <w:jc w:val="both"/>
              <w:rPr>
                <w:rFonts w:ascii="Times New Roman" w:hAnsi="Times New Roman" w:cs="Times New Roman"/>
                <w:sz w:val="24"/>
                <w:szCs w:val="24"/>
              </w:rPr>
            </w:pPr>
          </w:p>
        </w:tc>
        <w:tc>
          <w:tcPr>
            <w:tcW w:w="1985" w:type="dxa"/>
            <w:vMerge/>
          </w:tcPr>
          <w:p w14:paraId="3D84DB46" w14:textId="77777777" w:rsidR="003C39B4" w:rsidRPr="00F20F99" w:rsidRDefault="003C39B4" w:rsidP="008E79D6">
            <w:pPr>
              <w:jc w:val="both"/>
              <w:rPr>
                <w:rFonts w:ascii="Times New Roman" w:hAnsi="Times New Roman" w:cs="Times New Roman"/>
                <w:sz w:val="24"/>
                <w:szCs w:val="24"/>
              </w:rPr>
            </w:pPr>
          </w:p>
        </w:tc>
        <w:tc>
          <w:tcPr>
            <w:tcW w:w="2268" w:type="dxa"/>
            <w:vMerge/>
          </w:tcPr>
          <w:p w14:paraId="2CDCEBE4" w14:textId="77777777" w:rsidR="003C39B4" w:rsidRPr="00F20F99" w:rsidRDefault="003C39B4" w:rsidP="008E79D6">
            <w:pPr>
              <w:jc w:val="both"/>
              <w:rPr>
                <w:rFonts w:ascii="Times New Roman" w:hAnsi="Times New Roman" w:cs="Times New Roman"/>
                <w:sz w:val="24"/>
                <w:szCs w:val="24"/>
              </w:rPr>
            </w:pPr>
          </w:p>
        </w:tc>
        <w:tc>
          <w:tcPr>
            <w:tcW w:w="3865" w:type="dxa"/>
          </w:tcPr>
          <w:p w14:paraId="32524D0A" w14:textId="712A8FF9" w:rsidR="003C39B4" w:rsidRPr="00F20F99" w:rsidRDefault="00ED7603" w:rsidP="00ED7603">
            <w:pPr>
              <w:jc w:val="both"/>
              <w:rPr>
                <w:rFonts w:ascii="Times New Roman" w:hAnsi="Times New Roman" w:cs="Times New Roman"/>
                <w:sz w:val="24"/>
                <w:szCs w:val="24"/>
              </w:rPr>
            </w:pPr>
            <w:r w:rsidRPr="00F20F99">
              <w:rPr>
                <w:rFonts w:ascii="Times New Roman" w:hAnsi="Times New Roman" w:cs="Times New Roman"/>
                <w:sz w:val="24"/>
                <w:szCs w:val="24"/>
              </w:rPr>
              <w:t xml:space="preserve">IFTT5: La organización mide el efecto de la transferencia interna de tecnología en su rendimiento global. </w:t>
            </w:r>
          </w:p>
        </w:tc>
      </w:tr>
    </w:tbl>
    <w:p w14:paraId="5B6849B0" w14:textId="60BC6A89" w:rsidR="002A7B81" w:rsidRPr="00D45D63" w:rsidRDefault="002A7B81" w:rsidP="002A7B81">
      <w:pPr>
        <w:spacing w:after="0" w:line="360" w:lineRule="auto"/>
        <w:jc w:val="center"/>
        <w:rPr>
          <w:rFonts w:ascii="Times New Roman" w:hAnsi="Times New Roman" w:cs="Times New Roman"/>
          <w:sz w:val="24"/>
          <w:szCs w:val="24"/>
        </w:rPr>
      </w:pPr>
      <w:r w:rsidRPr="00D45D63">
        <w:rPr>
          <w:rFonts w:ascii="Times New Roman" w:hAnsi="Times New Roman" w:cs="Times New Roman"/>
          <w:sz w:val="24"/>
          <w:szCs w:val="24"/>
        </w:rPr>
        <w:t>Fuente: Elaboración propia</w:t>
      </w:r>
    </w:p>
    <w:p w14:paraId="06AC12B1" w14:textId="77777777" w:rsidR="002A7B81" w:rsidRPr="00D45D63" w:rsidRDefault="002A7B81" w:rsidP="00ED7603">
      <w:pPr>
        <w:spacing w:after="0" w:line="360" w:lineRule="auto"/>
        <w:jc w:val="both"/>
        <w:rPr>
          <w:rFonts w:ascii="Times New Roman" w:hAnsi="Times New Roman" w:cs="Times New Roman"/>
          <w:b/>
          <w:bCs/>
          <w:sz w:val="24"/>
          <w:szCs w:val="24"/>
        </w:rPr>
      </w:pPr>
    </w:p>
    <w:p w14:paraId="63C5D5EA" w14:textId="4ADFCC43" w:rsidR="007C382D" w:rsidRPr="00D45D63" w:rsidRDefault="007C382D" w:rsidP="00F20F99">
      <w:pPr>
        <w:spacing w:after="0" w:line="360" w:lineRule="auto"/>
        <w:jc w:val="center"/>
        <w:rPr>
          <w:rFonts w:ascii="Times New Roman" w:hAnsi="Times New Roman" w:cs="Times New Roman"/>
          <w:b/>
          <w:bCs/>
          <w:sz w:val="24"/>
          <w:szCs w:val="24"/>
        </w:rPr>
      </w:pPr>
      <w:r w:rsidRPr="00D45D63">
        <w:rPr>
          <w:rFonts w:ascii="Times New Roman" w:hAnsi="Times New Roman" w:cs="Times New Roman"/>
          <w:b/>
          <w:bCs/>
          <w:sz w:val="24"/>
          <w:szCs w:val="24"/>
        </w:rPr>
        <w:t>Instrumento de medición</w:t>
      </w:r>
    </w:p>
    <w:p w14:paraId="1A6D6C43" w14:textId="213FB2E5" w:rsidR="007C382D" w:rsidRPr="00D45D63"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Esta sección aborda el diseño y la validación del instrumento de medición, subrayando la metodología</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estadística empleada para asegurar su validez y confiabilidad. Dada la naturaleza del estudio, con una muestra</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reducida de jueces expertos, se adoptaron técnicas de medición específicas adaptadas a las condiciones del</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estudio.</w:t>
      </w:r>
    </w:p>
    <w:p w14:paraId="23BEC719" w14:textId="77777777" w:rsidR="00B3088C" w:rsidRPr="00D45D63" w:rsidRDefault="00B3088C" w:rsidP="00ED7603">
      <w:pPr>
        <w:spacing w:after="0" w:line="360" w:lineRule="auto"/>
        <w:jc w:val="both"/>
        <w:rPr>
          <w:rFonts w:ascii="Times New Roman" w:hAnsi="Times New Roman" w:cs="Times New Roman"/>
          <w:sz w:val="24"/>
          <w:szCs w:val="24"/>
        </w:rPr>
      </w:pPr>
    </w:p>
    <w:p w14:paraId="72DEFC83" w14:textId="0569CF3B" w:rsidR="007C382D" w:rsidRPr="00D45D63" w:rsidRDefault="007C382D" w:rsidP="00F20F99">
      <w:pPr>
        <w:spacing w:after="0" w:line="360" w:lineRule="auto"/>
        <w:jc w:val="center"/>
        <w:rPr>
          <w:rFonts w:ascii="Times New Roman" w:hAnsi="Times New Roman" w:cs="Times New Roman"/>
          <w:b/>
          <w:bCs/>
          <w:sz w:val="24"/>
          <w:szCs w:val="24"/>
        </w:rPr>
      </w:pPr>
      <w:r w:rsidRPr="00D45D63">
        <w:rPr>
          <w:rFonts w:ascii="Times New Roman" w:hAnsi="Times New Roman" w:cs="Times New Roman"/>
          <w:b/>
          <w:bCs/>
          <w:sz w:val="24"/>
          <w:szCs w:val="24"/>
        </w:rPr>
        <w:t>Diseño del Instrumento</w:t>
      </w:r>
    </w:p>
    <w:p w14:paraId="20A3EFD0" w14:textId="5A4F760A" w:rsidR="009D6CDA" w:rsidRPr="009D6CDA" w:rsidRDefault="009D6CDA" w:rsidP="00F20F99">
      <w:pPr>
        <w:spacing w:after="0" w:line="360" w:lineRule="auto"/>
        <w:ind w:firstLine="709"/>
        <w:jc w:val="both"/>
        <w:rPr>
          <w:rFonts w:ascii="Times New Roman" w:hAnsi="Times New Roman" w:cs="Times New Roman"/>
          <w:sz w:val="24"/>
          <w:szCs w:val="24"/>
        </w:rPr>
      </w:pPr>
      <w:r w:rsidRPr="009D6CDA">
        <w:rPr>
          <w:rFonts w:ascii="Times New Roman" w:hAnsi="Times New Roman" w:cs="Times New Roman"/>
          <w:sz w:val="24"/>
          <w:szCs w:val="24"/>
        </w:rPr>
        <w:t xml:space="preserve">La construcción del instrumento de medición se llevó a cabo a través de una meticulosa operacionalización de variables, fundamentada en una extensa revisión sistemática de la literatura previa y una cuidadosa adaptación a las necesidades específicas inherentes a la transferencia de tecnología </w:t>
      </w:r>
      <w:proofErr w:type="spellStart"/>
      <w:r w:rsidRPr="009D6CDA">
        <w:rPr>
          <w:rFonts w:ascii="Times New Roman" w:hAnsi="Times New Roman" w:cs="Times New Roman"/>
          <w:sz w:val="24"/>
          <w:szCs w:val="24"/>
        </w:rPr>
        <w:t>intraempresarial</w:t>
      </w:r>
      <w:proofErr w:type="spellEnd"/>
      <w:r w:rsidRPr="009D6CDA">
        <w:rPr>
          <w:rFonts w:ascii="Times New Roman" w:hAnsi="Times New Roman" w:cs="Times New Roman"/>
          <w:sz w:val="24"/>
          <w:szCs w:val="24"/>
        </w:rPr>
        <w:t>. Esta fase de operacionalización resultó ser fundamental, ya que permitió una definición precisa de los ítems que compondrían el instrumento final.</w:t>
      </w:r>
    </w:p>
    <w:p w14:paraId="7716B1BB" w14:textId="35703A52" w:rsidR="009D6CDA" w:rsidRPr="009D6CDA" w:rsidRDefault="009D6CDA" w:rsidP="00F20F99">
      <w:pPr>
        <w:spacing w:after="0" w:line="360" w:lineRule="auto"/>
        <w:ind w:firstLine="709"/>
        <w:jc w:val="both"/>
        <w:rPr>
          <w:rFonts w:ascii="Times New Roman" w:hAnsi="Times New Roman" w:cs="Times New Roman"/>
          <w:sz w:val="24"/>
          <w:szCs w:val="24"/>
        </w:rPr>
      </w:pPr>
      <w:r w:rsidRPr="009D6CDA">
        <w:rPr>
          <w:rFonts w:ascii="Times New Roman" w:hAnsi="Times New Roman" w:cs="Times New Roman"/>
          <w:sz w:val="24"/>
          <w:szCs w:val="24"/>
        </w:rPr>
        <w:lastRenderedPageBreak/>
        <w:t>Durante este proceso, cada ítem fue sometido a numerosas iteraciones para refinar su redacción y precisión conceptual. Para la valoración del instrumento, se utilizó una escala de Likert de 5 puntos, donde los expertos evaluaron cada ítem en términos de relevancia, claridad y neutralidad. La escala empleada incluyó los siguientes niveles: (1) Muy baja, (2) Baja, (3) Moderada, (4) Alta, (5) Muy alta. Los expertos proporcionaron retroalimentación adicional cualitativa para mejorar la formulación de los ítems</w:t>
      </w:r>
      <w:r w:rsidR="0047355F">
        <w:rPr>
          <w:rFonts w:ascii="Times New Roman" w:hAnsi="Times New Roman" w:cs="Times New Roman"/>
          <w:sz w:val="24"/>
          <w:szCs w:val="24"/>
        </w:rPr>
        <w:t>.</w:t>
      </w:r>
    </w:p>
    <w:p w14:paraId="2805D91B" w14:textId="6094B4E0" w:rsidR="00B3088C" w:rsidRDefault="009D6CDA" w:rsidP="00F20F99">
      <w:pPr>
        <w:spacing w:after="0" w:line="360" w:lineRule="auto"/>
        <w:ind w:firstLine="709"/>
        <w:jc w:val="both"/>
        <w:rPr>
          <w:rFonts w:ascii="Times New Roman" w:hAnsi="Times New Roman" w:cs="Times New Roman"/>
          <w:sz w:val="24"/>
          <w:szCs w:val="24"/>
        </w:rPr>
      </w:pPr>
      <w:r w:rsidRPr="009D6CDA">
        <w:rPr>
          <w:rFonts w:ascii="Times New Roman" w:hAnsi="Times New Roman" w:cs="Times New Roman"/>
          <w:sz w:val="24"/>
          <w:szCs w:val="24"/>
        </w:rPr>
        <w:t>Este esfuerzo permitió capturar efectivamente las dimensiones cruciales relacionadas con la capacidad de absorción y otros constructos teóricos relevantes para el estudio. Por tanto, esta etapa no solo garantizó la coherencia teórica del instrumento, sino también aseguró su aplicabilidad y relevancia para abordar específicamente los fenómenos de interés dentro del contexto particular de las organizaciones focalizadas en la innovación y adaptación tecnológica</w:t>
      </w:r>
    </w:p>
    <w:p w14:paraId="43EBD00A" w14:textId="77777777" w:rsidR="009D6CDA" w:rsidRPr="00D45D63" w:rsidRDefault="009D6CDA" w:rsidP="009D6CDA">
      <w:pPr>
        <w:spacing w:after="0" w:line="360" w:lineRule="auto"/>
        <w:jc w:val="both"/>
        <w:rPr>
          <w:rFonts w:ascii="Times New Roman" w:hAnsi="Times New Roman" w:cs="Times New Roman"/>
          <w:sz w:val="24"/>
          <w:szCs w:val="24"/>
        </w:rPr>
      </w:pPr>
    </w:p>
    <w:p w14:paraId="36EC33FA" w14:textId="77777777" w:rsidR="00B3088C" w:rsidRPr="00D45D63" w:rsidRDefault="007C382D" w:rsidP="00F20F99">
      <w:pPr>
        <w:spacing w:after="0" w:line="360" w:lineRule="auto"/>
        <w:jc w:val="center"/>
        <w:rPr>
          <w:rFonts w:ascii="Times New Roman" w:hAnsi="Times New Roman" w:cs="Times New Roman"/>
          <w:b/>
          <w:bCs/>
          <w:sz w:val="24"/>
          <w:szCs w:val="24"/>
        </w:rPr>
      </w:pPr>
      <w:r w:rsidRPr="00D45D63">
        <w:rPr>
          <w:rFonts w:ascii="Times New Roman" w:hAnsi="Times New Roman" w:cs="Times New Roman"/>
          <w:b/>
          <w:bCs/>
          <w:sz w:val="24"/>
          <w:szCs w:val="24"/>
        </w:rPr>
        <w:t>Validación del Instrumento</w:t>
      </w:r>
    </w:p>
    <w:p w14:paraId="20791F24" w14:textId="77777777" w:rsidR="00B3088C" w:rsidRPr="00D45D63" w:rsidRDefault="007C382D" w:rsidP="00ED7603">
      <w:pPr>
        <w:spacing w:after="0" w:line="360" w:lineRule="auto"/>
        <w:jc w:val="both"/>
        <w:rPr>
          <w:rFonts w:ascii="Times New Roman" w:hAnsi="Times New Roman" w:cs="Times New Roman"/>
          <w:sz w:val="24"/>
          <w:szCs w:val="24"/>
        </w:rPr>
      </w:pPr>
      <w:r w:rsidRPr="00D45D63">
        <w:rPr>
          <w:rFonts w:ascii="Times New Roman" w:hAnsi="Times New Roman" w:cs="Times New Roman"/>
          <w:sz w:val="24"/>
          <w:szCs w:val="24"/>
        </w:rPr>
        <w:t>La validación del instrumento involucró varias etapas críticas:</w:t>
      </w:r>
      <w:r w:rsidR="00B3088C" w:rsidRPr="00D45D63">
        <w:rPr>
          <w:rFonts w:ascii="Times New Roman" w:hAnsi="Times New Roman" w:cs="Times New Roman"/>
          <w:sz w:val="24"/>
          <w:szCs w:val="24"/>
        </w:rPr>
        <w:t xml:space="preserve"> </w:t>
      </w:r>
    </w:p>
    <w:p w14:paraId="26D15594" w14:textId="73AB7063" w:rsidR="009D6CDA" w:rsidRPr="00F20F99" w:rsidRDefault="007C382D" w:rsidP="00F20F99">
      <w:pPr>
        <w:pStyle w:val="Prrafodelista"/>
        <w:numPr>
          <w:ilvl w:val="0"/>
          <w:numId w:val="1"/>
        </w:numPr>
        <w:spacing w:after="0" w:line="360" w:lineRule="auto"/>
        <w:jc w:val="both"/>
        <w:rPr>
          <w:rFonts w:ascii="Times New Roman" w:hAnsi="Times New Roman" w:cs="Times New Roman"/>
          <w:sz w:val="24"/>
          <w:szCs w:val="24"/>
        </w:rPr>
      </w:pPr>
      <w:r w:rsidRPr="00D45D63">
        <w:rPr>
          <w:rFonts w:ascii="Times New Roman" w:hAnsi="Times New Roman" w:cs="Times New Roman"/>
          <w:sz w:val="24"/>
          <w:szCs w:val="24"/>
        </w:rPr>
        <w:t xml:space="preserve">Valoración por Expertos: </w:t>
      </w:r>
      <w:r w:rsidR="009D6CDA" w:rsidRPr="009D6CDA">
        <w:t xml:space="preserve"> </w:t>
      </w:r>
      <w:r w:rsidR="009D6CDA" w:rsidRPr="009D6CDA">
        <w:rPr>
          <w:rFonts w:ascii="Times New Roman" w:hAnsi="Times New Roman" w:cs="Times New Roman"/>
          <w:sz w:val="24"/>
          <w:szCs w:val="24"/>
        </w:rPr>
        <w:t>Se seleccionaron cuatro expertos, dos académicos con experiencia en transferencia tecnológica y dos profesionales del sector manufacturero con al menos cinco años de experiencia en tecnologías avanzadas. Los expertos evaluaron los ítems utilizando una escala de Likert de 5 puntos para medir relevancia, claridad y neutralidad, y proporcionaron observaciones cualitativas para mejorar los ítems cuando fuese necesario. Este proceso permitió refinar el instrumento y asegurar su alineación con los constructos teóricos subyacentes.</w:t>
      </w:r>
    </w:p>
    <w:p w14:paraId="7D18F917" w14:textId="27FADCCA" w:rsidR="007C382D" w:rsidRPr="00D45D63" w:rsidRDefault="007C382D" w:rsidP="00ED7603">
      <w:pPr>
        <w:pStyle w:val="Prrafodelista"/>
        <w:numPr>
          <w:ilvl w:val="0"/>
          <w:numId w:val="1"/>
        </w:numPr>
        <w:spacing w:after="0" w:line="360" w:lineRule="auto"/>
        <w:jc w:val="both"/>
        <w:rPr>
          <w:rFonts w:ascii="Times New Roman" w:hAnsi="Times New Roman" w:cs="Times New Roman"/>
          <w:sz w:val="24"/>
          <w:szCs w:val="24"/>
        </w:rPr>
      </w:pPr>
      <w:r w:rsidRPr="00D45D63">
        <w:rPr>
          <w:rFonts w:ascii="Times New Roman" w:hAnsi="Times New Roman" w:cs="Times New Roman"/>
          <w:sz w:val="24"/>
          <w:szCs w:val="24"/>
        </w:rPr>
        <w:t>Índice Hernández-Nieto: Dada la limitada cantidad de evaluaciones de expertos, se seleccionó el</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índice Hernández-Nieto por su adaptabilidad a este contexto (Pedrosa </w:t>
      </w:r>
      <w:r w:rsidR="005939C7">
        <w:rPr>
          <w:rFonts w:ascii="Times New Roman" w:hAnsi="Times New Roman" w:cs="Times New Roman"/>
          <w:sz w:val="24"/>
          <w:szCs w:val="24"/>
        </w:rPr>
        <w:t>et ál</w:t>
      </w:r>
      <w:r w:rsidRPr="00D45D63">
        <w:rPr>
          <w:rFonts w:ascii="Times New Roman" w:hAnsi="Times New Roman" w:cs="Times New Roman"/>
          <w:sz w:val="24"/>
          <w:szCs w:val="24"/>
        </w:rPr>
        <w:t>., 2013). Este índice calcula</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la proporción de acuerdo entre los jueces para cada ítem utilizando la fórmula:</w:t>
      </w:r>
      <w:r w:rsidR="00B3088C" w:rsidRPr="00D45D63">
        <w:rPr>
          <w:rFonts w:ascii="Times New Roman" w:hAnsi="Times New Roman" w:cs="Times New Roman"/>
          <w:sz w:val="24"/>
          <w:szCs w:val="24"/>
        </w:rPr>
        <w:t xml:space="preserve"> </w:t>
      </w:r>
    </w:p>
    <w:p w14:paraId="0258543C" w14:textId="130379CF" w:rsidR="00793358" w:rsidRPr="00D45D63" w:rsidRDefault="00ED7603" w:rsidP="00F20F99">
      <w:pPr>
        <w:pStyle w:val="Prrafodelista"/>
        <w:spacing w:after="0" w:line="360" w:lineRule="auto"/>
        <w:ind w:left="0"/>
        <w:jc w:val="center"/>
        <w:rPr>
          <w:rFonts w:ascii="Times New Roman" w:hAnsi="Times New Roman" w:cs="Times New Roman"/>
          <w:sz w:val="24"/>
          <w:szCs w:val="24"/>
        </w:rPr>
      </w:pPr>
      <m:oMathPara>
        <m:oMath>
          <m:r>
            <w:rPr>
              <w:rFonts w:ascii="Cambria Math" w:hAnsi="Cambria Math" w:cs="Times New Roman"/>
              <w:sz w:val="24"/>
              <w:szCs w:val="24"/>
            </w:rPr>
            <m:t>CV</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Mi</m:t>
              </m:r>
            </m:num>
            <m:den>
              <m:r>
                <w:rPr>
                  <w:rFonts w:ascii="Cambria Math" w:hAnsi="Cambria Math" w:cs="Times New Roman"/>
                  <w:sz w:val="24"/>
                  <w:szCs w:val="24"/>
                </w:rPr>
                <m:t>Vmax</m:t>
              </m:r>
            </m:den>
          </m:f>
        </m:oMath>
      </m:oMathPara>
    </w:p>
    <w:p w14:paraId="697106CE" w14:textId="6780518B" w:rsidR="00B3088C" w:rsidRPr="00D45D63" w:rsidRDefault="00793358" w:rsidP="009D6CDA">
      <w:pPr>
        <w:spacing w:after="0" w:line="360" w:lineRule="auto"/>
        <w:ind w:left="708"/>
        <w:jc w:val="both"/>
        <w:rPr>
          <w:rFonts w:ascii="Times New Roman" w:hAnsi="Times New Roman" w:cs="Times New Roman"/>
          <w:sz w:val="24"/>
          <w:szCs w:val="24"/>
        </w:rPr>
      </w:pPr>
      <w:r w:rsidRPr="00D45D63">
        <w:rPr>
          <w:rFonts w:ascii="Times New Roman" w:hAnsi="Times New Roman" w:cs="Times New Roman"/>
          <w:sz w:val="24"/>
          <w:szCs w:val="24"/>
        </w:rPr>
        <w:t>D</w:t>
      </w:r>
      <w:r w:rsidR="007C382D" w:rsidRPr="00D45D63">
        <w:rPr>
          <w:rFonts w:ascii="Times New Roman" w:hAnsi="Times New Roman" w:cs="Times New Roman"/>
          <w:sz w:val="24"/>
          <w:szCs w:val="24"/>
        </w:rPr>
        <w:t xml:space="preserve">onde </w:t>
      </w:r>
      <m:oMath>
        <m:r>
          <w:rPr>
            <w:rFonts w:ascii="Cambria Math" w:hAnsi="Cambria Math" w:cs="Times New Roman"/>
            <w:sz w:val="24"/>
            <w:szCs w:val="24"/>
          </w:rPr>
          <m:t>Mⅈ</m:t>
        </m:r>
      </m:oMath>
      <w:r w:rsidR="007C382D" w:rsidRPr="00D45D63">
        <w:rPr>
          <w:rFonts w:ascii="Times New Roman" w:hAnsi="Times New Roman" w:cs="Times New Roman"/>
          <w:sz w:val="24"/>
          <w:szCs w:val="24"/>
        </w:rPr>
        <w:t xml:space="preserve"> es la media de las puntuaciones otorgadas por los jueces para cada ítem y </w:t>
      </w:r>
      <m:oMath>
        <m:r>
          <w:rPr>
            <w:rFonts w:ascii="Cambria Math" w:hAnsi="Cambria Math" w:cs="Times New Roman"/>
            <w:sz w:val="24"/>
            <w:szCs w:val="24"/>
          </w:rPr>
          <m:t>Vmax</m:t>
        </m:r>
      </m:oMath>
      <w:r w:rsidRPr="00D45D63">
        <w:rPr>
          <w:rFonts w:ascii="Times New Roman" w:hAnsi="Times New Roman" w:cs="Times New Roman"/>
          <w:sz w:val="24"/>
          <w:szCs w:val="24"/>
        </w:rPr>
        <w:t xml:space="preserve"> </w:t>
      </w:r>
      <w:r w:rsidR="007C382D" w:rsidRPr="00D45D63">
        <w:rPr>
          <w:rFonts w:ascii="Times New Roman" w:hAnsi="Times New Roman" w:cs="Times New Roman"/>
          <w:sz w:val="24"/>
          <w:szCs w:val="24"/>
        </w:rPr>
        <w:t>es la puntuación</w:t>
      </w:r>
      <w:r w:rsidR="00B3088C" w:rsidRPr="00D45D63">
        <w:rPr>
          <w:rFonts w:ascii="Times New Roman" w:hAnsi="Times New Roman" w:cs="Times New Roman"/>
          <w:sz w:val="24"/>
          <w:szCs w:val="24"/>
        </w:rPr>
        <w:t xml:space="preserve"> </w:t>
      </w:r>
      <w:r w:rsidR="007C382D" w:rsidRPr="00D45D63">
        <w:rPr>
          <w:rFonts w:ascii="Times New Roman" w:hAnsi="Times New Roman" w:cs="Times New Roman"/>
          <w:sz w:val="24"/>
          <w:szCs w:val="24"/>
        </w:rPr>
        <w:t>máxima posible. Además, se ajusta por el posible error asignado a cada ítem</w:t>
      </w:r>
      <w:r w:rsidRPr="00D45D63">
        <w:rPr>
          <w:rFonts w:ascii="Times New Roman" w:hAnsi="Times New Roman" w:cs="Times New Roman"/>
          <w:sz w:val="24"/>
          <w:szCs w:val="24"/>
        </w:rPr>
        <w:t xml:space="preserve">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e</m:t>
            </m:r>
          </m:sub>
        </m:sSub>
      </m:oMath>
      <w:r w:rsidRPr="00D45D63">
        <w:rPr>
          <w:rFonts w:ascii="Times New Roman" w:eastAsiaTheme="minorEastAsia" w:hAnsi="Times New Roman" w:cs="Times New Roman"/>
          <w:sz w:val="24"/>
          <w:szCs w:val="24"/>
        </w:rPr>
        <w:t>)</w:t>
      </w:r>
      <w:r w:rsidRPr="00D45D63">
        <w:rPr>
          <w:rFonts w:ascii="Times New Roman" w:hAnsi="Times New Roman" w:cs="Times New Roman"/>
          <w:sz w:val="24"/>
          <w:szCs w:val="24"/>
        </w:rPr>
        <w:t>,</w:t>
      </w:r>
      <w:r w:rsidR="007C382D" w:rsidRPr="00D45D63">
        <w:rPr>
          <w:rFonts w:ascii="Times New Roman" w:hAnsi="Times New Roman" w:cs="Times New Roman"/>
          <w:sz w:val="24"/>
          <w:szCs w:val="24"/>
        </w:rPr>
        <w:t xml:space="preserve"> calculado como:</w:t>
      </w:r>
      <w:r w:rsidR="00B3088C" w:rsidRPr="00D45D63">
        <w:rPr>
          <w:rFonts w:ascii="Times New Roman" w:hAnsi="Times New Roman" w:cs="Times New Roman"/>
          <w:sz w:val="24"/>
          <w:szCs w:val="24"/>
        </w:rPr>
        <w:t xml:space="preserve"> </w:t>
      </w:r>
    </w:p>
    <w:p w14:paraId="2EA953D2" w14:textId="0764A6C9" w:rsidR="00B3088C" w:rsidRPr="00D45D63" w:rsidRDefault="00000000" w:rsidP="00B3088C">
      <w:pPr>
        <w:spacing w:after="0"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sub>
          </m:sSub>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j</m:t>
                  </m:r>
                </m:den>
              </m:f>
            </m:e>
          </m:d>
        </m:oMath>
      </m:oMathPara>
    </w:p>
    <w:p w14:paraId="54BED715" w14:textId="43B04A65" w:rsidR="007C382D" w:rsidRPr="00D45D63" w:rsidRDefault="00793358" w:rsidP="009D6CDA">
      <w:pPr>
        <w:spacing w:after="0" w:line="360" w:lineRule="auto"/>
        <w:ind w:firstLine="708"/>
        <w:jc w:val="both"/>
        <w:rPr>
          <w:rFonts w:ascii="Times New Roman" w:hAnsi="Times New Roman" w:cs="Times New Roman"/>
          <w:sz w:val="24"/>
          <w:szCs w:val="24"/>
        </w:rPr>
      </w:pPr>
      <w:r w:rsidRPr="00D45D63">
        <w:rPr>
          <w:rFonts w:ascii="Times New Roman" w:hAnsi="Times New Roman" w:cs="Times New Roman"/>
          <w:sz w:val="24"/>
          <w:szCs w:val="24"/>
        </w:rPr>
        <w:lastRenderedPageBreak/>
        <w:t>D</w:t>
      </w:r>
      <w:r w:rsidR="007C382D" w:rsidRPr="00D45D63">
        <w:rPr>
          <w:rFonts w:ascii="Times New Roman" w:hAnsi="Times New Roman" w:cs="Times New Roman"/>
          <w:sz w:val="24"/>
          <w:szCs w:val="24"/>
        </w:rPr>
        <w:t xml:space="preserve">onde </w:t>
      </w:r>
      <m:oMath>
        <m:r>
          <w:rPr>
            <w:rFonts w:ascii="Cambria Math" w:hAnsi="Cambria Math" w:cs="Times New Roman"/>
            <w:sz w:val="24"/>
            <w:szCs w:val="24"/>
          </w:rPr>
          <m:t>j</m:t>
        </m:r>
      </m:oMath>
      <w:r w:rsidR="007C382D" w:rsidRPr="00D45D63">
        <w:rPr>
          <w:rFonts w:ascii="Times New Roman" w:hAnsi="Times New Roman" w:cs="Times New Roman"/>
          <w:sz w:val="24"/>
          <w:szCs w:val="24"/>
        </w:rPr>
        <w:t xml:space="preserve"> es el número de jueces. El índice final se obtiene aplicando:</w:t>
      </w:r>
    </w:p>
    <w:p w14:paraId="4BE1CF31" w14:textId="3B5F236B" w:rsidR="00B3088C" w:rsidRPr="00D45D63" w:rsidRDefault="00793358" w:rsidP="00F20F99">
      <w:pPr>
        <w:spacing w:after="0" w:line="360" w:lineRule="auto"/>
        <w:jc w:val="center"/>
        <w:rPr>
          <w:rFonts w:ascii="Times New Roman" w:hAnsi="Times New Roman" w:cs="Times New Roman"/>
          <w:sz w:val="24"/>
          <w:szCs w:val="24"/>
        </w:rPr>
      </w:pPr>
      <m:oMathPara>
        <m:oMath>
          <m:r>
            <w:rPr>
              <w:rFonts w:ascii="Cambria Math" w:hAnsi="Cambria Math" w:cs="Times New Roman"/>
              <w:sz w:val="24"/>
              <w:szCs w:val="24"/>
            </w:rPr>
            <m:t>CVC=CV</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e</m:t>
              </m:r>
            </m:sub>
          </m:sSub>
        </m:oMath>
      </m:oMathPara>
    </w:p>
    <w:p w14:paraId="5680AADD" w14:textId="4BDE94C4" w:rsidR="00B3088C" w:rsidRPr="00D45D63" w:rsidRDefault="007C382D" w:rsidP="00B3088C">
      <w:pPr>
        <w:spacing w:after="0" w:line="360" w:lineRule="auto"/>
        <w:jc w:val="both"/>
        <w:rPr>
          <w:rFonts w:ascii="Times New Roman" w:hAnsi="Times New Roman" w:cs="Times New Roman"/>
          <w:sz w:val="24"/>
          <w:szCs w:val="24"/>
        </w:rPr>
      </w:pPr>
      <w:r w:rsidRPr="00D45D63">
        <w:rPr>
          <w:rFonts w:ascii="Times New Roman" w:hAnsi="Times New Roman" w:cs="Times New Roman"/>
          <w:sz w:val="24"/>
          <w:szCs w:val="24"/>
        </w:rPr>
        <w:t>Esta fórmula proporciona una medida de validez de contenido robusta, ajustando el acuerdo para el</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máximo posible y el error aleatorio.</w:t>
      </w:r>
      <w:r w:rsidR="00B3088C" w:rsidRPr="00D45D63">
        <w:rPr>
          <w:rFonts w:ascii="Times New Roman" w:hAnsi="Times New Roman" w:cs="Times New Roman"/>
          <w:sz w:val="24"/>
          <w:szCs w:val="24"/>
        </w:rPr>
        <w:t xml:space="preserve"> </w:t>
      </w:r>
    </w:p>
    <w:p w14:paraId="4317B873" w14:textId="290DC13B" w:rsidR="00B3088C" w:rsidRPr="00F20F99" w:rsidRDefault="007C382D" w:rsidP="00B3088C">
      <w:pPr>
        <w:pStyle w:val="Prrafodelista"/>
        <w:numPr>
          <w:ilvl w:val="0"/>
          <w:numId w:val="2"/>
        </w:numPr>
        <w:spacing w:after="0" w:line="360" w:lineRule="auto"/>
        <w:jc w:val="both"/>
        <w:rPr>
          <w:rFonts w:ascii="Times New Roman" w:hAnsi="Times New Roman" w:cs="Times New Roman"/>
          <w:sz w:val="24"/>
          <w:szCs w:val="24"/>
        </w:rPr>
      </w:pPr>
      <w:r w:rsidRPr="00D45D63">
        <w:rPr>
          <w:rFonts w:ascii="Times New Roman" w:hAnsi="Times New Roman" w:cs="Times New Roman"/>
          <w:sz w:val="24"/>
          <w:szCs w:val="24"/>
        </w:rPr>
        <w:t>Exclusión del Alfa de Cronbach: Se decidió no utilizar el alfa de Cronbach en este estudio debido a su</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inadecuación para muestras de tamaño reducido y baja variabilidad en respuestas. Esta decisión se basó</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en la literatura especializada que sugiere que el alfa de Cronbach podría no proporcionar una estimación</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fiable de la consistencia interna en tales contextos.</w:t>
      </w:r>
      <w:r w:rsidR="00B3088C" w:rsidRPr="00D45D63">
        <w:rPr>
          <w:rFonts w:ascii="Times New Roman" w:hAnsi="Times New Roman" w:cs="Times New Roman"/>
          <w:sz w:val="24"/>
          <w:szCs w:val="24"/>
        </w:rPr>
        <w:t xml:space="preserve"> </w:t>
      </w:r>
    </w:p>
    <w:p w14:paraId="45164AEF" w14:textId="77777777" w:rsidR="00B3088C" w:rsidRPr="00D45D63"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Estas técnicas no solo aseguraron que el instrumento fuera válido y confiable, sino que también permitieron</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adaptar el proceso de medición a las peculiaridades del contexto investigativo en Ciudad Juárez, un importante</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centro de actividad industrial y tecnológica. La cuidadosa selección y adaptación de las técnicas de validación</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subrayan el compromiso del estudio con la precisión metodológica y la relevancia práctica de sus hallazgos.</w:t>
      </w:r>
      <w:r w:rsidR="00B3088C" w:rsidRPr="00D45D63">
        <w:rPr>
          <w:rFonts w:ascii="Times New Roman" w:hAnsi="Times New Roman" w:cs="Times New Roman"/>
          <w:sz w:val="24"/>
          <w:szCs w:val="24"/>
        </w:rPr>
        <w:t xml:space="preserve"> </w:t>
      </w:r>
    </w:p>
    <w:p w14:paraId="042D9F61" w14:textId="77777777" w:rsidR="00B3088C" w:rsidRPr="00D45D63" w:rsidRDefault="00B3088C" w:rsidP="00B3088C">
      <w:pPr>
        <w:spacing w:after="0" w:line="360" w:lineRule="auto"/>
        <w:jc w:val="both"/>
        <w:rPr>
          <w:rFonts w:ascii="Times New Roman" w:hAnsi="Times New Roman" w:cs="Times New Roman"/>
          <w:sz w:val="24"/>
          <w:szCs w:val="24"/>
        </w:rPr>
      </w:pPr>
    </w:p>
    <w:p w14:paraId="5FF30EEB" w14:textId="6C058F3B" w:rsidR="007C382D" w:rsidRPr="00F20F99" w:rsidRDefault="007C382D" w:rsidP="00700D41">
      <w:pPr>
        <w:spacing w:after="0" w:line="360" w:lineRule="auto"/>
        <w:jc w:val="center"/>
        <w:rPr>
          <w:rFonts w:ascii="Times New Roman" w:hAnsi="Times New Roman" w:cs="Times New Roman"/>
          <w:b/>
          <w:bCs/>
          <w:sz w:val="32"/>
          <w:szCs w:val="32"/>
        </w:rPr>
      </w:pPr>
      <w:r w:rsidRPr="00F20F99">
        <w:rPr>
          <w:rFonts w:ascii="Times New Roman" w:hAnsi="Times New Roman" w:cs="Times New Roman"/>
          <w:b/>
          <w:bCs/>
          <w:sz w:val="32"/>
          <w:szCs w:val="32"/>
        </w:rPr>
        <w:t>Resultados</w:t>
      </w:r>
    </w:p>
    <w:p w14:paraId="4E31F3BF" w14:textId="7B8D5BD6" w:rsidR="007C382D" w:rsidRPr="00D45D63"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 xml:space="preserve">En esta sección se detallan los resultados obtenidos del instrumento de medición </w:t>
      </w:r>
      <w:r w:rsidR="00DB0E63" w:rsidRPr="00DB0E63">
        <w:rPr>
          <w:rFonts w:ascii="Times New Roman" w:hAnsi="Times New Roman" w:cs="Times New Roman"/>
          <w:sz w:val="24"/>
          <w:szCs w:val="24"/>
        </w:rPr>
        <w:t xml:space="preserve">empleado para evaluar las dimensiones clave de la transferencia de tecnología </w:t>
      </w:r>
      <w:proofErr w:type="spellStart"/>
      <w:r w:rsidR="00DB0E63" w:rsidRPr="00DB0E63">
        <w:rPr>
          <w:rFonts w:ascii="Times New Roman" w:hAnsi="Times New Roman" w:cs="Times New Roman"/>
          <w:sz w:val="24"/>
          <w:szCs w:val="24"/>
        </w:rPr>
        <w:t>intraempresarial</w:t>
      </w:r>
      <w:proofErr w:type="spellEnd"/>
      <w:r w:rsidRPr="00D45D63">
        <w:rPr>
          <w:rFonts w:ascii="Times New Roman" w:hAnsi="Times New Roman" w:cs="Times New Roman"/>
          <w:sz w:val="24"/>
          <w:szCs w:val="24"/>
        </w:rPr>
        <w:t xml:space="preserve">. </w:t>
      </w:r>
      <w:r w:rsidR="00DB0E63" w:rsidRPr="00DB0E63">
        <w:rPr>
          <w:rFonts w:ascii="Times New Roman" w:hAnsi="Times New Roman" w:cs="Times New Roman"/>
          <w:sz w:val="24"/>
          <w:szCs w:val="24"/>
        </w:rPr>
        <w:t>Se presentan datos cuantitativos que ilustran la efectividad y precisión del instrumento, además de analizar la variabilidad y consistencia en las respuestas de los evaluadores</w:t>
      </w:r>
      <w:r w:rsidRPr="00D45D63">
        <w:rPr>
          <w:rFonts w:ascii="Times New Roman" w:hAnsi="Times New Roman" w:cs="Times New Roman"/>
          <w:sz w:val="24"/>
          <w:szCs w:val="24"/>
        </w:rPr>
        <w:t>.</w:t>
      </w:r>
    </w:p>
    <w:p w14:paraId="36E3B7CC" w14:textId="77777777" w:rsidR="00B3088C" w:rsidRPr="00D45D63" w:rsidRDefault="00B3088C" w:rsidP="00B3088C">
      <w:pPr>
        <w:spacing w:after="0" w:line="360" w:lineRule="auto"/>
        <w:jc w:val="both"/>
        <w:rPr>
          <w:rFonts w:ascii="Times New Roman" w:hAnsi="Times New Roman" w:cs="Times New Roman"/>
          <w:sz w:val="24"/>
          <w:szCs w:val="24"/>
        </w:rPr>
      </w:pPr>
    </w:p>
    <w:p w14:paraId="6D60CB76" w14:textId="590EDFFB" w:rsidR="007C382D" w:rsidRPr="00D45D63" w:rsidRDefault="007C382D" w:rsidP="00F20F99">
      <w:pPr>
        <w:spacing w:after="0" w:line="360" w:lineRule="auto"/>
        <w:jc w:val="center"/>
        <w:rPr>
          <w:rFonts w:ascii="Times New Roman" w:hAnsi="Times New Roman" w:cs="Times New Roman"/>
          <w:b/>
          <w:bCs/>
          <w:sz w:val="24"/>
          <w:szCs w:val="24"/>
        </w:rPr>
      </w:pPr>
      <w:r w:rsidRPr="00D45D63">
        <w:rPr>
          <w:rFonts w:ascii="Times New Roman" w:hAnsi="Times New Roman" w:cs="Times New Roman"/>
          <w:b/>
          <w:bCs/>
          <w:sz w:val="24"/>
          <w:szCs w:val="24"/>
        </w:rPr>
        <w:t>Resultados estadísticos</w:t>
      </w:r>
    </w:p>
    <w:p w14:paraId="3A5D191E" w14:textId="4E217F40" w:rsidR="00B3088C" w:rsidRDefault="00D654FF" w:rsidP="00F20F99">
      <w:pPr>
        <w:spacing w:after="0" w:line="360" w:lineRule="auto"/>
        <w:ind w:firstLine="709"/>
        <w:jc w:val="both"/>
        <w:rPr>
          <w:rFonts w:ascii="Times New Roman" w:hAnsi="Times New Roman" w:cs="Times New Roman"/>
          <w:sz w:val="24"/>
          <w:szCs w:val="24"/>
        </w:rPr>
      </w:pPr>
      <w:r w:rsidRPr="00D654FF">
        <w:rPr>
          <w:rFonts w:ascii="Times New Roman" w:hAnsi="Times New Roman" w:cs="Times New Roman"/>
          <w:sz w:val="24"/>
          <w:szCs w:val="24"/>
        </w:rPr>
        <w:t xml:space="preserve">Esta sección presenta un análisis de las estadísticas descriptivas relacionadas con cada criterio evaluado: relevancia, claridad y neutralidad. </w:t>
      </w:r>
      <w:r w:rsidR="00DB0E63" w:rsidRPr="00DB0E63">
        <w:rPr>
          <w:rFonts w:ascii="Times New Roman" w:hAnsi="Times New Roman" w:cs="Times New Roman"/>
          <w:sz w:val="24"/>
          <w:szCs w:val="24"/>
        </w:rPr>
        <w:t>Los 45 ítems del instrumento fueron evaluados desde estas tres perspectivas por los cuatro jueces expertos</w:t>
      </w:r>
      <w:r w:rsidRPr="00D654FF">
        <w:rPr>
          <w:rFonts w:ascii="Times New Roman" w:hAnsi="Times New Roman" w:cs="Times New Roman"/>
          <w:sz w:val="24"/>
          <w:szCs w:val="24"/>
        </w:rPr>
        <w:t xml:space="preserve">. La evaluación se realizó mediante una escala de Likert de 5 puntos, </w:t>
      </w:r>
      <w:r w:rsidR="00DB0E63" w:rsidRPr="00DB0E63">
        <w:rPr>
          <w:rFonts w:ascii="Times New Roman" w:hAnsi="Times New Roman" w:cs="Times New Roman"/>
          <w:sz w:val="24"/>
          <w:szCs w:val="24"/>
        </w:rPr>
        <w:t>permitiendo obtener una visión detallada de cómo los jueces valoraron cada aspecto de los ítems</w:t>
      </w:r>
      <w:r w:rsidRPr="00D654F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C6DA2FC" w14:textId="77777777" w:rsidR="00D654FF" w:rsidRDefault="00D654FF" w:rsidP="00B3088C">
      <w:pPr>
        <w:spacing w:after="0" w:line="360" w:lineRule="auto"/>
        <w:jc w:val="both"/>
        <w:rPr>
          <w:rFonts w:ascii="Times New Roman" w:hAnsi="Times New Roman" w:cs="Times New Roman"/>
          <w:sz w:val="24"/>
          <w:szCs w:val="24"/>
        </w:rPr>
      </w:pPr>
    </w:p>
    <w:p w14:paraId="08EB2F59" w14:textId="77777777" w:rsidR="00FE4589" w:rsidRDefault="00FE4589" w:rsidP="00B3088C">
      <w:pPr>
        <w:spacing w:after="0" w:line="360" w:lineRule="auto"/>
        <w:jc w:val="both"/>
        <w:rPr>
          <w:rFonts w:ascii="Times New Roman" w:hAnsi="Times New Roman" w:cs="Times New Roman"/>
          <w:sz w:val="24"/>
          <w:szCs w:val="24"/>
        </w:rPr>
      </w:pPr>
    </w:p>
    <w:p w14:paraId="02387B0F" w14:textId="77777777" w:rsidR="00FE4589" w:rsidRDefault="00FE4589" w:rsidP="00B3088C">
      <w:pPr>
        <w:spacing w:after="0" w:line="360" w:lineRule="auto"/>
        <w:jc w:val="both"/>
        <w:rPr>
          <w:rFonts w:ascii="Times New Roman" w:hAnsi="Times New Roman" w:cs="Times New Roman"/>
          <w:sz w:val="24"/>
          <w:szCs w:val="24"/>
        </w:rPr>
      </w:pPr>
    </w:p>
    <w:p w14:paraId="5E21EDBA" w14:textId="77777777" w:rsidR="00FE4589" w:rsidRDefault="00FE4589" w:rsidP="00B3088C">
      <w:pPr>
        <w:spacing w:after="0" w:line="360" w:lineRule="auto"/>
        <w:jc w:val="both"/>
        <w:rPr>
          <w:rFonts w:ascii="Times New Roman" w:hAnsi="Times New Roman" w:cs="Times New Roman"/>
          <w:sz w:val="24"/>
          <w:szCs w:val="24"/>
        </w:rPr>
      </w:pPr>
    </w:p>
    <w:p w14:paraId="4E443D6F" w14:textId="77777777" w:rsidR="00FE4589" w:rsidRPr="00D45D63" w:rsidRDefault="00FE4589" w:rsidP="00B3088C">
      <w:pPr>
        <w:spacing w:after="0" w:line="360" w:lineRule="auto"/>
        <w:jc w:val="both"/>
        <w:rPr>
          <w:rFonts w:ascii="Times New Roman" w:hAnsi="Times New Roman" w:cs="Times New Roman"/>
          <w:sz w:val="24"/>
          <w:szCs w:val="24"/>
        </w:rPr>
      </w:pPr>
    </w:p>
    <w:p w14:paraId="5026C566" w14:textId="6102900C" w:rsidR="007C382D" w:rsidRPr="00D45D63" w:rsidRDefault="007C382D" w:rsidP="00F20F99">
      <w:pPr>
        <w:spacing w:after="0" w:line="360" w:lineRule="auto"/>
        <w:jc w:val="center"/>
        <w:rPr>
          <w:rFonts w:ascii="Times New Roman" w:hAnsi="Times New Roman" w:cs="Times New Roman"/>
          <w:b/>
          <w:bCs/>
          <w:sz w:val="24"/>
          <w:szCs w:val="24"/>
        </w:rPr>
      </w:pPr>
      <w:r w:rsidRPr="00D45D63">
        <w:rPr>
          <w:rFonts w:ascii="Times New Roman" w:hAnsi="Times New Roman" w:cs="Times New Roman"/>
          <w:b/>
          <w:bCs/>
          <w:sz w:val="24"/>
          <w:szCs w:val="24"/>
        </w:rPr>
        <w:lastRenderedPageBreak/>
        <w:t>Estadísticos para Relevancia</w:t>
      </w:r>
    </w:p>
    <w:p w14:paraId="7AB01E71" w14:textId="28D94CA6" w:rsidR="007C382D" w:rsidRPr="00D45D63"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Los resultados presentados en la tabla 10 muestran las estadísticas descriptivas para las calificaciones de</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relevancia otorgadas por los jueces. A diferencia de las calificaciones de neutralidad, la variabilidad en las</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calificaciones de relevancia es más notable, especialmente para el Juez 1, quien mostró un rango más amplio</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de respuestas.</w:t>
      </w:r>
    </w:p>
    <w:p w14:paraId="335E4091" w14:textId="77777777" w:rsidR="00B3088C" w:rsidRPr="00D45D63" w:rsidRDefault="00B3088C" w:rsidP="00B3088C">
      <w:pPr>
        <w:spacing w:after="0" w:line="360" w:lineRule="auto"/>
        <w:jc w:val="both"/>
        <w:rPr>
          <w:rFonts w:ascii="Times New Roman" w:hAnsi="Times New Roman" w:cs="Times New Roman"/>
          <w:sz w:val="24"/>
          <w:szCs w:val="24"/>
        </w:rPr>
      </w:pPr>
    </w:p>
    <w:p w14:paraId="32B3F080" w14:textId="2D3B4904" w:rsidR="00326555" w:rsidRPr="00D45D63" w:rsidRDefault="007C382D" w:rsidP="00F20F99">
      <w:pPr>
        <w:spacing w:after="0" w:line="360" w:lineRule="auto"/>
        <w:jc w:val="center"/>
        <w:rPr>
          <w:rFonts w:ascii="Times New Roman" w:hAnsi="Times New Roman" w:cs="Times New Roman"/>
          <w:sz w:val="24"/>
          <w:szCs w:val="24"/>
        </w:rPr>
      </w:pPr>
      <w:r w:rsidRPr="00F20F99">
        <w:rPr>
          <w:rFonts w:ascii="Times New Roman" w:hAnsi="Times New Roman" w:cs="Times New Roman"/>
          <w:b/>
          <w:bCs/>
          <w:sz w:val="24"/>
          <w:szCs w:val="24"/>
        </w:rPr>
        <w:t>Tabla 10</w:t>
      </w:r>
      <w:r w:rsidR="00FE4589">
        <w:rPr>
          <w:rFonts w:ascii="Times New Roman" w:hAnsi="Times New Roman" w:cs="Times New Roman"/>
          <w:b/>
          <w:bCs/>
          <w:sz w:val="24"/>
          <w:szCs w:val="24"/>
        </w:rPr>
        <w:t>.</w:t>
      </w:r>
      <w:r w:rsidRPr="00D45D63">
        <w:rPr>
          <w:rFonts w:ascii="Times New Roman" w:hAnsi="Times New Roman" w:cs="Times New Roman"/>
          <w:sz w:val="24"/>
          <w:szCs w:val="24"/>
        </w:rPr>
        <w:t xml:space="preserve"> Estadísticas descriptivas para las calificaciones de relevancia por jueces</w:t>
      </w:r>
    </w:p>
    <w:tbl>
      <w:tblPr>
        <w:tblStyle w:val="Tablaconcuadrcula"/>
        <w:tblW w:w="5245" w:type="dxa"/>
        <w:jc w:val="center"/>
        <w:tblLayout w:type="fixed"/>
        <w:tblCellMar>
          <w:left w:w="57" w:type="dxa"/>
          <w:right w:w="57" w:type="dxa"/>
        </w:tblCellMar>
        <w:tblLook w:val="04A0" w:firstRow="1" w:lastRow="0" w:firstColumn="1" w:lastColumn="0" w:noHBand="0" w:noVBand="1"/>
      </w:tblPr>
      <w:tblGrid>
        <w:gridCol w:w="935"/>
        <w:gridCol w:w="936"/>
        <w:gridCol w:w="935"/>
        <w:gridCol w:w="936"/>
        <w:gridCol w:w="1503"/>
      </w:tblGrid>
      <w:tr w:rsidR="00181CB4" w:rsidRPr="00F20F99" w14:paraId="7D992BE1" w14:textId="3AEA8517" w:rsidTr="00F20F99">
        <w:trPr>
          <w:jc w:val="center"/>
        </w:trPr>
        <w:tc>
          <w:tcPr>
            <w:tcW w:w="935" w:type="dxa"/>
            <w:vAlign w:val="center"/>
          </w:tcPr>
          <w:p w14:paraId="4A2EB9C2" w14:textId="14CECF1C" w:rsidR="00793358" w:rsidRPr="00F20F99" w:rsidRDefault="00793358" w:rsidP="00793358">
            <w:pPr>
              <w:jc w:val="center"/>
              <w:rPr>
                <w:rFonts w:ascii="Times New Roman" w:hAnsi="Times New Roman" w:cs="Times New Roman"/>
                <w:sz w:val="24"/>
                <w:szCs w:val="24"/>
              </w:rPr>
            </w:pPr>
            <w:r w:rsidRPr="00F20F99">
              <w:rPr>
                <w:rFonts w:ascii="Times New Roman" w:hAnsi="Times New Roman" w:cs="Times New Roman"/>
                <w:sz w:val="24"/>
                <w:szCs w:val="24"/>
              </w:rPr>
              <w:t>Juez</w:t>
            </w:r>
          </w:p>
        </w:tc>
        <w:tc>
          <w:tcPr>
            <w:tcW w:w="936" w:type="dxa"/>
            <w:vAlign w:val="center"/>
          </w:tcPr>
          <w:p w14:paraId="71F06B53" w14:textId="5CEC13DA" w:rsidR="00793358" w:rsidRPr="00F20F99" w:rsidRDefault="00793358" w:rsidP="00793358">
            <w:pPr>
              <w:jc w:val="center"/>
              <w:rPr>
                <w:rFonts w:ascii="Times New Roman" w:hAnsi="Times New Roman" w:cs="Times New Roman"/>
                <w:sz w:val="24"/>
                <w:szCs w:val="24"/>
              </w:rPr>
            </w:pPr>
            <w:r w:rsidRPr="00F20F99">
              <w:rPr>
                <w:rFonts w:ascii="Times New Roman" w:hAnsi="Times New Roman" w:cs="Times New Roman"/>
                <w:sz w:val="24"/>
                <w:szCs w:val="24"/>
              </w:rPr>
              <w:t>N</w:t>
            </w:r>
          </w:p>
        </w:tc>
        <w:tc>
          <w:tcPr>
            <w:tcW w:w="935" w:type="dxa"/>
            <w:vAlign w:val="center"/>
          </w:tcPr>
          <w:p w14:paraId="21F76F54" w14:textId="134BF4AD" w:rsidR="00793358" w:rsidRPr="00F20F99" w:rsidRDefault="00793358" w:rsidP="00793358">
            <w:pPr>
              <w:jc w:val="center"/>
              <w:rPr>
                <w:rFonts w:ascii="Times New Roman" w:hAnsi="Times New Roman" w:cs="Times New Roman"/>
                <w:sz w:val="24"/>
                <w:szCs w:val="24"/>
              </w:rPr>
            </w:pPr>
            <w:r w:rsidRPr="00F20F99">
              <w:rPr>
                <w:rFonts w:ascii="Times New Roman" w:hAnsi="Times New Roman" w:cs="Times New Roman"/>
                <w:sz w:val="24"/>
                <w:szCs w:val="24"/>
              </w:rPr>
              <w:t>Rango</w:t>
            </w:r>
          </w:p>
        </w:tc>
        <w:tc>
          <w:tcPr>
            <w:tcW w:w="936" w:type="dxa"/>
            <w:vAlign w:val="center"/>
          </w:tcPr>
          <w:p w14:paraId="2C76A349" w14:textId="149B9867" w:rsidR="00793358" w:rsidRPr="00F20F99" w:rsidRDefault="00793358" w:rsidP="00793358">
            <w:pPr>
              <w:jc w:val="center"/>
              <w:rPr>
                <w:rFonts w:ascii="Times New Roman" w:hAnsi="Times New Roman" w:cs="Times New Roman"/>
                <w:sz w:val="24"/>
                <w:szCs w:val="24"/>
              </w:rPr>
            </w:pPr>
            <w:r w:rsidRPr="00F20F99">
              <w:rPr>
                <w:rFonts w:ascii="Times New Roman" w:hAnsi="Times New Roman" w:cs="Times New Roman"/>
                <w:sz w:val="24"/>
                <w:szCs w:val="24"/>
              </w:rPr>
              <w:t>Media</w:t>
            </w:r>
          </w:p>
        </w:tc>
        <w:tc>
          <w:tcPr>
            <w:tcW w:w="1503" w:type="dxa"/>
            <w:vAlign w:val="center"/>
          </w:tcPr>
          <w:p w14:paraId="52009F84" w14:textId="7651EC1E" w:rsidR="00793358" w:rsidRPr="00F20F99" w:rsidRDefault="00793358" w:rsidP="00793358">
            <w:pPr>
              <w:jc w:val="center"/>
              <w:rPr>
                <w:rFonts w:ascii="Times New Roman" w:hAnsi="Times New Roman" w:cs="Times New Roman"/>
                <w:sz w:val="24"/>
                <w:szCs w:val="24"/>
              </w:rPr>
            </w:pPr>
            <w:r w:rsidRPr="00F20F99">
              <w:rPr>
                <w:rFonts w:ascii="Times New Roman" w:hAnsi="Times New Roman" w:cs="Times New Roman"/>
                <w:sz w:val="24"/>
                <w:szCs w:val="24"/>
              </w:rPr>
              <w:t>Desviación Estándar</w:t>
            </w:r>
          </w:p>
        </w:tc>
      </w:tr>
      <w:tr w:rsidR="00181CB4" w:rsidRPr="00F20F99" w14:paraId="755C6C12" w14:textId="7CF474D3" w:rsidTr="00F20F99">
        <w:trPr>
          <w:jc w:val="center"/>
        </w:trPr>
        <w:tc>
          <w:tcPr>
            <w:tcW w:w="935" w:type="dxa"/>
            <w:vAlign w:val="center"/>
          </w:tcPr>
          <w:p w14:paraId="38DC4554" w14:textId="3FDC2586" w:rsidR="00793358" w:rsidRPr="00F20F99" w:rsidRDefault="00793358" w:rsidP="00793358">
            <w:pPr>
              <w:jc w:val="center"/>
              <w:rPr>
                <w:rFonts w:ascii="Times New Roman" w:hAnsi="Times New Roman" w:cs="Times New Roman"/>
                <w:sz w:val="24"/>
                <w:szCs w:val="24"/>
              </w:rPr>
            </w:pPr>
            <w:r w:rsidRPr="00F20F99">
              <w:rPr>
                <w:rFonts w:ascii="Times New Roman" w:hAnsi="Times New Roman" w:cs="Times New Roman"/>
                <w:sz w:val="24"/>
                <w:szCs w:val="24"/>
              </w:rPr>
              <w:t>1</w:t>
            </w:r>
          </w:p>
        </w:tc>
        <w:tc>
          <w:tcPr>
            <w:tcW w:w="936" w:type="dxa"/>
            <w:vAlign w:val="center"/>
          </w:tcPr>
          <w:p w14:paraId="0267F712" w14:textId="0ECD8CBE" w:rsidR="00793358" w:rsidRPr="00F20F99" w:rsidRDefault="00793358" w:rsidP="00793358">
            <w:pPr>
              <w:jc w:val="center"/>
              <w:rPr>
                <w:rFonts w:ascii="Times New Roman" w:hAnsi="Times New Roman" w:cs="Times New Roman"/>
                <w:sz w:val="24"/>
                <w:szCs w:val="24"/>
              </w:rPr>
            </w:pPr>
            <w:r w:rsidRPr="00F20F99">
              <w:rPr>
                <w:rFonts w:ascii="Times New Roman" w:hAnsi="Times New Roman" w:cs="Times New Roman"/>
                <w:sz w:val="24"/>
                <w:szCs w:val="24"/>
              </w:rPr>
              <w:t>45</w:t>
            </w:r>
          </w:p>
        </w:tc>
        <w:tc>
          <w:tcPr>
            <w:tcW w:w="935" w:type="dxa"/>
            <w:vAlign w:val="center"/>
          </w:tcPr>
          <w:p w14:paraId="177A151F" w14:textId="3BE0BE8B" w:rsidR="00793358" w:rsidRPr="00F20F99" w:rsidRDefault="00326555" w:rsidP="00793358">
            <w:pPr>
              <w:jc w:val="center"/>
              <w:rPr>
                <w:rFonts w:ascii="Times New Roman" w:hAnsi="Times New Roman" w:cs="Times New Roman"/>
                <w:sz w:val="24"/>
                <w:szCs w:val="24"/>
              </w:rPr>
            </w:pPr>
            <w:r w:rsidRPr="00F20F99">
              <w:rPr>
                <w:rFonts w:ascii="Times New Roman" w:hAnsi="Times New Roman" w:cs="Times New Roman"/>
                <w:sz w:val="24"/>
                <w:szCs w:val="24"/>
              </w:rPr>
              <w:t>4</w:t>
            </w:r>
          </w:p>
        </w:tc>
        <w:tc>
          <w:tcPr>
            <w:tcW w:w="936" w:type="dxa"/>
            <w:vAlign w:val="center"/>
          </w:tcPr>
          <w:p w14:paraId="41890D98" w14:textId="4DB42699" w:rsidR="00793358" w:rsidRPr="00F20F99" w:rsidRDefault="00326555" w:rsidP="00793358">
            <w:pPr>
              <w:jc w:val="center"/>
              <w:rPr>
                <w:rFonts w:ascii="Times New Roman" w:hAnsi="Times New Roman" w:cs="Times New Roman"/>
                <w:sz w:val="24"/>
                <w:szCs w:val="24"/>
              </w:rPr>
            </w:pPr>
            <w:r w:rsidRPr="00F20F99">
              <w:rPr>
                <w:rFonts w:ascii="Times New Roman" w:hAnsi="Times New Roman" w:cs="Times New Roman"/>
                <w:sz w:val="24"/>
                <w:szCs w:val="24"/>
              </w:rPr>
              <w:t>4.96</w:t>
            </w:r>
          </w:p>
        </w:tc>
        <w:tc>
          <w:tcPr>
            <w:tcW w:w="1503" w:type="dxa"/>
            <w:vAlign w:val="center"/>
          </w:tcPr>
          <w:p w14:paraId="4932B5BE" w14:textId="16EE2D74" w:rsidR="00793358" w:rsidRPr="00F20F99" w:rsidRDefault="00326555" w:rsidP="00793358">
            <w:pPr>
              <w:jc w:val="center"/>
              <w:rPr>
                <w:rFonts w:ascii="Times New Roman" w:hAnsi="Times New Roman" w:cs="Times New Roman"/>
                <w:sz w:val="24"/>
                <w:szCs w:val="24"/>
              </w:rPr>
            </w:pPr>
            <w:r w:rsidRPr="00F20F99">
              <w:rPr>
                <w:rFonts w:ascii="Times New Roman" w:hAnsi="Times New Roman" w:cs="Times New Roman"/>
                <w:sz w:val="24"/>
                <w:szCs w:val="24"/>
              </w:rPr>
              <w:t>0.64</w:t>
            </w:r>
            <w:r w:rsidR="005831AA" w:rsidRPr="00F20F99">
              <w:rPr>
                <w:rFonts w:ascii="Times New Roman" w:hAnsi="Times New Roman" w:cs="Times New Roman"/>
                <w:sz w:val="24"/>
                <w:szCs w:val="24"/>
              </w:rPr>
              <w:t>0</w:t>
            </w:r>
          </w:p>
        </w:tc>
      </w:tr>
      <w:tr w:rsidR="00181CB4" w:rsidRPr="00F20F99" w14:paraId="1D455B1F" w14:textId="397313DD" w:rsidTr="00F20F99">
        <w:trPr>
          <w:jc w:val="center"/>
        </w:trPr>
        <w:tc>
          <w:tcPr>
            <w:tcW w:w="935" w:type="dxa"/>
            <w:vAlign w:val="center"/>
          </w:tcPr>
          <w:p w14:paraId="0BE64DDA" w14:textId="7B984B6F" w:rsidR="00793358" w:rsidRPr="00F20F99" w:rsidRDefault="00793358" w:rsidP="00793358">
            <w:pPr>
              <w:jc w:val="center"/>
              <w:rPr>
                <w:rFonts w:ascii="Times New Roman" w:hAnsi="Times New Roman" w:cs="Times New Roman"/>
                <w:sz w:val="24"/>
                <w:szCs w:val="24"/>
              </w:rPr>
            </w:pPr>
            <w:r w:rsidRPr="00F20F99">
              <w:rPr>
                <w:rFonts w:ascii="Times New Roman" w:hAnsi="Times New Roman" w:cs="Times New Roman"/>
                <w:sz w:val="24"/>
                <w:szCs w:val="24"/>
              </w:rPr>
              <w:t>2</w:t>
            </w:r>
          </w:p>
        </w:tc>
        <w:tc>
          <w:tcPr>
            <w:tcW w:w="936" w:type="dxa"/>
            <w:vAlign w:val="center"/>
          </w:tcPr>
          <w:p w14:paraId="25E25259" w14:textId="63A8AB2A" w:rsidR="00793358" w:rsidRPr="00F20F99" w:rsidRDefault="00793358" w:rsidP="00793358">
            <w:pPr>
              <w:jc w:val="center"/>
              <w:rPr>
                <w:rFonts w:ascii="Times New Roman" w:hAnsi="Times New Roman" w:cs="Times New Roman"/>
                <w:sz w:val="24"/>
                <w:szCs w:val="24"/>
              </w:rPr>
            </w:pPr>
            <w:r w:rsidRPr="00F20F99">
              <w:rPr>
                <w:rFonts w:ascii="Times New Roman" w:hAnsi="Times New Roman" w:cs="Times New Roman"/>
                <w:sz w:val="24"/>
                <w:szCs w:val="24"/>
              </w:rPr>
              <w:t>45</w:t>
            </w:r>
          </w:p>
        </w:tc>
        <w:tc>
          <w:tcPr>
            <w:tcW w:w="935" w:type="dxa"/>
            <w:vAlign w:val="center"/>
          </w:tcPr>
          <w:p w14:paraId="16A7C84C" w14:textId="37FAA5BA" w:rsidR="00793358" w:rsidRPr="00F20F99" w:rsidRDefault="00326555" w:rsidP="00793358">
            <w:pPr>
              <w:jc w:val="center"/>
              <w:rPr>
                <w:rFonts w:ascii="Times New Roman" w:hAnsi="Times New Roman" w:cs="Times New Roman"/>
                <w:sz w:val="24"/>
                <w:szCs w:val="24"/>
              </w:rPr>
            </w:pPr>
            <w:r w:rsidRPr="00F20F99">
              <w:rPr>
                <w:rFonts w:ascii="Times New Roman" w:hAnsi="Times New Roman" w:cs="Times New Roman"/>
                <w:sz w:val="24"/>
                <w:szCs w:val="24"/>
              </w:rPr>
              <w:t>1</w:t>
            </w:r>
          </w:p>
        </w:tc>
        <w:tc>
          <w:tcPr>
            <w:tcW w:w="936" w:type="dxa"/>
            <w:vAlign w:val="center"/>
          </w:tcPr>
          <w:p w14:paraId="3DBBCA06" w14:textId="0338EF49" w:rsidR="00793358" w:rsidRPr="00F20F99" w:rsidRDefault="00326555" w:rsidP="00793358">
            <w:pPr>
              <w:jc w:val="center"/>
              <w:rPr>
                <w:rFonts w:ascii="Times New Roman" w:hAnsi="Times New Roman" w:cs="Times New Roman"/>
                <w:sz w:val="24"/>
                <w:szCs w:val="24"/>
              </w:rPr>
            </w:pPr>
            <w:r w:rsidRPr="00F20F99">
              <w:rPr>
                <w:rFonts w:ascii="Times New Roman" w:hAnsi="Times New Roman" w:cs="Times New Roman"/>
                <w:sz w:val="24"/>
                <w:szCs w:val="24"/>
              </w:rPr>
              <w:t>4.96</w:t>
            </w:r>
          </w:p>
        </w:tc>
        <w:tc>
          <w:tcPr>
            <w:tcW w:w="1503" w:type="dxa"/>
            <w:vAlign w:val="center"/>
          </w:tcPr>
          <w:p w14:paraId="0ECDD6F6" w14:textId="4CE9B67C" w:rsidR="00793358" w:rsidRPr="00F20F99" w:rsidRDefault="00326555" w:rsidP="00793358">
            <w:pPr>
              <w:jc w:val="center"/>
              <w:rPr>
                <w:rFonts w:ascii="Times New Roman" w:hAnsi="Times New Roman" w:cs="Times New Roman"/>
                <w:sz w:val="24"/>
                <w:szCs w:val="24"/>
              </w:rPr>
            </w:pPr>
            <w:r w:rsidRPr="00F20F99">
              <w:rPr>
                <w:rFonts w:ascii="Times New Roman" w:hAnsi="Times New Roman" w:cs="Times New Roman"/>
                <w:sz w:val="24"/>
                <w:szCs w:val="24"/>
              </w:rPr>
              <w:t>0.288</w:t>
            </w:r>
          </w:p>
        </w:tc>
      </w:tr>
      <w:tr w:rsidR="00181CB4" w:rsidRPr="00F20F99" w14:paraId="06128551" w14:textId="7665711F" w:rsidTr="00F20F99">
        <w:trPr>
          <w:jc w:val="center"/>
        </w:trPr>
        <w:tc>
          <w:tcPr>
            <w:tcW w:w="935" w:type="dxa"/>
            <w:vAlign w:val="center"/>
          </w:tcPr>
          <w:p w14:paraId="6E8BD90C" w14:textId="6D742A2B" w:rsidR="00793358" w:rsidRPr="00F20F99" w:rsidRDefault="00793358" w:rsidP="00793358">
            <w:pPr>
              <w:jc w:val="center"/>
              <w:rPr>
                <w:rFonts w:ascii="Times New Roman" w:hAnsi="Times New Roman" w:cs="Times New Roman"/>
                <w:sz w:val="24"/>
                <w:szCs w:val="24"/>
              </w:rPr>
            </w:pPr>
            <w:r w:rsidRPr="00F20F99">
              <w:rPr>
                <w:rFonts w:ascii="Times New Roman" w:hAnsi="Times New Roman" w:cs="Times New Roman"/>
                <w:sz w:val="24"/>
                <w:szCs w:val="24"/>
              </w:rPr>
              <w:t>3</w:t>
            </w:r>
          </w:p>
        </w:tc>
        <w:tc>
          <w:tcPr>
            <w:tcW w:w="936" w:type="dxa"/>
            <w:vAlign w:val="center"/>
          </w:tcPr>
          <w:p w14:paraId="390CFE59" w14:textId="15E9AD88" w:rsidR="00793358" w:rsidRPr="00F20F99" w:rsidRDefault="00793358" w:rsidP="00793358">
            <w:pPr>
              <w:jc w:val="center"/>
              <w:rPr>
                <w:rFonts w:ascii="Times New Roman" w:hAnsi="Times New Roman" w:cs="Times New Roman"/>
                <w:sz w:val="24"/>
                <w:szCs w:val="24"/>
              </w:rPr>
            </w:pPr>
            <w:r w:rsidRPr="00F20F99">
              <w:rPr>
                <w:rFonts w:ascii="Times New Roman" w:hAnsi="Times New Roman" w:cs="Times New Roman"/>
                <w:sz w:val="24"/>
                <w:szCs w:val="24"/>
              </w:rPr>
              <w:t>45</w:t>
            </w:r>
          </w:p>
        </w:tc>
        <w:tc>
          <w:tcPr>
            <w:tcW w:w="935" w:type="dxa"/>
            <w:vAlign w:val="center"/>
          </w:tcPr>
          <w:p w14:paraId="25C62CB7" w14:textId="25B49222" w:rsidR="00793358" w:rsidRPr="00F20F99" w:rsidRDefault="00326555" w:rsidP="00793358">
            <w:pPr>
              <w:jc w:val="center"/>
              <w:rPr>
                <w:rFonts w:ascii="Times New Roman" w:hAnsi="Times New Roman" w:cs="Times New Roman"/>
                <w:sz w:val="24"/>
                <w:szCs w:val="24"/>
              </w:rPr>
            </w:pPr>
            <w:r w:rsidRPr="00F20F99">
              <w:rPr>
                <w:rFonts w:ascii="Times New Roman" w:hAnsi="Times New Roman" w:cs="Times New Roman"/>
                <w:sz w:val="24"/>
                <w:szCs w:val="24"/>
              </w:rPr>
              <w:t>1</w:t>
            </w:r>
          </w:p>
        </w:tc>
        <w:tc>
          <w:tcPr>
            <w:tcW w:w="936" w:type="dxa"/>
            <w:vAlign w:val="center"/>
          </w:tcPr>
          <w:p w14:paraId="3EAE27F2" w14:textId="064DB11D" w:rsidR="00793358" w:rsidRPr="00F20F99" w:rsidRDefault="00326555" w:rsidP="00793358">
            <w:pPr>
              <w:jc w:val="center"/>
              <w:rPr>
                <w:rFonts w:ascii="Times New Roman" w:hAnsi="Times New Roman" w:cs="Times New Roman"/>
                <w:sz w:val="24"/>
                <w:szCs w:val="24"/>
              </w:rPr>
            </w:pPr>
            <w:r w:rsidRPr="00F20F99">
              <w:rPr>
                <w:rFonts w:ascii="Times New Roman" w:hAnsi="Times New Roman" w:cs="Times New Roman"/>
                <w:sz w:val="24"/>
                <w:szCs w:val="24"/>
              </w:rPr>
              <w:t>4.91</w:t>
            </w:r>
          </w:p>
        </w:tc>
        <w:tc>
          <w:tcPr>
            <w:tcW w:w="1503" w:type="dxa"/>
            <w:vAlign w:val="center"/>
          </w:tcPr>
          <w:p w14:paraId="2CB1A49B" w14:textId="1FB59156" w:rsidR="00793358" w:rsidRPr="00F20F99" w:rsidRDefault="00326555" w:rsidP="00793358">
            <w:pPr>
              <w:jc w:val="center"/>
              <w:rPr>
                <w:rFonts w:ascii="Times New Roman" w:hAnsi="Times New Roman" w:cs="Times New Roman"/>
                <w:sz w:val="24"/>
                <w:szCs w:val="24"/>
              </w:rPr>
            </w:pPr>
            <w:r w:rsidRPr="00F20F99">
              <w:rPr>
                <w:rFonts w:ascii="Times New Roman" w:hAnsi="Times New Roman" w:cs="Times New Roman"/>
                <w:sz w:val="24"/>
                <w:szCs w:val="24"/>
              </w:rPr>
              <w:t>0.367</w:t>
            </w:r>
          </w:p>
        </w:tc>
      </w:tr>
      <w:tr w:rsidR="00181CB4" w:rsidRPr="00F20F99" w14:paraId="79CA6E53" w14:textId="360488FA" w:rsidTr="00F20F99">
        <w:trPr>
          <w:jc w:val="center"/>
        </w:trPr>
        <w:tc>
          <w:tcPr>
            <w:tcW w:w="935" w:type="dxa"/>
            <w:vAlign w:val="center"/>
          </w:tcPr>
          <w:p w14:paraId="52469B8E" w14:textId="1C82A49E" w:rsidR="00793358" w:rsidRPr="00F20F99" w:rsidRDefault="00793358" w:rsidP="00793358">
            <w:pPr>
              <w:jc w:val="center"/>
              <w:rPr>
                <w:rFonts w:ascii="Times New Roman" w:hAnsi="Times New Roman" w:cs="Times New Roman"/>
                <w:sz w:val="24"/>
                <w:szCs w:val="24"/>
              </w:rPr>
            </w:pPr>
            <w:r w:rsidRPr="00F20F99">
              <w:rPr>
                <w:rFonts w:ascii="Times New Roman" w:hAnsi="Times New Roman" w:cs="Times New Roman"/>
                <w:sz w:val="24"/>
                <w:szCs w:val="24"/>
              </w:rPr>
              <w:t>4</w:t>
            </w:r>
          </w:p>
        </w:tc>
        <w:tc>
          <w:tcPr>
            <w:tcW w:w="936" w:type="dxa"/>
            <w:vAlign w:val="center"/>
          </w:tcPr>
          <w:p w14:paraId="3C44FE16" w14:textId="2E87644E" w:rsidR="00793358" w:rsidRPr="00F20F99" w:rsidRDefault="00793358" w:rsidP="00793358">
            <w:pPr>
              <w:jc w:val="center"/>
              <w:rPr>
                <w:rFonts w:ascii="Times New Roman" w:hAnsi="Times New Roman" w:cs="Times New Roman"/>
                <w:sz w:val="24"/>
                <w:szCs w:val="24"/>
              </w:rPr>
            </w:pPr>
            <w:r w:rsidRPr="00F20F99">
              <w:rPr>
                <w:rFonts w:ascii="Times New Roman" w:hAnsi="Times New Roman" w:cs="Times New Roman"/>
                <w:sz w:val="24"/>
                <w:szCs w:val="24"/>
              </w:rPr>
              <w:t>45</w:t>
            </w:r>
          </w:p>
        </w:tc>
        <w:tc>
          <w:tcPr>
            <w:tcW w:w="935" w:type="dxa"/>
            <w:vAlign w:val="center"/>
          </w:tcPr>
          <w:p w14:paraId="27F98FBF" w14:textId="1B56F9B8" w:rsidR="00793358" w:rsidRPr="00F20F99" w:rsidRDefault="00326555" w:rsidP="00793358">
            <w:pPr>
              <w:jc w:val="center"/>
              <w:rPr>
                <w:rFonts w:ascii="Times New Roman" w:hAnsi="Times New Roman" w:cs="Times New Roman"/>
                <w:sz w:val="24"/>
                <w:szCs w:val="24"/>
              </w:rPr>
            </w:pPr>
            <w:r w:rsidRPr="00F20F99">
              <w:rPr>
                <w:rFonts w:ascii="Times New Roman" w:hAnsi="Times New Roman" w:cs="Times New Roman"/>
                <w:sz w:val="24"/>
                <w:szCs w:val="24"/>
              </w:rPr>
              <w:t>1</w:t>
            </w:r>
          </w:p>
        </w:tc>
        <w:tc>
          <w:tcPr>
            <w:tcW w:w="936" w:type="dxa"/>
            <w:vAlign w:val="center"/>
          </w:tcPr>
          <w:p w14:paraId="2C0C4FD4" w14:textId="68C14BC1" w:rsidR="00793358" w:rsidRPr="00F20F99" w:rsidRDefault="00326555" w:rsidP="00793358">
            <w:pPr>
              <w:jc w:val="center"/>
              <w:rPr>
                <w:rFonts w:ascii="Times New Roman" w:hAnsi="Times New Roman" w:cs="Times New Roman"/>
                <w:sz w:val="24"/>
                <w:szCs w:val="24"/>
              </w:rPr>
            </w:pPr>
            <w:r w:rsidRPr="00F20F99">
              <w:rPr>
                <w:rFonts w:ascii="Times New Roman" w:hAnsi="Times New Roman" w:cs="Times New Roman"/>
                <w:sz w:val="24"/>
                <w:szCs w:val="24"/>
              </w:rPr>
              <w:t>4.96</w:t>
            </w:r>
          </w:p>
        </w:tc>
        <w:tc>
          <w:tcPr>
            <w:tcW w:w="1503" w:type="dxa"/>
            <w:vAlign w:val="center"/>
          </w:tcPr>
          <w:p w14:paraId="6707C146" w14:textId="475FDD64" w:rsidR="00793358" w:rsidRPr="00F20F99" w:rsidRDefault="00326555" w:rsidP="00793358">
            <w:pPr>
              <w:jc w:val="center"/>
              <w:rPr>
                <w:rFonts w:ascii="Times New Roman" w:hAnsi="Times New Roman" w:cs="Times New Roman"/>
                <w:sz w:val="24"/>
                <w:szCs w:val="24"/>
              </w:rPr>
            </w:pPr>
            <w:r w:rsidRPr="00F20F99">
              <w:rPr>
                <w:rFonts w:ascii="Times New Roman" w:hAnsi="Times New Roman" w:cs="Times New Roman"/>
                <w:sz w:val="24"/>
                <w:szCs w:val="24"/>
              </w:rPr>
              <w:t>0.458</w:t>
            </w:r>
          </w:p>
        </w:tc>
      </w:tr>
    </w:tbl>
    <w:p w14:paraId="1D3A6A1B" w14:textId="5835678C" w:rsidR="00B3088C" w:rsidRPr="00D45D63" w:rsidRDefault="002A7B81" w:rsidP="00F20F99">
      <w:pPr>
        <w:spacing w:after="0" w:line="360" w:lineRule="auto"/>
        <w:jc w:val="center"/>
        <w:rPr>
          <w:rFonts w:ascii="Times New Roman" w:hAnsi="Times New Roman" w:cs="Times New Roman"/>
          <w:sz w:val="24"/>
          <w:szCs w:val="24"/>
        </w:rPr>
      </w:pPr>
      <w:r w:rsidRPr="00D45D63">
        <w:rPr>
          <w:rFonts w:ascii="Times New Roman" w:hAnsi="Times New Roman" w:cs="Times New Roman"/>
          <w:sz w:val="24"/>
          <w:szCs w:val="24"/>
        </w:rPr>
        <w:t>Fuente: Elaboración propia</w:t>
      </w:r>
    </w:p>
    <w:p w14:paraId="7AA664AE" w14:textId="24C21817" w:rsidR="007C382D" w:rsidRPr="00D45D63" w:rsidRDefault="00DB0E63" w:rsidP="00F20F99">
      <w:pPr>
        <w:spacing w:line="360" w:lineRule="auto"/>
        <w:ind w:firstLine="709"/>
        <w:jc w:val="both"/>
        <w:rPr>
          <w:rFonts w:ascii="Times New Roman" w:hAnsi="Times New Roman" w:cs="Times New Roman"/>
          <w:sz w:val="24"/>
          <w:szCs w:val="24"/>
        </w:rPr>
      </w:pPr>
      <w:r w:rsidRPr="00DB0E63">
        <w:rPr>
          <w:rFonts w:ascii="Times New Roman" w:hAnsi="Times New Roman" w:cs="Times New Roman"/>
          <w:sz w:val="24"/>
          <w:szCs w:val="24"/>
        </w:rPr>
        <w:t>La Figura 2 muestra las calificaciones medias de relevancia por cada juez</w:t>
      </w:r>
      <w:r w:rsidR="007C382D" w:rsidRPr="00D45D63">
        <w:rPr>
          <w:rFonts w:ascii="Times New Roman" w:hAnsi="Times New Roman" w:cs="Times New Roman"/>
          <w:sz w:val="24"/>
          <w:szCs w:val="24"/>
        </w:rPr>
        <w:t>. Aunque las medias</w:t>
      </w:r>
      <w:r w:rsidR="00B3088C" w:rsidRPr="00D45D63">
        <w:rPr>
          <w:rFonts w:ascii="Times New Roman" w:hAnsi="Times New Roman" w:cs="Times New Roman"/>
          <w:sz w:val="24"/>
          <w:szCs w:val="24"/>
        </w:rPr>
        <w:t xml:space="preserve"> </w:t>
      </w:r>
      <w:r w:rsidR="007C382D" w:rsidRPr="00D45D63">
        <w:rPr>
          <w:rFonts w:ascii="Times New Roman" w:hAnsi="Times New Roman" w:cs="Times New Roman"/>
          <w:sz w:val="24"/>
          <w:szCs w:val="24"/>
        </w:rPr>
        <w:t xml:space="preserve">están cercanas a 5, </w:t>
      </w:r>
      <w:r w:rsidRPr="00DB0E63">
        <w:rPr>
          <w:rFonts w:ascii="Times New Roman" w:hAnsi="Times New Roman" w:cs="Times New Roman"/>
          <w:sz w:val="24"/>
          <w:szCs w:val="24"/>
        </w:rPr>
        <w:t>la variabilidad sugiere que los jueces interpretaron los ítems de manera ligeramente diferente. Este hallazgo resulta vital para evaluar la consistencia interna y la confiabilidad del instrumento en estudios futuros</w:t>
      </w:r>
      <w:r w:rsidR="007C382D" w:rsidRPr="00D45D63">
        <w:rPr>
          <w:rFonts w:ascii="Times New Roman" w:hAnsi="Times New Roman" w:cs="Times New Roman"/>
          <w:sz w:val="24"/>
          <w:szCs w:val="24"/>
        </w:rPr>
        <w:t>.</w:t>
      </w:r>
    </w:p>
    <w:p w14:paraId="1EC37B1E" w14:textId="50010378" w:rsidR="00494B0F" w:rsidRPr="00D45D63" w:rsidRDefault="003148CD" w:rsidP="00326555">
      <w:pPr>
        <w:spacing w:line="360" w:lineRule="auto"/>
        <w:jc w:val="center"/>
        <w:rPr>
          <w:rFonts w:ascii="Times New Roman" w:hAnsi="Times New Roman" w:cs="Times New Roman"/>
          <w:sz w:val="24"/>
          <w:szCs w:val="24"/>
        </w:rPr>
      </w:pPr>
      <w:r w:rsidRPr="00F20F99">
        <w:rPr>
          <w:rFonts w:ascii="Times New Roman" w:hAnsi="Times New Roman" w:cs="Times New Roman"/>
          <w:b/>
          <w:bCs/>
          <w:sz w:val="24"/>
          <w:szCs w:val="24"/>
        </w:rPr>
        <w:t>Figura 2:</w:t>
      </w:r>
      <w:r w:rsidRPr="00D45D63">
        <w:rPr>
          <w:rFonts w:ascii="Times New Roman" w:hAnsi="Times New Roman" w:cs="Times New Roman"/>
          <w:sz w:val="24"/>
          <w:szCs w:val="24"/>
        </w:rPr>
        <w:t xml:space="preserve"> Estadísticas descriptivas de calificaciones de relevancia por jueces</w:t>
      </w:r>
      <w:r w:rsidR="00494B0F" w:rsidRPr="00D45D63">
        <w:rPr>
          <w:rFonts w:ascii="Times New Roman" w:hAnsi="Times New Roman" w:cs="Times New Roman"/>
          <w:noProof/>
          <w:sz w:val="24"/>
          <w:szCs w:val="24"/>
        </w:rPr>
        <w:drawing>
          <wp:inline distT="0" distB="0" distL="0" distR="0" wp14:anchorId="648E02E7" wp14:editId="5612E96D">
            <wp:extent cx="4293148" cy="1676400"/>
            <wp:effectExtent l="0" t="0" r="0" b="0"/>
            <wp:docPr id="1"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de barras&#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98116" cy="1678340"/>
                    </a:xfrm>
                    <a:prstGeom prst="rect">
                      <a:avLst/>
                    </a:prstGeom>
                  </pic:spPr>
                </pic:pic>
              </a:graphicData>
            </a:graphic>
          </wp:inline>
        </w:drawing>
      </w:r>
    </w:p>
    <w:p w14:paraId="107069FB" w14:textId="3DB836C0" w:rsidR="003148CD" w:rsidRPr="00D45D63" w:rsidRDefault="003148CD" w:rsidP="003148CD">
      <w:pPr>
        <w:spacing w:after="0" w:line="360" w:lineRule="auto"/>
        <w:jc w:val="center"/>
        <w:rPr>
          <w:rFonts w:ascii="Times New Roman" w:hAnsi="Times New Roman" w:cs="Times New Roman"/>
          <w:sz w:val="24"/>
          <w:szCs w:val="24"/>
        </w:rPr>
      </w:pPr>
      <w:r w:rsidRPr="00D45D63">
        <w:rPr>
          <w:rFonts w:ascii="Times New Roman" w:hAnsi="Times New Roman" w:cs="Times New Roman"/>
          <w:sz w:val="24"/>
          <w:szCs w:val="24"/>
        </w:rPr>
        <w:t>Fuente: Elaboración propia</w:t>
      </w:r>
    </w:p>
    <w:p w14:paraId="4AE94E42" w14:textId="429253EF" w:rsidR="007C382D" w:rsidRPr="00D45D63"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En conclusión, la presencia de variabilidad en las puntuaciones de relevancia entre los jueces indica una</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necesidad de revisar la redacción de los ítems para asegurar una interpretación más uniforme y mejorar la</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calidad del instrumento.</w:t>
      </w:r>
    </w:p>
    <w:p w14:paraId="7616E879" w14:textId="77777777" w:rsidR="0047355F" w:rsidRDefault="0047355F" w:rsidP="00B3088C">
      <w:pPr>
        <w:spacing w:after="0" w:line="360" w:lineRule="auto"/>
        <w:jc w:val="both"/>
        <w:rPr>
          <w:rFonts w:ascii="Times New Roman" w:hAnsi="Times New Roman" w:cs="Times New Roman"/>
          <w:sz w:val="24"/>
          <w:szCs w:val="24"/>
        </w:rPr>
      </w:pPr>
    </w:p>
    <w:p w14:paraId="2CF42D21" w14:textId="77777777" w:rsidR="00FE4589" w:rsidRDefault="00FE4589" w:rsidP="00B3088C">
      <w:pPr>
        <w:spacing w:after="0" w:line="360" w:lineRule="auto"/>
        <w:jc w:val="both"/>
        <w:rPr>
          <w:rFonts w:ascii="Times New Roman" w:hAnsi="Times New Roman" w:cs="Times New Roman"/>
          <w:sz w:val="24"/>
          <w:szCs w:val="24"/>
        </w:rPr>
      </w:pPr>
    </w:p>
    <w:p w14:paraId="33CAA355" w14:textId="77777777" w:rsidR="00FE4589" w:rsidRDefault="00FE4589" w:rsidP="00B3088C">
      <w:pPr>
        <w:spacing w:after="0" w:line="360" w:lineRule="auto"/>
        <w:jc w:val="both"/>
        <w:rPr>
          <w:rFonts w:ascii="Times New Roman" w:hAnsi="Times New Roman" w:cs="Times New Roman"/>
          <w:sz w:val="24"/>
          <w:szCs w:val="24"/>
        </w:rPr>
      </w:pPr>
    </w:p>
    <w:p w14:paraId="21625AEE" w14:textId="77777777" w:rsidR="00FE4589" w:rsidRPr="00D45D63" w:rsidRDefault="00FE4589" w:rsidP="00B3088C">
      <w:pPr>
        <w:spacing w:after="0" w:line="360" w:lineRule="auto"/>
        <w:jc w:val="both"/>
        <w:rPr>
          <w:rFonts w:ascii="Times New Roman" w:hAnsi="Times New Roman" w:cs="Times New Roman"/>
          <w:sz w:val="24"/>
          <w:szCs w:val="24"/>
        </w:rPr>
      </w:pPr>
    </w:p>
    <w:p w14:paraId="177FC53A" w14:textId="6503AD01" w:rsidR="007C382D" w:rsidRPr="00D45D63" w:rsidRDefault="007C382D" w:rsidP="00F20F99">
      <w:pPr>
        <w:spacing w:after="0" w:line="360" w:lineRule="auto"/>
        <w:jc w:val="center"/>
        <w:rPr>
          <w:rFonts w:ascii="Times New Roman" w:hAnsi="Times New Roman" w:cs="Times New Roman"/>
          <w:b/>
          <w:bCs/>
          <w:sz w:val="24"/>
          <w:szCs w:val="24"/>
        </w:rPr>
      </w:pPr>
      <w:r w:rsidRPr="00D45D63">
        <w:rPr>
          <w:rFonts w:ascii="Times New Roman" w:hAnsi="Times New Roman" w:cs="Times New Roman"/>
          <w:b/>
          <w:bCs/>
          <w:sz w:val="24"/>
          <w:szCs w:val="24"/>
        </w:rPr>
        <w:lastRenderedPageBreak/>
        <w:t>Estadísticos para Claridad</w:t>
      </w:r>
    </w:p>
    <w:p w14:paraId="3C031EDC" w14:textId="0F02C7FA" w:rsidR="007C382D" w:rsidRPr="00D45D63"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Los resultados mostrados en la Tabla 11 reflejan las estadísticas descriptivas para las calificaciones de claridad</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dadas por los jueces. </w:t>
      </w:r>
      <w:r w:rsidR="00DB0E63" w:rsidRPr="00DB0E63">
        <w:rPr>
          <w:rFonts w:ascii="Times New Roman" w:hAnsi="Times New Roman" w:cs="Times New Roman"/>
          <w:sz w:val="24"/>
          <w:szCs w:val="24"/>
        </w:rPr>
        <w:t>Las calificaciones presentaron una variación moderada entre los jueces, reflejando una mayor diversidad en comparación con las de neutralidad</w:t>
      </w:r>
      <w:r w:rsidRPr="00D45D63">
        <w:rPr>
          <w:rFonts w:ascii="Times New Roman" w:hAnsi="Times New Roman" w:cs="Times New Roman"/>
          <w:sz w:val="24"/>
          <w:szCs w:val="24"/>
        </w:rPr>
        <w:t>.</w:t>
      </w:r>
    </w:p>
    <w:p w14:paraId="6C5B85C9" w14:textId="77777777" w:rsidR="00326555" w:rsidRPr="00D45D63" w:rsidRDefault="00326555" w:rsidP="00B3088C">
      <w:pPr>
        <w:spacing w:after="0" w:line="360" w:lineRule="auto"/>
        <w:jc w:val="both"/>
        <w:rPr>
          <w:rFonts w:ascii="Times New Roman" w:hAnsi="Times New Roman" w:cs="Times New Roman"/>
          <w:sz w:val="24"/>
          <w:szCs w:val="24"/>
        </w:rPr>
      </w:pPr>
    </w:p>
    <w:p w14:paraId="5EC3A1A8" w14:textId="271503FE" w:rsidR="007C382D" w:rsidRPr="00D45D63" w:rsidRDefault="007C382D" w:rsidP="00F20F99">
      <w:pPr>
        <w:spacing w:after="0" w:line="360" w:lineRule="auto"/>
        <w:jc w:val="center"/>
        <w:rPr>
          <w:rFonts w:ascii="Times New Roman" w:hAnsi="Times New Roman" w:cs="Times New Roman"/>
          <w:sz w:val="24"/>
          <w:szCs w:val="24"/>
        </w:rPr>
      </w:pPr>
      <w:r w:rsidRPr="00F20F99">
        <w:rPr>
          <w:rFonts w:ascii="Times New Roman" w:hAnsi="Times New Roman" w:cs="Times New Roman"/>
          <w:b/>
          <w:bCs/>
          <w:sz w:val="24"/>
          <w:szCs w:val="24"/>
        </w:rPr>
        <w:t>Tabla 11</w:t>
      </w:r>
      <w:r w:rsidR="00FE4589">
        <w:rPr>
          <w:rFonts w:ascii="Times New Roman" w:hAnsi="Times New Roman" w:cs="Times New Roman"/>
          <w:b/>
          <w:bCs/>
          <w:sz w:val="24"/>
          <w:szCs w:val="24"/>
        </w:rPr>
        <w:t>.</w:t>
      </w:r>
      <w:r w:rsidRPr="00D45D63">
        <w:rPr>
          <w:rFonts w:ascii="Times New Roman" w:hAnsi="Times New Roman" w:cs="Times New Roman"/>
          <w:sz w:val="24"/>
          <w:szCs w:val="24"/>
        </w:rPr>
        <w:t xml:space="preserve"> Estadísticas descriptivas para las calificaciones de claridad por jueces</w:t>
      </w:r>
    </w:p>
    <w:tbl>
      <w:tblPr>
        <w:tblStyle w:val="Tablaconcuadrcula"/>
        <w:tblW w:w="5245" w:type="dxa"/>
        <w:jc w:val="center"/>
        <w:tblLayout w:type="fixed"/>
        <w:tblCellMar>
          <w:left w:w="57" w:type="dxa"/>
          <w:right w:w="57" w:type="dxa"/>
        </w:tblCellMar>
        <w:tblLook w:val="04A0" w:firstRow="1" w:lastRow="0" w:firstColumn="1" w:lastColumn="0" w:noHBand="0" w:noVBand="1"/>
      </w:tblPr>
      <w:tblGrid>
        <w:gridCol w:w="935"/>
        <w:gridCol w:w="936"/>
        <w:gridCol w:w="935"/>
        <w:gridCol w:w="936"/>
        <w:gridCol w:w="1503"/>
      </w:tblGrid>
      <w:tr w:rsidR="00181CB4" w:rsidRPr="00F20F99" w14:paraId="500219CC" w14:textId="77777777" w:rsidTr="00F20F99">
        <w:trPr>
          <w:jc w:val="center"/>
        </w:trPr>
        <w:tc>
          <w:tcPr>
            <w:tcW w:w="935" w:type="dxa"/>
            <w:vAlign w:val="center"/>
          </w:tcPr>
          <w:p w14:paraId="1D7CAA4F" w14:textId="77777777" w:rsidR="00326555" w:rsidRPr="00F20F99" w:rsidRDefault="00326555" w:rsidP="008E79D6">
            <w:pPr>
              <w:jc w:val="center"/>
              <w:rPr>
                <w:rFonts w:ascii="Times New Roman" w:hAnsi="Times New Roman" w:cs="Times New Roman"/>
                <w:sz w:val="24"/>
                <w:szCs w:val="24"/>
              </w:rPr>
            </w:pPr>
            <w:r w:rsidRPr="00F20F99">
              <w:rPr>
                <w:rFonts w:ascii="Times New Roman" w:hAnsi="Times New Roman" w:cs="Times New Roman"/>
                <w:sz w:val="24"/>
                <w:szCs w:val="24"/>
              </w:rPr>
              <w:t>Juez</w:t>
            </w:r>
          </w:p>
        </w:tc>
        <w:tc>
          <w:tcPr>
            <w:tcW w:w="936" w:type="dxa"/>
            <w:vAlign w:val="center"/>
          </w:tcPr>
          <w:p w14:paraId="529E66D9" w14:textId="77777777" w:rsidR="00326555" w:rsidRPr="00F20F99" w:rsidRDefault="00326555" w:rsidP="008E79D6">
            <w:pPr>
              <w:jc w:val="center"/>
              <w:rPr>
                <w:rFonts w:ascii="Times New Roman" w:hAnsi="Times New Roman" w:cs="Times New Roman"/>
                <w:sz w:val="24"/>
                <w:szCs w:val="24"/>
              </w:rPr>
            </w:pPr>
            <w:r w:rsidRPr="00F20F99">
              <w:rPr>
                <w:rFonts w:ascii="Times New Roman" w:hAnsi="Times New Roman" w:cs="Times New Roman"/>
                <w:sz w:val="24"/>
                <w:szCs w:val="24"/>
              </w:rPr>
              <w:t>N</w:t>
            </w:r>
          </w:p>
        </w:tc>
        <w:tc>
          <w:tcPr>
            <w:tcW w:w="935" w:type="dxa"/>
            <w:vAlign w:val="center"/>
          </w:tcPr>
          <w:p w14:paraId="21DC7DFB" w14:textId="77777777" w:rsidR="00326555" w:rsidRPr="00F20F99" w:rsidRDefault="00326555" w:rsidP="008E79D6">
            <w:pPr>
              <w:jc w:val="center"/>
              <w:rPr>
                <w:rFonts w:ascii="Times New Roman" w:hAnsi="Times New Roman" w:cs="Times New Roman"/>
                <w:sz w:val="24"/>
                <w:szCs w:val="24"/>
              </w:rPr>
            </w:pPr>
            <w:r w:rsidRPr="00F20F99">
              <w:rPr>
                <w:rFonts w:ascii="Times New Roman" w:hAnsi="Times New Roman" w:cs="Times New Roman"/>
                <w:sz w:val="24"/>
                <w:szCs w:val="24"/>
              </w:rPr>
              <w:t>Rango</w:t>
            </w:r>
          </w:p>
        </w:tc>
        <w:tc>
          <w:tcPr>
            <w:tcW w:w="936" w:type="dxa"/>
            <w:vAlign w:val="center"/>
          </w:tcPr>
          <w:p w14:paraId="22D9D649" w14:textId="77777777" w:rsidR="00326555" w:rsidRPr="00F20F99" w:rsidRDefault="00326555" w:rsidP="008E79D6">
            <w:pPr>
              <w:jc w:val="center"/>
              <w:rPr>
                <w:rFonts w:ascii="Times New Roman" w:hAnsi="Times New Roman" w:cs="Times New Roman"/>
                <w:sz w:val="24"/>
                <w:szCs w:val="24"/>
              </w:rPr>
            </w:pPr>
            <w:r w:rsidRPr="00F20F99">
              <w:rPr>
                <w:rFonts w:ascii="Times New Roman" w:hAnsi="Times New Roman" w:cs="Times New Roman"/>
                <w:sz w:val="24"/>
                <w:szCs w:val="24"/>
              </w:rPr>
              <w:t>Media</w:t>
            </w:r>
          </w:p>
        </w:tc>
        <w:tc>
          <w:tcPr>
            <w:tcW w:w="1503" w:type="dxa"/>
            <w:vAlign w:val="center"/>
          </w:tcPr>
          <w:p w14:paraId="19FE68AB" w14:textId="77777777" w:rsidR="00326555" w:rsidRPr="00F20F99" w:rsidRDefault="00326555" w:rsidP="008E79D6">
            <w:pPr>
              <w:jc w:val="center"/>
              <w:rPr>
                <w:rFonts w:ascii="Times New Roman" w:hAnsi="Times New Roman" w:cs="Times New Roman"/>
                <w:sz w:val="24"/>
                <w:szCs w:val="24"/>
              </w:rPr>
            </w:pPr>
            <w:r w:rsidRPr="00F20F99">
              <w:rPr>
                <w:rFonts w:ascii="Times New Roman" w:hAnsi="Times New Roman" w:cs="Times New Roman"/>
                <w:sz w:val="24"/>
                <w:szCs w:val="24"/>
              </w:rPr>
              <w:t>Desviación Estándar</w:t>
            </w:r>
          </w:p>
        </w:tc>
      </w:tr>
      <w:tr w:rsidR="00181CB4" w:rsidRPr="00F20F99" w14:paraId="5C91C092" w14:textId="77777777" w:rsidTr="00F20F99">
        <w:trPr>
          <w:jc w:val="center"/>
        </w:trPr>
        <w:tc>
          <w:tcPr>
            <w:tcW w:w="935" w:type="dxa"/>
          </w:tcPr>
          <w:p w14:paraId="7BA4915B" w14:textId="310BEB09" w:rsidR="00326555" w:rsidRPr="00F20F99" w:rsidRDefault="00326555" w:rsidP="00326555">
            <w:pPr>
              <w:jc w:val="center"/>
              <w:rPr>
                <w:rFonts w:ascii="Times New Roman" w:hAnsi="Times New Roman" w:cs="Times New Roman"/>
                <w:sz w:val="24"/>
                <w:szCs w:val="24"/>
              </w:rPr>
            </w:pPr>
            <w:r w:rsidRPr="00F20F99">
              <w:rPr>
                <w:rFonts w:ascii="Times New Roman" w:hAnsi="Times New Roman" w:cs="Times New Roman"/>
                <w:sz w:val="24"/>
                <w:szCs w:val="24"/>
              </w:rPr>
              <w:t>1</w:t>
            </w:r>
          </w:p>
        </w:tc>
        <w:tc>
          <w:tcPr>
            <w:tcW w:w="936" w:type="dxa"/>
          </w:tcPr>
          <w:p w14:paraId="73693FA0" w14:textId="2C9525A4" w:rsidR="00326555" w:rsidRPr="00F20F99" w:rsidRDefault="00326555" w:rsidP="00326555">
            <w:pPr>
              <w:jc w:val="center"/>
              <w:rPr>
                <w:rFonts w:ascii="Times New Roman" w:hAnsi="Times New Roman" w:cs="Times New Roman"/>
                <w:sz w:val="24"/>
                <w:szCs w:val="24"/>
              </w:rPr>
            </w:pPr>
            <w:r w:rsidRPr="00F20F99">
              <w:rPr>
                <w:rFonts w:ascii="Times New Roman" w:hAnsi="Times New Roman" w:cs="Times New Roman"/>
                <w:sz w:val="24"/>
                <w:szCs w:val="24"/>
              </w:rPr>
              <w:t>45</w:t>
            </w:r>
          </w:p>
        </w:tc>
        <w:tc>
          <w:tcPr>
            <w:tcW w:w="935" w:type="dxa"/>
          </w:tcPr>
          <w:p w14:paraId="27BAC8CC" w14:textId="3CE450D7" w:rsidR="00326555" w:rsidRPr="00F20F99" w:rsidRDefault="00326555" w:rsidP="00326555">
            <w:pPr>
              <w:jc w:val="center"/>
              <w:rPr>
                <w:rFonts w:ascii="Times New Roman" w:hAnsi="Times New Roman" w:cs="Times New Roman"/>
                <w:sz w:val="24"/>
                <w:szCs w:val="24"/>
              </w:rPr>
            </w:pPr>
            <w:r w:rsidRPr="00F20F99">
              <w:rPr>
                <w:rFonts w:ascii="Times New Roman" w:hAnsi="Times New Roman" w:cs="Times New Roman"/>
                <w:sz w:val="24"/>
                <w:szCs w:val="24"/>
              </w:rPr>
              <w:t>4</w:t>
            </w:r>
          </w:p>
        </w:tc>
        <w:tc>
          <w:tcPr>
            <w:tcW w:w="936" w:type="dxa"/>
          </w:tcPr>
          <w:p w14:paraId="43B614B3" w14:textId="36ABB224" w:rsidR="00326555" w:rsidRPr="00F20F99" w:rsidRDefault="00326555" w:rsidP="00326555">
            <w:pPr>
              <w:jc w:val="center"/>
              <w:rPr>
                <w:rFonts w:ascii="Times New Roman" w:hAnsi="Times New Roman" w:cs="Times New Roman"/>
                <w:sz w:val="24"/>
                <w:szCs w:val="24"/>
              </w:rPr>
            </w:pPr>
            <w:r w:rsidRPr="00F20F99">
              <w:rPr>
                <w:rFonts w:ascii="Times New Roman" w:hAnsi="Times New Roman" w:cs="Times New Roman"/>
                <w:sz w:val="24"/>
                <w:szCs w:val="24"/>
              </w:rPr>
              <w:t>4.40</w:t>
            </w:r>
          </w:p>
        </w:tc>
        <w:tc>
          <w:tcPr>
            <w:tcW w:w="1503" w:type="dxa"/>
          </w:tcPr>
          <w:p w14:paraId="3B44E1A8" w14:textId="246283DB" w:rsidR="00326555" w:rsidRPr="00F20F99" w:rsidRDefault="00326555" w:rsidP="00326555">
            <w:pPr>
              <w:jc w:val="center"/>
              <w:rPr>
                <w:rFonts w:ascii="Times New Roman" w:hAnsi="Times New Roman" w:cs="Times New Roman"/>
                <w:sz w:val="24"/>
                <w:szCs w:val="24"/>
              </w:rPr>
            </w:pPr>
            <w:r w:rsidRPr="00F20F99">
              <w:rPr>
                <w:rFonts w:ascii="Times New Roman" w:hAnsi="Times New Roman" w:cs="Times New Roman"/>
                <w:sz w:val="24"/>
                <w:szCs w:val="24"/>
              </w:rPr>
              <w:t>0.837</w:t>
            </w:r>
          </w:p>
        </w:tc>
      </w:tr>
      <w:tr w:rsidR="00181CB4" w:rsidRPr="00F20F99" w14:paraId="747E5239" w14:textId="77777777" w:rsidTr="00F20F99">
        <w:trPr>
          <w:jc w:val="center"/>
        </w:trPr>
        <w:tc>
          <w:tcPr>
            <w:tcW w:w="935" w:type="dxa"/>
          </w:tcPr>
          <w:p w14:paraId="5E95995F" w14:textId="459354DF" w:rsidR="00326555" w:rsidRPr="00F20F99" w:rsidRDefault="00326555" w:rsidP="00326555">
            <w:pPr>
              <w:jc w:val="center"/>
              <w:rPr>
                <w:rFonts w:ascii="Times New Roman" w:hAnsi="Times New Roman" w:cs="Times New Roman"/>
                <w:sz w:val="24"/>
                <w:szCs w:val="24"/>
              </w:rPr>
            </w:pPr>
            <w:r w:rsidRPr="00F20F99">
              <w:rPr>
                <w:rFonts w:ascii="Times New Roman" w:hAnsi="Times New Roman" w:cs="Times New Roman"/>
                <w:sz w:val="24"/>
                <w:szCs w:val="24"/>
              </w:rPr>
              <w:t>2</w:t>
            </w:r>
          </w:p>
        </w:tc>
        <w:tc>
          <w:tcPr>
            <w:tcW w:w="936" w:type="dxa"/>
          </w:tcPr>
          <w:p w14:paraId="2C29C6C7" w14:textId="6C5792C2" w:rsidR="00326555" w:rsidRPr="00F20F99" w:rsidRDefault="00326555" w:rsidP="00326555">
            <w:pPr>
              <w:jc w:val="center"/>
              <w:rPr>
                <w:rFonts w:ascii="Times New Roman" w:hAnsi="Times New Roman" w:cs="Times New Roman"/>
                <w:sz w:val="24"/>
                <w:szCs w:val="24"/>
              </w:rPr>
            </w:pPr>
            <w:r w:rsidRPr="00F20F99">
              <w:rPr>
                <w:rFonts w:ascii="Times New Roman" w:hAnsi="Times New Roman" w:cs="Times New Roman"/>
                <w:sz w:val="24"/>
                <w:szCs w:val="24"/>
              </w:rPr>
              <w:t>45</w:t>
            </w:r>
          </w:p>
        </w:tc>
        <w:tc>
          <w:tcPr>
            <w:tcW w:w="935" w:type="dxa"/>
          </w:tcPr>
          <w:p w14:paraId="59BB7E08" w14:textId="5D5C5452" w:rsidR="00326555" w:rsidRPr="00F20F99" w:rsidRDefault="00326555" w:rsidP="00326555">
            <w:pPr>
              <w:jc w:val="center"/>
              <w:rPr>
                <w:rFonts w:ascii="Times New Roman" w:hAnsi="Times New Roman" w:cs="Times New Roman"/>
                <w:sz w:val="24"/>
                <w:szCs w:val="24"/>
              </w:rPr>
            </w:pPr>
            <w:r w:rsidRPr="00F20F99">
              <w:rPr>
                <w:rFonts w:ascii="Times New Roman" w:hAnsi="Times New Roman" w:cs="Times New Roman"/>
                <w:sz w:val="24"/>
                <w:szCs w:val="24"/>
              </w:rPr>
              <w:t>2</w:t>
            </w:r>
          </w:p>
        </w:tc>
        <w:tc>
          <w:tcPr>
            <w:tcW w:w="936" w:type="dxa"/>
          </w:tcPr>
          <w:p w14:paraId="08DEEC86" w14:textId="51C6DF7D" w:rsidR="00326555" w:rsidRPr="00F20F99" w:rsidRDefault="00326555" w:rsidP="00326555">
            <w:pPr>
              <w:jc w:val="center"/>
              <w:rPr>
                <w:rFonts w:ascii="Times New Roman" w:hAnsi="Times New Roman" w:cs="Times New Roman"/>
                <w:sz w:val="24"/>
                <w:szCs w:val="24"/>
              </w:rPr>
            </w:pPr>
            <w:r w:rsidRPr="00F20F99">
              <w:rPr>
                <w:rFonts w:ascii="Times New Roman" w:hAnsi="Times New Roman" w:cs="Times New Roman"/>
                <w:sz w:val="24"/>
                <w:szCs w:val="24"/>
              </w:rPr>
              <w:t>4.80</w:t>
            </w:r>
          </w:p>
        </w:tc>
        <w:tc>
          <w:tcPr>
            <w:tcW w:w="1503" w:type="dxa"/>
          </w:tcPr>
          <w:p w14:paraId="6B248E91" w14:textId="0E02A619" w:rsidR="00326555" w:rsidRPr="00F20F99" w:rsidRDefault="00326555" w:rsidP="00326555">
            <w:pPr>
              <w:jc w:val="center"/>
              <w:rPr>
                <w:rFonts w:ascii="Times New Roman" w:hAnsi="Times New Roman" w:cs="Times New Roman"/>
                <w:sz w:val="24"/>
                <w:szCs w:val="24"/>
              </w:rPr>
            </w:pPr>
            <w:r w:rsidRPr="00F20F99">
              <w:rPr>
                <w:rFonts w:ascii="Times New Roman" w:hAnsi="Times New Roman" w:cs="Times New Roman"/>
                <w:sz w:val="24"/>
                <w:szCs w:val="24"/>
              </w:rPr>
              <w:t>0.457</w:t>
            </w:r>
          </w:p>
        </w:tc>
      </w:tr>
      <w:tr w:rsidR="00181CB4" w:rsidRPr="00F20F99" w14:paraId="75415B45" w14:textId="77777777" w:rsidTr="00F20F99">
        <w:trPr>
          <w:jc w:val="center"/>
        </w:trPr>
        <w:tc>
          <w:tcPr>
            <w:tcW w:w="935" w:type="dxa"/>
          </w:tcPr>
          <w:p w14:paraId="2D255729" w14:textId="314DACBE" w:rsidR="00326555" w:rsidRPr="00F20F99" w:rsidRDefault="00326555" w:rsidP="00326555">
            <w:pPr>
              <w:jc w:val="center"/>
              <w:rPr>
                <w:rFonts w:ascii="Times New Roman" w:hAnsi="Times New Roman" w:cs="Times New Roman"/>
                <w:sz w:val="24"/>
                <w:szCs w:val="24"/>
              </w:rPr>
            </w:pPr>
            <w:r w:rsidRPr="00F20F99">
              <w:rPr>
                <w:rFonts w:ascii="Times New Roman" w:hAnsi="Times New Roman" w:cs="Times New Roman"/>
                <w:sz w:val="24"/>
                <w:szCs w:val="24"/>
              </w:rPr>
              <w:t>3</w:t>
            </w:r>
          </w:p>
        </w:tc>
        <w:tc>
          <w:tcPr>
            <w:tcW w:w="936" w:type="dxa"/>
          </w:tcPr>
          <w:p w14:paraId="0C8D7C84" w14:textId="795573FE" w:rsidR="00326555" w:rsidRPr="00F20F99" w:rsidRDefault="00326555" w:rsidP="00326555">
            <w:pPr>
              <w:jc w:val="center"/>
              <w:rPr>
                <w:rFonts w:ascii="Times New Roman" w:hAnsi="Times New Roman" w:cs="Times New Roman"/>
                <w:sz w:val="24"/>
                <w:szCs w:val="24"/>
              </w:rPr>
            </w:pPr>
            <w:r w:rsidRPr="00F20F99">
              <w:rPr>
                <w:rFonts w:ascii="Times New Roman" w:hAnsi="Times New Roman" w:cs="Times New Roman"/>
                <w:sz w:val="24"/>
                <w:szCs w:val="24"/>
              </w:rPr>
              <w:t>45</w:t>
            </w:r>
          </w:p>
        </w:tc>
        <w:tc>
          <w:tcPr>
            <w:tcW w:w="935" w:type="dxa"/>
          </w:tcPr>
          <w:p w14:paraId="2AEE8568" w14:textId="395D65CF" w:rsidR="00326555" w:rsidRPr="00F20F99" w:rsidRDefault="00326555" w:rsidP="00326555">
            <w:pPr>
              <w:jc w:val="center"/>
              <w:rPr>
                <w:rFonts w:ascii="Times New Roman" w:hAnsi="Times New Roman" w:cs="Times New Roman"/>
                <w:sz w:val="24"/>
                <w:szCs w:val="24"/>
              </w:rPr>
            </w:pPr>
            <w:r w:rsidRPr="00F20F99">
              <w:rPr>
                <w:rFonts w:ascii="Times New Roman" w:hAnsi="Times New Roman" w:cs="Times New Roman"/>
                <w:sz w:val="24"/>
                <w:szCs w:val="24"/>
              </w:rPr>
              <w:t>2</w:t>
            </w:r>
          </w:p>
        </w:tc>
        <w:tc>
          <w:tcPr>
            <w:tcW w:w="936" w:type="dxa"/>
          </w:tcPr>
          <w:p w14:paraId="1B80BC21" w14:textId="531522CD" w:rsidR="00326555" w:rsidRPr="00F20F99" w:rsidRDefault="00326555" w:rsidP="00326555">
            <w:pPr>
              <w:jc w:val="center"/>
              <w:rPr>
                <w:rFonts w:ascii="Times New Roman" w:hAnsi="Times New Roman" w:cs="Times New Roman"/>
                <w:sz w:val="24"/>
                <w:szCs w:val="24"/>
              </w:rPr>
            </w:pPr>
            <w:r w:rsidRPr="00F20F99">
              <w:rPr>
                <w:rFonts w:ascii="Times New Roman" w:hAnsi="Times New Roman" w:cs="Times New Roman"/>
                <w:sz w:val="24"/>
                <w:szCs w:val="24"/>
              </w:rPr>
              <w:t>4.84</w:t>
            </w:r>
          </w:p>
        </w:tc>
        <w:tc>
          <w:tcPr>
            <w:tcW w:w="1503" w:type="dxa"/>
          </w:tcPr>
          <w:p w14:paraId="34BDED32" w14:textId="2433B748" w:rsidR="00326555" w:rsidRPr="00F20F99" w:rsidRDefault="00326555" w:rsidP="00326555">
            <w:pPr>
              <w:jc w:val="center"/>
              <w:rPr>
                <w:rFonts w:ascii="Times New Roman" w:hAnsi="Times New Roman" w:cs="Times New Roman"/>
                <w:sz w:val="24"/>
                <w:szCs w:val="24"/>
              </w:rPr>
            </w:pPr>
            <w:r w:rsidRPr="00F20F99">
              <w:rPr>
                <w:rFonts w:ascii="Times New Roman" w:hAnsi="Times New Roman" w:cs="Times New Roman"/>
                <w:sz w:val="24"/>
                <w:szCs w:val="24"/>
              </w:rPr>
              <w:t>0.424</w:t>
            </w:r>
          </w:p>
        </w:tc>
      </w:tr>
      <w:tr w:rsidR="00181CB4" w:rsidRPr="00F20F99" w14:paraId="5F0B348D" w14:textId="77777777" w:rsidTr="00F20F99">
        <w:trPr>
          <w:jc w:val="center"/>
        </w:trPr>
        <w:tc>
          <w:tcPr>
            <w:tcW w:w="935" w:type="dxa"/>
          </w:tcPr>
          <w:p w14:paraId="67576A8A" w14:textId="154CD55E" w:rsidR="00326555" w:rsidRPr="00F20F99" w:rsidRDefault="00326555" w:rsidP="00326555">
            <w:pPr>
              <w:jc w:val="center"/>
              <w:rPr>
                <w:rFonts w:ascii="Times New Roman" w:hAnsi="Times New Roman" w:cs="Times New Roman"/>
                <w:sz w:val="24"/>
                <w:szCs w:val="24"/>
              </w:rPr>
            </w:pPr>
            <w:r w:rsidRPr="00F20F99">
              <w:rPr>
                <w:rFonts w:ascii="Times New Roman" w:hAnsi="Times New Roman" w:cs="Times New Roman"/>
                <w:sz w:val="24"/>
                <w:szCs w:val="24"/>
              </w:rPr>
              <w:t>4</w:t>
            </w:r>
          </w:p>
        </w:tc>
        <w:tc>
          <w:tcPr>
            <w:tcW w:w="936" w:type="dxa"/>
          </w:tcPr>
          <w:p w14:paraId="1F9F0F5E" w14:textId="4DC27158" w:rsidR="00326555" w:rsidRPr="00F20F99" w:rsidRDefault="00326555" w:rsidP="00326555">
            <w:pPr>
              <w:jc w:val="center"/>
              <w:rPr>
                <w:rFonts w:ascii="Times New Roman" w:hAnsi="Times New Roman" w:cs="Times New Roman"/>
                <w:sz w:val="24"/>
                <w:szCs w:val="24"/>
              </w:rPr>
            </w:pPr>
            <w:r w:rsidRPr="00F20F99">
              <w:rPr>
                <w:rFonts w:ascii="Times New Roman" w:hAnsi="Times New Roman" w:cs="Times New Roman"/>
                <w:sz w:val="24"/>
                <w:szCs w:val="24"/>
              </w:rPr>
              <w:t>45</w:t>
            </w:r>
          </w:p>
        </w:tc>
        <w:tc>
          <w:tcPr>
            <w:tcW w:w="935" w:type="dxa"/>
          </w:tcPr>
          <w:p w14:paraId="341D5DD2" w14:textId="3D19FD56" w:rsidR="00326555" w:rsidRPr="00F20F99" w:rsidRDefault="00326555" w:rsidP="00326555">
            <w:pPr>
              <w:jc w:val="center"/>
              <w:rPr>
                <w:rFonts w:ascii="Times New Roman" w:hAnsi="Times New Roman" w:cs="Times New Roman"/>
                <w:sz w:val="24"/>
                <w:szCs w:val="24"/>
              </w:rPr>
            </w:pPr>
            <w:r w:rsidRPr="00F20F99">
              <w:rPr>
                <w:rFonts w:ascii="Times New Roman" w:hAnsi="Times New Roman" w:cs="Times New Roman"/>
                <w:sz w:val="24"/>
                <w:szCs w:val="24"/>
              </w:rPr>
              <w:t>1</w:t>
            </w:r>
          </w:p>
        </w:tc>
        <w:tc>
          <w:tcPr>
            <w:tcW w:w="936" w:type="dxa"/>
          </w:tcPr>
          <w:p w14:paraId="65A4FE81" w14:textId="2E6C6A8C" w:rsidR="00326555" w:rsidRPr="00F20F99" w:rsidRDefault="00326555" w:rsidP="00326555">
            <w:pPr>
              <w:jc w:val="center"/>
              <w:rPr>
                <w:rFonts w:ascii="Times New Roman" w:hAnsi="Times New Roman" w:cs="Times New Roman"/>
                <w:sz w:val="24"/>
                <w:szCs w:val="24"/>
              </w:rPr>
            </w:pPr>
            <w:r w:rsidRPr="00F20F99">
              <w:rPr>
                <w:rFonts w:ascii="Times New Roman" w:hAnsi="Times New Roman" w:cs="Times New Roman"/>
                <w:sz w:val="24"/>
                <w:szCs w:val="24"/>
              </w:rPr>
              <w:t>4.89</w:t>
            </w:r>
          </w:p>
        </w:tc>
        <w:tc>
          <w:tcPr>
            <w:tcW w:w="1503" w:type="dxa"/>
          </w:tcPr>
          <w:p w14:paraId="05C48411" w14:textId="0EDDA79E" w:rsidR="00326555" w:rsidRPr="00F20F99" w:rsidRDefault="00326555" w:rsidP="00326555">
            <w:pPr>
              <w:jc w:val="center"/>
              <w:rPr>
                <w:rFonts w:ascii="Times New Roman" w:hAnsi="Times New Roman" w:cs="Times New Roman"/>
                <w:sz w:val="24"/>
                <w:szCs w:val="24"/>
              </w:rPr>
            </w:pPr>
            <w:r w:rsidRPr="00F20F99">
              <w:rPr>
                <w:rFonts w:ascii="Times New Roman" w:hAnsi="Times New Roman" w:cs="Times New Roman"/>
                <w:sz w:val="24"/>
                <w:szCs w:val="24"/>
              </w:rPr>
              <w:t>0.318</w:t>
            </w:r>
          </w:p>
        </w:tc>
      </w:tr>
    </w:tbl>
    <w:p w14:paraId="7D2C6AC8" w14:textId="30C3C9B4" w:rsidR="00B3088C" w:rsidRPr="00D45D63" w:rsidRDefault="002A7B81" w:rsidP="002A7B81">
      <w:pPr>
        <w:spacing w:after="0" w:line="360" w:lineRule="auto"/>
        <w:jc w:val="center"/>
        <w:rPr>
          <w:rFonts w:ascii="Times New Roman" w:hAnsi="Times New Roman" w:cs="Times New Roman"/>
          <w:sz w:val="24"/>
          <w:szCs w:val="24"/>
        </w:rPr>
      </w:pPr>
      <w:r w:rsidRPr="00D45D63">
        <w:rPr>
          <w:rFonts w:ascii="Times New Roman" w:hAnsi="Times New Roman" w:cs="Times New Roman"/>
          <w:sz w:val="24"/>
          <w:szCs w:val="24"/>
        </w:rPr>
        <w:t>Fuente: Elaboración propia</w:t>
      </w:r>
    </w:p>
    <w:p w14:paraId="79261683" w14:textId="1F9CA868" w:rsidR="007C382D" w:rsidRPr="00D45D63" w:rsidRDefault="007C382D" w:rsidP="00F20F9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La Figura 3 ilustra visualmente las calificaciones medias de</w:t>
      </w:r>
      <w:r w:rsidR="00DB0E63">
        <w:rPr>
          <w:rFonts w:ascii="Times New Roman" w:hAnsi="Times New Roman" w:cs="Times New Roman"/>
          <w:sz w:val="24"/>
          <w:szCs w:val="24"/>
        </w:rPr>
        <w:t xml:space="preserve"> claridad</w:t>
      </w:r>
      <w:r w:rsidRPr="00D45D63">
        <w:rPr>
          <w:rFonts w:ascii="Times New Roman" w:hAnsi="Times New Roman" w:cs="Times New Roman"/>
          <w:sz w:val="24"/>
          <w:szCs w:val="24"/>
        </w:rPr>
        <w:t xml:space="preserve"> por cada juez. Aunque las medias</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están cercanas a 5, la variabilidad sugiere que los jueces interpretaron los ítems de manera ligeramente</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diferente, lo cual es vital para evaluar la consistencia interna y la confiabilidad del instrumento en estudios</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futuros.</w:t>
      </w:r>
    </w:p>
    <w:p w14:paraId="1DD0646B" w14:textId="5EA911EB" w:rsidR="003148CD" w:rsidRPr="00D45D63" w:rsidRDefault="003148CD" w:rsidP="00B3088C">
      <w:pPr>
        <w:spacing w:after="0" w:line="360" w:lineRule="auto"/>
        <w:jc w:val="both"/>
        <w:rPr>
          <w:rFonts w:ascii="Times New Roman" w:hAnsi="Times New Roman" w:cs="Times New Roman"/>
          <w:sz w:val="24"/>
          <w:szCs w:val="24"/>
        </w:rPr>
      </w:pPr>
    </w:p>
    <w:p w14:paraId="7DD562FD" w14:textId="789B62E1" w:rsidR="00494B0F" w:rsidRPr="00D45D63" w:rsidRDefault="003148CD" w:rsidP="003148CD">
      <w:pPr>
        <w:spacing w:after="0" w:line="360" w:lineRule="auto"/>
        <w:jc w:val="center"/>
        <w:rPr>
          <w:rFonts w:ascii="Times New Roman" w:hAnsi="Times New Roman" w:cs="Times New Roman"/>
          <w:sz w:val="24"/>
          <w:szCs w:val="24"/>
        </w:rPr>
      </w:pPr>
      <w:r w:rsidRPr="00A10939">
        <w:rPr>
          <w:rFonts w:ascii="Times New Roman" w:hAnsi="Times New Roman" w:cs="Times New Roman"/>
          <w:b/>
          <w:bCs/>
          <w:sz w:val="24"/>
          <w:szCs w:val="24"/>
        </w:rPr>
        <w:t>Figura 3</w:t>
      </w:r>
      <w:r w:rsidR="00FE4589">
        <w:rPr>
          <w:rFonts w:ascii="Times New Roman" w:hAnsi="Times New Roman" w:cs="Times New Roman"/>
          <w:b/>
          <w:bCs/>
          <w:sz w:val="24"/>
          <w:szCs w:val="24"/>
        </w:rPr>
        <w:t>.</w:t>
      </w:r>
      <w:r w:rsidRPr="00D45D63">
        <w:rPr>
          <w:rFonts w:ascii="Times New Roman" w:hAnsi="Times New Roman" w:cs="Times New Roman"/>
          <w:sz w:val="24"/>
          <w:szCs w:val="24"/>
        </w:rPr>
        <w:t xml:space="preserve"> Estadísticas descriptivas de calificaciones de claridad por jueces</w:t>
      </w:r>
      <w:r w:rsidR="00494B0F" w:rsidRPr="00D45D63">
        <w:rPr>
          <w:rFonts w:ascii="Times New Roman" w:hAnsi="Times New Roman" w:cs="Times New Roman"/>
          <w:noProof/>
          <w:sz w:val="24"/>
          <w:szCs w:val="24"/>
        </w:rPr>
        <w:drawing>
          <wp:inline distT="0" distB="0" distL="0" distR="0" wp14:anchorId="6E13AA2E" wp14:editId="51842882">
            <wp:extent cx="4213860" cy="1653540"/>
            <wp:effectExtent l="0" t="0" r="0" b="3810"/>
            <wp:docPr id="6" name="Imagen 6"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Gráfico, Gráfico de barras&#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14334" cy="1653726"/>
                    </a:xfrm>
                    <a:prstGeom prst="rect">
                      <a:avLst/>
                    </a:prstGeom>
                  </pic:spPr>
                </pic:pic>
              </a:graphicData>
            </a:graphic>
          </wp:inline>
        </w:drawing>
      </w:r>
    </w:p>
    <w:p w14:paraId="4ABCD311" w14:textId="6C95EB0A" w:rsidR="00326555" w:rsidRPr="00D45D63" w:rsidRDefault="003148CD" w:rsidP="00326555">
      <w:pPr>
        <w:spacing w:after="0" w:line="360" w:lineRule="auto"/>
        <w:jc w:val="center"/>
        <w:rPr>
          <w:rFonts w:ascii="Times New Roman" w:hAnsi="Times New Roman" w:cs="Times New Roman"/>
          <w:sz w:val="24"/>
          <w:szCs w:val="24"/>
        </w:rPr>
      </w:pPr>
      <w:r w:rsidRPr="00D45D63">
        <w:rPr>
          <w:rFonts w:ascii="Times New Roman" w:hAnsi="Times New Roman" w:cs="Times New Roman"/>
          <w:sz w:val="24"/>
          <w:szCs w:val="24"/>
        </w:rPr>
        <w:t>Fuente: Elaboración propia</w:t>
      </w:r>
    </w:p>
    <w:p w14:paraId="393E1DEA" w14:textId="586350FB" w:rsidR="007C382D" w:rsidRPr="00D45D63" w:rsidRDefault="007C382D" w:rsidP="00A1093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En conclusión, aunque las medias de claridad están altas, la variabilidad entre las calificaciones sugiere</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que hay espacio para mejorar la redacción de los ítems para asegurar una interpretación uniforme entre los</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jueces. </w:t>
      </w:r>
      <w:r w:rsidR="00DB0E63" w:rsidRPr="00DB0E63">
        <w:rPr>
          <w:rFonts w:ascii="Times New Roman" w:hAnsi="Times New Roman" w:cs="Times New Roman"/>
          <w:sz w:val="24"/>
          <w:szCs w:val="24"/>
        </w:rPr>
        <w:t>Esto es crucial para la validez y fiabilidad de los resultados del instrumento de medición</w:t>
      </w:r>
      <w:r w:rsidRPr="00D45D63">
        <w:rPr>
          <w:rFonts w:ascii="Times New Roman" w:hAnsi="Times New Roman" w:cs="Times New Roman"/>
          <w:sz w:val="24"/>
          <w:szCs w:val="24"/>
        </w:rPr>
        <w:t>.</w:t>
      </w:r>
    </w:p>
    <w:p w14:paraId="4A59DF2E" w14:textId="77777777" w:rsidR="0047355F" w:rsidRDefault="0047355F" w:rsidP="00A10939">
      <w:pPr>
        <w:spacing w:after="0" w:line="360" w:lineRule="auto"/>
        <w:jc w:val="both"/>
        <w:rPr>
          <w:rFonts w:ascii="Times New Roman" w:hAnsi="Times New Roman" w:cs="Times New Roman"/>
          <w:sz w:val="24"/>
          <w:szCs w:val="24"/>
        </w:rPr>
      </w:pPr>
    </w:p>
    <w:p w14:paraId="718ADDD9" w14:textId="77777777" w:rsidR="00FE4589" w:rsidRDefault="00FE4589" w:rsidP="00A10939">
      <w:pPr>
        <w:spacing w:after="0" w:line="360" w:lineRule="auto"/>
        <w:jc w:val="both"/>
        <w:rPr>
          <w:rFonts w:ascii="Times New Roman" w:hAnsi="Times New Roman" w:cs="Times New Roman"/>
          <w:sz w:val="24"/>
          <w:szCs w:val="24"/>
        </w:rPr>
      </w:pPr>
    </w:p>
    <w:p w14:paraId="476CA4B6" w14:textId="77777777" w:rsidR="00FE4589" w:rsidRPr="00D45D63" w:rsidRDefault="00FE4589" w:rsidP="00A10939">
      <w:pPr>
        <w:spacing w:after="0" w:line="360" w:lineRule="auto"/>
        <w:jc w:val="both"/>
        <w:rPr>
          <w:rFonts w:ascii="Times New Roman" w:hAnsi="Times New Roman" w:cs="Times New Roman"/>
          <w:sz w:val="24"/>
          <w:szCs w:val="24"/>
        </w:rPr>
      </w:pPr>
    </w:p>
    <w:p w14:paraId="37A08A23" w14:textId="24E0365C" w:rsidR="00B3088C" w:rsidRPr="00D45D63" w:rsidRDefault="00B3088C" w:rsidP="00A10939">
      <w:pPr>
        <w:spacing w:after="0" w:line="360" w:lineRule="auto"/>
        <w:jc w:val="center"/>
        <w:rPr>
          <w:rFonts w:ascii="Times New Roman" w:hAnsi="Times New Roman" w:cs="Times New Roman"/>
          <w:b/>
          <w:bCs/>
          <w:sz w:val="24"/>
          <w:szCs w:val="24"/>
        </w:rPr>
      </w:pPr>
      <w:r w:rsidRPr="00D45D63">
        <w:rPr>
          <w:rFonts w:ascii="Times New Roman" w:hAnsi="Times New Roman" w:cs="Times New Roman"/>
          <w:b/>
          <w:bCs/>
          <w:sz w:val="24"/>
          <w:szCs w:val="24"/>
        </w:rPr>
        <w:lastRenderedPageBreak/>
        <w:t>Estadísticos</w:t>
      </w:r>
      <w:r w:rsidR="007C382D" w:rsidRPr="00D45D63">
        <w:rPr>
          <w:rFonts w:ascii="Times New Roman" w:hAnsi="Times New Roman" w:cs="Times New Roman"/>
          <w:b/>
          <w:bCs/>
          <w:sz w:val="24"/>
          <w:szCs w:val="24"/>
        </w:rPr>
        <w:t xml:space="preserve"> para Neutralidad</w:t>
      </w:r>
    </w:p>
    <w:p w14:paraId="254D69E7" w14:textId="7F2E1F99" w:rsidR="007C382D" w:rsidRPr="00D45D63" w:rsidRDefault="007C382D" w:rsidP="00A1093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 xml:space="preserve">Los resultados presentados en </w:t>
      </w:r>
      <w:r w:rsidR="00B3088C" w:rsidRPr="00D45D63">
        <w:rPr>
          <w:rFonts w:ascii="Times New Roman" w:hAnsi="Times New Roman" w:cs="Times New Roman"/>
          <w:sz w:val="24"/>
          <w:szCs w:val="24"/>
        </w:rPr>
        <w:t>la</w:t>
      </w:r>
      <w:r w:rsidRPr="00D45D63">
        <w:rPr>
          <w:rFonts w:ascii="Times New Roman" w:hAnsi="Times New Roman" w:cs="Times New Roman"/>
          <w:sz w:val="24"/>
          <w:szCs w:val="24"/>
        </w:rPr>
        <w:t xml:space="preserve"> tabla 12 muestran las estadísticas descriptivas para las calificaciones de</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neutralidad otorgadas por los jueces. </w:t>
      </w:r>
      <w:r w:rsidR="00DB0E63" w:rsidRPr="00DB0E63">
        <w:rPr>
          <w:rFonts w:ascii="Times New Roman" w:hAnsi="Times New Roman" w:cs="Times New Roman"/>
          <w:sz w:val="24"/>
          <w:szCs w:val="24"/>
        </w:rPr>
        <w:t>Cada juez evaluó los ítems mediante una escala de 5 puntos, en la que 5 representa la máxima neutralidad</w:t>
      </w:r>
      <w:r w:rsidRPr="00D45D63">
        <w:rPr>
          <w:rFonts w:ascii="Times New Roman" w:hAnsi="Times New Roman" w:cs="Times New Roman"/>
          <w:sz w:val="24"/>
          <w:szCs w:val="24"/>
        </w:rPr>
        <w:t>. El Juez 1 asignó la puntuación máxima a todos los ítems, lo que resultó en una</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desviación estándar de 0.000, indicando una completa falta de variabilidad. Los jueces 2, 3 y 4 mostraron</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ligeras variaciones en sus calificaciones, con medias cercanas a 5 y desviaciones estándar de 0.208 y 0.288,</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respectivamente.</w:t>
      </w:r>
    </w:p>
    <w:p w14:paraId="2CFC3689" w14:textId="5CE11D22" w:rsidR="00B3088C" w:rsidRDefault="00B3088C" w:rsidP="00AF2CEF">
      <w:pPr>
        <w:spacing w:after="0" w:line="360" w:lineRule="auto"/>
        <w:jc w:val="both"/>
        <w:rPr>
          <w:rFonts w:ascii="Times New Roman" w:hAnsi="Times New Roman" w:cs="Times New Roman"/>
          <w:sz w:val="24"/>
          <w:szCs w:val="24"/>
        </w:rPr>
      </w:pPr>
    </w:p>
    <w:p w14:paraId="25E48E86" w14:textId="11B71B94" w:rsidR="007C382D" w:rsidRPr="00D45D63" w:rsidRDefault="007C382D" w:rsidP="00A10939">
      <w:pPr>
        <w:spacing w:after="0" w:line="360" w:lineRule="auto"/>
        <w:jc w:val="center"/>
        <w:rPr>
          <w:rFonts w:ascii="Times New Roman" w:hAnsi="Times New Roman" w:cs="Times New Roman"/>
          <w:sz w:val="24"/>
          <w:szCs w:val="24"/>
        </w:rPr>
      </w:pPr>
      <w:r w:rsidRPr="00A10939">
        <w:rPr>
          <w:rFonts w:ascii="Times New Roman" w:hAnsi="Times New Roman" w:cs="Times New Roman"/>
          <w:b/>
          <w:bCs/>
          <w:sz w:val="24"/>
          <w:szCs w:val="24"/>
        </w:rPr>
        <w:t>Tabla 12</w:t>
      </w:r>
      <w:r w:rsidR="00FE4589">
        <w:rPr>
          <w:rFonts w:ascii="Times New Roman" w:hAnsi="Times New Roman" w:cs="Times New Roman"/>
          <w:b/>
          <w:bCs/>
          <w:sz w:val="24"/>
          <w:szCs w:val="24"/>
        </w:rPr>
        <w:t>.</w:t>
      </w:r>
      <w:r w:rsidRPr="00D45D63">
        <w:rPr>
          <w:rFonts w:ascii="Times New Roman" w:hAnsi="Times New Roman" w:cs="Times New Roman"/>
          <w:sz w:val="24"/>
          <w:szCs w:val="24"/>
        </w:rPr>
        <w:t xml:space="preserve"> Estadísticas descriptivas para las calificaciones de neutralidad por jueces</w:t>
      </w:r>
    </w:p>
    <w:tbl>
      <w:tblPr>
        <w:tblStyle w:val="Tablaconcuadrcula"/>
        <w:tblW w:w="5245" w:type="dxa"/>
        <w:jc w:val="center"/>
        <w:tblLayout w:type="fixed"/>
        <w:tblCellMar>
          <w:left w:w="57" w:type="dxa"/>
          <w:right w:w="57" w:type="dxa"/>
        </w:tblCellMar>
        <w:tblLook w:val="04A0" w:firstRow="1" w:lastRow="0" w:firstColumn="1" w:lastColumn="0" w:noHBand="0" w:noVBand="1"/>
      </w:tblPr>
      <w:tblGrid>
        <w:gridCol w:w="935"/>
        <w:gridCol w:w="936"/>
        <w:gridCol w:w="935"/>
        <w:gridCol w:w="936"/>
        <w:gridCol w:w="1503"/>
      </w:tblGrid>
      <w:tr w:rsidR="00181CB4" w:rsidRPr="00A10939" w14:paraId="12037A49" w14:textId="77777777" w:rsidTr="00A10939">
        <w:trPr>
          <w:jc w:val="center"/>
        </w:trPr>
        <w:tc>
          <w:tcPr>
            <w:tcW w:w="935" w:type="dxa"/>
            <w:vAlign w:val="center"/>
          </w:tcPr>
          <w:p w14:paraId="6EE06640" w14:textId="77777777" w:rsidR="00326555" w:rsidRPr="00A10939" w:rsidRDefault="00326555" w:rsidP="008E79D6">
            <w:pPr>
              <w:jc w:val="center"/>
              <w:rPr>
                <w:rFonts w:ascii="Times New Roman" w:hAnsi="Times New Roman" w:cs="Times New Roman"/>
                <w:sz w:val="24"/>
                <w:szCs w:val="24"/>
              </w:rPr>
            </w:pPr>
            <w:r w:rsidRPr="00A10939">
              <w:rPr>
                <w:rFonts w:ascii="Times New Roman" w:hAnsi="Times New Roman" w:cs="Times New Roman"/>
                <w:sz w:val="24"/>
                <w:szCs w:val="24"/>
              </w:rPr>
              <w:t>Juez</w:t>
            </w:r>
          </w:p>
        </w:tc>
        <w:tc>
          <w:tcPr>
            <w:tcW w:w="936" w:type="dxa"/>
            <w:vAlign w:val="center"/>
          </w:tcPr>
          <w:p w14:paraId="31BF96C4" w14:textId="77777777" w:rsidR="00326555" w:rsidRPr="00A10939" w:rsidRDefault="00326555" w:rsidP="008E79D6">
            <w:pPr>
              <w:jc w:val="center"/>
              <w:rPr>
                <w:rFonts w:ascii="Times New Roman" w:hAnsi="Times New Roman" w:cs="Times New Roman"/>
                <w:sz w:val="24"/>
                <w:szCs w:val="24"/>
              </w:rPr>
            </w:pPr>
            <w:r w:rsidRPr="00A10939">
              <w:rPr>
                <w:rFonts w:ascii="Times New Roman" w:hAnsi="Times New Roman" w:cs="Times New Roman"/>
                <w:sz w:val="24"/>
                <w:szCs w:val="24"/>
              </w:rPr>
              <w:t>N</w:t>
            </w:r>
          </w:p>
        </w:tc>
        <w:tc>
          <w:tcPr>
            <w:tcW w:w="935" w:type="dxa"/>
            <w:vAlign w:val="center"/>
          </w:tcPr>
          <w:p w14:paraId="1E07BE3D" w14:textId="77777777" w:rsidR="00326555" w:rsidRPr="00A10939" w:rsidRDefault="00326555" w:rsidP="008E79D6">
            <w:pPr>
              <w:jc w:val="center"/>
              <w:rPr>
                <w:rFonts w:ascii="Times New Roman" w:hAnsi="Times New Roman" w:cs="Times New Roman"/>
                <w:sz w:val="24"/>
                <w:szCs w:val="24"/>
              </w:rPr>
            </w:pPr>
            <w:r w:rsidRPr="00A10939">
              <w:rPr>
                <w:rFonts w:ascii="Times New Roman" w:hAnsi="Times New Roman" w:cs="Times New Roman"/>
                <w:sz w:val="24"/>
                <w:szCs w:val="24"/>
              </w:rPr>
              <w:t>Rango</w:t>
            </w:r>
          </w:p>
        </w:tc>
        <w:tc>
          <w:tcPr>
            <w:tcW w:w="936" w:type="dxa"/>
            <w:vAlign w:val="center"/>
          </w:tcPr>
          <w:p w14:paraId="2A19E641" w14:textId="77777777" w:rsidR="00326555" w:rsidRPr="00A10939" w:rsidRDefault="00326555" w:rsidP="008E79D6">
            <w:pPr>
              <w:jc w:val="center"/>
              <w:rPr>
                <w:rFonts w:ascii="Times New Roman" w:hAnsi="Times New Roman" w:cs="Times New Roman"/>
                <w:sz w:val="24"/>
                <w:szCs w:val="24"/>
              </w:rPr>
            </w:pPr>
            <w:r w:rsidRPr="00A10939">
              <w:rPr>
                <w:rFonts w:ascii="Times New Roman" w:hAnsi="Times New Roman" w:cs="Times New Roman"/>
                <w:sz w:val="24"/>
                <w:szCs w:val="24"/>
              </w:rPr>
              <w:t>Media</w:t>
            </w:r>
          </w:p>
        </w:tc>
        <w:tc>
          <w:tcPr>
            <w:tcW w:w="1503" w:type="dxa"/>
            <w:vAlign w:val="center"/>
          </w:tcPr>
          <w:p w14:paraId="3EA31904" w14:textId="77777777" w:rsidR="00326555" w:rsidRPr="00A10939" w:rsidRDefault="00326555" w:rsidP="008E79D6">
            <w:pPr>
              <w:jc w:val="center"/>
              <w:rPr>
                <w:rFonts w:ascii="Times New Roman" w:hAnsi="Times New Roman" w:cs="Times New Roman"/>
                <w:sz w:val="24"/>
                <w:szCs w:val="24"/>
              </w:rPr>
            </w:pPr>
            <w:r w:rsidRPr="00A10939">
              <w:rPr>
                <w:rFonts w:ascii="Times New Roman" w:hAnsi="Times New Roman" w:cs="Times New Roman"/>
                <w:sz w:val="24"/>
                <w:szCs w:val="24"/>
              </w:rPr>
              <w:t>Desviación Estándar</w:t>
            </w:r>
          </w:p>
        </w:tc>
      </w:tr>
      <w:tr w:rsidR="00181CB4" w:rsidRPr="00A10939" w14:paraId="77B6EAAF" w14:textId="77777777" w:rsidTr="00A10939">
        <w:trPr>
          <w:jc w:val="center"/>
        </w:trPr>
        <w:tc>
          <w:tcPr>
            <w:tcW w:w="935" w:type="dxa"/>
          </w:tcPr>
          <w:p w14:paraId="2A76EF1A" w14:textId="4AB7D9F7" w:rsidR="00326555" w:rsidRPr="00A10939" w:rsidRDefault="00326555" w:rsidP="00326555">
            <w:pPr>
              <w:jc w:val="center"/>
              <w:rPr>
                <w:rFonts w:ascii="Times New Roman" w:hAnsi="Times New Roman" w:cs="Times New Roman"/>
                <w:sz w:val="24"/>
                <w:szCs w:val="24"/>
              </w:rPr>
            </w:pPr>
            <w:r w:rsidRPr="00A10939">
              <w:rPr>
                <w:rFonts w:ascii="Times New Roman" w:hAnsi="Times New Roman" w:cs="Times New Roman"/>
                <w:sz w:val="24"/>
                <w:szCs w:val="24"/>
              </w:rPr>
              <w:t>1</w:t>
            </w:r>
          </w:p>
        </w:tc>
        <w:tc>
          <w:tcPr>
            <w:tcW w:w="936" w:type="dxa"/>
          </w:tcPr>
          <w:p w14:paraId="2FBF9535" w14:textId="32C9D81D" w:rsidR="00326555" w:rsidRPr="00A10939" w:rsidRDefault="00326555" w:rsidP="00326555">
            <w:pPr>
              <w:jc w:val="center"/>
              <w:rPr>
                <w:rFonts w:ascii="Times New Roman" w:hAnsi="Times New Roman" w:cs="Times New Roman"/>
                <w:sz w:val="24"/>
                <w:szCs w:val="24"/>
              </w:rPr>
            </w:pPr>
            <w:r w:rsidRPr="00A10939">
              <w:rPr>
                <w:rFonts w:ascii="Times New Roman" w:hAnsi="Times New Roman" w:cs="Times New Roman"/>
                <w:sz w:val="24"/>
                <w:szCs w:val="24"/>
              </w:rPr>
              <w:t>45</w:t>
            </w:r>
          </w:p>
        </w:tc>
        <w:tc>
          <w:tcPr>
            <w:tcW w:w="935" w:type="dxa"/>
          </w:tcPr>
          <w:p w14:paraId="63CBE725" w14:textId="085A71D7" w:rsidR="00326555" w:rsidRPr="00A10939" w:rsidRDefault="00326555" w:rsidP="00326555">
            <w:pPr>
              <w:jc w:val="center"/>
              <w:rPr>
                <w:rFonts w:ascii="Times New Roman" w:hAnsi="Times New Roman" w:cs="Times New Roman"/>
                <w:sz w:val="24"/>
                <w:szCs w:val="24"/>
              </w:rPr>
            </w:pPr>
            <w:r w:rsidRPr="00A10939">
              <w:rPr>
                <w:rFonts w:ascii="Times New Roman" w:hAnsi="Times New Roman" w:cs="Times New Roman"/>
                <w:sz w:val="24"/>
                <w:szCs w:val="24"/>
              </w:rPr>
              <w:t>0</w:t>
            </w:r>
          </w:p>
        </w:tc>
        <w:tc>
          <w:tcPr>
            <w:tcW w:w="936" w:type="dxa"/>
          </w:tcPr>
          <w:p w14:paraId="206F6EEE" w14:textId="46C974B1" w:rsidR="00326555" w:rsidRPr="00A10939" w:rsidRDefault="00326555" w:rsidP="00326555">
            <w:pPr>
              <w:jc w:val="center"/>
              <w:rPr>
                <w:rFonts w:ascii="Times New Roman" w:hAnsi="Times New Roman" w:cs="Times New Roman"/>
                <w:sz w:val="24"/>
                <w:szCs w:val="24"/>
              </w:rPr>
            </w:pPr>
            <w:r w:rsidRPr="00A10939">
              <w:rPr>
                <w:rFonts w:ascii="Times New Roman" w:hAnsi="Times New Roman" w:cs="Times New Roman"/>
                <w:sz w:val="24"/>
                <w:szCs w:val="24"/>
              </w:rPr>
              <w:t>5.00</w:t>
            </w:r>
          </w:p>
        </w:tc>
        <w:tc>
          <w:tcPr>
            <w:tcW w:w="1503" w:type="dxa"/>
          </w:tcPr>
          <w:p w14:paraId="6DFF56EE" w14:textId="2B730A9F" w:rsidR="00326555" w:rsidRPr="00A10939" w:rsidRDefault="00326555" w:rsidP="00326555">
            <w:pPr>
              <w:jc w:val="center"/>
              <w:rPr>
                <w:rFonts w:ascii="Times New Roman" w:hAnsi="Times New Roman" w:cs="Times New Roman"/>
                <w:sz w:val="24"/>
                <w:szCs w:val="24"/>
              </w:rPr>
            </w:pPr>
            <w:r w:rsidRPr="00A10939">
              <w:rPr>
                <w:rFonts w:ascii="Times New Roman" w:hAnsi="Times New Roman" w:cs="Times New Roman"/>
                <w:sz w:val="24"/>
                <w:szCs w:val="24"/>
              </w:rPr>
              <w:t>0.000</w:t>
            </w:r>
          </w:p>
        </w:tc>
      </w:tr>
      <w:tr w:rsidR="00181CB4" w:rsidRPr="00A10939" w14:paraId="64A98233" w14:textId="77777777" w:rsidTr="00A10939">
        <w:trPr>
          <w:jc w:val="center"/>
        </w:trPr>
        <w:tc>
          <w:tcPr>
            <w:tcW w:w="935" w:type="dxa"/>
          </w:tcPr>
          <w:p w14:paraId="3F563017" w14:textId="6A2A4081" w:rsidR="00326555" w:rsidRPr="00A10939" w:rsidRDefault="00326555" w:rsidP="00326555">
            <w:pPr>
              <w:jc w:val="center"/>
              <w:rPr>
                <w:rFonts w:ascii="Times New Roman" w:hAnsi="Times New Roman" w:cs="Times New Roman"/>
                <w:sz w:val="24"/>
                <w:szCs w:val="24"/>
              </w:rPr>
            </w:pPr>
            <w:r w:rsidRPr="00A10939">
              <w:rPr>
                <w:rFonts w:ascii="Times New Roman" w:hAnsi="Times New Roman" w:cs="Times New Roman"/>
                <w:sz w:val="24"/>
                <w:szCs w:val="24"/>
              </w:rPr>
              <w:t>2</w:t>
            </w:r>
          </w:p>
        </w:tc>
        <w:tc>
          <w:tcPr>
            <w:tcW w:w="936" w:type="dxa"/>
          </w:tcPr>
          <w:p w14:paraId="687FA736" w14:textId="0C37DD1D" w:rsidR="00326555" w:rsidRPr="00A10939" w:rsidRDefault="00326555" w:rsidP="00326555">
            <w:pPr>
              <w:jc w:val="center"/>
              <w:rPr>
                <w:rFonts w:ascii="Times New Roman" w:hAnsi="Times New Roman" w:cs="Times New Roman"/>
                <w:sz w:val="24"/>
                <w:szCs w:val="24"/>
              </w:rPr>
            </w:pPr>
            <w:r w:rsidRPr="00A10939">
              <w:rPr>
                <w:rFonts w:ascii="Times New Roman" w:hAnsi="Times New Roman" w:cs="Times New Roman"/>
                <w:sz w:val="24"/>
                <w:szCs w:val="24"/>
              </w:rPr>
              <w:t>45</w:t>
            </w:r>
          </w:p>
        </w:tc>
        <w:tc>
          <w:tcPr>
            <w:tcW w:w="935" w:type="dxa"/>
          </w:tcPr>
          <w:p w14:paraId="043EC00D" w14:textId="31C41D7C" w:rsidR="00326555" w:rsidRPr="00A10939" w:rsidRDefault="00326555" w:rsidP="00326555">
            <w:pPr>
              <w:jc w:val="center"/>
              <w:rPr>
                <w:rFonts w:ascii="Times New Roman" w:hAnsi="Times New Roman" w:cs="Times New Roman"/>
                <w:sz w:val="24"/>
                <w:szCs w:val="24"/>
              </w:rPr>
            </w:pPr>
            <w:r w:rsidRPr="00A10939">
              <w:rPr>
                <w:rFonts w:ascii="Times New Roman" w:hAnsi="Times New Roman" w:cs="Times New Roman"/>
                <w:sz w:val="24"/>
                <w:szCs w:val="24"/>
              </w:rPr>
              <w:t>1</w:t>
            </w:r>
          </w:p>
        </w:tc>
        <w:tc>
          <w:tcPr>
            <w:tcW w:w="936" w:type="dxa"/>
          </w:tcPr>
          <w:p w14:paraId="765A68BE" w14:textId="1FF849A3" w:rsidR="00326555" w:rsidRPr="00A10939" w:rsidRDefault="00326555" w:rsidP="00326555">
            <w:pPr>
              <w:jc w:val="center"/>
              <w:rPr>
                <w:rFonts w:ascii="Times New Roman" w:hAnsi="Times New Roman" w:cs="Times New Roman"/>
                <w:sz w:val="24"/>
                <w:szCs w:val="24"/>
              </w:rPr>
            </w:pPr>
            <w:r w:rsidRPr="00A10939">
              <w:rPr>
                <w:rFonts w:ascii="Times New Roman" w:hAnsi="Times New Roman" w:cs="Times New Roman"/>
                <w:sz w:val="24"/>
                <w:szCs w:val="24"/>
              </w:rPr>
              <w:t>4.96</w:t>
            </w:r>
          </w:p>
        </w:tc>
        <w:tc>
          <w:tcPr>
            <w:tcW w:w="1503" w:type="dxa"/>
          </w:tcPr>
          <w:p w14:paraId="05713FCE" w14:textId="5D9596CB" w:rsidR="00326555" w:rsidRPr="00A10939" w:rsidRDefault="00326555" w:rsidP="00326555">
            <w:pPr>
              <w:jc w:val="center"/>
              <w:rPr>
                <w:rFonts w:ascii="Times New Roman" w:hAnsi="Times New Roman" w:cs="Times New Roman"/>
                <w:sz w:val="24"/>
                <w:szCs w:val="24"/>
              </w:rPr>
            </w:pPr>
            <w:r w:rsidRPr="00A10939">
              <w:rPr>
                <w:rFonts w:ascii="Times New Roman" w:hAnsi="Times New Roman" w:cs="Times New Roman"/>
                <w:sz w:val="24"/>
                <w:szCs w:val="24"/>
              </w:rPr>
              <w:t>0.208</w:t>
            </w:r>
          </w:p>
        </w:tc>
      </w:tr>
      <w:tr w:rsidR="00181CB4" w:rsidRPr="00A10939" w14:paraId="143197A1" w14:textId="77777777" w:rsidTr="00A10939">
        <w:trPr>
          <w:jc w:val="center"/>
        </w:trPr>
        <w:tc>
          <w:tcPr>
            <w:tcW w:w="935" w:type="dxa"/>
          </w:tcPr>
          <w:p w14:paraId="55F4B97D" w14:textId="3C104EBB" w:rsidR="00326555" w:rsidRPr="00A10939" w:rsidRDefault="00326555" w:rsidP="00326555">
            <w:pPr>
              <w:jc w:val="center"/>
              <w:rPr>
                <w:rFonts w:ascii="Times New Roman" w:hAnsi="Times New Roman" w:cs="Times New Roman"/>
                <w:sz w:val="24"/>
                <w:szCs w:val="24"/>
              </w:rPr>
            </w:pPr>
            <w:r w:rsidRPr="00A10939">
              <w:rPr>
                <w:rFonts w:ascii="Times New Roman" w:hAnsi="Times New Roman" w:cs="Times New Roman"/>
                <w:sz w:val="24"/>
                <w:szCs w:val="24"/>
              </w:rPr>
              <w:t>3</w:t>
            </w:r>
          </w:p>
        </w:tc>
        <w:tc>
          <w:tcPr>
            <w:tcW w:w="936" w:type="dxa"/>
          </w:tcPr>
          <w:p w14:paraId="287CDDE2" w14:textId="6E97BD90" w:rsidR="00326555" w:rsidRPr="00A10939" w:rsidRDefault="00326555" w:rsidP="00326555">
            <w:pPr>
              <w:jc w:val="center"/>
              <w:rPr>
                <w:rFonts w:ascii="Times New Roman" w:hAnsi="Times New Roman" w:cs="Times New Roman"/>
                <w:sz w:val="24"/>
                <w:szCs w:val="24"/>
              </w:rPr>
            </w:pPr>
            <w:r w:rsidRPr="00A10939">
              <w:rPr>
                <w:rFonts w:ascii="Times New Roman" w:hAnsi="Times New Roman" w:cs="Times New Roman"/>
                <w:sz w:val="24"/>
                <w:szCs w:val="24"/>
              </w:rPr>
              <w:t>45</w:t>
            </w:r>
          </w:p>
        </w:tc>
        <w:tc>
          <w:tcPr>
            <w:tcW w:w="935" w:type="dxa"/>
          </w:tcPr>
          <w:p w14:paraId="5958E90A" w14:textId="78127A29" w:rsidR="00326555" w:rsidRPr="00A10939" w:rsidRDefault="00326555" w:rsidP="00326555">
            <w:pPr>
              <w:jc w:val="center"/>
              <w:rPr>
                <w:rFonts w:ascii="Times New Roman" w:hAnsi="Times New Roman" w:cs="Times New Roman"/>
                <w:sz w:val="24"/>
                <w:szCs w:val="24"/>
              </w:rPr>
            </w:pPr>
            <w:r w:rsidRPr="00A10939">
              <w:rPr>
                <w:rFonts w:ascii="Times New Roman" w:hAnsi="Times New Roman" w:cs="Times New Roman"/>
                <w:sz w:val="24"/>
                <w:szCs w:val="24"/>
              </w:rPr>
              <w:t>1</w:t>
            </w:r>
          </w:p>
        </w:tc>
        <w:tc>
          <w:tcPr>
            <w:tcW w:w="936" w:type="dxa"/>
          </w:tcPr>
          <w:p w14:paraId="42F0F87A" w14:textId="398CA674" w:rsidR="00326555" w:rsidRPr="00A10939" w:rsidRDefault="00326555" w:rsidP="00326555">
            <w:pPr>
              <w:jc w:val="center"/>
              <w:rPr>
                <w:rFonts w:ascii="Times New Roman" w:hAnsi="Times New Roman" w:cs="Times New Roman"/>
                <w:sz w:val="24"/>
                <w:szCs w:val="24"/>
              </w:rPr>
            </w:pPr>
            <w:r w:rsidRPr="00A10939">
              <w:rPr>
                <w:rFonts w:ascii="Times New Roman" w:hAnsi="Times New Roman" w:cs="Times New Roman"/>
                <w:sz w:val="24"/>
                <w:szCs w:val="24"/>
              </w:rPr>
              <w:t>4.91</w:t>
            </w:r>
          </w:p>
        </w:tc>
        <w:tc>
          <w:tcPr>
            <w:tcW w:w="1503" w:type="dxa"/>
          </w:tcPr>
          <w:p w14:paraId="317943FA" w14:textId="4F8ACF46" w:rsidR="00326555" w:rsidRPr="00A10939" w:rsidRDefault="00326555" w:rsidP="00326555">
            <w:pPr>
              <w:jc w:val="center"/>
              <w:rPr>
                <w:rFonts w:ascii="Times New Roman" w:hAnsi="Times New Roman" w:cs="Times New Roman"/>
                <w:sz w:val="24"/>
                <w:szCs w:val="24"/>
              </w:rPr>
            </w:pPr>
            <w:r w:rsidRPr="00A10939">
              <w:rPr>
                <w:rFonts w:ascii="Times New Roman" w:hAnsi="Times New Roman" w:cs="Times New Roman"/>
                <w:sz w:val="24"/>
                <w:szCs w:val="24"/>
              </w:rPr>
              <w:t>0.288</w:t>
            </w:r>
          </w:p>
        </w:tc>
      </w:tr>
      <w:tr w:rsidR="00181CB4" w:rsidRPr="00A10939" w14:paraId="605A16B2" w14:textId="77777777" w:rsidTr="00A10939">
        <w:trPr>
          <w:jc w:val="center"/>
        </w:trPr>
        <w:tc>
          <w:tcPr>
            <w:tcW w:w="935" w:type="dxa"/>
          </w:tcPr>
          <w:p w14:paraId="4D92ABBE" w14:textId="47EC9A84" w:rsidR="00326555" w:rsidRPr="00A10939" w:rsidRDefault="00326555" w:rsidP="00326555">
            <w:pPr>
              <w:jc w:val="center"/>
              <w:rPr>
                <w:rFonts w:ascii="Times New Roman" w:hAnsi="Times New Roman" w:cs="Times New Roman"/>
                <w:sz w:val="24"/>
                <w:szCs w:val="24"/>
              </w:rPr>
            </w:pPr>
            <w:r w:rsidRPr="00A10939">
              <w:rPr>
                <w:rFonts w:ascii="Times New Roman" w:hAnsi="Times New Roman" w:cs="Times New Roman"/>
                <w:sz w:val="24"/>
                <w:szCs w:val="24"/>
              </w:rPr>
              <w:t>4</w:t>
            </w:r>
          </w:p>
        </w:tc>
        <w:tc>
          <w:tcPr>
            <w:tcW w:w="936" w:type="dxa"/>
          </w:tcPr>
          <w:p w14:paraId="0ED370F7" w14:textId="5AEC9E35" w:rsidR="00326555" w:rsidRPr="00A10939" w:rsidRDefault="00326555" w:rsidP="00326555">
            <w:pPr>
              <w:jc w:val="center"/>
              <w:rPr>
                <w:rFonts w:ascii="Times New Roman" w:hAnsi="Times New Roman" w:cs="Times New Roman"/>
                <w:sz w:val="24"/>
                <w:szCs w:val="24"/>
              </w:rPr>
            </w:pPr>
            <w:r w:rsidRPr="00A10939">
              <w:rPr>
                <w:rFonts w:ascii="Times New Roman" w:hAnsi="Times New Roman" w:cs="Times New Roman"/>
                <w:sz w:val="24"/>
                <w:szCs w:val="24"/>
              </w:rPr>
              <w:t>45</w:t>
            </w:r>
          </w:p>
        </w:tc>
        <w:tc>
          <w:tcPr>
            <w:tcW w:w="935" w:type="dxa"/>
          </w:tcPr>
          <w:p w14:paraId="60A17E82" w14:textId="02F6C04D" w:rsidR="00326555" w:rsidRPr="00A10939" w:rsidRDefault="00326555" w:rsidP="00326555">
            <w:pPr>
              <w:jc w:val="center"/>
              <w:rPr>
                <w:rFonts w:ascii="Times New Roman" w:hAnsi="Times New Roman" w:cs="Times New Roman"/>
                <w:sz w:val="24"/>
                <w:szCs w:val="24"/>
              </w:rPr>
            </w:pPr>
            <w:r w:rsidRPr="00A10939">
              <w:rPr>
                <w:rFonts w:ascii="Times New Roman" w:hAnsi="Times New Roman" w:cs="Times New Roman"/>
                <w:sz w:val="24"/>
                <w:szCs w:val="24"/>
              </w:rPr>
              <w:t>1</w:t>
            </w:r>
          </w:p>
        </w:tc>
        <w:tc>
          <w:tcPr>
            <w:tcW w:w="936" w:type="dxa"/>
          </w:tcPr>
          <w:p w14:paraId="2E7F25B5" w14:textId="4CC46773" w:rsidR="00326555" w:rsidRPr="00A10939" w:rsidRDefault="00326555" w:rsidP="00326555">
            <w:pPr>
              <w:jc w:val="center"/>
              <w:rPr>
                <w:rFonts w:ascii="Times New Roman" w:hAnsi="Times New Roman" w:cs="Times New Roman"/>
                <w:sz w:val="24"/>
                <w:szCs w:val="24"/>
              </w:rPr>
            </w:pPr>
            <w:r w:rsidRPr="00A10939">
              <w:rPr>
                <w:rFonts w:ascii="Times New Roman" w:hAnsi="Times New Roman" w:cs="Times New Roman"/>
                <w:sz w:val="24"/>
                <w:szCs w:val="24"/>
              </w:rPr>
              <w:t>4.96</w:t>
            </w:r>
          </w:p>
        </w:tc>
        <w:tc>
          <w:tcPr>
            <w:tcW w:w="1503" w:type="dxa"/>
          </w:tcPr>
          <w:p w14:paraId="5ED65A7B" w14:textId="0C2AD6AB" w:rsidR="00326555" w:rsidRPr="00A10939" w:rsidRDefault="00326555" w:rsidP="00326555">
            <w:pPr>
              <w:jc w:val="center"/>
              <w:rPr>
                <w:rFonts w:ascii="Times New Roman" w:hAnsi="Times New Roman" w:cs="Times New Roman"/>
                <w:sz w:val="24"/>
                <w:szCs w:val="24"/>
              </w:rPr>
            </w:pPr>
            <w:r w:rsidRPr="00A10939">
              <w:rPr>
                <w:rFonts w:ascii="Times New Roman" w:hAnsi="Times New Roman" w:cs="Times New Roman"/>
                <w:sz w:val="24"/>
                <w:szCs w:val="24"/>
              </w:rPr>
              <w:t>0.208</w:t>
            </w:r>
          </w:p>
        </w:tc>
      </w:tr>
    </w:tbl>
    <w:p w14:paraId="2D96023B" w14:textId="18764F35" w:rsidR="00326555" w:rsidRPr="00D45D63" w:rsidRDefault="002A7B81" w:rsidP="002A7B81">
      <w:pPr>
        <w:spacing w:after="0" w:line="360" w:lineRule="auto"/>
        <w:jc w:val="center"/>
        <w:rPr>
          <w:rFonts w:ascii="Times New Roman" w:hAnsi="Times New Roman" w:cs="Times New Roman"/>
          <w:sz w:val="24"/>
          <w:szCs w:val="24"/>
        </w:rPr>
      </w:pPr>
      <w:r w:rsidRPr="00D45D63">
        <w:rPr>
          <w:rFonts w:ascii="Times New Roman" w:hAnsi="Times New Roman" w:cs="Times New Roman"/>
          <w:sz w:val="24"/>
          <w:szCs w:val="24"/>
        </w:rPr>
        <w:t>Fuente: Elaboración propia</w:t>
      </w:r>
    </w:p>
    <w:p w14:paraId="56B230E3" w14:textId="54789A2B" w:rsidR="007C382D" w:rsidRPr="00D45D63" w:rsidRDefault="007C382D" w:rsidP="00A1093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La Figura 4 ilustra las calificaciones medias de neutralidad por cada juez. Como se observa,</w:t>
      </w:r>
      <w:r w:rsidR="00AF2CEF" w:rsidRPr="00D45D63">
        <w:rPr>
          <w:rFonts w:ascii="Times New Roman" w:hAnsi="Times New Roman" w:cs="Times New Roman"/>
          <w:sz w:val="24"/>
          <w:szCs w:val="24"/>
        </w:rPr>
        <w:t xml:space="preserve"> </w:t>
      </w:r>
      <w:r w:rsidRPr="00D45D63">
        <w:rPr>
          <w:rFonts w:ascii="Times New Roman" w:hAnsi="Times New Roman" w:cs="Times New Roman"/>
          <w:sz w:val="24"/>
          <w:szCs w:val="24"/>
        </w:rPr>
        <w:t>todas las medias están cercanas a 5, lo que sugiere un alto grado de acuerdo sobre la neutralidad de los ítems</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evaluados. </w:t>
      </w:r>
      <w:r w:rsidR="00DB0E63" w:rsidRPr="00DB0E63">
        <w:rPr>
          <w:rFonts w:ascii="Times New Roman" w:hAnsi="Times New Roman" w:cs="Times New Roman"/>
          <w:sz w:val="24"/>
          <w:szCs w:val="24"/>
        </w:rPr>
        <w:t>Sin embargo, la reducida variabilidad en las respuestas limita significativamente la validez de los datos. Esta homogeneidad impide una evaluación efectiva de la consistencia interna y la fiabilidad del instrumento</w:t>
      </w:r>
      <w:r w:rsidRPr="00D45D63">
        <w:rPr>
          <w:rFonts w:ascii="Times New Roman" w:hAnsi="Times New Roman" w:cs="Times New Roman"/>
          <w:sz w:val="24"/>
          <w:szCs w:val="24"/>
        </w:rPr>
        <w:t>.</w:t>
      </w:r>
      <w:r w:rsidR="00B3088C" w:rsidRPr="00D45D63">
        <w:rPr>
          <w:rFonts w:ascii="Times New Roman" w:hAnsi="Times New Roman" w:cs="Times New Roman"/>
          <w:sz w:val="24"/>
          <w:szCs w:val="24"/>
        </w:rPr>
        <w:t xml:space="preserve"> </w:t>
      </w:r>
    </w:p>
    <w:p w14:paraId="35D073EA" w14:textId="18FBB572" w:rsidR="003148CD" w:rsidRPr="00D45D63" w:rsidRDefault="003148CD" w:rsidP="003148CD">
      <w:pPr>
        <w:spacing w:after="0" w:line="360" w:lineRule="auto"/>
        <w:jc w:val="both"/>
        <w:rPr>
          <w:rFonts w:ascii="Times New Roman" w:hAnsi="Times New Roman" w:cs="Times New Roman"/>
          <w:sz w:val="24"/>
          <w:szCs w:val="24"/>
        </w:rPr>
      </w:pPr>
    </w:p>
    <w:p w14:paraId="772570AE" w14:textId="601D54BB" w:rsidR="00494B0F" w:rsidRPr="00D45D63" w:rsidRDefault="003148CD" w:rsidP="003148CD">
      <w:pPr>
        <w:spacing w:after="0" w:line="360" w:lineRule="auto"/>
        <w:jc w:val="center"/>
        <w:rPr>
          <w:rFonts w:ascii="Times New Roman" w:hAnsi="Times New Roman" w:cs="Times New Roman"/>
          <w:sz w:val="24"/>
          <w:szCs w:val="24"/>
        </w:rPr>
      </w:pPr>
      <w:r w:rsidRPr="00A10939">
        <w:rPr>
          <w:rFonts w:ascii="Times New Roman" w:hAnsi="Times New Roman" w:cs="Times New Roman"/>
          <w:b/>
          <w:bCs/>
          <w:sz w:val="24"/>
          <w:szCs w:val="24"/>
        </w:rPr>
        <w:t>Figura 4</w:t>
      </w:r>
      <w:r w:rsidR="00FE4589">
        <w:rPr>
          <w:rFonts w:ascii="Times New Roman" w:hAnsi="Times New Roman" w:cs="Times New Roman"/>
          <w:b/>
          <w:bCs/>
          <w:sz w:val="24"/>
          <w:szCs w:val="24"/>
        </w:rPr>
        <w:t>.</w:t>
      </w:r>
      <w:r w:rsidRPr="00D45D63">
        <w:rPr>
          <w:rFonts w:ascii="Times New Roman" w:hAnsi="Times New Roman" w:cs="Times New Roman"/>
          <w:sz w:val="24"/>
          <w:szCs w:val="24"/>
        </w:rPr>
        <w:t xml:space="preserve"> Estadísticas descriptivas de calificaciones de neutralidad por jueces</w:t>
      </w:r>
      <w:r w:rsidR="00494B0F" w:rsidRPr="00D45D63">
        <w:rPr>
          <w:rFonts w:ascii="Times New Roman" w:hAnsi="Times New Roman" w:cs="Times New Roman"/>
          <w:noProof/>
          <w:sz w:val="24"/>
          <w:szCs w:val="24"/>
        </w:rPr>
        <w:drawing>
          <wp:inline distT="0" distB="0" distL="0" distR="0" wp14:anchorId="00534560" wp14:editId="5746C86F">
            <wp:extent cx="3959668" cy="1440887"/>
            <wp:effectExtent l="0" t="0" r="3175" b="6985"/>
            <wp:docPr id="7" name="Imagen 7"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Gráfico, Gráfico de barras&#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59668" cy="1440887"/>
                    </a:xfrm>
                    <a:prstGeom prst="rect">
                      <a:avLst/>
                    </a:prstGeom>
                  </pic:spPr>
                </pic:pic>
              </a:graphicData>
            </a:graphic>
          </wp:inline>
        </w:drawing>
      </w:r>
    </w:p>
    <w:p w14:paraId="3B2B0580" w14:textId="4F3A34EE" w:rsidR="00B3088C" w:rsidRPr="00D45D63" w:rsidRDefault="003148CD" w:rsidP="00A10939">
      <w:pPr>
        <w:spacing w:after="0" w:line="360" w:lineRule="auto"/>
        <w:jc w:val="center"/>
        <w:rPr>
          <w:rFonts w:ascii="Times New Roman" w:hAnsi="Times New Roman" w:cs="Times New Roman"/>
          <w:sz w:val="24"/>
          <w:szCs w:val="24"/>
        </w:rPr>
      </w:pPr>
      <w:r w:rsidRPr="00D45D63">
        <w:rPr>
          <w:rFonts w:ascii="Times New Roman" w:hAnsi="Times New Roman" w:cs="Times New Roman"/>
          <w:sz w:val="24"/>
          <w:szCs w:val="24"/>
        </w:rPr>
        <w:t>Fuente: Elaboración propia</w:t>
      </w:r>
    </w:p>
    <w:p w14:paraId="35453A3C" w14:textId="2BFA514F" w:rsidR="007C382D" w:rsidRPr="00D45D63" w:rsidRDefault="007C382D" w:rsidP="00A1093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En conclusión, la uniformidad en las puntuaciones altas y la baja variabilidad sugieren que los ítems del</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instrumento pueden no estar discriminando adecuadamente entre diferentes niveles de neutralidad. Esto podría</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indicar una necesidad de revisar la redacción de los ítems </w:t>
      </w:r>
      <w:r w:rsidRPr="00D45D63">
        <w:rPr>
          <w:rFonts w:ascii="Times New Roman" w:hAnsi="Times New Roman" w:cs="Times New Roman"/>
          <w:sz w:val="24"/>
          <w:szCs w:val="24"/>
        </w:rPr>
        <w:lastRenderedPageBreak/>
        <w:t>o considerar ajustes en la escala de medición para</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capturar una gama más amplia de opiniones y mejorar así la utilidad del instrumento en estudios futuros.</w:t>
      </w:r>
    </w:p>
    <w:p w14:paraId="3D0E00B1" w14:textId="77777777" w:rsidR="00B3088C" w:rsidRPr="00D45D63" w:rsidRDefault="00B3088C" w:rsidP="00AF2CEF">
      <w:pPr>
        <w:spacing w:after="0" w:line="360" w:lineRule="auto"/>
        <w:jc w:val="both"/>
        <w:rPr>
          <w:rFonts w:ascii="Times New Roman" w:hAnsi="Times New Roman" w:cs="Times New Roman"/>
          <w:sz w:val="24"/>
          <w:szCs w:val="24"/>
        </w:rPr>
      </w:pPr>
    </w:p>
    <w:p w14:paraId="69EBEA42" w14:textId="77777777" w:rsidR="00B3088C" w:rsidRPr="00A10939" w:rsidRDefault="007C382D" w:rsidP="00A10939">
      <w:pPr>
        <w:spacing w:after="0" w:line="360" w:lineRule="auto"/>
        <w:jc w:val="center"/>
        <w:rPr>
          <w:rFonts w:ascii="Times New Roman" w:hAnsi="Times New Roman" w:cs="Times New Roman"/>
          <w:b/>
          <w:bCs/>
          <w:sz w:val="28"/>
          <w:szCs w:val="28"/>
        </w:rPr>
      </w:pPr>
      <w:r w:rsidRPr="00A10939">
        <w:rPr>
          <w:rFonts w:ascii="Times New Roman" w:hAnsi="Times New Roman" w:cs="Times New Roman"/>
          <w:b/>
          <w:bCs/>
          <w:sz w:val="28"/>
          <w:szCs w:val="28"/>
        </w:rPr>
        <w:t>Resultados Validación de Contenido para Relevancia, Claridad y Neutralidad</w:t>
      </w:r>
    </w:p>
    <w:p w14:paraId="6C3DD746" w14:textId="3BF75620" w:rsidR="007C382D" w:rsidRPr="00D45D63" w:rsidRDefault="007C382D" w:rsidP="00A1093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En esta sección, se presentan los resultados de la validación de contenido de los 45 ítems del instrumento de</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medición, evaluados por cuatro expertos. La validación se llevó a cabo utilizando el índice de Hernández-Nieto,</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que permite determinar la relevancia, claridad y neutralidad de cada ítem dentro del contexto de estudio. </w:t>
      </w:r>
      <w:r w:rsidR="00DB0E63" w:rsidRPr="00DB0E63">
        <w:rPr>
          <w:rFonts w:ascii="Times New Roman" w:hAnsi="Times New Roman" w:cs="Times New Roman"/>
          <w:sz w:val="24"/>
          <w:szCs w:val="24"/>
        </w:rPr>
        <w:t>Este índice resulta particularmente útil para evaluar la correspondencia entre los ítems y los constructos teóricos que pretenden medir</w:t>
      </w:r>
      <w:r w:rsidRPr="00D45D63">
        <w:rPr>
          <w:rFonts w:ascii="Times New Roman" w:hAnsi="Times New Roman" w:cs="Times New Roman"/>
          <w:sz w:val="24"/>
          <w:szCs w:val="24"/>
        </w:rPr>
        <w:t>. A continuación, se muestra la tabla 13 que resume los resultados obtenidos para cada uno de los ítems</w:t>
      </w:r>
      <w:r w:rsidR="00B3088C" w:rsidRPr="00D45D63">
        <w:rPr>
          <w:rFonts w:ascii="Times New Roman" w:hAnsi="Times New Roman" w:cs="Times New Roman"/>
          <w:sz w:val="24"/>
          <w:szCs w:val="24"/>
        </w:rPr>
        <w:t xml:space="preserve"> </w:t>
      </w:r>
      <w:r w:rsidRPr="00D45D63">
        <w:rPr>
          <w:rFonts w:ascii="Times New Roman" w:hAnsi="Times New Roman" w:cs="Times New Roman"/>
          <w:sz w:val="24"/>
          <w:szCs w:val="24"/>
        </w:rPr>
        <w:t>de los constructos de Gestión del Conocimiento, Liderazgo y Compromiso y Agilidad Organizacional.</w:t>
      </w:r>
    </w:p>
    <w:p w14:paraId="1B78769E" w14:textId="3E848171" w:rsidR="007C382D" w:rsidRPr="00D45D63" w:rsidRDefault="007C382D" w:rsidP="00AF2CEF">
      <w:pPr>
        <w:spacing w:after="0" w:line="360" w:lineRule="auto"/>
        <w:jc w:val="both"/>
        <w:rPr>
          <w:rFonts w:ascii="Times New Roman" w:hAnsi="Times New Roman" w:cs="Times New Roman"/>
          <w:sz w:val="24"/>
          <w:szCs w:val="24"/>
        </w:rPr>
      </w:pPr>
    </w:p>
    <w:p w14:paraId="776B4B4F" w14:textId="549B6F6D" w:rsidR="007C382D" w:rsidRPr="00D45D63" w:rsidRDefault="007C382D" w:rsidP="00A10939">
      <w:pPr>
        <w:spacing w:after="0" w:line="360" w:lineRule="auto"/>
        <w:jc w:val="center"/>
        <w:rPr>
          <w:rFonts w:ascii="Times New Roman" w:hAnsi="Times New Roman" w:cs="Times New Roman"/>
          <w:sz w:val="24"/>
          <w:szCs w:val="24"/>
        </w:rPr>
      </w:pPr>
      <w:r w:rsidRPr="00A10939">
        <w:rPr>
          <w:rFonts w:ascii="Times New Roman" w:hAnsi="Times New Roman" w:cs="Times New Roman"/>
          <w:b/>
          <w:bCs/>
          <w:sz w:val="24"/>
          <w:szCs w:val="24"/>
        </w:rPr>
        <w:t>Tabla 13</w:t>
      </w:r>
      <w:r w:rsidR="00FE4589">
        <w:rPr>
          <w:rFonts w:ascii="Times New Roman" w:hAnsi="Times New Roman" w:cs="Times New Roman"/>
          <w:b/>
          <w:bCs/>
          <w:sz w:val="24"/>
          <w:szCs w:val="24"/>
        </w:rPr>
        <w:t>.</w:t>
      </w:r>
      <w:r w:rsidRPr="00D45D63">
        <w:rPr>
          <w:rFonts w:ascii="Times New Roman" w:hAnsi="Times New Roman" w:cs="Times New Roman"/>
          <w:sz w:val="24"/>
          <w:szCs w:val="24"/>
        </w:rPr>
        <w:t xml:space="preserve"> Coeficiente de Validación de Contenido para GC, LC y AO</w:t>
      </w:r>
    </w:p>
    <w:tbl>
      <w:tblPr>
        <w:tblStyle w:val="Tablaconcuadrcula"/>
        <w:tblW w:w="0" w:type="auto"/>
        <w:jc w:val="center"/>
        <w:tblCellMar>
          <w:left w:w="57" w:type="dxa"/>
          <w:right w:w="57" w:type="dxa"/>
        </w:tblCellMar>
        <w:tblLook w:val="04A0" w:firstRow="1" w:lastRow="0" w:firstColumn="1" w:lastColumn="0" w:noHBand="0" w:noVBand="1"/>
      </w:tblPr>
      <w:tblGrid>
        <w:gridCol w:w="990"/>
        <w:gridCol w:w="554"/>
        <w:gridCol w:w="1181"/>
        <w:gridCol w:w="941"/>
        <w:gridCol w:w="1247"/>
      </w:tblGrid>
      <w:tr w:rsidR="00181CB4" w:rsidRPr="00A10939" w14:paraId="534AF919" w14:textId="77777777" w:rsidTr="00A10939">
        <w:trPr>
          <w:trHeight w:val="319"/>
          <w:jc w:val="center"/>
        </w:trPr>
        <w:tc>
          <w:tcPr>
            <w:tcW w:w="990" w:type="dxa"/>
            <w:vAlign w:val="center"/>
          </w:tcPr>
          <w:p w14:paraId="49EA3FBB" w14:textId="6E734FBA" w:rsidR="00326555" w:rsidRPr="00A10939" w:rsidRDefault="00326555" w:rsidP="00BD4F7C">
            <w:pPr>
              <w:jc w:val="center"/>
              <w:rPr>
                <w:rFonts w:ascii="Times New Roman" w:hAnsi="Times New Roman" w:cs="Times New Roman"/>
                <w:sz w:val="24"/>
                <w:szCs w:val="24"/>
              </w:rPr>
            </w:pPr>
            <w:r w:rsidRPr="00A10939">
              <w:rPr>
                <w:rFonts w:ascii="Times New Roman" w:hAnsi="Times New Roman" w:cs="Times New Roman"/>
                <w:sz w:val="24"/>
                <w:szCs w:val="24"/>
              </w:rPr>
              <w:t>Código</w:t>
            </w:r>
          </w:p>
        </w:tc>
        <w:tc>
          <w:tcPr>
            <w:tcW w:w="0" w:type="auto"/>
            <w:vAlign w:val="center"/>
          </w:tcPr>
          <w:p w14:paraId="3A9BD25C" w14:textId="557DC1BA" w:rsidR="00326555" w:rsidRPr="00A10939" w:rsidRDefault="00326555" w:rsidP="00BD4F7C">
            <w:pPr>
              <w:jc w:val="center"/>
              <w:rPr>
                <w:rFonts w:ascii="Times New Roman" w:hAnsi="Times New Roman" w:cs="Times New Roman"/>
                <w:sz w:val="24"/>
                <w:szCs w:val="24"/>
              </w:rPr>
            </w:pPr>
            <w:r w:rsidRPr="00A10939">
              <w:rPr>
                <w:rFonts w:ascii="Times New Roman" w:hAnsi="Times New Roman" w:cs="Times New Roman"/>
                <w:sz w:val="24"/>
                <w:szCs w:val="24"/>
              </w:rPr>
              <w:t>Ítem</w:t>
            </w:r>
          </w:p>
        </w:tc>
        <w:tc>
          <w:tcPr>
            <w:tcW w:w="0" w:type="auto"/>
            <w:vAlign w:val="center"/>
          </w:tcPr>
          <w:p w14:paraId="06E1DCB5" w14:textId="7BE79CAF" w:rsidR="00326555" w:rsidRPr="00A10939" w:rsidRDefault="00326555" w:rsidP="00BD4F7C">
            <w:pPr>
              <w:jc w:val="center"/>
              <w:rPr>
                <w:rFonts w:ascii="Times New Roman" w:hAnsi="Times New Roman" w:cs="Times New Roman"/>
                <w:sz w:val="24"/>
                <w:szCs w:val="24"/>
              </w:rPr>
            </w:pPr>
            <w:r w:rsidRPr="00A10939">
              <w:rPr>
                <w:rFonts w:ascii="Times New Roman" w:hAnsi="Times New Roman" w:cs="Times New Roman"/>
                <w:sz w:val="24"/>
                <w:szCs w:val="24"/>
              </w:rPr>
              <w:t>Relevancia</w:t>
            </w:r>
          </w:p>
        </w:tc>
        <w:tc>
          <w:tcPr>
            <w:tcW w:w="0" w:type="auto"/>
            <w:vAlign w:val="center"/>
          </w:tcPr>
          <w:p w14:paraId="21DCB198" w14:textId="72901B86" w:rsidR="00326555" w:rsidRPr="00A10939" w:rsidRDefault="00326555" w:rsidP="00BD4F7C">
            <w:pPr>
              <w:jc w:val="center"/>
              <w:rPr>
                <w:rFonts w:ascii="Times New Roman" w:hAnsi="Times New Roman" w:cs="Times New Roman"/>
                <w:sz w:val="24"/>
                <w:szCs w:val="24"/>
              </w:rPr>
            </w:pPr>
            <w:r w:rsidRPr="00A10939">
              <w:rPr>
                <w:rFonts w:ascii="Times New Roman" w:hAnsi="Times New Roman" w:cs="Times New Roman"/>
                <w:sz w:val="24"/>
                <w:szCs w:val="24"/>
              </w:rPr>
              <w:t>Claridad</w:t>
            </w:r>
          </w:p>
        </w:tc>
        <w:tc>
          <w:tcPr>
            <w:tcW w:w="0" w:type="auto"/>
            <w:vAlign w:val="center"/>
          </w:tcPr>
          <w:p w14:paraId="2A95E3A5" w14:textId="56FAD7FE" w:rsidR="00326555" w:rsidRPr="00A10939" w:rsidRDefault="00326555" w:rsidP="00BD4F7C">
            <w:pPr>
              <w:jc w:val="center"/>
              <w:rPr>
                <w:rFonts w:ascii="Times New Roman" w:hAnsi="Times New Roman" w:cs="Times New Roman"/>
                <w:sz w:val="24"/>
                <w:szCs w:val="24"/>
              </w:rPr>
            </w:pPr>
            <w:r w:rsidRPr="00A10939">
              <w:rPr>
                <w:rFonts w:ascii="Times New Roman" w:hAnsi="Times New Roman" w:cs="Times New Roman"/>
                <w:sz w:val="24"/>
                <w:szCs w:val="24"/>
              </w:rPr>
              <w:t>Neutralidad</w:t>
            </w:r>
          </w:p>
        </w:tc>
      </w:tr>
      <w:tr w:rsidR="00181CB4" w:rsidRPr="00A10939" w14:paraId="3B432B6B" w14:textId="77777777" w:rsidTr="00A10939">
        <w:trPr>
          <w:jc w:val="center"/>
        </w:trPr>
        <w:tc>
          <w:tcPr>
            <w:tcW w:w="990" w:type="dxa"/>
            <w:vAlign w:val="center"/>
          </w:tcPr>
          <w:p w14:paraId="7E430AD8" w14:textId="17CADD27"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GC1</w:t>
            </w:r>
          </w:p>
        </w:tc>
        <w:tc>
          <w:tcPr>
            <w:tcW w:w="0" w:type="auto"/>
            <w:vAlign w:val="center"/>
          </w:tcPr>
          <w:p w14:paraId="6D040DB5" w14:textId="5C92D8B0"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01</w:t>
            </w:r>
          </w:p>
        </w:tc>
        <w:tc>
          <w:tcPr>
            <w:tcW w:w="0" w:type="auto"/>
            <w:vAlign w:val="center"/>
          </w:tcPr>
          <w:p w14:paraId="4F8EC1BA" w14:textId="088FC8A2"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vAlign w:val="center"/>
          </w:tcPr>
          <w:p w14:paraId="32AAE8D8" w14:textId="0F10A986"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vAlign w:val="center"/>
          </w:tcPr>
          <w:p w14:paraId="61B36C00" w14:textId="0D4435C7"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4D77DFBA" w14:textId="77777777" w:rsidTr="00A10939">
        <w:trPr>
          <w:jc w:val="center"/>
        </w:trPr>
        <w:tc>
          <w:tcPr>
            <w:tcW w:w="990" w:type="dxa"/>
            <w:vAlign w:val="center"/>
          </w:tcPr>
          <w:p w14:paraId="47ABBD27" w14:textId="182C1AB6"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GC2</w:t>
            </w:r>
          </w:p>
        </w:tc>
        <w:tc>
          <w:tcPr>
            <w:tcW w:w="0" w:type="auto"/>
            <w:vAlign w:val="center"/>
          </w:tcPr>
          <w:p w14:paraId="228465A6" w14:textId="6F0964B2"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02</w:t>
            </w:r>
          </w:p>
        </w:tc>
        <w:tc>
          <w:tcPr>
            <w:tcW w:w="0" w:type="auto"/>
            <w:vAlign w:val="center"/>
          </w:tcPr>
          <w:p w14:paraId="4C3C5B09" w14:textId="566903CA"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vAlign w:val="center"/>
          </w:tcPr>
          <w:p w14:paraId="427D37EB" w14:textId="15C3316E"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c>
          <w:tcPr>
            <w:tcW w:w="0" w:type="auto"/>
            <w:vAlign w:val="center"/>
          </w:tcPr>
          <w:p w14:paraId="58D70F6E" w14:textId="7C4C02A7"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5CFDC366" w14:textId="77777777" w:rsidTr="00A10939">
        <w:trPr>
          <w:jc w:val="center"/>
        </w:trPr>
        <w:tc>
          <w:tcPr>
            <w:tcW w:w="990" w:type="dxa"/>
            <w:vAlign w:val="center"/>
          </w:tcPr>
          <w:p w14:paraId="0ACECA93" w14:textId="4F40C5D0"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GC3</w:t>
            </w:r>
          </w:p>
        </w:tc>
        <w:tc>
          <w:tcPr>
            <w:tcW w:w="0" w:type="auto"/>
            <w:vAlign w:val="center"/>
          </w:tcPr>
          <w:p w14:paraId="3A3E2160" w14:textId="02F18A7E"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03</w:t>
            </w:r>
          </w:p>
        </w:tc>
        <w:tc>
          <w:tcPr>
            <w:tcW w:w="0" w:type="auto"/>
            <w:vAlign w:val="center"/>
          </w:tcPr>
          <w:p w14:paraId="7C932DA6" w14:textId="075AB3A8"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vAlign w:val="center"/>
          </w:tcPr>
          <w:p w14:paraId="354B27FA" w14:textId="3DAAEA22"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vAlign w:val="center"/>
          </w:tcPr>
          <w:p w14:paraId="1F49603D" w14:textId="60E4EA5D"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1B7DA94E" w14:textId="77777777" w:rsidTr="00A10939">
        <w:trPr>
          <w:jc w:val="center"/>
        </w:trPr>
        <w:tc>
          <w:tcPr>
            <w:tcW w:w="990" w:type="dxa"/>
            <w:vAlign w:val="center"/>
          </w:tcPr>
          <w:p w14:paraId="0E3E0596" w14:textId="1B9D637C"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GC4</w:t>
            </w:r>
          </w:p>
        </w:tc>
        <w:tc>
          <w:tcPr>
            <w:tcW w:w="0" w:type="auto"/>
            <w:vAlign w:val="center"/>
          </w:tcPr>
          <w:p w14:paraId="7C6903AF" w14:textId="7FFE4C42"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04</w:t>
            </w:r>
          </w:p>
        </w:tc>
        <w:tc>
          <w:tcPr>
            <w:tcW w:w="0" w:type="auto"/>
            <w:vAlign w:val="center"/>
          </w:tcPr>
          <w:p w14:paraId="63BF599E" w14:textId="59C0735D"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vAlign w:val="center"/>
          </w:tcPr>
          <w:p w14:paraId="3EDDE4C8" w14:textId="4716AC7F"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0.73</w:t>
            </w:r>
          </w:p>
        </w:tc>
        <w:tc>
          <w:tcPr>
            <w:tcW w:w="0" w:type="auto"/>
            <w:vAlign w:val="center"/>
          </w:tcPr>
          <w:p w14:paraId="619E9316" w14:textId="4BE46BB0"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76F913BD" w14:textId="77777777" w:rsidTr="00A10939">
        <w:trPr>
          <w:jc w:val="center"/>
        </w:trPr>
        <w:tc>
          <w:tcPr>
            <w:tcW w:w="990" w:type="dxa"/>
            <w:vAlign w:val="center"/>
          </w:tcPr>
          <w:p w14:paraId="3ED4E7E8" w14:textId="595F9A27"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GC5</w:t>
            </w:r>
          </w:p>
        </w:tc>
        <w:tc>
          <w:tcPr>
            <w:tcW w:w="0" w:type="auto"/>
            <w:vAlign w:val="center"/>
          </w:tcPr>
          <w:p w14:paraId="08D18F91" w14:textId="43A9B697"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05</w:t>
            </w:r>
          </w:p>
        </w:tc>
        <w:tc>
          <w:tcPr>
            <w:tcW w:w="0" w:type="auto"/>
            <w:vAlign w:val="center"/>
          </w:tcPr>
          <w:p w14:paraId="6A7D70CF" w14:textId="60CE9253"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c>
          <w:tcPr>
            <w:tcW w:w="0" w:type="auto"/>
            <w:vAlign w:val="center"/>
          </w:tcPr>
          <w:p w14:paraId="695DABCF" w14:textId="6FD06153"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0.81</w:t>
            </w:r>
          </w:p>
        </w:tc>
        <w:tc>
          <w:tcPr>
            <w:tcW w:w="0" w:type="auto"/>
            <w:vAlign w:val="center"/>
          </w:tcPr>
          <w:p w14:paraId="499512A5" w14:textId="2832B1ED"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1E67BBF4" w14:textId="77777777" w:rsidTr="00A10939">
        <w:trPr>
          <w:jc w:val="center"/>
        </w:trPr>
        <w:tc>
          <w:tcPr>
            <w:tcW w:w="990" w:type="dxa"/>
            <w:vAlign w:val="center"/>
          </w:tcPr>
          <w:p w14:paraId="4C7724A8" w14:textId="344713A8"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LC1</w:t>
            </w:r>
          </w:p>
        </w:tc>
        <w:tc>
          <w:tcPr>
            <w:tcW w:w="0" w:type="auto"/>
            <w:vAlign w:val="center"/>
          </w:tcPr>
          <w:p w14:paraId="11C6298F" w14:textId="25C9D2C0"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06</w:t>
            </w:r>
          </w:p>
        </w:tc>
        <w:tc>
          <w:tcPr>
            <w:tcW w:w="0" w:type="auto"/>
            <w:vAlign w:val="center"/>
          </w:tcPr>
          <w:p w14:paraId="7A351555" w14:textId="4AA6C480"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vAlign w:val="center"/>
          </w:tcPr>
          <w:p w14:paraId="61805B88" w14:textId="7ACD378A"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c>
          <w:tcPr>
            <w:tcW w:w="0" w:type="auto"/>
            <w:vAlign w:val="center"/>
          </w:tcPr>
          <w:p w14:paraId="144461C7" w14:textId="2DD8AF8E"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r>
      <w:tr w:rsidR="00181CB4" w:rsidRPr="00A10939" w14:paraId="75F295B4" w14:textId="77777777" w:rsidTr="00A10939">
        <w:trPr>
          <w:jc w:val="center"/>
        </w:trPr>
        <w:tc>
          <w:tcPr>
            <w:tcW w:w="990" w:type="dxa"/>
            <w:vAlign w:val="center"/>
          </w:tcPr>
          <w:p w14:paraId="43BD8A08" w14:textId="0FFA1411"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LC2</w:t>
            </w:r>
          </w:p>
        </w:tc>
        <w:tc>
          <w:tcPr>
            <w:tcW w:w="0" w:type="auto"/>
            <w:vAlign w:val="center"/>
          </w:tcPr>
          <w:p w14:paraId="59653839" w14:textId="07E08F0B"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07</w:t>
            </w:r>
          </w:p>
        </w:tc>
        <w:tc>
          <w:tcPr>
            <w:tcW w:w="0" w:type="auto"/>
            <w:vAlign w:val="center"/>
          </w:tcPr>
          <w:p w14:paraId="1B2AC6AA" w14:textId="4CDC5BAF"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0.85</w:t>
            </w:r>
          </w:p>
        </w:tc>
        <w:tc>
          <w:tcPr>
            <w:tcW w:w="0" w:type="auto"/>
            <w:vAlign w:val="center"/>
          </w:tcPr>
          <w:p w14:paraId="53142712" w14:textId="3CB61560"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c>
          <w:tcPr>
            <w:tcW w:w="0" w:type="auto"/>
            <w:vAlign w:val="center"/>
          </w:tcPr>
          <w:p w14:paraId="472BCA09" w14:textId="305EE4AF"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r>
      <w:tr w:rsidR="00181CB4" w:rsidRPr="00A10939" w14:paraId="7A7017E5" w14:textId="77777777" w:rsidTr="00A10939">
        <w:trPr>
          <w:jc w:val="center"/>
        </w:trPr>
        <w:tc>
          <w:tcPr>
            <w:tcW w:w="990" w:type="dxa"/>
            <w:vAlign w:val="center"/>
          </w:tcPr>
          <w:p w14:paraId="766623CE" w14:textId="681E3463"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LC3</w:t>
            </w:r>
          </w:p>
        </w:tc>
        <w:tc>
          <w:tcPr>
            <w:tcW w:w="0" w:type="auto"/>
            <w:vAlign w:val="center"/>
          </w:tcPr>
          <w:p w14:paraId="47789B22" w14:textId="69CCAB08"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08</w:t>
            </w:r>
          </w:p>
        </w:tc>
        <w:tc>
          <w:tcPr>
            <w:tcW w:w="0" w:type="auto"/>
            <w:vAlign w:val="center"/>
          </w:tcPr>
          <w:p w14:paraId="78E44695" w14:textId="6BCA2F6A"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vAlign w:val="center"/>
          </w:tcPr>
          <w:p w14:paraId="6874BD29" w14:textId="4689E9B9"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0.85</w:t>
            </w:r>
          </w:p>
        </w:tc>
        <w:tc>
          <w:tcPr>
            <w:tcW w:w="0" w:type="auto"/>
            <w:vAlign w:val="center"/>
          </w:tcPr>
          <w:p w14:paraId="6189B19F" w14:textId="33D82D8F"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09B3F50D" w14:textId="77777777" w:rsidTr="00A10939">
        <w:trPr>
          <w:jc w:val="center"/>
        </w:trPr>
        <w:tc>
          <w:tcPr>
            <w:tcW w:w="990" w:type="dxa"/>
            <w:vAlign w:val="center"/>
          </w:tcPr>
          <w:p w14:paraId="3951A50D" w14:textId="6A6B819A"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LC4</w:t>
            </w:r>
          </w:p>
        </w:tc>
        <w:tc>
          <w:tcPr>
            <w:tcW w:w="0" w:type="auto"/>
            <w:vAlign w:val="center"/>
          </w:tcPr>
          <w:p w14:paraId="0C35BD1E" w14:textId="3957D773"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w:t>
            </w:r>
          </w:p>
        </w:tc>
        <w:tc>
          <w:tcPr>
            <w:tcW w:w="0" w:type="auto"/>
            <w:vAlign w:val="center"/>
          </w:tcPr>
          <w:p w14:paraId="04A4CFC4" w14:textId="79F11CD5"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c>
          <w:tcPr>
            <w:tcW w:w="0" w:type="auto"/>
            <w:vAlign w:val="center"/>
          </w:tcPr>
          <w:p w14:paraId="41C33798" w14:textId="31EC1137"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0.85</w:t>
            </w:r>
          </w:p>
        </w:tc>
        <w:tc>
          <w:tcPr>
            <w:tcW w:w="0" w:type="auto"/>
            <w:vAlign w:val="center"/>
          </w:tcPr>
          <w:p w14:paraId="79388E31" w14:textId="485D2BF1"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3C55A783" w14:textId="77777777" w:rsidTr="00A10939">
        <w:trPr>
          <w:jc w:val="center"/>
        </w:trPr>
        <w:tc>
          <w:tcPr>
            <w:tcW w:w="990" w:type="dxa"/>
            <w:vAlign w:val="center"/>
          </w:tcPr>
          <w:p w14:paraId="57CCA1F4" w14:textId="723B4C0E"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LC5</w:t>
            </w:r>
          </w:p>
        </w:tc>
        <w:tc>
          <w:tcPr>
            <w:tcW w:w="0" w:type="auto"/>
            <w:vAlign w:val="center"/>
          </w:tcPr>
          <w:p w14:paraId="606DEA40" w14:textId="67E1A062"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w:t>
            </w:r>
          </w:p>
        </w:tc>
        <w:tc>
          <w:tcPr>
            <w:tcW w:w="0" w:type="auto"/>
            <w:vAlign w:val="center"/>
          </w:tcPr>
          <w:p w14:paraId="73C08691" w14:textId="55D2ADA3"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0.85</w:t>
            </w:r>
          </w:p>
        </w:tc>
        <w:tc>
          <w:tcPr>
            <w:tcW w:w="0" w:type="auto"/>
            <w:vAlign w:val="center"/>
          </w:tcPr>
          <w:p w14:paraId="3BF76967" w14:textId="0E5C1E7C"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vAlign w:val="center"/>
          </w:tcPr>
          <w:p w14:paraId="1D9370A8" w14:textId="7F0A2D78"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12B4416A" w14:textId="77777777" w:rsidTr="00A10939">
        <w:trPr>
          <w:jc w:val="center"/>
        </w:trPr>
        <w:tc>
          <w:tcPr>
            <w:tcW w:w="990" w:type="dxa"/>
            <w:vAlign w:val="center"/>
          </w:tcPr>
          <w:p w14:paraId="4D86AB1D" w14:textId="654C379D"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AO1</w:t>
            </w:r>
          </w:p>
        </w:tc>
        <w:tc>
          <w:tcPr>
            <w:tcW w:w="0" w:type="auto"/>
            <w:vAlign w:val="center"/>
          </w:tcPr>
          <w:p w14:paraId="425F4D2E" w14:textId="37FE7161"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11</w:t>
            </w:r>
          </w:p>
        </w:tc>
        <w:tc>
          <w:tcPr>
            <w:tcW w:w="0" w:type="auto"/>
            <w:vAlign w:val="center"/>
          </w:tcPr>
          <w:p w14:paraId="5D20A8CA" w14:textId="37506CEE"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vAlign w:val="center"/>
          </w:tcPr>
          <w:p w14:paraId="48F8275F" w14:textId="236FC65F"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c>
          <w:tcPr>
            <w:tcW w:w="0" w:type="auto"/>
            <w:vAlign w:val="center"/>
          </w:tcPr>
          <w:p w14:paraId="730B471E" w14:textId="1219F12C"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246AFFAB" w14:textId="77777777" w:rsidTr="00A10939">
        <w:trPr>
          <w:jc w:val="center"/>
        </w:trPr>
        <w:tc>
          <w:tcPr>
            <w:tcW w:w="990" w:type="dxa"/>
            <w:vAlign w:val="center"/>
          </w:tcPr>
          <w:p w14:paraId="283E2832" w14:textId="7C348586"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AO2</w:t>
            </w:r>
          </w:p>
        </w:tc>
        <w:tc>
          <w:tcPr>
            <w:tcW w:w="0" w:type="auto"/>
            <w:vAlign w:val="center"/>
          </w:tcPr>
          <w:p w14:paraId="7398D1D7" w14:textId="05F36D74"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12</w:t>
            </w:r>
          </w:p>
        </w:tc>
        <w:tc>
          <w:tcPr>
            <w:tcW w:w="0" w:type="auto"/>
            <w:vAlign w:val="center"/>
          </w:tcPr>
          <w:p w14:paraId="48B7107A" w14:textId="66BAB3B6"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vAlign w:val="center"/>
          </w:tcPr>
          <w:p w14:paraId="31FFFD66" w14:textId="238D2C47"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c>
          <w:tcPr>
            <w:tcW w:w="0" w:type="auto"/>
            <w:vAlign w:val="center"/>
          </w:tcPr>
          <w:p w14:paraId="44A90D2B" w14:textId="79E86D7E"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1B2A06BA" w14:textId="77777777" w:rsidTr="00A10939">
        <w:trPr>
          <w:jc w:val="center"/>
        </w:trPr>
        <w:tc>
          <w:tcPr>
            <w:tcW w:w="990" w:type="dxa"/>
            <w:vAlign w:val="center"/>
          </w:tcPr>
          <w:p w14:paraId="1AE58589" w14:textId="5077A4C8"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AO3</w:t>
            </w:r>
          </w:p>
        </w:tc>
        <w:tc>
          <w:tcPr>
            <w:tcW w:w="0" w:type="auto"/>
            <w:vAlign w:val="center"/>
          </w:tcPr>
          <w:p w14:paraId="72408E31" w14:textId="18F96AEB"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13</w:t>
            </w:r>
          </w:p>
        </w:tc>
        <w:tc>
          <w:tcPr>
            <w:tcW w:w="0" w:type="auto"/>
            <w:vAlign w:val="center"/>
          </w:tcPr>
          <w:p w14:paraId="319BDB33" w14:textId="3387802E"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0.90</w:t>
            </w:r>
          </w:p>
        </w:tc>
        <w:tc>
          <w:tcPr>
            <w:tcW w:w="0" w:type="auto"/>
            <w:vAlign w:val="center"/>
          </w:tcPr>
          <w:p w14:paraId="4334EE7F" w14:textId="704D3123"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vAlign w:val="center"/>
          </w:tcPr>
          <w:p w14:paraId="60AE561A" w14:textId="5C62F00B"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47DE87B5" w14:textId="77777777" w:rsidTr="00A10939">
        <w:trPr>
          <w:jc w:val="center"/>
        </w:trPr>
        <w:tc>
          <w:tcPr>
            <w:tcW w:w="990" w:type="dxa"/>
            <w:vAlign w:val="center"/>
          </w:tcPr>
          <w:p w14:paraId="3650DAE6" w14:textId="3C6B67EE"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AO4</w:t>
            </w:r>
          </w:p>
        </w:tc>
        <w:tc>
          <w:tcPr>
            <w:tcW w:w="0" w:type="auto"/>
            <w:vAlign w:val="center"/>
          </w:tcPr>
          <w:p w14:paraId="56EA6E6A" w14:textId="7F7EEDA6"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14</w:t>
            </w:r>
          </w:p>
        </w:tc>
        <w:tc>
          <w:tcPr>
            <w:tcW w:w="0" w:type="auto"/>
            <w:vAlign w:val="center"/>
          </w:tcPr>
          <w:p w14:paraId="7A9AAF92" w14:textId="436FF17D"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c>
          <w:tcPr>
            <w:tcW w:w="0" w:type="auto"/>
            <w:vAlign w:val="center"/>
          </w:tcPr>
          <w:p w14:paraId="1B4E76CB" w14:textId="38902FBD"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vAlign w:val="center"/>
          </w:tcPr>
          <w:p w14:paraId="2C2FFBE0" w14:textId="0E842BA6"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3F6A6178" w14:textId="77777777" w:rsidTr="00A10939">
        <w:trPr>
          <w:jc w:val="center"/>
        </w:trPr>
        <w:tc>
          <w:tcPr>
            <w:tcW w:w="990" w:type="dxa"/>
            <w:vAlign w:val="center"/>
          </w:tcPr>
          <w:p w14:paraId="3F090199" w14:textId="18284B5A"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AO5</w:t>
            </w:r>
          </w:p>
        </w:tc>
        <w:tc>
          <w:tcPr>
            <w:tcW w:w="0" w:type="auto"/>
            <w:vAlign w:val="center"/>
          </w:tcPr>
          <w:p w14:paraId="578F1210" w14:textId="5CDF735E"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15</w:t>
            </w:r>
          </w:p>
        </w:tc>
        <w:tc>
          <w:tcPr>
            <w:tcW w:w="0" w:type="auto"/>
            <w:vAlign w:val="center"/>
          </w:tcPr>
          <w:p w14:paraId="26B4D498" w14:textId="0359B56B"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vAlign w:val="center"/>
          </w:tcPr>
          <w:p w14:paraId="024C8A76" w14:textId="23917C4D"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0.81</w:t>
            </w:r>
          </w:p>
        </w:tc>
        <w:tc>
          <w:tcPr>
            <w:tcW w:w="0" w:type="auto"/>
            <w:vAlign w:val="center"/>
          </w:tcPr>
          <w:p w14:paraId="4D689008" w14:textId="1F5A52D1" w:rsidR="00326555" w:rsidRPr="00A10939" w:rsidRDefault="00326555"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bl>
    <w:p w14:paraId="7F2BAF1F" w14:textId="22069385" w:rsidR="00326555" w:rsidRPr="00D45D63" w:rsidRDefault="002A7B81" w:rsidP="00A10939">
      <w:pPr>
        <w:spacing w:after="0" w:line="360" w:lineRule="auto"/>
        <w:jc w:val="center"/>
        <w:rPr>
          <w:rFonts w:ascii="Times New Roman" w:hAnsi="Times New Roman" w:cs="Times New Roman"/>
          <w:sz w:val="24"/>
          <w:szCs w:val="24"/>
        </w:rPr>
      </w:pPr>
      <w:r w:rsidRPr="00D45D63">
        <w:rPr>
          <w:rFonts w:ascii="Times New Roman" w:hAnsi="Times New Roman" w:cs="Times New Roman"/>
          <w:sz w:val="24"/>
          <w:szCs w:val="24"/>
        </w:rPr>
        <w:t>Fuente: Elaboración propia</w:t>
      </w:r>
    </w:p>
    <w:p w14:paraId="46C4E7C7" w14:textId="787E2023" w:rsidR="007C382D" w:rsidRDefault="00DB0E63" w:rsidP="00A10939">
      <w:pPr>
        <w:spacing w:after="0" w:line="360" w:lineRule="auto"/>
        <w:ind w:firstLine="709"/>
        <w:jc w:val="both"/>
        <w:rPr>
          <w:rFonts w:ascii="Times New Roman" w:hAnsi="Times New Roman" w:cs="Times New Roman"/>
          <w:sz w:val="24"/>
          <w:szCs w:val="24"/>
        </w:rPr>
      </w:pPr>
      <w:r w:rsidRPr="00DB0E63">
        <w:rPr>
          <w:rFonts w:ascii="Times New Roman" w:hAnsi="Times New Roman" w:cs="Times New Roman"/>
          <w:sz w:val="24"/>
          <w:szCs w:val="24"/>
        </w:rPr>
        <w:t>La tabla 14 muestra los resultados obtenidos para los ítems correspondientes a los constructos de Gestión del Conocimiento, Liderazgo y Compromiso, y Agilidad Organizacional</w:t>
      </w:r>
      <w:r w:rsidR="007C382D" w:rsidRPr="00D45D63">
        <w:rPr>
          <w:rFonts w:ascii="Times New Roman" w:hAnsi="Times New Roman" w:cs="Times New Roman"/>
          <w:sz w:val="24"/>
          <w:szCs w:val="24"/>
        </w:rPr>
        <w:t>.</w:t>
      </w:r>
    </w:p>
    <w:p w14:paraId="2D27A76F" w14:textId="77777777" w:rsidR="00A10939" w:rsidRDefault="00A10939" w:rsidP="00A10939">
      <w:pPr>
        <w:spacing w:after="0" w:line="360" w:lineRule="auto"/>
        <w:ind w:firstLine="709"/>
        <w:jc w:val="both"/>
        <w:rPr>
          <w:rFonts w:ascii="Times New Roman" w:hAnsi="Times New Roman" w:cs="Times New Roman"/>
          <w:sz w:val="24"/>
          <w:szCs w:val="24"/>
        </w:rPr>
      </w:pPr>
    </w:p>
    <w:p w14:paraId="170D567B" w14:textId="4DA86694" w:rsidR="00BD4F7C" w:rsidRPr="00D45D63" w:rsidRDefault="007C382D" w:rsidP="00A10939">
      <w:pPr>
        <w:spacing w:after="0" w:line="360" w:lineRule="auto"/>
        <w:jc w:val="center"/>
        <w:rPr>
          <w:rFonts w:ascii="Times New Roman" w:hAnsi="Times New Roman" w:cs="Times New Roman"/>
          <w:sz w:val="24"/>
          <w:szCs w:val="24"/>
        </w:rPr>
      </w:pPr>
      <w:r w:rsidRPr="00A10939">
        <w:rPr>
          <w:rFonts w:ascii="Times New Roman" w:hAnsi="Times New Roman" w:cs="Times New Roman"/>
          <w:b/>
          <w:bCs/>
          <w:sz w:val="24"/>
          <w:szCs w:val="24"/>
        </w:rPr>
        <w:lastRenderedPageBreak/>
        <w:t>Tabla 14</w:t>
      </w:r>
      <w:r w:rsidR="00FE4589">
        <w:rPr>
          <w:rFonts w:ascii="Times New Roman" w:hAnsi="Times New Roman" w:cs="Times New Roman"/>
          <w:b/>
          <w:bCs/>
          <w:sz w:val="24"/>
          <w:szCs w:val="24"/>
        </w:rPr>
        <w:t>.</w:t>
      </w:r>
      <w:r w:rsidRPr="00D45D63">
        <w:rPr>
          <w:rFonts w:ascii="Times New Roman" w:hAnsi="Times New Roman" w:cs="Times New Roman"/>
          <w:sz w:val="24"/>
          <w:szCs w:val="24"/>
        </w:rPr>
        <w:t xml:space="preserve"> Coeficiente de Validación de Contenido para THC, CA y AFC</w:t>
      </w:r>
    </w:p>
    <w:tbl>
      <w:tblPr>
        <w:tblStyle w:val="Tablaconcuadrcula"/>
        <w:tblW w:w="0" w:type="auto"/>
        <w:jc w:val="center"/>
        <w:tblCellMar>
          <w:left w:w="57" w:type="dxa"/>
          <w:right w:w="57" w:type="dxa"/>
        </w:tblCellMar>
        <w:tblLook w:val="04A0" w:firstRow="1" w:lastRow="0" w:firstColumn="1" w:lastColumn="0" w:noHBand="0" w:noVBand="1"/>
      </w:tblPr>
      <w:tblGrid>
        <w:gridCol w:w="990"/>
        <w:gridCol w:w="554"/>
        <w:gridCol w:w="1181"/>
        <w:gridCol w:w="941"/>
        <w:gridCol w:w="1247"/>
      </w:tblGrid>
      <w:tr w:rsidR="00181CB4" w:rsidRPr="00A10939" w14:paraId="52546D56" w14:textId="77777777" w:rsidTr="00A10939">
        <w:trPr>
          <w:trHeight w:val="319"/>
          <w:jc w:val="center"/>
        </w:trPr>
        <w:tc>
          <w:tcPr>
            <w:tcW w:w="990" w:type="dxa"/>
            <w:vAlign w:val="center"/>
          </w:tcPr>
          <w:p w14:paraId="75BB797B" w14:textId="77777777" w:rsidR="00BD4F7C" w:rsidRPr="00A10939" w:rsidRDefault="00BD4F7C" w:rsidP="008E79D6">
            <w:pPr>
              <w:jc w:val="center"/>
              <w:rPr>
                <w:rFonts w:ascii="Times New Roman" w:hAnsi="Times New Roman" w:cs="Times New Roman"/>
                <w:sz w:val="24"/>
                <w:szCs w:val="24"/>
              </w:rPr>
            </w:pPr>
            <w:r w:rsidRPr="00A10939">
              <w:rPr>
                <w:rFonts w:ascii="Times New Roman" w:hAnsi="Times New Roman" w:cs="Times New Roman"/>
                <w:sz w:val="24"/>
                <w:szCs w:val="24"/>
              </w:rPr>
              <w:t>Código</w:t>
            </w:r>
          </w:p>
        </w:tc>
        <w:tc>
          <w:tcPr>
            <w:tcW w:w="0" w:type="auto"/>
            <w:vAlign w:val="center"/>
          </w:tcPr>
          <w:p w14:paraId="34306ADB" w14:textId="77777777" w:rsidR="00BD4F7C" w:rsidRPr="00A10939" w:rsidRDefault="00BD4F7C" w:rsidP="008E79D6">
            <w:pPr>
              <w:jc w:val="center"/>
              <w:rPr>
                <w:rFonts w:ascii="Times New Roman" w:hAnsi="Times New Roman" w:cs="Times New Roman"/>
                <w:sz w:val="24"/>
                <w:szCs w:val="24"/>
              </w:rPr>
            </w:pPr>
            <w:r w:rsidRPr="00A10939">
              <w:rPr>
                <w:rFonts w:ascii="Times New Roman" w:hAnsi="Times New Roman" w:cs="Times New Roman"/>
                <w:sz w:val="24"/>
                <w:szCs w:val="24"/>
              </w:rPr>
              <w:t>Ítem</w:t>
            </w:r>
          </w:p>
        </w:tc>
        <w:tc>
          <w:tcPr>
            <w:tcW w:w="0" w:type="auto"/>
            <w:vAlign w:val="center"/>
          </w:tcPr>
          <w:p w14:paraId="4080211C" w14:textId="77777777" w:rsidR="00BD4F7C" w:rsidRPr="00A10939" w:rsidRDefault="00BD4F7C" w:rsidP="008E79D6">
            <w:pPr>
              <w:jc w:val="center"/>
              <w:rPr>
                <w:rFonts w:ascii="Times New Roman" w:hAnsi="Times New Roman" w:cs="Times New Roman"/>
                <w:sz w:val="24"/>
                <w:szCs w:val="24"/>
              </w:rPr>
            </w:pPr>
            <w:r w:rsidRPr="00A10939">
              <w:rPr>
                <w:rFonts w:ascii="Times New Roman" w:hAnsi="Times New Roman" w:cs="Times New Roman"/>
                <w:sz w:val="24"/>
                <w:szCs w:val="24"/>
              </w:rPr>
              <w:t>Relevancia</w:t>
            </w:r>
          </w:p>
        </w:tc>
        <w:tc>
          <w:tcPr>
            <w:tcW w:w="0" w:type="auto"/>
            <w:vAlign w:val="center"/>
          </w:tcPr>
          <w:p w14:paraId="0E8308F0" w14:textId="77777777" w:rsidR="00BD4F7C" w:rsidRPr="00A10939" w:rsidRDefault="00BD4F7C" w:rsidP="008E79D6">
            <w:pPr>
              <w:jc w:val="center"/>
              <w:rPr>
                <w:rFonts w:ascii="Times New Roman" w:hAnsi="Times New Roman" w:cs="Times New Roman"/>
                <w:sz w:val="24"/>
                <w:szCs w:val="24"/>
              </w:rPr>
            </w:pPr>
            <w:r w:rsidRPr="00A10939">
              <w:rPr>
                <w:rFonts w:ascii="Times New Roman" w:hAnsi="Times New Roman" w:cs="Times New Roman"/>
                <w:sz w:val="24"/>
                <w:szCs w:val="24"/>
              </w:rPr>
              <w:t>Claridad</w:t>
            </w:r>
          </w:p>
        </w:tc>
        <w:tc>
          <w:tcPr>
            <w:tcW w:w="0" w:type="auto"/>
            <w:vAlign w:val="center"/>
          </w:tcPr>
          <w:p w14:paraId="53FAA9E4" w14:textId="77777777" w:rsidR="00BD4F7C" w:rsidRPr="00A10939" w:rsidRDefault="00BD4F7C" w:rsidP="008E79D6">
            <w:pPr>
              <w:jc w:val="center"/>
              <w:rPr>
                <w:rFonts w:ascii="Times New Roman" w:hAnsi="Times New Roman" w:cs="Times New Roman"/>
                <w:sz w:val="24"/>
                <w:szCs w:val="24"/>
              </w:rPr>
            </w:pPr>
            <w:r w:rsidRPr="00A10939">
              <w:rPr>
                <w:rFonts w:ascii="Times New Roman" w:hAnsi="Times New Roman" w:cs="Times New Roman"/>
                <w:sz w:val="24"/>
                <w:szCs w:val="24"/>
              </w:rPr>
              <w:t>Neutralidad</w:t>
            </w:r>
          </w:p>
        </w:tc>
      </w:tr>
      <w:tr w:rsidR="00181CB4" w:rsidRPr="00A10939" w14:paraId="04BC1184" w14:textId="77777777" w:rsidTr="00A10939">
        <w:trPr>
          <w:jc w:val="center"/>
        </w:trPr>
        <w:tc>
          <w:tcPr>
            <w:tcW w:w="990" w:type="dxa"/>
          </w:tcPr>
          <w:p w14:paraId="0BF37076" w14:textId="35FD39F4"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THC1</w:t>
            </w:r>
          </w:p>
        </w:tc>
        <w:tc>
          <w:tcPr>
            <w:tcW w:w="0" w:type="auto"/>
          </w:tcPr>
          <w:p w14:paraId="152E07C8" w14:textId="2D627E21"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16</w:t>
            </w:r>
          </w:p>
        </w:tc>
        <w:tc>
          <w:tcPr>
            <w:tcW w:w="0" w:type="auto"/>
          </w:tcPr>
          <w:p w14:paraId="21ED3DE1" w14:textId="6BAB1707"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tcPr>
          <w:p w14:paraId="256B9963" w14:textId="0542543F"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tcPr>
          <w:p w14:paraId="2BE82ABB" w14:textId="0105E46B"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7CEA5310" w14:textId="77777777" w:rsidTr="00A10939">
        <w:trPr>
          <w:jc w:val="center"/>
        </w:trPr>
        <w:tc>
          <w:tcPr>
            <w:tcW w:w="990" w:type="dxa"/>
          </w:tcPr>
          <w:p w14:paraId="3DF8B6AA" w14:textId="7A3E6553"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THC2</w:t>
            </w:r>
          </w:p>
        </w:tc>
        <w:tc>
          <w:tcPr>
            <w:tcW w:w="0" w:type="auto"/>
          </w:tcPr>
          <w:p w14:paraId="09847D11" w14:textId="1CCC1CBE"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17</w:t>
            </w:r>
          </w:p>
        </w:tc>
        <w:tc>
          <w:tcPr>
            <w:tcW w:w="0" w:type="auto"/>
          </w:tcPr>
          <w:p w14:paraId="3ABE9878" w14:textId="4B5660F3"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tcPr>
          <w:p w14:paraId="3CEBFC46" w14:textId="586FBCAE"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c>
          <w:tcPr>
            <w:tcW w:w="0" w:type="auto"/>
          </w:tcPr>
          <w:p w14:paraId="4439EA9D" w14:textId="73687C8D"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41F326E6" w14:textId="77777777" w:rsidTr="00A10939">
        <w:trPr>
          <w:jc w:val="center"/>
        </w:trPr>
        <w:tc>
          <w:tcPr>
            <w:tcW w:w="990" w:type="dxa"/>
          </w:tcPr>
          <w:p w14:paraId="44817856" w14:textId="4C2F5E12"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THC3</w:t>
            </w:r>
          </w:p>
        </w:tc>
        <w:tc>
          <w:tcPr>
            <w:tcW w:w="0" w:type="auto"/>
          </w:tcPr>
          <w:p w14:paraId="35F247E5" w14:textId="2B0E9A2D"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18</w:t>
            </w:r>
          </w:p>
        </w:tc>
        <w:tc>
          <w:tcPr>
            <w:tcW w:w="0" w:type="auto"/>
          </w:tcPr>
          <w:p w14:paraId="2ABCEF10" w14:textId="56558053"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0.85</w:t>
            </w:r>
          </w:p>
        </w:tc>
        <w:tc>
          <w:tcPr>
            <w:tcW w:w="0" w:type="auto"/>
          </w:tcPr>
          <w:p w14:paraId="2D2C0E9B" w14:textId="1CEE060B"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0.80</w:t>
            </w:r>
          </w:p>
        </w:tc>
        <w:tc>
          <w:tcPr>
            <w:tcW w:w="0" w:type="auto"/>
          </w:tcPr>
          <w:p w14:paraId="0E392954" w14:textId="7D37CEFA"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17F5EE5F" w14:textId="77777777" w:rsidTr="00A10939">
        <w:trPr>
          <w:jc w:val="center"/>
        </w:trPr>
        <w:tc>
          <w:tcPr>
            <w:tcW w:w="990" w:type="dxa"/>
          </w:tcPr>
          <w:p w14:paraId="282825EA" w14:textId="2FE83172"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THC4</w:t>
            </w:r>
          </w:p>
        </w:tc>
        <w:tc>
          <w:tcPr>
            <w:tcW w:w="0" w:type="auto"/>
          </w:tcPr>
          <w:p w14:paraId="27434C1D" w14:textId="7C9E95CB"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19</w:t>
            </w:r>
          </w:p>
        </w:tc>
        <w:tc>
          <w:tcPr>
            <w:tcW w:w="0" w:type="auto"/>
          </w:tcPr>
          <w:p w14:paraId="5BCBC0A9" w14:textId="036E5741"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c>
          <w:tcPr>
            <w:tcW w:w="0" w:type="auto"/>
          </w:tcPr>
          <w:p w14:paraId="32AB0237" w14:textId="5522FF53"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c>
          <w:tcPr>
            <w:tcW w:w="0" w:type="auto"/>
          </w:tcPr>
          <w:p w14:paraId="6580C441" w14:textId="23DE9EFB"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0.85</w:t>
            </w:r>
          </w:p>
        </w:tc>
      </w:tr>
      <w:tr w:rsidR="00181CB4" w:rsidRPr="00A10939" w14:paraId="672ECE6B" w14:textId="77777777" w:rsidTr="00A10939">
        <w:trPr>
          <w:jc w:val="center"/>
        </w:trPr>
        <w:tc>
          <w:tcPr>
            <w:tcW w:w="990" w:type="dxa"/>
          </w:tcPr>
          <w:p w14:paraId="50C6768C" w14:textId="5F9CCAF0"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THC5</w:t>
            </w:r>
          </w:p>
        </w:tc>
        <w:tc>
          <w:tcPr>
            <w:tcW w:w="0" w:type="auto"/>
          </w:tcPr>
          <w:p w14:paraId="68BEB000" w14:textId="4628CCE7"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20</w:t>
            </w:r>
          </w:p>
        </w:tc>
        <w:tc>
          <w:tcPr>
            <w:tcW w:w="0" w:type="auto"/>
          </w:tcPr>
          <w:p w14:paraId="7672D35A" w14:textId="6E8598DB"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c>
          <w:tcPr>
            <w:tcW w:w="0" w:type="auto"/>
          </w:tcPr>
          <w:p w14:paraId="2E231E5B" w14:textId="145978F9"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c>
          <w:tcPr>
            <w:tcW w:w="0" w:type="auto"/>
          </w:tcPr>
          <w:p w14:paraId="145049E0" w14:textId="7BC6ED69"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2D99A7F5" w14:textId="77777777" w:rsidTr="00A10939">
        <w:trPr>
          <w:jc w:val="center"/>
        </w:trPr>
        <w:tc>
          <w:tcPr>
            <w:tcW w:w="990" w:type="dxa"/>
          </w:tcPr>
          <w:p w14:paraId="09B1D9FB" w14:textId="17B567D8"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CA1</w:t>
            </w:r>
          </w:p>
        </w:tc>
        <w:tc>
          <w:tcPr>
            <w:tcW w:w="0" w:type="auto"/>
          </w:tcPr>
          <w:p w14:paraId="0704365F" w14:textId="0EAEC02B"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21</w:t>
            </w:r>
          </w:p>
        </w:tc>
        <w:tc>
          <w:tcPr>
            <w:tcW w:w="0" w:type="auto"/>
          </w:tcPr>
          <w:p w14:paraId="47A6993A" w14:textId="125B2E8F"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tcPr>
          <w:p w14:paraId="5D51212F" w14:textId="178B3904"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0.55</w:t>
            </w:r>
          </w:p>
        </w:tc>
        <w:tc>
          <w:tcPr>
            <w:tcW w:w="0" w:type="auto"/>
          </w:tcPr>
          <w:p w14:paraId="0C72DD1F" w14:textId="38D6896A"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7E2E7043" w14:textId="77777777" w:rsidTr="00A10939">
        <w:trPr>
          <w:jc w:val="center"/>
        </w:trPr>
        <w:tc>
          <w:tcPr>
            <w:tcW w:w="990" w:type="dxa"/>
          </w:tcPr>
          <w:p w14:paraId="7ACD3698" w14:textId="6F4BD011"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CA2</w:t>
            </w:r>
          </w:p>
        </w:tc>
        <w:tc>
          <w:tcPr>
            <w:tcW w:w="0" w:type="auto"/>
          </w:tcPr>
          <w:p w14:paraId="2DB46832" w14:textId="483DF6D1"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22</w:t>
            </w:r>
          </w:p>
        </w:tc>
        <w:tc>
          <w:tcPr>
            <w:tcW w:w="0" w:type="auto"/>
          </w:tcPr>
          <w:p w14:paraId="7D0E0D1E" w14:textId="0B04088F"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0.59</w:t>
            </w:r>
          </w:p>
        </w:tc>
        <w:tc>
          <w:tcPr>
            <w:tcW w:w="0" w:type="auto"/>
          </w:tcPr>
          <w:p w14:paraId="1F1A38A1" w14:textId="1F0B5151"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tcPr>
          <w:p w14:paraId="4BFB2E5C" w14:textId="4DAE5AD2"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0B327694" w14:textId="77777777" w:rsidTr="00A10939">
        <w:trPr>
          <w:jc w:val="center"/>
        </w:trPr>
        <w:tc>
          <w:tcPr>
            <w:tcW w:w="990" w:type="dxa"/>
          </w:tcPr>
          <w:p w14:paraId="5695A94F" w14:textId="6BE78990"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CA3</w:t>
            </w:r>
          </w:p>
        </w:tc>
        <w:tc>
          <w:tcPr>
            <w:tcW w:w="0" w:type="auto"/>
          </w:tcPr>
          <w:p w14:paraId="468D15FD" w14:textId="74733E7E"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23</w:t>
            </w:r>
          </w:p>
        </w:tc>
        <w:tc>
          <w:tcPr>
            <w:tcW w:w="0" w:type="auto"/>
          </w:tcPr>
          <w:p w14:paraId="2D916008" w14:textId="76605449"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c>
          <w:tcPr>
            <w:tcW w:w="0" w:type="auto"/>
          </w:tcPr>
          <w:p w14:paraId="3D1DD392" w14:textId="3B7CD667"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0.61</w:t>
            </w:r>
          </w:p>
        </w:tc>
        <w:tc>
          <w:tcPr>
            <w:tcW w:w="0" w:type="auto"/>
          </w:tcPr>
          <w:p w14:paraId="3C4A5883" w14:textId="2D300370"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1317347A" w14:textId="77777777" w:rsidTr="00A10939">
        <w:trPr>
          <w:jc w:val="center"/>
        </w:trPr>
        <w:tc>
          <w:tcPr>
            <w:tcW w:w="990" w:type="dxa"/>
          </w:tcPr>
          <w:p w14:paraId="29FBCF34" w14:textId="0430A959"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CA4</w:t>
            </w:r>
          </w:p>
        </w:tc>
        <w:tc>
          <w:tcPr>
            <w:tcW w:w="0" w:type="auto"/>
          </w:tcPr>
          <w:p w14:paraId="3C48C3A6" w14:textId="20D0D747"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24</w:t>
            </w:r>
          </w:p>
        </w:tc>
        <w:tc>
          <w:tcPr>
            <w:tcW w:w="0" w:type="auto"/>
          </w:tcPr>
          <w:p w14:paraId="4E869544" w14:textId="45776F81"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0.71</w:t>
            </w:r>
          </w:p>
        </w:tc>
        <w:tc>
          <w:tcPr>
            <w:tcW w:w="0" w:type="auto"/>
          </w:tcPr>
          <w:p w14:paraId="1C192301" w14:textId="47233404"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c>
          <w:tcPr>
            <w:tcW w:w="0" w:type="auto"/>
          </w:tcPr>
          <w:p w14:paraId="0B6093EA" w14:textId="1405F38C"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r>
      <w:tr w:rsidR="00181CB4" w:rsidRPr="00A10939" w14:paraId="6723EB0F" w14:textId="77777777" w:rsidTr="00A10939">
        <w:trPr>
          <w:jc w:val="center"/>
        </w:trPr>
        <w:tc>
          <w:tcPr>
            <w:tcW w:w="990" w:type="dxa"/>
          </w:tcPr>
          <w:p w14:paraId="7C44F632" w14:textId="628FBB24"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CA5</w:t>
            </w:r>
          </w:p>
        </w:tc>
        <w:tc>
          <w:tcPr>
            <w:tcW w:w="0" w:type="auto"/>
          </w:tcPr>
          <w:p w14:paraId="7CA5E01C" w14:textId="2F401041"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25</w:t>
            </w:r>
          </w:p>
        </w:tc>
        <w:tc>
          <w:tcPr>
            <w:tcW w:w="0" w:type="auto"/>
          </w:tcPr>
          <w:p w14:paraId="02938D6F" w14:textId="1FBA5742"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tcPr>
          <w:p w14:paraId="71A58728" w14:textId="32F2AA8B"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tcPr>
          <w:p w14:paraId="763EED56" w14:textId="74198613"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r>
      <w:tr w:rsidR="00181CB4" w:rsidRPr="00A10939" w14:paraId="38456E74" w14:textId="77777777" w:rsidTr="00A10939">
        <w:trPr>
          <w:jc w:val="center"/>
        </w:trPr>
        <w:tc>
          <w:tcPr>
            <w:tcW w:w="990" w:type="dxa"/>
          </w:tcPr>
          <w:p w14:paraId="67FD912A" w14:textId="43BECB74"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AFC1</w:t>
            </w:r>
          </w:p>
        </w:tc>
        <w:tc>
          <w:tcPr>
            <w:tcW w:w="0" w:type="auto"/>
          </w:tcPr>
          <w:p w14:paraId="05B6D59F" w14:textId="763FC276"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26</w:t>
            </w:r>
          </w:p>
        </w:tc>
        <w:tc>
          <w:tcPr>
            <w:tcW w:w="0" w:type="auto"/>
          </w:tcPr>
          <w:p w14:paraId="522DF4AD" w14:textId="29FFDA27"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tcPr>
          <w:p w14:paraId="4810685D" w14:textId="3B710E64"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c>
          <w:tcPr>
            <w:tcW w:w="0" w:type="auto"/>
          </w:tcPr>
          <w:p w14:paraId="3880979F" w14:textId="2916F5ED"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r>
      <w:tr w:rsidR="00181CB4" w:rsidRPr="00A10939" w14:paraId="7C98F344" w14:textId="77777777" w:rsidTr="00A10939">
        <w:trPr>
          <w:jc w:val="center"/>
        </w:trPr>
        <w:tc>
          <w:tcPr>
            <w:tcW w:w="990" w:type="dxa"/>
          </w:tcPr>
          <w:p w14:paraId="5AAB1AC0" w14:textId="29417CD4"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AFC2</w:t>
            </w:r>
          </w:p>
        </w:tc>
        <w:tc>
          <w:tcPr>
            <w:tcW w:w="0" w:type="auto"/>
          </w:tcPr>
          <w:p w14:paraId="712E23F2" w14:textId="58778021"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27</w:t>
            </w:r>
          </w:p>
        </w:tc>
        <w:tc>
          <w:tcPr>
            <w:tcW w:w="0" w:type="auto"/>
          </w:tcPr>
          <w:p w14:paraId="1225DFD8" w14:textId="46017FB4"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c>
          <w:tcPr>
            <w:tcW w:w="0" w:type="auto"/>
          </w:tcPr>
          <w:p w14:paraId="52092EB8" w14:textId="333C9936"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tcPr>
          <w:p w14:paraId="45522D19" w14:textId="2C31465E"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5EF39EB9" w14:textId="77777777" w:rsidTr="00A10939">
        <w:trPr>
          <w:jc w:val="center"/>
        </w:trPr>
        <w:tc>
          <w:tcPr>
            <w:tcW w:w="990" w:type="dxa"/>
          </w:tcPr>
          <w:p w14:paraId="12B97A15" w14:textId="3DDCA6B9"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AFC3</w:t>
            </w:r>
          </w:p>
        </w:tc>
        <w:tc>
          <w:tcPr>
            <w:tcW w:w="0" w:type="auto"/>
          </w:tcPr>
          <w:p w14:paraId="708D2D33" w14:textId="536FC3C0"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28</w:t>
            </w:r>
          </w:p>
        </w:tc>
        <w:tc>
          <w:tcPr>
            <w:tcW w:w="0" w:type="auto"/>
          </w:tcPr>
          <w:p w14:paraId="730BF8DB" w14:textId="2D536555"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tcPr>
          <w:p w14:paraId="2D56E92A" w14:textId="43643F47"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c>
          <w:tcPr>
            <w:tcW w:w="0" w:type="auto"/>
          </w:tcPr>
          <w:p w14:paraId="7A3BB09E" w14:textId="5AF2C9DA"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41B0546A" w14:textId="77777777" w:rsidTr="00A10939">
        <w:trPr>
          <w:jc w:val="center"/>
        </w:trPr>
        <w:tc>
          <w:tcPr>
            <w:tcW w:w="990" w:type="dxa"/>
          </w:tcPr>
          <w:p w14:paraId="431D0CD4" w14:textId="5C8DB398"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AFC4</w:t>
            </w:r>
          </w:p>
        </w:tc>
        <w:tc>
          <w:tcPr>
            <w:tcW w:w="0" w:type="auto"/>
          </w:tcPr>
          <w:p w14:paraId="4C81F0E4" w14:textId="15ED5D85"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29</w:t>
            </w:r>
          </w:p>
        </w:tc>
        <w:tc>
          <w:tcPr>
            <w:tcW w:w="0" w:type="auto"/>
          </w:tcPr>
          <w:p w14:paraId="3003266F" w14:textId="29A19500"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c>
          <w:tcPr>
            <w:tcW w:w="0" w:type="auto"/>
          </w:tcPr>
          <w:p w14:paraId="03E62E5E" w14:textId="7B82AC12"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0.81</w:t>
            </w:r>
          </w:p>
        </w:tc>
        <w:tc>
          <w:tcPr>
            <w:tcW w:w="0" w:type="auto"/>
          </w:tcPr>
          <w:p w14:paraId="308D8EE9" w14:textId="0820A054"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406BD1D8" w14:textId="77777777" w:rsidTr="00A10939">
        <w:trPr>
          <w:jc w:val="center"/>
        </w:trPr>
        <w:tc>
          <w:tcPr>
            <w:tcW w:w="990" w:type="dxa"/>
          </w:tcPr>
          <w:p w14:paraId="24A34332" w14:textId="0E268DBB"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AFC5</w:t>
            </w:r>
          </w:p>
        </w:tc>
        <w:tc>
          <w:tcPr>
            <w:tcW w:w="0" w:type="auto"/>
          </w:tcPr>
          <w:p w14:paraId="2655A317" w14:textId="49F7D51A"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30</w:t>
            </w:r>
          </w:p>
        </w:tc>
        <w:tc>
          <w:tcPr>
            <w:tcW w:w="0" w:type="auto"/>
          </w:tcPr>
          <w:p w14:paraId="3E5E7F99" w14:textId="61D773C7"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c>
          <w:tcPr>
            <w:tcW w:w="0" w:type="auto"/>
          </w:tcPr>
          <w:p w14:paraId="4A51ED0B" w14:textId="019A4974"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c>
          <w:tcPr>
            <w:tcW w:w="0" w:type="auto"/>
          </w:tcPr>
          <w:p w14:paraId="43FF9E61" w14:textId="0DE4E951"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bl>
    <w:p w14:paraId="1FD15BAF" w14:textId="0786AAD0" w:rsidR="007C382D" w:rsidRPr="00D45D63" w:rsidRDefault="002A7B81" w:rsidP="002A7B81">
      <w:pPr>
        <w:spacing w:after="0" w:line="360" w:lineRule="auto"/>
        <w:jc w:val="center"/>
        <w:rPr>
          <w:rFonts w:ascii="Times New Roman" w:hAnsi="Times New Roman" w:cs="Times New Roman"/>
          <w:sz w:val="24"/>
          <w:szCs w:val="24"/>
        </w:rPr>
      </w:pPr>
      <w:r w:rsidRPr="00D45D63">
        <w:rPr>
          <w:rFonts w:ascii="Times New Roman" w:hAnsi="Times New Roman" w:cs="Times New Roman"/>
          <w:sz w:val="24"/>
          <w:szCs w:val="24"/>
        </w:rPr>
        <w:t>Fuente: Elaboración propia</w:t>
      </w:r>
    </w:p>
    <w:p w14:paraId="197D7276" w14:textId="5A311F82" w:rsidR="007C382D" w:rsidRPr="00D45D63" w:rsidRDefault="007C382D" w:rsidP="00A1093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La tabla 15 presenta los resultados obtenidos para cada uno de los ítems de los constructos de Gestión del</w:t>
      </w:r>
      <w:r w:rsidR="00AF2CEF" w:rsidRPr="00D45D63">
        <w:rPr>
          <w:rFonts w:ascii="Times New Roman" w:hAnsi="Times New Roman" w:cs="Times New Roman"/>
          <w:sz w:val="24"/>
          <w:szCs w:val="24"/>
        </w:rPr>
        <w:t xml:space="preserve"> </w:t>
      </w:r>
      <w:r w:rsidRPr="00D45D63">
        <w:rPr>
          <w:rFonts w:ascii="Times New Roman" w:hAnsi="Times New Roman" w:cs="Times New Roman"/>
          <w:sz w:val="24"/>
          <w:szCs w:val="24"/>
        </w:rPr>
        <w:t>Conocimiento, Liderazgo y Compromiso y Agilidad Organizacional.</w:t>
      </w:r>
    </w:p>
    <w:p w14:paraId="2992949F" w14:textId="77777777" w:rsidR="00AF2CEF" w:rsidRPr="00D45D63" w:rsidRDefault="00AF2CEF" w:rsidP="00AF2CEF">
      <w:pPr>
        <w:spacing w:after="0" w:line="360" w:lineRule="auto"/>
        <w:jc w:val="both"/>
        <w:rPr>
          <w:rFonts w:ascii="Times New Roman" w:hAnsi="Times New Roman" w:cs="Times New Roman"/>
          <w:sz w:val="24"/>
          <w:szCs w:val="24"/>
        </w:rPr>
      </w:pPr>
    </w:p>
    <w:p w14:paraId="7C9CE1B2" w14:textId="10342F92" w:rsidR="007C382D" w:rsidRPr="00D45D63" w:rsidRDefault="007C382D" w:rsidP="00A10939">
      <w:pPr>
        <w:spacing w:after="0" w:line="360" w:lineRule="auto"/>
        <w:jc w:val="center"/>
        <w:rPr>
          <w:rFonts w:ascii="Times New Roman" w:hAnsi="Times New Roman" w:cs="Times New Roman"/>
          <w:sz w:val="24"/>
          <w:szCs w:val="24"/>
        </w:rPr>
      </w:pPr>
      <w:r w:rsidRPr="00A10939">
        <w:rPr>
          <w:rFonts w:ascii="Times New Roman" w:hAnsi="Times New Roman" w:cs="Times New Roman"/>
          <w:b/>
          <w:bCs/>
          <w:sz w:val="24"/>
          <w:szCs w:val="24"/>
        </w:rPr>
        <w:t>Tabla 15</w:t>
      </w:r>
      <w:r w:rsidR="00FE4589">
        <w:rPr>
          <w:rFonts w:ascii="Times New Roman" w:hAnsi="Times New Roman" w:cs="Times New Roman"/>
          <w:b/>
          <w:bCs/>
          <w:sz w:val="24"/>
          <w:szCs w:val="24"/>
        </w:rPr>
        <w:t>.</w:t>
      </w:r>
      <w:r w:rsidRPr="00D45D63">
        <w:rPr>
          <w:rFonts w:ascii="Times New Roman" w:hAnsi="Times New Roman" w:cs="Times New Roman"/>
          <w:sz w:val="24"/>
          <w:szCs w:val="24"/>
        </w:rPr>
        <w:t xml:space="preserve"> Coeficiente de Validación de Contenido para PACAP, RACAP y IFTT</w:t>
      </w:r>
    </w:p>
    <w:tbl>
      <w:tblPr>
        <w:tblStyle w:val="Tablaconcuadrcula"/>
        <w:tblW w:w="0" w:type="auto"/>
        <w:jc w:val="center"/>
        <w:tblCellMar>
          <w:left w:w="57" w:type="dxa"/>
          <w:right w:w="57" w:type="dxa"/>
        </w:tblCellMar>
        <w:tblLook w:val="04A0" w:firstRow="1" w:lastRow="0" w:firstColumn="1" w:lastColumn="0" w:noHBand="0" w:noVBand="1"/>
      </w:tblPr>
      <w:tblGrid>
        <w:gridCol w:w="1035"/>
        <w:gridCol w:w="554"/>
        <w:gridCol w:w="1181"/>
        <w:gridCol w:w="941"/>
        <w:gridCol w:w="1247"/>
      </w:tblGrid>
      <w:tr w:rsidR="00181CB4" w:rsidRPr="00A10939" w14:paraId="56C95903" w14:textId="77777777" w:rsidTr="00A10939">
        <w:trPr>
          <w:trHeight w:val="319"/>
          <w:jc w:val="center"/>
        </w:trPr>
        <w:tc>
          <w:tcPr>
            <w:tcW w:w="990" w:type="dxa"/>
            <w:vAlign w:val="center"/>
          </w:tcPr>
          <w:p w14:paraId="090472C7" w14:textId="77777777" w:rsidR="00BD4F7C" w:rsidRPr="00A10939" w:rsidRDefault="00BD4F7C" w:rsidP="008E79D6">
            <w:pPr>
              <w:jc w:val="center"/>
              <w:rPr>
                <w:rFonts w:ascii="Times New Roman" w:hAnsi="Times New Roman" w:cs="Times New Roman"/>
                <w:sz w:val="24"/>
                <w:szCs w:val="24"/>
              </w:rPr>
            </w:pPr>
            <w:r w:rsidRPr="00A10939">
              <w:rPr>
                <w:rFonts w:ascii="Times New Roman" w:hAnsi="Times New Roman" w:cs="Times New Roman"/>
                <w:sz w:val="24"/>
                <w:szCs w:val="24"/>
              </w:rPr>
              <w:t>Código</w:t>
            </w:r>
          </w:p>
        </w:tc>
        <w:tc>
          <w:tcPr>
            <w:tcW w:w="0" w:type="auto"/>
            <w:vAlign w:val="center"/>
          </w:tcPr>
          <w:p w14:paraId="0AB3E37C" w14:textId="77777777" w:rsidR="00BD4F7C" w:rsidRPr="00A10939" w:rsidRDefault="00BD4F7C" w:rsidP="008E79D6">
            <w:pPr>
              <w:jc w:val="center"/>
              <w:rPr>
                <w:rFonts w:ascii="Times New Roman" w:hAnsi="Times New Roman" w:cs="Times New Roman"/>
                <w:sz w:val="24"/>
                <w:szCs w:val="24"/>
              </w:rPr>
            </w:pPr>
            <w:r w:rsidRPr="00A10939">
              <w:rPr>
                <w:rFonts w:ascii="Times New Roman" w:hAnsi="Times New Roman" w:cs="Times New Roman"/>
                <w:sz w:val="24"/>
                <w:szCs w:val="24"/>
              </w:rPr>
              <w:t>Ítem</w:t>
            </w:r>
          </w:p>
        </w:tc>
        <w:tc>
          <w:tcPr>
            <w:tcW w:w="0" w:type="auto"/>
            <w:vAlign w:val="center"/>
          </w:tcPr>
          <w:p w14:paraId="322ABF73" w14:textId="77777777" w:rsidR="00BD4F7C" w:rsidRPr="00A10939" w:rsidRDefault="00BD4F7C" w:rsidP="008E79D6">
            <w:pPr>
              <w:jc w:val="center"/>
              <w:rPr>
                <w:rFonts w:ascii="Times New Roman" w:hAnsi="Times New Roman" w:cs="Times New Roman"/>
                <w:sz w:val="24"/>
                <w:szCs w:val="24"/>
              </w:rPr>
            </w:pPr>
            <w:r w:rsidRPr="00A10939">
              <w:rPr>
                <w:rFonts w:ascii="Times New Roman" w:hAnsi="Times New Roman" w:cs="Times New Roman"/>
                <w:sz w:val="24"/>
                <w:szCs w:val="24"/>
              </w:rPr>
              <w:t>Relevancia</w:t>
            </w:r>
          </w:p>
        </w:tc>
        <w:tc>
          <w:tcPr>
            <w:tcW w:w="0" w:type="auto"/>
            <w:vAlign w:val="center"/>
          </w:tcPr>
          <w:p w14:paraId="2CFF697B" w14:textId="77777777" w:rsidR="00BD4F7C" w:rsidRPr="00A10939" w:rsidRDefault="00BD4F7C" w:rsidP="008E79D6">
            <w:pPr>
              <w:jc w:val="center"/>
              <w:rPr>
                <w:rFonts w:ascii="Times New Roman" w:hAnsi="Times New Roman" w:cs="Times New Roman"/>
                <w:sz w:val="24"/>
                <w:szCs w:val="24"/>
              </w:rPr>
            </w:pPr>
            <w:r w:rsidRPr="00A10939">
              <w:rPr>
                <w:rFonts w:ascii="Times New Roman" w:hAnsi="Times New Roman" w:cs="Times New Roman"/>
                <w:sz w:val="24"/>
                <w:szCs w:val="24"/>
              </w:rPr>
              <w:t>Claridad</w:t>
            </w:r>
          </w:p>
        </w:tc>
        <w:tc>
          <w:tcPr>
            <w:tcW w:w="0" w:type="auto"/>
            <w:vAlign w:val="center"/>
          </w:tcPr>
          <w:p w14:paraId="5D7E7131" w14:textId="77777777" w:rsidR="00BD4F7C" w:rsidRPr="00A10939" w:rsidRDefault="00BD4F7C" w:rsidP="008E79D6">
            <w:pPr>
              <w:jc w:val="center"/>
              <w:rPr>
                <w:rFonts w:ascii="Times New Roman" w:hAnsi="Times New Roman" w:cs="Times New Roman"/>
                <w:sz w:val="24"/>
                <w:szCs w:val="24"/>
              </w:rPr>
            </w:pPr>
            <w:r w:rsidRPr="00A10939">
              <w:rPr>
                <w:rFonts w:ascii="Times New Roman" w:hAnsi="Times New Roman" w:cs="Times New Roman"/>
                <w:sz w:val="24"/>
                <w:szCs w:val="24"/>
              </w:rPr>
              <w:t>Neutralidad</w:t>
            </w:r>
          </w:p>
        </w:tc>
      </w:tr>
      <w:tr w:rsidR="00181CB4" w:rsidRPr="00A10939" w14:paraId="201B9CA2" w14:textId="77777777" w:rsidTr="00A10939">
        <w:trPr>
          <w:jc w:val="center"/>
        </w:trPr>
        <w:tc>
          <w:tcPr>
            <w:tcW w:w="990" w:type="dxa"/>
          </w:tcPr>
          <w:p w14:paraId="0568BDBB" w14:textId="31FA06CB"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PACAP1</w:t>
            </w:r>
          </w:p>
        </w:tc>
        <w:tc>
          <w:tcPr>
            <w:tcW w:w="0" w:type="auto"/>
          </w:tcPr>
          <w:p w14:paraId="1E436928" w14:textId="31778E74"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31</w:t>
            </w:r>
          </w:p>
        </w:tc>
        <w:tc>
          <w:tcPr>
            <w:tcW w:w="0" w:type="auto"/>
          </w:tcPr>
          <w:p w14:paraId="1B25DC2E" w14:textId="7CA792BE"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c>
          <w:tcPr>
            <w:tcW w:w="0" w:type="auto"/>
          </w:tcPr>
          <w:p w14:paraId="167C907A" w14:textId="257AF99D"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tcPr>
          <w:p w14:paraId="43BF61E6" w14:textId="5B586BEF"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5EA2713C" w14:textId="77777777" w:rsidTr="00A10939">
        <w:trPr>
          <w:jc w:val="center"/>
        </w:trPr>
        <w:tc>
          <w:tcPr>
            <w:tcW w:w="990" w:type="dxa"/>
          </w:tcPr>
          <w:p w14:paraId="5E54B1CA" w14:textId="0C9A2C7B"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PACAP2</w:t>
            </w:r>
          </w:p>
        </w:tc>
        <w:tc>
          <w:tcPr>
            <w:tcW w:w="0" w:type="auto"/>
          </w:tcPr>
          <w:p w14:paraId="72358266" w14:textId="20AED44B"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32</w:t>
            </w:r>
          </w:p>
        </w:tc>
        <w:tc>
          <w:tcPr>
            <w:tcW w:w="0" w:type="auto"/>
          </w:tcPr>
          <w:p w14:paraId="09D8721A" w14:textId="68E9E760"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tcPr>
          <w:p w14:paraId="4F9E0A6A" w14:textId="6B81B6F9"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c>
          <w:tcPr>
            <w:tcW w:w="0" w:type="auto"/>
          </w:tcPr>
          <w:p w14:paraId="7D025C78" w14:textId="668F48A9"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379DC18A" w14:textId="77777777" w:rsidTr="00A10939">
        <w:trPr>
          <w:jc w:val="center"/>
        </w:trPr>
        <w:tc>
          <w:tcPr>
            <w:tcW w:w="990" w:type="dxa"/>
          </w:tcPr>
          <w:p w14:paraId="18DEFE90" w14:textId="57F559A6"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PACAP3</w:t>
            </w:r>
          </w:p>
        </w:tc>
        <w:tc>
          <w:tcPr>
            <w:tcW w:w="0" w:type="auto"/>
          </w:tcPr>
          <w:p w14:paraId="3DD8A624" w14:textId="259A5BC4"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33</w:t>
            </w:r>
          </w:p>
        </w:tc>
        <w:tc>
          <w:tcPr>
            <w:tcW w:w="0" w:type="auto"/>
          </w:tcPr>
          <w:p w14:paraId="3B6A8606" w14:textId="1B1F637E"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tcPr>
          <w:p w14:paraId="00A470F2" w14:textId="7EB073A5"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tcPr>
          <w:p w14:paraId="3F8DA272" w14:textId="1C2D5642"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684A2C5E" w14:textId="77777777" w:rsidTr="00A10939">
        <w:trPr>
          <w:jc w:val="center"/>
        </w:trPr>
        <w:tc>
          <w:tcPr>
            <w:tcW w:w="990" w:type="dxa"/>
          </w:tcPr>
          <w:p w14:paraId="3A168D12" w14:textId="0EF33365"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PACAP4</w:t>
            </w:r>
          </w:p>
        </w:tc>
        <w:tc>
          <w:tcPr>
            <w:tcW w:w="0" w:type="auto"/>
          </w:tcPr>
          <w:p w14:paraId="0E2EBF63" w14:textId="6B717918"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34</w:t>
            </w:r>
          </w:p>
        </w:tc>
        <w:tc>
          <w:tcPr>
            <w:tcW w:w="0" w:type="auto"/>
          </w:tcPr>
          <w:p w14:paraId="3270F642" w14:textId="4E09A184"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c>
          <w:tcPr>
            <w:tcW w:w="0" w:type="auto"/>
          </w:tcPr>
          <w:p w14:paraId="32A40BC8" w14:textId="4ED69DBA"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tcPr>
          <w:p w14:paraId="5A64CE46" w14:textId="0149367E"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3215354B" w14:textId="77777777" w:rsidTr="00A10939">
        <w:trPr>
          <w:jc w:val="center"/>
        </w:trPr>
        <w:tc>
          <w:tcPr>
            <w:tcW w:w="990" w:type="dxa"/>
          </w:tcPr>
          <w:p w14:paraId="0095034B" w14:textId="7CB10AD2"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PACAP5</w:t>
            </w:r>
          </w:p>
        </w:tc>
        <w:tc>
          <w:tcPr>
            <w:tcW w:w="0" w:type="auto"/>
          </w:tcPr>
          <w:p w14:paraId="6FAC125C" w14:textId="235DBDD6"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35</w:t>
            </w:r>
          </w:p>
        </w:tc>
        <w:tc>
          <w:tcPr>
            <w:tcW w:w="0" w:type="auto"/>
          </w:tcPr>
          <w:p w14:paraId="37494384" w14:textId="1DD2B3D6"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tcPr>
          <w:p w14:paraId="10AFFA25" w14:textId="2499B89D"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c>
          <w:tcPr>
            <w:tcW w:w="0" w:type="auto"/>
          </w:tcPr>
          <w:p w14:paraId="4A1C1317" w14:textId="5C1DFE5A"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3408FCBB" w14:textId="77777777" w:rsidTr="00A10939">
        <w:trPr>
          <w:jc w:val="center"/>
        </w:trPr>
        <w:tc>
          <w:tcPr>
            <w:tcW w:w="990" w:type="dxa"/>
          </w:tcPr>
          <w:p w14:paraId="72AA5336" w14:textId="5857D09E"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RACAP1</w:t>
            </w:r>
          </w:p>
        </w:tc>
        <w:tc>
          <w:tcPr>
            <w:tcW w:w="0" w:type="auto"/>
          </w:tcPr>
          <w:p w14:paraId="0B473E13" w14:textId="48E3C2EC"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36</w:t>
            </w:r>
          </w:p>
        </w:tc>
        <w:tc>
          <w:tcPr>
            <w:tcW w:w="0" w:type="auto"/>
          </w:tcPr>
          <w:p w14:paraId="47251154" w14:textId="42068FC6"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tcPr>
          <w:p w14:paraId="7416A6B8" w14:textId="29560C44"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c>
          <w:tcPr>
            <w:tcW w:w="0" w:type="auto"/>
          </w:tcPr>
          <w:p w14:paraId="2406CD91" w14:textId="4AA1B41C"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1F1C778A" w14:textId="77777777" w:rsidTr="00A10939">
        <w:trPr>
          <w:jc w:val="center"/>
        </w:trPr>
        <w:tc>
          <w:tcPr>
            <w:tcW w:w="990" w:type="dxa"/>
          </w:tcPr>
          <w:p w14:paraId="57D46F98" w14:textId="41E0723B"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RACAP2</w:t>
            </w:r>
          </w:p>
        </w:tc>
        <w:tc>
          <w:tcPr>
            <w:tcW w:w="0" w:type="auto"/>
          </w:tcPr>
          <w:p w14:paraId="0BC9F602" w14:textId="276569CD"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37</w:t>
            </w:r>
          </w:p>
        </w:tc>
        <w:tc>
          <w:tcPr>
            <w:tcW w:w="0" w:type="auto"/>
          </w:tcPr>
          <w:p w14:paraId="5DEF71C2" w14:textId="10B2A3CE"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0.81</w:t>
            </w:r>
          </w:p>
        </w:tc>
        <w:tc>
          <w:tcPr>
            <w:tcW w:w="0" w:type="auto"/>
          </w:tcPr>
          <w:p w14:paraId="45EC00CF" w14:textId="0E7984FF"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tcPr>
          <w:p w14:paraId="09E7DD2B" w14:textId="19AD6148"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0241AC27" w14:textId="77777777" w:rsidTr="00A10939">
        <w:trPr>
          <w:jc w:val="center"/>
        </w:trPr>
        <w:tc>
          <w:tcPr>
            <w:tcW w:w="990" w:type="dxa"/>
          </w:tcPr>
          <w:p w14:paraId="2222B676" w14:textId="78F0DF66"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RACAP3</w:t>
            </w:r>
          </w:p>
        </w:tc>
        <w:tc>
          <w:tcPr>
            <w:tcW w:w="0" w:type="auto"/>
          </w:tcPr>
          <w:p w14:paraId="28BE91BA" w14:textId="50856247"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38</w:t>
            </w:r>
          </w:p>
        </w:tc>
        <w:tc>
          <w:tcPr>
            <w:tcW w:w="0" w:type="auto"/>
          </w:tcPr>
          <w:p w14:paraId="31E963A3" w14:textId="3ED998D3"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tcPr>
          <w:p w14:paraId="61A0409A" w14:textId="7C696973"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c>
          <w:tcPr>
            <w:tcW w:w="0" w:type="auto"/>
          </w:tcPr>
          <w:p w14:paraId="5BDB2C5C" w14:textId="46C016F8"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7DE64E9A" w14:textId="77777777" w:rsidTr="00A10939">
        <w:trPr>
          <w:jc w:val="center"/>
        </w:trPr>
        <w:tc>
          <w:tcPr>
            <w:tcW w:w="990" w:type="dxa"/>
          </w:tcPr>
          <w:p w14:paraId="2C7608C5" w14:textId="2D421D80"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RACAP4</w:t>
            </w:r>
          </w:p>
        </w:tc>
        <w:tc>
          <w:tcPr>
            <w:tcW w:w="0" w:type="auto"/>
          </w:tcPr>
          <w:p w14:paraId="473B34AD" w14:textId="31BA4E3A"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39</w:t>
            </w:r>
          </w:p>
        </w:tc>
        <w:tc>
          <w:tcPr>
            <w:tcW w:w="0" w:type="auto"/>
          </w:tcPr>
          <w:p w14:paraId="4560A9CA" w14:textId="6CF4A0F8"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c>
          <w:tcPr>
            <w:tcW w:w="0" w:type="auto"/>
          </w:tcPr>
          <w:p w14:paraId="285E752A" w14:textId="73EA60EC"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c>
          <w:tcPr>
            <w:tcW w:w="0" w:type="auto"/>
          </w:tcPr>
          <w:p w14:paraId="4AC18A5F" w14:textId="562829EA"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558D6E47" w14:textId="77777777" w:rsidTr="00A10939">
        <w:trPr>
          <w:jc w:val="center"/>
        </w:trPr>
        <w:tc>
          <w:tcPr>
            <w:tcW w:w="990" w:type="dxa"/>
          </w:tcPr>
          <w:p w14:paraId="07625FF6" w14:textId="7E0CD336"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RACAP5</w:t>
            </w:r>
          </w:p>
        </w:tc>
        <w:tc>
          <w:tcPr>
            <w:tcW w:w="0" w:type="auto"/>
          </w:tcPr>
          <w:p w14:paraId="64081723" w14:textId="6E9CE11B"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40</w:t>
            </w:r>
          </w:p>
        </w:tc>
        <w:tc>
          <w:tcPr>
            <w:tcW w:w="0" w:type="auto"/>
          </w:tcPr>
          <w:p w14:paraId="256C9174" w14:textId="7E9314F9"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c>
          <w:tcPr>
            <w:tcW w:w="0" w:type="auto"/>
          </w:tcPr>
          <w:p w14:paraId="5114CCA8" w14:textId="58410111"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tcPr>
          <w:p w14:paraId="25FC27BE" w14:textId="43EE9B54"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7BDFA291" w14:textId="77777777" w:rsidTr="00A10939">
        <w:trPr>
          <w:jc w:val="center"/>
        </w:trPr>
        <w:tc>
          <w:tcPr>
            <w:tcW w:w="990" w:type="dxa"/>
          </w:tcPr>
          <w:p w14:paraId="2DCC73DC" w14:textId="5C602782"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IFTT1</w:t>
            </w:r>
          </w:p>
        </w:tc>
        <w:tc>
          <w:tcPr>
            <w:tcW w:w="0" w:type="auto"/>
          </w:tcPr>
          <w:p w14:paraId="17857F23" w14:textId="603FD7A3"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41</w:t>
            </w:r>
          </w:p>
        </w:tc>
        <w:tc>
          <w:tcPr>
            <w:tcW w:w="0" w:type="auto"/>
          </w:tcPr>
          <w:p w14:paraId="776B2EBD" w14:textId="21CCCD69"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tcPr>
          <w:p w14:paraId="65ECFE5F" w14:textId="5D2A2CA8"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tcPr>
          <w:p w14:paraId="4FE76A23" w14:textId="3B74DFEC"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0.91</w:t>
            </w:r>
          </w:p>
        </w:tc>
      </w:tr>
      <w:tr w:rsidR="00181CB4" w:rsidRPr="00A10939" w14:paraId="5E4FA802" w14:textId="77777777" w:rsidTr="00A10939">
        <w:trPr>
          <w:jc w:val="center"/>
        </w:trPr>
        <w:tc>
          <w:tcPr>
            <w:tcW w:w="990" w:type="dxa"/>
          </w:tcPr>
          <w:p w14:paraId="4D6C9D6B" w14:textId="7CAFA5A4"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IFTT2</w:t>
            </w:r>
          </w:p>
        </w:tc>
        <w:tc>
          <w:tcPr>
            <w:tcW w:w="0" w:type="auto"/>
          </w:tcPr>
          <w:p w14:paraId="5ADFFEBE" w14:textId="365A6110"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42</w:t>
            </w:r>
          </w:p>
        </w:tc>
        <w:tc>
          <w:tcPr>
            <w:tcW w:w="0" w:type="auto"/>
          </w:tcPr>
          <w:p w14:paraId="5E3C95F0" w14:textId="786366EC"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tcPr>
          <w:p w14:paraId="55510D00" w14:textId="2CB2DEE2"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tcPr>
          <w:p w14:paraId="216C99A9" w14:textId="30A72F60"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223B0A0C" w14:textId="77777777" w:rsidTr="00A10939">
        <w:trPr>
          <w:jc w:val="center"/>
        </w:trPr>
        <w:tc>
          <w:tcPr>
            <w:tcW w:w="990" w:type="dxa"/>
          </w:tcPr>
          <w:p w14:paraId="30ED36BC" w14:textId="2C6B4503"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IFTT3</w:t>
            </w:r>
          </w:p>
        </w:tc>
        <w:tc>
          <w:tcPr>
            <w:tcW w:w="0" w:type="auto"/>
          </w:tcPr>
          <w:p w14:paraId="17599441" w14:textId="75D620DD"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43</w:t>
            </w:r>
          </w:p>
        </w:tc>
        <w:tc>
          <w:tcPr>
            <w:tcW w:w="0" w:type="auto"/>
          </w:tcPr>
          <w:p w14:paraId="62993FCD" w14:textId="4AE05817"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tcPr>
          <w:p w14:paraId="2C319289" w14:textId="6E342608"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tcPr>
          <w:p w14:paraId="04CF5D4D" w14:textId="6ABA4D21"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0A7A00C4" w14:textId="77777777" w:rsidTr="00A10939">
        <w:trPr>
          <w:jc w:val="center"/>
        </w:trPr>
        <w:tc>
          <w:tcPr>
            <w:tcW w:w="990" w:type="dxa"/>
          </w:tcPr>
          <w:p w14:paraId="4DFD353E" w14:textId="60015DE2"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IFTT4</w:t>
            </w:r>
          </w:p>
        </w:tc>
        <w:tc>
          <w:tcPr>
            <w:tcW w:w="0" w:type="auto"/>
          </w:tcPr>
          <w:p w14:paraId="05F05EEC" w14:textId="3216B7D1"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44</w:t>
            </w:r>
          </w:p>
        </w:tc>
        <w:tc>
          <w:tcPr>
            <w:tcW w:w="0" w:type="auto"/>
          </w:tcPr>
          <w:p w14:paraId="71763D94" w14:textId="27EABD02"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tcPr>
          <w:p w14:paraId="6025394B" w14:textId="0A7E9E30"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tcPr>
          <w:p w14:paraId="0F13ED0F" w14:textId="7F744320"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r w:rsidR="00181CB4" w:rsidRPr="00A10939" w14:paraId="49EE63AC" w14:textId="77777777" w:rsidTr="00A10939">
        <w:trPr>
          <w:jc w:val="center"/>
        </w:trPr>
        <w:tc>
          <w:tcPr>
            <w:tcW w:w="990" w:type="dxa"/>
          </w:tcPr>
          <w:p w14:paraId="057C080B" w14:textId="77CA44AD"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IFTT5</w:t>
            </w:r>
          </w:p>
        </w:tc>
        <w:tc>
          <w:tcPr>
            <w:tcW w:w="0" w:type="auto"/>
          </w:tcPr>
          <w:p w14:paraId="024D4140" w14:textId="5BBDB467"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45</w:t>
            </w:r>
          </w:p>
        </w:tc>
        <w:tc>
          <w:tcPr>
            <w:tcW w:w="0" w:type="auto"/>
          </w:tcPr>
          <w:p w14:paraId="68CCF104" w14:textId="0D847B0D"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tcPr>
          <w:p w14:paraId="19470C36" w14:textId="4D992ECB"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c>
          <w:tcPr>
            <w:tcW w:w="0" w:type="auto"/>
          </w:tcPr>
          <w:p w14:paraId="55AC315B" w14:textId="3C5D1AC7" w:rsidR="00BD4F7C" w:rsidRPr="00A10939" w:rsidRDefault="00BD4F7C" w:rsidP="00BD4F7C">
            <w:pPr>
              <w:spacing w:line="276" w:lineRule="auto"/>
              <w:jc w:val="center"/>
              <w:rPr>
                <w:rFonts w:ascii="Times New Roman" w:hAnsi="Times New Roman" w:cs="Times New Roman"/>
                <w:sz w:val="24"/>
                <w:szCs w:val="24"/>
              </w:rPr>
            </w:pPr>
            <w:r w:rsidRPr="00A10939">
              <w:rPr>
                <w:rFonts w:ascii="Times New Roman" w:hAnsi="Times New Roman" w:cs="Times New Roman"/>
                <w:sz w:val="24"/>
                <w:szCs w:val="24"/>
              </w:rPr>
              <w:t>1.00</w:t>
            </w:r>
          </w:p>
        </w:tc>
      </w:tr>
    </w:tbl>
    <w:p w14:paraId="09E41447" w14:textId="31BF48DA" w:rsidR="00AF2CEF" w:rsidRDefault="002A7B81" w:rsidP="002A7B81">
      <w:pPr>
        <w:spacing w:after="0" w:line="360" w:lineRule="auto"/>
        <w:jc w:val="center"/>
        <w:rPr>
          <w:rFonts w:ascii="Times New Roman" w:hAnsi="Times New Roman" w:cs="Times New Roman"/>
          <w:sz w:val="24"/>
          <w:szCs w:val="24"/>
        </w:rPr>
      </w:pPr>
      <w:r w:rsidRPr="00D45D63">
        <w:rPr>
          <w:rFonts w:ascii="Times New Roman" w:hAnsi="Times New Roman" w:cs="Times New Roman"/>
          <w:sz w:val="24"/>
          <w:szCs w:val="24"/>
        </w:rPr>
        <w:t>Fuente: Elaboración propia</w:t>
      </w:r>
    </w:p>
    <w:p w14:paraId="6DF23DEE" w14:textId="199A5F77" w:rsidR="007C382D" w:rsidRPr="00D45D63" w:rsidRDefault="007C382D" w:rsidP="00A1093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lastRenderedPageBreak/>
        <w:t>Los resultados obtenidos del Coeficiente de Validación de Contenido muestran que algunos ítems de</w:t>
      </w:r>
      <w:r w:rsidR="00AF2CEF" w:rsidRPr="00D45D63">
        <w:rPr>
          <w:rFonts w:ascii="Times New Roman" w:hAnsi="Times New Roman" w:cs="Times New Roman"/>
          <w:sz w:val="24"/>
          <w:szCs w:val="24"/>
        </w:rPr>
        <w:t xml:space="preserve"> </w:t>
      </w:r>
      <w:r w:rsidRPr="00D45D63">
        <w:rPr>
          <w:rFonts w:ascii="Times New Roman" w:hAnsi="Times New Roman" w:cs="Times New Roman"/>
          <w:sz w:val="24"/>
          <w:szCs w:val="24"/>
        </w:rPr>
        <w:t>los constructos de Cultura de Aprendizaje presentaron valores bajos de CVC, específicamente por debajo</w:t>
      </w:r>
      <w:r w:rsidR="00AF2CEF"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del umbral de 0.78, lo que </w:t>
      </w:r>
      <w:r w:rsidR="0047355F">
        <w:rPr>
          <w:rFonts w:ascii="Times New Roman" w:hAnsi="Times New Roman" w:cs="Times New Roman"/>
          <w:sz w:val="24"/>
          <w:szCs w:val="24"/>
        </w:rPr>
        <w:t>podía indicar</w:t>
      </w:r>
      <w:r w:rsidRPr="00D45D63">
        <w:rPr>
          <w:rFonts w:ascii="Times New Roman" w:hAnsi="Times New Roman" w:cs="Times New Roman"/>
          <w:sz w:val="24"/>
          <w:szCs w:val="24"/>
        </w:rPr>
        <w:t xml:space="preserve"> una necesidad de revisión (Pedrosa </w:t>
      </w:r>
      <w:r w:rsidR="005939C7">
        <w:rPr>
          <w:rFonts w:ascii="Times New Roman" w:hAnsi="Times New Roman" w:cs="Times New Roman"/>
          <w:sz w:val="24"/>
          <w:szCs w:val="24"/>
        </w:rPr>
        <w:t>et ál</w:t>
      </w:r>
      <w:r w:rsidRPr="00D45D63">
        <w:rPr>
          <w:rFonts w:ascii="Times New Roman" w:hAnsi="Times New Roman" w:cs="Times New Roman"/>
          <w:sz w:val="24"/>
          <w:szCs w:val="24"/>
        </w:rPr>
        <w:t>., 2013). Se recomienda evaluar</w:t>
      </w:r>
      <w:r w:rsidR="00AF2CEF" w:rsidRPr="00D45D63">
        <w:rPr>
          <w:rFonts w:ascii="Times New Roman" w:hAnsi="Times New Roman" w:cs="Times New Roman"/>
          <w:sz w:val="24"/>
          <w:szCs w:val="24"/>
        </w:rPr>
        <w:t xml:space="preserve"> </w:t>
      </w:r>
      <w:r w:rsidRPr="00D45D63">
        <w:rPr>
          <w:rFonts w:ascii="Times New Roman" w:hAnsi="Times New Roman" w:cs="Times New Roman"/>
          <w:sz w:val="24"/>
          <w:szCs w:val="24"/>
        </w:rPr>
        <w:t>la redacción de estos ítems para clarificar su contenido y asegurar que se alineen más precisamente con</w:t>
      </w:r>
      <w:r w:rsidR="00AF2CEF" w:rsidRPr="00D45D63">
        <w:rPr>
          <w:rFonts w:ascii="Times New Roman" w:hAnsi="Times New Roman" w:cs="Times New Roman"/>
          <w:sz w:val="24"/>
          <w:szCs w:val="24"/>
        </w:rPr>
        <w:t xml:space="preserve"> </w:t>
      </w:r>
      <w:r w:rsidRPr="00D45D63">
        <w:rPr>
          <w:rFonts w:ascii="Times New Roman" w:hAnsi="Times New Roman" w:cs="Times New Roman"/>
          <w:sz w:val="24"/>
          <w:szCs w:val="24"/>
        </w:rPr>
        <w:t>los constructos que pretenden medir. Además, es conveniente considerar si estos ítems se traslapan con</w:t>
      </w:r>
      <w:r w:rsidR="00AF2CEF" w:rsidRPr="00D45D63">
        <w:rPr>
          <w:rFonts w:ascii="Times New Roman" w:hAnsi="Times New Roman" w:cs="Times New Roman"/>
          <w:sz w:val="24"/>
          <w:szCs w:val="24"/>
        </w:rPr>
        <w:t xml:space="preserve"> </w:t>
      </w:r>
      <w:r w:rsidRPr="00D45D63">
        <w:rPr>
          <w:rFonts w:ascii="Times New Roman" w:hAnsi="Times New Roman" w:cs="Times New Roman"/>
          <w:sz w:val="24"/>
          <w:szCs w:val="24"/>
        </w:rPr>
        <w:t xml:space="preserve">otros o si las preguntas pueden ser interpretadas de múltiples maneras, lo que podría afectar la </w:t>
      </w:r>
      <w:r w:rsidR="00AF2CEF" w:rsidRPr="00D45D63">
        <w:rPr>
          <w:rFonts w:ascii="Times New Roman" w:hAnsi="Times New Roman" w:cs="Times New Roman"/>
          <w:sz w:val="24"/>
          <w:szCs w:val="24"/>
        </w:rPr>
        <w:t>consistencia de</w:t>
      </w:r>
      <w:r w:rsidRPr="00D45D63">
        <w:rPr>
          <w:rFonts w:ascii="Times New Roman" w:hAnsi="Times New Roman" w:cs="Times New Roman"/>
          <w:sz w:val="24"/>
          <w:szCs w:val="24"/>
        </w:rPr>
        <w:t xml:space="preserve"> las respuestas. Para estos fines, se ha consultado a expertos en la materia, quienes han proporcionado</w:t>
      </w:r>
      <w:r w:rsidR="00AF2CEF" w:rsidRPr="00D45D63">
        <w:rPr>
          <w:rFonts w:ascii="Times New Roman" w:hAnsi="Times New Roman" w:cs="Times New Roman"/>
          <w:sz w:val="24"/>
          <w:szCs w:val="24"/>
        </w:rPr>
        <w:t xml:space="preserve"> </w:t>
      </w:r>
      <w:r w:rsidRPr="00D45D63">
        <w:rPr>
          <w:rFonts w:ascii="Times New Roman" w:hAnsi="Times New Roman" w:cs="Times New Roman"/>
          <w:sz w:val="24"/>
          <w:szCs w:val="24"/>
        </w:rPr>
        <w:t>retroalimentación valiosa que será utilizada para hacer las modificaciones pertinentes y mejorar la calidad y</w:t>
      </w:r>
      <w:r w:rsidR="00AF2CEF" w:rsidRPr="00D45D63">
        <w:rPr>
          <w:rFonts w:ascii="Times New Roman" w:hAnsi="Times New Roman" w:cs="Times New Roman"/>
          <w:sz w:val="24"/>
          <w:szCs w:val="24"/>
        </w:rPr>
        <w:t xml:space="preserve"> </w:t>
      </w:r>
      <w:r w:rsidRPr="00D45D63">
        <w:rPr>
          <w:rFonts w:ascii="Times New Roman" w:hAnsi="Times New Roman" w:cs="Times New Roman"/>
          <w:sz w:val="24"/>
          <w:szCs w:val="24"/>
        </w:rPr>
        <w:t>eficacia del instrumento.</w:t>
      </w:r>
    </w:p>
    <w:p w14:paraId="2D3A7841" w14:textId="77777777" w:rsidR="00AF2CEF" w:rsidRPr="00D45D63" w:rsidRDefault="00AF2CEF" w:rsidP="00AF2CEF">
      <w:pPr>
        <w:spacing w:after="0" w:line="360" w:lineRule="auto"/>
        <w:jc w:val="both"/>
        <w:rPr>
          <w:rFonts w:ascii="Times New Roman" w:hAnsi="Times New Roman" w:cs="Times New Roman"/>
          <w:sz w:val="24"/>
          <w:szCs w:val="24"/>
        </w:rPr>
      </w:pPr>
    </w:p>
    <w:p w14:paraId="013ED671" w14:textId="209985AA" w:rsidR="007C382D" w:rsidRPr="00A10939" w:rsidRDefault="007C382D" w:rsidP="00700D41">
      <w:pPr>
        <w:spacing w:after="0" w:line="360" w:lineRule="auto"/>
        <w:jc w:val="center"/>
        <w:rPr>
          <w:rFonts w:ascii="Times New Roman" w:hAnsi="Times New Roman" w:cs="Times New Roman"/>
          <w:b/>
          <w:bCs/>
          <w:sz w:val="32"/>
          <w:szCs w:val="32"/>
        </w:rPr>
      </w:pPr>
      <w:r w:rsidRPr="00A10939">
        <w:rPr>
          <w:rFonts w:ascii="Times New Roman" w:hAnsi="Times New Roman" w:cs="Times New Roman"/>
          <w:b/>
          <w:bCs/>
          <w:sz w:val="32"/>
          <w:szCs w:val="32"/>
        </w:rPr>
        <w:t>Discusión</w:t>
      </w:r>
    </w:p>
    <w:p w14:paraId="56A6786B" w14:textId="2426A81A" w:rsidR="00F23447" w:rsidRPr="00D45D63" w:rsidRDefault="00EF3DA1" w:rsidP="00A10939">
      <w:pPr>
        <w:spacing w:after="0" w:line="360" w:lineRule="auto"/>
        <w:ind w:firstLine="709"/>
        <w:jc w:val="both"/>
        <w:rPr>
          <w:rFonts w:ascii="Times New Roman" w:hAnsi="Times New Roman" w:cs="Times New Roman"/>
          <w:sz w:val="24"/>
          <w:szCs w:val="24"/>
        </w:rPr>
      </w:pPr>
      <w:r w:rsidRPr="00EF3DA1">
        <w:rPr>
          <w:rFonts w:ascii="Times New Roman" w:hAnsi="Times New Roman" w:cs="Times New Roman"/>
          <w:sz w:val="24"/>
          <w:szCs w:val="24"/>
        </w:rPr>
        <w:t>La construcción de este instrumento se fundamentó en un sólido marco teórico, respaldado por un amplio consenso entre los jueces, lo que garantiza la correcta definición de las variables y la pertinencia de los ítems</w:t>
      </w:r>
      <w:r w:rsidR="00F23447" w:rsidRPr="00D45D63">
        <w:rPr>
          <w:rFonts w:ascii="Times New Roman" w:hAnsi="Times New Roman" w:cs="Times New Roman"/>
          <w:sz w:val="24"/>
          <w:szCs w:val="24"/>
        </w:rPr>
        <w:t xml:space="preserve">. Sin embargo, la limitada variabilidad en las evaluaciones de los jueces sugiere que los índices tradicionales, como el coeficiente de W de Kendall y el Kappa de </w:t>
      </w:r>
      <w:proofErr w:type="spellStart"/>
      <w:r w:rsidR="00F23447" w:rsidRPr="00D45D63">
        <w:rPr>
          <w:rFonts w:ascii="Times New Roman" w:hAnsi="Times New Roman" w:cs="Times New Roman"/>
          <w:sz w:val="24"/>
          <w:szCs w:val="24"/>
        </w:rPr>
        <w:t>Fleiss</w:t>
      </w:r>
      <w:proofErr w:type="spellEnd"/>
      <w:r w:rsidR="00F23447" w:rsidRPr="00D45D63">
        <w:rPr>
          <w:rFonts w:ascii="Times New Roman" w:hAnsi="Times New Roman" w:cs="Times New Roman"/>
          <w:sz w:val="24"/>
          <w:szCs w:val="24"/>
        </w:rPr>
        <w:t xml:space="preserve">, pueden no ser los más apropiados para este estudio. </w:t>
      </w:r>
      <w:r w:rsidRPr="00EF3DA1">
        <w:rPr>
          <w:rFonts w:ascii="Times New Roman" w:hAnsi="Times New Roman" w:cs="Times New Roman"/>
          <w:sz w:val="24"/>
          <w:szCs w:val="24"/>
        </w:rPr>
        <w:t>Por este motivo, se utilizó el índice Hernández-Nieto, que se adapta eficazmente al número limitado de evaluaciones de expertos y proporciona una medida robusta del acuerdo entre ellos</w:t>
      </w:r>
      <w:r w:rsidR="00F23447" w:rsidRPr="00D45D63">
        <w:rPr>
          <w:rFonts w:ascii="Times New Roman" w:hAnsi="Times New Roman" w:cs="Times New Roman"/>
          <w:sz w:val="24"/>
          <w:szCs w:val="24"/>
        </w:rPr>
        <w:t>.</w:t>
      </w:r>
    </w:p>
    <w:p w14:paraId="3544EC60" w14:textId="21CF2E0F" w:rsidR="00F23447" w:rsidRPr="00D45D63" w:rsidRDefault="00F23447" w:rsidP="00A1093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 xml:space="preserve">Este estudio también resalta que, al igual que en investigaciones previas como la de </w:t>
      </w:r>
      <w:proofErr w:type="spellStart"/>
      <w:r w:rsidRPr="00D45D63">
        <w:rPr>
          <w:rFonts w:ascii="Times New Roman" w:hAnsi="Times New Roman" w:cs="Times New Roman"/>
          <w:sz w:val="24"/>
          <w:szCs w:val="24"/>
        </w:rPr>
        <w:t>Vlačić</w:t>
      </w:r>
      <w:proofErr w:type="spellEnd"/>
      <w:r w:rsidRPr="00D45D63">
        <w:rPr>
          <w:rFonts w:ascii="Times New Roman" w:hAnsi="Times New Roman" w:cs="Times New Roman"/>
          <w:sz w:val="24"/>
          <w:szCs w:val="24"/>
        </w:rPr>
        <w:t xml:space="preserve"> </w:t>
      </w:r>
      <w:r w:rsidR="005939C7">
        <w:rPr>
          <w:rFonts w:ascii="Times New Roman" w:hAnsi="Times New Roman" w:cs="Times New Roman"/>
          <w:sz w:val="24"/>
          <w:szCs w:val="24"/>
        </w:rPr>
        <w:t>et ál</w:t>
      </w:r>
      <w:r w:rsidRPr="00D45D63">
        <w:rPr>
          <w:rFonts w:ascii="Times New Roman" w:hAnsi="Times New Roman" w:cs="Times New Roman"/>
          <w:sz w:val="24"/>
          <w:szCs w:val="24"/>
        </w:rPr>
        <w:t>. (201</w:t>
      </w:r>
      <w:r w:rsidR="001F72D1">
        <w:rPr>
          <w:rFonts w:ascii="Times New Roman" w:hAnsi="Times New Roman" w:cs="Times New Roman"/>
          <w:sz w:val="24"/>
          <w:szCs w:val="24"/>
        </w:rPr>
        <w:t>9</w:t>
      </w:r>
      <w:r w:rsidRPr="00D45D63">
        <w:rPr>
          <w:rFonts w:ascii="Times New Roman" w:hAnsi="Times New Roman" w:cs="Times New Roman"/>
          <w:sz w:val="24"/>
          <w:szCs w:val="24"/>
        </w:rPr>
        <w:t xml:space="preserve">), </w:t>
      </w:r>
      <w:r w:rsidR="00EF3DA1" w:rsidRPr="00EF3DA1">
        <w:rPr>
          <w:rFonts w:ascii="Times New Roman" w:hAnsi="Times New Roman" w:cs="Times New Roman"/>
          <w:sz w:val="24"/>
          <w:szCs w:val="24"/>
        </w:rPr>
        <w:t>la Capacidad de Absorción (ACAP) juega un papel crucial en el éxito organizacional, tanto en la adquisición como en la asimilación del conocimiento</w:t>
      </w:r>
      <w:r w:rsidRPr="00D45D63">
        <w:rPr>
          <w:rFonts w:ascii="Times New Roman" w:hAnsi="Times New Roman" w:cs="Times New Roman"/>
          <w:sz w:val="24"/>
          <w:szCs w:val="24"/>
        </w:rPr>
        <w:t xml:space="preserve">. Al igual que Kale </w:t>
      </w:r>
      <w:r w:rsidR="005939C7">
        <w:rPr>
          <w:rFonts w:ascii="Times New Roman" w:hAnsi="Times New Roman" w:cs="Times New Roman"/>
          <w:sz w:val="24"/>
          <w:szCs w:val="24"/>
        </w:rPr>
        <w:t>et ál</w:t>
      </w:r>
      <w:r w:rsidRPr="00D45D63">
        <w:rPr>
          <w:rFonts w:ascii="Times New Roman" w:hAnsi="Times New Roman" w:cs="Times New Roman"/>
          <w:sz w:val="24"/>
          <w:szCs w:val="24"/>
        </w:rPr>
        <w:t xml:space="preserve">. (2019), </w:t>
      </w:r>
      <w:r w:rsidR="008B5421" w:rsidRPr="008B5421">
        <w:rPr>
          <w:rFonts w:ascii="Times New Roman" w:hAnsi="Times New Roman" w:cs="Times New Roman"/>
          <w:sz w:val="24"/>
          <w:szCs w:val="24"/>
        </w:rPr>
        <w:t>quienes destacaron que el uso del conocimiento adquirido tiene un impacto directo en el rendimiento organizacional</w:t>
      </w:r>
      <w:r w:rsidRPr="00D45D63">
        <w:rPr>
          <w:rFonts w:ascii="Times New Roman" w:hAnsi="Times New Roman" w:cs="Times New Roman"/>
          <w:sz w:val="24"/>
          <w:szCs w:val="24"/>
        </w:rPr>
        <w:t xml:space="preserve">, nuestros hallazgos refuerzan la importancia de todas las dimensiones de ACAP, particularmente en el contexto de transferencia tecnológica </w:t>
      </w:r>
      <w:proofErr w:type="spellStart"/>
      <w:r w:rsidRPr="00D45D63">
        <w:rPr>
          <w:rFonts w:ascii="Times New Roman" w:hAnsi="Times New Roman" w:cs="Times New Roman"/>
          <w:sz w:val="24"/>
          <w:szCs w:val="24"/>
        </w:rPr>
        <w:t>Intraempresa</w:t>
      </w:r>
      <w:proofErr w:type="spellEnd"/>
      <w:r w:rsidRPr="00D45D63">
        <w:rPr>
          <w:rFonts w:ascii="Times New Roman" w:hAnsi="Times New Roman" w:cs="Times New Roman"/>
          <w:sz w:val="24"/>
          <w:szCs w:val="24"/>
        </w:rPr>
        <w:t>, donde la capacidad de adquirir y explotar conocimiento es clave para mejorar los procesos internos.</w:t>
      </w:r>
    </w:p>
    <w:p w14:paraId="32314885" w14:textId="0A134F20" w:rsidR="00D654FF" w:rsidRPr="00D45D63" w:rsidRDefault="008B5421" w:rsidP="00A10939">
      <w:pPr>
        <w:spacing w:after="0" w:line="360" w:lineRule="auto"/>
        <w:ind w:firstLine="709"/>
        <w:jc w:val="both"/>
        <w:rPr>
          <w:rFonts w:ascii="Times New Roman" w:hAnsi="Times New Roman" w:cs="Times New Roman"/>
          <w:sz w:val="24"/>
          <w:szCs w:val="24"/>
        </w:rPr>
      </w:pPr>
      <w:r w:rsidRPr="008B5421">
        <w:rPr>
          <w:rFonts w:ascii="Times New Roman" w:hAnsi="Times New Roman" w:cs="Times New Roman"/>
          <w:sz w:val="24"/>
          <w:szCs w:val="24"/>
        </w:rPr>
        <w:t>Aunque algunos ítems obtuvieron puntuaciones más bajas en claridad y relevancia, estas no comprometen la validez general del instrumento ni su capacidad para cumplir con los objetivos de la validación inicial</w:t>
      </w:r>
      <w:r w:rsidR="00D654FF" w:rsidRPr="00D654FF">
        <w:rPr>
          <w:rFonts w:ascii="Times New Roman" w:hAnsi="Times New Roman" w:cs="Times New Roman"/>
          <w:sz w:val="24"/>
          <w:szCs w:val="24"/>
        </w:rPr>
        <w:t>. Este documento aborda la validación inicial; sin embargo, se contempla una prueba piloto en una fase futura para confirmar su efectividad y realizar ajustes finales si es necesario.</w:t>
      </w:r>
    </w:p>
    <w:p w14:paraId="578A5D22" w14:textId="240643ED" w:rsidR="007C382D" w:rsidRPr="00D45D63" w:rsidRDefault="00F23447" w:rsidP="00A1093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lastRenderedPageBreak/>
        <w:t>Finalmente, el uso del índice Hernández-Nieto permitió superar las limitaciones presentadas por la baja variabilidad en las respuestas de los jueces, asegurando que los resultados obtenidos reflejen fielmente el consenso entre expertos, como lo exige la rigurosidad del proceso de validación. Esto refuerza no solo la validez del contenido del instrumento, sino también su aplicabilidad en distintos contextos empresariales, alineado con los desafíos que presentan los entornos dinámicos</w:t>
      </w:r>
      <w:r w:rsidR="005E526F" w:rsidRPr="00D45D63">
        <w:rPr>
          <w:rFonts w:ascii="Times New Roman" w:hAnsi="Times New Roman" w:cs="Times New Roman"/>
          <w:sz w:val="24"/>
          <w:szCs w:val="24"/>
        </w:rPr>
        <w:t>.</w:t>
      </w:r>
      <w:r w:rsidR="007C382D" w:rsidRPr="00D45D63">
        <w:rPr>
          <w:rFonts w:ascii="Times New Roman" w:hAnsi="Times New Roman" w:cs="Times New Roman"/>
          <w:sz w:val="24"/>
          <w:szCs w:val="24"/>
        </w:rPr>
        <w:t xml:space="preserve"> </w:t>
      </w:r>
    </w:p>
    <w:p w14:paraId="1AD83877" w14:textId="53A1A145" w:rsidR="007D4A83" w:rsidRDefault="007D4A83" w:rsidP="007C382D"/>
    <w:p w14:paraId="7223C441" w14:textId="0FB5EC0D" w:rsidR="007C382D" w:rsidRPr="00A10939" w:rsidRDefault="007C382D" w:rsidP="00700D41">
      <w:pPr>
        <w:spacing w:after="0" w:line="360" w:lineRule="auto"/>
        <w:jc w:val="center"/>
        <w:rPr>
          <w:rFonts w:ascii="Times New Roman" w:hAnsi="Times New Roman" w:cs="Times New Roman"/>
          <w:b/>
          <w:bCs/>
          <w:sz w:val="32"/>
          <w:szCs w:val="32"/>
        </w:rPr>
      </w:pPr>
      <w:r w:rsidRPr="00A10939">
        <w:rPr>
          <w:rFonts w:ascii="Times New Roman" w:hAnsi="Times New Roman" w:cs="Times New Roman"/>
          <w:b/>
          <w:bCs/>
          <w:sz w:val="32"/>
          <w:szCs w:val="32"/>
        </w:rPr>
        <w:t>Conclusiones</w:t>
      </w:r>
    </w:p>
    <w:p w14:paraId="65F40A03" w14:textId="7A0BBF30" w:rsidR="005E6EE7" w:rsidRPr="00D45D63" w:rsidRDefault="005E6EE7" w:rsidP="00A1093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 xml:space="preserve">Este estudio ha logrado validar el instrumento de medición diseñado para evaluar los factores críticos de éxito en el proceso de transferencia de tecnología </w:t>
      </w:r>
      <w:proofErr w:type="spellStart"/>
      <w:r w:rsidRPr="00D45D63">
        <w:rPr>
          <w:rFonts w:ascii="Times New Roman" w:hAnsi="Times New Roman" w:cs="Times New Roman"/>
          <w:sz w:val="24"/>
          <w:szCs w:val="24"/>
        </w:rPr>
        <w:t>intraempresarial</w:t>
      </w:r>
      <w:proofErr w:type="spellEnd"/>
      <w:r w:rsidRPr="00D45D63">
        <w:rPr>
          <w:rFonts w:ascii="Times New Roman" w:hAnsi="Times New Roman" w:cs="Times New Roman"/>
          <w:sz w:val="24"/>
          <w:szCs w:val="24"/>
        </w:rPr>
        <w:t xml:space="preserve">. </w:t>
      </w:r>
      <w:r w:rsidR="008B5421" w:rsidRPr="008B5421">
        <w:rPr>
          <w:rFonts w:ascii="Times New Roman" w:hAnsi="Times New Roman" w:cs="Times New Roman"/>
          <w:sz w:val="24"/>
          <w:szCs w:val="24"/>
        </w:rPr>
        <w:t>A lo largo del proceso, se han superado desafíos, como la limitada variabilidad en las respuestas de los jueces, mediante la implementación de metodologías adecuadas, asegurando una evaluación precisa y confiable de los ítems</w:t>
      </w:r>
      <w:r w:rsidRPr="00D45D63">
        <w:rPr>
          <w:rFonts w:ascii="Times New Roman" w:hAnsi="Times New Roman" w:cs="Times New Roman"/>
          <w:sz w:val="24"/>
          <w:szCs w:val="24"/>
        </w:rPr>
        <w:t>.</w:t>
      </w:r>
    </w:p>
    <w:p w14:paraId="1695AEC6" w14:textId="104417E6" w:rsidR="005E6EE7" w:rsidRPr="00D45D63" w:rsidRDefault="005E6EE7" w:rsidP="00A1093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 xml:space="preserve">Los resultados obtenidos destacan que la capacidad de las empresas para adquirir, asimilar y explotar conocimiento interno y externo es fundamental para el éxito en la transferencia de tecnología. </w:t>
      </w:r>
      <w:r w:rsidR="008B5421" w:rsidRPr="008B5421">
        <w:rPr>
          <w:rFonts w:ascii="Times New Roman" w:hAnsi="Times New Roman" w:cs="Times New Roman"/>
          <w:sz w:val="24"/>
          <w:szCs w:val="24"/>
        </w:rPr>
        <w:t>El instrumento validado ha demostrado ser eficaz para medir estos factores, proporcionando una comprensión integral de cómo las empresas pueden optimizar sus procesos internos y facilitar una transferencia tecnológica efectiva</w:t>
      </w:r>
      <w:r w:rsidRPr="00D45D63">
        <w:rPr>
          <w:rFonts w:ascii="Times New Roman" w:hAnsi="Times New Roman" w:cs="Times New Roman"/>
          <w:sz w:val="24"/>
          <w:szCs w:val="24"/>
        </w:rPr>
        <w:t>.</w:t>
      </w:r>
    </w:p>
    <w:p w14:paraId="32F4E9B9" w14:textId="346B9A29" w:rsidR="00F21FFC" w:rsidRPr="00D45D63" w:rsidRDefault="005E6EE7" w:rsidP="00A1093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 xml:space="preserve">A pesar de las limitaciones observadas, este estudio ha establecido una base sólida para la aplicación futura del instrumento en diferentes contextos organizacionales. </w:t>
      </w:r>
      <w:r w:rsidR="008B5421" w:rsidRPr="008B5421">
        <w:rPr>
          <w:rFonts w:ascii="Times New Roman" w:hAnsi="Times New Roman" w:cs="Times New Roman"/>
          <w:sz w:val="24"/>
          <w:szCs w:val="24"/>
        </w:rPr>
        <w:t>La consistencia en las evaluaciones de los expertos confirma la validez del contenido y sugiere que el instrumento puede aplicarse de manera confiable en futuras investigaciones y entornos empresariales diversos</w:t>
      </w:r>
      <w:r w:rsidRPr="00D45D63">
        <w:rPr>
          <w:rFonts w:ascii="Times New Roman" w:hAnsi="Times New Roman" w:cs="Times New Roman"/>
          <w:sz w:val="24"/>
          <w:szCs w:val="24"/>
        </w:rPr>
        <w:t>.</w:t>
      </w:r>
    </w:p>
    <w:p w14:paraId="0A8B64B7" w14:textId="77777777" w:rsidR="005E6EE7" w:rsidRPr="00D45D63" w:rsidRDefault="005E6EE7" w:rsidP="005E6EE7">
      <w:pPr>
        <w:spacing w:after="0" w:line="360" w:lineRule="auto"/>
        <w:jc w:val="both"/>
        <w:rPr>
          <w:rFonts w:ascii="Times New Roman" w:hAnsi="Times New Roman" w:cs="Times New Roman"/>
          <w:sz w:val="24"/>
          <w:szCs w:val="24"/>
        </w:rPr>
      </w:pPr>
    </w:p>
    <w:p w14:paraId="23E8E455" w14:textId="7B130013" w:rsidR="00F21FFC" w:rsidRPr="00D45D63" w:rsidRDefault="00F21FFC" w:rsidP="00F21FFC">
      <w:pPr>
        <w:spacing w:after="0" w:line="360" w:lineRule="auto"/>
        <w:jc w:val="center"/>
        <w:rPr>
          <w:rFonts w:ascii="Times New Roman" w:hAnsi="Times New Roman" w:cs="Times New Roman"/>
          <w:b/>
          <w:bCs/>
          <w:sz w:val="28"/>
          <w:szCs w:val="28"/>
        </w:rPr>
      </w:pPr>
      <w:r w:rsidRPr="00D45D63">
        <w:rPr>
          <w:rFonts w:ascii="Times New Roman" w:hAnsi="Times New Roman" w:cs="Times New Roman"/>
          <w:b/>
          <w:bCs/>
          <w:sz w:val="28"/>
          <w:szCs w:val="28"/>
        </w:rPr>
        <w:t>Contribuciones a Futuras Líneas de Investigación</w:t>
      </w:r>
    </w:p>
    <w:p w14:paraId="10AC2176" w14:textId="3D07AA3F" w:rsidR="005E6EE7" w:rsidRDefault="008B5421" w:rsidP="00A10939">
      <w:pPr>
        <w:spacing w:after="0" w:line="360" w:lineRule="auto"/>
        <w:ind w:firstLine="709"/>
        <w:jc w:val="both"/>
        <w:rPr>
          <w:rFonts w:ascii="Times New Roman" w:hAnsi="Times New Roman" w:cs="Times New Roman"/>
          <w:sz w:val="24"/>
          <w:szCs w:val="24"/>
        </w:rPr>
      </w:pPr>
      <w:r w:rsidRPr="008B5421">
        <w:rPr>
          <w:rFonts w:ascii="Times New Roman" w:hAnsi="Times New Roman" w:cs="Times New Roman"/>
          <w:sz w:val="24"/>
          <w:szCs w:val="24"/>
        </w:rPr>
        <w:t>Futuras investigaciones podrían centrarse en aplicar el instrumento validado en distintos sectores industriales y empresas de diversos tamaños</w:t>
      </w:r>
      <w:r w:rsidR="005E6EE7" w:rsidRPr="00D45D63">
        <w:rPr>
          <w:rFonts w:ascii="Times New Roman" w:hAnsi="Times New Roman" w:cs="Times New Roman"/>
          <w:sz w:val="24"/>
          <w:szCs w:val="24"/>
        </w:rPr>
        <w:t xml:space="preserve">. Este enfoque permitirá obtener una evaluación comparativa de la efectividad en la transferencia de tecnología </w:t>
      </w:r>
      <w:proofErr w:type="spellStart"/>
      <w:r w:rsidR="005E6EE7" w:rsidRPr="00D45D63">
        <w:rPr>
          <w:rFonts w:ascii="Times New Roman" w:hAnsi="Times New Roman" w:cs="Times New Roman"/>
          <w:sz w:val="24"/>
          <w:szCs w:val="24"/>
        </w:rPr>
        <w:t>intraempresarial</w:t>
      </w:r>
      <w:proofErr w:type="spellEnd"/>
      <w:r w:rsidR="005E6EE7" w:rsidRPr="00D45D63">
        <w:rPr>
          <w:rFonts w:ascii="Times New Roman" w:hAnsi="Times New Roman" w:cs="Times New Roman"/>
          <w:sz w:val="24"/>
          <w:szCs w:val="24"/>
        </w:rPr>
        <w:t>, lo que aportará datos valiosos para ajustar y mejorar las estrategias de transferencia de tecnología en contextos diversos.</w:t>
      </w:r>
    </w:p>
    <w:p w14:paraId="6A1D7B92" w14:textId="77777777" w:rsidR="00FE4589" w:rsidRPr="00D45D63" w:rsidRDefault="00FE4589" w:rsidP="00A10939">
      <w:pPr>
        <w:spacing w:after="0" w:line="360" w:lineRule="auto"/>
        <w:ind w:firstLine="709"/>
        <w:jc w:val="both"/>
        <w:rPr>
          <w:rFonts w:ascii="Times New Roman" w:hAnsi="Times New Roman" w:cs="Times New Roman"/>
          <w:sz w:val="24"/>
          <w:szCs w:val="24"/>
        </w:rPr>
      </w:pPr>
    </w:p>
    <w:p w14:paraId="456B7F86" w14:textId="036B0E13" w:rsidR="005E6EE7" w:rsidRPr="00D45D63" w:rsidRDefault="008B5421" w:rsidP="00A10939">
      <w:pPr>
        <w:spacing w:after="0" w:line="360" w:lineRule="auto"/>
        <w:ind w:firstLine="709"/>
        <w:jc w:val="both"/>
        <w:rPr>
          <w:rFonts w:ascii="Times New Roman" w:hAnsi="Times New Roman" w:cs="Times New Roman"/>
          <w:sz w:val="24"/>
          <w:szCs w:val="24"/>
        </w:rPr>
      </w:pPr>
      <w:r w:rsidRPr="008B5421">
        <w:rPr>
          <w:rFonts w:ascii="Times New Roman" w:hAnsi="Times New Roman" w:cs="Times New Roman"/>
          <w:sz w:val="24"/>
          <w:szCs w:val="24"/>
        </w:rPr>
        <w:lastRenderedPageBreak/>
        <w:t>Además, la aplicación continua de este instrumento podría contribuir al desarrollo económico y social, fomentando la adopción de tecnologías innovadoras que impulsen la productividad y sostenibilidad empresarial</w:t>
      </w:r>
      <w:r w:rsidR="005E6EE7" w:rsidRPr="00D45D63">
        <w:rPr>
          <w:rFonts w:ascii="Times New Roman" w:hAnsi="Times New Roman" w:cs="Times New Roman"/>
          <w:sz w:val="24"/>
          <w:szCs w:val="24"/>
        </w:rPr>
        <w:t xml:space="preserve">. </w:t>
      </w:r>
      <w:r w:rsidRPr="008B5421">
        <w:rPr>
          <w:rFonts w:ascii="Times New Roman" w:hAnsi="Times New Roman" w:cs="Times New Roman"/>
          <w:sz w:val="24"/>
          <w:szCs w:val="24"/>
        </w:rPr>
        <w:t>La optimización de la transferencia de tecnología beneficiará tanto a las organizaciones como al crecimiento de sectores estratégicos, generando un impacto positivo en las comunidades y potenciando su desarrollo</w:t>
      </w:r>
      <w:r w:rsidR="005E6EE7" w:rsidRPr="00D45D63">
        <w:rPr>
          <w:rFonts w:ascii="Times New Roman" w:hAnsi="Times New Roman" w:cs="Times New Roman"/>
          <w:sz w:val="24"/>
          <w:szCs w:val="24"/>
        </w:rPr>
        <w:t>.</w:t>
      </w:r>
    </w:p>
    <w:p w14:paraId="48081796" w14:textId="77777777" w:rsidR="005E6EE7" w:rsidRPr="00D45D63" w:rsidRDefault="005E6EE7" w:rsidP="00A10939">
      <w:pPr>
        <w:spacing w:after="0" w:line="360" w:lineRule="auto"/>
        <w:ind w:firstLine="709"/>
        <w:jc w:val="both"/>
        <w:rPr>
          <w:rFonts w:ascii="Times New Roman" w:hAnsi="Times New Roman" w:cs="Times New Roman"/>
          <w:sz w:val="24"/>
          <w:szCs w:val="24"/>
        </w:rPr>
      </w:pPr>
      <w:r w:rsidRPr="00D45D63">
        <w:rPr>
          <w:rFonts w:ascii="Times New Roman" w:hAnsi="Times New Roman" w:cs="Times New Roman"/>
          <w:sz w:val="24"/>
          <w:szCs w:val="24"/>
        </w:rPr>
        <w:t>Este enfoque permitirá mejorar la competitividad empresarial, promover una mayor eficiencia en el uso de los recursos tecnológicos y, en última instancia, crear un entorno más favorable para la innovación y el progreso económico.</w:t>
      </w:r>
    </w:p>
    <w:p w14:paraId="6452C91F" w14:textId="77777777" w:rsidR="00700D41" w:rsidRPr="00D45D63" w:rsidRDefault="00700D41" w:rsidP="007D4A83">
      <w:pPr>
        <w:spacing w:after="0" w:line="360" w:lineRule="auto"/>
        <w:jc w:val="both"/>
        <w:rPr>
          <w:rFonts w:ascii="Times New Roman" w:hAnsi="Times New Roman" w:cs="Times New Roman"/>
          <w:sz w:val="24"/>
          <w:szCs w:val="24"/>
        </w:rPr>
      </w:pPr>
    </w:p>
    <w:p w14:paraId="0B0C7C9F" w14:textId="77777777" w:rsidR="007C382D" w:rsidRPr="00A10939" w:rsidRDefault="007C382D" w:rsidP="00A10939">
      <w:pPr>
        <w:spacing w:after="0" w:line="360" w:lineRule="auto"/>
        <w:rPr>
          <w:rFonts w:cstheme="minorHAnsi"/>
          <w:b/>
          <w:bCs/>
          <w:sz w:val="24"/>
          <w:szCs w:val="24"/>
        </w:rPr>
      </w:pPr>
      <w:r w:rsidRPr="00A10939">
        <w:rPr>
          <w:rFonts w:cstheme="minorHAnsi"/>
          <w:b/>
          <w:bCs/>
          <w:sz w:val="28"/>
          <w:szCs w:val="28"/>
        </w:rPr>
        <w:t>Referencias</w:t>
      </w:r>
    </w:p>
    <w:p w14:paraId="79C33C4D" w14:textId="6C239E0B" w:rsidR="008A0DC7" w:rsidRPr="00A10939" w:rsidRDefault="007C382D" w:rsidP="00A10939">
      <w:pPr>
        <w:spacing w:after="0" w:line="360" w:lineRule="auto"/>
        <w:ind w:left="567" w:hanging="567"/>
        <w:jc w:val="both"/>
        <w:rPr>
          <w:rFonts w:ascii="Times New Roman" w:hAnsi="Times New Roman" w:cs="Times New Roman"/>
          <w:sz w:val="24"/>
          <w:szCs w:val="24"/>
        </w:rPr>
      </w:pPr>
      <w:proofErr w:type="spellStart"/>
      <w:r w:rsidRPr="00A10939">
        <w:rPr>
          <w:rFonts w:ascii="Times New Roman" w:hAnsi="Times New Roman" w:cs="Times New Roman"/>
          <w:sz w:val="24"/>
          <w:szCs w:val="24"/>
          <w:lang w:val="en-US"/>
        </w:rPr>
        <w:t>Abourokbah</w:t>
      </w:r>
      <w:proofErr w:type="spellEnd"/>
      <w:r w:rsidRPr="00A10939">
        <w:rPr>
          <w:rFonts w:ascii="Times New Roman" w:hAnsi="Times New Roman" w:cs="Times New Roman"/>
          <w:sz w:val="24"/>
          <w:szCs w:val="24"/>
          <w:lang w:val="en-US"/>
        </w:rPr>
        <w:t xml:space="preserve">, S. H., </w:t>
      </w:r>
      <w:proofErr w:type="spellStart"/>
      <w:r w:rsidRPr="00A10939">
        <w:rPr>
          <w:rFonts w:ascii="Times New Roman" w:hAnsi="Times New Roman" w:cs="Times New Roman"/>
          <w:sz w:val="24"/>
          <w:szCs w:val="24"/>
          <w:lang w:val="en-US"/>
        </w:rPr>
        <w:t>Mashat</w:t>
      </w:r>
      <w:proofErr w:type="spellEnd"/>
      <w:r w:rsidRPr="00A10939">
        <w:rPr>
          <w:rFonts w:ascii="Times New Roman" w:hAnsi="Times New Roman" w:cs="Times New Roman"/>
          <w:sz w:val="24"/>
          <w:szCs w:val="24"/>
          <w:lang w:val="en-US"/>
        </w:rPr>
        <w:t xml:space="preserve">, R. M., </w:t>
      </w:r>
      <w:r w:rsidR="00BF1F4A" w:rsidRPr="00A10939">
        <w:rPr>
          <w:rFonts w:ascii="Times New Roman" w:hAnsi="Times New Roman" w:cs="Times New Roman"/>
          <w:sz w:val="24"/>
          <w:szCs w:val="24"/>
          <w:lang w:val="en-US"/>
        </w:rPr>
        <w:t>y</w:t>
      </w:r>
      <w:r w:rsidRPr="00A10939">
        <w:rPr>
          <w:rFonts w:ascii="Times New Roman" w:hAnsi="Times New Roman" w:cs="Times New Roman"/>
          <w:sz w:val="24"/>
          <w:szCs w:val="24"/>
          <w:lang w:val="en-US"/>
        </w:rPr>
        <w:t xml:space="preserve"> Salam, M. A. (2023). Role of absorptive capacity, digital capability,</w:t>
      </w:r>
      <w:r w:rsidR="007D4A83" w:rsidRPr="00A10939">
        <w:rPr>
          <w:rFonts w:ascii="Times New Roman" w:hAnsi="Times New Roman" w:cs="Times New Roman"/>
          <w:sz w:val="24"/>
          <w:szCs w:val="24"/>
          <w:lang w:val="en-US"/>
        </w:rPr>
        <w:t xml:space="preserve"> </w:t>
      </w:r>
      <w:r w:rsidRPr="00A10939">
        <w:rPr>
          <w:rFonts w:ascii="Times New Roman" w:hAnsi="Times New Roman" w:cs="Times New Roman"/>
          <w:sz w:val="24"/>
          <w:szCs w:val="24"/>
          <w:lang w:val="en-US"/>
        </w:rPr>
        <w:t xml:space="preserve">agility, and resilience in supply chain innovation performance. </w:t>
      </w:r>
      <w:proofErr w:type="spellStart"/>
      <w:r w:rsidRPr="00A10939">
        <w:rPr>
          <w:rFonts w:ascii="Times New Roman" w:hAnsi="Times New Roman" w:cs="Times New Roman"/>
          <w:i/>
          <w:iCs/>
          <w:sz w:val="24"/>
          <w:szCs w:val="24"/>
        </w:rPr>
        <w:t>Sustainability</w:t>
      </w:r>
      <w:proofErr w:type="spellEnd"/>
      <w:r w:rsidRPr="00A10939">
        <w:rPr>
          <w:rFonts w:ascii="Times New Roman" w:hAnsi="Times New Roman" w:cs="Times New Roman"/>
          <w:i/>
          <w:iCs/>
          <w:sz w:val="24"/>
          <w:szCs w:val="24"/>
        </w:rPr>
        <w:t>, 15</w:t>
      </w:r>
      <w:r w:rsidRPr="00A10939">
        <w:rPr>
          <w:rFonts w:ascii="Times New Roman" w:hAnsi="Times New Roman" w:cs="Times New Roman"/>
          <w:sz w:val="24"/>
          <w:szCs w:val="24"/>
        </w:rPr>
        <w:t>(4), 3636.</w:t>
      </w:r>
      <w:r w:rsidR="0021319D" w:rsidRPr="00A10939">
        <w:rPr>
          <w:rFonts w:ascii="Times New Roman" w:hAnsi="Times New Roman" w:cs="Times New Roman"/>
          <w:sz w:val="24"/>
          <w:szCs w:val="24"/>
        </w:rPr>
        <w:t xml:space="preserve"> </w:t>
      </w:r>
      <w:hyperlink r:id="rId12" w:history="1">
        <w:r w:rsidR="0021319D" w:rsidRPr="00A10939">
          <w:rPr>
            <w:rStyle w:val="Hipervnculo"/>
            <w:rFonts w:ascii="Times New Roman" w:hAnsi="Times New Roman" w:cs="Times New Roman"/>
            <w:sz w:val="24"/>
            <w:szCs w:val="24"/>
          </w:rPr>
          <w:t>https://doi.org/10.3390/su15043636</w:t>
        </w:r>
      </w:hyperlink>
    </w:p>
    <w:p w14:paraId="773C9F39" w14:textId="4FF6A5F1" w:rsidR="007D4A83" w:rsidRPr="00A10939" w:rsidRDefault="007C382D" w:rsidP="00A10939">
      <w:pPr>
        <w:spacing w:after="0" w:line="360" w:lineRule="auto"/>
        <w:ind w:left="567" w:hanging="567"/>
        <w:jc w:val="both"/>
        <w:rPr>
          <w:rFonts w:ascii="Times New Roman" w:hAnsi="Times New Roman" w:cs="Times New Roman"/>
          <w:sz w:val="24"/>
          <w:szCs w:val="24"/>
          <w:lang w:val="en-US"/>
        </w:rPr>
      </w:pPr>
      <w:proofErr w:type="spellStart"/>
      <w:r w:rsidRPr="00A10939">
        <w:rPr>
          <w:rFonts w:ascii="Times New Roman" w:hAnsi="Times New Roman" w:cs="Times New Roman"/>
          <w:sz w:val="24"/>
          <w:szCs w:val="24"/>
        </w:rPr>
        <w:t>Akpan</w:t>
      </w:r>
      <w:proofErr w:type="spellEnd"/>
      <w:r w:rsidRPr="00A10939">
        <w:rPr>
          <w:rFonts w:ascii="Times New Roman" w:hAnsi="Times New Roman" w:cs="Times New Roman"/>
          <w:sz w:val="24"/>
          <w:szCs w:val="24"/>
        </w:rPr>
        <w:t xml:space="preserve">, E. P., </w:t>
      </w:r>
      <w:r w:rsidR="00BF1F4A" w:rsidRPr="00A10939">
        <w:rPr>
          <w:rFonts w:ascii="Times New Roman" w:hAnsi="Times New Roman" w:cs="Times New Roman"/>
          <w:sz w:val="24"/>
          <w:szCs w:val="24"/>
        </w:rPr>
        <w:t>y</w:t>
      </w:r>
      <w:r w:rsidRPr="00A10939">
        <w:rPr>
          <w:rFonts w:ascii="Times New Roman" w:hAnsi="Times New Roman" w:cs="Times New Roman"/>
          <w:sz w:val="24"/>
          <w:szCs w:val="24"/>
        </w:rPr>
        <w:t xml:space="preserve"> </w:t>
      </w:r>
      <w:proofErr w:type="spellStart"/>
      <w:r w:rsidRPr="00A10939">
        <w:rPr>
          <w:rFonts w:ascii="Times New Roman" w:hAnsi="Times New Roman" w:cs="Times New Roman"/>
          <w:sz w:val="24"/>
          <w:szCs w:val="24"/>
        </w:rPr>
        <w:t>Adim</w:t>
      </w:r>
      <w:proofErr w:type="spellEnd"/>
      <w:r w:rsidRPr="00A10939">
        <w:rPr>
          <w:rFonts w:ascii="Times New Roman" w:hAnsi="Times New Roman" w:cs="Times New Roman"/>
          <w:sz w:val="24"/>
          <w:szCs w:val="24"/>
        </w:rPr>
        <w:t xml:space="preserve">, C. V. (2023). </w:t>
      </w:r>
      <w:r w:rsidRPr="00A10939">
        <w:rPr>
          <w:rFonts w:ascii="Times New Roman" w:hAnsi="Times New Roman" w:cs="Times New Roman"/>
          <w:sz w:val="24"/>
          <w:szCs w:val="24"/>
          <w:lang w:val="en-US"/>
        </w:rPr>
        <w:t>Corporate Entrepreneurial Dimensions and Strategic Flexibility of</w:t>
      </w:r>
      <w:r w:rsidR="007D4A83" w:rsidRPr="00A10939">
        <w:rPr>
          <w:rFonts w:ascii="Times New Roman" w:hAnsi="Times New Roman" w:cs="Times New Roman"/>
          <w:sz w:val="24"/>
          <w:szCs w:val="24"/>
          <w:lang w:val="en-US"/>
        </w:rPr>
        <w:t xml:space="preserve"> </w:t>
      </w:r>
      <w:r w:rsidRPr="00A10939">
        <w:rPr>
          <w:rFonts w:ascii="Times New Roman" w:hAnsi="Times New Roman" w:cs="Times New Roman"/>
          <w:sz w:val="24"/>
          <w:szCs w:val="24"/>
          <w:lang w:val="en-US"/>
        </w:rPr>
        <w:t xml:space="preserve">Small and Medium Enterprises in Rivers State and Bayelsa State. </w:t>
      </w:r>
      <w:r w:rsidRPr="00A10939">
        <w:rPr>
          <w:rFonts w:ascii="Times New Roman" w:hAnsi="Times New Roman" w:cs="Times New Roman"/>
          <w:i/>
          <w:iCs/>
          <w:sz w:val="24"/>
          <w:szCs w:val="24"/>
          <w:lang w:val="en-US"/>
        </w:rPr>
        <w:t>International Journal of Business &amp;</w:t>
      </w:r>
      <w:r w:rsidR="007D4A83" w:rsidRPr="00A10939">
        <w:rPr>
          <w:rFonts w:ascii="Times New Roman" w:hAnsi="Times New Roman" w:cs="Times New Roman"/>
          <w:i/>
          <w:iCs/>
          <w:sz w:val="24"/>
          <w:szCs w:val="24"/>
          <w:lang w:val="en-US"/>
        </w:rPr>
        <w:t xml:space="preserve"> </w:t>
      </w:r>
      <w:r w:rsidRPr="00A10939">
        <w:rPr>
          <w:rFonts w:ascii="Times New Roman" w:hAnsi="Times New Roman" w:cs="Times New Roman"/>
          <w:i/>
          <w:iCs/>
          <w:sz w:val="24"/>
          <w:szCs w:val="24"/>
          <w:lang w:val="en-US"/>
        </w:rPr>
        <w:t>Entrepreneurship Research, 14</w:t>
      </w:r>
      <w:r w:rsidRPr="00A10939">
        <w:rPr>
          <w:rFonts w:ascii="Times New Roman" w:hAnsi="Times New Roman" w:cs="Times New Roman"/>
          <w:sz w:val="24"/>
          <w:szCs w:val="24"/>
          <w:lang w:val="en-US"/>
        </w:rPr>
        <w:t xml:space="preserve">(6), 30-44. </w:t>
      </w:r>
      <w:hyperlink r:id="rId13" w:history="1">
        <w:r w:rsidR="007D4A83" w:rsidRPr="00A10939">
          <w:rPr>
            <w:rStyle w:val="Hipervnculo"/>
            <w:rFonts w:ascii="Times New Roman" w:hAnsi="Times New Roman" w:cs="Times New Roman"/>
            <w:sz w:val="24"/>
            <w:szCs w:val="24"/>
            <w:lang w:val="en-US"/>
          </w:rPr>
          <w:t>https://doi.org/10.47941/jbsm.1715</w:t>
        </w:r>
      </w:hyperlink>
      <w:r w:rsidR="007D4A83" w:rsidRPr="00A10939">
        <w:rPr>
          <w:rFonts w:ascii="Times New Roman" w:hAnsi="Times New Roman" w:cs="Times New Roman"/>
          <w:sz w:val="24"/>
          <w:szCs w:val="24"/>
          <w:lang w:val="en-US"/>
        </w:rPr>
        <w:t xml:space="preserve"> </w:t>
      </w:r>
    </w:p>
    <w:p w14:paraId="73E3E4CA" w14:textId="3EFC13FD" w:rsidR="007D4A83" w:rsidRPr="00A10939" w:rsidRDefault="007C382D" w:rsidP="00A10939">
      <w:pPr>
        <w:spacing w:after="0" w:line="360" w:lineRule="auto"/>
        <w:ind w:left="567" w:hanging="567"/>
        <w:jc w:val="both"/>
        <w:rPr>
          <w:rFonts w:ascii="Times New Roman" w:hAnsi="Times New Roman" w:cs="Times New Roman"/>
          <w:sz w:val="24"/>
          <w:szCs w:val="24"/>
          <w:lang w:val="en-US"/>
        </w:rPr>
      </w:pPr>
      <w:r w:rsidRPr="00A10939">
        <w:rPr>
          <w:rFonts w:ascii="Times New Roman" w:hAnsi="Times New Roman" w:cs="Times New Roman"/>
          <w:sz w:val="24"/>
          <w:szCs w:val="24"/>
        </w:rPr>
        <w:t xml:space="preserve">Alegre, J., Sengupta, K., </w:t>
      </w:r>
      <w:r w:rsidR="00BF1F4A" w:rsidRPr="00A10939">
        <w:rPr>
          <w:rFonts w:ascii="Times New Roman" w:hAnsi="Times New Roman" w:cs="Times New Roman"/>
          <w:sz w:val="24"/>
          <w:szCs w:val="24"/>
        </w:rPr>
        <w:t>y</w:t>
      </w:r>
      <w:r w:rsidRPr="00A10939">
        <w:rPr>
          <w:rFonts w:ascii="Times New Roman" w:hAnsi="Times New Roman" w:cs="Times New Roman"/>
          <w:sz w:val="24"/>
          <w:szCs w:val="24"/>
        </w:rPr>
        <w:t xml:space="preserve"> </w:t>
      </w:r>
      <w:proofErr w:type="spellStart"/>
      <w:r w:rsidRPr="00A10939">
        <w:rPr>
          <w:rFonts w:ascii="Times New Roman" w:hAnsi="Times New Roman" w:cs="Times New Roman"/>
          <w:sz w:val="24"/>
          <w:szCs w:val="24"/>
        </w:rPr>
        <w:t>Lapiedra</w:t>
      </w:r>
      <w:proofErr w:type="spellEnd"/>
      <w:r w:rsidRPr="00A10939">
        <w:rPr>
          <w:rFonts w:ascii="Times New Roman" w:hAnsi="Times New Roman" w:cs="Times New Roman"/>
          <w:sz w:val="24"/>
          <w:szCs w:val="24"/>
        </w:rPr>
        <w:t xml:space="preserve">, R. (2013). </w:t>
      </w:r>
      <w:r w:rsidRPr="00A10939">
        <w:rPr>
          <w:rFonts w:ascii="Times New Roman" w:hAnsi="Times New Roman" w:cs="Times New Roman"/>
          <w:sz w:val="24"/>
          <w:szCs w:val="24"/>
          <w:lang w:val="en-US"/>
        </w:rPr>
        <w:t>Knowledge management and innovation performance in a</w:t>
      </w:r>
      <w:r w:rsidR="007D4A83" w:rsidRPr="00A10939">
        <w:rPr>
          <w:rFonts w:ascii="Times New Roman" w:hAnsi="Times New Roman" w:cs="Times New Roman"/>
          <w:sz w:val="24"/>
          <w:szCs w:val="24"/>
          <w:lang w:val="en-US"/>
        </w:rPr>
        <w:t xml:space="preserve"> </w:t>
      </w:r>
      <w:r w:rsidRPr="00A10939">
        <w:rPr>
          <w:rFonts w:ascii="Times New Roman" w:hAnsi="Times New Roman" w:cs="Times New Roman"/>
          <w:sz w:val="24"/>
          <w:szCs w:val="24"/>
          <w:lang w:val="en-US"/>
        </w:rPr>
        <w:t xml:space="preserve">high-tech SMEs industry. </w:t>
      </w:r>
      <w:r w:rsidRPr="00A10939">
        <w:rPr>
          <w:rFonts w:ascii="Times New Roman" w:hAnsi="Times New Roman" w:cs="Times New Roman"/>
          <w:i/>
          <w:iCs/>
          <w:sz w:val="24"/>
          <w:szCs w:val="24"/>
          <w:lang w:val="en-US"/>
        </w:rPr>
        <w:t>International small business journal, 31</w:t>
      </w:r>
      <w:r w:rsidRPr="00A10939">
        <w:rPr>
          <w:rFonts w:ascii="Times New Roman" w:hAnsi="Times New Roman" w:cs="Times New Roman"/>
          <w:sz w:val="24"/>
          <w:szCs w:val="24"/>
          <w:lang w:val="en-US"/>
        </w:rPr>
        <w:t>(4), 454-470.</w:t>
      </w:r>
      <w:r w:rsidR="007D4A83" w:rsidRPr="00A10939">
        <w:rPr>
          <w:rFonts w:ascii="Times New Roman" w:hAnsi="Times New Roman" w:cs="Times New Roman"/>
          <w:sz w:val="24"/>
          <w:szCs w:val="24"/>
          <w:lang w:val="en-US"/>
        </w:rPr>
        <w:t xml:space="preserve"> </w:t>
      </w:r>
      <w:hyperlink r:id="rId14" w:history="1">
        <w:r w:rsidR="0021319D" w:rsidRPr="00A10939">
          <w:rPr>
            <w:rStyle w:val="Hipervnculo"/>
            <w:rFonts w:ascii="Times New Roman" w:hAnsi="Times New Roman" w:cs="Times New Roman"/>
            <w:sz w:val="24"/>
            <w:szCs w:val="24"/>
            <w:lang w:val="en-US"/>
          </w:rPr>
          <w:t>https://doi.org/10.1177/0266242611417472</w:t>
        </w:r>
      </w:hyperlink>
    </w:p>
    <w:p w14:paraId="5D7F975E" w14:textId="02DEDC86" w:rsidR="006B23A3" w:rsidRPr="00A10939" w:rsidRDefault="007C382D" w:rsidP="00A10939">
      <w:pPr>
        <w:spacing w:after="0" w:line="360" w:lineRule="auto"/>
        <w:ind w:left="567" w:hanging="567"/>
        <w:jc w:val="both"/>
        <w:rPr>
          <w:rFonts w:ascii="Times New Roman" w:hAnsi="Times New Roman" w:cs="Times New Roman"/>
          <w:color w:val="0563C1" w:themeColor="hyperlink"/>
          <w:sz w:val="24"/>
          <w:szCs w:val="24"/>
          <w:u w:val="single"/>
          <w:lang w:val="en-US"/>
        </w:rPr>
      </w:pPr>
      <w:proofErr w:type="spellStart"/>
      <w:r w:rsidRPr="00A10939">
        <w:rPr>
          <w:rFonts w:ascii="Times New Roman" w:hAnsi="Times New Roman" w:cs="Times New Roman"/>
          <w:sz w:val="24"/>
          <w:szCs w:val="24"/>
          <w:lang w:val="en-US"/>
        </w:rPr>
        <w:t>Algarni</w:t>
      </w:r>
      <w:proofErr w:type="spellEnd"/>
      <w:r w:rsidRPr="00A10939">
        <w:rPr>
          <w:rFonts w:ascii="Times New Roman" w:hAnsi="Times New Roman" w:cs="Times New Roman"/>
          <w:sz w:val="24"/>
          <w:szCs w:val="24"/>
          <w:lang w:val="en-US"/>
        </w:rPr>
        <w:t xml:space="preserve">, M. A., Ali, M., Leal-Rodríguez, A. L., </w:t>
      </w:r>
      <w:r w:rsidR="00BF1F4A" w:rsidRPr="00A10939">
        <w:rPr>
          <w:rFonts w:ascii="Times New Roman" w:hAnsi="Times New Roman" w:cs="Times New Roman"/>
          <w:sz w:val="24"/>
          <w:szCs w:val="24"/>
          <w:lang w:val="en-US"/>
        </w:rPr>
        <w:t>y</w:t>
      </w:r>
      <w:r w:rsidRPr="00A10939">
        <w:rPr>
          <w:rFonts w:ascii="Times New Roman" w:hAnsi="Times New Roman" w:cs="Times New Roman"/>
          <w:sz w:val="24"/>
          <w:szCs w:val="24"/>
          <w:lang w:val="en-US"/>
        </w:rPr>
        <w:t xml:space="preserve"> Albort-Morant, G. (2023). The differential effects of</w:t>
      </w:r>
      <w:r w:rsidR="007D4A83" w:rsidRPr="00A10939">
        <w:rPr>
          <w:rFonts w:ascii="Times New Roman" w:hAnsi="Times New Roman" w:cs="Times New Roman"/>
          <w:sz w:val="24"/>
          <w:szCs w:val="24"/>
          <w:lang w:val="en-US"/>
        </w:rPr>
        <w:t xml:space="preserve"> </w:t>
      </w:r>
      <w:r w:rsidRPr="00A10939">
        <w:rPr>
          <w:rFonts w:ascii="Times New Roman" w:hAnsi="Times New Roman" w:cs="Times New Roman"/>
          <w:sz w:val="24"/>
          <w:szCs w:val="24"/>
          <w:lang w:val="en-US"/>
        </w:rPr>
        <w:t>potential and realized absorptive capacity on imitation and innovation strategies, and its impact on</w:t>
      </w:r>
      <w:r w:rsidR="007D4A83" w:rsidRPr="00A10939">
        <w:rPr>
          <w:rFonts w:ascii="Times New Roman" w:hAnsi="Times New Roman" w:cs="Times New Roman"/>
          <w:sz w:val="24"/>
          <w:szCs w:val="24"/>
          <w:lang w:val="en-US"/>
        </w:rPr>
        <w:t xml:space="preserve"> </w:t>
      </w:r>
      <w:r w:rsidRPr="00A10939">
        <w:rPr>
          <w:rFonts w:ascii="Times New Roman" w:hAnsi="Times New Roman" w:cs="Times New Roman"/>
          <w:sz w:val="24"/>
          <w:szCs w:val="24"/>
          <w:lang w:val="en-US"/>
        </w:rPr>
        <w:t xml:space="preserve">sustained competitive advantage. </w:t>
      </w:r>
      <w:r w:rsidRPr="00A10939">
        <w:rPr>
          <w:rFonts w:ascii="Times New Roman" w:hAnsi="Times New Roman" w:cs="Times New Roman"/>
          <w:i/>
          <w:iCs/>
          <w:sz w:val="24"/>
          <w:szCs w:val="24"/>
          <w:lang w:val="en-US"/>
        </w:rPr>
        <w:t>Journal of Business Research, 158</w:t>
      </w:r>
      <w:r w:rsidRPr="00A10939">
        <w:rPr>
          <w:rFonts w:ascii="Times New Roman" w:hAnsi="Times New Roman" w:cs="Times New Roman"/>
          <w:sz w:val="24"/>
          <w:szCs w:val="24"/>
          <w:lang w:val="en-US"/>
        </w:rPr>
        <w:t>, 113674.</w:t>
      </w:r>
      <w:r w:rsidR="0021319D" w:rsidRPr="00A10939">
        <w:rPr>
          <w:rFonts w:ascii="Times New Roman" w:hAnsi="Times New Roman" w:cs="Times New Roman"/>
          <w:sz w:val="24"/>
          <w:szCs w:val="24"/>
          <w:lang w:val="en-US"/>
        </w:rPr>
        <w:t xml:space="preserve"> </w:t>
      </w:r>
      <w:hyperlink r:id="rId15" w:history="1">
        <w:r w:rsidR="0021319D" w:rsidRPr="00A10939">
          <w:rPr>
            <w:rStyle w:val="Hipervnculo"/>
            <w:rFonts w:ascii="Times New Roman" w:hAnsi="Times New Roman" w:cs="Times New Roman"/>
            <w:sz w:val="24"/>
            <w:szCs w:val="24"/>
            <w:lang w:val="en-US"/>
          </w:rPr>
          <w:t>https://doi.org/10.1016/j.jbusres.2023.113674</w:t>
        </w:r>
      </w:hyperlink>
    </w:p>
    <w:p w14:paraId="1D98EA43" w14:textId="588B45FA" w:rsidR="007D4A83" w:rsidRPr="00A10939" w:rsidRDefault="007C382D" w:rsidP="00A10939">
      <w:pPr>
        <w:spacing w:after="0" w:line="360" w:lineRule="auto"/>
        <w:ind w:left="567" w:hanging="567"/>
        <w:jc w:val="both"/>
        <w:rPr>
          <w:rFonts w:ascii="Times New Roman" w:hAnsi="Times New Roman" w:cs="Times New Roman"/>
          <w:sz w:val="24"/>
          <w:szCs w:val="24"/>
          <w:lang w:val="en-US"/>
        </w:rPr>
      </w:pPr>
      <w:r w:rsidRPr="00A10939">
        <w:rPr>
          <w:rFonts w:ascii="Times New Roman" w:hAnsi="Times New Roman" w:cs="Times New Roman"/>
          <w:sz w:val="24"/>
          <w:szCs w:val="24"/>
          <w:lang w:val="en-US"/>
        </w:rPr>
        <w:t xml:space="preserve">Andrea, P. T., </w:t>
      </w:r>
      <w:r w:rsidR="00BF1F4A" w:rsidRPr="00A10939">
        <w:rPr>
          <w:rFonts w:ascii="Times New Roman" w:hAnsi="Times New Roman" w:cs="Times New Roman"/>
          <w:sz w:val="24"/>
          <w:szCs w:val="24"/>
          <w:lang w:val="en-US"/>
        </w:rPr>
        <w:t>y</w:t>
      </w:r>
      <w:r w:rsidRPr="00A10939">
        <w:rPr>
          <w:rFonts w:ascii="Times New Roman" w:hAnsi="Times New Roman" w:cs="Times New Roman"/>
          <w:sz w:val="24"/>
          <w:szCs w:val="24"/>
          <w:lang w:val="en-US"/>
        </w:rPr>
        <w:t xml:space="preserve"> Wanyoike, R. (2024). Knowledge Management and Organization Performance; A Critical</w:t>
      </w:r>
      <w:r w:rsidR="007D4A83" w:rsidRPr="00A10939">
        <w:rPr>
          <w:rFonts w:ascii="Times New Roman" w:hAnsi="Times New Roman" w:cs="Times New Roman"/>
          <w:sz w:val="24"/>
          <w:szCs w:val="24"/>
          <w:lang w:val="en-US"/>
        </w:rPr>
        <w:t xml:space="preserve"> </w:t>
      </w:r>
      <w:r w:rsidRPr="00A10939">
        <w:rPr>
          <w:rFonts w:ascii="Times New Roman" w:hAnsi="Times New Roman" w:cs="Times New Roman"/>
          <w:sz w:val="24"/>
          <w:szCs w:val="24"/>
          <w:lang w:val="en-US"/>
        </w:rPr>
        <w:t xml:space="preserve">Review of Literature. </w:t>
      </w:r>
      <w:r w:rsidRPr="00A10939">
        <w:rPr>
          <w:rFonts w:ascii="Times New Roman" w:hAnsi="Times New Roman" w:cs="Times New Roman"/>
          <w:i/>
          <w:iCs/>
          <w:sz w:val="24"/>
          <w:szCs w:val="24"/>
          <w:lang w:val="en-US"/>
        </w:rPr>
        <w:t>Journal of Business and Strategic Management, 6</w:t>
      </w:r>
      <w:r w:rsidRPr="00A10939">
        <w:rPr>
          <w:rFonts w:ascii="Times New Roman" w:hAnsi="Times New Roman" w:cs="Times New Roman"/>
          <w:sz w:val="24"/>
          <w:szCs w:val="24"/>
          <w:lang w:val="en-US"/>
        </w:rPr>
        <w:t xml:space="preserve">(2), 73-85. </w:t>
      </w:r>
      <w:hyperlink r:id="rId16" w:history="1">
        <w:r w:rsidR="007D4A83" w:rsidRPr="00A10939">
          <w:rPr>
            <w:rStyle w:val="Hipervnculo"/>
            <w:rFonts w:ascii="Times New Roman" w:hAnsi="Times New Roman" w:cs="Times New Roman"/>
            <w:sz w:val="24"/>
            <w:szCs w:val="24"/>
            <w:lang w:val="en-US"/>
          </w:rPr>
          <w:t>https://doi.org/10.47941/jbsm.1715</w:t>
        </w:r>
      </w:hyperlink>
      <w:r w:rsidR="007D4A83" w:rsidRPr="00A10939">
        <w:rPr>
          <w:rFonts w:ascii="Times New Roman" w:hAnsi="Times New Roman" w:cs="Times New Roman"/>
          <w:sz w:val="24"/>
          <w:szCs w:val="24"/>
          <w:lang w:val="en-US"/>
        </w:rPr>
        <w:t xml:space="preserve"> </w:t>
      </w:r>
    </w:p>
    <w:p w14:paraId="1CEA6EC9" w14:textId="1F2AE376" w:rsidR="007D4A83" w:rsidRPr="00A10939" w:rsidRDefault="007C382D" w:rsidP="00A10939">
      <w:pPr>
        <w:spacing w:after="0" w:line="360" w:lineRule="auto"/>
        <w:ind w:left="567" w:hanging="567"/>
        <w:jc w:val="both"/>
        <w:rPr>
          <w:rFonts w:ascii="Times New Roman" w:hAnsi="Times New Roman" w:cs="Times New Roman"/>
          <w:sz w:val="24"/>
          <w:szCs w:val="24"/>
          <w:lang w:val="en-US"/>
        </w:rPr>
      </w:pPr>
      <w:r w:rsidRPr="00A10939">
        <w:rPr>
          <w:rFonts w:ascii="Times New Roman" w:hAnsi="Times New Roman" w:cs="Times New Roman"/>
          <w:sz w:val="24"/>
          <w:szCs w:val="24"/>
          <w:lang w:val="en-US"/>
        </w:rPr>
        <w:t>Basit, S. A. (2021). The effect of external knowledge sources on organizational innovation in small and</w:t>
      </w:r>
      <w:r w:rsidR="007D4A83" w:rsidRPr="00A10939">
        <w:rPr>
          <w:rFonts w:ascii="Times New Roman" w:hAnsi="Times New Roman" w:cs="Times New Roman"/>
          <w:sz w:val="24"/>
          <w:szCs w:val="24"/>
          <w:lang w:val="en-US"/>
        </w:rPr>
        <w:t xml:space="preserve"> </w:t>
      </w:r>
      <w:r w:rsidRPr="00A10939">
        <w:rPr>
          <w:rFonts w:ascii="Times New Roman" w:hAnsi="Times New Roman" w:cs="Times New Roman"/>
          <w:sz w:val="24"/>
          <w:szCs w:val="24"/>
          <w:lang w:val="en-US"/>
        </w:rPr>
        <w:t xml:space="preserve">medium enterprises in Germany. </w:t>
      </w:r>
      <w:r w:rsidRPr="00A10939">
        <w:rPr>
          <w:rFonts w:ascii="Times New Roman" w:hAnsi="Times New Roman" w:cs="Times New Roman"/>
          <w:i/>
          <w:iCs/>
          <w:sz w:val="24"/>
          <w:szCs w:val="24"/>
          <w:lang w:val="en-US"/>
        </w:rPr>
        <w:t>Business Systems Research: International journal of the Society for</w:t>
      </w:r>
      <w:r w:rsidR="007D4A83" w:rsidRPr="00A10939">
        <w:rPr>
          <w:rFonts w:ascii="Times New Roman" w:hAnsi="Times New Roman" w:cs="Times New Roman"/>
          <w:i/>
          <w:iCs/>
          <w:sz w:val="24"/>
          <w:szCs w:val="24"/>
          <w:lang w:val="en-US"/>
        </w:rPr>
        <w:t xml:space="preserve"> </w:t>
      </w:r>
      <w:r w:rsidRPr="00A10939">
        <w:rPr>
          <w:rFonts w:ascii="Times New Roman" w:hAnsi="Times New Roman" w:cs="Times New Roman"/>
          <w:i/>
          <w:iCs/>
          <w:sz w:val="24"/>
          <w:szCs w:val="24"/>
          <w:lang w:val="en-US"/>
        </w:rPr>
        <w:t>Advancing Innovation and Research in Economy, 12</w:t>
      </w:r>
      <w:r w:rsidRPr="00A10939">
        <w:rPr>
          <w:rFonts w:ascii="Times New Roman" w:hAnsi="Times New Roman" w:cs="Times New Roman"/>
          <w:sz w:val="24"/>
          <w:szCs w:val="24"/>
          <w:lang w:val="en-US"/>
        </w:rPr>
        <w:t>(1), 60-79.</w:t>
      </w:r>
      <w:r w:rsidR="0021319D" w:rsidRPr="00A10939">
        <w:rPr>
          <w:rFonts w:ascii="Times New Roman" w:hAnsi="Times New Roman" w:cs="Times New Roman"/>
          <w:sz w:val="24"/>
          <w:szCs w:val="24"/>
          <w:lang w:val="en-US"/>
        </w:rPr>
        <w:t xml:space="preserve"> </w:t>
      </w:r>
      <w:hyperlink r:id="rId17" w:history="1">
        <w:r w:rsidR="0021319D" w:rsidRPr="00A10939">
          <w:rPr>
            <w:rStyle w:val="Hipervnculo"/>
            <w:rFonts w:ascii="Times New Roman" w:hAnsi="Times New Roman" w:cs="Times New Roman"/>
            <w:sz w:val="24"/>
            <w:szCs w:val="24"/>
            <w:lang w:val="en-US"/>
          </w:rPr>
          <w:t>https://doi.org/10.2478/bsrj-2021-0005</w:t>
        </w:r>
      </w:hyperlink>
    </w:p>
    <w:p w14:paraId="58097BB8" w14:textId="46BCC063" w:rsidR="007D4A83" w:rsidRPr="00A10939" w:rsidRDefault="007C382D" w:rsidP="00A10939">
      <w:pPr>
        <w:spacing w:after="0" w:line="360" w:lineRule="auto"/>
        <w:ind w:left="567" w:hanging="567"/>
        <w:jc w:val="both"/>
        <w:rPr>
          <w:rFonts w:ascii="Times New Roman" w:hAnsi="Times New Roman" w:cs="Times New Roman"/>
          <w:sz w:val="24"/>
          <w:szCs w:val="24"/>
          <w:lang w:val="en-US"/>
        </w:rPr>
      </w:pPr>
      <w:proofErr w:type="spellStart"/>
      <w:r w:rsidRPr="00A10939">
        <w:rPr>
          <w:rFonts w:ascii="Times New Roman" w:hAnsi="Times New Roman" w:cs="Times New Roman"/>
          <w:sz w:val="24"/>
          <w:szCs w:val="24"/>
          <w:lang w:val="en-US"/>
        </w:rPr>
        <w:lastRenderedPageBreak/>
        <w:t>Behane</w:t>
      </w:r>
      <w:proofErr w:type="spellEnd"/>
      <w:r w:rsidRPr="00A10939">
        <w:rPr>
          <w:rFonts w:ascii="Times New Roman" w:hAnsi="Times New Roman" w:cs="Times New Roman"/>
          <w:sz w:val="24"/>
          <w:szCs w:val="24"/>
          <w:lang w:val="en-US"/>
        </w:rPr>
        <w:t xml:space="preserve">, T., </w:t>
      </w:r>
      <w:r w:rsidR="00BF1F4A" w:rsidRPr="00A10939">
        <w:rPr>
          <w:rFonts w:ascii="Times New Roman" w:hAnsi="Times New Roman" w:cs="Times New Roman"/>
          <w:sz w:val="24"/>
          <w:szCs w:val="24"/>
          <w:lang w:val="en-US"/>
        </w:rPr>
        <w:t>y</w:t>
      </w:r>
      <w:r w:rsidRPr="00A10939">
        <w:rPr>
          <w:rFonts w:ascii="Times New Roman" w:hAnsi="Times New Roman" w:cs="Times New Roman"/>
          <w:sz w:val="24"/>
          <w:szCs w:val="24"/>
          <w:lang w:val="en-US"/>
        </w:rPr>
        <w:t xml:space="preserve"> Grobbelaar, S. (2018). The process of intra-firm technology transfer: A case study of a marine</w:t>
      </w:r>
      <w:r w:rsidR="007D4A83" w:rsidRPr="00A10939">
        <w:rPr>
          <w:rFonts w:ascii="Times New Roman" w:hAnsi="Times New Roman" w:cs="Times New Roman"/>
          <w:sz w:val="24"/>
          <w:szCs w:val="24"/>
          <w:lang w:val="en-US"/>
        </w:rPr>
        <w:t xml:space="preserve"> </w:t>
      </w:r>
      <w:r w:rsidRPr="00A10939">
        <w:rPr>
          <w:rFonts w:ascii="Times New Roman" w:hAnsi="Times New Roman" w:cs="Times New Roman"/>
          <w:sz w:val="24"/>
          <w:szCs w:val="24"/>
          <w:lang w:val="en-US"/>
        </w:rPr>
        <w:t xml:space="preserve">mining company. </w:t>
      </w:r>
      <w:r w:rsidRPr="00A10939">
        <w:rPr>
          <w:rFonts w:ascii="Times New Roman" w:hAnsi="Times New Roman" w:cs="Times New Roman"/>
          <w:i/>
          <w:iCs/>
          <w:sz w:val="24"/>
          <w:szCs w:val="24"/>
          <w:lang w:val="en-US"/>
        </w:rPr>
        <w:t>South African Journal of Industrial Engineering, 29</w:t>
      </w:r>
      <w:r w:rsidRPr="00A10939">
        <w:rPr>
          <w:rFonts w:ascii="Times New Roman" w:hAnsi="Times New Roman" w:cs="Times New Roman"/>
          <w:sz w:val="24"/>
          <w:szCs w:val="24"/>
          <w:lang w:val="en-US"/>
        </w:rPr>
        <w:t>(1), 195-204.</w:t>
      </w:r>
      <w:r w:rsidR="007D4A83" w:rsidRPr="00A10939">
        <w:rPr>
          <w:rFonts w:ascii="Times New Roman" w:hAnsi="Times New Roman" w:cs="Times New Roman"/>
          <w:sz w:val="24"/>
          <w:szCs w:val="24"/>
          <w:lang w:val="en-US"/>
        </w:rPr>
        <w:t xml:space="preserve"> </w:t>
      </w:r>
    </w:p>
    <w:p w14:paraId="0AFC6B47" w14:textId="3D2FBAD8" w:rsidR="00C406B8" w:rsidRPr="00A10939" w:rsidRDefault="00C406B8" w:rsidP="00A10939">
      <w:pPr>
        <w:spacing w:after="0" w:line="360" w:lineRule="auto"/>
        <w:ind w:left="567" w:hanging="567"/>
        <w:jc w:val="both"/>
        <w:rPr>
          <w:rStyle w:val="Hipervnculo"/>
          <w:rFonts w:ascii="Times New Roman" w:hAnsi="Times New Roman" w:cs="Times New Roman"/>
          <w:sz w:val="24"/>
          <w:szCs w:val="24"/>
          <w:lang w:val="en-US"/>
        </w:rPr>
      </w:pPr>
      <w:r w:rsidRPr="00A10939">
        <w:rPr>
          <w:rFonts w:ascii="Times New Roman" w:hAnsi="Times New Roman" w:cs="Times New Roman"/>
          <w:sz w:val="24"/>
          <w:szCs w:val="24"/>
          <w:lang w:val="en-US"/>
        </w:rPr>
        <w:t xml:space="preserve">Chae, S., Yan, T., </w:t>
      </w:r>
      <w:r w:rsidR="00BF1F4A" w:rsidRPr="00A10939">
        <w:rPr>
          <w:rFonts w:ascii="Times New Roman" w:hAnsi="Times New Roman" w:cs="Times New Roman"/>
          <w:sz w:val="24"/>
          <w:szCs w:val="24"/>
          <w:lang w:val="en-US"/>
        </w:rPr>
        <w:t>y</w:t>
      </w:r>
      <w:r w:rsidRPr="00A10939">
        <w:rPr>
          <w:rFonts w:ascii="Times New Roman" w:hAnsi="Times New Roman" w:cs="Times New Roman"/>
          <w:sz w:val="24"/>
          <w:szCs w:val="24"/>
          <w:lang w:val="en-US"/>
        </w:rPr>
        <w:t xml:space="preserve"> Yang, Y. (2020). Supplier innovation value from a buyer–supplier structural equivalence view: Evidence from the PACE awards in the automotive industry. </w:t>
      </w:r>
      <w:r w:rsidRPr="00A10939">
        <w:rPr>
          <w:rFonts w:ascii="Times New Roman" w:hAnsi="Times New Roman" w:cs="Times New Roman"/>
          <w:i/>
          <w:iCs/>
          <w:sz w:val="24"/>
          <w:szCs w:val="24"/>
          <w:lang w:val="en-US"/>
        </w:rPr>
        <w:t>Journal of Operations Management, 66</w:t>
      </w:r>
      <w:r w:rsidRPr="00A10939">
        <w:rPr>
          <w:rFonts w:ascii="Times New Roman" w:hAnsi="Times New Roman" w:cs="Times New Roman"/>
          <w:sz w:val="24"/>
          <w:szCs w:val="24"/>
          <w:lang w:val="en-US"/>
        </w:rPr>
        <w:t>(7-8), 820-838.</w:t>
      </w:r>
      <w:r w:rsidR="0021319D" w:rsidRPr="00A10939">
        <w:rPr>
          <w:rFonts w:ascii="Times New Roman" w:hAnsi="Times New Roman" w:cs="Times New Roman"/>
          <w:sz w:val="24"/>
          <w:szCs w:val="24"/>
          <w:lang w:val="en-US"/>
        </w:rPr>
        <w:t xml:space="preserve"> </w:t>
      </w:r>
      <w:hyperlink r:id="rId18" w:history="1">
        <w:r w:rsidR="0021319D" w:rsidRPr="00A10939">
          <w:rPr>
            <w:rStyle w:val="Hipervnculo"/>
            <w:rFonts w:ascii="Times New Roman" w:hAnsi="Times New Roman" w:cs="Times New Roman"/>
            <w:sz w:val="24"/>
            <w:szCs w:val="24"/>
            <w:lang w:val="en-US"/>
          </w:rPr>
          <w:t>https://doi.org/10.1002/joom.1063</w:t>
        </w:r>
      </w:hyperlink>
    </w:p>
    <w:p w14:paraId="6B1FB6C0" w14:textId="3BB7B62C" w:rsidR="008D1A63" w:rsidRPr="00A10939" w:rsidRDefault="008D1A63" w:rsidP="00A10939">
      <w:pPr>
        <w:spacing w:after="0" w:line="360" w:lineRule="auto"/>
        <w:ind w:left="567" w:hanging="567"/>
        <w:jc w:val="both"/>
        <w:rPr>
          <w:rFonts w:ascii="Times New Roman" w:hAnsi="Times New Roman" w:cs="Times New Roman"/>
          <w:sz w:val="24"/>
          <w:szCs w:val="24"/>
          <w:lang w:val="en-US"/>
        </w:rPr>
      </w:pPr>
      <w:proofErr w:type="spellStart"/>
      <w:r w:rsidRPr="00A10939">
        <w:rPr>
          <w:rFonts w:ascii="Times New Roman" w:hAnsi="Times New Roman" w:cs="Times New Roman"/>
          <w:sz w:val="24"/>
          <w:szCs w:val="24"/>
          <w:lang w:val="en-US"/>
        </w:rPr>
        <w:t>Conlé</w:t>
      </w:r>
      <w:proofErr w:type="spellEnd"/>
      <w:r w:rsidRPr="00A10939">
        <w:rPr>
          <w:rFonts w:ascii="Times New Roman" w:hAnsi="Times New Roman" w:cs="Times New Roman"/>
          <w:sz w:val="24"/>
          <w:szCs w:val="24"/>
          <w:lang w:val="en-US"/>
        </w:rPr>
        <w:t xml:space="preserve">, M., Kroll, H., Storz, C., &amp; Ten Brink, T. (2023). University satellite institutes as exogenous facilitators of technology transfer ecosystem development. </w:t>
      </w:r>
      <w:r w:rsidRPr="00A10939">
        <w:rPr>
          <w:rFonts w:ascii="Times New Roman" w:hAnsi="Times New Roman" w:cs="Times New Roman"/>
          <w:i/>
          <w:iCs/>
          <w:sz w:val="24"/>
          <w:szCs w:val="24"/>
          <w:lang w:val="en-US"/>
        </w:rPr>
        <w:t>The Journal of Technology Transfer, 48</w:t>
      </w:r>
      <w:r w:rsidRPr="00A10939">
        <w:rPr>
          <w:rFonts w:ascii="Times New Roman" w:hAnsi="Times New Roman" w:cs="Times New Roman"/>
          <w:sz w:val="24"/>
          <w:szCs w:val="24"/>
          <w:lang w:val="en-US"/>
        </w:rPr>
        <w:t xml:space="preserve">(1), 147-180. </w:t>
      </w:r>
      <w:hyperlink r:id="rId19" w:history="1">
        <w:r w:rsidRPr="00A10939">
          <w:rPr>
            <w:rStyle w:val="Hipervnculo"/>
            <w:rFonts w:ascii="Times New Roman" w:hAnsi="Times New Roman" w:cs="Times New Roman"/>
            <w:sz w:val="24"/>
            <w:szCs w:val="24"/>
            <w:lang w:val="en-US"/>
          </w:rPr>
          <w:t>https://doi.org/10.1007/s10961-021-09909-7</w:t>
        </w:r>
      </w:hyperlink>
    </w:p>
    <w:p w14:paraId="208771D1" w14:textId="77777777" w:rsidR="007D4A83" w:rsidRPr="00A10939" w:rsidRDefault="007C382D" w:rsidP="00A10939">
      <w:pPr>
        <w:spacing w:after="0" w:line="360" w:lineRule="auto"/>
        <w:ind w:left="567" w:hanging="567"/>
        <w:jc w:val="both"/>
        <w:rPr>
          <w:rFonts w:ascii="Times New Roman" w:hAnsi="Times New Roman" w:cs="Times New Roman"/>
          <w:sz w:val="24"/>
          <w:szCs w:val="24"/>
        </w:rPr>
      </w:pPr>
      <w:proofErr w:type="spellStart"/>
      <w:r w:rsidRPr="00A10939">
        <w:rPr>
          <w:rFonts w:ascii="Times New Roman" w:hAnsi="Times New Roman" w:cs="Times New Roman"/>
          <w:sz w:val="24"/>
          <w:szCs w:val="24"/>
          <w:lang w:val="en-US"/>
        </w:rPr>
        <w:t>Elshahoupy</w:t>
      </w:r>
      <w:proofErr w:type="spellEnd"/>
      <w:r w:rsidRPr="00A10939">
        <w:rPr>
          <w:rFonts w:ascii="Times New Roman" w:hAnsi="Times New Roman" w:cs="Times New Roman"/>
          <w:sz w:val="24"/>
          <w:szCs w:val="24"/>
          <w:lang w:val="en-US"/>
        </w:rPr>
        <w:t xml:space="preserve">, N. (2020). Review of the Strategies for Technology Transfer </w:t>
      </w:r>
      <w:proofErr w:type="gramStart"/>
      <w:r w:rsidRPr="00A10939">
        <w:rPr>
          <w:rFonts w:ascii="Times New Roman" w:hAnsi="Times New Roman" w:cs="Times New Roman"/>
          <w:sz w:val="24"/>
          <w:szCs w:val="24"/>
          <w:lang w:val="en-US"/>
        </w:rPr>
        <w:t>In</w:t>
      </w:r>
      <w:proofErr w:type="gramEnd"/>
      <w:r w:rsidRPr="00A10939">
        <w:rPr>
          <w:rFonts w:ascii="Times New Roman" w:hAnsi="Times New Roman" w:cs="Times New Roman"/>
          <w:sz w:val="24"/>
          <w:szCs w:val="24"/>
          <w:lang w:val="en-US"/>
        </w:rPr>
        <w:t xml:space="preserve"> Manufacturing Sector. </w:t>
      </w:r>
      <w:r w:rsidRPr="00A10939">
        <w:rPr>
          <w:rFonts w:ascii="Times New Roman" w:hAnsi="Times New Roman" w:cs="Times New Roman"/>
          <w:i/>
          <w:iCs/>
          <w:sz w:val="24"/>
          <w:szCs w:val="24"/>
        </w:rPr>
        <w:t>American</w:t>
      </w:r>
      <w:r w:rsidR="007D4A83" w:rsidRPr="00A10939">
        <w:rPr>
          <w:rFonts w:ascii="Times New Roman" w:hAnsi="Times New Roman" w:cs="Times New Roman"/>
          <w:i/>
          <w:iCs/>
          <w:sz w:val="24"/>
          <w:szCs w:val="24"/>
        </w:rPr>
        <w:t xml:space="preserve"> </w:t>
      </w:r>
      <w:r w:rsidRPr="00A10939">
        <w:rPr>
          <w:rFonts w:ascii="Times New Roman" w:hAnsi="Times New Roman" w:cs="Times New Roman"/>
          <w:i/>
          <w:iCs/>
          <w:sz w:val="24"/>
          <w:szCs w:val="24"/>
        </w:rPr>
        <w:t xml:space="preserve">International </w:t>
      </w:r>
      <w:proofErr w:type="spellStart"/>
      <w:r w:rsidRPr="00A10939">
        <w:rPr>
          <w:rFonts w:ascii="Times New Roman" w:hAnsi="Times New Roman" w:cs="Times New Roman"/>
          <w:i/>
          <w:iCs/>
          <w:sz w:val="24"/>
          <w:szCs w:val="24"/>
        </w:rPr>
        <w:t>Journal</w:t>
      </w:r>
      <w:proofErr w:type="spellEnd"/>
      <w:r w:rsidRPr="00A10939">
        <w:rPr>
          <w:rFonts w:ascii="Times New Roman" w:hAnsi="Times New Roman" w:cs="Times New Roman"/>
          <w:i/>
          <w:iCs/>
          <w:sz w:val="24"/>
          <w:szCs w:val="24"/>
        </w:rPr>
        <w:t xml:space="preserve"> </w:t>
      </w:r>
      <w:proofErr w:type="spellStart"/>
      <w:r w:rsidRPr="00A10939">
        <w:rPr>
          <w:rFonts w:ascii="Times New Roman" w:hAnsi="Times New Roman" w:cs="Times New Roman"/>
          <w:i/>
          <w:iCs/>
          <w:sz w:val="24"/>
          <w:szCs w:val="24"/>
        </w:rPr>
        <w:t>of</w:t>
      </w:r>
      <w:proofErr w:type="spellEnd"/>
      <w:r w:rsidRPr="00A10939">
        <w:rPr>
          <w:rFonts w:ascii="Times New Roman" w:hAnsi="Times New Roman" w:cs="Times New Roman"/>
          <w:i/>
          <w:iCs/>
          <w:sz w:val="24"/>
          <w:szCs w:val="24"/>
        </w:rPr>
        <w:t xml:space="preserve"> Business Management (AIJBM), 3</w:t>
      </w:r>
      <w:r w:rsidRPr="00A10939">
        <w:rPr>
          <w:rFonts w:ascii="Times New Roman" w:hAnsi="Times New Roman" w:cs="Times New Roman"/>
          <w:sz w:val="24"/>
          <w:szCs w:val="24"/>
        </w:rPr>
        <w:t>(3), 25-30.</w:t>
      </w:r>
      <w:r w:rsidR="007D4A83" w:rsidRPr="00A10939">
        <w:rPr>
          <w:rFonts w:ascii="Times New Roman" w:hAnsi="Times New Roman" w:cs="Times New Roman"/>
          <w:sz w:val="24"/>
          <w:szCs w:val="24"/>
        </w:rPr>
        <w:t xml:space="preserve"> </w:t>
      </w:r>
    </w:p>
    <w:p w14:paraId="7B6CB156" w14:textId="77777777" w:rsidR="0021319D" w:rsidRPr="00A10939" w:rsidRDefault="0021319D" w:rsidP="00A10939">
      <w:pPr>
        <w:spacing w:after="0" w:line="360" w:lineRule="auto"/>
        <w:jc w:val="both"/>
        <w:rPr>
          <w:rFonts w:ascii="Times New Roman" w:hAnsi="Times New Roman" w:cs="Times New Roman"/>
          <w:sz w:val="24"/>
          <w:szCs w:val="24"/>
        </w:rPr>
      </w:pPr>
      <w:r w:rsidRPr="00A10939">
        <w:rPr>
          <w:rFonts w:ascii="Times New Roman" w:hAnsi="Times New Roman" w:cs="Times New Roman"/>
          <w:sz w:val="24"/>
          <w:szCs w:val="24"/>
        </w:rPr>
        <w:t xml:space="preserve">Garzón, M. (2018). La capacidad dinámica de aprendizaje. </w:t>
      </w:r>
      <w:r w:rsidRPr="00A10939">
        <w:rPr>
          <w:rFonts w:ascii="Times New Roman" w:hAnsi="Times New Roman" w:cs="Times New Roman"/>
          <w:i/>
          <w:iCs/>
          <w:sz w:val="24"/>
          <w:szCs w:val="24"/>
        </w:rPr>
        <w:t>Desarrollo Gerencial, 10</w:t>
      </w:r>
      <w:r w:rsidRPr="00A10939">
        <w:rPr>
          <w:rFonts w:ascii="Times New Roman" w:hAnsi="Times New Roman" w:cs="Times New Roman"/>
          <w:sz w:val="24"/>
          <w:szCs w:val="24"/>
        </w:rPr>
        <w:t xml:space="preserve"> (1), 29-47.</w:t>
      </w:r>
    </w:p>
    <w:p w14:paraId="5B13CA40" w14:textId="11323074" w:rsidR="007D4A83" w:rsidRPr="00A10939" w:rsidRDefault="007C382D" w:rsidP="00A10939">
      <w:pPr>
        <w:spacing w:after="0" w:line="360" w:lineRule="auto"/>
        <w:ind w:left="567" w:hanging="567"/>
        <w:jc w:val="both"/>
        <w:rPr>
          <w:rFonts w:ascii="Times New Roman" w:hAnsi="Times New Roman" w:cs="Times New Roman"/>
          <w:sz w:val="24"/>
          <w:szCs w:val="24"/>
          <w:lang w:val="en-US"/>
        </w:rPr>
      </w:pPr>
      <w:r w:rsidRPr="00A10939">
        <w:rPr>
          <w:rFonts w:ascii="Times New Roman" w:hAnsi="Times New Roman" w:cs="Times New Roman"/>
          <w:sz w:val="24"/>
          <w:szCs w:val="24"/>
        </w:rPr>
        <w:t xml:space="preserve">Gómez-Duque, L. Á., Daza-Torres, J. D., </w:t>
      </w:r>
      <w:r w:rsidR="00BF1F4A" w:rsidRPr="00A10939">
        <w:rPr>
          <w:rFonts w:ascii="Times New Roman" w:hAnsi="Times New Roman" w:cs="Times New Roman"/>
          <w:sz w:val="24"/>
          <w:szCs w:val="24"/>
        </w:rPr>
        <w:t>y</w:t>
      </w:r>
      <w:r w:rsidRPr="00A10939">
        <w:rPr>
          <w:rFonts w:ascii="Times New Roman" w:hAnsi="Times New Roman" w:cs="Times New Roman"/>
          <w:sz w:val="24"/>
          <w:szCs w:val="24"/>
        </w:rPr>
        <w:t xml:space="preserve"> Arias-Pérez, J. (2023). Inteligencia de negocios y agilidad</w:t>
      </w:r>
      <w:r w:rsidR="007D4A83" w:rsidRPr="00A10939">
        <w:rPr>
          <w:rFonts w:ascii="Times New Roman" w:hAnsi="Times New Roman" w:cs="Times New Roman"/>
          <w:sz w:val="24"/>
          <w:szCs w:val="24"/>
        </w:rPr>
        <w:t xml:space="preserve"> organizacional: ¿</w:t>
      </w:r>
      <w:r w:rsidRPr="00A10939">
        <w:rPr>
          <w:rFonts w:ascii="Times New Roman" w:hAnsi="Times New Roman" w:cs="Times New Roman"/>
          <w:sz w:val="24"/>
          <w:szCs w:val="24"/>
        </w:rPr>
        <w:t xml:space="preserve">Son relevantes la toma de decisiones racional e intuitiva? </w:t>
      </w:r>
      <w:proofErr w:type="spellStart"/>
      <w:r w:rsidRPr="00A10939">
        <w:rPr>
          <w:rFonts w:ascii="Times New Roman" w:hAnsi="Times New Roman" w:cs="Times New Roman"/>
          <w:i/>
          <w:iCs/>
          <w:sz w:val="24"/>
          <w:szCs w:val="24"/>
          <w:lang w:val="en-US"/>
        </w:rPr>
        <w:t>Estudios</w:t>
      </w:r>
      <w:proofErr w:type="spellEnd"/>
      <w:r w:rsidRPr="00A10939">
        <w:rPr>
          <w:rFonts w:ascii="Times New Roman" w:hAnsi="Times New Roman" w:cs="Times New Roman"/>
          <w:i/>
          <w:iCs/>
          <w:sz w:val="24"/>
          <w:szCs w:val="24"/>
          <w:lang w:val="en-US"/>
        </w:rPr>
        <w:t xml:space="preserve"> </w:t>
      </w:r>
      <w:proofErr w:type="spellStart"/>
      <w:r w:rsidRPr="00A10939">
        <w:rPr>
          <w:rFonts w:ascii="Times New Roman" w:hAnsi="Times New Roman" w:cs="Times New Roman"/>
          <w:i/>
          <w:iCs/>
          <w:sz w:val="24"/>
          <w:szCs w:val="24"/>
          <w:lang w:val="en-US"/>
        </w:rPr>
        <w:t>Gerenciales</w:t>
      </w:r>
      <w:proofErr w:type="spellEnd"/>
      <w:r w:rsidRPr="00A10939">
        <w:rPr>
          <w:rFonts w:ascii="Times New Roman" w:hAnsi="Times New Roman" w:cs="Times New Roman"/>
          <w:i/>
          <w:iCs/>
          <w:sz w:val="24"/>
          <w:szCs w:val="24"/>
          <w:lang w:val="en-US"/>
        </w:rPr>
        <w:t>,</w:t>
      </w:r>
      <w:r w:rsidR="007D4A83" w:rsidRPr="00A10939">
        <w:rPr>
          <w:rFonts w:ascii="Times New Roman" w:hAnsi="Times New Roman" w:cs="Times New Roman"/>
          <w:i/>
          <w:iCs/>
          <w:sz w:val="24"/>
          <w:szCs w:val="24"/>
          <w:lang w:val="en-US"/>
        </w:rPr>
        <w:t xml:space="preserve"> </w:t>
      </w:r>
      <w:r w:rsidRPr="00A10939">
        <w:rPr>
          <w:rFonts w:ascii="Times New Roman" w:hAnsi="Times New Roman" w:cs="Times New Roman"/>
          <w:i/>
          <w:iCs/>
          <w:sz w:val="24"/>
          <w:szCs w:val="24"/>
          <w:lang w:val="en-US"/>
        </w:rPr>
        <w:t>39</w:t>
      </w:r>
      <w:r w:rsidRPr="00A10939">
        <w:rPr>
          <w:rFonts w:ascii="Times New Roman" w:hAnsi="Times New Roman" w:cs="Times New Roman"/>
          <w:sz w:val="24"/>
          <w:szCs w:val="24"/>
          <w:lang w:val="en-US"/>
        </w:rPr>
        <w:t>(167), 181-191.</w:t>
      </w:r>
      <w:r w:rsidR="007D4A83" w:rsidRPr="00A10939">
        <w:rPr>
          <w:rFonts w:ascii="Times New Roman" w:hAnsi="Times New Roman" w:cs="Times New Roman"/>
          <w:sz w:val="24"/>
          <w:szCs w:val="24"/>
          <w:lang w:val="en-US"/>
        </w:rPr>
        <w:t xml:space="preserve"> </w:t>
      </w:r>
    </w:p>
    <w:p w14:paraId="2A78CD07" w14:textId="4EC0149F" w:rsidR="007D4A83" w:rsidRPr="00A10939" w:rsidRDefault="007C382D" w:rsidP="00A10939">
      <w:pPr>
        <w:spacing w:after="0" w:line="360" w:lineRule="auto"/>
        <w:ind w:left="567" w:hanging="567"/>
        <w:jc w:val="both"/>
        <w:rPr>
          <w:rFonts w:ascii="Times New Roman" w:hAnsi="Times New Roman" w:cs="Times New Roman"/>
          <w:sz w:val="24"/>
          <w:szCs w:val="24"/>
        </w:rPr>
      </w:pPr>
      <w:r w:rsidRPr="00A10939">
        <w:rPr>
          <w:rFonts w:ascii="Times New Roman" w:hAnsi="Times New Roman" w:cs="Times New Roman"/>
          <w:sz w:val="24"/>
          <w:szCs w:val="24"/>
          <w:lang w:val="en-US"/>
        </w:rPr>
        <w:t>Gonz</w:t>
      </w:r>
      <w:r w:rsidR="00D82BDE" w:rsidRPr="00A10939">
        <w:rPr>
          <w:rFonts w:ascii="Times New Roman" w:hAnsi="Times New Roman" w:cs="Times New Roman"/>
          <w:sz w:val="24"/>
          <w:szCs w:val="24"/>
          <w:lang w:val="en-US"/>
        </w:rPr>
        <w:t>á</w:t>
      </w:r>
      <w:r w:rsidRPr="00A10939">
        <w:rPr>
          <w:rFonts w:ascii="Times New Roman" w:hAnsi="Times New Roman" w:cs="Times New Roman"/>
          <w:sz w:val="24"/>
          <w:szCs w:val="24"/>
          <w:lang w:val="en-US"/>
        </w:rPr>
        <w:t xml:space="preserve">lez, R. V. D. (2023). </w:t>
      </w:r>
      <w:r w:rsidR="0021319D" w:rsidRPr="00A10939">
        <w:rPr>
          <w:rFonts w:ascii="Times New Roman" w:hAnsi="Times New Roman" w:cs="Times New Roman"/>
          <w:sz w:val="24"/>
          <w:szCs w:val="24"/>
          <w:lang w:val="en-US"/>
        </w:rPr>
        <w:t>Potential and realized absorptive capacity: an analysis in</w:t>
      </w:r>
      <w:r w:rsidR="007D4A83" w:rsidRPr="00A10939">
        <w:rPr>
          <w:rFonts w:ascii="Times New Roman" w:hAnsi="Times New Roman" w:cs="Times New Roman"/>
          <w:sz w:val="24"/>
          <w:szCs w:val="24"/>
          <w:lang w:val="en-US"/>
        </w:rPr>
        <w:t xml:space="preserve"> </w:t>
      </w:r>
      <w:r w:rsidR="0021319D" w:rsidRPr="00A10939">
        <w:rPr>
          <w:rFonts w:ascii="Times New Roman" w:hAnsi="Times New Roman" w:cs="Times New Roman"/>
          <w:sz w:val="24"/>
          <w:szCs w:val="24"/>
          <w:lang w:val="en-US"/>
        </w:rPr>
        <w:t>project teams</w:t>
      </w:r>
      <w:r w:rsidRPr="00A10939">
        <w:rPr>
          <w:rFonts w:ascii="Times New Roman" w:hAnsi="Times New Roman" w:cs="Times New Roman"/>
          <w:sz w:val="24"/>
          <w:szCs w:val="24"/>
          <w:lang w:val="en-US"/>
        </w:rPr>
        <w:t xml:space="preserve">. </w:t>
      </w:r>
      <w:r w:rsidRPr="00A10939">
        <w:rPr>
          <w:rFonts w:ascii="Times New Roman" w:hAnsi="Times New Roman" w:cs="Times New Roman"/>
          <w:i/>
          <w:iCs/>
          <w:sz w:val="24"/>
          <w:szCs w:val="24"/>
        </w:rPr>
        <w:t xml:space="preserve">Revista de </w:t>
      </w:r>
      <w:proofErr w:type="spellStart"/>
      <w:r w:rsidRPr="00A10939">
        <w:rPr>
          <w:rFonts w:ascii="Times New Roman" w:hAnsi="Times New Roman" w:cs="Times New Roman"/>
          <w:i/>
          <w:iCs/>
          <w:sz w:val="24"/>
          <w:szCs w:val="24"/>
        </w:rPr>
        <w:t>Administração</w:t>
      </w:r>
      <w:proofErr w:type="spellEnd"/>
      <w:r w:rsidRPr="00A10939">
        <w:rPr>
          <w:rFonts w:ascii="Times New Roman" w:hAnsi="Times New Roman" w:cs="Times New Roman"/>
          <w:i/>
          <w:iCs/>
          <w:sz w:val="24"/>
          <w:szCs w:val="24"/>
        </w:rPr>
        <w:t xml:space="preserve"> de Empresas, 63</w:t>
      </w:r>
      <w:r w:rsidRPr="00A10939">
        <w:rPr>
          <w:rFonts w:ascii="Times New Roman" w:hAnsi="Times New Roman" w:cs="Times New Roman"/>
          <w:sz w:val="24"/>
          <w:szCs w:val="24"/>
        </w:rPr>
        <w:t>, e2022-0006.</w:t>
      </w:r>
      <w:r w:rsidR="007D4A83" w:rsidRPr="00A10939">
        <w:rPr>
          <w:rFonts w:ascii="Times New Roman" w:hAnsi="Times New Roman" w:cs="Times New Roman"/>
          <w:sz w:val="24"/>
          <w:szCs w:val="24"/>
        </w:rPr>
        <w:t xml:space="preserve"> </w:t>
      </w:r>
      <w:hyperlink r:id="rId20" w:history="1">
        <w:r w:rsidR="0021319D" w:rsidRPr="00A10939">
          <w:rPr>
            <w:rStyle w:val="Hipervnculo"/>
            <w:rFonts w:ascii="Times New Roman" w:hAnsi="Times New Roman" w:cs="Times New Roman"/>
            <w:sz w:val="24"/>
            <w:szCs w:val="24"/>
          </w:rPr>
          <w:t>https://doi.org/10.1590/S0034-759020230605x</w:t>
        </w:r>
      </w:hyperlink>
    </w:p>
    <w:p w14:paraId="3A785561" w14:textId="503B4974" w:rsidR="007D4A83" w:rsidRPr="00A10939" w:rsidRDefault="007C382D" w:rsidP="00A10939">
      <w:pPr>
        <w:spacing w:after="0" w:line="360" w:lineRule="auto"/>
        <w:ind w:left="567" w:hanging="567"/>
        <w:jc w:val="both"/>
        <w:rPr>
          <w:rStyle w:val="Hipervnculo"/>
          <w:rFonts w:ascii="Times New Roman" w:hAnsi="Times New Roman" w:cs="Times New Roman"/>
          <w:sz w:val="24"/>
          <w:szCs w:val="24"/>
          <w:lang w:val="en-US"/>
        </w:rPr>
      </w:pPr>
      <w:proofErr w:type="spellStart"/>
      <w:r w:rsidRPr="00A10939">
        <w:rPr>
          <w:rFonts w:ascii="Times New Roman" w:hAnsi="Times New Roman" w:cs="Times New Roman"/>
          <w:sz w:val="24"/>
          <w:szCs w:val="24"/>
        </w:rPr>
        <w:t>Halmaghi</w:t>
      </w:r>
      <w:proofErr w:type="spellEnd"/>
      <w:r w:rsidRPr="00A10939">
        <w:rPr>
          <w:rFonts w:ascii="Times New Roman" w:hAnsi="Times New Roman" w:cs="Times New Roman"/>
          <w:sz w:val="24"/>
          <w:szCs w:val="24"/>
        </w:rPr>
        <w:t xml:space="preserve">, E.-E., </w:t>
      </w:r>
      <w:r w:rsidR="00BF1F4A" w:rsidRPr="00A10939">
        <w:rPr>
          <w:rFonts w:ascii="Times New Roman" w:hAnsi="Times New Roman" w:cs="Times New Roman"/>
          <w:sz w:val="24"/>
          <w:szCs w:val="24"/>
        </w:rPr>
        <w:t>y</w:t>
      </w:r>
      <w:r w:rsidRPr="00A10939">
        <w:rPr>
          <w:rFonts w:ascii="Times New Roman" w:hAnsi="Times New Roman" w:cs="Times New Roman"/>
          <w:sz w:val="24"/>
          <w:szCs w:val="24"/>
        </w:rPr>
        <w:t xml:space="preserve"> </w:t>
      </w:r>
      <w:proofErr w:type="spellStart"/>
      <w:r w:rsidR="00C406B8" w:rsidRPr="00A10939">
        <w:rPr>
          <w:rFonts w:ascii="Times New Roman" w:hAnsi="Times New Roman" w:cs="Times New Roman"/>
          <w:sz w:val="24"/>
          <w:szCs w:val="24"/>
        </w:rPr>
        <w:t>Todăriță</w:t>
      </w:r>
      <w:proofErr w:type="spellEnd"/>
      <w:r w:rsidRPr="00A10939">
        <w:rPr>
          <w:rFonts w:ascii="Times New Roman" w:hAnsi="Times New Roman" w:cs="Times New Roman"/>
          <w:sz w:val="24"/>
          <w:szCs w:val="24"/>
        </w:rPr>
        <w:t xml:space="preserve">, E.-T. (2023). </w:t>
      </w:r>
      <w:r w:rsidRPr="00A10939">
        <w:rPr>
          <w:rFonts w:ascii="Times New Roman" w:hAnsi="Times New Roman" w:cs="Times New Roman"/>
          <w:sz w:val="24"/>
          <w:szCs w:val="24"/>
          <w:lang w:val="en-US"/>
        </w:rPr>
        <w:t xml:space="preserve">Creating a Learning Culture in the </w:t>
      </w:r>
      <w:proofErr w:type="spellStart"/>
      <w:r w:rsidRPr="00A10939">
        <w:rPr>
          <w:rFonts w:ascii="Times New Roman" w:hAnsi="Times New Roman" w:cs="Times New Roman"/>
          <w:sz w:val="24"/>
          <w:szCs w:val="24"/>
          <w:lang w:val="en-US"/>
        </w:rPr>
        <w:t>Organisation</w:t>
      </w:r>
      <w:proofErr w:type="spellEnd"/>
      <w:r w:rsidRPr="00A10939">
        <w:rPr>
          <w:rFonts w:ascii="Times New Roman" w:hAnsi="Times New Roman" w:cs="Times New Roman"/>
          <w:sz w:val="24"/>
          <w:szCs w:val="24"/>
          <w:lang w:val="en-US"/>
        </w:rPr>
        <w:t xml:space="preserve">. </w:t>
      </w:r>
      <w:r w:rsidRPr="00A10939">
        <w:rPr>
          <w:rFonts w:ascii="Times New Roman" w:hAnsi="Times New Roman" w:cs="Times New Roman"/>
          <w:i/>
          <w:iCs/>
          <w:sz w:val="24"/>
          <w:szCs w:val="24"/>
          <w:lang w:val="en-US"/>
        </w:rPr>
        <w:t>Scientific Bulletin,</w:t>
      </w:r>
      <w:r w:rsidR="007D4A83" w:rsidRPr="00A10939">
        <w:rPr>
          <w:rFonts w:ascii="Times New Roman" w:hAnsi="Times New Roman" w:cs="Times New Roman"/>
          <w:i/>
          <w:iCs/>
          <w:sz w:val="24"/>
          <w:szCs w:val="24"/>
          <w:lang w:val="en-US"/>
        </w:rPr>
        <w:t xml:space="preserve"> </w:t>
      </w:r>
      <w:r w:rsidRPr="00A10939">
        <w:rPr>
          <w:rFonts w:ascii="Times New Roman" w:hAnsi="Times New Roman" w:cs="Times New Roman"/>
          <w:i/>
          <w:iCs/>
          <w:sz w:val="24"/>
          <w:szCs w:val="24"/>
          <w:lang w:val="en-US"/>
        </w:rPr>
        <w:t>28</w:t>
      </w:r>
      <w:r w:rsidRPr="00A10939">
        <w:rPr>
          <w:rFonts w:ascii="Times New Roman" w:hAnsi="Times New Roman" w:cs="Times New Roman"/>
          <w:sz w:val="24"/>
          <w:szCs w:val="24"/>
          <w:lang w:val="en-US"/>
        </w:rPr>
        <w:t>(2), 210-214.</w:t>
      </w:r>
      <w:r w:rsidR="007D4A83" w:rsidRPr="00A10939">
        <w:rPr>
          <w:rFonts w:ascii="Times New Roman" w:hAnsi="Times New Roman" w:cs="Times New Roman"/>
          <w:sz w:val="24"/>
          <w:szCs w:val="24"/>
          <w:lang w:val="en-US"/>
        </w:rPr>
        <w:t xml:space="preserve"> </w:t>
      </w:r>
      <w:hyperlink r:id="rId21" w:history="1">
        <w:r w:rsidR="0021319D" w:rsidRPr="00A10939">
          <w:rPr>
            <w:rStyle w:val="Hipervnculo"/>
            <w:rFonts w:ascii="Times New Roman" w:hAnsi="Times New Roman" w:cs="Times New Roman"/>
            <w:sz w:val="24"/>
            <w:szCs w:val="24"/>
            <w:lang w:val="en-US"/>
          </w:rPr>
          <w:t>https://doi.org/10.2478/bsaft-2023-0021</w:t>
        </w:r>
      </w:hyperlink>
    </w:p>
    <w:p w14:paraId="0D7DD5F7" w14:textId="14549C45" w:rsidR="005E6EE7" w:rsidRPr="00A10939" w:rsidRDefault="005E6EE7" w:rsidP="00A10939">
      <w:pPr>
        <w:spacing w:after="0" w:line="360" w:lineRule="auto"/>
        <w:ind w:left="567" w:hanging="567"/>
        <w:jc w:val="both"/>
        <w:rPr>
          <w:rFonts w:ascii="Times New Roman" w:hAnsi="Times New Roman" w:cs="Times New Roman"/>
          <w:sz w:val="24"/>
          <w:szCs w:val="24"/>
          <w:lang w:val="en-US"/>
        </w:rPr>
      </w:pPr>
      <w:r w:rsidRPr="00A10939">
        <w:rPr>
          <w:rFonts w:ascii="Times New Roman" w:hAnsi="Times New Roman" w:cs="Times New Roman"/>
          <w:sz w:val="24"/>
          <w:szCs w:val="24"/>
          <w:lang w:val="en-US"/>
        </w:rPr>
        <w:t xml:space="preserve">Kale, E., </w:t>
      </w:r>
      <w:proofErr w:type="spellStart"/>
      <w:r w:rsidRPr="00A10939">
        <w:rPr>
          <w:rFonts w:ascii="Times New Roman" w:hAnsi="Times New Roman" w:cs="Times New Roman"/>
          <w:sz w:val="24"/>
          <w:szCs w:val="24"/>
          <w:lang w:val="en-US"/>
        </w:rPr>
        <w:t>Aknar</w:t>
      </w:r>
      <w:proofErr w:type="spellEnd"/>
      <w:r w:rsidRPr="00A10939">
        <w:rPr>
          <w:rFonts w:ascii="Times New Roman" w:hAnsi="Times New Roman" w:cs="Times New Roman"/>
          <w:sz w:val="24"/>
          <w:szCs w:val="24"/>
          <w:lang w:val="en-US"/>
        </w:rPr>
        <w:t xml:space="preserve">, A., &amp; Başar, Ö. (2019). Absorptive capacity and firm performance: The mediating role of strategic agility. </w:t>
      </w:r>
      <w:r w:rsidRPr="00A10939">
        <w:rPr>
          <w:rFonts w:ascii="Times New Roman" w:hAnsi="Times New Roman" w:cs="Times New Roman"/>
          <w:i/>
          <w:iCs/>
          <w:sz w:val="24"/>
          <w:szCs w:val="24"/>
          <w:lang w:val="en-US"/>
        </w:rPr>
        <w:t>International journal of hospitality management, 78</w:t>
      </w:r>
      <w:r w:rsidRPr="00A10939">
        <w:rPr>
          <w:rFonts w:ascii="Times New Roman" w:hAnsi="Times New Roman" w:cs="Times New Roman"/>
          <w:sz w:val="24"/>
          <w:szCs w:val="24"/>
          <w:lang w:val="en-US"/>
        </w:rPr>
        <w:t xml:space="preserve">, 276-283. </w:t>
      </w:r>
      <w:hyperlink r:id="rId22" w:history="1">
        <w:r w:rsidRPr="00A10939">
          <w:rPr>
            <w:rStyle w:val="Hipervnculo"/>
            <w:rFonts w:ascii="Times New Roman" w:hAnsi="Times New Roman" w:cs="Times New Roman"/>
            <w:sz w:val="24"/>
            <w:szCs w:val="24"/>
            <w:lang w:val="en-US"/>
          </w:rPr>
          <w:t>https://doi.org/10.1016/j.ijhm.2018.09.010</w:t>
        </w:r>
      </w:hyperlink>
    </w:p>
    <w:p w14:paraId="15B70B51" w14:textId="056E6B4D" w:rsidR="007C382D" w:rsidRPr="00A10939" w:rsidRDefault="0021319D" w:rsidP="00A10939">
      <w:pPr>
        <w:spacing w:after="0" w:line="360" w:lineRule="auto"/>
        <w:ind w:left="567" w:hanging="567"/>
        <w:jc w:val="both"/>
        <w:rPr>
          <w:rFonts w:ascii="Times New Roman" w:hAnsi="Times New Roman" w:cs="Times New Roman"/>
          <w:sz w:val="24"/>
          <w:szCs w:val="24"/>
          <w:lang w:val="en-US"/>
        </w:rPr>
      </w:pPr>
      <w:proofErr w:type="spellStart"/>
      <w:r w:rsidRPr="00A10939">
        <w:rPr>
          <w:rFonts w:ascii="Times New Roman" w:hAnsi="Times New Roman" w:cs="Times New Roman"/>
          <w:sz w:val="24"/>
          <w:szCs w:val="24"/>
        </w:rPr>
        <w:t>Koçyiğit</w:t>
      </w:r>
      <w:proofErr w:type="spellEnd"/>
      <w:r w:rsidR="007C382D" w:rsidRPr="00A10939">
        <w:rPr>
          <w:rFonts w:ascii="Times New Roman" w:hAnsi="Times New Roman" w:cs="Times New Roman"/>
          <w:sz w:val="24"/>
          <w:szCs w:val="24"/>
        </w:rPr>
        <w:t xml:space="preserve">, Y., </w:t>
      </w:r>
      <w:r w:rsidR="00BF1F4A" w:rsidRPr="00A10939">
        <w:rPr>
          <w:rFonts w:ascii="Times New Roman" w:hAnsi="Times New Roman" w:cs="Times New Roman"/>
          <w:sz w:val="24"/>
          <w:szCs w:val="24"/>
        </w:rPr>
        <w:t>y</w:t>
      </w:r>
      <w:r w:rsidR="007C382D" w:rsidRPr="00A10939">
        <w:rPr>
          <w:rFonts w:ascii="Times New Roman" w:hAnsi="Times New Roman" w:cs="Times New Roman"/>
          <w:sz w:val="24"/>
          <w:szCs w:val="24"/>
        </w:rPr>
        <w:t xml:space="preserve"> </w:t>
      </w:r>
      <w:proofErr w:type="spellStart"/>
      <w:r w:rsidR="007C382D" w:rsidRPr="00A10939">
        <w:rPr>
          <w:rFonts w:ascii="Times New Roman" w:hAnsi="Times New Roman" w:cs="Times New Roman"/>
          <w:sz w:val="24"/>
          <w:szCs w:val="24"/>
        </w:rPr>
        <w:t>Akkaya</w:t>
      </w:r>
      <w:proofErr w:type="spellEnd"/>
      <w:r w:rsidR="007C382D" w:rsidRPr="00A10939">
        <w:rPr>
          <w:rFonts w:ascii="Times New Roman" w:hAnsi="Times New Roman" w:cs="Times New Roman"/>
          <w:sz w:val="24"/>
          <w:szCs w:val="24"/>
        </w:rPr>
        <w:t xml:space="preserve">, B. (2020). </w:t>
      </w:r>
      <w:r w:rsidR="007C382D" w:rsidRPr="00A10939">
        <w:rPr>
          <w:rFonts w:ascii="Times New Roman" w:hAnsi="Times New Roman" w:cs="Times New Roman"/>
          <w:sz w:val="24"/>
          <w:szCs w:val="24"/>
          <w:lang w:val="en-US"/>
        </w:rPr>
        <w:t xml:space="preserve">The role of organizational flexibility in organizational agility: </w:t>
      </w:r>
      <w:proofErr w:type="gramStart"/>
      <w:r w:rsidR="007C382D" w:rsidRPr="00A10939">
        <w:rPr>
          <w:rFonts w:ascii="Times New Roman" w:hAnsi="Times New Roman" w:cs="Times New Roman"/>
          <w:sz w:val="24"/>
          <w:szCs w:val="24"/>
          <w:lang w:val="en-US"/>
        </w:rPr>
        <w:t>A research</w:t>
      </w:r>
      <w:proofErr w:type="gramEnd"/>
      <w:r w:rsidR="007D4A83" w:rsidRPr="00A10939">
        <w:rPr>
          <w:rFonts w:ascii="Times New Roman" w:hAnsi="Times New Roman" w:cs="Times New Roman"/>
          <w:sz w:val="24"/>
          <w:szCs w:val="24"/>
          <w:lang w:val="en-US"/>
        </w:rPr>
        <w:t xml:space="preserve"> </w:t>
      </w:r>
      <w:r w:rsidR="007C382D" w:rsidRPr="00A10939">
        <w:rPr>
          <w:rFonts w:ascii="Times New Roman" w:hAnsi="Times New Roman" w:cs="Times New Roman"/>
          <w:sz w:val="24"/>
          <w:szCs w:val="24"/>
          <w:lang w:val="en-US"/>
        </w:rPr>
        <w:t xml:space="preserve">on SMEs. </w:t>
      </w:r>
      <w:r w:rsidR="007C382D" w:rsidRPr="00A10939">
        <w:rPr>
          <w:rFonts w:ascii="Times New Roman" w:hAnsi="Times New Roman" w:cs="Times New Roman"/>
          <w:i/>
          <w:iCs/>
          <w:sz w:val="24"/>
          <w:szCs w:val="24"/>
          <w:lang w:val="en-US"/>
        </w:rPr>
        <w:t>Business Management and Strategy, 11</w:t>
      </w:r>
      <w:r w:rsidR="007C382D" w:rsidRPr="00A10939">
        <w:rPr>
          <w:rFonts w:ascii="Times New Roman" w:hAnsi="Times New Roman" w:cs="Times New Roman"/>
          <w:sz w:val="24"/>
          <w:szCs w:val="24"/>
          <w:lang w:val="en-US"/>
        </w:rPr>
        <w:t>(1), 110-123.</w:t>
      </w:r>
      <w:r w:rsidRPr="00A10939">
        <w:rPr>
          <w:rFonts w:ascii="Times New Roman" w:hAnsi="Times New Roman" w:cs="Times New Roman"/>
          <w:sz w:val="24"/>
          <w:szCs w:val="24"/>
          <w:lang w:val="en-US"/>
        </w:rPr>
        <w:t xml:space="preserve"> </w:t>
      </w:r>
      <w:hyperlink r:id="rId23" w:history="1">
        <w:r w:rsidRPr="00A10939">
          <w:rPr>
            <w:rStyle w:val="Hipervnculo"/>
            <w:rFonts w:ascii="Times New Roman" w:hAnsi="Times New Roman" w:cs="Times New Roman"/>
            <w:sz w:val="24"/>
            <w:szCs w:val="24"/>
            <w:lang w:val="en-US"/>
          </w:rPr>
          <w:t>https://doi.org/10.5296/bms.v11i1.16867</w:t>
        </w:r>
      </w:hyperlink>
    </w:p>
    <w:p w14:paraId="50F89DF0" w14:textId="57E6487C" w:rsidR="007D4A83" w:rsidRPr="00A10939" w:rsidRDefault="007C382D" w:rsidP="00A10939">
      <w:pPr>
        <w:spacing w:after="0" w:line="360" w:lineRule="auto"/>
        <w:ind w:left="567" w:hanging="567"/>
        <w:jc w:val="both"/>
        <w:rPr>
          <w:rFonts w:ascii="Times New Roman" w:hAnsi="Times New Roman" w:cs="Times New Roman"/>
          <w:sz w:val="24"/>
          <w:szCs w:val="24"/>
          <w:lang w:val="en-US"/>
        </w:rPr>
      </w:pPr>
      <w:r w:rsidRPr="00A10939">
        <w:rPr>
          <w:rFonts w:ascii="Times New Roman" w:hAnsi="Times New Roman" w:cs="Times New Roman"/>
          <w:sz w:val="24"/>
          <w:szCs w:val="24"/>
          <w:lang w:val="en-US"/>
        </w:rPr>
        <w:t>Krylov, S. (2023). Applied strategic analysis of learning and growth based on a balanced scorecard: Theoretical</w:t>
      </w:r>
      <w:r w:rsidR="007D4A83" w:rsidRPr="00A10939">
        <w:rPr>
          <w:rFonts w:ascii="Times New Roman" w:hAnsi="Times New Roman" w:cs="Times New Roman"/>
          <w:sz w:val="24"/>
          <w:szCs w:val="24"/>
          <w:lang w:val="en-US"/>
        </w:rPr>
        <w:t xml:space="preserve"> </w:t>
      </w:r>
      <w:r w:rsidRPr="00A10939">
        <w:rPr>
          <w:rFonts w:ascii="Times New Roman" w:hAnsi="Times New Roman" w:cs="Times New Roman"/>
          <w:sz w:val="24"/>
          <w:szCs w:val="24"/>
          <w:lang w:val="en-US"/>
        </w:rPr>
        <w:t xml:space="preserve">foundations. </w:t>
      </w:r>
      <w:r w:rsidRPr="00A10939">
        <w:rPr>
          <w:rFonts w:ascii="Times New Roman" w:hAnsi="Times New Roman" w:cs="Times New Roman"/>
          <w:i/>
          <w:iCs/>
          <w:sz w:val="24"/>
          <w:szCs w:val="24"/>
          <w:lang w:val="en-US"/>
        </w:rPr>
        <w:t>Review of Socio-Economic Perspectives, 8(</w:t>
      </w:r>
      <w:r w:rsidRPr="00A10939">
        <w:rPr>
          <w:rFonts w:ascii="Times New Roman" w:hAnsi="Times New Roman" w:cs="Times New Roman"/>
          <w:sz w:val="24"/>
          <w:szCs w:val="24"/>
          <w:lang w:val="en-US"/>
        </w:rPr>
        <w:t>202301), 1-9</w:t>
      </w:r>
      <w:r w:rsidR="00363BD7" w:rsidRPr="00A10939">
        <w:rPr>
          <w:rFonts w:ascii="Times New Roman" w:hAnsi="Times New Roman" w:cs="Times New Roman"/>
          <w:sz w:val="24"/>
          <w:szCs w:val="24"/>
          <w:lang w:val="en-US"/>
        </w:rPr>
        <w:t xml:space="preserve">. </w:t>
      </w:r>
      <w:hyperlink r:id="rId24" w:history="1">
        <w:r w:rsidR="0021319D" w:rsidRPr="00A10939">
          <w:rPr>
            <w:rStyle w:val="Hipervnculo"/>
            <w:rFonts w:ascii="Times New Roman" w:hAnsi="Times New Roman" w:cs="Times New Roman"/>
            <w:sz w:val="24"/>
            <w:szCs w:val="24"/>
            <w:lang w:val="en-US"/>
          </w:rPr>
          <w:t>https://doi.org/10.19275/RSEP144</w:t>
        </w:r>
      </w:hyperlink>
    </w:p>
    <w:p w14:paraId="5F667BB9" w14:textId="2C741961" w:rsidR="007D4A83" w:rsidRPr="00A10939" w:rsidRDefault="007C382D" w:rsidP="00A10939">
      <w:pPr>
        <w:spacing w:after="0" w:line="360" w:lineRule="auto"/>
        <w:ind w:left="567" w:hanging="567"/>
        <w:jc w:val="both"/>
        <w:rPr>
          <w:rFonts w:ascii="Times New Roman" w:hAnsi="Times New Roman" w:cs="Times New Roman"/>
          <w:sz w:val="24"/>
          <w:szCs w:val="24"/>
          <w:lang w:val="en-US"/>
        </w:rPr>
      </w:pPr>
      <w:r w:rsidRPr="00A10939">
        <w:rPr>
          <w:rFonts w:ascii="Times New Roman" w:hAnsi="Times New Roman" w:cs="Times New Roman"/>
          <w:sz w:val="24"/>
          <w:szCs w:val="24"/>
          <w:lang w:val="en-US"/>
        </w:rPr>
        <w:lastRenderedPageBreak/>
        <w:t xml:space="preserve">Limaj, E., </w:t>
      </w:r>
      <w:r w:rsidR="00BF1F4A" w:rsidRPr="00A10939">
        <w:rPr>
          <w:rFonts w:ascii="Times New Roman" w:hAnsi="Times New Roman" w:cs="Times New Roman"/>
          <w:sz w:val="24"/>
          <w:szCs w:val="24"/>
          <w:lang w:val="en-US"/>
        </w:rPr>
        <w:t>y</w:t>
      </w:r>
      <w:r w:rsidRPr="00A10939">
        <w:rPr>
          <w:rFonts w:ascii="Times New Roman" w:hAnsi="Times New Roman" w:cs="Times New Roman"/>
          <w:sz w:val="24"/>
          <w:szCs w:val="24"/>
          <w:lang w:val="en-US"/>
        </w:rPr>
        <w:t xml:space="preserve"> </w:t>
      </w:r>
      <w:proofErr w:type="spellStart"/>
      <w:r w:rsidRPr="00A10939">
        <w:rPr>
          <w:rFonts w:ascii="Times New Roman" w:hAnsi="Times New Roman" w:cs="Times New Roman"/>
          <w:sz w:val="24"/>
          <w:szCs w:val="24"/>
          <w:lang w:val="en-US"/>
        </w:rPr>
        <w:t>Bernroider</w:t>
      </w:r>
      <w:proofErr w:type="spellEnd"/>
      <w:r w:rsidRPr="00A10939">
        <w:rPr>
          <w:rFonts w:ascii="Times New Roman" w:hAnsi="Times New Roman" w:cs="Times New Roman"/>
          <w:sz w:val="24"/>
          <w:szCs w:val="24"/>
          <w:lang w:val="en-US"/>
        </w:rPr>
        <w:t>, E. W. (2019). The roles of absorptive capacity and cultural balance for exploratory</w:t>
      </w:r>
      <w:r w:rsidR="007D4A83" w:rsidRPr="00A10939">
        <w:rPr>
          <w:rFonts w:ascii="Times New Roman" w:hAnsi="Times New Roman" w:cs="Times New Roman"/>
          <w:sz w:val="24"/>
          <w:szCs w:val="24"/>
          <w:lang w:val="en-US"/>
        </w:rPr>
        <w:t xml:space="preserve"> </w:t>
      </w:r>
      <w:r w:rsidRPr="00A10939">
        <w:rPr>
          <w:rFonts w:ascii="Times New Roman" w:hAnsi="Times New Roman" w:cs="Times New Roman"/>
          <w:sz w:val="24"/>
          <w:szCs w:val="24"/>
          <w:lang w:val="en-US"/>
        </w:rPr>
        <w:t xml:space="preserve">and exploitative innovation in SMEs. </w:t>
      </w:r>
      <w:r w:rsidRPr="00A10939">
        <w:rPr>
          <w:rFonts w:ascii="Times New Roman" w:hAnsi="Times New Roman" w:cs="Times New Roman"/>
          <w:i/>
          <w:iCs/>
          <w:sz w:val="24"/>
          <w:szCs w:val="24"/>
          <w:lang w:val="en-US"/>
        </w:rPr>
        <w:t>Journal of business research, 94</w:t>
      </w:r>
      <w:r w:rsidRPr="00A10939">
        <w:rPr>
          <w:rFonts w:ascii="Times New Roman" w:hAnsi="Times New Roman" w:cs="Times New Roman"/>
          <w:sz w:val="24"/>
          <w:szCs w:val="24"/>
          <w:lang w:val="en-US"/>
        </w:rPr>
        <w:t>, 137-153.</w:t>
      </w:r>
      <w:r w:rsidR="007D4A83" w:rsidRPr="00A10939">
        <w:rPr>
          <w:rFonts w:ascii="Times New Roman" w:hAnsi="Times New Roman" w:cs="Times New Roman"/>
          <w:sz w:val="24"/>
          <w:szCs w:val="24"/>
          <w:lang w:val="en-US"/>
        </w:rPr>
        <w:t xml:space="preserve"> </w:t>
      </w:r>
      <w:hyperlink r:id="rId25" w:history="1">
        <w:r w:rsidR="0021319D" w:rsidRPr="00A10939">
          <w:rPr>
            <w:rStyle w:val="Hipervnculo"/>
            <w:rFonts w:ascii="Times New Roman" w:hAnsi="Times New Roman" w:cs="Times New Roman"/>
            <w:sz w:val="24"/>
            <w:szCs w:val="24"/>
            <w:lang w:val="en-US"/>
          </w:rPr>
          <w:t>https://doi.org/10.1016/j.jbusres.2017.10.052</w:t>
        </w:r>
      </w:hyperlink>
    </w:p>
    <w:p w14:paraId="31E54419" w14:textId="459713E0" w:rsidR="007D4A83" w:rsidRPr="00A10939" w:rsidRDefault="007C382D" w:rsidP="00A10939">
      <w:pPr>
        <w:spacing w:after="0" w:line="360" w:lineRule="auto"/>
        <w:ind w:left="567" w:hanging="567"/>
        <w:jc w:val="both"/>
        <w:rPr>
          <w:rFonts w:ascii="Times New Roman" w:hAnsi="Times New Roman" w:cs="Times New Roman"/>
          <w:sz w:val="24"/>
          <w:szCs w:val="24"/>
          <w:lang w:val="en-US"/>
        </w:rPr>
      </w:pPr>
      <w:proofErr w:type="spellStart"/>
      <w:r w:rsidRPr="00A10939">
        <w:rPr>
          <w:rFonts w:ascii="Times New Roman" w:hAnsi="Times New Roman" w:cs="Times New Roman"/>
          <w:sz w:val="24"/>
          <w:szCs w:val="24"/>
          <w:lang w:val="en-US"/>
        </w:rPr>
        <w:t>Mubuyaeta</w:t>
      </w:r>
      <w:proofErr w:type="spellEnd"/>
      <w:r w:rsidRPr="00A10939">
        <w:rPr>
          <w:rFonts w:ascii="Times New Roman" w:hAnsi="Times New Roman" w:cs="Times New Roman"/>
          <w:sz w:val="24"/>
          <w:szCs w:val="24"/>
          <w:lang w:val="en-US"/>
        </w:rPr>
        <w:t xml:space="preserve">, M. M., </w:t>
      </w:r>
      <w:r w:rsidR="00BF1F4A" w:rsidRPr="00A10939">
        <w:rPr>
          <w:rFonts w:ascii="Times New Roman" w:hAnsi="Times New Roman" w:cs="Times New Roman"/>
          <w:sz w:val="24"/>
          <w:szCs w:val="24"/>
          <w:lang w:val="en-US"/>
        </w:rPr>
        <w:t>y</w:t>
      </w:r>
      <w:r w:rsidRPr="00A10939">
        <w:rPr>
          <w:rFonts w:ascii="Times New Roman" w:hAnsi="Times New Roman" w:cs="Times New Roman"/>
          <w:sz w:val="24"/>
          <w:szCs w:val="24"/>
          <w:lang w:val="en-US"/>
        </w:rPr>
        <w:t xml:space="preserve"> Ponera, J. M. (2023). An understanding of the concept of knowledge management</w:t>
      </w:r>
      <w:r w:rsidR="007D4A83" w:rsidRPr="00A10939">
        <w:rPr>
          <w:rFonts w:ascii="Times New Roman" w:hAnsi="Times New Roman" w:cs="Times New Roman"/>
          <w:sz w:val="24"/>
          <w:szCs w:val="24"/>
          <w:lang w:val="en-US"/>
        </w:rPr>
        <w:t xml:space="preserve"> </w:t>
      </w:r>
      <w:r w:rsidRPr="00A10939">
        <w:rPr>
          <w:rFonts w:ascii="Times New Roman" w:hAnsi="Times New Roman" w:cs="Times New Roman"/>
          <w:sz w:val="24"/>
          <w:szCs w:val="24"/>
          <w:lang w:val="en-US"/>
        </w:rPr>
        <w:t>for knowledge management system implementation in two mobile telecommunication companies in</w:t>
      </w:r>
      <w:r w:rsidR="007D4A83" w:rsidRPr="00A10939">
        <w:rPr>
          <w:rFonts w:ascii="Times New Roman" w:hAnsi="Times New Roman" w:cs="Times New Roman"/>
          <w:sz w:val="24"/>
          <w:szCs w:val="24"/>
          <w:lang w:val="en-US"/>
        </w:rPr>
        <w:t xml:space="preserve"> </w:t>
      </w:r>
      <w:r w:rsidRPr="00A10939">
        <w:rPr>
          <w:rFonts w:ascii="Times New Roman" w:hAnsi="Times New Roman" w:cs="Times New Roman"/>
          <w:sz w:val="24"/>
          <w:szCs w:val="24"/>
          <w:lang w:val="en-US"/>
        </w:rPr>
        <w:t xml:space="preserve">Namibia. </w:t>
      </w:r>
      <w:r w:rsidRPr="00A10939">
        <w:rPr>
          <w:rFonts w:ascii="Times New Roman" w:hAnsi="Times New Roman" w:cs="Times New Roman"/>
          <w:i/>
          <w:iCs/>
          <w:sz w:val="24"/>
          <w:szCs w:val="24"/>
          <w:lang w:val="en-US"/>
        </w:rPr>
        <w:t>University of Dar es Salaam Library Journal, 18</w:t>
      </w:r>
      <w:r w:rsidRPr="00A10939">
        <w:rPr>
          <w:rFonts w:ascii="Times New Roman" w:hAnsi="Times New Roman" w:cs="Times New Roman"/>
          <w:sz w:val="24"/>
          <w:szCs w:val="24"/>
          <w:lang w:val="en-US"/>
        </w:rPr>
        <w:t>(2).</w:t>
      </w:r>
      <w:r w:rsidR="007D4A83" w:rsidRPr="00A10939">
        <w:rPr>
          <w:rFonts w:ascii="Times New Roman" w:hAnsi="Times New Roman" w:cs="Times New Roman"/>
          <w:sz w:val="24"/>
          <w:szCs w:val="24"/>
          <w:lang w:val="en-US"/>
        </w:rPr>
        <w:t xml:space="preserve"> </w:t>
      </w:r>
      <w:hyperlink r:id="rId26" w:history="1">
        <w:r w:rsidR="0021319D" w:rsidRPr="00A10939">
          <w:rPr>
            <w:rStyle w:val="Hipervnculo"/>
            <w:rFonts w:ascii="Times New Roman" w:hAnsi="Times New Roman" w:cs="Times New Roman"/>
            <w:sz w:val="24"/>
            <w:szCs w:val="24"/>
            <w:lang w:val="en-US"/>
          </w:rPr>
          <w:t>https://doi.org/10.4314/udslj.v18i2.2</w:t>
        </w:r>
      </w:hyperlink>
    </w:p>
    <w:p w14:paraId="318B63B4" w14:textId="367EF06A" w:rsidR="007D4A83" w:rsidRPr="00A10939" w:rsidRDefault="007C382D" w:rsidP="00A10939">
      <w:pPr>
        <w:spacing w:after="0" w:line="360" w:lineRule="auto"/>
        <w:ind w:left="567" w:hanging="567"/>
        <w:jc w:val="both"/>
        <w:rPr>
          <w:rFonts w:ascii="Times New Roman" w:hAnsi="Times New Roman" w:cs="Times New Roman"/>
          <w:sz w:val="24"/>
          <w:szCs w:val="24"/>
        </w:rPr>
      </w:pPr>
      <w:proofErr w:type="spellStart"/>
      <w:r w:rsidRPr="00A10939">
        <w:rPr>
          <w:rFonts w:ascii="Times New Roman" w:hAnsi="Times New Roman" w:cs="Times New Roman"/>
          <w:sz w:val="24"/>
          <w:szCs w:val="24"/>
        </w:rPr>
        <w:t>Nogalski</w:t>
      </w:r>
      <w:proofErr w:type="spellEnd"/>
      <w:r w:rsidRPr="00A10939">
        <w:rPr>
          <w:rFonts w:ascii="Times New Roman" w:hAnsi="Times New Roman" w:cs="Times New Roman"/>
          <w:sz w:val="24"/>
          <w:szCs w:val="24"/>
        </w:rPr>
        <w:t xml:space="preserve">, B., </w:t>
      </w:r>
      <w:proofErr w:type="spellStart"/>
      <w:r w:rsidRPr="00A10939">
        <w:rPr>
          <w:rFonts w:ascii="Times New Roman" w:hAnsi="Times New Roman" w:cs="Times New Roman"/>
          <w:sz w:val="24"/>
          <w:szCs w:val="24"/>
        </w:rPr>
        <w:t>Niewiadomski</w:t>
      </w:r>
      <w:proofErr w:type="spellEnd"/>
      <w:r w:rsidRPr="00A10939">
        <w:rPr>
          <w:rFonts w:ascii="Times New Roman" w:hAnsi="Times New Roman" w:cs="Times New Roman"/>
          <w:sz w:val="24"/>
          <w:szCs w:val="24"/>
        </w:rPr>
        <w:t xml:space="preserve">, P., </w:t>
      </w:r>
      <w:r w:rsidR="00BF1F4A" w:rsidRPr="00A10939">
        <w:rPr>
          <w:rFonts w:ascii="Times New Roman" w:hAnsi="Times New Roman" w:cs="Times New Roman"/>
          <w:sz w:val="24"/>
          <w:szCs w:val="24"/>
        </w:rPr>
        <w:t>y</w:t>
      </w:r>
      <w:r w:rsidRPr="00A10939">
        <w:rPr>
          <w:rFonts w:ascii="Times New Roman" w:hAnsi="Times New Roman" w:cs="Times New Roman"/>
          <w:sz w:val="24"/>
          <w:szCs w:val="24"/>
        </w:rPr>
        <w:t xml:space="preserve"> </w:t>
      </w:r>
      <w:proofErr w:type="spellStart"/>
      <w:r w:rsidRPr="00A10939">
        <w:rPr>
          <w:rFonts w:ascii="Times New Roman" w:hAnsi="Times New Roman" w:cs="Times New Roman"/>
          <w:sz w:val="24"/>
          <w:szCs w:val="24"/>
        </w:rPr>
        <w:t>Szpitter</w:t>
      </w:r>
      <w:proofErr w:type="spellEnd"/>
      <w:r w:rsidRPr="00A10939">
        <w:rPr>
          <w:rFonts w:ascii="Times New Roman" w:hAnsi="Times New Roman" w:cs="Times New Roman"/>
          <w:sz w:val="24"/>
          <w:szCs w:val="24"/>
        </w:rPr>
        <w:t xml:space="preserve">, A. (2020). </w:t>
      </w:r>
      <w:r w:rsidRPr="00A10939">
        <w:rPr>
          <w:rFonts w:ascii="Times New Roman" w:hAnsi="Times New Roman" w:cs="Times New Roman"/>
          <w:sz w:val="24"/>
          <w:szCs w:val="24"/>
          <w:lang w:val="en-US"/>
        </w:rPr>
        <w:t>Agility versus flexibility? The perception of</w:t>
      </w:r>
      <w:r w:rsidR="007D4A83" w:rsidRPr="00A10939">
        <w:rPr>
          <w:rFonts w:ascii="Times New Roman" w:hAnsi="Times New Roman" w:cs="Times New Roman"/>
          <w:sz w:val="24"/>
          <w:szCs w:val="24"/>
          <w:lang w:val="en-US"/>
        </w:rPr>
        <w:t xml:space="preserve"> </w:t>
      </w:r>
      <w:r w:rsidRPr="00A10939">
        <w:rPr>
          <w:rFonts w:ascii="Times New Roman" w:hAnsi="Times New Roman" w:cs="Times New Roman"/>
          <w:sz w:val="24"/>
          <w:szCs w:val="24"/>
          <w:lang w:val="en-US"/>
        </w:rPr>
        <w:t xml:space="preserve">business model maturity in agricultural machinery sector manufacturing companies. </w:t>
      </w:r>
      <w:r w:rsidRPr="00A10939">
        <w:rPr>
          <w:rFonts w:ascii="Times New Roman" w:hAnsi="Times New Roman" w:cs="Times New Roman"/>
          <w:i/>
          <w:iCs/>
          <w:sz w:val="24"/>
          <w:szCs w:val="24"/>
        </w:rPr>
        <w:t xml:space="preserve">Central </w:t>
      </w:r>
      <w:proofErr w:type="spellStart"/>
      <w:r w:rsidRPr="00A10939">
        <w:rPr>
          <w:rFonts w:ascii="Times New Roman" w:hAnsi="Times New Roman" w:cs="Times New Roman"/>
          <w:i/>
          <w:iCs/>
          <w:sz w:val="24"/>
          <w:szCs w:val="24"/>
        </w:rPr>
        <w:t>European</w:t>
      </w:r>
      <w:proofErr w:type="spellEnd"/>
      <w:r w:rsidR="007D4A83" w:rsidRPr="00A10939">
        <w:rPr>
          <w:rFonts w:ascii="Times New Roman" w:hAnsi="Times New Roman" w:cs="Times New Roman"/>
          <w:i/>
          <w:iCs/>
          <w:sz w:val="24"/>
          <w:szCs w:val="24"/>
        </w:rPr>
        <w:t xml:space="preserve"> </w:t>
      </w:r>
      <w:r w:rsidRPr="00A10939">
        <w:rPr>
          <w:rFonts w:ascii="Times New Roman" w:hAnsi="Times New Roman" w:cs="Times New Roman"/>
          <w:i/>
          <w:iCs/>
          <w:sz w:val="24"/>
          <w:szCs w:val="24"/>
        </w:rPr>
        <w:t xml:space="preserve">Management </w:t>
      </w:r>
      <w:proofErr w:type="spellStart"/>
      <w:r w:rsidRPr="00A10939">
        <w:rPr>
          <w:rFonts w:ascii="Times New Roman" w:hAnsi="Times New Roman" w:cs="Times New Roman"/>
          <w:i/>
          <w:iCs/>
          <w:sz w:val="24"/>
          <w:szCs w:val="24"/>
        </w:rPr>
        <w:t>Journal</w:t>
      </w:r>
      <w:proofErr w:type="spellEnd"/>
      <w:r w:rsidRPr="00A10939">
        <w:rPr>
          <w:rFonts w:ascii="Times New Roman" w:hAnsi="Times New Roman" w:cs="Times New Roman"/>
          <w:i/>
          <w:iCs/>
          <w:sz w:val="24"/>
          <w:szCs w:val="24"/>
        </w:rPr>
        <w:t>, 28</w:t>
      </w:r>
      <w:r w:rsidRPr="00A10939">
        <w:rPr>
          <w:rFonts w:ascii="Times New Roman" w:hAnsi="Times New Roman" w:cs="Times New Roman"/>
          <w:sz w:val="24"/>
          <w:szCs w:val="24"/>
        </w:rPr>
        <w:t>.</w:t>
      </w:r>
      <w:r w:rsidR="007D4A83" w:rsidRPr="00A10939">
        <w:rPr>
          <w:rFonts w:ascii="Times New Roman" w:hAnsi="Times New Roman" w:cs="Times New Roman"/>
          <w:sz w:val="24"/>
          <w:szCs w:val="24"/>
        </w:rPr>
        <w:t xml:space="preserve"> </w:t>
      </w:r>
    </w:p>
    <w:p w14:paraId="48D067FE" w14:textId="48B1AAFD" w:rsidR="007D4A83" w:rsidRPr="00A10939" w:rsidRDefault="007C382D" w:rsidP="00A10939">
      <w:pPr>
        <w:spacing w:after="0" w:line="360" w:lineRule="auto"/>
        <w:ind w:left="567" w:hanging="567"/>
        <w:jc w:val="both"/>
        <w:rPr>
          <w:rFonts w:ascii="Times New Roman" w:hAnsi="Times New Roman" w:cs="Times New Roman"/>
          <w:sz w:val="24"/>
          <w:szCs w:val="24"/>
        </w:rPr>
      </w:pPr>
      <w:r w:rsidRPr="00A10939">
        <w:rPr>
          <w:rFonts w:ascii="Times New Roman" w:hAnsi="Times New Roman" w:cs="Times New Roman"/>
          <w:sz w:val="24"/>
          <w:szCs w:val="24"/>
        </w:rPr>
        <w:t xml:space="preserve">Pedrosa, I., Suárez-Álvarez, J., </w:t>
      </w:r>
      <w:r w:rsidR="00BF1F4A" w:rsidRPr="00A10939">
        <w:rPr>
          <w:rFonts w:ascii="Times New Roman" w:hAnsi="Times New Roman" w:cs="Times New Roman"/>
          <w:sz w:val="24"/>
          <w:szCs w:val="24"/>
        </w:rPr>
        <w:t>y</w:t>
      </w:r>
      <w:r w:rsidRPr="00A10939">
        <w:rPr>
          <w:rFonts w:ascii="Times New Roman" w:hAnsi="Times New Roman" w:cs="Times New Roman"/>
          <w:sz w:val="24"/>
          <w:szCs w:val="24"/>
        </w:rPr>
        <w:t xml:space="preserve"> García-Cueto, E. (2013). Evidencias sobre la validez de contenido: avances</w:t>
      </w:r>
      <w:r w:rsidR="007D4A83" w:rsidRPr="00A10939">
        <w:rPr>
          <w:rFonts w:ascii="Times New Roman" w:hAnsi="Times New Roman" w:cs="Times New Roman"/>
          <w:sz w:val="24"/>
          <w:szCs w:val="24"/>
        </w:rPr>
        <w:t xml:space="preserve"> </w:t>
      </w:r>
      <w:r w:rsidRPr="00A10939">
        <w:rPr>
          <w:rFonts w:ascii="Times New Roman" w:hAnsi="Times New Roman" w:cs="Times New Roman"/>
          <w:sz w:val="24"/>
          <w:szCs w:val="24"/>
        </w:rPr>
        <w:t xml:space="preserve">teóricos y métodos para su estimación. </w:t>
      </w:r>
      <w:r w:rsidRPr="00A10939">
        <w:rPr>
          <w:rFonts w:ascii="Times New Roman" w:hAnsi="Times New Roman" w:cs="Times New Roman"/>
          <w:i/>
          <w:iCs/>
          <w:sz w:val="24"/>
          <w:szCs w:val="24"/>
        </w:rPr>
        <w:t>Acción psicológica, 10</w:t>
      </w:r>
      <w:r w:rsidRPr="00A10939">
        <w:rPr>
          <w:rFonts w:ascii="Times New Roman" w:hAnsi="Times New Roman" w:cs="Times New Roman"/>
          <w:sz w:val="24"/>
          <w:szCs w:val="24"/>
        </w:rPr>
        <w:t>(2), 3-18.</w:t>
      </w:r>
      <w:r w:rsidR="007D4A83" w:rsidRPr="00A10939">
        <w:rPr>
          <w:rFonts w:ascii="Times New Roman" w:hAnsi="Times New Roman" w:cs="Times New Roman"/>
          <w:sz w:val="24"/>
          <w:szCs w:val="24"/>
        </w:rPr>
        <w:t xml:space="preserve"> </w:t>
      </w:r>
      <w:hyperlink r:id="rId27" w:history="1">
        <w:r w:rsidR="00B01098" w:rsidRPr="00A10939">
          <w:rPr>
            <w:rStyle w:val="Hipervnculo"/>
            <w:rFonts w:ascii="Times New Roman" w:hAnsi="Times New Roman" w:cs="Times New Roman"/>
            <w:sz w:val="24"/>
            <w:szCs w:val="24"/>
          </w:rPr>
          <w:t>https://doi.org/10.5944/ap.10.2.11820</w:t>
        </w:r>
      </w:hyperlink>
    </w:p>
    <w:p w14:paraId="5855D82B" w14:textId="77777777" w:rsidR="007D4A83" w:rsidRPr="00A10939" w:rsidRDefault="007C382D" w:rsidP="00A10939">
      <w:pPr>
        <w:spacing w:after="0" w:line="360" w:lineRule="auto"/>
        <w:ind w:left="567" w:hanging="567"/>
        <w:jc w:val="both"/>
        <w:rPr>
          <w:rFonts w:ascii="Times New Roman" w:hAnsi="Times New Roman" w:cs="Times New Roman"/>
          <w:sz w:val="24"/>
          <w:szCs w:val="24"/>
        </w:rPr>
      </w:pPr>
      <w:r w:rsidRPr="00A10939">
        <w:rPr>
          <w:rFonts w:ascii="Times New Roman" w:hAnsi="Times New Roman" w:cs="Times New Roman"/>
          <w:sz w:val="24"/>
          <w:szCs w:val="24"/>
        </w:rPr>
        <w:t xml:space="preserve">Quijano, J. A. (2023). Revisión sistemática de literatura para transferencia de tecnología </w:t>
      </w:r>
      <w:proofErr w:type="spellStart"/>
      <w:r w:rsidRPr="00A10939">
        <w:rPr>
          <w:rFonts w:ascii="Times New Roman" w:hAnsi="Times New Roman" w:cs="Times New Roman"/>
          <w:sz w:val="24"/>
          <w:szCs w:val="24"/>
        </w:rPr>
        <w:t>intraempresarial</w:t>
      </w:r>
      <w:proofErr w:type="spellEnd"/>
      <w:r w:rsidRPr="00A10939">
        <w:rPr>
          <w:rFonts w:ascii="Times New Roman" w:hAnsi="Times New Roman" w:cs="Times New Roman"/>
          <w:sz w:val="24"/>
          <w:szCs w:val="24"/>
        </w:rPr>
        <w:t>.</w:t>
      </w:r>
      <w:r w:rsidR="007D4A83" w:rsidRPr="00A10939">
        <w:rPr>
          <w:rFonts w:ascii="Times New Roman" w:hAnsi="Times New Roman" w:cs="Times New Roman"/>
          <w:sz w:val="24"/>
          <w:szCs w:val="24"/>
        </w:rPr>
        <w:t xml:space="preserve"> </w:t>
      </w:r>
      <w:r w:rsidRPr="00A10939">
        <w:rPr>
          <w:rFonts w:ascii="Times New Roman" w:hAnsi="Times New Roman" w:cs="Times New Roman"/>
          <w:i/>
          <w:iCs/>
          <w:sz w:val="24"/>
          <w:szCs w:val="24"/>
        </w:rPr>
        <w:t>Revista Electrónica sobre Tecnología, Educación y Sociedad, 10</w:t>
      </w:r>
      <w:r w:rsidRPr="00A10939">
        <w:rPr>
          <w:rFonts w:ascii="Times New Roman" w:hAnsi="Times New Roman" w:cs="Times New Roman"/>
          <w:sz w:val="24"/>
          <w:szCs w:val="24"/>
        </w:rPr>
        <w:t>(20).</w:t>
      </w:r>
      <w:r w:rsidR="007D4A83" w:rsidRPr="00A10939">
        <w:rPr>
          <w:rFonts w:ascii="Times New Roman" w:hAnsi="Times New Roman" w:cs="Times New Roman"/>
          <w:sz w:val="24"/>
          <w:szCs w:val="24"/>
        </w:rPr>
        <w:t xml:space="preserve"> </w:t>
      </w:r>
    </w:p>
    <w:p w14:paraId="28541475" w14:textId="18567664" w:rsidR="007D4A83" w:rsidRPr="00A10939" w:rsidRDefault="007C382D" w:rsidP="00A10939">
      <w:pPr>
        <w:spacing w:after="0" w:line="360" w:lineRule="auto"/>
        <w:ind w:left="567" w:hanging="567"/>
        <w:jc w:val="both"/>
        <w:rPr>
          <w:rFonts w:ascii="Times New Roman" w:hAnsi="Times New Roman" w:cs="Times New Roman"/>
          <w:sz w:val="24"/>
          <w:szCs w:val="24"/>
          <w:lang w:val="en-US"/>
        </w:rPr>
      </w:pPr>
      <w:proofErr w:type="spellStart"/>
      <w:r w:rsidRPr="00A10939">
        <w:rPr>
          <w:rFonts w:ascii="Times New Roman" w:hAnsi="Times New Roman" w:cs="Times New Roman"/>
          <w:sz w:val="24"/>
          <w:szCs w:val="24"/>
        </w:rPr>
        <w:t>Rajagopal</w:t>
      </w:r>
      <w:proofErr w:type="spellEnd"/>
      <w:r w:rsidRPr="00A10939">
        <w:rPr>
          <w:rFonts w:ascii="Times New Roman" w:hAnsi="Times New Roman" w:cs="Times New Roman"/>
          <w:sz w:val="24"/>
          <w:szCs w:val="24"/>
        </w:rPr>
        <w:t xml:space="preserve">, N. K., </w:t>
      </w:r>
      <w:proofErr w:type="spellStart"/>
      <w:r w:rsidRPr="00A10939">
        <w:rPr>
          <w:rFonts w:ascii="Times New Roman" w:hAnsi="Times New Roman" w:cs="Times New Roman"/>
          <w:sz w:val="24"/>
          <w:szCs w:val="24"/>
        </w:rPr>
        <w:t>Barathi</w:t>
      </w:r>
      <w:proofErr w:type="spellEnd"/>
      <w:r w:rsidRPr="00A10939">
        <w:rPr>
          <w:rFonts w:ascii="Times New Roman" w:hAnsi="Times New Roman" w:cs="Times New Roman"/>
          <w:sz w:val="24"/>
          <w:szCs w:val="24"/>
        </w:rPr>
        <w:t xml:space="preserve">, S., </w:t>
      </w:r>
      <w:proofErr w:type="spellStart"/>
      <w:r w:rsidRPr="00A10939">
        <w:rPr>
          <w:rFonts w:ascii="Times New Roman" w:hAnsi="Times New Roman" w:cs="Times New Roman"/>
          <w:sz w:val="24"/>
          <w:szCs w:val="24"/>
        </w:rPr>
        <w:t>Parimoo</w:t>
      </w:r>
      <w:proofErr w:type="spellEnd"/>
      <w:r w:rsidRPr="00A10939">
        <w:rPr>
          <w:rFonts w:ascii="Times New Roman" w:hAnsi="Times New Roman" w:cs="Times New Roman"/>
          <w:sz w:val="24"/>
          <w:szCs w:val="24"/>
        </w:rPr>
        <w:t xml:space="preserve">, D., </w:t>
      </w:r>
      <w:proofErr w:type="spellStart"/>
      <w:r w:rsidRPr="00A10939">
        <w:rPr>
          <w:rFonts w:ascii="Times New Roman" w:hAnsi="Times New Roman" w:cs="Times New Roman"/>
          <w:sz w:val="24"/>
          <w:szCs w:val="24"/>
        </w:rPr>
        <w:t>Narayanan</w:t>
      </w:r>
      <w:proofErr w:type="spellEnd"/>
      <w:r w:rsidRPr="00A10939">
        <w:rPr>
          <w:rFonts w:ascii="Times New Roman" w:hAnsi="Times New Roman" w:cs="Times New Roman"/>
          <w:sz w:val="24"/>
          <w:szCs w:val="24"/>
        </w:rPr>
        <w:t xml:space="preserve">, S., </w:t>
      </w:r>
      <w:r w:rsidR="00BF1F4A" w:rsidRPr="00A10939">
        <w:rPr>
          <w:rFonts w:ascii="Times New Roman" w:hAnsi="Times New Roman" w:cs="Times New Roman"/>
          <w:sz w:val="24"/>
          <w:szCs w:val="24"/>
        </w:rPr>
        <w:t>y</w:t>
      </w:r>
      <w:r w:rsidRPr="00A10939">
        <w:rPr>
          <w:rFonts w:ascii="Times New Roman" w:hAnsi="Times New Roman" w:cs="Times New Roman"/>
          <w:sz w:val="24"/>
          <w:szCs w:val="24"/>
        </w:rPr>
        <w:t xml:space="preserve"> </w:t>
      </w:r>
      <w:proofErr w:type="spellStart"/>
      <w:r w:rsidRPr="00A10939">
        <w:rPr>
          <w:rFonts w:ascii="Times New Roman" w:hAnsi="Times New Roman" w:cs="Times New Roman"/>
          <w:sz w:val="24"/>
          <w:szCs w:val="24"/>
        </w:rPr>
        <w:t>Salimath</w:t>
      </w:r>
      <w:proofErr w:type="spellEnd"/>
      <w:r w:rsidRPr="00A10939">
        <w:rPr>
          <w:rFonts w:ascii="Times New Roman" w:hAnsi="Times New Roman" w:cs="Times New Roman"/>
          <w:sz w:val="24"/>
          <w:szCs w:val="24"/>
        </w:rPr>
        <w:t xml:space="preserve">, M. (2021). </w:t>
      </w:r>
      <w:r w:rsidRPr="00A10939">
        <w:rPr>
          <w:rFonts w:ascii="Times New Roman" w:hAnsi="Times New Roman" w:cs="Times New Roman"/>
          <w:sz w:val="24"/>
          <w:szCs w:val="24"/>
          <w:lang w:val="en-US"/>
        </w:rPr>
        <w:t>Relationship between</w:t>
      </w:r>
      <w:r w:rsidR="007D4A83" w:rsidRPr="00A10939">
        <w:rPr>
          <w:rFonts w:ascii="Times New Roman" w:hAnsi="Times New Roman" w:cs="Times New Roman"/>
          <w:sz w:val="24"/>
          <w:szCs w:val="24"/>
          <w:lang w:val="en-US"/>
        </w:rPr>
        <w:t xml:space="preserve"> </w:t>
      </w:r>
      <w:r w:rsidRPr="00A10939">
        <w:rPr>
          <w:rFonts w:ascii="Times New Roman" w:hAnsi="Times New Roman" w:cs="Times New Roman"/>
          <w:sz w:val="24"/>
          <w:szCs w:val="24"/>
          <w:lang w:val="en-US"/>
        </w:rPr>
        <w:t xml:space="preserve">Training Needs and Strategic Leadership. </w:t>
      </w:r>
      <w:r w:rsidRPr="00A10939">
        <w:rPr>
          <w:rFonts w:ascii="Times New Roman" w:hAnsi="Times New Roman" w:cs="Times New Roman"/>
          <w:i/>
          <w:iCs/>
          <w:sz w:val="24"/>
          <w:szCs w:val="24"/>
          <w:lang w:val="en-US"/>
        </w:rPr>
        <w:t>LINGUISTICA ANTVERPIENSIA, 15</w:t>
      </w:r>
      <w:r w:rsidRPr="00A10939">
        <w:rPr>
          <w:rFonts w:ascii="Times New Roman" w:hAnsi="Times New Roman" w:cs="Times New Roman"/>
          <w:sz w:val="24"/>
          <w:szCs w:val="24"/>
          <w:lang w:val="en-US"/>
        </w:rPr>
        <w:t>(2), 1438-1447.</w:t>
      </w:r>
      <w:r w:rsidR="007D4A83" w:rsidRPr="00A10939">
        <w:rPr>
          <w:rFonts w:ascii="Times New Roman" w:hAnsi="Times New Roman" w:cs="Times New Roman"/>
          <w:sz w:val="24"/>
          <w:szCs w:val="24"/>
          <w:lang w:val="en-US"/>
        </w:rPr>
        <w:t xml:space="preserve"> </w:t>
      </w:r>
    </w:p>
    <w:p w14:paraId="6561D761" w14:textId="0E990274" w:rsidR="007D4A83" w:rsidRPr="00A10939" w:rsidRDefault="007C382D" w:rsidP="00A10939">
      <w:pPr>
        <w:spacing w:after="0" w:line="360" w:lineRule="auto"/>
        <w:ind w:left="567" w:hanging="567"/>
        <w:jc w:val="both"/>
        <w:rPr>
          <w:rFonts w:ascii="Times New Roman" w:hAnsi="Times New Roman" w:cs="Times New Roman"/>
          <w:sz w:val="24"/>
          <w:szCs w:val="24"/>
        </w:rPr>
      </w:pPr>
      <w:r w:rsidRPr="00A10939">
        <w:rPr>
          <w:rFonts w:ascii="Times New Roman" w:hAnsi="Times New Roman" w:cs="Times New Roman"/>
          <w:sz w:val="24"/>
          <w:szCs w:val="24"/>
          <w:lang w:val="en-US"/>
        </w:rPr>
        <w:t xml:space="preserve">Rejas, L. P., Ponce, E. R., </w:t>
      </w:r>
      <w:r w:rsidR="00BF1F4A" w:rsidRPr="00A10939">
        <w:rPr>
          <w:rFonts w:ascii="Times New Roman" w:hAnsi="Times New Roman" w:cs="Times New Roman"/>
          <w:sz w:val="24"/>
          <w:szCs w:val="24"/>
          <w:lang w:val="en-US"/>
        </w:rPr>
        <w:t>y</w:t>
      </w:r>
      <w:r w:rsidRPr="00A10939">
        <w:rPr>
          <w:rFonts w:ascii="Times New Roman" w:hAnsi="Times New Roman" w:cs="Times New Roman"/>
          <w:sz w:val="24"/>
          <w:szCs w:val="24"/>
          <w:lang w:val="en-US"/>
        </w:rPr>
        <w:t xml:space="preserve"> </w:t>
      </w:r>
      <w:proofErr w:type="spellStart"/>
      <w:r w:rsidRPr="00A10939">
        <w:rPr>
          <w:rFonts w:ascii="Times New Roman" w:hAnsi="Times New Roman" w:cs="Times New Roman"/>
          <w:sz w:val="24"/>
          <w:szCs w:val="24"/>
          <w:lang w:val="en-US"/>
        </w:rPr>
        <w:t>Fritis</w:t>
      </w:r>
      <w:proofErr w:type="spellEnd"/>
      <w:r w:rsidRPr="00A10939">
        <w:rPr>
          <w:rFonts w:ascii="Times New Roman" w:hAnsi="Times New Roman" w:cs="Times New Roman"/>
          <w:sz w:val="24"/>
          <w:szCs w:val="24"/>
          <w:lang w:val="en-US"/>
        </w:rPr>
        <w:t xml:space="preserve">, C. M. (2021). </w:t>
      </w:r>
      <w:r w:rsidRPr="00A10939">
        <w:rPr>
          <w:rFonts w:ascii="Times New Roman" w:hAnsi="Times New Roman" w:cs="Times New Roman"/>
          <w:sz w:val="24"/>
          <w:szCs w:val="24"/>
        </w:rPr>
        <w:t>Liderazgo transformacional y cultura innovativa: efectos en</w:t>
      </w:r>
      <w:r w:rsidR="007D4A83" w:rsidRPr="00A10939">
        <w:rPr>
          <w:rFonts w:ascii="Times New Roman" w:hAnsi="Times New Roman" w:cs="Times New Roman"/>
          <w:sz w:val="24"/>
          <w:szCs w:val="24"/>
        </w:rPr>
        <w:t xml:space="preserve"> </w:t>
      </w:r>
      <w:r w:rsidRPr="00A10939">
        <w:rPr>
          <w:rFonts w:ascii="Times New Roman" w:hAnsi="Times New Roman" w:cs="Times New Roman"/>
          <w:sz w:val="24"/>
          <w:szCs w:val="24"/>
        </w:rPr>
        <w:t xml:space="preserve">la calidad institucional. </w:t>
      </w:r>
      <w:r w:rsidRPr="00A10939">
        <w:rPr>
          <w:rFonts w:ascii="Times New Roman" w:hAnsi="Times New Roman" w:cs="Times New Roman"/>
          <w:i/>
          <w:iCs/>
          <w:sz w:val="24"/>
          <w:szCs w:val="24"/>
        </w:rPr>
        <w:t>Revista Venezolana de Gerencia: RVG, 26</w:t>
      </w:r>
      <w:r w:rsidRPr="00A10939">
        <w:rPr>
          <w:rFonts w:ascii="Times New Roman" w:hAnsi="Times New Roman" w:cs="Times New Roman"/>
          <w:sz w:val="24"/>
          <w:szCs w:val="24"/>
        </w:rPr>
        <w:t>(96), 1004-1018.</w:t>
      </w:r>
      <w:r w:rsidR="007D4A83" w:rsidRPr="00A10939">
        <w:rPr>
          <w:rFonts w:ascii="Times New Roman" w:hAnsi="Times New Roman" w:cs="Times New Roman"/>
          <w:sz w:val="24"/>
          <w:szCs w:val="24"/>
        </w:rPr>
        <w:t xml:space="preserve"> </w:t>
      </w:r>
    </w:p>
    <w:p w14:paraId="4124C797" w14:textId="59F18DDC" w:rsidR="007D4A83" w:rsidRPr="00A10939" w:rsidRDefault="007C382D" w:rsidP="00A10939">
      <w:pPr>
        <w:spacing w:after="0" w:line="360" w:lineRule="auto"/>
        <w:ind w:left="567" w:hanging="567"/>
        <w:jc w:val="both"/>
        <w:rPr>
          <w:rFonts w:ascii="Times New Roman" w:hAnsi="Times New Roman" w:cs="Times New Roman"/>
          <w:sz w:val="24"/>
          <w:szCs w:val="24"/>
        </w:rPr>
      </w:pPr>
      <w:r w:rsidRPr="00A10939">
        <w:rPr>
          <w:rFonts w:ascii="Times New Roman" w:hAnsi="Times New Roman" w:cs="Times New Roman"/>
          <w:sz w:val="24"/>
          <w:szCs w:val="24"/>
        </w:rPr>
        <w:t xml:space="preserve">Salazar Vázquez, F. I., Pesantez Molina, W. G., Quinteros Cortázar, M. P., </w:t>
      </w:r>
      <w:r w:rsidR="00BF1F4A" w:rsidRPr="00A10939">
        <w:rPr>
          <w:rFonts w:ascii="Times New Roman" w:hAnsi="Times New Roman" w:cs="Times New Roman"/>
          <w:sz w:val="24"/>
          <w:szCs w:val="24"/>
        </w:rPr>
        <w:t>y</w:t>
      </w:r>
      <w:r w:rsidRPr="00A10939">
        <w:rPr>
          <w:rFonts w:ascii="Times New Roman" w:hAnsi="Times New Roman" w:cs="Times New Roman"/>
          <w:sz w:val="24"/>
          <w:szCs w:val="24"/>
        </w:rPr>
        <w:t xml:space="preserve"> Sánchez Salazar, P. M. (2023).</w:t>
      </w:r>
      <w:r w:rsidR="007D4A83" w:rsidRPr="00A10939">
        <w:rPr>
          <w:rFonts w:ascii="Times New Roman" w:hAnsi="Times New Roman" w:cs="Times New Roman"/>
          <w:sz w:val="24"/>
          <w:szCs w:val="24"/>
        </w:rPr>
        <w:t xml:space="preserve"> </w:t>
      </w:r>
      <w:r w:rsidRPr="00A10939">
        <w:rPr>
          <w:rFonts w:ascii="Times New Roman" w:hAnsi="Times New Roman" w:cs="Times New Roman"/>
          <w:sz w:val="24"/>
          <w:szCs w:val="24"/>
        </w:rPr>
        <w:t>El talento humano y la ventaja competitiva de las organizaciones.</w:t>
      </w:r>
      <w:r w:rsidR="007D4A83" w:rsidRPr="00A10939">
        <w:rPr>
          <w:rFonts w:ascii="Times New Roman" w:hAnsi="Times New Roman" w:cs="Times New Roman"/>
          <w:sz w:val="24"/>
          <w:szCs w:val="24"/>
        </w:rPr>
        <w:t xml:space="preserve"> </w:t>
      </w:r>
    </w:p>
    <w:p w14:paraId="328E0E75" w14:textId="6760A68E" w:rsidR="007D4A83" w:rsidRPr="00A10939" w:rsidRDefault="007C382D" w:rsidP="00A10939">
      <w:pPr>
        <w:spacing w:after="0" w:line="360" w:lineRule="auto"/>
        <w:ind w:left="567" w:hanging="567"/>
        <w:jc w:val="both"/>
        <w:rPr>
          <w:rStyle w:val="Hipervnculo"/>
          <w:rFonts w:ascii="Times New Roman" w:hAnsi="Times New Roman" w:cs="Times New Roman"/>
          <w:sz w:val="24"/>
          <w:szCs w:val="24"/>
        </w:rPr>
      </w:pPr>
      <w:r w:rsidRPr="00A10939">
        <w:rPr>
          <w:rFonts w:ascii="Times New Roman" w:hAnsi="Times New Roman" w:cs="Times New Roman"/>
          <w:sz w:val="24"/>
          <w:szCs w:val="24"/>
        </w:rPr>
        <w:t>Santiago-</w:t>
      </w:r>
      <w:proofErr w:type="spellStart"/>
      <w:r w:rsidRPr="00A10939">
        <w:rPr>
          <w:rFonts w:ascii="Times New Roman" w:hAnsi="Times New Roman" w:cs="Times New Roman"/>
          <w:sz w:val="24"/>
          <w:szCs w:val="24"/>
        </w:rPr>
        <w:t>Torner</w:t>
      </w:r>
      <w:proofErr w:type="spellEnd"/>
      <w:r w:rsidRPr="00A10939">
        <w:rPr>
          <w:rFonts w:ascii="Times New Roman" w:hAnsi="Times New Roman" w:cs="Times New Roman"/>
          <w:sz w:val="24"/>
          <w:szCs w:val="24"/>
        </w:rPr>
        <w:t>, C. (2023). Liderazgo ético y compromiso organizacional. El rol inesperado de la motivación</w:t>
      </w:r>
      <w:r w:rsidR="007D4A83" w:rsidRPr="00A10939">
        <w:rPr>
          <w:rFonts w:ascii="Times New Roman" w:hAnsi="Times New Roman" w:cs="Times New Roman"/>
          <w:sz w:val="24"/>
          <w:szCs w:val="24"/>
        </w:rPr>
        <w:t xml:space="preserve"> </w:t>
      </w:r>
      <w:r w:rsidRPr="00A10939">
        <w:rPr>
          <w:rFonts w:ascii="Times New Roman" w:hAnsi="Times New Roman" w:cs="Times New Roman"/>
          <w:sz w:val="24"/>
          <w:szCs w:val="24"/>
        </w:rPr>
        <w:t xml:space="preserve">intrínseca. </w:t>
      </w:r>
      <w:r w:rsidRPr="00A10939">
        <w:rPr>
          <w:rFonts w:ascii="Times New Roman" w:hAnsi="Times New Roman" w:cs="Times New Roman"/>
          <w:i/>
          <w:iCs/>
          <w:sz w:val="24"/>
          <w:szCs w:val="24"/>
        </w:rPr>
        <w:t>Revista Universidad y Empresa, 25</w:t>
      </w:r>
      <w:r w:rsidRPr="00A10939">
        <w:rPr>
          <w:rFonts w:ascii="Times New Roman" w:hAnsi="Times New Roman" w:cs="Times New Roman"/>
          <w:sz w:val="24"/>
          <w:szCs w:val="24"/>
        </w:rPr>
        <w:t>(45).</w:t>
      </w:r>
      <w:r w:rsidR="004D4FB7" w:rsidRPr="00A10939">
        <w:rPr>
          <w:rFonts w:ascii="Times New Roman" w:hAnsi="Times New Roman" w:cs="Times New Roman"/>
          <w:sz w:val="24"/>
          <w:szCs w:val="24"/>
        </w:rPr>
        <w:t xml:space="preserve">  </w:t>
      </w:r>
      <w:hyperlink r:id="rId28" w:history="1">
        <w:r w:rsidR="00B01098" w:rsidRPr="00A10939">
          <w:rPr>
            <w:rStyle w:val="Hipervnculo"/>
            <w:rFonts w:ascii="Times New Roman" w:hAnsi="Times New Roman" w:cs="Times New Roman"/>
            <w:sz w:val="24"/>
            <w:szCs w:val="24"/>
          </w:rPr>
          <w:t>https://doi.org/10.12804/revistas.urosario.edu.co/empresa/a.13169</w:t>
        </w:r>
      </w:hyperlink>
    </w:p>
    <w:p w14:paraId="737E347A" w14:textId="1FF39612" w:rsidR="008D1A63" w:rsidRPr="00A10939" w:rsidRDefault="008D1A63" w:rsidP="00A10939">
      <w:pPr>
        <w:spacing w:after="0" w:line="360" w:lineRule="auto"/>
        <w:ind w:left="567" w:hanging="567"/>
        <w:jc w:val="both"/>
        <w:rPr>
          <w:rFonts w:ascii="Times New Roman" w:hAnsi="Times New Roman" w:cs="Times New Roman"/>
          <w:sz w:val="24"/>
          <w:szCs w:val="24"/>
          <w:lang w:val="en-US"/>
        </w:rPr>
      </w:pPr>
      <w:r w:rsidRPr="00A10939">
        <w:rPr>
          <w:rFonts w:ascii="Times New Roman" w:hAnsi="Times New Roman" w:cs="Times New Roman"/>
          <w:sz w:val="24"/>
          <w:szCs w:val="24"/>
          <w:lang w:val="en-US"/>
        </w:rPr>
        <w:t xml:space="preserve">Singh, A. K., Jain, N. K., Sharma, M. G., &amp; Nigam, S. (2023). Reconceptualization of absorptive capacity as potential and realized absorptive capacity for project-based organizations. </w:t>
      </w:r>
      <w:r w:rsidRPr="00A10939">
        <w:rPr>
          <w:rFonts w:ascii="Times New Roman" w:hAnsi="Times New Roman" w:cs="Times New Roman"/>
          <w:i/>
          <w:iCs/>
          <w:sz w:val="24"/>
          <w:szCs w:val="24"/>
          <w:lang w:val="en-US"/>
        </w:rPr>
        <w:t>International Journal of Project Management, 41(</w:t>
      </w:r>
      <w:r w:rsidRPr="00A10939">
        <w:rPr>
          <w:rFonts w:ascii="Times New Roman" w:hAnsi="Times New Roman" w:cs="Times New Roman"/>
          <w:sz w:val="24"/>
          <w:szCs w:val="24"/>
          <w:lang w:val="en-US"/>
        </w:rPr>
        <w:t xml:space="preserve">2), 102449. </w:t>
      </w:r>
      <w:hyperlink r:id="rId29" w:history="1">
        <w:r w:rsidRPr="00A10939">
          <w:rPr>
            <w:rStyle w:val="Hipervnculo"/>
            <w:rFonts w:ascii="Times New Roman" w:hAnsi="Times New Roman" w:cs="Times New Roman"/>
            <w:sz w:val="24"/>
            <w:szCs w:val="24"/>
            <w:lang w:val="en-US"/>
          </w:rPr>
          <w:t>https://doi.org/10.1016/j.ijproman.2023.102449</w:t>
        </w:r>
      </w:hyperlink>
    </w:p>
    <w:p w14:paraId="684390D9" w14:textId="48C72724" w:rsidR="007D4A83" w:rsidRPr="00A10939" w:rsidRDefault="007C382D" w:rsidP="00A10939">
      <w:pPr>
        <w:spacing w:after="0" w:line="360" w:lineRule="auto"/>
        <w:ind w:left="567" w:hanging="567"/>
        <w:jc w:val="both"/>
        <w:rPr>
          <w:rFonts w:ascii="Times New Roman" w:hAnsi="Times New Roman" w:cs="Times New Roman"/>
          <w:sz w:val="24"/>
          <w:szCs w:val="24"/>
          <w:lang w:val="en-US"/>
        </w:rPr>
      </w:pPr>
      <w:proofErr w:type="spellStart"/>
      <w:r w:rsidRPr="00A10939">
        <w:rPr>
          <w:rFonts w:ascii="Times New Roman" w:hAnsi="Times New Roman" w:cs="Times New Roman"/>
          <w:sz w:val="24"/>
          <w:szCs w:val="24"/>
        </w:rPr>
        <w:t>Siregar</w:t>
      </w:r>
      <w:proofErr w:type="spellEnd"/>
      <w:r w:rsidRPr="00A10939">
        <w:rPr>
          <w:rFonts w:ascii="Times New Roman" w:hAnsi="Times New Roman" w:cs="Times New Roman"/>
          <w:sz w:val="24"/>
          <w:szCs w:val="24"/>
        </w:rPr>
        <w:t xml:space="preserve">, Z. M. E., </w:t>
      </w:r>
      <w:proofErr w:type="spellStart"/>
      <w:r w:rsidRPr="00A10939">
        <w:rPr>
          <w:rFonts w:ascii="Times New Roman" w:hAnsi="Times New Roman" w:cs="Times New Roman"/>
          <w:sz w:val="24"/>
          <w:szCs w:val="24"/>
        </w:rPr>
        <w:t>Suryana</w:t>
      </w:r>
      <w:proofErr w:type="spellEnd"/>
      <w:r w:rsidRPr="00A10939">
        <w:rPr>
          <w:rFonts w:ascii="Times New Roman" w:hAnsi="Times New Roman" w:cs="Times New Roman"/>
          <w:sz w:val="24"/>
          <w:szCs w:val="24"/>
        </w:rPr>
        <w:t xml:space="preserve">, E. A., </w:t>
      </w:r>
      <w:proofErr w:type="spellStart"/>
      <w:r w:rsidRPr="00A10939">
        <w:rPr>
          <w:rFonts w:ascii="Times New Roman" w:hAnsi="Times New Roman" w:cs="Times New Roman"/>
          <w:sz w:val="24"/>
          <w:szCs w:val="24"/>
        </w:rPr>
        <w:t>Ahman</w:t>
      </w:r>
      <w:proofErr w:type="spellEnd"/>
      <w:r w:rsidRPr="00A10939">
        <w:rPr>
          <w:rFonts w:ascii="Times New Roman" w:hAnsi="Times New Roman" w:cs="Times New Roman"/>
          <w:sz w:val="24"/>
          <w:szCs w:val="24"/>
        </w:rPr>
        <w:t xml:space="preserve">, E., </w:t>
      </w:r>
      <w:r w:rsidR="00BF1F4A" w:rsidRPr="00A10939">
        <w:rPr>
          <w:rFonts w:ascii="Times New Roman" w:hAnsi="Times New Roman" w:cs="Times New Roman"/>
          <w:sz w:val="24"/>
          <w:szCs w:val="24"/>
        </w:rPr>
        <w:t>y</w:t>
      </w:r>
      <w:r w:rsidRPr="00A10939">
        <w:rPr>
          <w:rFonts w:ascii="Times New Roman" w:hAnsi="Times New Roman" w:cs="Times New Roman"/>
          <w:sz w:val="24"/>
          <w:szCs w:val="24"/>
        </w:rPr>
        <w:t xml:space="preserve"> </w:t>
      </w:r>
      <w:proofErr w:type="spellStart"/>
      <w:r w:rsidRPr="00A10939">
        <w:rPr>
          <w:rFonts w:ascii="Times New Roman" w:hAnsi="Times New Roman" w:cs="Times New Roman"/>
          <w:sz w:val="24"/>
          <w:szCs w:val="24"/>
        </w:rPr>
        <w:t>Senen</w:t>
      </w:r>
      <w:proofErr w:type="spellEnd"/>
      <w:r w:rsidRPr="00A10939">
        <w:rPr>
          <w:rFonts w:ascii="Times New Roman" w:hAnsi="Times New Roman" w:cs="Times New Roman"/>
          <w:sz w:val="24"/>
          <w:szCs w:val="24"/>
        </w:rPr>
        <w:t xml:space="preserve">, S. (2019). </w:t>
      </w:r>
      <w:r w:rsidRPr="00A10939">
        <w:rPr>
          <w:rFonts w:ascii="Times New Roman" w:hAnsi="Times New Roman" w:cs="Times New Roman"/>
          <w:sz w:val="24"/>
          <w:szCs w:val="24"/>
          <w:lang w:val="en-US"/>
        </w:rPr>
        <w:t>Does knowledge management enhance</w:t>
      </w:r>
      <w:r w:rsidR="007D4A83" w:rsidRPr="00A10939">
        <w:rPr>
          <w:rFonts w:ascii="Times New Roman" w:hAnsi="Times New Roman" w:cs="Times New Roman"/>
          <w:sz w:val="24"/>
          <w:szCs w:val="24"/>
          <w:lang w:val="en-US"/>
        </w:rPr>
        <w:t xml:space="preserve"> </w:t>
      </w:r>
      <w:r w:rsidRPr="00A10939">
        <w:rPr>
          <w:rFonts w:ascii="Times New Roman" w:hAnsi="Times New Roman" w:cs="Times New Roman"/>
          <w:sz w:val="24"/>
          <w:szCs w:val="24"/>
          <w:lang w:val="en-US"/>
        </w:rPr>
        <w:t xml:space="preserve">innovation: A literature review. </w:t>
      </w:r>
      <w:r w:rsidRPr="00A10939">
        <w:rPr>
          <w:rFonts w:ascii="Times New Roman" w:hAnsi="Times New Roman" w:cs="Times New Roman"/>
          <w:i/>
          <w:iCs/>
          <w:sz w:val="24"/>
          <w:szCs w:val="24"/>
          <w:lang w:val="en-US"/>
        </w:rPr>
        <w:t>International Journal of Scientific &amp; Technology Research, 8</w:t>
      </w:r>
      <w:r w:rsidRPr="00A10939">
        <w:rPr>
          <w:rFonts w:ascii="Times New Roman" w:hAnsi="Times New Roman" w:cs="Times New Roman"/>
          <w:sz w:val="24"/>
          <w:szCs w:val="24"/>
          <w:lang w:val="en-US"/>
        </w:rPr>
        <w:t>(9),</w:t>
      </w:r>
      <w:r w:rsidR="007D4A83" w:rsidRPr="00A10939">
        <w:rPr>
          <w:rFonts w:ascii="Times New Roman" w:hAnsi="Times New Roman" w:cs="Times New Roman"/>
          <w:sz w:val="24"/>
          <w:szCs w:val="24"/>
          <w:lang w:val="en-US"/>
        </w:rPr>
        <w:t xml:space="preserve"> </w:t>
      </w:r>
      <w:r w:rsidRPr="00A10939">
        <w:rPr>
          <w:rFonts w:ascii="Times New Roman" w:hAnsi="Times New Roman" w:cs="Times New Roman"/>
          <w:sz w:val="24"/>
          <w:szCs w:val="24"/>
          <w:lang w:val="en-US"/>
        </w:rPr>
        <w:t>1991-1994.</w:t>
      </w:r>
      <w:r w:rsidR="007D4A83" w:rsidRPr="00A10939">
        <w:rPr>
          <w:rFonts w:ascii="Times New Roman" w:hAnsi="Times New Roman" w:cs="Times New Roman"/>
          <w:sz w:val="24"/>
          <w:szCs w:val="24"/>
          <w:lang w:val="en-US"/>
        </w:rPr>
        <w:t xml:space="preserve"> </w:t>
      </w:r>
    </w:p>
    <w:p w14:paraId="1B3568CC" w14:textId="37563F1B" w:rsidR="008D1A63" w:rsidRPr="00A10939" w:rsidRDefault="008D1A63" w:rsidP="00A10939">
      <w:pPr>
        <w:spacing w:after="0" w:line="360" w:lineRule="auto"/>
        <w:ind w:left="567" w:hanging="567"/>
        <w:jc w:val="both"/>
        <w:rPr>
          <w:rFonts w:ascii="Times New Roman" w:hAnsi="Times New Roman" w:cs="Times New Roman"/>
          <w:sz w:val="24"/>
          <w:szCs w:val="24"/>
          <w:lang w:val="en-US"/>
        </w:rPr>
      </w:pPr>
      <w:proofErr w:type="spellStart"/>
      <w:r w:rsidRPr="00A10939">
        <w:rPr>
          <w:rFonts w:ascii="Times New Roman" w:hAnsi="Times New Roman" w:cs="Times New Roman"/>
          <w:sz w:val="24"/>
          <w:szCs w:val="24"/>
          <w:lang w:val="en-US"/>
        </w:rPr>
        <w:lastRenderedPageBreak/>
        <w:t>Tippakoon</w:t>
      </w:r>
      <w:proofErr w:type="spellEnd"/>
      <w:r w:rsidRPr="00A10939">
        <w:rPr>
          <w:rFonts w:ascii="Times New Roman" w:hAnsi="Times New Roman" w:cs="Times New Roman"/>
          <w:sz w:val="24"/>
          <w:szCs w:val="24"/>
          <w:lang w:val="en-US"/>
        </w:rPr>
        <w:t xml:space="preserve">, P., Sang-Arun, N., &amp; </w:t>
      </w:r>
      <w:proofErr w:type="spellStart"/>
      <w:r w:rsidRPr="00A10939">
        <w:rPr>
          <w:rFonts w:ascii="Times New Roman" w:hAnsi="Times New Roman" w:cs="Times New Roman"/>
          <w:sz w:val="24"/>
          <w:szCs w:val="24"/>
          <w:lang w:val="en-US"/>
        </w:rPr>
        <w:t>Vishuphong</w:t>
      </w:r>
      <w:proofErr w:type="spellEnd"/>
      <w:r w:rsidRPr="00A10939">
        <w:rPr>
          <w:rFonts w:ascii="Times New Roman" w:hAnsi="Times New Roman" w:cs="Times New Roman"/>
          <w:sz w:val="24"/>
          <w:szCs w:val="24"/>
          <w:lang w:val="en-US"/>
        </w:rPr>
        <w:t xml:space="preserve">, P. (2023). External knowledge sourcing, knowledge management capacity and firms' innovation performance: evidence from manufacturing firms in Thailand. </w:t>
      </w:r>
      <w:r w:rsidRPr="00A10939">
        <w:rPr>
          <w:rFonts w:ascii="Times New Roman" w:hAnsi="Times New Roman" w:cs="Times New Roman"/>
          <w:i/>
          <w:iCs/>
          <w:sz w:val="24"/>
          <w:szCs w:val="24"/>
          <w:lang w:val="en-US"/>
        </w:rPr>
        <w:t>Journal of Asia Business Studies, 17</w:t>
      </w:r>
      <w:r w:rsidRPr="00A10939">
        <w:rPr>
          <w:rFonts w:ascii="Times New Roman" w:hAnsi="Times New Roman" w:cs="Times New Roman"/>
          <w:sz w:val="24"/>
          <w:szCs w:val="24"/>
          <w:lang w:val="en-US"/>
        </w:rPr>
        <w:t xml:space="preserve">(1), 149-169. </w:t>
      </w:r>
      <w:hyperlink r:id="rId30" w:history="1">
        <w:r w:rsidRPr="00A10939">
          <w:rPr>
            <w:rStyle w:val="Hipervnculo"/>
            <w:rFonts w:ascii="Times New Roman" w:hAnsi="Times New Roman" w:cs="Times New Roman"/>
            <w:sz w:val="24"/>
            <w:szCs w:val="24"/>
            <w:lang w:val="en-US"/>
          </w:rPr>
          <w:t>https://doi.org/10.1108/JABS-08-2021-0350</w:t>
        </w:r>
      </w:hyperlink>
    </w:p>
    <w:p w14:paraId="02BFBACA" w14:textId="54D8A9C7" w:rsidR="008D1A63" w:rsidRPr="00A10939" w:rsidRDefault="008D1A63" w:rsidP="00A10939">
      <w:pPr>
        <w:spacing w:after="0" w:line="360" w:lineRule="auto"/>
        <w:ind w:left="567" w:hanging="567"/>
        <w:jc w:val="both"/>
        <w:rPr>
          <w:rFonts w:ascii="Times New Roman" w:hAnsi="Times New Roman" w:cs="Times New Roman"/>
          <w:sz w:val="24"/>
          <w:szCs w:val="24"/>
          <w:lang w:val="en-US"/>
        </w:rPr>
      </w:pPr>
      <w:r w:rsidRPr="00A10939">
        <w:rPr>
          <w:rFonts w:ascii="Times New Roman" w:hAnsi="Times New Roman" w:cs="Times New Roman"/>
          <w:sz w:val="24"/>
          <w:szCs w:val="24"/>
          <w:lang w:val="en-US"/>
        </w:rPr>
        <w:t xml:space="preserve">Truong, B. T. T., &amp; Nguyen, P. V. (2024). Driving business performance through intellectual capital, absorptive capacity, and innovation: The mediating influence of environmental compliance and innovation. </w:t>
      </w:r>
      <w:r w:rsidRPr="00A10939">
        <w:rPr>
          <w:rFonts w:ascii="Times New Roman" w:hAnsi="Times New Roman" w:cs="Times New Roman"/>
          <w:i/>
          <w:iCs/>
          <w:sz w:val="24"/>
          <w:szCs w:val="24"/>
          <w:lang w:val="en-US"/>
        </w:rPr>
        <w:t>Asia Pacific Management Review, 29</w:t>
      </w:r>
      <w:r w:rsidRPr="00A10939">
        <w:rPr>
          <w:rFonts w:ascii="Times New Roman" w:hAnsi="Times New Roman" w:cs="Times New Roman"/>
          <w:sz w:val="24"/>
          <w:szCs w:val="24"/>
          <w:lang w:val="en-US"/>
        </w:rPr>
        <w:t xml:space="preserve">(1), 64-75. </w:t>
      </w:r>
      <w:hyperlink r:id="rId31" w:history="1">
        <w:r w:rsidRPr="00A10939">
          <w:rPr>
            <w:rStyle w:val="Hipervnculo"/>
            <w:rFonts w:ascii="Times New Roman" w:hAnsi="Times New Roman" w:cs="Times New Roman"/>
            <w:sz w:val="24"/>
            <w:szCs w:val="24"/>
            <w:lang w:val="en-US"/>
          </w:rPr>
          <w:t>https://doi.org/10.1016/j.apmrv.2023.06.004</w:t>
        </w:r>
      </w:hyperlink>
    </w:p>
    <w:p w14:paraId="2DA59384" w14:textId="68BF838D" w:rsidR="005E6EE7" w:rsidRPr="00A10939" w:rsidRDefault="005E6EE7" w:rsidP="00A10939">
      <w:pPr>
        <w:spacing w:after="0" w:line="360" w:lineRule="auto"/>
        <w:ind w:left="567" w:hanging="567"/>
        <w:jc w:val="both"/>
        <w:rPr>
          <w:rStyle w:val="Hipervnculo"/>
          <w:rFonts w:ascii="Times New Roman" w:hAnsi="Times New Roman" w:cs="Times New Roman"/>
          <w:sz w:val="24"/>
          <w:szCs w:val="24"/>
          <w:lang w:val="en-US"/>
        </w:rPr>
      </w:pPr>
      <w:proofErr w:type="spellStart"/>
      <w:r w:rsidRPr="00A10939">
        <w:rPr>
          <w:rFonts w:ascii="Times New Roman" w:hAnsi="Times New Roman" w:cs="Times New Roman"/>
          <w:sz w:val="24"/>
          <w:szCs w:val="24"/>
          <w:lang w:val="en-US"/>
        </w:rPr>
        <w:t>Vlačić</w:t>
      </w:r>
      <w:proofErr w:type="spellEnd"/>
      <w:r w:rsidRPr="00A10939">
        <w:rPr>
          <w:rFonts w:ascii="Times New Roman" w:hAnsi="Times New Roman" w:cs="Times New Roman"/>
          <w:sz w:val="24"/>
          <w:szCs w:val="24"/>
          <w:lang w:val="en-US"/>
        </w:rPr>
        <w:t xml:space="preserve">, E., </w:t>
      </w:r>
      <w:proofErr w:type="spellStart"/>
      <w:r w:rsidRPr="00A10939">
        <w:rPr>
          <w:rFonts w:ascii="Times New Roman" w:hAnsi="Times New Roman" w:cs="Times New Roman"/>
          <w:sz w:val="24"/>
          <w:szCs w:val="24"/>
          <w:lang w:val="en-US"/>
        </w:rPr>
        <w:t>Dabić</w:t>
      </w:r>
      <w:proofErr w:type="spellEnd"/>
      <w:r w:rsidRPr="00A10939">
        <w:rPr>
          <w:rFonts w:ascii="Times New Roman" w:hAnsi="Times New Roman" w:cs="Times New Roman"/>
          <w:sz w:val="24"/>
          <w:szCs w:val="24"/>
          <w:lang w:val="en-US"/>
        </w:rPr>
        <w:t xml:space="preserve">, M., Daim, T., &amp; Vlajčić, D. (2019). Exploring the impact of the level of absorptive capacity in technology development firms. </w:t>
      </w:r>
      <w:r w:rsidRPr="00A10939">
        <w:rPr>
          <w:rFonts w:ascii="Times New Roman" w:hAnsi="Times New Roman" w:cs="Times New Roman"/>
          <w:i/>
          <w:iCs/>
          <w:sz w:val="24"/>
          <w:szCs w:val="24"/>
          <w:lang w:val="en-US"/>
        </w:rPr>
        <w:t>Technological forecasting and social change, 138</w:t>
      </w:r>
      <w:r w:rsidRPr="00A10939">
        <w:rPr>
          <w:rFonts w:ascii="Times New Roman" w:hAnsi="Times New Roman" w:cs="Times New Roman"/>
          <w:sz w:val="24"/>
          <w:szCs w:val="24"/>
          <w:lang w:val="en-US"/>
        </w:rPr>
        <w:t xml:space="preserve">, 166-177. </w:t>
      </w:r>
      <w:hyperlink r:id="rId32" w:history="1">
        <w:r w:rsidRPr="00A10939">
          <w:rPr>
            <w:rStyle w:val="Hipervnculo"/>
            <w:rFonts w:ascii="Times New Roman" w:hAnsi="Times New Roman" w:cs="Times New Roman"/>
            <w:sz w:val="24"/>
            <w:szCs w:val="24"/>
            <w:lang w:val="en-US"/>
          </w:rPr>
          <w:t>https://doi.org/10.1016/j.techfore.2018.08.018</w:t>
        </w:r>
      </w:hyperlink>
    </w:p>
    <w:p w14:paraId="1626AF23" w14:textId="4B12F913" w:rsidR="008D1A63" w:rsidRPr="00A10939" w:rsidRDefault="008D1A63" w:rsidP="00A10939">
      <w:pPr>
        <w:spacing w:after="0" w:line="360" w:lineRule="auto"/>
        <w:ind w:left="567" w:hanging="567"/>
        <w:jc w:val="both"/>
        <w:rPr>
          <w:rFonts w:ascii="Times New Roman" w:hAnsi="Times New Roman" w:cs="Times New Roman"/>
          <w:sz w:val="24"/>
          <w:szCs w:val="24"/>
          <w:lang w:val="en-US"/>
        </w:rPr>
      </w:pPr>
      <w:r w:rsidRPr="00A10939">
        <w:rPr>
          <w:rFonts w:ascii="Times New Roman" w:hAnsi="Times New Roman" w:cs="Times New Roman"/>
          <w:sz w:val="24"/>
          <w:szCs w:val="24"/>
          <w:lang w:val="en-US"/>
        </w:rPr>
        <w:t xml:space="preserve">Yang, G., Nie, Y., Li, H., &amp; Wang, H. (2023). Digital transformation and low-carbon technology innovation in manufacturing firms: The mediating role of dynamic capabilities. </w:t>
      </w:r>
      <w:r w:rsidRPr="00A10939">
        <w:rPr>
          <w:rFonts w:ascii="Times New Roman" w:hAnsi="Times New Roman" w:cs="Times New Roman"/>
          <w:i/>
          <w:iCs/>
          <w:sz w:val="24"/>
          <w:szCs w:val="24"/>
          <w:lang w:val="en-US"/>
        </w:rPr>
        <w:t>International Journal of Production Economics, 263</w:t>
      </w:r>
      <w:r w:rsidRPr="00A10939">
        <w:rPr>
          <w:rFonts w:ascii="Times New Roman" w:hAnsi="Times New Roman" w:cs="Times New Roman"/>
          <w:sz w:val="24"/>
          <w:szCs w:val="24"/>
          <w:lang w:val="en-US"/>
        </w:rPr>
        <w:t xml:space="preserve">, 108969. </w:t>
      </w:r>
      <w:hyperlink r:id="rId33" w:history="1">
        <w:r w:rsidRPr="00A10939">
          <w:rPr>
            <w:rStyle w:val="Hipervnculo"/>
            <w:rFonts w:ascii="Times New Roman" w:hAnsi="Times New Roman" w:cs="Times New Roman"/>
            <w:sz w:val="24"/>
            <w:szCs w:val="24"/>
            <w:lang w:val="en-US"/>
          </w:rPr>
          <w:t>https://doi.org/10.1016/j.ijpe.2023.108969</w:t>
        </w:r>
      </w:hyperlink>
    </w:p>
    <w:p w14:paraId="1FA7DDEF" w14:textId="57E46028" w:rsidR="001A7F2C" w:rsidRPr="00A10939" w:rsidRDefault="007C382D" w:rsidP="00A10939">
      <w:pPr>
        <w:spacing w:after="0" w:line="360" w:lineRule="auto"/>
        <w:ind w:left="567" w:hanging="567"/>
        <w:jc w:val="both"/>
        <w:rPr>
          <w:rFonts w:ascii="Times New Roman" w:hAnsi="Times New Roman" w:cs="Times New Roman"/>
          <w:sz w:val="24"/>
          <w:szCs w:val="24"/>
          <w:lang w:val="en-US"/>
        </w:rPr>
      </w:pPr>
      <w:proofErr w:type="spellStart"/>
      <w:r w:rsidRPr="00A10939">
        <w:rPr>
          <w:rFonts w:ascii="Times New Roman" w:hAnsi="Times New Roman" w:cs="Times New Roman"/>
          <w:sz w:val="24"/>
          <w:szCs w:val="24"/>
        </w:rPr>
        <w:t>Yasa</w:t>
      </w:r>
      <w:proofErr w:type="spellEnd"/>
      <w:r w:rsidRPr="00A10939">
        <w:rPr>
          <w:rFonts w:ascii="Times New Roman" w:hAnsi="Times New Roman" w:cs="Times New Roman"/>
          <w:sz w:val="24"/>
          <w:szCs w:val="24"/>
        </w:rPr>
        <w:t xml:space="preserve">, I. N. M., </w:t>
      </w:r>
      <w:r w:rsidR="00BF1F4A" w:rsidRPr="00A10939">
        <w:rPr>
          <w:rFonts w:ascii="Times New Roman" w:hAnsi="Times New Roman" w:cs="Times New Roman"/>
          <w:sz w:val="24"/>
          <w:szCs w:val="24"/>
        </w:rPr>
        <w:t>y</w:t>
      </w:r>
      <w:r w:rsidRPr="00A10939">
        <w:rPr>
          <w:rFonts w:ascii="Times New Roman" w:hAnsi="Times New Roman" w:cs="Times New Roman"/>
          <w:sz w:val="24"/>
          <w:szCs w:val="24"/>
        </w:rPr>
        <w:t xml:space="preserve"> </w:t>
      </w:r>
      <w:proofErr w:type="spellStart"/>
      <w:r w:rsidRPr="00A10939">
        <w:rPr>
          <w:rFonts w:ascii="Times New Roman" w:hAnsi="Times New Roman" w:cs="Times New Roman"/>
          <w:sz w:val="24"/>
          <w:szCs w:val="24"/>
        </w:rPr>
        <w:t>Irwansyah</w:t>
      </w:r>
      <w:proofErr w:type="spellEnd"/>
      <w:r w:rsidRPr="00A10939">
        <w:rPr>
          <w:rFonts w:ascii="Times New Roman" w:hAnsi="Times New Roman" w:cs="Times New Roman"/>
          <w:sz w:val="24"/>
          <w:szCs w:val="24"/>
        </w:rPr>
        <w:t xml:space="preserve">, M. R. (2023). </w:t>
      </w:r>
      <w:r w:rsidRPr="00A10939">
        <w:rPr>
          <w:rFonts w:ascii="Times New Roman" w:hAnsi="Times New Roman" w:cs="Times New Roman"/>
          <w:sz w:val="24"/>
          <w:szCs w:val="24"/>
          <w:lang w:val="en-US"/>
        </w:rPr>
        <w:t>Exploring Destination Competitiveness Based on the Quality of</w:t>
      </w:r>
      <w:r w:rsidR="001A7F2C" w:rsidRPr="00A10939">
        <w:rPr>
          <w:rFonts w:ascii="Times New Roman" w:hAnsi="Times New Roman" w:cs="Times New Roman"/>
          <w:sz w:val="24"/>
          <w:szCs w:val="24"/>
          <w:lang w:val="en-US"/>
        </w:rPr>
        <w:t xml:space="preserve"> </w:t>
      </w:r>
      <w:r w:rsidRPr="00A10939">
        <w:rPr>
          <w:rFonts w:ascii="Times New Roman" w:hAnsi="Times New Roman" w:cs="Times New Roman"/>
          <w:sz w:val="24"/>
          <w:szCs w:val="24"/>
          <w:lang w:val="en-US"/>
        </w:rPr>
        <w:t xml:space="preserve">Human Resources. </w:t>
      </w:r>
      <w:r w:rsidRPr="00A10939">
        <w:rPr>
          <w:rFonts w:ascii="Times New Roman" w:hAnsi="Times New Roman" w:cs="Times New Roman"/>
          <w:i/>
          <w:iCs/>
          <w:sz w:val="24"/>
          <w:szCs w:val="24"/>
          <w:lang w:val="en-US"/>
        </w:rPr>
        <w:t>Journal of Economics, Finance and Management Studies</w:t>
      </w:r>
      <w:r w:rsidRPr="00A10939">
        <w:rPr>
          <w:rFonts w:ascii="Times New Roman" w:hAnsi="Times New Roman" w:cs="Times New Roman"/>
          <w:sz w:val="24"/>
          <w:szCs w:val="24"/>
          <w:lang w:val="en-US"/>
        </w:rPr>
        <w:t>, 5090-5097.</w:t>
      </w:r>
      <w:r w:rsidR="001A7F2C" w:rsidRPr="00A10939">
        <w:rPr>
          <w:rFonts w:ascii="Times New Roman" w:hAnsi="Times New Roman" w:cs="Times New Roman"/>
          <w:sz w:val="24"/>
          <w:szCs w:val="24"/>
          <w:lang w:val="en-US"/>
        </w:rPr>
        <w:t xml:space="preserve"> </w:t>
      </w:r>
      <w:hyperlink r:id="rId34" w:history="1">
        <w:r w:rsidR="00B01098" w:rsidRPr="00A10939">
          <w:rPr>
            <w:rStyle w:val="Hipervnculo"/>
            <w:rFonts w:ascii="Times New Roman" w:hAnsi="Times New Roman" w:cs="Times New Roman"/>
            <w:sz w:val="24"/>
            <w:szCs w:val="24"/>
            <w:lang w:val="en-US"/>
          </w:rPr>
          <w:t>https://doi.org/10.47191/jefms/v6-i10-42</w:t>
        </w:r>
      </w:hyperlink>
    </w:p>
    <w:p w14:paraId="5BE7D31E" w14:textId="7A6983B9" w:rsidR="00245BE2" w:rsidRDefault="00B01098" w:rsidP="00A10939">
      <w:pPr>
        <w:spacing w:after="0" w:line="360" w:lineRule="auto"/>
        <w:ind w:left="567" w:hanging="567"/>
        <w:jc w:val="both"/>
      </w:pPr>
      <w:r w:rsidRPr="00A10939">
        <w:rPr>
          <w:rFonts w:ascii="Times New Roman" w:hAnsi="Times New Roman" w:cs="Times New Roman"/>
          <w:sz w:val="24"/>
          <w:szCs w:val="24"/>
          <w:lang w:val="en-US"/>
        </w:rPr>
        <w:t>Z</w:t>
      </w:r>
      <w:r w:rsidR="007C382D" w:rsidRPr="00A10939">
        <w:rPr>
          <w:rFonts w:ascii="Times New Roman" w:hAnsi="Times New Roman" w:cs="Times New Roman"/>
          <w:sz w:val="24"/>
          <w:szCs w:val="24"/>
          <w:lang w:val="en-US"/>
        </w:rPr>
        <w:t xml:space="preserve">hao, S., Jiang, Y., Peng, X., </w:t>
      </w:r>
      <w:r w:rsidR="00BF1F4A" w:rsidRPr="00A10939">
        <w:rPr>
          <w:rFonts w:ascii="Times New Roman" w:hAnsi="Times New Roman" w:cs="Times New Roman"/>
          <w:sz w:val="24"/>
          <w:szCs w:val="24"/>
          <w:lang w:val="en-US"/>
        </w:rPr>
        <w:t>y</w:t>
      </w:r>
      <w:r w:rsidR="007C382D" w:rsidRPr="00A10939">
        <w:rPr>
          <w:rFonts w:ascii="Times New Roman" w:hAnsi="Times New Roman" w:cs="Times New Roman"/>
          <w:sz w:val="24"/>
          <w:szCs w:val="24"/>
          <w:lang w:val="en-US"/>
        </w:rPr>
        <w:t xml:space="preserve"> Hong, J. (2021). Knowledge sharing direction and innovation performance in</w:t>
      </w:r>
      <w:r w:rsidR="001A7F2C" w:rsidRPr="00A10939">
        <w:rPr>
          <w:rFonts w:ascii="Times New Roman" w:hAnsi="Times New Roman" w:cs="Times New Roman"/>
          <w:sz w:val="24"/>
          <w:szCs w:val="24"/>
          <w:lang w:val="en-US"/>
        </w:rPr>
        <w:t xml:space="preserve"> </w:t>
      </w:r>
      <w:r w:rsidR="007C382D" w:rsidRPr="00A10939">
        <w:rPr>
          <w:rFonts w:ascii="Times New Roman" w:hAnsi="Times New Roman" w:cs="Times New Roman"/>
          <w:sz w:val="24"/>
          <w:szCs w:val="24"/>
          <w:lang w:val="en-US"/>
        </w:rPr>
        <w:t xml:space="preserve">organizations: do absorptive capacity and individual creativity matter? </w:t>
      </w:r>
      <w:r w:rsidR="007C382D" w:rsidRPr="00A10939">
        <w:rPr>
          <w:rFonts w:ascii="Times New Roman" w:hAnsi="Times New Roman" w:cs="Times New Roman"/>
          <w:i/>
          <w:iCs/>
          <w:sz w:val="24"/>
          <w:szCs w:val="24"/>
          <w:lang w:val="en-US"/>
        </w:rPr>
        <w:t>European Journal of Innovation</w:t>
      </w:r>
      <w:r w:rsidR="001A7F2C" w:rsidRPr="00A10939">
        <w:rPr>
          <w:rFonts w:ascii="Times New Roman" w:hAnsi="Times New Roman" w:cs="Times New Roman"/>
          <w:i/>
          <w:iCs/>
          <w:sz w:val="24"/>
          <w:szCs w:val="24"/>
          <w:lang w:val="en-US"/>
        </w:rPr>
        <w:t xml:space="preserve"> </w:t>
      </w:r>
      <w:r w:rsidR="007C382D" w:rsidRPr="00A10939">
        <w:rPr>
          <w:rFonts w:ascii="Times New Roman" w:hAnsi="Times New Roman" w:cs="Times New Roman"/>
          <w:i/>
          <w:iCs/>
          <w:sz w:val="24"/>
          <w:szCs w:val="24"/>
          <w:lang w:val="en-US"/>
        </w:rPr>
        <w:t>Management, 24</w:t>
      </w:r>
      <w:r w:rsidR="007C382D" w:rsidRPr="00A10939">
        <w:rPr>
          <w:rFonts w:ascii="Times New Roman" w:hAnsi="Times New Roman" w:cs="Times New Roman"/>
          <w:sz w:val="24"/>
          <w:szCs w:val="24"/>
          <w:lang w:val="en-US"/>
        </w:rPr>
        <w:t>(2), 371-394.</w:t>
      </w:r>
      <w:r w:rsidR="001A7F2C" w:rsidRPr="00A10939">
        <w:rPr>
          <w:rFonts w:ascii="Times New Roman" w:hAnsi="Times New Roman" w:cs="Times New Roman"/>
          <w:sz w:val="24"/>
          <w:szCs w:val="24"/>
          <w:lang w:val="en-US"/>
        </w:rPr>
        <w:t xml:space="preserve"> </w:t>
      </w:r>
      <w:hyperlink r:id="rId35" w:history="1">
        <w:r w:rsidRPr="00A10939">
          <w:rPr>
            <w:rStyle w:val="Hipervnculo"/>
            <w:rFonts w:ascii="Times New Roman" w:hAnsi="Times New Roman" w:cs="Times New Roman"/>
            <w:sz w:val="24"/>
            <w:szCs w:val="24"/>
            <w:lang w:val="en-US"/>
          </w:rPr>
          <w:t>https://doi.org/10.1108/EJIM-09-2019-0244</w:t>
        </w:r>
      </w:hyperlink>
    </w:p>
    <w:p w14:paraId="09339FC9" w14:textId="77777777" w:rsidR="00804CED" w:rsidRDefault="00804CED" w:rsidP="00A10939">
      <w:pPr>
        <w:spacing w:after="0" w:line="360" w:lineRule="auto"/>
        <w:ind w:left="567" w:hanging="567"/>
        <w:jc w:val="both"/>
      </w:pPr>
    </w:p>
    <w:p w14:paraId="7B0E8F5E" w14:textId="77777777" w:rsidR="00FE4589" w:rsidRDefault="00FE4589" w:rsidP="00A10939">
      <w:pPr>
        <w:spacing w:after="0" w:line="360" w:lineRule="auto"/>
        <w:ind w:left="567" w:hanging="567"/>
        <w:jc w:val="both"/>
      </w:pPr>
    </w:p>
    <w:p w14:paraId="096745BD" w14:textId="77777777" w:rsidR="00FE4589" w:rsidRDefault="00FE4589" w:rsidP="00A10939">
      <w:pPr>
        <w:spacing w:after="0" w:line="360" w:lineRule="auto"/>
        <w:ind w:left="567" w:hanging="567"/>
        <w:jc w:val="both"/>
      </w:pPr>
    </w:p>
    <w:p w14:paraId="29A7399D" w14:textId="77777777" w:rsidR="00FE4589" w:rsidRDefault="00FE4589" w:rsidP="00A10939">
      <w:pPr>
        <w:spacing w:after="0" w:line="360" w:lineRule="auto"/>
        <w:ind w:left="567" w:hanging="567"/>
        <w:jc w:val="both"/>
      </w:pPr>
    </w:p>
    <w:p w14:paraId="0CE690FC" w14:textId="77777777" w:rsidR="00FE4589" w:rsidRDefault="00FE4589" w:rsidP="00A10939">
      <w:pPr>
        <w:spacing w:after="0" w:line="360" w:lineRule="auto"/>
        <w:ind w:left="567" w:hanging="567"/>
        <w:jc w:val="both"/>
      </w:pPr>
    </w:p>
    <w:p w14:paraId="41D754B3" w14:textId="77777777" w:rsidR="00FE4589" w:rsidRDefault="00FE4589" w:rsidP="00A10939">
      <w:pPr>
        <w:spacing w:after="0" w:line="360" w:lineRule="auto"/>
        <w:ind w:left="567" w:hanging="567"/>
        <w:jc w:val="both"/>
      </w:pPr>
    </w:p>
    <w:p w14:paraId="322092BD" w14:textId="77777777" w:rsidR="00FE4589" w:rsidRDefault="00FE4589" w:rsidP="00A10939">
      <w:pPr>
        <w:spacing w:after="0" w:line="360" w:lineRule="auto"/>
        <w:ind w:left="567" w:hanging="567"/>
        <w:jc w:val="both"/>
      </w:pPr>
    </w:p>
    <w:p w14:paraId="66FA4C36" w14:textId="77777777" w:rsidR="00FE4589" w:rsidRDefault="00FE4589" w:rsidP="00A10939">
      <w:pPr>
        <w:spacing w:after="0" w:line="360" w:lineRule="auto"/>
        <w:ind w:left="567" w:hanging="567"/>
        <w:jc w:val="both"/>
      </w:pPr>
    </w:p>
    <w:p w14:paraId="6774C3EA" w14:textId="77777777" w:rsidR="00FE4589" w:rsidRDefault="00FE4589" w:rsidP="00A10939">
      <w:pPr>
        <w:spacing w:after="0" w:line="360" w:lineRule="auto"/>
        <w:ind w:left="567" w:hanging="567"/>
        <w:jc w:val="both"/>
      </w:pPr>
    </w:p>
    <w:p w14:paraId="05C15ED1" w14:textId="77777777" w:rsidR="00FE4589" w:rsidRDefault="00FE4589" w:rsidP="00A10939">
      <w:pPr>
        <w:spacing w:after="0" w:line="360" w:lineRule="auto"/>
        <w:ind w:left="567" w:hanging="567"/>
        <w:jc w:val="both"/>
      </w:pPr>
    </w:p>
    <w:p w14:paraId="6AEBAD47" w14:textId="77777777" w:rsidR="00FE4589" w:rsidRDefault="00FE4589" w:rsidP="00A10939">
      <w:pPr>
        <w:spacing w:after="0" w:line="360" w:lineRule="auto"/>
        <w:ind w:left="567" w:hanging="567"/>
        <w:jc w:val="both"/>
      </w:pPr>
    </w:p>
    <w:tbl>
      <w:tblPr>
        <w:tblStyle w:val="Tablaconcuadrcula"/>
        <w:tblW w:w="0" w:type="auto"/>
        <w:jc w:val="center"/>
        <w:tblLook w:val="04A0" w:firstRow="1" w:lastRow="0" w:firstColumn="1" w:lastColumn="0" w:noHBand="0" w:noVBand="1"/>
      </w:tblPr>
      <w:tblGrid>
        <w:gridCol w:w="4316"/>
        <w:gridCol w:w="4314"/>
      </w:tblGrid>
      <w:tr w:rsidR="00804CED" w:rsidRPr="00804CED" w14:paraId="7B58A100" w14:textId="77777777" w:rsidTr="00804CED">
        <w:trPr>
          <w:jc w:val="center"/>
        </w:trPr>
        <w:tc>
          <w:tcPr>
            <w:tcW w:w="4316" w:type="dxa"/>
          </w:tcPr>
          <w:p w14:paraId="41566AC7"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lastRenderedPageBreak/>
              <w:t>Rol de Contribución</w:t>
            </w:r>
          </w:p>
        </w:tc>
        <w:tc>
          <w:tcPr>
            <w:tcW w:w="4314" w:type="dxa"/>
          </w:tcPr>
          <w:p w14:paraId="2B4B1B07"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Autor (es)</w:t>
            </w:r>
          </w:p>
        </w:tc>
      </w:tr>
      <w:tr w:rsidR="00804CED" w:rsidRPr="00804CED" w14:paraId="2353DF1B" w14:textId="77777777" w:rsidTr="00804CED">
        <w:trPr>
          <w:jc w:val="center"/>
        </w:trPr>
        <w:tc>
          <w:tcPr>
            <w:tcW w:w="4316" w:type="dxa"/>
          </w:tcPr>
          <w:p w14:paraId="12256574"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Conceptualización</w:t>
            </w:r>
          </w:p>
        </w:tc>
        <w:tc>
          <w:tcPr>
            <w:tcW w:w="4314" w:type="dxa"/>
          </w:tcPr>
          <w:p w14:paraId="3FB1CEB5"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 xml:space="preserve">Jorge Quijano </w:t>
            </w:r>
            <w:proofErr w:type="spellStart"/>
            <w:r w:rsidRPr="00804CED">
              <w:rPr>
                <w:rFonts w:ascii="Times New Roman" w:hAnsi="Times New Roman" w:cs="Times New Roman"/>
                <w:sz w:val="24"/>
                <w:szCs w:val="24"/>
              </w:rPr>
              <w:t>Gallardo</w:t>
            </w:r>
            <w:proofErr w:type="spellEnd"/>
          </w:p>
        </w:tc>
      </w:tr>
      <w:tr w:rsidR="00804CED" w:rsidRPr="00804CED" w14:paraId="65FBE38A" w14:textId="77777777" w:rsidTr="00804CED">
        <w:trPr>
          <w:jc w:val="center"/>
        </w:trPr>
        <w:tc>
          <w:tcPr>
            <w:tcW w:w="4316" w:type="dxa"/>
          </w:tcPr>
          <w:p w14:paraId="63A2D11E"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Metodología</w:t>
            </w:r>
          </w:p>
        </w:tc>
        <w:tc>
          <w:tcPr>
            <w:tcW w:w="4314" w:type="dxa"/>
          </w:tcPr>
          <w:p w14:paraId="783D6295"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 xml:space="preserve">Jorge Quijano </w:t>
            </w:r>
            <w:proofErr w:type="spellStart"/>
            <w:r w:rsidRPr="00804CED">
              <w:rPr>
                <w:rFonts w:ascii="Times New Roman" w:hAnsi="Times New Roman" w:cs="Times New Roman"/>
                <w:sz w:val="24"/>
                <w:szCs w:val="24"/>
              </w:rPr>
              <w:t>Gallardo</w:t>
            </w:r>
            <w:proofErr w:type="spellEnd"/>
            <w:r w:rsidRPr="00804CED">
              <w:rPr>
                <w:rFonts w:ascii="Times New Roman" w:hAnsi="Times New Roman" w:cs="Times New Roman"/>
                <w:sz w:val="24"/>
                <w:szCs w:val="24"/>
              </w:rPr>
              <w:t xml:space="preserve"> (apoyo), </w:t>
            </w:r>
            <w:r w:rsidRPr="00804CED">
              <w:rPr>
                <w:rFonts w:ascii="Times New Roman" w:hAnsi="Times New Roman" w:cs="Times New Roman"/>
                <w:sz w:val="24"/>
                <w:szCs w:val="24"/>
              </w:rPr>
              <w:br/>
              <w:t>Jesús Hernández Gómez (Principal), Salvador Noriega Morales (Principal)</w:t>
            </w:r>
          </w:p>
        </w:tc>
      </w:tr>
      <w:tr w:rsidR="00804CED" w:rsidRPr="00804CED" w14:paraId="25B397F4" w14:textId="77777777" w:rsidTr="00804CED">
        <w:trPr>
          <w:jc w:val="center"/>
        </w:trPr>
        <w:tc>
          <w:tcPr>
            <w:tcW w:w="4316" w:type="dxa"/>
          </w:tcPr>
          <w:p w14:paraId="0B551741"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Software</w:t>
            </w:r>
          </w:p>
        </w:tc>
        <w:tc>
          <w:tcPr>
            <w:tcW w:w="4314" w:type="dxa"/>
          </w:tcPr>
          <w:p w14:paraId="5A69BE3A"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 xml:space="preserve">Jorge Quijano </w:t>
            </w:r>
            <w:proofErr w:type="spellStart"/>
            <w:r w:rsidRPr="00804CED">
              <w:rPr>
                <w:rFonts w:ascii="Times New Roman" w:hAnsi="Times New Roman" w:cs="Times New Roman"/>
                <w:sz w:val="24"/>
                <w:szCs w:val="24"/>
              </w:rPr>
              <w:t>Gallardo</w:t>
            </w:r>
            <w:proofErr w:type="spellEnd"/>
          </w:p>
        </w:tc>
      </w:tr>
      <w:tr w:rsidR="00804CED" w:rsidRPr="00804CED" w14:paraId="7FED5079" w14:textId="77777777" w:rsidTr="00804CED">
        <w:trPr>
          <w:jc w:val="center"/>
        </w:trPr>
        <w:tc>
          <w:tcPr>
            <w:tcW w:w="4316" w:type="dxa"/>
          </w:tcPr>
          <w:p w14:paraId="75D94028"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Validación</w:t>
            </w:r>
          </w:p>
        </w:tc>
        <w:tc>
          <w:tcPr>
            <w:tcW w:w="4314" w:type="dxa"/>
          </w:tcPr>
          <w:p w14:paraId="2A7F3A8A"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 xml:space="preserve">Jorge Quijano </w:t>
            </w:r>
            <w:proofErr w:type="spellStart"/>
            <w:r w:rsidRPr="00804CED">
              <w:rPr>
                <w:rFonts w:ascii="Times New Roman" w:hAnsi="Times New Roman" w:cs="Times New Roman"/>
                <w:sz w:val="24"/>
                <w:szCs w:val="24"/>
              </w:rPr>
              <w:t>Gallardo</w:t>
            </w:r>
            <w:proofErr w:type="spellEnd"/>
            <w:r w:rsidRPr="00804CED">
              <w:rPr>
                <w:rFonts w:ascii="Times New Roman" w:hAnsi="Times New Roman" w:cs="Times New Roman"/>
                <w:sz w:val="24"/>
                <w:szCs w:val="24"/>
              </w:rPr>
              <w:t xml:space="preserve"> (Apoyo), </w:t>
            </w:r>
          </w:p>
          <w:p w14:paraId="6DF58B49"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Jesús Hernández Gómez (Principal), Salvador Noriega Morales (Apoyo)</w:t>
            </w:r>
          </w:p>
        </w:tc>
      </w:tr>
      <w:tr w:rsidR="00804CED" w:rsidRPr="00804CED" w14:paraId="34F1423B" w14:textId="77777777" w:rsidTr="00804CED">
        <w:trPr>
          <w:jc w:val="center"/>
        </w:trPr>
        <w:tc>
          <w:tcPr>
            <w:tcW w:w="4316" w:type="dxa"/>
          </w:tcPr>
          <w:p w14:paraId="4E3533F5"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Análisis Formal</w:t>
            </w:r>
          </w:p>
        </w:tc>
        <w:tc>
          <w:tcPr>
            <w:tcW w:w="4314" w:type="dxa"/>
          </w:tcPr>
          <w:p w14:paraId="6A171D89"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 xml:space="preserve">Jorge Quijano </w:t>
            </w:r>
            <w:proofErr w:type="spellStart"/>
            <w:r w:rsidRPr="00804CED">
              <w:rPr>
                <w:rFonts w:ascii="Times New Roman" w:hAnsi="Times New Roman" w:cs="Times New Roman"/>
                <w:sz w:val="24"/>
                <w:szCs w:val="24"/>
              </w:rPr>
              <w:t>Gallardo</w:t>
            </w:r>
            <w:proofErr w:type="spellEnd"/>
            <w:r w:rsidRPr="00804CED">
              <w:rPr>
                <w:rFonts w:ascii="Times New Roman" w:hAnsi="Times New Roman" w:cs="Times New Roman"/>
                <w:sz w:val="24"/>
                <w:szCs w:val="24"/>
              </w:rPr>
              <w:t xml:space="preserve"> (Principal), </w:t>
            </w:r>
          </w:p>
          <w:p w14:paraId="13D50151"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 xml:space="preserve">Jesús Hernández Gómez (Igual), </w:t>
            </w:r>
          </w:p>
          <w:p w14:paraId="6DA02D28"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Salvador Noriega Morales (Apoyo)</w:t>
            </w:r>
          </w:p>
        </w:tc>
      </w:tr>
      <w:tr w:rsidR="00804CED" w:rsidRPr="00804CED" w14:paraId="7AD82047" w14:textId="77777777" w:rsidTr="00804CED">
        <w:trPr>
          <w:jc w:val="center"/>
        </w:trPr>
        <w:tc>
          <w:tcPr>
            <w:tcW w:w="4316" w:type="dxa"/>
          </w:tcPr>
          <w:p w14:paraId="26869E16"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Investigación</w:t>
            </w:r>
          </w:p>
        </w:tc>
        <w:tc>
          <w:tcPr>
            <w:tcW w:w="4314" w:type="dxa"/>
          </w:tcPr>
          <w:p w14:paraId="156B84DE"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 xml:space="preserve">Jorge Quijano </w:t>
            </w:r>
            <w:proofErr w:type="spellStart"/>
            <w:r w:rsidRPr="00804CED">
              <w:rPr>
                <w:rFonts w:ascii="Times New Roman" w:hAnsi="Times New Roman" w:cs="Times New Roman"/>
                <w:sz w:val="24"/>
                <w:szCs w:val="24"/>
              </w:rPr>
              <w:t>Gallardo</w:t>
            </w:r>
            <w:proofErr w:type="spellEnd"/>
            <w:r w:rsidRPr="00804CED">
              <w:rPr>
                <w:rFonts w:ascii="Times New Roman" w:hAnsi="Times New Roman" w:cs="Times New Roman"/>
                <w:sz w:val="24"/>
                <w:szCs w:val="24"/>
              </w:rPr>
              <w:t xml:space="preserve"> (Principal), </w:t>
            </w:r>
          </w:p>
          <w:p w14:paraId="58D4E814"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Salvador Noriega Morales (apoyo)</w:t>
            </w:r>
          </w:p>
        </w:tc>
      </w:tr>
      <w:tr w:rsidR="00804CED" w:rsidRPr="00804CED" w14:paraId="7F3F66C4" w14:textId="77777777" w:rsidTr="00804CED">
        <w:trPr>
          <w:jc w:val="center"/>
        </w:trPr>
        <w:tc>
          <w:tcPr>
            <w:tcW w:w="4316" w:type="dxa"/>
          </w:tcPr>
          <w:p w14:paraId="505B3BE7"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Recursos</w:t>
            </w:r>
          </w:p>
        </w:tc>
        <w:tc>
          <w:tcPr>
            <w:tcW w:w="4314" w:type="dxa"/>
          </w:tcPr>
          <w:p w14:paraId="5715ED59" w14:textId="3FD7BA6B"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 xml:space="preserve"> </w:t>
            </w:r>
            <w:r>
              <w:rPr>
                <w:rFonts w:ascii="Times New Roman" w:hAnsi="Times New Roman" w:cs="Times New Roman"/>
                <w:sz w:val="24"/>
                <w:szCs w:val="24"/>
              </w:rPr>
              <w:t>NO APLICA</w:t>
            </w:r>
          </w:p>
        </w:tc>
      </w:tr>
      <w:tr w:rsidR="00804CED" w:rsidRPr="00804CED" w14:paraId="7D627843" w14:textId="77777777" w:rsidTr="00804CED">
        <w:trPr>
          <w:jc w:val="center"/>
        </w:trPr>
        <w:tc>
          <w:tcPr>
            <w:tcW w:w="4316" w:type="dxa"/>
          </w:tcPr>
          <w:p w14:paraId="3E565B93"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Curación de datos</w:t>
            </w:r>
          </w:p>
        </w:tc>
        <w:tc>
          <w:tcPr>
            <w:tcW w:w="4314" w:type="dxa"/>
          </w:tcPr>
          <w:p w14:paraId="1203DF50"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 xml:space="preserve">Jorge Quijano </w:t>
            </w:r>
            <w:proofErr w:type="spellStart"/>
            <w:r w:rsidRPr="00804CED">
              <w:rPr>
                <w:rFonts w:ascii="Times New Roman" w:hAnsi="Times New Roman" w:cs="Times New Roman"/>
                <w:sz w:val="24"/>
                <w:szCs w:val="24"/>
              </w:rPr>
              <w:t>Gallardo</w:t>
            </w:r>
            <w:proofErr w:type="spellEnd"/>
            <w:r w:rsidRPr="00804CED">
              <w:rPr>
                <w:rFonts w:ascii="Times New Roman" w:hAnsi="Times New Roman" w:cs="Times New Roman"/>
                <w:sz w:val="24"/>
                <w:szCs w:val="24"/>
              </w:rPr>
              <w:t xml:space="preserve"> (Principal), </w:t>
            </w:r>
          </w:p>
          <w:p w14:paraId="399AA96C"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Jesús Hernández Gómez (Principal), Salvador Noriega Morales (Apoyo)</w:t>
            </w:r>
          </w:p>
        </w:tc>
      </w:tr>
      <w:tr w:rsidR="00804CED" w:rsidRPr="00804CED" w14:paraId="0DD90F2D" w14:textId="77777777" w:rsidTr="00804CED">
        <w:trPr>
          <w:jc w:val="center"/>
        </w:trPr>
        <w:tc>
          <w:tcPr>
            <w:tcW w:w="4316" w:type="dxa"/>
          </w:tcPr>
          <w:p w14:paraId="45AC8EFC"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Escritura - Preparación del borrador original</w:t>
            </w:r>
          </w:p>
        </w:tc>
        <w:tc>
          <w:tcPr>
            <w:tcW w:w="4314" w:type="dxa"/>
          </w:tcPr>
          <w:p w14:paraId="07F64213"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 xml:space="preserve">Jorge Quijano </w:t>
            </w:r>
            <w:proofErr w:type="spellStart"/>
            <w:r w:rsidRPr="00804CED">
              <w:rPr>
                <w:rFonts w:ascii="Times New Roman" w:hAnsi="Times New Roman" w:cs="Times New Roman"/>
                <w:sz w:val="24"/>
                <w:szCs w:val="24"/>
              </w:rPr>
              <w:t>Gallardo</w:t>
            </w:r>
            <w:proofErr w:type="spellEnd"/>
            <w:r w:rsidRPr="00804CED">
              <w:rPr>
                <w:rFonts w:ascii="Times New Roman" w:hAnsi="Times New Roman" w:cs="Times New Roman"/>
                <w:sz w:val="24"/>
                <w:szCs w:val="24"/>
              </w:rPr>
              <w:t xml:space="preserve"> (Principal), </w:t>
            </w:r>
          </w:p>
          <w:p w14:paraId="0D51954B"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 xml:space="preserve">Jesús Hernández Gómez (Apoyo), </w:t>
            </w:r>
          </w:p>
        </w:tc>
      </w:tr>
      <w:tr w:rsidR="00804CED" w:rsidRPr="00804CED" w14:paraId="7F7E5674" w14:textId="77777777" w:rsidTr="00804CED">
        <w:trPr>
          <w:jc w:val="center"/>
        </w:trPr>
        <w:tc>
          <w:tcPr>
            <w:tcW w:w="4316" w:type="dxa"/>
          </w:tcPr>
          <w:p w14:paraId="5B27FC46"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Escritura - Revisión y edición</w:t>
            </w:r>
          </w:p>
        </w:tc>
        <w:tc>
          <w:tcPr>
            <w:tcW w:w="4314" w:type="dxa"/>
          </w:tcPr>
          <w:p w14:paraId="2805FBD9"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 xml:space="preserve">Jorge Quijano </w:t>
            </w:r>
            <w:proofErr w:type="spellStart"/>
            <w:r w:rsidRPr="00804CED">
              <w:rPr>
                <w:rFonts w:ascii="Times New Roman" w:hAnsi="Times New Roman" w:cs="Times New Roman"/>
                <w:sz w:val="24"/>
                <w:szCs w:val="24"/>
              </w:rPr>
              <w:t>Gallardo</w:t>
            </w:r>
            <w:proofErr w:type="spellEnd"/>
            <w:r w:rsidRPr="00804CED">
              <w:rPr>
                <w:rFonts w:ascii="Times New Roman" w:hAnsi="Times New Roman" w:cs="Times New Roman"/>
                <w:sz w:val="24"/>
                <w:szCs w:val="24"/>
              </w:rPr>
              <w:t xml:space="preserve"> (Igual), </w:t>
            </w:r>
          </w:p>
          <w:p w14:paraId="089B7553"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 xml:space="preserve">Jesús Hernández Gómez (Igual), </w:t>
            </w:r>
          </w:p>
          <w:p w14:paraId="4EF09B30"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Salvador Noriega Morales (Apoyo)</w:t>
            </w:r>
          </w:p>
        </w:tc>
      </w:tr>
      <w:tr w:rsidR="00804CED" w:rsidRPr="00804CED" w14:paraId="3D6A15E3" w14:textId="77777777" w:rsidTr="00804CED">
        <w:trPr>
          <w:jc w:val="center"/>
        </w:trPr>
        <w:tc>
          <w:tcPr>
            <w:tcW w:w="4316" w:type="dxa"/>
          </w:tcPr>
          <w:p w14:paraId="2CC78E10"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Visualización</w:t>
            </w:r>
          </w:p>
        </w:tc>
        <w:tc>
          <w:tcPr>
            <w:tcW w:w="4314" w:type="dxa"/>
          </w:tcPr>
          <w:p w14:paraId="7EA1C144"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 xml:space="preserve">Jorge Quijano </w:t>
            </w:r>
            <w:proofErr w:type="spellStart"/>
            <w:r w:rsidRPr="00804CED">
              <w:rPr>
                <w:rFonts w:ascii="Times New Roman" w:hAnsi="Times New Roman" w:cs="Times New Roman"/>
                <w:sz w:val="24"/>
                <w:szCs w:val="24"/>
              </w:rPr>
              <w:t>Gallardo</w:t>
            </w:r>
            <w:proofErr w:type="spellEnd"/>
          </w:p>
          <w:p w14:paraId="1E805C85" w14:textId="77777777" w:rsidR="00804CED" w:rsidRPr="00804CED" w:rsidRDefault="00804CED" w:rsidP="00726EA4">
            <w:pPr>
              <w:rPr>
                <w:rFonts w:ascii="Times New Roman" w:hAnsi="Times New Roman" w:cs="Times New Roman"/>
                <w:sz w:val="24"/>
                <w:szCs w:val="24"/>
              </w:rPr>
            </w:pPr>
          </w:p>
        </w:tc>
      </w:tr>
      <w:tr w:rsidR="00804CED" w:rsidRPr="00804CED" w14:paraId="62311A47" w14:textId="77777777" w:rsidTr="00804CED">
        <w:trPr>
          <w:jc w:val="center"/>
        </w:trPr>
        <w:tc>
          <w:tcPr>
            <w:tcW w:w="4316" w:type="dxa"/>
          </w:tcPr>
          <w:p w14:paraId="29D66874"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Supervisión</w:t>
            </w:r>
          </w:p>
        </w:tc>
        <w:tc>
          <w:tcPr>
            <w:tcW w:w="4314" w:type="dxa"/>
          </w:tcPr>
          <w:p w14:paraId="2171EC74"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 xml:space="preserve">Jesús Hernández Gómez (Apoyo), </w:t>
            </w:r>
          </w:p>
          <w:p w14:paraId="2A88EE77"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Salvador Noriega Morales (Principal)</w:t>
            </w:r>
          </w:p>
        </w:tc>
      </w:tr>
      <w:tr w:rsidR="00804CED" w:rsidRPr="00804CED" w14:paraId="3101E7C1" w14:textId="77777777" w:rsidTr="00804CED">
        <w:trPr>
          <w:jc w:val="center"/>
        </w:trPr>
        <w:tc>
          <w:tcPr>
            <w:tcW w:w="4316" w:type="dxa"/>
          </w:tcPr>
          <w:p w14:paraId="10CA07D6"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Administración de Proyectos</w:t>
            </w:r>
          </w:p>
        </w:tc>
        <w:tc>
          <w:tcPr>
            <w:tcW w:w="4314" w:type="dxa"/>
          </w:tcPr>
          <w:p w14:paraId="319B61C1"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Salvador Noriega Morales (Principal)</w:t>
            </w:r>
          </w:p>
        </w:tc>
      </w:tr>
      <w:tr w:rsidR="00804CED" w:rsidRPr="00804CED" w14:paraId="0F6C30C4" w14:textId="77777777" w:rsidTr="00804CED">
        <w:trPr>
          <w:jc w:val="center"/>
        </w:trPr>
        <w:tc>
          <w:tcPr>
            <w:tcW w:w="4316" w:type="dxa"/>
          </w:tcPr>
          <w:p w14:paraId="3124AB42" w14:textId="77777777"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Adquisición de fondos</w:t>
            </w:r>
          </w:p>
        </w:tc>
        <w:tc>
          <w:tcPr>
            <w:tcW w:w="4314" w:type="dxa"/>
          </w:tcPr>
          <w:p w14:paraId="66CADC24" w14:textId="73239FD1" w:rsidR="00804CED" w:rsidRPr="00804CED" w:rsidRDefault="00804CED" w:rsidP="00726EA4">
            <w:pPr>
              <w:rPr>
                <w:rFonts w:ascii="Times New Roman" w:hAnsi="Times New Roman" w:cs="Times New Roman"/>
                <w:sz w:val="24"/>
                <w:szCs w:val="24"/>
              </w:rPr>
            </w:pPr>
            <w:r w:rsidRPr="00804CED">
              <w:rPr>
                <w:rFonts w:ascii="Times New Roman" w:hAnsi="Times New Roman" w:cs="Times New Roman"/>
                <w:sz w:val="24"/>
                <w:szCs w:val="24"/>
              </w:rPr>
              <w:t xml:space="preserve"> </w:t>
            </w:r>
            <w:r>
              <w:rPr>
                <w:rFonts w:ascii="Times New Roman" w:hAnsi="Times New Roman" w:cs="Times New Roman"/>
                <w:sz w:val="24"/>
                <w:szCs w:val="24"/>
              </w:rPr>
              <w:t>NO APLICA</w:t>
            </w:r>
          </w:p>
        </w:tc>
      </w:tr>
    </w:tbl>
    <w:p w14:paraId="4B8B7D65" w14:textId="77777777" w:rsidR="00804CED" w:rsidRPr="00A10939" w:rsidRDefault="00804CED" w:rsidP="00A10939">
      <w:pPr>
        <w:spacing w:after="0" w:line="360" w:lineRule="auto"/>
        <w:ind w:left="567" w:hanging="567"/>
        <w:jc w:val="both"/>
        <w:rPr>
          <w:rFonts w:ascii="Times New Roman" w:hAnsi="Times New Roman" w:cs="Times New Roman"/>
          <w:sz w:val="24"/>
          <w:szCs w:val="24"/>
          <w:lang w:val="en-US"/>
        </w:rPr>
      </w:pPr>
    </w:p>
    <w:sectPr w:rsidR="00804CED" w:rsidRPr="00A10939" w:rsidSect="00F20F99">
      <w:headerReference w:type="default" r:id="rId36"/>
      <w:footerReference w:type="default" r:id="rId37"/>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E6C90" w14:textId="77777777" w:rsidR="00295CD0" w:rsidRDefault="00295CD0" w:rsidP="00F20F99">
      <w:pPr>
        <w:spacing w:after="0" w:line="240" w:lineRule="auto"/>
      </w:pPr>
      <w:r>
        <w:separator/>
      </w:r>
    </w:p>
  </w:endnote>
  <w:endnote w:type="continuationSeparator" w:id="0">
    <w:p w14:paraId="350C6CFD" w14:textId="77777777" w:rsidR="00295CD0" w:rsidRDefault="00295CD0" w:rsidP="00F20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D93D6" w14:textId="4500F497" w:rsidR="00F20F99" w:rsidRDefault="00F20F99">
    <w:pPr>
      <w:pStyle w:val="Piedepgina"/>
    </w:pPr>
    <w:r>
      <w:t xml:space="preserve">                 </w:t>
    </w:r>
    <w:r w:rsidRPr="002A3D98">
      <w:rPr>
        <w:noProof/>
      </w:rPr>
      <w:drawing>
        <wp:inline distT="0" distB="0" distL="0" distR="0" wp14:anchorId="5AF195DB" wp14:editId="010EDBB0">
          <wp:extent cx="1600200" cy="419100"/>
          <wp:effectExtent l="0" t="0" r="0" b="0"/>
          <wp:docPr id="1995464815" name="Imagen 199546481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A401A8">
      <w:rPr>
        <w:rFonts w:ascii="Calibri" w:hAnsi="Calibri" w:cs="Calibri"/>
        <w:b/>
      </w:rPr>
      <w:t xml:space="preserve">Vol. 15 </w:t>
    </w:r>
    <w:proofErr w:type="spellStart"/>
    <w:r w:rsidRPr="00A401A8">
      <w:rPr>
        <w:rFonts w:ascii="Calibri" w:hAnsi="Calibri" w:cs="Calibri"/>
        <w:b/>
      </w:rPr>
      <w:t>Num</w:t>
    </w:r>
    <w:proofErr w:type="spellEnd"/>
    <w:r w:rsidRPr="00A401A8">
      <w:rPr>
        <w:rFonts w:ascii="Calibri" w:hAnsi="Calibri" w:cs="Calibri"/>
        <w:b/>
      </w:rPr>
      <w:t xml:space="preserve">. </w:t>
    </w:r>
    <w:r>
      <w:rPr>
        <w:rFonts w:ascii="Calibri" w:hAnsi="Calibri" w:cs="Calibri"/>
        <w:b/>
      </w:rPr>
      <w:t>30</w:t>
    </w:r>
    <w:r w:rsidRPr="00A401A8">
      <w:rPr>
        <w:rFonts w:ascii="Calibri" w:hAnsi="Calibri" w:cs="Calibri"/>
        <w:b/>
      </w:rPr>
      <w:t xml:space="preserve"> </w:t>
    </w:r>
    <w:proofErr w:type="gramStart"/>
    <w:r>
      <w:rPr>
        <w:rFonts w:ascii="Calibri" w:hAnsi="Calibri" w:cs="Calibri"/>
        <w:b/>
      </w:rPr>
      <w:t>Enero</w:t>
    </w:r>
    <w:proofErr w:type="gramEnd"/>
    <w:r>
      <w:rPr>
        <w:rFonts w:ascii="Calibri" w:hAnsi="Calibri" w:cs="Calibri"/>
        <w:b/>
      </w:rPr>
      <w:t xml:space="preserve"> – Junio 2025</w:t>
    </w:r>
    <w:r w:rsidRPr="00A401A8">
      <w:rPr>
        <w:rFonts w:ascii="Calibri" w:hAnsi="Calibri" w:cs="Calibri"/>
        <w:b/>
      </w:rPr>
      <w:t>, e</w:t>
    </w:r>
    <w:r w:rsidR="00FE4589">
      <w:rPr>
        <w:rFonts w:ascii="Calibri" w:hAnsi="Calibri" w:cs="Calibri"/>
        <w:b/>
      </w:rPr>
      <w:t>848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D7D34" w14:textId="77777777" w:rsidR="00295CD0" w:rsidRDefault="00295CD0" w:rsidP="00F20F99">
      <w:pPr>
        <w:spacing w:after="0" w:line="240" w:lineRule="auto"/>
      </w:pPr>
      <w:r>
        <w:separator/>
      </w:r>
    </w:p>
  </w:footnote>
  <w:footnote w:type="continuationSeparator" w:id="0">
    <w:p w14:paraId="4E562F3D" w14:textId="77777777" w:rsidR="00295CD0" w:rsidRDefault="00295CD0" w:rsidP="00F20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58998" w14:textId="05D06FB0" w:rsidR="00F20F99" w:rsidRDefault="00F20F99" w:rsidP="00F20F99">
    <w:pPr>
      <w:pStyle w:val="Encabezado"/>
      <w:jc w:val="center"/>
    </w:pPr>
    <w:r w:rsidRPr="002A3D98">
      <w:rPr>
        <w:noProof/>
      </w:rPr>
      <w:drawing>
        <wp:inline distT="0" distB="0" distL="0" distR="0" wp14:anchorId="2859770D" wp14:editId="0B38E579">
          <wp:extent cx="5397500" cy="635000"/>
          <wp:effectExtent l="0" t="0" r="0" b="0"/>
          <wp:docPr id="1890015929" name="Imagen 189001592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E53E0"/>
    <w:multiLevelType w:val="hybridMultilevel"/>
    <w:tmpl w:val="9B766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F5204F4"/>
    <w:multiLevelType w:val="hybridMultilevel"/>
    <w:tmpl w:val="50AC6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371A48"/>
    <w:multiLevelType w:val="multilevel"/>
    <w:tmpl w:val="FBFA5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5684873">
    <w:abstractNumId w:val="0"/>
  </w:num>
  <w:num w:numId="2" w16cid:durableId="513501786">
    <w:abstractNumId w:val="1"/>
  </w:num>
  <w:num w:numId="3" w16cid:durableId="1682199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82D"/>
    <w:rsid w:val="00002154"/>
    <w:rsid w:val="00047FB0"/>
    <w:rsid w:val="00095EB8"/>
    <w:rsid w:val="000B6827"/>
    <w:rsid w:val="000E3D77"/>
    <w:rsid w:val="000F5B12"/>
    <w:rsid w:val="00131DA2"/>
    <w:rsid w:val="001525D4"/>
    <w:rsid w:val="0018027C"/>
    <w:rsid w:val="00181CB4"/>
    <w:rsid w:val="001A7F2C"/>
    <w:rsid w:val="001D4918"/>
    <w:rsid w:val="001F72D1"/>
    <w:rsid w:val="0021319D"/>
    <w:rsid w:val="0022218C"/>
    <w:rsid w:val="00227918"/>
    <w:rsid w:val="00245BE2"/>
    <w:rsid w:val="0025389A"/>
    <w:rsid w:val="00295CD0"/>
    <w:rsid w:val="00295E0C"/>
    <w:rsid w:val="002A2DF0"/>
    <w:rsid w:val="002A7B81"/>
    <w:rsid w:val="002B3C82"/>
    <w:rsid w:val="002D2FBE"/>
    <w:rsid w:val="002F1F2D"/>
    <w:rsid w:val="003148CD"/>
    <w:rsid w:val="00326555"/>
    <w:rsid w:val="00345399"/>
    <w:rsid w:val="0035066F"/>
    <w:rsid w:val="00363BD7"/>
    <w:rsid w:val="003C39B4"/>
    <w:rsid w:val="003D1A98"/>
    <w:rsid w:val="00400EA0"/>
    <w:rsid w:val="00426066"/>
    <w:rsid w:val="0043627C"/>
    <w:rsid w:val="00447E28"/>
    <w:rsid w:val="0047355F"/>
    <w:rsid w:val="004876D8"/>
    <w:rsid w:val="00494B0F"/>
    <w:rsid w:val="004C39CD"/>
    <w:rsid w:val="004D4FB7"/>
    <w:rsid w:val="00510125"/>
    <w:rsid w:val="005127F6"/>
    <w:rsid w:val="005500ED"/>
    <w:rsid w:val="005831AA"/>
    <w:rsid w:val="005939C7"/>
    <w:rsid w:val="005E526F"/>
    <w:rsid w:val="005E6EE7"/>
    <w:rsid w:val="00647F24"/>
    <w:rsid w:val="006814B4"/>
    <w:rsid w:val="00683E16"/>
    <w:rsid w:val="00684BF9"/>
    <w:rsid w:val="00693B08"/>
    <w:rsid w:val="006941C5"/>
    <w:rsid w:val="006B11E8"/>
    <w:rsid w:val="006B23A3"/>
    <w:rsid w:val="006E7CA1"/>
    <w:rsid w:val="00700D41"/>
    <w:rsid w:val="007602EA"/>
    <w:rsid w:val="00793358"/>
    <w:rsid w:val="007A1A02"/>
    <w:rsid w:val="007C382D"/>
    <w:rsid w:val="007D4A83"/>
    <w:rsid w:val="007D5E4E"/>
    <w:rsid w:val="00804CED"/>
    <w:rsid w:val="00851FC1"/>
    <w:rsid w:val="00883A4C"/>
    <w:rsid w:val="0089034B"/>
    <w:rsid w:val="008A0DC7"/>
    <w:rsid w:val="008B5421"/>
    <w:rsid w:val="008C7C78"/>
    <w:rsid w:val="008D1A63"/>
    <w:rsid w:val="00903ADE"/>
    <w:rsid w:val="00950E70"/>
    <w:rsid w:val="009533E4"/>
    <w:rsid w:val="009B38D0"/>
    <w:rsid w:val="009D6CDA"/>
    <w:rsid w:val="00A10029"/>
    <w:rsid w:val="00A10939"/>
    <w:rsid w:val="00A50292"/>
    <w:rsid w:val="00A51775"/>
    <w:rsid w:val="00A5345D"/>
    <w:rsid w:val="00A753E2"/>
    <w:rsid w:val="00A77BA6"/>
    <w:rsid w:val="00AF2CEF"/>
    <w:rsid w:val="00B01098"/>
    <w:rsid w:val="00B07632"/>
    <w:rsid w:val="00B3088C"/>
    <w:rsid w:val="00B541F8"/>
    <w:rsid w:val="00B74EAA"/>
    <w:rsid w:val="00B75D4D"/>
    <w:rsid w:val="00BD4F7C"/>
    <w:rsid w:val="00BF1F4A"/>
    <w:rsid w:val="00C34D9A"/>
    <w:rsid w:val="00C406B8"/>
    <w:rsid w:val="00C76AFF"/>
    <w:rsid w:val="00D45D63"/>
    <w:rsid w:val="00D654FF"/>
    <w:rsid w:val="00D82BDE"/>
    <w:rsid w:val="00D867E2"/>
    <w:rsid w:val="00D94F6B"/>
    <w:rsid w:val="00DB0E63"/>
    <w:rsid w:val="00DF400D"/>
    <w:rsid w:val="00E85379"/>
    <w:rsid w:val="00ED7603"/>
    <w:rsid w:val="00EF3DA1"/>
    <w:rsid w:val="00F14AEC"/>
    <w:rsid w:val="00F20F99"/>
    <w:rsid w:val="00F21FFC"/>
    <w:rsid w:val="00F23447"/>
    <w:rsid w:val="00F43F7D"/>
    <w:rsid w:val="00F44159"/>
    <w:rsid w:val="00F65170"/>
    <w:rsid w:val="00F6598D"/>
    <w:rsid w:val="00F9383A"/>
    <w:rsid w:val="00FD0DFD"/>
    <w:rsid w:val="00FE45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346DF"/>
  <w15:chartTrackingRefBased/>
  <w15:docId w15:val="{F1EAF5E5-95B6-46E8-ADD9-59628625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Sinespaciado"/>
    <w:next w:val="Sinespaciado"/>
    <w:autoRedefine/>
    <w:uiPriority w:val="39"/>
    <w:unhideWhenUsed/>
    <w:qFormat/>
    <w:rsid w:val="00A77BA6"/>
    <w:rPr>
      <w:rFonts w:ascii="Times New Roman" w:eastAsia="Calibri" w:hAnsi="Times New Roman" w:cstheme="minorHAnsi"/>
      <w:bCs/>
      <w:sz w:val="20"/>
      <w:szCs w:val="20"/>
    </w:rPr>
  </w:style>
  <w:style w:type="paragraph" w:styleId="Sinespaciado">
    <w:name w:val="No Spacing"/>
    <w:uiPriority w:val="1"/>
    <w:qFormat/>
    <w:rsid w:val="00A77BA6"/>
    <w:pPr>
      <w:spacing w:after="0" w:line="240" w:lineRule="auto"/>
    </w:pPr>
  </w:style>
  <w:style w:type="table" w:styleId="Tablaconcuadrcula">
    <w:name w:val="Table Grid"/>
    <w:basedOn w:val="Tablanormal"/>
    <w:uiPriority w:val="59"/>
    <w:rsid w:val="00152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D4A83"/>
    <w:rPr>
      <w:color w:val="0563C1" w:themeColor="hyperlink"/>
      <w:u w:val="single"/>
    </w:rPr>
  </w:style>
  <w:style w:type="character" w:styleId="Mencinsinresolver">
    <w:name w:val="Unresolved Mention"/>
    <w:basedOn w:val="Fuentedeprrafopredeter"/>
    <w:uiPriority w:val="99"/>
    <w:semiHidden/>
    <w:unhideWhenUsed/>
    <w:rsid w:val="007D4A83"/>
    <w:rPr>
      <w:color w:val="605E5C"/>
      <w:shd w:val="clear" w:color="auto" w:fill="E1DFDD"/>
    </w:rPr>
  </w:style>
  <w:style w:type="paragraph" w:styleId="Prrafodelista">
    <w:name w:val="List Paragraph"/>
    <w:basedOn w:val="Normal"/>
    <w:uiPriority w:val="34"/>
    <w:qFormat/>
    <w:rsid w:val="00ED7603"/>
    <w:pPr>
      <w:ind w:left="720"/>
      <w:contextualSpacing/>
    </w:pPr>
  </w:style>
  <w:style w:type="character" w:styleId="Textodelmarcadordeposicin">
    <w:name w:val="Placeholder Text"/>
    <w:basedOn w:val="Fuentedeprrafopredeter"/>
    <w:uiPriority w:val="99"/>
    <w:semiHidden/>
    <w:rsid w:val="00793358"/>
    <w:rPr>
      <w:color w:val="808080"/>
    </w:rPr>
  </w:style>
  <w:style w:type="paragraph" w:customStyle="1" w:styleId="show">
    <w:name w:val="show"/>
    <w:basedOn w:val="Normal"/>
    <w:rsid w:val="002A2DF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2F1F2D"/>
    <w:rPr>
      <w:sz w:val="16"/>
      <w:szCs w:val="16"/>
    </w:rPr>
  </w:style>
  <w:style w:type="paragraph" w:styleId="Textocomentario">
    <w:name w:val="annotation text"/>
    <w:basedOn w:val="Normal"/>
    <w:link w:val="TextocomentarioCar"/>
    <w:uiPriority w:val="99"/>
    <w:semiHidden/>
    <w:unhideWhenUsed/>
    <w:rsid w:val="002F1F2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1F2D"/>
    <w:rPr>
      <w:sz w:val="20"/>
      <w:szCs w:val="20"/>
    </w:rPr>
  </w:style>
  <w:style w:type="paragraph" w:styleId="Asuntodelcomentario">
    <w:name w:val="annotation subject"/>
    <w:basedOn w:val="Textocomentario"/>
    <w:next w:val="Textocomentario"/>
    <w:link w:val="AsuntodelcomentarioCar"/>
    <w:uiPriority w:val="99"/>
    <w:semiHidden/>
    <w:unhideWhenUsed/>
    <w:rsid w:val="002F1F2D"/>
    <w:rPr>
      <w:b/>
      <w:bCs/>
    </w:rPr>
  </w:style>
  <w:style w:type="character" w:customStyle="1" w:styleId="AsuntodelcomentarioCar">
    <w:name w:val="Asunto del comentario Car"/>
    <w:basedOn w:val="TextocomentarioCar"/>
    <w:link w:val="Asuntodelcomentario"/>
    <w:uiPriority w:val="99"/>
    <w:semiHidden/>
    <w:rsid w:val="002F1F2D"/>
    <w:rPr>
      <w:b/>
      <w:bCs/>
      <w:sz w:val="20"/>
      <w:szCs w:val="20"/>
    </w:rPr>
  </w:style>
  <w:style w:type="paragraph" w:styleId="HTMLconformatoprevio">
    <w:name w:val="HTML Preformatted"/>
    <w:basedOn w:val="Normal"/>
    <w:link w:val="HTMLconformatoprevioCar"/>
    <w:uiPriority w:val="99"/>
    <w:unhideWhenUsed/>
    <w:rsid w:val="00F20F99"/>
    <w:pPr>
      <w:spacing w:after="0"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F20F99"/>
    <w:rPr>
      <w:rFonts w:ascii="Consolas" w:eastAsia="Times New Roman" w:hAnsi="Consolas" w:cs="Consolas"/>
      <w:sz w:val="20"/>
      <w:szCs w:val="20"/>
      <w:lang w:val="es-ES" w:eastAsia="es-ES"/>
    </w:rPr>
  </w:style>
  <w:style w:type="paragraph" w:styleId="Encabezado">
    <w:name w:val="header"/>
    <w:basedOn w:val="Normal"/>
    <w:link w:val="EncabezadoCar"/>
    <w:uiPriority w:val="99"/>
    <w:unhideWhenUsed/>
    <w:rsid w:val="00F20F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0F99"/>
  </w:style>
  <w:style w:type="paragraph" w:styleId="Piedepgina">
    <w:name w:val="footer"/>
    <w:basedOn w:val="Normal"/>
    <w:link w:val="PiedepginaCar"/>
    <w:uiPriority w:val="99"/>
    <w:unhideWhenUsed/>
    <w:rsid w:val="00F20F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0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548191">
      <w:bodyDiv w:val="1"/>
      <w:marLeft w:val="0"/>
      <w:marRight w:val="0"/>
      <w:marTop w:val="0"/>
      <w:marBottom w:val="0"/>
      <w:divBdr>
        <w:top w:val="none" w:sz="0" w:space="0" w:color="auto"/>
        <w:left w:val="none" w:sz="0" w:space="0" w:color="auto"/>
        <w:bottom w:val="none" w:sz="0" w:space="0" w:color="auto"/>
        <w:right w:val="none" w:sz="0" w:space="0" w:color="auto"/>
      </w:divBdr>
    </w:div>
    <w:div w:id="982154257">
      <w:bodyDiv w:val="1"/>
      <w:marLeft w:val="0"/>
      <w:marRight w:val="0"/>
      <w:marTop w:val="0"/>
      <w:marBottom w:val="0"/>
      <w:divBdr>
        <w:top w:val="none" w:sz="0" w:space="0" w:color="auto"/>
        <w:left w:val="none" w:sz="0" w:space="0" w:color="auto"/>
        <w:bottom w:val="none" w:sz="0" w:space="0" w:color="auto"/>
        <w:right w:val="none" w:sz="0" w:space="0" w:color="auto"/>
      </w:divBdr>
    </w:div>
    <w:div w:id="1136144954">
      <w:bodyDiv w:val="1"/>
      <w:marLeft w:val="0"/>
      <w:marRight w:val="0"/>
      <w:marTop w:val="0"/>
      <w:marBottom w:val="0"/>
      <w:divBdr>
        <w:top w:val="none" w:sz="0" w:space="0" w:color="auto"/>
        <w:left w:val="none" w:sz="0" w:space="0" w:color="auto"/>
        <w:bottom w:val="none" w:sz="0" w:space="0" w:color="auto"/>
        <w:right w:val="none" w:sz="0" w:space="0" w:color="auto"/>
      </w:divBdr>
    </w:div>
    <w:div w:id="1236935748">
      <w:bodyDiv w:val="1"/>
      <w:marLeft w:val="0"/>
      <w:marRight w:val="0"/>
      <w:marTop w:val="0"/>
      <w:marBottom w:val="0"/>
      <w:divBdr>
        <w:top w:val="none" w:sz="0" w:space="0" w:color="auto"/>
        <w:left w:val="none" w:sz="0" w:space="0" w:color="auto"/>
        <w:bottom w:val="none" w:sz="0" w:space="0" w:color="auto"/>
        <w:right w:val="none" w:sz="0" w:space="0" w:color="auto"/>
      </w:divBdr>
    </w:div>
    <w:div w:id="1255433486">
      <w:bodyDiv w:val="1"/>
      <w:marLeft w:val="0"/>
      <w:marRight w:val="0"/>
      <w:marTop w:val="0"/>
      <w:marBottom w:val="0"/>
      <w:divBdr>
        <w:top w:val="none" w:sz="0" w:space="0" w:color="auto"/>
        <w:left w:val="none" w:sz="0" w:space="0" w:color="auto"/>
        <w:bottom w:val="none" w:sz="0" w:space="0" w:color="auto"/>
        <w:right w:val="none" w:sz="0" w:space="0" w:color="auto"/>
      </w:divBdr>
    </w:div>
    <w:div w:id="1809205119">
      <w:bodyDiv w:val="1"/>
      <w:marLeft w:val="0"/>
      <w:marRight w:val="0"/>
      <w:marTop w:val="0"/>
      <w:marBottom w:val="0"/>
      <w:divBdr>
        <w:top w:val="none" w:sz="0" w:space="0" w:color="auto"/>
        <w:left w:val="none" w:sz="0" w:space="0" w:color="auto"/>
        <w:bottom w:val="none" w:sz="0" w:space="0" w:color="auto"/>
        <w:right w:val="none" w:sz="0" w:space="0" w:color="auto"/>
      </w:divBdr>
      <w:divsChild>
        <w:div w:id="879629634">
          <w:marLeft w:val="0"/>
          <w:marRight w:val="0"/>
          <w:marTop w:val="15"/>
          <w:marBottom w:val="0"/>
          <w:divBdr>
            <w:top w:val="single" w:sz="48" w:space="0" w:color="auto"/>
            <w:left w:val="single" w:sz="48" w:space="0" w:color="auto"/>
            <w:bottom w:val="single" w:sz="48" w:space="0" w:color="auto"/>
            <w:right w:val="single" w:sz="48" w:space="0" w:color="auto"/>
          </w:divBdr>
          <w:divsChild>
            <w:div w:id="733704952">
              <w:marLeft w:val="0"/>
              <w:marRight w:val="0"/>
              <w:marTop w:val="0"/>
              <w:marBottom w:val="0"/>
              <w:divBdr>
                <w:top w:val="none" w:sz="0" w:space="0" w:color="auto"/>
                <w:left w:val="none" w:sz="0" w:space="0" w:color="auto"/>
                <w:bottom w:val="none" w:sz="0" w:space="0" w:color="auto"/>
                <w:right w:val="none" w:sz="0" w:space="0" w:color="auto"/>
              </w:divBdr>
              <w:divsChild>
                <w:div w:id="6965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7941/jbsm.1715" TargetMode="External"/><Relationship Id="rId18" Type="http://schemas.openxmlformats.org/officeDocument/2006/relationships/hyperlink" Target="https://doi.org/10.1002/joom.1063" TargetMode="External"/><Relationship Id="rId26" Type="http://schemas.openxmlformats.org/officeDocument/2006/relationships/hyperlink" Target="https://doi.org/10.4314/udslj.v18i2.2" TargetMode="External"/><Relationship Id="rId39" Type="http://schemas.openxmlformats.org/officeDocument/2006/relationships/theme" Target="theme/theme1.xml"/><Relationship Id="rId21" Type="http://schemas.openxmlformats.org/officeDocument/2006/relationships/hyperlink" Target="https://doi.org/10.2478/bsaft-2023-0021" TargetMode="External"/><Relationship Id="rId34" Type="http://schemas.openxmlformats.org/officeDocument/2006/relationships/hyperlink" Target="https://doi.org/10.47191/jefms/v6-i10-42" TargetMode="External"/><Relationship Id="rId7" Type="http://schemas.openxmlformats.org/officeDocument/2006/relationships/endnotes" Target="endnotes.xml"/><Relationship Id="rId12" Type="http://schemas.openxmlformats.org/officeDocument/2006/relationships/hyperlink" Target="https://doi.org/10.3390/su15043636" TargetMode="External"/><Relationship Id="rId17" Type="http://schemas.openxmlformats.org/officeDocument/2006/relationships/hyperlink" Target="https://doi.org/10.2478/bsrj-2021-0005" TargetMode="External"/><Relationship Id="rId25" Type="http://schemas.openxmlformats.org/officeDocument/2006/relationships/hyperlink" Target="https://doi.org/10.1016/j.jbusres.2017.10.052" TargetMode="External"/><Relationship Id="rId33" Type="http://schemas.openxmlformats.org/officeDocument/2006/relationships/hyperlink" Target="https://doi.org/10.1016/j.ijpe.2023.108969"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47941/jbsm.1715" TargetMode="External"/><Relationship Id="rId20" Type="http://schemas.openxmlformats.org/officeDocument/2006/relationships/hyperlink" Target="https://doi.org/10.1590/S0034-759020230605x" TargetMode="External"/><Relationship Id="rId29" Type="http://schemas.openxmlformats.org/officeDocument/2006/relationships/hyperlink" Target="https://doi.org/10.1016/j.ijproman.2023.1024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19275/RSEP144" TargetMode="External"/><Relationship Id="rId32" Type="http://schemas.openxmlformats.org/officeDocument/2006/relationships/hyperlink" Target="https://doi.org/10.1016/j.techfore.2018.08.018"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6/j.jbusres.2023.113674" TargetMode="External"/><Relationship Id="rId23" Type="http://schemas.openxmlformats.org/officeDocument/2006/relationships/hyperlink" Target="https://doi.org/10.5296/bms.v11i1.16867" TargetMode="External"/><Relationship Id="rId28" Type="http://schemas.openxmlformats.org/officeDocument/2006/relationships/hyperlink" Target="https://doi.org/10.12804/revistas.urosario.edu.co/empresa/a.13169" TargetMode="External"/><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doi.org/10.1007/s10961-021-09909-7" TargetMode="External"/><Relationship Id="rId31" Type="http://schemas.openxmlformats.org/officeDocument/2006/relationships/hyperlink" Target="https://doi.org/10.1016/j.apmrv.2023.06.00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177/0266242611417472" TargetMode="External"/><Relationship Id="rId22" Type="http://schemas.openxmlformats.org/officeDocument/2006/relationships/hyperlink" Target="https://doi.org/10.1016/j.ijhm.2018.09.010" TargetMode="External"/><Relationship Id="rId27" Type="http://schemas.openxmlformats.org/officeDocument/2006/relationships/hyperlink" Target="https://doi.org/10.5944/ap.10.2.11820" TargetMode="External"/><Relationship Id="rId30" Type="http://schemas.openxmlformats.org/officeDocument/2006/relationships/hyperlink" Target="https://doi.org/10.1108/JABS-08-2021-0350" TargetMode="External"/><Relationship Id="rId35" Type="http://schemas.openxmlformats.org/officeDocument/2006/relationships/hyperlink" Target="https://doi.org/10.1108/EJIM-09-2019-0244" TargetMode="Externa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Vla19</b:Tag>
    <b:SourceType>JournalArticle</b:SourceType>
    <b:Guid>{4F0353B4-4A21-4B3C-90B0-984DC0143942}</b:Guid>
    <b:Author>
      <b:Author>
        <b:NameList>
          <b:Person>
            <b:Last>Vlačić</b:Last>
            <b:First>Ernest</b:First>
          </b:Person>
          <b:Person>
            <b:Last>Dabic</b:Last>
            <b:First>Marina</b:First>
          </b:Person>
          <b:Person>
            <b:Last>Daim</b:Last>
            <b:First>Tugrul</b:First>
          </b:Person>
          <b:Person>
            <b:Last>Vlajčić</b:Last>
            <b:First>Davor</b:First>
          </b:Person>
        </b:NameList>
      </b:Author>
    </b:Author>
    <b:Title>Exploring the Impact of the Level of Absorptive Capacity in Technology Development Firms</b:Title>
    <b:JournalName>Technological Forecasting &amp; Social Change</b:JournalName>
    <b:Year>2019</b:Year>
    <b:Pages>166-177</b:Pages>
    <b:Volume>138</b:Volume>
    <b:DOI>https://doi.org/10.1016/j.techfore.2018.08.018</b:DOI>
    <b:RefOrder>1</b:RefOrder>
  </b:Source>
</b:Sources>
</file>

<file path=customXml/itemProps1.xml><?xml version="1.0" encoding="utf-8"?>
<ds:datastoreItem xmlns:ds="http://schemas.openxmlformats.org/officeDocument/2006/customXml" ds:itemID="{7740618C-44AC-47D4-8C46-175B6A6E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34</Pages>
  <Words>10612</Words>
  <Characters>58369</Characters>
  <Application>Microsoft Office Word</Application>
  <DocSecurity>0</DocSecurity>
  <Lines>486</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ARTURO QUIJANO GALLARDO</dc:creator>
  <cp:keywords/>
  <dc:description/>
  <cp:lastModifiedBy>Gustavo Toledo</cp:lastModifiedBy>
  <cp:revision>8</cp:revision>
  <dcterms:created xsi:type="dcterms:W3CDTF">2025-03-03T00:21:00Z</dcterms:created>
  <dcterms:modified xsi:type="dcterms:W3CDTF">2025-03-06T16:13:00Z</dcterms:modified>
</cp:coreProperties>
</file>