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4E7D" w14:textId="6A8BA57A" w:rsidR="00B229B1" w:rsidRPr="0035700B" w:rsidRDefault="0035700B" w:rsidP="00B229B1">
      <w:pPr>
        <w:spacing w:before="240" w:after="240" w:line="360" w:lineRule="auto"/>
        <w:jc w:val="right"/>
        <w:rPr>
          <w:rFonts w:ascii="Times New Roman" w:hAnsi="Times New Roman" w:cs="Times New Roman"/>
          <w:b/>
          <w:bCs/>
          <w:i/>
          <w:iCs/>
          <w:color w:val="000000" w:themeColor="text1"/>
        </w:rPr>
      </w:pPr>
      <w:r w:rsidRPr="0035700B">
        <w:rPr>
          <w:rFonts w:ascii="Times New Roman" w:hAnsi="Times New Roman" w:cs="Times New Roman"/>
          <w:b/>
          <w:bCs/>
          <w:i/>
          <w:iCs/>
          <w:color w:val="000000" w:themeColor="text1"/>
        </w:rPr>
        <w:t>https://doi.org/10.23913/ride.v15i30.2305</w:t>
      </w:r>
    </w:p>
    <w:p w14:paraId="72D79EB5" w14:textId="277E5A23" w:rsidR="00B229B1" w:rsidRDefault="00B229B1" w:rsidP="00B229B1">
      <w:pPr>
        <w:spacing w:before="240" w:after="240" w:line="360" w:lineRule="auto"/>
        <w:jc w:val="right"/>
        <w:rPr>
          <w:rFonts w:ascii="Times New Roman" w:hAnsi="Times New Roman"/>
          <w:b/>
          <w:bCs/>
          <w:sz w:val="32"/>
          <w:szCs w:val="32"/>
        </w:rPr>
      </w:pPr>
      <w:r w:rsidRPr="00881828">
        <w:rPr>
          <w:rFonts w:ascii="Times New Roman" w:hAnsi="Times New Roman" w:cs="Times New Roman"/>
          <w:b/>
          <w:bCs/>
          <w:i/>
          <w:iCs/>
          <w:color w:val="000000" w:themeColor="text1"/>
        </w:rPr>
        <w:t>Artículos científicos</w:t>
      </w:r>
    </w:p>
    <w:p w14:paraId="7BE4D18C" w14:textId="64BE47DC" w:rsidR="00F30677" w:rsidRPr="00B229B1" w:rsidRDefault="00000000" w:rsidP="00B229B1">
      <w:pPr>
        <w:spacing w:line="276" w:lineRule="auto"/>
        <w:jc w:val="right"/>
        <w:rPr>
          <w:rFonts w:ascii="Calibri" w:eastAsiaTheme="minorHAnsi" w:hAnsi="Calibri" w:cs="Calibri"/>
          <w:b/>
          <w:kern w:val="0"/>
          <w:sz w:val="32"/>
          <w:szCs w:val="32"/>
          <w:lang w:val="es-MX" w:eastAsia="en-US" w:bidi="ar-SA"/>
        </w:rPr>
      </w:pPr>
      <w:r w:rsidRPr="00B229B1">
        <w:rPr>
          <w:rFonts w:ascii="Calibri" w:eastAsiaTheme="minorHAnsi" w:hAnsi="Calibri" w:cs="Calibri"/>
          <w:b/>
          <w:kern w:val="0"/>
          <w:sz w:val="32"/>
          <w:szCs w:val="32"/>
          <w:lang w:val="es-MX" w:eastAsia="en-US" w:bidi="ar-SA"/>
        </w:rPr>
        <w:t>Género y TDAH: Estudiantes mujeres de la Licenciatura en</w:t>
      </w:r>
    </w:p>
    <w:p w14:paraId="0A258F5B" w14:textId="77777777" w:rsidR="00B229B1" w:rsidRPr="00B229B1" w:rsidRDefault="00000000" w:rsidP="00B229B1">
      <w:pPr>
        <w:spacing w:line="276" w:lineRule="auto"/>
        <w:jc w:val="right"/>
        <w:rPr>
          <w:rFonts w:ascii="Calibri" w:eastAsiaTheme="minorHAnsi" w:hAnsi="Calibri" w:cs="Calibri"/>
          <w:b/>
          <w:kern w:val="0"/>
          <w:sz w:val="32"/>
          <w:szCs w:val="32"/>
          <w:lang w:val="es-MX" w:eastAsia="en-US" w:bidi="ar-SA"/>
        </w:rPr>
      </w:pPr>
      <w:r w:rsidRPr="00B229B1">
        <w:rPr>
          <w:rFonts w:ascii="Calibri" w:eastAsiaTheme="minorHAnsi" w:hAnsi="Calibri" w:cs="Calibri"/>
          <w:b/>
          <w:kern w:val="0"/>
          <w:sz w:val="32"/>
          <w:szCs w:val="32"/>
          <w:lang w:val="es-MX" w:eastAsia="en-US" w:bidi="ar-SA"/>
        </w:rPr>
        <w:t>Inclusión Educativa</w:t>
      </w:r>
    </w:p>
    <w:p w14:paraId="7A36E818" w14:textId="62FAB7E5" w:rsidR="00B229B1" w:rsidRPr="00B229B1" w:rsidRDefault="00B229B1" w:rsidP="00B229B1">
      <w:pPr>
        <w:spacing w:line="276" w:lineRule="auto"/>
        <w:jc w:val="right"/>
        <w:rPr>
          <w:rFonts w:ascii="Calibri" w:eastAsiaTheme="minorHAnsi" w:hAnsi="Calibri" w:cs="Calibri"/>
          <w:b/>
          <w:i/>
          <w:iCs/>
          <w:kern w:val="0"/>
          <w:sz w:val="28"/>
          <w:szCs w:val="28"/>
          <w:lang w:val="es-MX" w:eastAsia="en-US" w:bidi="ar-SA"/>
        </w:rPr>
      </w:pPr>
      <w:r>
        <w:rPr>
          <w:rFonts w:ascii="Calibri" w:eastAsiaTheme="minorHAnsi" w:hAnsi="Calibri" w:cs="Calibri"/>
          <w:b/>
          <w:i/>
          <w:iCs/>
          <w:kern w:val="0"/>
          <w:sz w:val="28"/>
          <w:szCs w:val="28"/>
          <w:lang w:val="es-MX" w:eastAsia="en-US" w:bidi="ar-SA"/>
        </w:rPr>
        <w:br/>
      </w:r>
      <w:proofErr w:type="spellStart"/>
      <w:r w:rsidRPr="00B229B1">
        <w:rPr>
          <w:rFonts w:ascii="Calibri" w:eastAsiaTheme="minorHAnsi" w:hAnsi="Calibri" w:cs="Calibri"/>
          <w:b/>
          <w:i/>
          <w:iCs/>
          <w:kern w:val="0"/>
          <w:sz w:val="28"/>
          <w:szCs w:val="28"/>
          <w:lang w:val="es-MX" w:eastAsia="en-US" w:bidi="ar-SA"/>
        </w:rPr>
        <w:t>Gender</w:t>
      </w:r>
      <w:proofErr w:type="spellEnd"/>
      <w:r w:rsidRPr="00B229B1">
        <w:rPr>
          <w:rFonts w:ascii="Calibri" w:eastAsiaTheme="minorHAnsi" w:hAnsi="Calibri" w:cs="Calibri"/>
          <w:b/>
          <w:i/>
          <w:iCs/>
          <w:kern w:val="0"/>
          <w:sz w:val="28"/>
          <w:szCs w:val="28"/>
          <w:lang w:val="es-MX" w:eastAsia="en-US" w:bidi="ar-SA"/>
        </w:rPr>
        <w:t xml:space="preserve"> and ADHD: </w:t>
      </w:r>
      <w:proofErr w:type="spellStart"/>
      <w:r w:rsidRPr="00B229B1">
        <w:rPr>
          <w:rFonts w:ascii="Calibri" w:eastAsiaTheme="minorHAnsi" w:hAnsi="Calibri" w:cs="Calibri"/>
          <w:b/>
          <w:i/>
          <w:iCs/>
          <w:kern w:val="0"/>
          <w:sz w:val="28"/>
          <w:szCs w:val="28"/>
          <w:lang w:val="es-MX" w:eastAsia="en-US" w:bidi="ar-SA"/>
        </w:rPr>
        <w:t>Female</w:t>
      </w:r>
      <w:proofErr w:type="spellEnd"/>
      <w:r w:rsidRPr="00B229B1">
        <w:rPr>
          <w:rFonts w:ascii="Calibri" w:eastAsiaTheme="minorHAnsi" w:hAnsi="Calibri" w:cs="Calibri"/>
          <w:b/>
          <w:i/>
          <w:iCs/>
          <w:kern w:val="0"/>
          <w:sz w:val="28"/>
          <w:szCs w:val="28"/>
          <w:lang w:val="es-MX" w:eastAsia="en-US" w:bidi="ar-SA"/>
        </w:rPr>
        <w:t xml:space="preserve"> </w:t>
      </w:r>
      <w:proofErr w:type="spellStart"/>
      <w:r w:rsidRPr="00B229B1">
        <w:rPr>
          <w:rFonts w:ascii="Calibri" w:eastAsiaTheme="minorHAnsi" w:hAnsi="Calibri" w:cs="Calibri"/>
          <w:b/>
          <w:i/>
          <w:iCs/>
          <w:kern w:val="0"/>
          <w:sz w:val="28"/>
          <w:szCs w:val="28"/>
          <w:lang w:val="es-MX" w:eastAsia="en-US" w:bidi="ar-SA"/>
        </w:rPr>
        <w:t>Students</w:t>
      </w:r>
      <w:proofErr w:type="spellEnd"/>
      <w:r w:rsidRPr="00B229B1">
        <w:rPr>
          <w:rFonts w:ascii="Calibri" w:eastAsiaTheme="minorHAnsi" w:hAnsi="Calibri" w:cs="Calibri"/>
          <w:b/>
          <w:i/>
          <w:iCs/>
          <w:kern w:val="0"/>
          <w:sz w:val="28"/>
          <w:szCs w:val="28"/>
          <w:lang w:val="es-MX" w:eastAsia="en-US" w:bidi="ar-SA"/>
        </w:rPr>
        <w:t xml:space="preserve"> in </w:t>
      </w:r>
      <w:proofErr w:type="spellStart"/>
      <w:r w:rsidRPr="00B229B1">
        <w:rPr>
          <w:rFonts w:ascii="Calibri" w:eastAsiaTheme="minorHAnsi" w:hAnsi="Calibri" w:cs="Calibri"/>
          <w:b/>
          <w:i/>
          <w:iCs/>
          <w:kern w:val="0"/>
          <w:sz w:val="28"/>
          <w:szCs w:val="28"/>
          <w:lang w:val="es-MX" w:eastAsia="en-US" w:bidi="ar-SA"/>
        </w:rPr>
        <w:t>the</w:t>
      </w:r>
      <w:proofErr w:type="spellEnd"/>
      <w:r w:rsidRPr="00B229B1">
        <w:rPr>
          <w:rFonts w:ascii="Calibri" w:eastAsiaTheme="minorHAnsi" w:hAnsi="Calibri" w:cs="Calibri"/>
          <w:b/>
          <w:i/>
          <w:iCs/>
          <w:kern w:val="0"/>
          <w:sz w:val="28"/>
          <w:szCs w:val="28"/>
          <w:lang w:val="es-MX" w:eastAsia="en-US" w:bidi="ar-SA"/>
        </w:rPr>
        <w:t xml:space="preserve"> </w:t>
      </w:r>
      <w:proofErr w:type="spellStart"/>
      <w:r w:rsidRPr="00B229B1">
        <w:rPr>
          <w:rFonts w:ascii="Calibri" w:eastAsiaTheme="minorHAnsi" w:hAnsi="Calibri" w:cs="Calibri"/>
          <w:b/>
          <w:i/>
          <w:iCs/>
          <w:kern w:val="0"/>
          <w:sz w:val="28"/>
          <w:szCs w:val="28"/>
          <w:lang w:val="es-MX" w:eastAsia="en-US" w:bidi="ar-SA"/>
        </w:rPr>
        <w:t>Bachelor's</w:t>
      </w:r>
      <w:proofErr w:type="spellEnd"/>
      <w:r w:rsidRPr="00B229B1">
        <w:rPr>
          <w:rFonts w:ascii="Calibri" w:eastAsiaTheme="minorHAnsi" w:hAnsi="Calibri" w:cs="Calibri"/>
          <w:b/>
          <w:i/>
          <w:iCs/>
          <w:kern w:val="0"/>
          <w:sz w:val="28"/>
          <w:szCs w:val="28"/>
          <w:lang w:val="es-MX" w:eastAsia="en-US" w:bidi="ar-SA"/>
        </w:rPr>
        <w:t xml:space="preserve"> </w:t>
      </w:r>
      <w:proofErr w:type="spellStart"/>
      <w:r w:rsidRPr="00B229B1">
        <w:rPr>
          <w:rFonts w:ascii="Calibri" w:eastAsiaTheme="minorHAnsi" w:hAnsi="Calibri" w:cs="Calibri"/>
          <w:b/>
          <w:i/>
          <w:iCs/>
          <w:kern w:val="0"/>
          <w:sz w:val="28"/>
          <w:szCs w:val="28"/>
          <w:lang w:val="es-MX" w:eastAsia="en-US" w:bidi="ar-SA"/>
        </w:rPr>
        <w:t>Degree</w:t>
      </w:r>
      <w:proofErr w:type="spellEnd"/>
      <w:r w:rsidRPr="00B229B1">
        <w:rPr>
          <w:rFonts w:ascii="Calibri" w:eastAsiaTheme="minorHAnsi" w:hAnsi="Calibri" w:cs="Calibri"/>
          <w:b/>
          <w:i/>
          <w:iCs/>
          <w:kern w:val="0"/>
          <w:sz w:val="28"/>
          <w:szCs w:val="28"/>
          <w:lang w:val="es-MX" w:eastAsia="en-US" w:bidi="ar-SA"/>
        </w:rPr>
        <w:t xml:space="preserve"> in </w:t>
      </w:r>
      <w:proofErr w:type="spellStart"/>
      <w:r w:rsidRPr="00B229B1">
        <w:rPr>
          <w:rFonts w:ascii="Calibri" w:eastAsiaTheme="minorHAnsi" w:hAnsi="Calibri" w:cs="Calibri"/>
          <w:b/>
          <w:i/>
          <w:iCs/>
          <w:kern w:val="0"/>
          <w:sz w:val="28"/>
          <w:szCs w:val="28"/>
          <w:lang w:val="es-MX" w:eastAsia="en-US" w:bidi="ar-SA"/>
        </w:rPr>
        <w:t>Educational</w:t>
      </w:r>
      <w:proofErr w:type="spellEnd"/>
      <w:r w:rsidRPr="00B229B1">
        <w:rPr>
          <w:rFonts w:ascii="Calibri" w:eastAsiaTheme="minorHAnsi" w:hAnsi="Calibri" w:cs="Calibri"/>
          <w:b/>
          <w:i/>
          <w:iCs/>
          <w:kern w:val="0"/>
          <w:sz w:val="28"/>
          <w:szCs w:val="28"/>
          <w:lang w:val="es-MX" w:eastAsia="en-US" w:bidi="ar-SA"/>
        </w:rPr>
        <w:t xml:space="preserve"> </w:t>
      </w:r>
      <w:proofErr w:type="spellStart"/>
      <w:r w:rsidRPr="00B229B1">
        <w:rPr>
          <w:rFonts w:ascii="Calibri" w:eastAsiaTheme="minorHAnsi" w:hAnsi="Calibri" w:cs="Calibri"/>
          <w:b/>
          <w:i/>
          <w:iCs/>
          <w:kern w:val="0"/>
          <w:sz w:val="28"/>
          <w:szCs w:val="28"/>
          <w:lang w:val="es-MX" w:eastAsia="en-US" w:bidi="ar-SA"/>
        </w:rPr>
        <w:t>Inclusion</w:t>
      </w:r>
      <w:proofErr w:type="spellEnd"/>
    </w:p>
    <w:p w14:paraId="1447D449" w14:textId="7164B51C" w:rsidR="00F30677" w:rsidRPr="00B229B1" w:rsidRDefault="00B229B1" w:rsidP="00B229B1">
      <w:pPr>
        <w:spacing w:line="276" w:lineRule="auto"/>
        <w:jc w:val="right"/>
        <w:rPr>
          <w:rFonts w:ascii="Calibri" w:eastAsiaTheme="minorHAnsi" w:hAnsi="Calibri" w:cs="Calibri"/>
          <w:b/>
          <w:i/>
          <w:iCs/>
          <w:kern w:val="0"/>
          <w:sz w:val="28"/>
          <w:szCs w:val="28"/>
          <w:lang w:val="es-MX" w:eastAsia="en-US" w:bidi="ar-SA"/>
        </w:rPr>
      </w:pPr>
      <w:r>
        <w:rPr>
          <w:rFonts w:ascii="Calibri" w:eastAsiaTheme="minorHAnsi" w:hAnsi="Calibri" w:cs="Calibri"/>
          <w:b/>
          <w:i/>
          <w:iCs/>
          <w:kern w:val="0"/>
          <w:sz w:val="28"/>
          <w:szCs w:val="28"/>
          <w:lang w:val="es-MX" w:eastAsia="en-US" w:bidi="ar-SA"/>
        </w:rPr>
        <w:br/>
      </w:r>
      <w:proofErr w:type="spellStart"/>
      <w:r w:rsidRPr="00B229B1">
        <w:rPr>
          <w:rFonts w:ascii="Calibri" w:eastAsiaTheme="minorHAnsi" w:hAnsi="Calibri" w:cs="Calibri"/>
          <w:b/>
          <w:i/>
          <w:iCs/>
          <w:kern w:val="0"/>
          <w:sz w:val="28"/>
          <w:szCs w:val="28"/>
          <w:lang w:val="es-MX" w:eastAsia="en-US" w:bidi="ar-SA"/>
        </w:rPr>
        <w:t>Gênero</w:t>
      </w:r>
      <w:proofErr w:type="spellEnd"/>
      <w:r w:rsidRPr="00B229B1">
        <w:rPr>
          <w:rFonts w:ascii="Calibri" w:eastAsiaTheme="minorHAnsi" w:hAnsi="Calibri" w:cs="Calibri"/>
          <w:b/>
          <w:i/>
          <w:iCs/>
          <w:kern w:val="0"/>
          <w:sz w:val="28"/>
          <w:szCs w:val="28"/>
          <w:lang w:val="es-MX" w:eastAsia="en-US" w:bidi="ar-SA"/>
        </w:rPr>
        <w:t xml:space="preserve"> e TDAH: Alunas do curso de </w:t>
      </w:r>
      <w:proofErr w:type="spellStart"/>
      <w:r w:rsidRPr="00B229B1">
        <w:rPr>
          <w:rFonts w:ascii="Calibri" w:eastAsiaTheme="minorHAnsi" w:hAnsi="Calibri" w:cs="Calibri"/>
          <w:b/>
          <w:i/>
          <w:iCs/>
          <w:kern w:val="0"/>
          <w:sz w:val="28"/>
          <w:szCs w:val="28"/>
          <w:lang w:val="es-MX" w:eastAsia="en-US" w:bidi="ar-SA"/>
        </w:rPr>
        <w:t>Bacharelado</w:t>
      </w:r>
      <w:proofErr w:type="spellEnd"/>
      <w:r w:rsidRPr="00B229B1">
        <w:rPr>
          <w:rFonts w:ascii="Calibri" w:eastAsiaTheme="minorHAnsi" w:hAnsi="Calibri" w:cs="Calibri"/>
          <w:b/>
          <w:i/>
          <w:iCs/>
          <w:kern w:val="0"/>
          <w:sz w:val="28"/>
          <w:szCs w:val="28"/>
          <w:lang w:val="es-MX" w:eastAsia="en-US" w:bidi="ar-SA"/>
        </w:rPr>
        <w:t xml:space="preserve"> em</w:t>
      </w:r>
      <w:r>
        <w:rPr>
          <w:rFonts w:ascii="Calibri" w:eastAsiaTheme="minorHAnsi" w:hAnsi="Calibri" w:cs="Calibri"/>
          <w:b/>
          <w:i/>
          <w:iCs/>
          <w:kern w:val="0"/>
          <w:sz w:val="28"/>
          <w:szCs w:val="28"/>
          <w:lang w:val="es-MX" w:eastAsia="en-US" w:bidi="ar-SA"/>
        </w:rPr>
        <w:t xml:space="preserve"> </w:t>
      </w:r>
      <w:proofErr w:type="spellStart"/>
      <w:r w:rsidRPr="00B229B1">
        <w:rPr>
          <w:rFonts w:ascii="Calibri" w:eastAsiaTheme="minorHAnsi" w:hAnsi="Calibri" w:cs="Calibri"/>
          <w:b/>
          <w:i/>
          <w:iCs/>
          <w:kern w:val="0"/>
          <w:sz w:val="28"/>
          <w:szCs w:val="28"/>
          <w:lang w:val="es-MX" w:eastAsia="en-US" w:bidi="ar-SA"/>
        </w:rPr>
        <w:t>Inclusão</w:t>
      </w:r>
      <w:proofErr w:type="spellEnd"/>
      <w:r w:rsidRPr="00B229B1">
        <w:rPr>
          <w:rFonts w:ascii="Calibri" w:eastAsiaTheme="minorHAnsi" w:hAnsi="Calibri" w:cs="Calibri"/>
          <w:b/>
          <w:i/>
          <w:iCs/>
          <w:kern w:val="0"/>
          <w:sz w:val="28"/>
          <w:szCs w:val="28"/>
          <w:lang w:val="es-MX" w:eastAsia="en-US" w:bidi="ar-SA"/>
        </w:rPr>
        <w:t xml:space="preserve"> Educacional</w:t>
      </w:r>
      <w:r w:rsidRPr="00B229B1">
        <w:rPr>
          <w:rFonts w:ascii="Calibri" w:eastAsiaTheme="minorHAnsi" w:hAnsi="Calibri" w:cs="Calibri"/>
          <w:b/>
          <w:i/>
          <w:iCs/>
          <w:kern w:val="0"/>
          <w:sz w:val="28"/>
          <w:szCs w:val="28"/>
          <w:lang w:val="es-MX" w:eastAsia="en-US" w:bidi="ar-SA"/>
        </w:rPr>
        <w:br/>
      </w:r>
    </w:p>
    <w:p w14:paraId="22A7A1B4" w14:textId="77777777" w:rsidR="00F30677" w:rsidRPr="00B229B1" w:rsidRDefault="00000000" w:rsidP="00B229B1">
      <w:pPr>
        <w:spacing w:line="276" w:lineRule="auto"/>
        <w:jc w:val="right"/>
        <w:rPr>
          <w:rFonts w:asciiTheme="minorHAnsi" w:hAnsiTheme="minorHAnsi" w:cstheme="minorHAnsi"/>
          <w:b/>
          <w:bCs/>
        </w:rPr>
      </w:pPr>
      <w:r w:rsidRPr="00B229B1">
        <w:rPr>
          <w:rFonts w:asciiTheme="minorHAnsi" w:hAnsiTheme="minorHAnsi" w:cstheme="minorHAnsi"/>
          <w:b/>
          <w:bCs/>
        </w:rPr>
        <w:t xml:space="preserve">Juliette Murillo </w:t>
      </w:r>
      <w:proofErr w:type="spellStart"/>
      <w:r w:rsidRPr="00B229B1">
        <w:rPr>
          <w:rFonts w:asciiTheme="minorHAnsi" w:hAnsiTheme="minorHAnsi" w:cstheme="minorHAnsi"/>
          <w:b/>
          <w:bCs/>
        </w:rPr>
        <w:t>Vinay</w:t>
      </w:r>
      <w:proofErr w:type="spellEnd"/>
    </w:p>
    <w:p w14:paraId="13F33E2D" w14:textId="4C7159A7" w:rsidR="00F30677" w:rsidRDefault="00000000" w:rsidP="00B229B1">
      <w:pPr>
        <w:spacing w:line="276" w:lineRule="auto"/>
        <w:jc w:val="right"/>
      </w:pPr>
      <w:r>
        <w:rPr>
          <w:rFonts w:ascii="Times New Roman" w:hAnsi="Times New Roman"/>
        </w:rPr>
        <w:t>Benemérito Instituto Normal del Estado “Gral. Juan Crisóstomo Bonilla”</w:t>
      </w:r>
      <w:r w:rsidR="0035700B">
        <w:rPr>
          <w:rFonts w:ascii="Times New Roman" w:hAnsi="Times New Roman"/>
        </w:rPr>
        <w:t>, México</w:t>
      </w:r>
    </w:p>
    <w:p w14:paraId="75A4F845" w14:textId="3DB04515" w:rsidR="00F30677" w:rsidRPr="00B229B1" w:rsidRDefault="00000000" w:rsidP="00B229B1">
      <w:pPr>
        <w:spacing w:line="276" w:lineRule="auto"/>
        <w:jc w:val="right"/>
        <w:rPr>
          <w:rFonts w:asciiTheme="minorHAnsi" w:hAnsiTheme="minorHAnsi" w:cstheme="minorHAnsi"/>
          <w:color w:val="FF0000"/>
        </w:rPr>
      </w:pPr>
      <w:r w:rsidRPr="00B229B1">
        <w:rPr>
          <w:rFonts w:asciiTheme="minorHAnsi" w:hAnsiTheme="minorHAnsi" w:cstheme="minorHAnsi"/>
          <w:color w:val="FF0000"/>
        </w:rPr>
        <w:t>murillovj.lie20@bine.mx</w:t>
      </w:r>
    </w:p>
    <w:p w14:paraId="54D56A8C" w14:textId="20C3D00C" w:rsidR="00F30677" w:rsidRDefault="00B229B1" w:rsidP="00B229B1">
      <w:pPr>
        <w:spacing w:line="276" w:lineRule="auto"/>
        <w:jc w:val="right"/>
      </w:pPr>
      <w:r w:rsidRPr="007E67F2">
        <w:t>https://orcid.org/</w:t>
      </w:r>
      <w:r w:rsidRPr="00B229B1">
        <w:rPr>
          <w:rFonts w:ascii="Times New Roman" w:hAnsi="Times New Roman"/>
        </w:rPr>
        <w:t>0009-0003-7771-1548</w:t>
      </w:r>
      <w:r>
        <w:rPr>
          <w:rFonts w:ascii="Times New Roman" w:hAnsi="Times New Roman"/>
        </w:rPr>
        <w:t xml:space="preserve"> </w:t>
      </w:r>
    </w:p>
    <w:p w14:paraId="1A6563E3" w14:textId="77777777" w:rsidR="00F30677" w:rsidRDefault="00F30677" w:rsidP="00B229B1">
      <w:pPr>
        <w:spacing w:line="276" w:lineRule="auto"/>
        <w:jc w:val="right"/>
        <w:rPr>
          <w:rFonts w:ascii="Times New Roman" w:hAnsi="Times New Roman"/>
          <w:sz w:val="12"/>
          <w:szCs w:val="12"/>
        </w:rPr>
      </w:pPr>
    </w:p>
    <w:p w14:paraId="3EB5CBF0" w14:textId="77777777" w:rsidR="00F30677" w:rsidRPr="00B229B1" w:rsidRDefault="00000000" w:rsidP="00B229B1">
      <w:pPr>
        <w:spacing w:line="276" w:lineRule="auto"/>
        <w:jc w:val="right"/>
        <w:rPr>
          <w:rFonts w:asciiTheme="minorHAnsi" w:hAnsiTheme="minorHAnsi" w:cstheme="minorHAnsi"/>
          <w:b/>
          <w:bCs/>
        </w:rPr>
      </w:pPr>
      <w:r w:rsidRPr="00B229B1">
        <w:rPr>
          <w:rFonts w:asciiTheme="minorHAnsi" w:hAnsiTheme="minorHAnsi" w:cstheme="minorHAnsi"/>
          <w:b/>
          <w:bCs/>
        </w:rPr>
        <w:t>Luis Ricardo Ramos Hernández</w:t>
      </w:r>
    </w:p>
    <w:p w14:paraId="5F5D932C" w14:textId="49AFC989" w:rsidR="00F30677" w:rsidRDefault="00000000" w:rsidP="00B229B1">
      <w:pPr>
        <w:spacing w:line="276" w:lineRule="auto"/>
        <w:jc w:val="right"/>
      </w:pPr>
      <w:r>
        <w:rPr>
          <w:rFonts w:ascii="Times New Roman" w:hAnsi="Times New Roman"/>
        </w:rPr>
        <w:t>Benemérito Instituto Normal del Estado “Gral. Juan Crisóstomo Bonilla”</w:t>
      </w:r>
      <w:r w:rsidR="0035700B">
        <w:rPr>
          <w:rFonts w:ascii="Times New Roman" w:hAnsi="Times New Roman"/>
        </w:rPr>
        <w:t>, México</w:t>
      </w:r>
    </w:p>
    <w:p w14:paraId="23E3E8C9" w14:textId="4B27CD92" w:rsidR="00F30677" w:rsidRDefault="00000000" w:rsidP="00B229B1">
      <w:pPr>
        <w:spacing w:line="276" w:lineRule="auto"/>
        <w:jc w:val="right"/>
      </w:pPr>
      <w:r w:rsidRPr="00B229B1">
        <w:rPr>
          <w:rFonts w:asciiTheme="minorHAnsi" w:hAnsiTheme="minorHAnsi" w:cstheme="minorHAnsi"/>
          <w:color w:val="FF0000"/>
        </w:rPr>
        <w:t xml:space="preserve">ramos.hernandez.lr@bine.mx </w:t>
      </w:r>
      <w:r w:rsidRPr="00B229B1">
        <w:rPr>
          <w:rFonts w:asciiTheme="minorHAnsi" w:hAnsiTheme="minorHAnsi" w:cstheme="minorHAnsi"/>
          <w:color w:val="FF0000"/>
        </w:rPr>
        <w:br/>
      </w:r>
      <w:r w:rsidR="00B229B1" w:rsidRPr="007E67F2">
        <w:t>https://orcid.org/</w:t>
      </w:r>
      <w:r w:rsidRPr="00B229B1">
        <w:rPr>
          <w:rFonts w:ascii="Times New Roman" w:hAnsi="Times New Roman"/>
        </w:rPr>
        <w:t>0000-0002-4410-0623</w:t>
      </w:r>
    </w:p>
    <w:p w14:paraId="5FD0AC40" w14:textId="17DA013A" w:rsidR="00F30677" w:rsidRDefault="00F30677" w:rsidP="00B229B1">
      <w:pPr>
        <w:spacing w:line="276" w:lineRule="auto"/>
      </w:pPr>
    </w:p>
    <w:p w14:paraId="7FC0EF66" w14:textId="77777777" w:rsidR="00B229B1" w:rsidRPr="00B229B1" w:rsidRDefault="00B229B1" w:rsidP="00B229B1">
      <w:pPr>
        <w:spacing w:line="360" w:lineRule="auto"/>
        <w:rPr>
          <w:rFonts w:asciiTheme="minorHAnsi" w:hAnsiTheme="minorHAnsi" w:cstheme="minorHAnsi"/>
          <w:sz w:val="22"/>
          <w:szCs w:val="22"/>
        </w:rPr>
      </w:pPr>
      <w:r w:rsidRPr="00B229B1">
        <w:rPr>
          <w:rFonts w:asciiTheme="minorHAnsi" w:hAnsiTheme="minorHAnsi" w:cstheme="minorHAnsi"/>
          <w:b/>
          <w:bCs/>
          <w:sz w:val="28"/>
          <w:szCs w:val="28"/>
        </w:rPr>
        <w:t>Resumen</w:t>
      </w:r>
    </w:p>
    <w:p w14:paraId="27AD2925" w14:textId="77777777" w:rsidR="00B229B1" w:rsidRDefault="00B229B1" w:rsidP="0035700B">
      <w:pPr>
        <w:pStyle w:val="Textoindependiente"/>
        <w:spacing w:after="0" w:line="360" w:lineRule="auto"/>
        <w:jc w:val="both"/>
      </w:pPr>
      <w:r>
        <w:rPr>
          <w:rFonts w:ascii="Times New Roman" w:hAnsi="Times New Roman"/>
          <w:color w:val="000000"/>
        </w:rPr>
        <w:t xml:space="preserve">Esta investigación analizó los testimonios obtenidos en un grupo de discusión integrado por estudiantes mujeres de la Licenciatura en Inclusión Educativa (LIE), con diagnóstico confirmado o probable de Trastorno por déficit de atención e hiperactividad (TDAH), con el objetivo de explorar cómo enfrentan los desafíos académicos, sociales y emocionales asociados a su condición. Se realizó un análisis de los testimonios, atendiendo al énfasis que las participantes otorgaron a las implicaciones de género en la manifestación de los síntomas, así como en el acceso a recursos de apoyo tanto en su vida personal como en su formación como docentes. Los hallazgos, aunque no generalizables, revelan la adopción de estrategias para lidiar con el TDAH. Notablemente, las estudiantes indicaron que se apoyaban en una amiga o “persona de confianza” para mediar en las interacciones con su entorno, así como realizar actividades secundarias que les ayudaran a mantener la atención en tareas principales, como escuchar una conferencia. En ocasiones, los docentes interpretaron tales estrategias como manifestaciones de indisciplina o comportamiento disruptivo, a pesar de tener conocimiento del diagnóstico de TDAH. A partir de los resultados obtenidos, se concluye la utilidad de comprender y fomentar estrategias colectivas de afrontamiento para mujeres con TDAH, similares a las desarrolladas a partir </w:t>
      </w:r>
      <w:r>
        <w:rPr>
          <w:rFonts w:ascii="Times New Roman" w:hAnsi="Times New Roman"/>
          <w:color w:val="000000"/>
        </w:rPr>
        <w:lastRenderedPageBreak/>
        <w:t xml:space="preserve">de las interacciones en el grupo de discusión y la creación de un grupo privado informal en WhatsApp. Estos espacios no sólo facilitaron el apoyo mutuo entre las participantes, sino que también actuaron como un canal para aliviar la tensión asociada al </w:t>
      </w:r>
      <w:proofErr w:type="spellStart"/>
      <w:r>
        <w:rPr>
          <w:rFonts w:ascii="Times New Roman" w:hAnsi="Times New Roman"/>
          <w:color w:val="000000"/>
        </w:rPr>
        <w:t>camuflamiento</w:t>
      </w:r>
      <w:proofErr w:type="spellEnd"/>
      <w:r>
        <w:rPr>
          <w:rFonts w:ascii="Times New Roman" w:hAnsi="Times New Roman"/>
          <w:color w:val="000000"/>
        </w:rPr>
        <w:t xml:space="preserve"> (</w:t>
      </w:r>
      <w:proofErr w:type="spellStart"/>
      <w:r>
        <w:rPr>
          <w:rFonts w:ascii="Times New Roman" w:hAnsi="Times New Roman"/>
          <w:i/>
          <w:iCs/>
          <w:color w:val="000000"/>
        </w:rPr>
        <w:t>masking</w:t>
      </w:r>
      <w:proofErr w:type="spellEnd"/>
      <w:r>
        <w:rPr>
          <w:rFonts w:ascii="Times New Roman" w:hAnsi="Times New Roman"/>
          <w:color w:val="000000"/>
        </w:rPr>
        <w:t>) de su condición.</w:t>
      </w:r>
    </w:p>
    <w:p w14:paraId="39104B7B" w14:textId="6074B2FC" w:rsidR="00B229B1" w:rsidRDefault="00B229B1" w:rsidP="00B229B1">
      <w:pPr>
        <w:pStyle w:val="Textoindependiente"/>
        <w:spacing w:after="0" w:line="360" w:lineRule="auto"/>
      </w:pPr>
      <w:r w:rsidRPr="00B229B1">
        <w:rPr>
          <w:rFonts w:asciiTheme="minorHAnsi" w:hAnsiTheme="minorHAnsi" w:cstheme="minorHAnsi"/>
          <w:b/>
          <w:bCs/>
          <w:sz w:val="28"/>
          <w:szCs w:val="28"/>
        </w:rPr>
        <w:t>Palabras clave:</w:t>
      </w:r>
      <w:r>
        <w:rPr>
          <w:rFonts w:ascii="Times New Roman" w:hAnsi="Times New Roman"/>
          <w:b/>
          <w:bCs/>
        </w:rPr>
        <w:t xml:space="preserve"> </w:t>
      </w:r>
      <w:r w:rsidRPr="00B229B1">
        <w:rPr>
          <w:rFonts w:ascii="Times New Roman" w:hAnsi="Times New Roman"/>
        </w:rPr>
        <w:t>género, TDAH, trastorno por déficit de atención e hiperactividad, t</w:t>
      </w:r>
      <w:r w:rsidRPr="00B229B1">
        <w:rPr>
          <w:rFonts w:ascii="Times New Roman" w:hAnsi="Times New Roman"/>
          <w:color w:val="000000"/>
        </w:rPr>
        <w:t>écnicas de estudio</w:t>
      </w:r>
      <w:r w:rsidRPr="00B229B1">
        <w:rPr>
          <w:rFonts w:ascii="Times New Roman" w:hAnsi="Times New Roman"/>
        </w:rPr>
        <w:t>, inclusi</w:t>
      </w:r>
      <w:r w:rsidRPr="00B229B1">
        <w:rPr>
          <w:rFonts w:ascii="Times New Roman" w:hAnsi="Times New Roman"/>
          <w:color w:val="000000"/>
        </w:rPr>
        <w:t>ón</w:t>
      </w:r>
      <w:r>
        <w:rPr>
          <w:rFonts w:ascii="Times New Roman" w:hAnsi="Times New Roman"/>
          <w:color w:val="000000"/>
        </w:rPr>
        <w:t>.</w:t>
      </w:r>
    </w:p>
    <w:p w14:paraId="70657831" w14:textId="77777777" w:rsidR="00B229B1" w:rsidRPr="00B229B1" w:rsidRDefault="00B229B1">
      <w:pPr>
        <w:spacing w:line="360" w:lineRule="auto"/>
        <w:rPr>
          <w:rFonts w:ascii="Times New Roman" w:hAnsi="Times New Roman"/>
          <w:b/>
          <w:bCs/>
        </w:rPr>
      </w:pPr>
    </w:p>
    <w:p w14:paraId="636D0B0F" w14:textId="3D0B2A60" w:rsidR="00F30677" w:rsidRPr="00B229B1" w:rsidRDefault="00000000">
      <w:pPr>
        <w:spacing w:line="360" w:lineRule="auto"/>
        <w:rPr>
          <w:rFonts w:asciiTheme="minorHAnsi" w:hAnsiTheme="minorHAnsi" w:cstheme="minorHAnsi"/>
          <w:b/>
          <w:bCs/>
          <w:sz w:val="28"/>
          <w:szCs w:val="28"/>
        </w:rPr>
      </w:pPr>
      <w:proofErr w:type="spellStart"/>
      <w:r w:rsidRPr="00B229B1">
        <w:rPr>
          <w:rFonts w:asciiTheme="minorHAnsi" w:hAnsiTheme="minorHAnsi" w:cstheme="minorHAnsi"/>
          <w:b/>
          <w:bCs/>
          <w:sz w:val="28"/>
          <w:szCs w:val="28"/>
        </w:rPr>
        <w:t>Abstract</w:t>
      </w:r>
      <w:proofErr w:type="spellEnd"/>
    </w:p>
    <w:p w14:paraId="694E294B" w14:textId="77777777" w:rsidR="00F30677" w:rsidRDefault="00000000">
      <w:pPr>
        <w:spacing w:line="360" w:lineRule="auto"/>
        <w:jc w:val="both"/>
      </w:pPr>
      <w:proofErr w:type="spellStart"/>
      <w:r>
        <w:rPr>
          <w:rStyle w:val="StrongEmphasis"/>
          <w:rFonts w:ascii="Times New Roman" w:hAnsi="Times New Roman"/>
          <w:b w:val="0"/>
          <w:bCs w:val="0"/>
        </w:rPr>
        <w:t>This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examined</w:t>
      </w:r>
      <w:proofErr w:type="spellEnd"/>
      <w:r>
        <w:rPr>
          <w:rStyle w:val="StrongEmphasis"/>
          <w:rFonts w:ascii="Times New Roman" w:hAnsi="Times New Roman"/>
          <w:b w:val="0"/>
          <w:bCs w:val="0"/>
        </w:rPr>
        <w:t xml:space="preserve"> testimonies </w:t>
      </w:r>
      <w:proofErr w:type="spellStart"/>
      <w:r>
        <w:rPr>
          <w:rStyle w:val="StrongEmphasis"/>
          <w:rFonts w:ascii="Times New Roman" w:hAnsi="Times New Roman"/>
          <w:b w:val="0"/>
          <w:bCs w:val="0"/>
        </w:rPr>
        <w:t>from</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discussion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composed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students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enrolled</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Bachelor’s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Degree</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Educational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Inclusion</w:t>
      </w:r>
      <w:proofErr w:type="spellEnd"/>
      <w:r>
        <w:rPr>
          <w:rStyle w:val="StrongEmphasis"/>
          <w:rFonts w:ascii="Times New Roman" w:hAnsi="Times New Roman"/>
          <w:b w:val="0"/>
          <w:bCs w:val="0"/>
        </w:rPr>
        <w:t xml:space="preserve"> (LIE) </w:t>
      </w:r>
      <w:proofErr w:type="spellStart"/>
      <w:r>
        <w:rPr>
          <w:rStyle w:val="StrongEmphasis"/>
          <w:rFonts w:ascii="Times New Roman" w:hAnsi="Times New Roman"/>
          <w:b w:val="0"/>
          <w:bCs w:val="0"/>
        </w:rPr>
        <w:t>program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have</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confirmed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probable </w:t>
      </w:r>
      <w:proofErr w:type="spellStart"/>
      <w:r>
        <w:rPr>
          <w:rStyle w:val="StrongEmphasis"/>
          <w:rFonts w:ascii="Times New Roman" w:hAnsi="Times New Roman"/>
          <w:b w:val="0"/>
          <w:bCs w:val="0"/>
        </w:rPr>
        <w:t>Attention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Deficit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Hyperactivity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Disorder</w:t>
      </w:r>
      <w:proofErr w:type="spellEnd"/>
      <w:r>
        <w:rPr>
          <w:rStyle w:val="StrongEmphasis"/>
          <w:rFonts w:ascii="Times New Roman" w:hAnsi="Times New Roman"/>
          <w:b w:val="0"/>
          <w:bCs w:val="0"/>
        </w:rPr>
        <w:t xml:space="preserve"> (ADHD) diagnosis.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objective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was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analyze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how</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navigate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academic</w:t>
      </w:r>
      <w:proofErr w:type="spellEnd"/>
      <w:r>
        <w:rPr>
          <w:rStyle w:val="StrongEmphasis"/>
          <w:rFonts w:ascii="Times New Roman" w:hAnsi="Times New Roman"/>
          <w:b w:val="0"/>
          <w:bCs w:val="0"/>
        </w:rPr>
        <w:t xml:space="preserve">, social, and </w:t>
      </w:r>
      <w:proofErr w:type="spellStart"/>
      <w:r>
        <w:rPr>
          <w:rStyle w:val="StrongEmphasis"/>
          <w:rFonts w:ascii="Times New Roman" w:hAnsi="Times New Roman"/>
          <w:b w:val="0"/>
          <w:bCs w:val="0"/>
        </w:rPr>
        <w:t>emotional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challenges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associated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condition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emphasizing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gendered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dimensions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symptom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expression</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accessibility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support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resources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context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higher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education</w:t>
      </w:r>
      <w:proofErr w:type="spellEnd"/>
      <w:r>
        <w:rPr>
          <w:rStyle w:val="StrongEmphasis"/>
          <w:rFonts w:ascii="Times New Roman" w:hAnsi="Times New Roman"/>
          <w:b w:val="0"/>
          <w:bCs w:val="0"/>
        </w:rPr>
        <w:t>.</w:t>
      </w:r>
    </w:p>
    <w:p w14:paraId="76932332" w14:textId="77777777" w:rsidR="00F30677" w:rsidRDefault="00000000">
      <w:pPr>
        <w:spacing w:line="360" w:lineRule="auto"/>
        <w:jc w:val="both"/>
      </w:pP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findings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while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w:t>
      </w:r>
      <w:proofErr w:type="spellEnd"/>
      <w:r>
        <w:rPr>
          <w:rStyle w:val="StrongEmphasis"/>
          <w:rFonts w:ascii="Times New Roman" w:hAnsi="Times New Roman"/>
          <w:b w:val="0"/>
          <w:bCs w:val="0"/>
        </w:rPr>
        <w:t xml:space="preserve"> generalizable, </w:t>
      </w:r>
      <w:proofErr w:type="spellStart"/>
      <w:r>
        <w:rPr>
          <w:rStyle w:val="StrongEmphasis"/>
          <w:rFonts w:ascii="Times New Roman" w:hAnsi="Times New Roman"/>
          <w:b w:val="0"/>
          <w:bCs w:val="0"/>
        </w:rPr>
        <w:t>reveal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adoption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spontaneous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manage</w:t>
      </w:r>
      <w:proofErr w:type="spellEnd"/>
      <w:r>
        <w:rPr>
          <w:rStyle w:val="StrongEmphasis"/>
          <w:rFonts w:ascii="Times New Roman" w:hAnsi="Times New Roman"/>
          <w:b w:val="0"/>
          <w:bCs w:val="0"/>
        </w:rPr>
        <w:t xml:space="preserve"> ADHD </w:t>
      </w:r>
      <w:proofErr w:type="spellStart"/>
      <w:r>
        <w:rPr>
          <w:rStyle w:val="StrongEmphasis"/>
          <w:rFonts w:ascii="Times New Roman" w:hAnsi="Times New Roman"/>
          <w:b w:val="0"/>
          <w:bCs w:val="0"/>
        </w:rPr>
        <w:t>within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participants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contexts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Notably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female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students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reported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relying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friend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trusted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person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mediate </w:t>
      </w:r>
      <w:proofErr w:type="spellStart"/>
      <w:r>
        <w:rPr>
          <w:rStyle w:val="StrongEmphasis"/>
          <w:rFonts w:ascii="Times New Roman" w:hAnsi="Times New Roman"/>
          <w:b w:val="0"/>
          <w:bCs w:val="0"/>
        </w:rPr>
        <w:t>interactions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environment</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engaging</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secondary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activities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maintain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attention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primary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tasks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example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listening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lecture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However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were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occasionally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misinterpreted</w:t>
      </w:r>
      <w:proofErr w:type="spellEnd"/>
      <w:r>
        <w:rPr>
          <w:rStyle w:val="StrongEmphasis"/>
          <w:rFonts w:ascii="Times New Roman" w:hAnsi="Times New Roman"/>
          <w:b w:val="0"/>
          <w:bCs w:val="0"/>
        </w:rPr>
        <w:t xml:space="preserve"> as indiscipline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disruptive </w:t>
      </w:r>
      <w:proofErr w:type="spellStart"/>
      <w:r>
        <w:rPr>
          <w:rStyle w:val="StrongEmphasis"/>
          <w:rFonts w:ascii="Times New Roman" w:hAnsi="Times New Roman"/>
          <w:b w:val="0"/>
          <w:bCs w:val="0"/>
        </w:rPr>
        <w:t>behavior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leading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negative </w:t>
      </w:r>
      <w:proofErr w:type="spellStart"/>
      <w:r>
        <w:rPr>
          <w:rStyle w:val="StrongEmphasis"/>
          <w:rFonts w:ascii="Times New Roman" w:hAnsi="Times New Roman"/>
          <w:b w:val="0"/>
          <w:bCs w:val="0"/>
        </w:rPr>
        <w:t>perceptions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from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teachers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particularly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when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ADHD diagnosis </w:t>
      </w:r>
      <w:proofErr w:type="spellStart"/>
      <w:r>
        <w:rPr>
          <w:rStyle w:val="StrongEmphasis"/>
          <w:rFonts w:ascii="Times New Roman" w:hAnsi="Times New Roman"/>
          <w:b w:val="0"/>
          <w:bCs w:val="0"/>
        </w:rPr>
        <w:t>was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disclosed</w:t>
      </w:r>
      <w:proofErr w:type="spellEnd"/>
      <w:r>
        <w:rPr>
          <w:rStyle w:val="StrongEmphasis"/>
          <w:rFonts w:ascii="Times New Roman" w:hAnsi="Times New Roman"/>
          <w:b w:val="0"/>
          <w:bCs w:val="0"/>
        </w:rPr>
        <w:t>.</w:t>
      </w:r>
    </w:p>
    <w:p w14:paraId="05BA2629" w14:textId="77777777" w:rsidR="00F30677" w:rsidRDefault="00000000">
      <w:pPr>
        <w:spacing w:line="360" w:lineRule="auto"/>
        <w:jc w:val="both"/>
      </w:pPr>
      <w:proofErr w:type="spellStart"/>
      <w:r>
        <w:rPr>
          <w:rStyle w:val="StrongEmphasis"/>
          <w:rFonts w:ascii="Times New Roman" w:hAnsi="Times New Roman"/>
          <w:b w:val="0"/>
          <w:bCs w:val="0"/>
        </w:rPr>
        <w:t>Based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findings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concluded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that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understanding</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promoting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collective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coping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among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women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ADHD </w:t>
      </w:r>
      <w:proofErr w:type="spellStart"/>
      <w:r>
        <w:rPr>
          <w:rStyle w:val="StrongEmphasis"/>
          <w:rFonts w:ascii="Times New Roman" w:hAnsi="Times New Roman"/>
          <w:b w:val="0"/>
          <w:bCs w:val="0"/>
        </w:rPr>
        <w:t>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essential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Such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as </w:t>
      </w:r>
      <w:proofErr w:type="spellStart"/>
      <w:r>
        <w:rPr>
          <w:rStyle w:val="StrongEmphasis"/>
          <w:rFonts w:ascii="Times New Roman" w:hAnsi="Times New Roman"/>
          <w:b w:val="0"/>
          <w:bCs w:val="0"/>
        </w:rPr>
        <w:t>exemplified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those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developed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through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interactions</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discussion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establishment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an</w:t>
      </w:r>
      <w:proofErr w:type="spellEnd"/>
      <w:r>
        <w:rPr>
          <w:rStyle w:val="StrongEmphasis"/>
          <w:rFonts w:ascii="Times New Roman" w:hAnsi="Times New Roman"/>
          <w:b w:val="0"/>
          <w:bCs w:val="0"/>
        </w:rPr>
        <w:t xml:space="preserve"> informal </w:t>
      </w:r>
      <w:proofErr w:type="spellStart"/>
      <w:r>
        <w:rPr>
          <w:rStyle w:val="StrongEmphasis"/>
          <w:rFonts w:ascii="Times New Roman" w:hAnsi="Times New Roman"/>
          <w:b w:val="0"/>
          <w:bCs w:val="0"/>
        </w:rPr>
        <w:t>private</w:t>
      </w:r>
      <w:proofErr w:type="spellEnd"/>
      <w:r>
        <w:rPr>
          <w:rStyle w:val="StrongEmphasis"/>
          <w:rFonts w:ascii="Times New Roman" w:hAnsi="Times New Roman"/>
          <w:b w:val="0"/>
          <w:bCs w:val="0"/>
        </w:rPr>
        <w:t xml:space="preserve"> WhatsApp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proved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highly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effective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spaces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facilitated</w:t>
      </w:r>
      <w:proofErr w:type="spellEnd"/>
      <w:r>
        <w:rPr>
          <w:rStyle w:val="StrongEmphasis"/>
          <w:rFonts w:ascii="Times New Roman" w:hAnsi="Times New Roman"/>
          <w:b w:val="0"/>
          <w:bCs w:val="0"/>
        </w:rPr>
        <w:t xml:space="preserve"> mutual </w:t>
      </w:r>
      <w:proofErr w:type="spellStart"/>
      <w:r>
        <w:rPr>
          <w:rStyle w:val="StrongEmphasis"/>
          <w:rFonts w:ascii="Times New Roman" w:hAnsi="Times New Roman"/>
          <w:b w:val="0"/>
          <w:bCs w:val="0"/>
        </w:rPr>
        <w:t>support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among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participants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but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also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provided</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channel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alleviate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tension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associated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persistent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masking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condition</w:t>
      </w:r>
      <w:proofErr w:type="spellEnd"/>
      <w:r>
        <w:rPr>
          <w:rStyle w:val="StrongEmphasis"/>
          <w:rFonts w:ascii="Times New Roman" w:hAnsi="Times New Roman"/>
          <w:b w:val="0"/>
          <w:bCs w:val="0"/>
        </w:rPr>
        <w:t>.</w:t>
      </w:r>
    </w:p>
    <w:p w14:paraId="5156A313" w14:textId="402FF5CC" w:rsidR="00F30677" w:rsidRPr="00B229B1" w:rsidRDefault="00000000">
      <w:pPr>
        <w:spacing w:line="360" w:lineRule="auto"/>
        <w:jc w:val="both"/>
        <w:rPr>
          <w:rFonts w:ascii="Times New Roman" w:hAnsi="Times New Roman"/>
        </w:rPr>
      </w:pPr>
      <w:proofErr w:type="spellStart"/>
      <w:r w:rsidRPr="00B229B1">
        <w:rPr>
          <w:rFonts w:asciiTheme="minorHAnsi" w:hAnsiTheme="minorHAnsi" w:cstheme="minorHAnsi"/>
          <w:b/>
          <w:bCs/>
          <w:sz w:val="28"/>
          <w:szCs w:val="28"/>
        </w:rPr>
        <w:t>Keywords</w:t>
      </w:r>
      <w:proofErr w:type="spellEnd"/>
      <w:r w:rsidRPr="00B229B1">
        <w:rPr>
          <w:rFonts w:asciiTheme="minorHAnsi" w:hAnsiTheme="minorHAnsi" w:cstheme="minorHAnsi"/>
          <w:b/>
          <w:bCs/>
          <w:sz w:val="28"/>
          <w:szCs w:val="28"/>
        </w:rPr>
        <w:t>:</w:t>
      </w:r>
      <w:r>
        <w:rPr>
          <w:rStyle w:val="StrongEmphasis"/>
          <w:rFonts w:ascii="Times New Roman" w:hAnsi="Times New Roman"/>
          <w:b w:val="0"/>
          <w:bCs w:val="0"/>
        </w:rPr>
        <w:t xml:space="preserve"> </w:t>
      </w:r>
      <w:r w:rsidRPr="00B229B1">
        <w:rPr>
          <w:rStyle w:val="StrongEmphasis"/>
          <w:rFonts w:ascii="Times New Roman" w:hAnsi="Times New Roman"/>
          <w:b w:val="0"/>
          <w:bCs w:val="0"/>
        </w:rPr>
        <w:t xml:space="preserve">ADHD, </w:t>
      </w:r>
      <w:proofErr w:type="spellStart"/>
      <w:r w:rsidRPr="00B229B1">
        <w:rPr>
          <w:rFonts w:ascii="Times New Roman" w:hAnsi="Times New Roman"/>
        </w:rPr>
        <w:t>Hyperactivity</w:t>
      </w:r>
      <w:proofErr w:type="spellEnd"/>
      <w:r w:rsidRPr="00B229B1">
        <w:rPr>
          <w:rFonts w:ascii="Times New Roman" w:hAnsi="Times New Roman"/>
        </w:rPr>
        <w:t xml:space="preserve">, </w:t>
      </w:r>
      <w:proofErr w:type="spellStart"/>
      <w:r w:rsidRPr="00B229B1">
        <w:rPr>
          <w:rFonts w:ascii="Times New Roman" w:hAnsi="Times New Roman"/>
        </w:rPr>
        <w:t>Gender</w:t>
      </w:r>
      <w:proofErr w:type="spellEnd"/>
      <w:r w:rsidRPr="00B229B1">
        <w:rPr>
          <w:rFonts w:ascii="Times New Roman" w:hAnsi="Times New Roman"/>
        </w:rPr>
        <w:t xml:space="preserve"> </w:t>
      </w:r>
      <w:proofErr w:type="spellStart"/>
      <w:r w:rsidRPr="00B229B1">
        <w:rPr>
          <w:rFonts w:ascii="Times New Roman" w:hAnsi="Times New Roman"/>
        </w:rPr>
        <w:t>Differences</w:t>
      </w:r>
      <w:proofErr w:type="spellEnd"/>
      <w:r w:rsidRPr="00B229B1">
        <w:rPr>
          <w:rFonts w:ascii="Times New Roman" w:hAnsi="Times New Roman"/>
        </w:rPr>
        <w:t xml:space="preserve">, </w:t>
      </w:r>
      <w:proofErr w:type="spellStart"/>
      <w:r w:rsidRPr="00B229B1">
        <w:rPr>
          <w:rFonts w:ascii="Times New Roman" w:hAnsi="Times New Roman"/>
        </w:rPr>
        <w:t>Female</w:t>
      </w:r>
      <w:proofErr w:type="spellEnd"/>
      <w:r w:rsidRPr="00B229B1">
        <w:rPr>
          <w:rFonts w:ascii="Times New Roman" w:hAnsi="Times New Roman"/>
        </w:rPr>
        <w:t xml:space="preserve">, </w:t>
      </w:r>
      <w:proofErr w:type="spellStart"/>
      <w:r w:rsidRPr="00B229B1">
        <w:rPr>
          <w:rFonts w:ascii="Times New Roman" w:hAnsi="Times New Roman"/>
        </w:rPr>
        <w:t>Educational</w:t>
      </w:r>
      <w:proofErr w:type="spellEnd"/>
      <w:r w:rsidRPr="00B229B1">
        <w:rPr>
          <w:rFonts w:ascii="Times New Roman" w:hAnsi="Times New Roman"/>
        </w:rPr>
        <w:t xml:space="preserve"> </w:t>
      </w:r>
      <w:proofErr w:type="spellStart"/>
      <w:r w:rsidRPr="00B229B1">
        <w:rPr>
          <w:rFonts w:ascii="Times New Roman" w:hAnsi="Times New Roman"/>
        </w:rPr>
        <w:t>Inclusion</w:t>
      </w:r>
      <w:proofErr w:type="spellEnd"/>
      <w:r w:rsidRPr="00B229B1">
        <w:rPr>
          <w:rFonts w:ascii="Times New Roman" w:hAnsi="Times New Roman"/>
        </w:rPr>
        <w:t xml:space="preserve">, </w:t>
      </w:r>
      <w:proofErr w:type="spellStart"/>
      <w:r w:rsidRPr="00B229B1">
        <w:rPr>
          <w:rFonts w:ascii="Times New Roman" w:hAnsi="Times New Roman"/>
        </w:rPr>
        <w:t>Coping</w:t>
      </w:r>
      <w:proofErr w:type="spellEnd"/>
      <w:r w:rsidRPr="00B229B1">
        <w:rPr>
          <w:rFonts w:ascii="Times New Roman" w:hAnsi="Times New Roman"/>
        </w:rPr>
        <w:t xml:space="preserve"> </w:t>
      </w:r>
      <w:proofErr w:type="spellStart"/>
      <w:r w:rsidRPr="00B229B1">
        <w:rPr>
          <w:rFonts w:ascii="Times New Roman" w:hAnsi="Times New Roman"/>
        </w:rPr>
        <w:t>Strategies</w:t>
      </w:r>
      <w:proofErr w:type="spellEnd"/>
      <w:r w:rsidR="00B229B1" w:rsidRPr="00B229B1">
        <w:rPr>
          <w:rFonts w:ascii="Times New Roman" w:hAnsi="Times New Roman"/>
        </w:rPr>
        <w:t>.</w:t>
      </w:r>
    </w:p>
    <w:p w14:paraId="194CC57A" w14:textId="431E3818" w:rsidR="00F30677" w:rsidRDefault="00F30677">
      <w:pPr>
        <w:spacing w:line="360" w:lineRule="auto"/>
        <w:rPr>
          <w:rFonts w:ascii="Times New Roman" w:hAnsi="Times New Roman"/>
          <w:b/>
          <w:bCs/>
        </w:rPr>
      </w:pPr>
    </w:p>
    <w:p w14:paraId="31C22808" w14:textId="77777777" w:rsidR="00B229B1" w:rsidRDefault="00B229B1">
      <w:pPr>
        <w:spacing w:line="360" w:lineRule="auto"/>
        <w:rPr>
          <w:rFonts w:ascii="Times New Roman" w:hAnsi="Times New Roman"/>
          <w:b/>
          <w:bCs/>
        </w:rPr>
      </w:pPr>
    </w:p>
    <w:p w14:paraId="07664AAB" w14:textId="77777777" w:rsidR="0035700B" w:rsidRDefault="0035700B">
      <w:pPr>
        <w:spacing w:line="360" w:lineRule="auto"/>
        <w:rPr>
          <w:rFonts w:ascii="Times New Roman" w:hAnsi="Times New Roman"/>
          <w:b/>
          <w:bCs/>
        </w:rPr>
      </w:pPr>
    </w:p>
    <w:p w14:paraId="470DA929" w14:textId="77777777" w:rsidR="00B229B1" w:rsidRDefault="00B229B1">
      <w:pPr>
        <w:spacing w:line="360" w:lineRule="auto"/>
        <w:rPr>
          <w:rFonts w:ascii="Times New Roman" w:hAnsi="Times New Roman"/>
          <w:b/>
          <w:bCs/>
        </w:rPr>
      </w:pPr>
    </w:p>
    <w:p w14:paraId="39DD3973" w14:textId="77777777" w:rsidR="00B229B1" w:rsidRPr="00B229B1" w:rsidRDefault="00B229B1">
      <w:pPr>
        <w:spacing w:line="360" w:lineRule="auto"/>
        <w:rPr>
          <w:rFonts w:ascii="Times New Roman" w:hAnsi="Times New Roman"/>
          <w:b/>
          <w:bCs/>
        </w:rPr>
      </w:pPr>
    </w:p>
    <w:p w14:paraId="5A261CB3" w14:textId="77777777" w:rsidR="00B229B1" w:rsidRPr="00B229B1" w:rsidRDefault="00B229B1" w:rsidP="00B229B1">
      <w:pPr>
        <w:spacing w:line="360" w:lineRule="auto"/>
        <w:rPr>
          <w:rFonts w:asciiTheme="minorHAnsi" w:hAnsiTheme="minorHAnsi" w:cstheme="minorHAnsi"/>
          <w:b/>
          <w:bCs/>
          <w:sz w:val="28"/>
          <w:szCs w:val="28"/>
        </w:rPr>
      </w:pPr>
      <w:r w:rsidRPr="00B229B1">
        <w:rPr>
          <w:rFonts w:asciiTheme="minorHAnsi" w:hAnsiTheme="minorHAnsi" w:cstheme="minorHAnsi"/>
          <w:b/>
          <w:bCs/>
          <w:sz w:val="28"/>
          <w:szCs w:val="28"/>
        </w:rPr>
        <w:lastRenderedPageBreak/>
        <w:t>Resumo</w:t>
      </w:r>
    </w:p>
    <w:p w14:paraId="0327E41C" w14:textId="77777777" w:rsidR="00B229B1" w:rsidRPr="00B229B1" w:rsidRDefault="00B229B1" w:rsidP="00B229B1">
      <w:pPr>
        <w:spacing w:line="360" w:lineRule="auto"/>
        <w:jc w:val="both"/>
        <w:rPr>
          <w:rStyle w:val="StrongEmphasis"/>
          <w:rFonts w:ascii="Times New Roman" w:hAnsi="Times New Roman" w:cs="Times New Roman"/>
          <w:b w:val="0"/>
          <w:bCs w:val="0"/>
        </w:rPr>
      </w:pPr>
      <w:r w:rsidRPr="00B229B1">
        <w:rPr>
          <w:rStyle w:val="StrongEmphasis"/>
          <w:rFonts w:ascii="Times New Roman" w:hAnsi="Times New Roman" w:cs="Times New Roman"/>
          <w:b w:val="0"/>
          <w:bCs w:val="0"/>
        </w:rPr>
        <w:t xml:space="preserve">Esta pesquisa </w:t>
      </w:r>
      <w:proofErr w:type="spellStart"/>
      <w:r w:rsidRPr="00B229B1">
        <w:rPr>
          <w:rStyle w:val="StrongEmphasis"/>
          <w:rFonts w:ascii="Times New Roman" w:hAnsi="Times New Roman" w:cs="Times New Roman"/>
          <w:b w:val="0"/>
          <w:bCs w:val="0"/>
        </w:rPr>
        <w:t>analisou</w:t>
      </w:r>
      <w:proofErr w:type="spellEnd"/>
      <w:r w:rsidRPr="00B229B1">
        <w:rPr>
          <w:rStyle w:val="StrongEmphasis"/>
          <w:rFonts w:ascii="Times New Roman" w:hAnsi="Times New Roman" w:cs="Times New Roman"/>
          <w:b w:val="0"/>
          <w:bCs w:val="0"/>
        </w:rPr>
        <w:t xml:space="preserve"> os </w:t>
      </w:r>
      <w:proofErr w:type="spellStart"/>
      <w:r w:rsidRPr="00B229B1">
        <w:rPr>
          <w:rStyle w:val="StrongEmphasis"/>
          <w:rFonts w:ascii="Times New Roman" w:hAnsi="Times New Roman" w:cs="Times New Roman"/>
          <w:b w:val="0"/>
          <w:bCs w:val="0"/>
        </w:rPr>
        <w:t>depoimentos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obtidos</w:t>
      </w:r>
      <w:proofErr w:type="spellEnd"/>
      <w:r w:rsidRPr="00B229B1">
        <w:rPr>
          <w:rStyle w:val="StrongEmphasis"/>
          <w:rFonts w:ascii="Times New Roman" w:hAnsi="Times New Roman" w:cs="Times New Roman"/>
          <w:b w:val="0"/>
          <w:bCs w:val="0"/>
        </w:rPr>
        <w:t xml:space="preserve"> em </w:t>
      </w:r>
      <w:proofErr w:type="spellStart"/>
      <w:r w:rsidRPr="00B229B1">
        <w:rPr>
          <w:rStyle w:val="StrongEmphasis"/>
          <w:rFonts w:ascii="Times New Roman" w:hAnsi="Times New Roman" w:cs="Times New Roman"/>
          <w:b w:val="0"/>
          <w:bCs w:val="0"/>
        </w:rPr>
        <w:t>um</w:t>
      </w:r>
      <w:proofErr w:type="spellEnd"/>
      <w:r w:rsidRPr="00B229B1">
        <w:rPr>
          <w:rStyle w:val="StrongEmphasis"/>
          <w:rFonts w:ascii="Times New Roman" w:hAnsi="Times New Roman" w:cs="Times New Roman"/>
          <w:b w:val="0"/>
          <w:bCs w:val="0"/>
        </w:rPr>
        <w:t xml:space="preserve"> grupo focal composto por alunas do Curso de </w:t>
      </w:r>
      <w:proofErr w:type="spellStart"/>
      <w:r w:rsidRPr="00B229B1">
        <w:rPr>
          <w:rStyle w:val="StrongEmphasis"/>
          <w:rFonts w:ascii="Times New Roman" w:hAnsi="Times New Roman" w:cs="Times New Roman"/>
          <w:b w:val="0"/>
          <w:bCs w:val="0"/>
        </w:rPr>
        <w:t>Bacharelado</w:t>
      </w:r>
      <w:proofErr w:type="spellEnd"/>
      <w:r w:rsidRPr="00B229B1">
        <w:rPr>
          <w:rStyle w:val="StrongEmphasis"/>
          <w:rFonts w:ascii="Times New Roman" w:hAnsi="Times New Roman" w:cs="Times New Roman"/>
          <w:b w:val="0"/>
          <w:bCs w:val="0"/>
        </w:rPr>
        <w:t xml:space="preserve"> em </w:t>
      </w:r>
      <w:proofErr w:type="spellStart"/>
      <w:r w:rsidRPr="00B229B1">
        <w:rPr>
          <w:rStyle w:val="StrongEmphasis"/>
          <w:rFonts w:ascii="Times New Roman" w:hAnsi="Times New Roman" w:cs="Times New Roman"/>
          <w:b w:val="0"/>
          <w:bCs w:val="0"/>
        </w:rPr>
        <w:t>Inclusão</w:t>
      </w:r>
      <w:proofErr w:type="spellEnd"/>
      <w:r w:rsidRPr="00B229B1">
        <w:rPr>
          <w:rStyle w:val="StrongEmphasis"/>
          <w:rFonts w:ascii="Times New Roman" w:hAnsi="Times New Roman" w:cs="Times New Roman"/>
          <w:b w:val="0"/>
          <w:bCs w:val="0"/>
        </w:rPr>
        <w:t xml:space="preserve"> Educacional (LIE),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diagnóstico confirmado </w:t>
      </w:r>
      <w:proofErr w:type="spellStart"/>
      <w:r w:rsidRPr="00B229B1">
        <w:rPr>
          <w:rStyle w:val="StrongEmphasis"/>
          <w:rFonts w:ascii="Times New Roman" w:hAnsi="Times New Roman" w:cs="Times New Roman"/>
          <w:b w:val="0"/>
          <w:bCs w:val="0"/>
        </w:rPr>
        <w:t>ou</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provável</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Transtorno</w:t>
      </w:r>
      <w:proofErr w:type="spellEnd"/>
      <w:r w:rsidRPr="00B229B1">
        <w:rPr>
          <w:rStyle w:val="StrongEmphasis"/>
          <w:rFonts w:ascii="Times New Roman" w:hAnsi="Times New Roman" w:cs="Times New Roman"/>
          <w:b w:val="0"/>
          <w:bCs w:val="0"/>
        </w:rPr>
        <w:t xml:space="preserve"> do Déficit de </w:t>
      </w:r>
      <w:proofErr w:type="spellStart"/>
      <w:r w:rsidRPr="00B229B1">
        <w:rPr>
          <w:rStyle w:val="StrongEmphasis"/>
          <w:rFonts w:ascii="Times New Roman" w:hAnsi="Times New Roman" w:cs="Times New Roman"/>
          <w:b w:val="0"/>
          <w:bCs w:val="0"/>
        </w:rPr>
        <w:t>Atenção</w:t>
      </w:r>
      <w:proofErr w:type="spellEnd"/>
      <w:r w:rsidRPr="00B229B1">
        <w:rPr>
          <w:rStyle w:val="StrongEmphasis"/>
          <w:rFonts w:ascii="Times New Roman" w:hAnsi="Times New Roman" w:cs="Times New Roman"/>
          <w:b w:val="0"/>
          <w:bCs w:val="0"/>
        </w:rPr>
        <w:t xml:space="preserve"> e </w:t>
      </w:r>
      <w:proofErr w:type="spellStart"/>
      <w:r w:rsidRPr="00B229B1">
        <w:rPr>
          <w:rStyle w:val="StrongEmphasis"/>
          <w:rFonts w:ascii="Times New Roman" w:hAnsi="Times New Roman" w:cs="Times New Roman"/>
          <w:b w:val="0"/>
          <w:bCs w:val="0"/>
        </w:rPr>
        <w:t>Hiperatividade</w:t>
      </w:r>
      <w:proofErr w:type="spellEnd"/>
      <w:r w:rsidRPr="00B229B1">
        <w:rPr>
          <w:rStyle w:val="StrongEmphasis"/>
          <w:rFonts w:ascii="Times New Roman" w:hAnsi="Times New Roman" w:cs="Times New Roman"/>
          <w:b w:val="0"/>
          <w:bCs w:val="0"/>
        </w:rPr>
        <w:t xml:space="preserve"> (TDAH),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o</w:t>
      </w:r>
      <w:proofErr w:type="spellEnd"/>
      <w:r w:rsidRPr="00B229B1">
        <w:rPr>
          <w:rStyle w:val="StrongEmphasis"/>
          <w:rFonts w:ascii="Times New Roman" w:hAnsi="Times New Roman" w:cs="Times New Roman"/>
          <w:b w:val="0"/>
          <w:bCs w:val="0"/>
        </w:rPr>
        <w:t xml:space="preserve"> objetivo de explorar como </w:t>
      </w:r>
      <w:proofErr w:type="spellStart"/>
      <w:r w:rsidRPr="00B229B1">
        <w:rPr>
          <w:rStyle w:val="StrongEmphasis"/>
          <w:rFonts w:ascii="Times New Roman" w:hAnsi="Times New Roman" w:cs="Times New Roman"/>
          <w:b w:val="0"/>
          <w:bCs w:val="0"/>
        </w:rPr>
        <w:t>elas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enfrentam</w:t>
      </w:r>
      <w:proofErr w:type="spellEnd"/>
      <w:r w:rsidRPr="00B229B1">
        <w:rPr>
          <w:rStyle w:val="StrongEmphasis"/>
          <w:rFonts w:ascii="Times New Roman" w:hAnsi="Times New Roman" w:cs="Times New Roman"/>
          <w:b w:val="0"/>
          <w:bCs w:val="0"/>
        </w:rPr>
        <w:t xml:space="preserve"> os </w:t>
      </w:r>
      <w:proofErr w:type="spellStart"/>
      <w:r w:rsidRPr="00B229B1">
        <w:rPr>
          <w:rStyle w:val="StrongEmphasis"/>
          <w:rFonts w:ascii="Times New Roman" w:hAnsi="Times New Roman" w:cs="Times New Roman"/>
          <w:b w:val="0"/>
          <w:bCs w:val="0"/>
        </w:rPr>
        <w:t>desafios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acadêmicos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sociais</w:t>
      </w:r>
      <w:proofErr w:type="spellEnd"/>
      <w:r w:rsidRPr="00B229B1">
        <w:rPr>
          <w:rStyle w:val="StrongEmphasis"/>
          <w:rFonts w:ascii="Times New Roman" w:hAnsi="Times New Roman" w:cs="Times New Roman"/>
          <w:b w:val="0"/>
          <w:bCs w:val="0"/>
        </w:rPr>
        <w:t xml:space="preserve"> e </w:t>
      </w:r>
      <w:proofErr w:type="spellStart"/>
      <w:r w:rsidRPr="00B229B1">
        <w:rPr>
          <w:rStyle w:val="StrongEmphasis"/>
          <w:rFonts w:ascii="Times New Roman" w:hAnsi="Times New Roman" w:cs="Times New Roman"/>
          <w:b w:val="0"/>
          <w:bCs w:val="0"/>
        </w:rPr>
        <w:t>emocionais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associados</w:t>
      </w:r>
      <w:proofErr w:type="spellEnd"/>
      <w:r w:rsidRPr="00B229B1">
        <w:rPr>
          <w:rStyle w:val="StrongEmphasis"/>
          <w:rFonts w:ascii="Times New Roman" w:hAnsi="Times New Roman" w:cs="Times New Roman"/>
          <w:b w:val="0"/>
          <w:bCs w:val="0"/>
        </w:rPr>
        <w:t xml:space="preserve"> à </w:t>
      </w:r>
      <w:proofErr w:type="spellStart"/>
      <w:r w:rsidRPr="00B229B1">
        <w:rPr>
          <w:rStyle w:val="StrongEmphasis"/>
          <w:rFonts w:ascii="Times New Roman" w:hAnsi="Times New Roman" w:cs="Times New Roman"/>
          <w:b w:val="0"/>
          <w:bCs w:val="0"/>
        </w:rPr>
        <w:t>sua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condição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Foi</w:t>
      </w:r>
      <w:proofErr w:type="spellEnd"/>
      <w:r w:rsidRPr="00B229B1">
        <w:rPr>
          <w:rStyle w:val="StrongEmphasis"/>
          <w:rFonts w:ascii="Times New Roman" w:hAnsi="Times New Roman" w:cs="Times New Roman"/>
          <w:b w:val="0"/>
          <w:bCs w:val="0"/>
        </w:rPr>
        <w:t xml:space="preserve"> realizada </w:t>
      </w:r>
      <w:proofErr w:type="spellStart"/>
      <w:r w:rsidRPr="00B229B1">
        <w:rPr>
          <w:rStyle w:val="StrongEmphasis"/>
          <w:rFonts w:ascii="Times New Roman" w:hAnsi="Times New Roman" w:cs="Times New Roman"/>
          <w:b w:val="0"/>
          <w:bCs w:val="0"/>
        </w:rPr>
        <w:t>uma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análise</w:t>
      </w:r>
      <w:proofErr w:type="spellEnd"/>
      <w:r w:rsidRPr="00B229B1">
        <w:rPr>
          <w:rStyle w:val="StrongEmphasis"/>
          <w:rFonts w:ascii="Times New Roman" w:hAnsi="Times New Roman" w:cs="Times New Roman"/>
          <w:b w:val="0"/>
          <w:bCs w:val="0"/>
        </w:rPr>
        <w:t xml:space="preserve"> dos </w:t>
      </w:r>
      <w:proofErr w:type="spellStart"/>
      <w:r w:rsidRPr="00B229B1">
        <w:rPr>
          <w:rStyle w:val="StrongEmphasis"/>
          <w:rFonts w:ascii="Times New Roman" w:hAnsi="Times New Roman" w:cs="Times New Roman"/>
          <w:b w:val="0"/>
          <w:bCs w:val="0"/>
        </w:rPr>
        <w:t>depoimentos</w:t>
      </w:r>
      <w:proofErr w:type="spellEnd"/>
      <w:r w:rsidRPr="00B229B1">
        <w:rPr>
          <w:rStyle w:val="StrongEmphasis"/>
          <w:rFonts w:ascii="Times New Roman" w:hAnsi="Times New Roman" w:cs="Times New Roman"/>
          <w:b w:val="0"/>
          <w:bCs w:val="0"/>
        </w:rPr>
        <w:t xml:space="preserve">, levando em </w:t>
      </w:r>
      <w:proofErr w:type="spellStart"/>
      <w:r w:rsidRPr="00B229B1">
        <w:rPr>
          <w:rStyle w:val="StrongEmphasis"/>
          <w:rFonts w:ascii="Times New Roman" w:hAnsi="Times New Roman" w:cs="Times New Roman"/>
          <w:b w:val="0"/>
          <w:bCs w:val="0"/>
        </w:rPr>
        <w:t>consideração</w:t>
      </w:r>
      <w:proofErr w:type="spellEnd"/>
      <w:r w:rsidRPr="00B229B1">
        <w:rPr>
          <w:rStyle w:val="StrongEmphasis"/>
          <w:rFonts w:ascii="Times New Roman" w:hAnsi="Times New Roman" w:cs="Times New Roman"/>
          <w:b w:val="0"/>
          <w:bCs w:val="0"/>
        </w:rPr>
        <w:t xml:space="preserve"> a </w:t>
      </w:r>
      <w:proofErr w:type="spellStart"/>
      <w:r w:rsidRPr="00B229B1">
        <w:rPr>
          <w:rStyle w:val="StrongEmphasis"/>
          <w:rFonts w:ascii="Times New Roman" w:hAnsi="Times New Roman" w:cs="Times New Roman"/>
          <w:b w:val="0"/>
          <w:bCs w:val="0"/>
        </w:rPr>
        <w:t>ênfase</w:t>
      </w:r>
      <w:proofErr w:type="spellEnd"/>
      <w:r w:rsidRPr="00B229B1">
        <w:rPr>
          <w:rStyle w:val="StrongEmphasis"/>
          <w:rFonts w:ascii="Times New Roman" w:hAnsi="Times New Roman" w:cs="Times New Roman"/>
          <w:b w:val="0"/>
          <w:bCs w:val="0"/>
        </w:rPr>
        <w:t xml:space="preserve"> que os participantes </w:t>
      </w:r>
      <w:proofErr w:type="spellStart"/>
      <w:r w:rsidRPr="00B229B1">
        <w:rPr>
          <w:rStyle w:val="StrongEmphasis"/>
          <w:rFonts w:ascii="Times New Roman" w:hAnsi="Times New Roman" w:cs="Times New Roman"/>
          <w:b w:val="0"/>
          <w:bCs w:val="0"/>
        </w:rPr>
        <w:t>deram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às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implicações</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gênero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na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manifestação</w:t>
      </w:r>
      <w:proofErr w:type="spellEnd"/>
      <w:r w:rsidRPr="00B229B1">
        <w:rPr>
          <w:rStyle w:val="StrongEmphasis"/>
          <w:rFonts w:ascii="Times New Roman" w:hAnsi="Times New Roman" w:cs="Times New Roman"/>
          <w:b w:val="0"/>
          <w:bCs w:val="0"/>
        </w:rPr>
        <w:t xml:space="preserve"> dos </w:t>
      </w:r>
      <w:proofErr w:type="spellStart"/>
      <w:r w:rsidRPr="00B229B1">
        <w:rPr>
          <w:rStyle w:val="StrongEmphasis"/>
          <w:rFonts w:ascii="Times New Roman" w:hAnsi="Times New Roman" w:cs="Times New Roman"/>
          <w:b w:val="0"/>
          <w:bCs w:val="0"/>
        </w:rPr>
        <w:t>sintomas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bem</w:t>
      </w:r>
      <w:proofErr w:type="spellEnd"/>
      <w:r w:rsidRPr="00B229B1">
        <w:rPr>
          <w:rStyle w:val="StrongEmphasis"/>
          <w:rFonts w:ascii="Times New Roman" w:hAnsi="Times New Roman" w:cs="Times New Roman"/>
          <w:b w:val="0"/>
          <w:bCs w:val="0"/>
        </w:rPr>
        <w:t xml:space="preserve"> como no </w:t>
      </w:r>
      <w:proofErr w:type="spellStart"/>
      <w:r w:rsidRPr="00B229B1">
        <w:rPr>
          <w:rStyle w:val="StrongEmphasis"/>
          <w:rFonts w:ascii="Times New Roman" w:hAnsi="Times New Roman" w:cs="Times New Roman"/>
          <w:b w:val="0"/>
          <w:bCs w:val="0"/>
        </w:rPr>
        <w:t>acesso</w:t>
      </w:r>
      <w:proofErr w:type="spellEnd"/>
      <w:r w:rsidRPr="00B229B1">
        <w:rPr>
          <w:rStyle w:val="StrongEmphasis"/>
          <w:rFonts w:ascii="Times New Roman" w:hAnsi="Times New Roman" w:cs="Times New Roman"/>
          <w:b w:val="0"/>
          <w:bCs w:val="0"/>
        </w:rPr>
        <w:t xml:space="preserve"> a recursos de </w:t>
      </w:r>
      <w:proofErr w:type="spellStart"/>
      <w:r w:rsidRPr="00B229B1">
        <w:rPr>
          <w:rStyle w:val="StrongEmphasis"/>
          <w:rFonts w:ascii="Times New Roman" w:hAnsi="Times New Roman" w:cs="Times New Roman"/>
          <w:b w:val="0"/>
          <w:bCs w:val="0"/>
        </w:rPr>
        <w:t>apoio</w:t>
      </w:r>
      <w:proofErr w:type="spellEnd"/>
      <w:r w:rsidRPr="00B229B1">
        <w:rPr>
          <w:rStyle w:val="StrongEmphasis"/>
          <w:rFonts w:ascii="Times New Roman" w:hAnsi="Times New Roman" w:cs="Times New Roman"/>
          <w:b w:val="0"/>
          <w:bCs w:val="0"/>
        </w:rPr>
        <w:t xml:space="preserve"> tanto </w:t>
      </w:r>
      <w:proofErr w:type="spellStart"/>
      <w:r w:rsidRPr="00B229B1">
        <w:rPr>
          <w:rStyle w:val="StrongEmphasis"/>
          <w:rFonts w:ascii="Times New Roman" w:hAnsi="Times New Roman" w:cs="Times New Roman"/>
          <w:b w:val="0"/>
          <w:bCs w:val="0"/>
        </w:rPr>
        <w:t>na</w:t>
      </w:r>
      <w:proofErr w:type="spellEnd"/>
      <w:r w:rsidRPr="00B229B1">
        <w:rPr>
          <w:rStyle w:val="StrongEmphasis"/>
          <w:rFonts w:ascii="Times New Roman" w:hAnsi="Times New Roman" w:cs="Times New Roman"/>
          <w:b w:val="0"/>
          <w:bCs w:val="0"/>
        </w:rPr>
        <w:t xml:space="preserve"> vida </w:t>
      </w:r>
      <w:proofErr w:type="spellStart"/>
      <w:r w:rsidRPr="00B229B1">
        <w:rPr>
          <w:rStyle w:val="StrongEmphasis"/>
          <w:rFonts w:ascii="Times New Roman" w:hAnsi="Times New Roman" w:cs="Times New Roman"/>
          <w:b w:val="0"/>
          <w:bCs w:val="0"/>
        </w:rPr>
        <w:t>pessoal</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quanto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na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formação</w:t>
      </w:r>
      <w:proofErr w:type="spellEnd"/>
      <w:r w:rsidRPr="00B229B1">
        <w:rPr>
          <w:rStyle w:val="StrongEmphasis"/>
          <w:rFonts w:ascii="Times New Roman" w:hAnsi="Times New Roman" w:cs="Times New Roman"/>
          <w:b w:val="0"/>
          <w:bCs w:val="0"/>
        </w:rPr>
        <w:t xml:space="preserve"> como docentes. Os </w:t>
      </w:r>
      <w:proofErr w:type="spellStart"/>
      <w:r w:rsidRPr="00B229B1">
        <w:rPr>
          <w:rStyle w:val="StrongEmphasis"/>
          <w:rFonts w:ascii="Times New Roman" w:hAnsi="Times New Roman" w:cs="Times New Roman"/>
          <w:b w:val="0"/>
          <w:bCs w:val="0"/>
        </w:rPr>
        <w:t>achados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embora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não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generalizáveis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revelam</w:t>
      </w:r>
      <w:proofErr w:type="spellEnd"/>
      <w:r w:rsidRPr="00B229B1">
        <w:rPr>
          <w:rStyle w:val="StrongEmphasis"/>
          <w:rFonts w:ascii="Times New Roman" w:hAnsi="Times New Roman" w:cs="Times New Roman"/>
          <w:b w:val="0"/>
          <w:bCs w:val="0"/>
        </w:rPr>
        <w:t xml:space="preserve"> a </w:t>
      </w:r>
      <w:proofErr w:type="spellStart"/>
      <w:r w:rsidRPr="00B229B1">
        <w:rPr>
          <w:rStyle w:val="StrongEmphasis"/>
          <w:rFonts w:ascii="Times New Roman" w:hAnsi="Times New Roman" w:cs="Times New Roman"/>
          <w:b w:val="0"/>
          <w:bCs w:val="0"/>
        </w:rPr>
        <w:t>adoção</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estratégias</w:t>
      </w:r>
      <w:proofErr w:type="spellEnd"/>
      <w:r w:rsidRPr="00B229B1">
        <w:rPr>
          <w:rStyle w:val="StrongEmphasis"/>
          <w:rFonts w:ascii="Times New Roman" w:hAnsi="Times New Roman" w:cs="Times New Roman"/>
          <w:b w:val="0"/>
          <w:bCs w:val="0"/>
        </w:rPr>
        <w:t xml:space="preserve"> para </w:t>
      </w:r>
      <w:proofErr w:type="spellStart"/>
      <w:r w:rsidRPr="00B229B1">
        <w:rPr>
          <w:rStyle w:val="StrongEmphasis"/>
          <w:rFonts w:ascii="Times New Roman" w:hAnsi="Times New Roman" w:cs="Times New Roman"/>
          <w:b w:val="0"/>
          <w:bCs w:val="0"/>
        </w:rPr>
        <w:t>lidar</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o TDAH. </w:t>
      </w:r>
      <w:proofErr w:type="spellStart"/>
      <w:r w:rsidRPr="00B229B1">
        <w:rPr>
          <w:rStyle w:val="StrongEmphasis"/>
          <w:rFonts w:ascii="Times New Roman" w:hAnsi="Times New Roman" w:cs="Times New Roman"/>
          <w:b w:val="0"/>
          <w:bCs w:val="0"/>
        </w:rPr>
        <w:t>Notavelmente</w:t>
      </w:r>
      <w:proofErr w:type="spellEnd"/>
      <w:r w:rsidRPr="00B229B1">
        <w:rPr>
          <w:rStyle w:val="StrongEmphasis"/>
          <w:rFonts w:ascii="Times New Roman" w:hAnsi="Times New Roman" w:cs="Times New Roman"/>
          <w:b w:val="0"/>
          <w:bCs w:val="0"/>
        </w:rPr>
        <w:t xml:space="preserve">, os </w:t>
      </w:r>
      <w:proofErr w:type="spellStart"/>
      <w:r w:rsidRPr="00B229B1">
        <w:rPr>
          <w:rStyle w:val="StrongEmphasis"/>
          <w:rFonts w:ascii="Times New Roman" w:hAnsi="Times New Roman" w:cs="Times New Roman"/>
          <w:b w:val="0"/>
          <w:bCs w:val="0"/>
        </w:rPr>
        <w:t>alunos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indicaram</w:t>
      </w:r>
      <w:proofErr w:type="spellEnd"/>
      <w:r w:rsidRPr="00B229B1">
        <w:rPr>
          <w:rStyle w:val="StrongEmphasis"/>
          <w:rFonts w:ascii="Times New Roman" w:hAnsi="Times New Roman" w:cs="Times New Roman"/>
          <w:b w:val="0"/>
          <w:bCs w:val="0"/>
        </w:rPr>
        <w:t xml:space="preserve"> que </w:t>
      </w:r>
      <w:proofErr w:type="spellStart"/>
      <w:r w:rsidRPr="00B229B1">
        <w:rPr>
          <w:rStyle w:val="StrongEmphasis"/>
          <w:rFonts w:ascii="Times New Roman" w:hAnsi="Times New Roman" w:cs="Times New Roman"/>
          <w:b w:val="0"/>
          <w:bCs w:val="0"/>
        </w:rPr>
        <w:t>dependiam</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um</w:t>
      </w:r>
      <w:proofErr w:type="spellEnd"/>
      <w:r w:rsidRPr="00B229B1">
        <w:rPr>
          <w:rStyle w:val="StrongEmphasis"/>
          <w:rFonts w:ascii="Times New Roman" w:hAnsi="Times New Roman" w:cs="Times New Roman"/>
          <w:b w:val="0"/>
          <w:bCs w:val="0"/>
        </w:rPr>
        <w:t xml:space="preserve"> amigo </w:t>
      </w:r>
      <w:proofErr w:type="spellStart"/>
      <w:r w:rsidRPr="00B229B1">
        <w:rPr>
          <w:rStyle w:val="StrongEmphasis"/>
          <w:rFonts w:ascii="Times New Roman" w:hAnsi="Times New Roman" w:cs="Times New Roman"/>
          <w:b w:val="0"/>
          <w:bCs w:val="0"/>
        </w:rPr>
        <w:t>ou</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pessoa</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confiança</w:t>
      </w:r>
      <w:proofErr w:type="spellEnd"/>
      <w:r w:rsidRPr="00B229B1">
        <w:rPr>
          <w:rStyle w:val="StrongEmphasis"/>
          <w:rFonts w:ascii="Times New Roman" w:hAnsi="Times New Roman" w:cs="Times New Roman"/>
          <w:b w:val="0"/>
          <w:bCs w:val="0"/>
        </w:rPr>
        <w:t xml:space="preserve">” para mediar as </w:t>
      </w:r>
      <w:proofErr w:type="spellStart"/>
      <w:r w:rsidRPr="00B229B1">
        <w:rPr>
          <w:rStyle w:val="StrongEmphasis"/>
          <w:rFonts w:ascii="Times New Roman" w:hAnsi="Times New Roman" w:cs="Times New Roman"/>
          <w:b w:val="0"/>
          <w:bCs w:val="0"/>
        </w:rPr>
        <w:t>interações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seu</w:t>
      </w:r>
      <w:proofErr w:type="spellEnd"/>
      <w:r w:rsidRPr="00B229B1">
        <w:rPr>
          <w:rStyle w:val="StrongEmphasis"/>
          <w:rFonts w:ascii="Times New Roman" w:hAnsi="Times New Roman" w:cs="Times New Roman"/>
          <w:b w:val="0"/>
          <w:bCs w:val="0"/>
        </w:rPr>
        <w:t xml:space="preserve"> ambiente, </w:t>
      </w:r>
      <w:proofErr w:type="spellStart"/>
      <w:r w:rsidRPr="00B229B1">
        <w:rPr>
          <w:rStyle w:val="StrongEmphasis"/>
          <w:rFonts w:ascii="Times New Roman" w:hAnsi="Times New Roman" w:cs="Times New Roman"/>
          <w:b w:val="0"/>
          <w:bCs w:val="0"/>
        </w:rPr>
        <w:t>bem</w:t>
      </w:r>
      <w:proofErr w:type="spellEnd"/>
      <w:r w:rsidRPr="00B229B1">
        <w:rPr>
          <w:rStyle w:val="StrongEmphasis"/>
          <w:rFonts w:ascii="Times New Roman" w:hAnsi="Times New Roman" w:cs="Times New Roman"/>
          <w:b w:val="0"/>
          <w:bCs w:val="0"/>
        </w:rPr>
        <w:t xml:space="preserve"> como para realizar </w:t>
      </w:r>
      <w:proofErr w:type="spellStart"/>
      <w:r w:rsidRPr="00B229B1">
        <w:rPr>
          <w:rStyle w:val="StrongEmphasis"/>
          <w:rFonts w:ascii="Times New Roman" w:hAnsi="Times New Roman" w:cs="Times New Roman"/>
          <w:b w:val="0"/>
          <w:bCs w:val="0"/>
        </w:rPr>
        <w:t>atividades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secundárias</w:t>
      </w:r>
      <w:proofErr w:type="spellEnd"/>
      <w:r w:rsidRPr="00B229B1">
        <w:rPr>
          <w:rStyle w:val="StrongEmphasis"/>
          <w:rFonts w:ascii="Times New Roman" w:hAnsi="Times New Roman" w:cs="Times New Roman"/>
          <w:b w:val="0"/>
          <w:bCs w:val="0"/>
        </w:rPr>
        <w:t xml:space="preserve"> que os </w:t>
      </w:r>
      <w:proofErr w:type="spellStart"/>
      <w:r w:rsidRPr="00B229B1">
        <w:rPr>
          <w:rStyle w:val="StrongEmphasis"/>
          <w:rFonts w:ascii="Times New Roman" w:hAnsi="Times New Roman" w:cs="Times New Roman"/>
          <w:b w:val="0"/>
          <w:bCs w:val="0"/>
        </w:rPr>
        <w:t>ajudavam</w:t>
      </w:r>
      <w:proofErr w:type="spellEnd"/>
      <w:r w:rsidRPr="00B229B1">
        <w:rPr>
          <w:rStyle w:val="StrongEmphasis"/>
          <w:rFonts w:ascii="Times New Roman" w:hAnsi="Times New Roman" w:cs="Times New Roman"/>
          <w:b w:val="0"/>
          <w:bCs w:val="0"/>
        </w:rPr>
        <w:t xml:space="preserve"> a </w:t>
      </w:r>
      <w:proofErr w:type="spellStart"/>
      <w:r w:rsidRPr="00B229B1">
        <w:rPr>
          <w:rStyle w:val="StrongEmphasis"/>
          <w:rFonts w:ascii="Times New Roman" w:hAnsi="Times New Roman" w:cs="Times New Roman"/>
          <w:b w:val="0"/>
          <w:bCs w:val="0"/>
        </w:rPr>
        <w:t>manter</w:t>
      </w:r>
      <w:proofErr w:type="spellEnd"/>
      <w:r w:rsidRPr="00B229B1">
        <w:rPr>
          <w:rStyle w:val="StrongEmphasis"/>
          <w:rFonts w:ascii="Times New Roman" w:hAnsi="Times New Roman" w:cs="Times New Roman"/>
          <w:b w:val="0"/>
          <w:bCs w:val="0"/>
        </w:rPr>
        <w:t xml:space="preserve"> a </w:t>
      </w:r>
      <w:proofErr w:type="spellStart"/>
      <w:r w:rsidRPr="00B229B1">
        <w:rPr>
          <w:rStyle w:val="StrongEmphasis"/>
          <w:rFonts w:ascii="Times New Roman" w:hAnsi="Times New Roman" w:cs="Times New Roman"/>
          <w:b w:val="0"/>
          <w:bCs w:val="0"/>
        </w:rPr>
        <w:t>atenção</w:t>
      </w:r>
      <w:proofErr w:type="spellEnd"/>
      <w:r w:rsidRPr="00B229B1">
        <w:rPr>
          <w:rStyle w:val="StrongEmphasis"/>
          <w:rFonts w:ascii="Times New Roman" w:hAnsi="Times New Roman" w:cs="Times New Roman"/>
          <w:b w:val="0"/>
          <w:bCs w:val="0"/>
        </w:rPr>
        <w:t xml:space="preserve"> em tarefas </w:t>
      </w:r>
      <w:proofErr w:type="spellStart"/>
      <w:r w:rsidRPr="00B229B1">
        <w:rPr>
          <w:rStyle w:val="StrongEmphasis"/>
          <w:rFonts w:ascii="Times New Roman" w:hAnsi="Times New Roman" w:cs="Times New Roman"/>
          <w:b w:val="0"/>
          <w:bCs w:val="0"/>
        </w:rPr>
        <w:t>primárias</w:t>
      </w:r>
      <w:proofErr w:type="spellEnd"/>
      <w:r w:rsidRPr="00B229B1">
        <w:rPr>
          <w:rStyle w:val="StrongEmphasis"/>
          <w:rFonts w:ascii="Times New Roman" w:hAnsi="Times New Roman" w:cs="Times New Roman"/>
          <w:b w:val="0"/>
          <w:bCs w:val="0"/>
        </w:rPr>
        <w:t xml:space="preserve">, como </w:t>
      </w:r>
      <w:proofErr w:type="spellStart"/>
      <w:r w:rsidRPr="00B229B1">
        <w:rPr>
          <w:rStyle w:val="StrongEmphasis"/>
          <w:rFonts w:ascii="Times New Roman" w:hAnsi="Times New Roman" w:cs="Times New Roman"/>
          <w:b w:val="0"/>
          <w:bCs w:val="0"/>
        </w:rPr>
        <w:t>ouvir</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uma</w:t>
      </w:r>
      <w:proofErr w:type="spellEnd"/>
      <w:r w:rsidRPr="00B229B1">
        <w:rPr>
          <w:rStyle w:val="StrongEmphasis"/>
          <w:rFonts w:ascii="Times New Roman" w:hAnsi="Times New Roman" w:cs="Times New Roman"/>
          <w:b w:val="0"/>
          <w:bCs w:val="0"/>
        </w:rPr>
        <w:t xml:space="preserve"> palestra. </w:t>
      </w:r>
      <w:proofErr w:type="spellStart"/>
      <w:r w:rsidRPr="00B229B1">
        <w:rPr>
          <w:rStyle w:val="StrongEmphasis"/>
          <w:rFonts w:ascii="Times New Roman" w:hAnsi="Times New Roman" w:cs="Times New Roman"/>
          <w:b w:val="0"/>
          <w:bCs w:val="0"/>
        </w:rPr>
        <w:t>Às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vezes</w:t>
      </w:r>
      <w:proofErr w:type="spellEnd"/>
      <w:r w:rsidRPr="00B229B1">
        <w:rPr>
          <w:rStyle w:val="StrongEmphasis"/>
          <w:rFonts w:ascii="Times New Roman" w:hAnsi="Times New Roman" w:cs="Times New Roman"/>
          <w:b w:val="0"/>
          <w:bCs w:val="0"/>
        </w:rPr>
        <w:t xml:space="preserve">, os </w:t>
      </w:r>
      <w:proofErr w:type="spellStart"/>
      <w:r w:rsidRPr="00B229B1">
        <w:rPr>
          <w:rStyle w:val="StrongEmphasis"/>
          <w:rFonts w:ascii="Times New Roman" w:hAnsi="Times New Roman" w:cs="Times New Roman"/>
          <w:b w:val="0"/>
          <w:bCs w:val="0"/>
        </w:rPr>
        <w:t>professores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interpretavam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essas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estratégias</w:t>
      </w:r>
      <w:proofErr w:type="spellEnd"/>
      <w:r w:rsidRPr="00B229B1">
        <w:rPr>
          <w:rStyle w:val="StrongEmphasis"/>
          <w:rFonts w:ascii="Times New Roman" w:hAnsi="Times New Roman" w:cs="Times New Roman"/>
          <w:b w:val="0"/>
          <w:bCs w:val="0"/>
        </w:rPr>
        <w:t xml:space="preserve"> como </w:t>
      </w:r>
      <w:proofErr w:type="spellStart"/>
      <w:r w:rsidRPr="00B229B1">
        <w:rPr>
          <w:rStyle w:val="StrongEmphasis"/>
          <w:rFonts w:ascii="Times New Roman" w:hAnsi="Times New Roman" w:cs="Times New Roman"/>
          <w:b w:val="0"/>
          <w:bCs w:val="0"/>
        </w:rPr>
        <w:t>manifestações</w:t>
      </w:r>
      <w:proofErr w:type="spellEnd"/>
      <w:r w:rsidRPr="00B229B1">
        <w:rPr>
          <w:rStyle w:val="StrongEmphasis"/>
          <w:rFonts w:ascii="Times New Roman" w:hAnsi="Times New Roman" w:cs="Times New Roman"/>
          <w:b w:val="0"/>
          <w:bCs w:val="0"/>
        </w:rPr>
        <w:t xml:space="preserve"> de indisciplina </w:t>
      </w:r>
      <w:proofErr w:type="spellStart"/>
      <w:r w:rsidRPr="00B229B1">
        <w:rPr>
          <w:rStyle w:val="StrongEmphasis"/>
          <w:rFonts w:ascii="Times New Roman" w:hAnsi="Times New Roman" w:cs="Times New Roman"/>
          <w:b w:val="0"/>
          <w:bCs w:val="0"/>
        </w:rPr>
        <w:t>ou</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comportamento</w:t>
      </w:r>
      <w:proofErr w:type="spellEnd"/>
      <w:r w:rsidRPr="00B229B1">
        <w:rPr>
          <w:rStyle w:val="StrongEmphasis"/>
          <w:rFonts w:ascii="Times New Roman" w:hAnsi="Times New Roman" w:cs="Times New Roman"/>
          <w:b w:val="0"/>
          <w:bCs w:val="0"/>
        </w:rPr>
        <w:t xml:space="preserve"> disruptivo, </w:t>
      </w:r>
      <w:proofErr w:type="spellStart"/>
      <w:r w:rsidRPr="00B229B1">
        <w:rPr>
          <w:rStyle w:val="StrongEmphasis"/>
          <w:rFonts w:ascii="Times New Roman" w:hAnsi="Times New Roman" w:cs="Times New Roman"/>
          <w:b w:val="0"/>
          <w:bCs w:val="0"/>
        </w:rPr>
        <w:t>apesar</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estarem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cientes</w:t>
      </w:r>
      <w:proofErr w:type="spellEnd"/>
      <w:r w:rsidRPr="00B229B1">
        <w:rPr>
          <w:rStyle w:val="StrongEmphasis"/>
          <w:rFonts w:ascii="Times New Roman" w:hAnsi="Times New Roman" w:cs="Times New Roman"/>
          <w:b w:val="0"/>
          <w:bCs w:val="0"/>
        </w:rPr>
        <w:t xml:space="preserve"> do diagnóstico de TDAH.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base nos resultados </w:t>
      </w:r>
      <w:proofErr w:type="spellStart"/>
      <w:r w:rsidRPr="00B229B1">
        <w:rPr>
          <w:rStyle w:val="StrongEmphasis"/>
          <w:rFonts w:ascii="Times New Roman" w:hAnsi="Times New Roman" w:cs="Times New Roman"/>
          <w:b w:val="0"/>
          <w:bCs w:val="0"/>
        </w:rPr>
        <w:t>obtidos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conclui</w:t>
      </w:r>
      <w:proofErr w:type="spellEnd"/>
      <w:r w:rsidRPr="00B229B1">
        <w:rPr>
          <w:rStyle w:val="StrongEmphasis"/>
          <w:rFonts w:ascii="Times New Roman" w:hAnsi="Times New Roman" w:cs="Times New Roman"/>
          <w:b w:val="0"/>
          <w:bCs w:val="0"/>
        </w:rPr>
        <w:t>-</w:t>
      </w:r>
      <w:proofErr w:type="spellStart"/>
      <w:r w:rsidRPr="00B229B1">
        <w:rPr>
          <w:rStyle w:val="StrongEmphasis"/>
          <w:rFonts w:ascii="Times New Roman" w:hAnsi="Times New Roman" w:cs="Times New Roman"/>
          <w:b w:val="0"/>
          <w:bCs w:val="0"/>
        </w:rPr>
        <w:t>se</w:t>
      </w:r>
      <w:proofErr w:type="spellEnd"/>
      <w:r w:rsidRPr="00B229B1">
        <w:rPr>
          <w:rStyle w:val="StrongEmphasis"/>
          <w:rFonts w:ascii="Times New Roman" w:hAnsi="Times New Roman" w:cs="Times New Roman"/>
          <w:b w:val="0"/>
          <w:bCs w:val="0"/>
        </w:rPr>
        <w:t xml:space="preserve"> que é útil </w:t>
      </w:r>
      <w:proofErr w:type="spellStart"/>
      <w:r w:rsidRPr="00B229B1">
        <w:rPr>
          <w:rStyle w:val="StrongEmphasis"/>
          <w:rFonts w:ascii="Times New Roman" w:hAnsi="Times New Roman" w:cs="Times New Roman"/>
          <w:b w:val="0"/>
          <w:bCs w:val="0"/>
        </w:rPr>
        <w:t>compreender</w:t>
      </w:r>
      <w:proofErr w:type="spellEnd"/>
      <w:r w:rsidRPr="00B229B1">
        <w:rPr>
          <w:rStyle w:val="StrongEmphasis"/>
          <w:rFonts w:ascii="Times New Roman" w:hAnsi="Times New Roman" w:cs="Times New Roman"/>
          <w:b w:val="0"/>
          <w:bCs w:val="0"/>
        </w:rPr>
        <w:t xml:space="preserve"> e promover </w:t>
      </w:r>
      <w:proofErr w:type="spellStart"/>
      <w:r w:rsidRPr="00B229B1">
        <w:rPr>
          <w:rStyle w:val="StrongEmphasis"/>
          <w:rFonts w:ascii="Times New Roman" w:hAnsi="Times New Roman" w:cs="Times New Roman"/>
          <w:b w:val="0"/>
          <w:bCs w:val="0"/>
        </w:rPr>
        <w:t>estratégias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coletivas</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enfrentamento</w:t>
      </w:r>
      <w:proofErr w:type="spellEnd"/>
      <w:r w:rsidRPr="00B229B1">
        <w:rPr>
          <w:rStyle w:val="StrongEmphasis"/>
          <w:rFonts w:ascii="Times New Roman" w:hAnsi="Times New Roman" w:cs="Times New Roman"/>
          <w:b w:val="0"/>
          <w:bCs w:val="0"/>
        </w:rPr>
        <w:t xml:space="preserve"> para </w:t>
      </w:r>
      <w:proofErr w:type="spellStart"/>
      <w:r w:rsidRPr="00B229B1">
        <w:rPr>
          <w:rStyle w:val="StrongEmphasis"/>
          <w:rFonts w:ascii="Times New Roman" w:hAnsi="Times New Roman" w:cs="Times New Roman"/>
          <w:b w:val="0"/>
          <w:bCs w:val="0"/>
        </w:rPr>
        <w:t>mulheres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com</w:t>
      </w:r>
      <w:proofErr w:type="spellEnd"/>
      <w:r w:rsidRPr="00B229B1">
        <w:rPr>
          <w:rStyle w:val="StrongEmphasis"/>
          <w:rFonts w:ascii="Times New Roman" w:hAnsi="Times New Roman" w:cs="Times New Roman"/>
          <w:b w:val="0"/>
          <w:bCs w:val="0"/>
        </w:rPr>
        <w:t xml:space="preserve"> TDAH, </w:t>
      </w:r>
      <w:proofErr w:type="spellStart"/>
      <w:r w:rsidRPr="00B229B1">
        <w:rPr>
          <w:rStyle w:val="StrongEmphasis"/>
          <w:rFonts w:ascii="Times New Roman" w:hAnsi="Times New Roman" w:cs="Times New Roman"/>
          <w:b w:val="0"/>
          <w:bCs w:val="0"/>
        </w:rPr>
        <w:t>semelhantes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às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desenvolvidas</w:t>
      </w:r>
      <w:proofErr w:type="spellEnd"/>
      <w:r w:rsidRPr="00B229B1">
        <w:rPr>
          <w:rStyle w:val="StrongEmphasis"/>
          <w:rFonts w:ascii="Times New Roman" w:hAnsi="Times New Roman" w:cs="Times New Roman"/>
          <w:b w:val="0"/>
          <w:bCs w:val="0"/>
        </w:rPr>
        <w:t xml:space="preserve"> a partir das </w:t>
      </w:r>
      <w:proofErr w:type="spellStart"/>
      <w:r w:rsidRPr="00B229B1">
        <w:rPr>
          <w:rStyle w:val="StrongEmphasis"/>
          <w:rFonts w:ascii="Times New Roman" w:hAnsi="Times New Roman" w:cs="Times New Roman"/>
          <w:b w:val="0"/>
          <w:bCs w:val="0"/>
        </w:rPr>
        <w:t>interações</w:t>
      </w:r>
      <w:proofErr w:type="spellEnd"/>
      <w:r w:rsidRPr="00B229B1">
        <w:rPr>
          <w:rStyle w:val="StrongEmphasis"/>
          <w:rFonts w:ascii="Times New Roman" w:hAnsi="Times New Roman" w:cs="Times New Roman"/>
          <w:b w:val="0"/>
          <w:bCs w:val="0"/>
        </w:rPr>
        <w:t xml:space="preserve"> no grupo de </w:t>
      </w:r>
      <w:proofErr w:type="spellStart"/>
      <w:r w:rsidRPr="00B229B1">
        <w:rPr>
          <w:rStyle w:val="StrongEmphasis"/>
          <w:rFonts w:ascii="Times New Roman" w:hAnsi="Times New Roman" w:cs="Times New Roman"/>
          <w:b w:val="0"/>
          <w:bCs w:val="0"/>
        </w:rPr>
        <w:t>discussão</w:t>
      </w:r>
      <w:proofErr w:type="spellEnd"/>
      <w:r w:rsidRPr="00B229B1">
        <w:rPr>
          <w:rStyle w:val="StrongEmphasis"/>
          <w:rFonts w:ascii="Times New Roman" w:hAnsi="Times New Roman" w:cs="Times New Roman"/>
          <w:b w:val="0"/>
          <w:bCs w:val="0"/>
        </w:rPr>
        <w:t xml:space="preserve"> e da </w:t>
      </w:r>
      <w:proofErr w:type="spellStart"/>
      <w:r w:rsidRPr="00B229B1">
        <w:rPr>
          <w:rStyle w:val="StrongEmphasis"/>
          <w:rFonts w:ascii="Times New Roman" w:hAnsi="Times New Roman" w:cs="Times New Roman"/>
          <w:b w:val="0"/>
          <w:bCs w:val="0"/>
        </w:rPr>
        <w:t>criação</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um</w:t>
      </w:r>
      <w:proofErr w:type="spellEnd"/>
      <w:r w:rsidRPr="00B229B1">
        <w:rPr>
          <w:rStyle w:val="StrongEmphasis"/>
          <w:rFonts w:ascii="Times New Roman" w:hAnsi="Times New Roman" w:cs="Times New Roman"/>
          <w:b w:val="0"/>
          <w:bCs w:val="0"/>
        </w:rPr>
        <w:t xml:space="preserve"> grupo privado informal no WhatsApp. </w:t>
      </w:r>
      <w:proofErr w:type="spellStart"/>
      <w:r w:rsidRPr="00B229B1">
        <w:rPr>
          <w:rStyle w:val="StrongEmphasis"/>
          <w:rFonts w:ascii="Times New Roman" w:hAnsi="Times New Roman" w:cs="Times New Roman"/>
          <w:b w:val="0"/>
          <w:bCs w:val="0"/>
        </w:rPr>
        <w:t>Esses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espaços</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não</w:t>
      </w:r>
      <w:proofErr w:type="spellEnd"/>
      <w:r w:rsidRPr="00B229B1">
        <w:rPr>
          <w:rStyle w:val="StrongEmphasis"/>
          <w:rFonts w:ascii="Times New Roman" w:hAnsi="Times New Roman" w:cs="Times New Roman"/>
          <w:b w:val="0"/>
          <w:bCs w:val="0"/>
        </w:rPr>
        <w:t xml:space="preserve"> apenas </w:t>
      </w:r>
      <w:proofErr w:type="spellStart"/>
      <w:r w:rsidRPr="00B229B1">
        <w:rPr>
          <w:rStyle w:val="StrongEmphasis"/>
          <w:rFonts w:ascii="Times New Roman" w:hAnsi="Times New Roman" w:cs="Times New Roman"/>
          <w:b w:val="0"/>
          <w:bCs w:val="0"/>
        </w:rPr>
        <w:t>facilitaram</w:t>
      </w:r>
      <w:proofErr w:type="spellEnd"/>
      <w:r w:rsidRPr="00B229B1">
        <w:rPr>
          <w:rStyle w:val="StrongEmphasis"/>
          <w:rFonts w:ascii="Times New Roman" w:hAnsi="Times New Roman" w:cs="Times New Roman"/>
          <w:b w:val="0"/>
          <w:bCs w:val="0"/>
        </w:rPr>
        <w:t xml:space="preserve"> o </w:t>
      </w:r>
      <w:proofErr w:type="spellStart"/>
      <w:r w:rsidRPr="00B229B1">
        <w:rPr>
          <w:rStyle w:val="StrongEmphasis"/>
          <w:rFonts w:ascii="Times New Roman" w:hAnsi="Times New Roman" w:cs="Times New Roman"/>
          <w:b w:val="0"/>
          <w:bCs w:val="0"/>
        </w:rPr>
        <w:t>apoio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mútuo</w:t>
      </w:r>
      <w:proofErr w:type="spellEnd"/>
      <w:r w:rsidRPr="00B229B1">
        <w:rPr>
          <w:rStyle w:val="StrongEmphasis"/>
          <w:rFonts w:ascii="Times New Roman" w:hAnsi="Times New Roman" w:cs="Times New Roman"/>
          <w:b w:val="0"/>
          <w:bCs w:val="0"/>
        </w:rPr>
        <w:t xml:space="preserve"> entre os participantes, mas </w:t>
      </w:r>
      <w:proofErr w:type="spellStart"/>
      <w:r w:rsidRPr="00B229B1">
        <w:rPr>
          <w:rStyle w:val="StrongEmphasis"/>
          <w:rFonts w:ascii="Times New Roman" w:hAnsi="Times New Roman" w:cs="Times New Roman"/>
          <w:b w:val="0"/>
          <w:bCs w:val="0"/>
        </w:rPr>
        <w:t>também</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funcionaram</w:t>
      </w:r>
      <w:proofErr w:type="spellEnd"/>
      <w:r w:rsidRPr="00B229B1">
        <w:rPr>
          <w:rStyle w:val="StrongEmphasis"/>
          <w:rFonts w:ascii="Times New Roman" w:hAnsi="Times New Roman" w:cs="Times New Roman"/>
          <w:b w:val="0"/>
          <w:bCs w:val="0"/>
        </w:rPr>
        <w:t xml:space="preserve"> como </w:t>
      </w:r>
      <w:proofErr w:type="spellStart"/>
      <w:r w:rsidRPr="00B229B1">
        <w:rPr>
          <w:rStyle w:val="StrongEmphasis"/>
          <w:rFonts w:ascii="Times New Roman" w:hAnsi="Times New Roman" w:cs="Times New Roman"/>
          <w:b w:val="0"/>
          <w:bCs w:val="0"/>
        </w:rPr>
        <w:t>um</w:t>
      </w:r>
      <w:proofErr w:type="spellEnd"/>
      <w:r w:rsidRPr="00B229B1">
        <w:rPr>
          <w:rStyle w:val="StrongEmphasis"/>
          <w:rFonts w:ascii="Times New Roman" w:hAnsi="Times New Roman" w:cs="Times New Roman"/>
          <w:b w:val="0"/>
          <w:bCs w:val="0"/>
        </w:rPr>
        <w:t xml:space="preserve"> canal para aliviar a </w:t>
      </w:r>
      <w:proofErr w:type="spellStart"/>
      <w:r w:rsidRPr="00B229B1">
        <w:rPr>
          <w:rStyle w:val="StrongEmphasis"/>
          <w:rFonts w:ascii="Times New Roman" w:hAnsi="Times New Roman" w:cs="Times New Roman"/>
          <w:b w:val="0"/>
          <w:bCs w:val="0"/>
        </w:rPr>
        <w:t>tensão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associada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ao</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mascaramento</w:t>
      </w:r>
      <w:proofErr w:type="spellEnd"/>
      <w:r w:rsidRPr="00B229B1">
        <w:rPr>
          <w:rStyle w:val="StrongEmphasis"/>
          <w:rFonts w:ascii="Times New Roman" w:hAnsi="Times New Roman" w:cs="Times New Roman"/>
          <w:b w:val="0"/>
          <w:bCs w:val="0"/>
        </w:rPr>
        <w:t xml:space="preserve"> de </w:t>
      </w:r>
      <w:proofErr w:type="spellStart"/>
      <w:r w:rsidRPr="00B229B1">
        <w:rPr>
          <w:rStyle w:val="StrongEmphasis"/>
          <w:rFonts w:ascii="Times New Roman" w:hAnsi="Times New Roman" w:cs="Times New Roman"/>
          <w:b w:val="0"/>
          <w:bCs w:val="0"/>
        </w:rPr>
        <w:t>sua</w:t>
      </w:r>
      <w:proofErr w:type="spellEnd"/>
      <w:r w:rsidRPr="00B229B1">
        <w:rPr>
          <w:rStyle w:val="StrongEmphasis"/>
          <w:rFonts w:ascii="Times New Roman" w:hAnsi="Times New Roman" w:cs="Times New Roman"/>
          <w:b w:val="0"/>
          <w:bCs w:val="0"/>
        </w:rPr>
        <w:t xml:space="preserve"> </w:t>
      </w:r>
      <w:proofErr w:type="spellStart"/>
      <w:r w:rsidRPr="00B229B1">
        <w:rPr>
          <w:rStyle w:val="StrongEmphasis"/>
          <w:rFonts w:ascii="Times New Roman" w:hAnsi="Times New Roman" w:cs="Times New Roman"/>
          <w:b w:val="0"/>
          <w:bCs w:val="0"/>
        </w:rPr>
        <w:t>condição</w:t>
      </w:r>
      <w:proofErr w:type="spellEnd"/>
      <w:r w:rsidRPr="00B229B1">
        <w:rPr>
          <w:rStyle w:val="StrongEmphasis"/>
          <w:rFonts w:ascii="Times New Roman" w:hAnsi="Times New Roman" w:cs="Times New Roman"/>
          <w:b w:val="0"/>
          <w:bCs w:val="0"/>
        </w:rPr>
        <w:t>.</w:t>
      </w:r>
    </w:p>
    <w:p w14:paraId="5D112253" w14:textId="5B40A032" w:rsidR="00B229B1" w:rsidRDefault="00B229B1" w:rsidP="00B229B1">
      <w:pPr>
        <w:spacing w:line="360" w:lineRule="auto"/>
        <w:jc w:val="both"/>
        <w:rPr>
          <w:rStyle w:val="StrongEmphasis"/>
          <w:rFonts w:ascii="Times New Roman" w:hAnsi="Times New Roman" w:cs="Times New Roman"/>
          <w:b w:val="0"/>
          <w:bCs w:val="0"/>
        </w:rPr>
      </w:pPr>
      <w:proofErr w:type="spellStart"/>
      <w:r w:rsidRPr="00B229B1">
        <w:rPr>
          <w:rFonts w:asciiTheme="minorHAnsi" w:hAnsiTheme="minorHAnsi" w:cstheme="minorHAnsi"/>
          <w:b/>
          <w:bCs/>
          <w:sz w:val="28"/>
          <w:szCs w:val="28"/>
        </w:rPr>
        <w:t>Palavras</w:t>
      </w:r>
      <w:proofErr w:type="spellEnd"/>
      <w:r w:rsidRPr="00B229B1">
        <w:rPr>
          <w:rFonts w:asciiTheme="minorHAnsi" w:hAnsiTheme="minorHAnsi" w:cstheme="minorHAnsi"/>
          <w:b/>
          <w:bCs/>
          <w:sz w:val="28"/>
          <w:szCs w:val="28"/>
        </w:rPr>
        <w:t>-chave:</w:t>
      </w:r>
      <w:r w:rsidRPr="00B229B1">
        <w:rPr>
          <w:rFonts w:ascii="Times New Roman" w:hAnsi="Times New Roman"/>
          <w:b/>
          <w:bCs/>
          <w:sz w:val="32"/>
          <w:szCs w:val="32"/>
        </w:rPr>
        <w:t xml:space="preserve"> </w:t>
      </w:r>
      <w:proofErr w:type="spellStart"/>
      <w:r w:rsidRPr="00B229B1">
        <w:rPr>
          <w:rStyle w:val="StrongEmphasis"/>
          <w:rFonts w:ascii="Times New Roman" w:hAnsi="Times New Roman" w:cs="Times New Roman"/>
          <w:b w:val="0"/>
          <w:bCs w:val="0"/>
        </w:rPr>
        <w:t>gênero</w:t>
      </w:r>
      <w:proofErr w:type="spellEnd"/>
      <w:r w:rsidRPr="00B229B1">
        <w:rPr>
          <w:rStyle w:val="StrongEmphasis"/>
          <w:rFonts w:ascii="Times New Roman" w:hAnsi="Times New Roman" w:cs="Times New Roman"/>
          <w:b w:val="0"/>
          <w:bCs w:val="0"/>
        </w:rPr>
        <w:t xml:space="preserve">, TDAH, </w:t>
      </w:r>
      <w:proofErr w:type="spellStart"/>
      <w:r w:rsidRPr="00B229B1">
        <w:rPr>
          <w:rStyle w:val="StrongEmphasis"/>
          <w:rFonts w:ascii="Times New Roman" w:hAnsi="Times New Roman" w:cs="Times New Roman"/>
          <w:b w:val="0"/>
          <w:bCs w:val="0"/>
        </w:rPr>
        <w:t>transtorno</w:t>
      </w:r>
      <w:proofErr w:type="spellEnd"/>
      <w:r w:rsidRPr="00B229B1">
        <w:rPr>
          <w:rStyle w:val="StrongEmphasis"/>
          <w:rFonts w:ascii="Times New Roman" w:hAnsi="Times New Roman" w:cs="Times New Roman"/>
          <w:b w:val="0"/>
          <w:bCs w:val="0"/>
        </w:rPr>
        <w:t xml:space="preserve"> de déficit de </w:t>
      </w:r>
      <w:proofErr w:type="spellStart"/>
      <w:r w:rsidRPr="00B229B1">
        <w:rPr>
          <w:rStyle w:val="StrongEmphasis"/>
          <w:rFonts w:ascii="Times New Roman" w:hAnsi="Times New Roman" w:cs="Times New Roman"/>
          <w:b w:val="0"/>
          <w:bCs w:val="0"/>
        </w:rPr>
        <w:t>atenção</w:t>
      </w:r>
      <w:proofErr w:type="spellEnd"/>
      <w:r w:rsidRPr="00B229B1">
        <w:rPr>
          <w:rStyle w:val="StrongEmphasis"/>
          <w:rFonts w:ascii="Times New Roman" w:hAnsi="Times New Roman" w:cs="Times New Roman"/>
          <w:b w:val="0"/>
          <w:bCs w:val="0"/>
        </w:rPr>
        <w:t xml:space="preserve"> e </w:t>
      </w:r>
      <w:proofErr w:type="spellStart"/>
      <w:r w:rsidRPr="00B229B1">
        <w:rPr>
          <w:rStyle w:val="StrongEmphasis"/>
          <w:rFonts w:ascii="Times New Roman" w:hAnsi="Times New Roman" w:cs="Times New Roman"/>
          <w:b w:val="0"/>
          <w:bCs w:val="0"/>
        </w:rPr>
        <w:t>hiperatividade</w:t>
      </w:r>
      <w:proofErr w:type="spellEnd"/>
      <w:r w:rsidRPr="00B229B1">
        <w:rPr>
          <w:rStyle w:val="StrongEmphasis"/>
          <w:rFonts w:ascii="Times New Roman" w:hAnsi="Times New Roman" w:cs="Times New Roman"/>
          <w:b w:val="0"/>
          <w:bCs w:val="0"/>
        </w:rPr>
        <w:t xml:space="preserve">, técnicas de </w:t>
      </w:r>
      <w:proofErr w:type="spellStart"/>
      <w:r w:rsidRPr="00B229B1">
        <w:rPr>
          <w:rStyle w:val="StrongEmphasis"/>
          <w:rFonts w:ascii="Times New Roman" w:hAnsi="Times New Roman" w:cs="Times New Roman"/>
          <w:b w:val="0"/>
          <w:bCs w:val="0"/>
        </w:rPr>
        <w:t>estudo</w:t>
      </w:r>
      <w:proofErr w:type="spellEnd"/>
      <w:r w:rsidRPr="00B229B1">
        <w:rPr>
          <w:rStyle w:val="StrongEmphasis"/>
          <w:rFonts w:ascii="Times New Roman" w:hAnsi="Times New Roman" w:cs="Times New Roman"/>
          <w:b w:val="0"/>
          <w:bCs w:val="0"/>
        </w:rPr>
        <w:t>, incluso.</w:t>
      </w:r>
    </w:p>
    <w:p w14:paraId="36302466" w14:textId="69497D94" w:rsidR="00B229B1" w:rsidRPr="00881828" w:rsidRDefault="00B229B1" w:rsidP="00B229B1">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r>
        <w:rPr>
          <w:rFonts w:ascii="Times New Roman" w:hAnsi="Times New Roman"/>
          <w:color w:val="000000"/>
          <w:sz w:val="24"/>
        </w:rPr>
        <w:t>Julio</w:t>
      </w:r>
      <w:r w:rsidRPr="00881828">
        <w:rPr>
          <w:rFonts w:ascii="Times New Roman" w:hAnsi="Times New Roman"/>
          <w:color w:val="000000"/>
          <w:sz w:val="24"/>
        </w:rPr>
        <w:t xml:space="preserve"> 2024                                     </w:t>
      </w:r>
      <w:r>
        <w:rPr>
          <w:rFonts w:ascii="Times New Roman" w:hAnsi="Times New Roman"/>
          <w:color w:val="000000"/>
          <w:sz w:val="24"/>
        </w:rPr>
        <w:t xml:space="preserve"> </w:t>
      </w:r>
      <w:r w:rsidRPr="00881828">
        <w:rPr>
          <w:rFonts w:ascii="Times New Roman" w:hAnsi="Times New Roman"/>
          <w:color w:val="000000"/>
          <w:sz w:val="24"/>
        </w:rPr>
        <w:t xml:space="preserve">  </w:t>
      </w:r>
      <w:r w:rsidRPr="00881828">
        <w:rPr>
          <w:rFonts w:ascii="Times New Roman" w:hAnsi="Times New Roman"/>
          <w:b/>
          <w:color w:val="000000"/>
          <w:sz w:val="24"/>
        </w:rPr>
        <w:t xml:space="preserve">Fecha Aceptación: </w:t>
      </w:r>
      <w:proofErr w:type="gramStart"/>
      <w:r>
        <w:rPr>
          <w:rFonts w:ascii="Times New Roman" w:hAnsi="Times New Roman"/>
          <w:color w:val="000000"/>
          <w:sz w:val="24"/>
        </w:rPr>
        <w:t>Enero</w:t>
      </w:r>
      <w:proofErr w:type="gramEnd"/>
      <w:r w:rsidRPr="00881828">
        <w:rPr>
          <w:rFonts w:ascii="Times New Roman" w:hAnsi="Times New Roman"/>
          <w:color w:val="000000"/>
          <w:sz w:val="24"/>
        </w:rPr>
        <w:t xml:space="preserve"> 2025</w:t>
      </w:r>
    </w:p>
    <w:p w14:paraId="740B95BA" w14:textId="6FF12DAD" w:rsidR="00B229B1" w:rsidRDefault="00000000" w:rsidP="00B229B1">
      <w:pPr>
        <w:spacing w:line="360" w:lineRule="auto"/>
        <w:jc w:val="both"/>
        <w:rPr>
          <w:rFonts w:ascii="Times New Roman" w:hAnsi="Times New Roman"/>
          <w:b/>
          <w:bCs/>
          <w:sz w:val="32"/>
          <w:szCs w:val="32"/>
        </w:rPr>
      </w:pPr>
      <w:r>
        <w:rPr>
          <w:noProof/>
        </w:rPr>
        <w:pict w14:anchorId="6476A1F5">
          <v:rect id="_x0000_i1025" style="width:441.9pt;height:.05pt" o:hralign="center" o:hrstd="t" o:hr="t" fillcolor="#a0a0a0" stroked="f"/>
        </w:pict>
      </w:r>
    </w:p>
    <w:p w14:paraId="3140AA52" w14:textId="77777777" w:rsidR="00F30677" w:rsidRDefault="00000000" w:rsidP="00B229B1">
      <w:pPr>
        <w:spacing w:line="360" w:lineRule="auto"/>
        <w:jc w:val="center"/>
      </w:pPr>
      <w:r>
        <w:rPr>
          <w:rFonts w:ascii="Times New Roman" w:hAnsi="Times New Roman"/>
          <w:b/>
          <w:bCs/>
          <w:sz w:val="32"/>
          <w:szCs w:val="32"/>
        </w:rPr>
        <w:t>Introducción</w:t>
      </w:r>
    </w:p>
    <w:p w14:paraId="18D2CCD4" w14:textId="77777777" w:rsidR="00F30677" w:rsidRDefault="00000000" w:rsidP="00B229B1">
      <w:pPr>
        <w:pStyle w:val="Textoindependiente"/>
        <w:spacing w:after="0" w:line="360" w:lineRule="auto"/>
        <w:ind w:firstLine="709"/>
        <w:jc w:val="both"/>
      </w:pPr>
      <w:r>
        <w:rPr>
          <w:rFonts w:ascii="Times New Roman" w:hAnsi="Times New Roman" w:cs="Times New Roman"/>
          <w:spacing w:val="-2"/>
        </w:rPr>
        <w:t>El trastorno por déficit de atención con hiperactividad (TDAH) es considerado un trastorno del neurodesarrollo con or</w:t>
      </w:r>
      <w:r>
        <w:rPr>
          <w:rFonts w:ascii="Times New Roman" w:hAnsi="Times New Roman" w:cs="Times New Roman"/>
          <w:color w:val="000000"/>
          <w:spacing w:val="-2"/>
        </w:rPr>
        <w:t>ígenes neurobiológico-genéticos (</w:t>
      </w:r>
      <w:proofErr w:type="spellStart"/>
      <w:r>
        <w:rPr>
          <w:rFonts w:ascii="Times New Roman" w:hAnsi="Times New Roman" w:cs="Times New Roman"/>
          <w:color w:val="000000"/>
          <w:spacing w:val="-2"/>
        </w:rPr>
        <w:t>Biederman</w:t>
      </w:r>
      <w:proofErr w:type="spellEnd"/>
      <w:r>
        <w:rPr>
          <w:rFonts w:ascii="Times New Roman" w:hAnsi="Times New Roman" w:cs="Times New Roman"/>
          <w:color w:val="000000"/>
          <w:spacing w:val="-2"/>
        </w:rPr>
        <w:t xml:space="preserve">, 2004, p. 1216) y no sociales (Barkley, 2015, p. 38), pero </w:t>
      </w:r>
      <w:proofErr w:type="spellStart"/>
      <w:r>
        <w:rPr>
          <w:rFonts w:ascii="Times New Roman" w:hAnsi="Times New Roman" w:cs="Times New Roman"/>
          <w:color w:val="000000"/>
          <w:spacing w:val="-2"/>
        </w:rPr>
        <w:t>agravables</w:t>
      </w:r>
      <w:proofErr w:type="spellEnd"/>
      <w:r>
        <w:rPr>
          <w:rFonts w:ascii="Times New Roman" w:hAnsi="Times New Roman" w:cs="Times New Roman"/>
          <w:color w:val="000000"/>
          <w:spacing w:val="-2"/>
        </w:rPr>
        <w:t xml:space="preserve"> por aspectos socio-</w:t>
      </w:r>
      <w:r>
        <w:rPr>
          <w:rFonts w:ascii="Times New Roman" w:hAnsi="Times New Roman" w:cs="Times New Roman"/>
          <w:spacing w:val="-2"/>
        </w:rPr>
        <w:t>ambientales (Magnus et al, 2023). La heredabilidad del TDAH se estima entre el 70% y el 90% (</w:t>
      </w:r>
      <w:proofErr w:type="spellStart"/>
      <w:r>
        <w:rPr>
          <w:rFonts w:ascii="Times New Roman" w:hAnsi="Times New Roman" w:cs="Times New Roman"/>
          <w:spacing w:val="-2"/>
        </w:rPr>
        <w:t>Rusca</w:t>
      </w:r>
      <w:proofErr w:type="spellEnd"/>
      <w:r>
        <w:rPr>
          <w:rFonts w:ascii="Times New Roman" w:hAnsi="Times New Roman" w:cs="Times New Roman"/>
          <w:spacing w:val="-2"/>
        </w:rPr>
        <w:t xml:space="preserve"> y Cortez, 2020). La percepción de las personas con TDAH varía según los contextos socioculturales, ya que los diferentes entornos influyen en cómo se percibe la sintomatología. De esta manera, la cultura se convierte en un factor fundamental en la construcción de las experiencias de quienes padecen este trastorno (Díaz et al, 2013).</w:t>
      </w:r>
    </w:p>
    <w:p w14:paraId="6A08ADF7" w14:textId="77777777" w:rsidR="00F30677" w:rsidRDefault="00000000" w:rsidP="00B229B1">
      <w:pPr>
        <w:pStyle w:val="Textoindependiente"/>
        <w:spacing w:after="0" w:line="360" w:lineRule="auto"/>
        <w:jc w:val="both"/>
      </w:pPr>
      <w:r>
        <w:rPr>
          <w:rFonts w:ascii="Times New Roman" w:hAnsi="Times New Roman" w:cs="Times New Roman"/>
          <w:spacing w:val="-2"/>
        </w:rPr>
        <w:tab/>
        <w:t xml:space="preserve">Al igual que el contexto influye en la percepción de la sintomatología del TDAH, también puede impactar las estimaciones de su prevalencia. </w:t>
      </w:r>
      <w:proofErr w:type="spellStart"/>
      <w:r>
        <w:rPr>
          <w:rFonts w:ascii="Times New Roman" w:hAnsi="Times New Roman" w:cs="Times New Roman"/>
          <w:spacing w:val="-2"/>
        </w:rPr>
        <w:t>Polanczyk</w:t>
      </w:r>
      <w:proofErr w:type="spellEnd"/>
      <w:r>
        <w:rPr>
          <w:rFonts w:ascii="Times New Roman" w:hAnsi="Times New Roman" w:cs="Times New Roman"/>
          <w:spacing w:val="-2"/>
        </w:rPr>
        <w:t xml:space="preserve">, et al, (2007, p. 947) señalan que no se encontraron grandes diferencias en la prevalencia del TDAH entre </w:t>
      </w:r>
      <w:r>
        <w:rPr>
          <w:rFonts w:ascii="Times New Roman" w:hAnsi="Times New Roman" w:cs="Times New Roman"/>
          <w:spacing w:val="-2"/>
        </w:rPr>
        <w:lastRenderedPageBreak/>
        <w:t>América, Europa, Asia y Oceanía. No obstante, existen diferencias significativas entre Europa, África y Medio Oriente. Estas disparidades se explican en gran parte por factores socioeconómicos, regionales o geográficos, que afectan los diagnósticos (</w:t>
      </w:r>
      <w:proofErr w:type="spellStart"/>
      <w:r>
        <w:rPr>
          <w:rFonts w:ascii="Times New Roman" w:hAnsi="Times New Roman" w:cs="Times New Roman"/>
          <w:spacing w:val="-2"/>
        </w:rPr>
        <w:t>Vasiliadis</w:t>
      </w:r>
      <w:proofErr w:type="spellEnd"/>
      <w:r>
        <w:rPr>
          <w:rFonts w:ascii="Times New Roman" w:hAnsi="Times New Roman" w:cs="Times New Roman"/>
          <w:spacing w:val="-2"/>
        </w:rPr>
        <w:t>, et al, 2024). La percepción cultural de lo que se considera "normal" en cuanto a la conducta, o las características del TDAH, puede influir en cómo se realizan las evaluaciones.</w:t>
      </w:r>
    </w:p>
    <w:p w14:paraId="6A06CB79" w14:textId="77777777" w:rsidR="00F30677" w:rsidRDefault="00000000" w:rsidP="00B229B1">
      <w:pPr>
        <w:pStyle w:val="Textoindependiente"/>
        <w:spacing w:before="58" w:after="0" w:line="360" w:lineRule="auto"/>
        <w:jc w:val="both"/>
      </w:pPr>
      <w:r>
        <w:rPr>
          <w:rFonts w:ascii="Times New Roman" w:hAnsi="Times New Roman" w:cs="Times New Roman"/>
          <w:b/>
          <w:bCs/>
          <w:spacing w:val="-2"/>
        </w:rPr>
        <w:tab/>
      </w:r>
      <w:r>
        <w:rPr>
          <w:rFonts w:ascii="Times New Roman" w:hAnsi="Times New Roman" w:cs="Times New Roman"/>
          <w:spacing w:val="-2"/>
        </w:rPr>
        <w:t>Para conocer los síntomas del TDAH, es esencial recordar que el DSM-5 (APA, 2014) lo divide en tres subtipos: TDAH con predominio del déficit de atención, TDAH con predominio hiperactivo-impulsivo y TDAH de tipo combinado.</w:t>
      </w:r>
    </w:p>
    <w:p w14:paraId="21B8CCA2" w14:textId="77777777" w:rsidR="00F30677" w:rsidRDefault="00000000" w:rsidP="00B229B1">
      <w:pPr>
        <w:pStyle w:val="Textoindependiente"/>
        <w:spacing w:before="58" w:after="0" w:line="360" w:lineRule="auto"/>
        <w:jc w:val="both"/>
      </w:pPr>
      <w:r>
        <w:rPr>
          <w:rFonts w:ascii="Times New Roman" w:hAnsi="Times New Roman" w:cs="Times New Roman"/>
          <w:spacing w:val="-2"/>
        </w:rPr>
        <w:tab/>
        <w:t>Las personas con TDAH presentan un déficit en funciones ejecutivas, como la inhibición del comportamiento (inhibición motora y cognitiva), flexibilidad cognitiva y planificación y organización de tareas (Rubiales, et al, 2016). La literatura relaciona estas cuatro partes del cerebro con la sintomatología del TDAH. A pesar de la variedad de síntomas, los principales indicadores del TDAH son la inatención, sobre alerta y la impulsividad. En niños, estos síntomas son más visibles en el ámbito académico y social. Según el DSM-5 (APA, 2014, p. 59), algunos síntomas incluyen:</w:t>
      </w:r>
    </w:p>
    <w:p w14:paraId="498F1700" w14:textId="77777777" w:rsidR="00F30677" w:rsidRPr="00086E70" w:rsidRDefault="00000000" w:rsidP="00B229B1">
      <w:pPr>
        <w:pStyle w:val="Textoindependiente"/>
        <w:spacing w:before="58" w:after="0" w:line="360" w:lineRule="auto"/>
        <w:ind w:left="720"/>
        <w:jc w:val="both"/>
        <w:rPr>
          <w:sz w:val="26"/>
          <w:szCs w:val="28"/>
        </w:rPr>
      </w:pPr>
      <w:r w:rsidRPr="00086E70">
        <w:rPr>
          <w:rFonts w:ascii="Times New Roman" w:hAnsi="Times New Roman" w:cs="Times New Roman"/>
          <w:spacing w:val="-2"/>
        </w:rPr>
        <w:t>“Inatención: No prestar atención a detalles, mantener poco tiempo la atención, parecer no escuchar cuando se le habla... Hiperactividad: Jugar con manos o pies, dificultad para permanecer sentado, correr o hablar mucho, incomodidad al estar quieto... Impulsividad: Moverse en situaciones inapropiadas, actuar sin pensar, responder antes de que se le termine de preguntar, interrumpir conversaciones.”</w:t>
      </w:r>
    </w:p>
    <w:p w14:paraId="11724507" w14:textId="77777777" w:rsidR="00F30677" w:rsidRDefault="00000000" w:rsidP="00B229B1">
      <w:pPr>
        <w:pStyle w:val="Textoindependiente"/>
        <w:spacing w:before="58" w:after="0" w:line="360" w:lineRule="auto"/>
        <w:jc w:val="both"/>
        <w:rPr>
          <w:rFonts w:ascii="Times New Roman" w:hAnsi="Times New Roman" w:cs="Times New Roman"/>
          <w:spacing w:val="-2"/>
        </w:rPr>
      </w:pPr>
      <w:r>
        <w:rPr>
          <w:rFonts w:ascii="Times New Roman" w:hAnsi="Times New Roman" w:cs="Times New Roman"/>
          <w:spacing w:val="-2"/>
        </w:rPr>
        <w:tab/>
        <w:t>Conocer y comprender las manifestaciones del Trastorno por Déficit de Atención e Hiperactividad (TDAH) es fundamental para su diagnóstico y tratamiento efectivo, permitiendo abordar integralmente las necesidades de quienes lo padecen. Un aspecto crucial del TDAH es su frecuente comorbilidad con otros trastornos, lo cual complica tanto su diagnóstico como su tratamiento. Según Zúñiga y Durán (2014, p. 644), las comorbilidades más comunes incluyen Trastornos del Aprendizaje (46% frente a 5%), Trastorno de Conducta (27% frente a 2%), Ansiedad (18% frente a 2%), Depresión (14% frente a 1%), Trastornos del Lenguaje (12% frente a 3%), Trastornos del Espectro Autista (6% frente a 0.6%) y Epilepsia (2.6% frente a 0.6%). Souza et al, (2005) destacan que es difícil identificar una manifestaci</w:t>
      </w:r>
      <w:r>
        <w:rPr>
          <w:rFonts w:ascii="Times New Roman" w:hAnsi="Times New Roman" w:cs="Times New Roman"/>
          <w:color w:val="000000"/>
          <w:spacing w:val="-2"/>
        </w:rPr>
        <w:t>ón aislada</w:t>
      </w:r>
      <w:r>
        <w:rPr>
          <w:rFonts w:ascii="Times New Roman" w:hAnsi="Times New Roman" w:cs="Times New Roman"/>
          <w:spacing w:val="-2"/>
        </w:rPr>
        <w:t xml:space="preserve"> del TDAH debido a estas frecuentes asociaciones.</w:t>
      </w:r>
    </w:p>
    <w:p w14:paraId="1161B77E" w14:textId="77777777" w:rsidR="00086E70" w:rsidRDefault="00086E70" w:rsidP="00B229B1">
      <w:pPr>
        <w:pStyle w:val="Textoindependiente"/>
        <w:spacing w:before="58" w:after="0" w:line="360" w:lineRule="auto"/>
        <w:jc w:val="both"/>
        <w:rPr>
          <w:rFonts w:ascii="Times New Roman" w:hAnsi="Times New Roman" w:cs="Times New Roman"/>
          <w:spacing w:val="-2"/>
        </w:rPr>
      </w:pPr>
    </w:p>
    <w:p w14:paraId="7B7DD685" w14:textId="77777777" w:rsidR="00086E70" w:rsidRDefault="00086E70" w:rsidP="00B229B1">
      <w:pPr>
        <w:pStyle w:val="Textoindependiente"/>
        <w:spacing w:before="58" w:after="0" w:line="360" w:lineRule="auto"/>
        <w:jc w:val="both"/>
        <w:rPr>
          <w:rFonts w:ascii="Times New Roman" w:hAnsi="Times New Roman" w:cs="Times New Roman"/>
          <w:spacing w:val="-2"/>
        </w:rPr>
      </w:pPr>
    </w:p>
    <w:p w14:paraId="5CD7E2DC" w14:textId="77777777" w:rsidR="00086E70" w:rsidRDefault="00086E70" w:rsidP="00B229B1">
      <w:pPr>
        <w:pStyle w:val="Textoindependiente"/>
        <w:spacing w:before="58" w:after="0" w:line="360" w:lineRule="auto"/>
        <w:jc w:val="both"/>
        <w:rPr>
          <w:rFonts w:ascii="Times New Roman" w:hAnsi="Times New Roman" w:cs="Times New Roman"/>
          <w:spacing w:val="-2"/>
        </w:rPr>
      </w:pPr>
    </w:p>
    <w:p w14:paraId="2F76EF43" w14:textId="77777777" w:rsidR="00086E70" w:rsidRDefault="00086E70" w:rsidP="00B229B1">
      <w:pPr>
        <w:pStyle w:val="Textoindependiente"/>
        <w:spacing w:before="58" w:after="0" w:line="360" w:lineRule="auto"/>
        <w:jc w:val="both"/>
      </w:pPr>
    </w:p>
    <w:p w14:paraId="67CED1D7" w14:textId="77777777" w:rsidR="00F30677" w:rsidRDefault="00000000" w:rsidP="00086E70">
      <w:pPr>
        <w:pStyle w:val="Textoindependiente"/>
        <w:spacing w:before="86" w:after="0" w:line="360" w:lineRule="auto"/>
        <w:jc w:val="center"/>
      </w:pPr>
      <w:r>
        <w:rPr>
          <w:rFonts w:ascii="Times New Roman" w:hAnsi="Times New Roman" w:cs="Times New Roman"/>
          <w:b/>
          <w:bCs/>
          <w:spacing w:val="-2"/>
        </w:rPr>
        <w:lastRenderedPageBreak/>
        <w:t>El TDAH rumbo a la edad adulta</w:t>
      </w:r>
    </w:p>
    <w:p w14:paraId="04551D12" w14:textId="77777777" w:rsidR="00F30677" w:rsidRDefault="00000000" w:rsidP="0035700B">
      <w:pPr>
        <w:pStyle w:val="Textoindependiente"/>
        <w:spacing w:after="0" w:line="360" w:lineRule="auto"/>
        <w:jc w:val="both"/>
      </w:pPr>
      <w:r>
        <w:rPr>
          <w:rFonts w:ascii="Times New Roman" w:hAnsi="Times New Roman" w:cs="Times New Roman"/>
          <w:spacing w:val="-2"/>
        </w:rPr>
        <w:t xml:space="preserve">Aunque el TDAH suele detectarse en la niñez, no desaparece con la edad; en la adultez, los síntomas se adaptan, a menudo pasando desapercibidos al permitir cierto nivel de funcionalidad (Sepúlveda y Espina, 2021). </w:t>
      </w:r>
      <w:proofErr w:type="spellStart"/>
      <w:r>
        <w:rPr>
          <w:rFonts w:ascii="Times New Roman" w:hAnsi="Times New Roman" w:cs="Times New Roman"/>
          <w:spacing w:val="-2"/>
        </w:rPr>
        <w:t>Ginapp</w:t>
      </w:r>
      <w:proofErr w:type="spellEnd"/>
      <w:r>
        <w:rPr>
          <w:rFonts w:ascii="Times New Roman" w:hAnsi="Times New Roman" w:cs="Times New Roman"/>
          <w:spacing w:val="-2"/>
        </w:rPr>
        <w:t xml:space="preserve"> et al, (2023) describen cómo los adultos con TDAH enfrentan dificultades persistentes en la regulación de la atención, que se manifiestan como </w:t>
      </w:r>
      <w:proofErr w:type="spellStart"/>
      <w:r>
        <w:rPr>
          <w:rFonts w:ascii="Times New Roman" w:hAnsi="Times New Roman" w:cs="Times New Roman"/>
          <w:spacing w:val="-2"/>
        </w:rPr>
        <w:t>hiperfoco</w:t>
      </w:r>
      <w:proofErr w:type="spellEnd"/>
      <w:r>
        <w:rPr>
          <w:rFonts w:ascii="Times New Roman" w:hAnsi="Times New Roman" w:cs="Times New Roman"/>
          <w:spacing w:val="-2"/>
        </w:rPr>
        <w:t xml:space="preserve"> o incapacidad para concentrarse. Entre los facilitadores del enfoque en adultos se incluyen un entorno de trabajo despejado y la realización de tareas novedosas.</w:t>
      </w:r>
    </w:p>
    <w:p w14:paraId="5048E799" w14:textId="77777777" w:rsidR="00F30677" w:rsidRDefault="00000000" w:rsidP="0035700B">
      <w:pPr>
        <w:pStyle w:val="Textoindependiente"/>
        <w:spacing w:after="0" w:line="360" w:lineRule="auto"/>
        <w:jc w:val="both"/>
      </w:pPr>
      <w:r>
        <w:rPr>
          <w:rFonts w:ascii="Times New Roman" w:hAnsi="Times New Roman" w:cs="Times New Roman"/>
          <w:spacing w:val="-2"/>
        </w:rPr>
        <w:tab/>
        <w:t>La impulsividad en adultos puede expresarse de manera leve, como interrumpir en conversaciones o realizar compras compulsivas, o de manera más grave, como comportamientos imprudentes (</w:t>
      </w:r>
      <w:proofErr w:type="spellStart"/>
      <w:r>
        <w:rPr>
          <w:rFonts w:ascii="Times New Roman" w:hAnsi="Times New Roman" w:cs="Times New Roman"/>
          <w:spacing w:val="-2"/>
        </w:rPr>
        <w:t>Marifil</w:t>
      </w:r>
      <w:proofErr w:type="spellEnd"/>
      <w:r>
        <w:rPr>
          <w:rFonts w:ascii="Times New Roman" w:hAnsi="Times New Roman" w:cs="Times New Roman"/>
          <w:spacing w:val="-2"/>
        </w:rPr>
        <w:t xml:space="preserve"> et al, 2021); por otro lado, se considera que la hiperactividad es menos evidente que en la infancia, pero se presenta como inquietud motora, movimiento constante de extremidades o reacomodación frecuente. Además, los adultos con TDAH suelen experimentar dificultades en la regulación emocional, incluyendo la sensibilidad al rechazo y una expresión emocional exagerada (alexitimia). Rogers et al (2017) también observan una mayor prevalencia de fatiga en esta población.</w:t>
      </w:r>
    </w:p>
    <w:p w14:paraId="17E9AAEE" w14:textId="77777777" w:rsidR="00F30677" w:rsidRDefault="00000000" w:rsidP="00B229B1">
      <w:pPr>
        <w:pStyle w:val="Textoindependiente"/>
        <w:spacing w:before="58" w:after="0" w:line="360" w:lineRule="auto"/>
        <w:jc w:val="both"/>
      </w:pPr>
      <w:r>
        <w:rPr>
          <w:rFonts w:ascii="Times New Roman" w:hAnsi="Times New Roman" w:cs="Times New Roman"/>
          <w:b/>
          <w:bCs/>
          <w:spacing w:val="-2"/>
        </w:rPr>
        <w:tab/>
      </w:r>
      <w:r>
        <w:rPr>
          <w:rFonts w:ascii="Times New Roman" w:hAnsi="Times New Roman" w:cs="Times New Roman"/>
          <w:spacing w:val="-2"/>
        </w:rPr>
        <w:t>La inclusión educativa de personas con TDAH está respaldada por iniciativas globales como la Declaración Mundial sobre Educación para Todos (WCEFA, 1990), cuyo artículo 3 promueve la igualdad de acceso a la educación para todos. Estad</w:t>
      </w:r>
      <w:r>
        <w:rPr>
          <w:rFonts w:ascii="Times New Roman" w:hAnsi="Times New Roman" w:cs="Times New Roman"/>
          <w:color w:val="000000"/>
          <w:spacing w:val="-2"/>
        </w:rPr>
        <w:t xml:space="preserve">ísticamente, en México, según el </w:t>
      </w:r>
      <w:proofErr w:type="spellStart"/>
      <w:r>
        <w:rPr>
          <w:rFonts w:ascii="Times New Roman" w:hAnsi="Times New Roman" w:cs="Times New Roman"/>
          <w:i/>
          <w:iCs/>
          <w:color w:val="000000"/>
          <w:spacing w:val="-2"/>
        </w:rPr>
        <w:t>Institute</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for</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Health</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Metrics</w:t>
      </w:r>
      <w:proofErr w:type="spellEnd"/>
      <w:r>
        <w:rPr>
          <w:rFonts w:ascii="Times New Roman" w:hAnsi="Times New Roman" w:cs="Times New Roman"/>
          <w:i/>
          <w:iCs/>
          <w:color w:val="000000"/>
          <w:spacing w:val="-2"/>
        </w:rPr>
        <w:t xml:space="preserve"> and </w:t>
      </w:r>
      <w:proofErr w:type="spellStart"/>
      <w:r>
        <w:rPr>
          <w:rFonts w:ascii="Times New Roman" w:hAnsi="Times New Roman" w:cs="Times New Roman"/>
          <w:i/>
          <w:iCs/>
          <w:color w:val="000000"/>
          <w:spacing w:val="-2"/>
        </w:rPr>
        <w:t>Evaluation</w:t>
      </w:r>
      <w:proofErr w:type="spellEnd"/>
      <w:r>
        <w:rPr>
          <w:rFonts w:ascii="Times New Roman" w:hAnsi="Times New Roman" w:cs="Times New Roman"/>
          <w:color w:val="000000"/>
          <w:spacing w:val="-2"/>
        </w:rPr>
        <w:t xml:space="preserve"> (IHME, 2019), la prevalencia es de aproximadamente 1,128 casos por cada 100 mil personas </w:t>
      </w:r>
      <w:proofErr w:type="gramStart"/>
      <w:r>
        <w:rPr>
          <w:rFonts w:ascii="Times New Roman" w:hAnsi="Times New Roman" w:cs="Times New Roman"/>
          <w:color w:val="000000"/>
          <w:spacing w:val="-2"/>
        </w:rPr>
        <w:t>adultas..</w:t>
      </w:r>
      <w:proofErr w:type="gramEnd"/>
      <w:r>
        <w:rPr>
          <w:rFonts w:ascii="Times New Roman" w:hAnsi="Times New Roman" w:cs="Times New Roman"/>
          <w:color w:val="000000"/>
          <w:spacing w:val="-2"/>
        </w:rPr>
        <w:t xml:space="preserve"> E</w:t>
      </w:r>
      <w:r>
        <w:rPr>
          <w:rFonts w:ascii="Times New Roman" w:hAnsi="Times New Roman" w:cs="Times New Roman"/>
          <w:spacing w:val="-2"/>
        </w:rPr>
        <w:t>l primer consenso latinoamericano sobre TDAH, plasmado en la Declaración de México, destacó la necesidad de fortalecer la legislación para garantizar un diagnóstico y tratamiento oportuno, así como para prevenir la discriminación (Barragán y de la Peña, 2008).</w:t>
      </w:r>
    </w:p>
    <w:p w14:paraId="7A4F37D6" w14:textId="77777777" w:rsidR="00F30677" w:rsidRDefault="00000000" w:rsidP="00B229B1">
      <w:pPr>
        <w:pStyle w:val="Textoindependiente"/>
        <w:spacing w:after="0" w:line="360" w:lineRule="auto"/>
        <w:jc w:val="both"/>
      </w:pPr>
      <w:r>
        <w:rPr>
          <w:rFonts w:ascii="Times New Roman" w:hAnsi="Times New Roman" w:cs="Times New Roman"/>
          <w:spacing w:val="-2"/>
        </w:rPr>
        <w:tab/>
        <w:t>La importancia de investigar el TDAH en la Licenciatura en Inclusión Educativa radica en la posibilidad de generar datos que reflejen las realidades y necesidades de los estudiantes en Puebla, así como en contribuir al desarrollo de estrategias de apoyo culturalmente pertinentes. Como parte del panorama estadístico, es importante mencionar que, según un estudio de 2007, la prevalencia global del TDAH era del 5.3% en todas las edades (</w:t>
      </w:r>
      <w:proofErr w:type="spellStart"/>
      <w:r>
        <w:rPr>
          <w:rFonts w:ascii="Times New Roman" w:hAnsi="Times New Roman" w:cs="Times New Roman"/>
          <w:spacing w:val="-2"/>
        </w:rPr>
        <w:t>Polanczyk</w:t>
      </w:r>
      <w:proofErr w:type="spellEnd"/>
      <w:r>
        <w:rPr>
          <w:rFonts w:ascii="Times New Roman" w:hAnsi="Times New Roman" w:cs="Times New Roman"/>
          <w:spacing w:val="-2"/>
        </w:rPr>
        <w:t xml:space="preserve"> et al, 2007, p. 942). Para 2019, entre los niños, niñas y adolescentes con trastornos de salud mental, el TDAH afectaba al 19.5%, lo que lo posicionó como el tercer trastorno de salud mental más común, después de la depresión-ansiedad (42.9%) y los trastornos de comportamiento (20.1%) (UNICEF, 2022, p. 37).</w:t>
      </w:r>
    </w:p>
    <w:p w14:paraId="375CC792" w14:textId="77777777" w:rsidR="00086E70" w:rsidRDefault="00086E70" w:rsidP="00B229B1">
      <w:pPr>
        <w:pStyle w:val="Textoindependiente"/>
        <w:spacing w:before="144" w:after="0" w:line="360" w:lineRule="auto"/>
        <w:jc w:val="both"/>
        <w:rPr>
          <w:rFonts w:ascii="Times New Roman" w:hAnsi="Times New Roman" w:cs="Times New Roman"/>
          <w:b/>
          <w:bCs/>
          <w:spacing w:val="-2"/>
        </w:rPr>
      </w:pPr>
    </w:p>
    <w:p w14:paraId="0E288602" w14:textId="77777777" w:rsidR="00086E70" w:rsidRDefault="00086E70" w:rsidP="00B229B1">
      <w:pPr>
        <w:pStyle w:val="Textoindependiente"/>
        <w:spacing w:before="144" w:after="0" w:line="360" w:lineRule="auto"/>
        <w:jc w:val="both"/>
        <w:rPr>
          <w:rFonts w:ascii="Times New Roman" w:hAnsi="Times New Roman" w:cs="Times New Roman"/>
          <w:b/>
          <w:bCs/>
          <w:spacing w:val="-2"/>
        </w:rPr>
      </w:pPr>
    </w:p>
    <w:p w14:paraId="4C1E029B" w14:textId="7D6105CD" w:rsidR="00F30677" w:rsidRDefault="00000000" w:rsidP="00086E70">
      <w:pPr>
        <w:pStyle w:val="Textoindependiente"/>
        <w:spacing w:before="144" w:after="0" w:line="360" w:lineRule="auto"/>
        <w:jc w:val="center"/>
      </w:pPr>
      <w:r>
        <w:rPr>
          <w:rFonts w:ascii="Times New Roman" w:hAnsi="Times New Roman" w:cs="Times New Roman"/>
          <w:b/>
          <w:bCs/>
          <w:spacing w:val="-2"/>
        </w:rPr>
        <w:lastRenderedPageBreak/>
        <w:t>TDAH en estudiantes de educaci</w:t>
      </w:r>
      <w:r>
        <w:rPr>
          <w:rFonts w:ascii="Times New Roman" w:hAnsi="Times New Roman" w:cs="Times New Roman"/>
          <w:b/>
          <w:bCs/>
          <w:color w:val="000000"/>
          <w:spacing w:val="-2"/>
        </w:rPr>
        <w:t>ón superior</w:t>
      </w:r>
    </w:p>
    <w:p w14:paraId="3656C382" w14:textId="77777777" w:rsidR="00F30677" w:rsidRDefault="00000000" w:rsidP="00086E70">
      <w:pPr>
        <w:pStyle w:val="Textoindependiente"/>
        <w:spacing w:after="0" w:line="360" w:lineRule="auto"/>
        <w:jc w:val="both"/>
      </w:pPr>
      <w:r>
        <w:rPr>
          <w:rFonts w:ascii="Times New Roman" w:hAnsi="Times New Roman" w:cs="Times New Roman"/>
          <w:spacing w:val="-2"/>
        </w:rPr>
        <w:t>La transición a la educación superior representa un desafío considerable para los estudiantes con Trastorno por Déficit de Atención e Hiperactividad (TDAH) debido a las altas demandas de concentración, organización y autonomía van en aumento desde la niñez (Rubiales et al, 2016, p. 108). Granados</w:t>
      </w:r>
      <w:r>
        <w:rPr>
          <w:rFonts w:ascii="Times New Roman" w:hAnsi="Times New Roman" w:cs="Times New Roman"/>
          <w:color w:val="000000"/>
          <w:spacing w:val="-2"/>
        </w:rPr>
        <w:t xml:space="preserve"> </w:t>
      </w:r>
      <w:r>
        <w:rPr>
          <w:rFonts w:ascii="Times New Roman" w:hAnsi="Times New Roman" w:cs="Times New Roman"/>
          <w:spacing w:val="-2"/>
        </w:rPr>
        <w:t xml:space="preserve">et al, (2020) señalan que los estudiantes con TDAH suelen presentar deficiencias en autorregulación emocional, organización y atención, mientras que </w:t>
      </w:r>
      <w:proofErr w:type="spellStart"/>
      <w:r>
        <w:rPr>
          <w:rFonts w:ascii="Times New Roman" w:hAnsi="Times New Roman" w:cs="Times New Roman"/>
          <w:spacing w:val="-2"/>
        </w:rPr>
        <w:t>Michalek</w:t>
      </w:r>
      <w:proofErr w:type="spellEnd"/>
      <w:r>
        <w:rPr>
          <w:rFonts w:ascii="Times New Roman" w:hAnsi="Times New Roman" w:cs="Times New Roman"/>
          <w:spacing w:val="-2"/>
        </w:rPr>
        <w:t>, citado en Sepúlveda y Espina (2021), destaca que factores como el ruido pueden impactar negativamente la captación de información, afectando su rendimiento académico.</w:t>
      </w:r>
    </w:p>
    <w:p w14:paraId="39972BD7" w14:textId="77777777" w:rsidR="00F30677" w:rsidRDefault="00000000" w:rsidP="00086E70">
      <w:pPr>
        <w:pStyle w:val="Textoindependiente"/>
        <w:spacing w:after="0" w:line="360" w:lineRule="auto"/>
        <w:jc w:val="both"/>
      </w:pPr>
      <w:r>
        <w:rPr>
          <w:rFonts w:ascii="Times New Roman" w:hAnsi="Times New Roman" w:cs="Times New Roman"/>
          <w:spacing w:val="-2"/>
        </w:rPr>
        <w:tab/>
        <w:t>Para enfrentar los de su condici</w:t>
      </w:r>
      <w:r>
        <w:rPr>
          <w:rFonts w:ascii="Times New Roman" w:hAnsi="Times New Roman" w:cs="Times New Roman"/>
          <w:color w:val="000000"/>
          <w:spacing w:val="-2"/>
        </w:rPr>
        <w:t>ón</w:t>
      </w:r>
      <w:r>
        <w:rPr>
          <w:rFonts w:ascii="Times New Roman" w:hAnsi="Times New Roman" w:cs="Times New Roman"/>
          <w:spacing w:val="-2"/>
        </w:rPr>
        <w:t xml:space="preserve">, los estudiantes con TDAH necesitan implementar estrategias de gestión para regular su comportamiento impulsivo y adaptarse al entorno educativo; por ejemplo, el </w:t>
      </w:r>
      <w:r>
        <w:rPr>
          <w:rFonts w:ascii="Times New Roman" w:hAnsi="Times New Roman" w:cs="Times New Roman"/>
          <w:color w:val="000000"/>
          <w:spacing w:val="-2"/>
        </w:rPr>
        <w:t xml:space="preserve">fenómeno llamado </w:t>
      </w:r>
      <w:proofErr w:type="spellStart"/>
      <w:r>
        <w:rPr>
          <w:rFonts w:ascii="Times New Roman" w:hAnsi="Times New Roman" w:cs="Times New Roman"/>
          <w:i/>
          <w:iCs/>
          <w:color w:val="000000"/>
          <w:spacing w:val="-2"/>
        </w:rPr>
        <w:t>masking</w:t>
      </w:r>
      <w:proofErr w:type="spellEnd"/>
      <w:r>
        <w:rPr>
          <w:rFonts w:ascii="Times New Roman" w:hAnsi="Times New Roman" w:cs="Times New Roman"/>
          <w:color w:val="000000"/>
          <w:spacing w:val="-2"/>
        </w:rPr>
        <w:t xml:space="preserve"> (</w:t>
      </w:r>
      <w:proofErr w:type="spellStart"/>
      <w:r>
        <w:rPr>
          <w:rFonts w:ascii="Times New Roman" w:hAnsi="Times New Roman" w:cs="Times New Roman"/>
          <w:color w:val="000000"/>
          <w:spacing w:val="-2"/>
        </w:rPr>
        <w:t>Mylett</w:t>
      </w:r>
      <w:proofErr w:type="spellEnd"/>
      <w:r>
        <w:rPr>
          <w:rFonts w:ascii="Times New Roman" w:hAnsi="Times New Roman" w:cs="Times New Roman"/>
          <w:color w:val="000000"/>
          <w:spacing w:val="-2"/>
        </w:rPr>
        <w:t>, 2020, p. 19) que consiste en</w:t>
      </w:r>
      <w:r>
        <w:rPr>
          <w:rFonts w:ascii="Times New Roman" w:hAnsi="Times New Roman" w:cs="Times New Roman"/>
          <w:spacing w:val="-2"/>
        </w:rPr>
        <w:t xml:space="preserve"> la modificaci</w:t>
      </w:r>
      <w:r>
        <w:rPr>
          <w:rFonts w:ascii="Times New Roman" w:hAnsi="Times New Roman" w:cs="Times New Roman"/>
          <w:color w:val="000000"/>
          <w:spacing w:val="-2"/>
        </w:rPr>
        <w:t>ón conductual que hacen las personas con TDAH para camuflar la impresión de otros sobre su condición. E</w:t>
      </w:r>
      <w:r>
        <w:rPr>
          <w:rFonts w:ascii="Times New Roman" w:hAnsi="Times New Roman" w:cs="Times New Roman"/>
          <w:spacing w:val="-2"/>
        </w:rPr>
        <w:t xml:space="preserve">stas estrategias a menudo implican rigidez y autoexigencia, lo cual puede derivar en desgaste mental (Ortiz y </w:t>
      </w:r>
      <w:proofErr w:type="spellStart"/>
      <w:r>
        <w:rPr>
          <w:rFonts w:ascii="Times New Roman" w:hAnsi="Times New Roman" w:cs="Times New Roman"/>
          <w:spacing w:val="-2"/>
        </w:rPr>
        <w:t>Jaimes</w:t>
      </w:r>
      <w:proofErr w:type="spellEnd"/>
      <w:r>
        <w:rPr>
          <w:rFonts w:ascii="Times New Roman" w:hAnsi="Times New Roman" w:cs="Times New Roman"/>
          <w:spacing w:val="-2"/>
        </w:rPr>
        <w:t>, 2007). Aunque no existen estadísticas precisas sobre la proporción de estudiantes con TDAH en educación superior, investigaciones indican que este grupo enfrenta mayores probabilidades de bajo rendimiento académico, problemas de disciplina, fracaso escolar y dificultades para alcanzar el éxito profesional (Evans et al, 2020).</w:t>
      </w:r>
    </w:p>
    <w:p w14:paraId="7779BA3C" w14:textId="77777777" w:rsidR="00F30677" w:rsidRDefault="00000000" w:rsidP="00086E70">
      <w:pPr>
        <w:pStyle w:val="Textoindependiente"/>
        <w:spacing w:after="0" w:line="360" w:lineRule="auto"/>
        <w:jc w:val="both"/>
      </w:pPr>
      <w:r>
        <w:rPr>
          <w:rFonts w:ascii="Times New Roman" w:hAnsi="Times New Roman" w:cs="Times New Roman"/>
          <w:spacing w:val="-2"/>
        </w:rPr>
        <w:tab/>
        <w:t>Adem</w:t>
      </w:r>
      <w:r>
        <w:rPr>
          <w:rFonts w:ascii="Times New Roman" w:hAnsi="Times New Roman" w:cs="Times New Roman"/>
          <w:color w:val="000000"/>
          <w:spacing w:val="-2"/>
        </w:rPr>
        <w:t>ás, l</w:t>
      </w:r>
      <w:r>
        <w:rPr>
          <w:rFonts w:ascii="Times New Roman" w:hAnsi="Times New Roman" w:cs="Times New Roman"/>
          <w:spacing w:val="-2"/>
        </w:rPr>
        <w:t>a historia académica y los contextos de desarrollo desempeñan un papel clave en la comprensión de las estrategias de estudio, atenci</w:t>
      </w:r>
      <w:r>
        <w:rPr>
          <w:rFonts w:ascii="Times New Roman" w:hAnsi="Times New Roman" w:cs="Times New Roman"/>
          <w:color w:val="000000"/>
          <w:spacing w:val="-2"/>
        </w:rPr>
        <w:t>ón y quietud,</w:t>
      </w:r>
      <w:r>
        <w:rPr>
          <w:rFonts w:ascii="Times New Roman" w:hAnsi="Times New Roman" w:cs="Times New Roman"/>
          <w:spacing w:val="-2"/>
        </w:rPr>
        <w:t xml:space="preserve"> que diseñan los estudiantes con TDAH. Sin embargo, no siempre logran superar estas barreras. </w:t>
      </w:r>
      <w:proofErr w:type="spellStart"/>
      <w:r>
        <w:rPr>
          <w:rFonts w:ascii="Times New Roman" w:hAnsi="Times New Roman" w:cs="Times New Roman"/>
          <w:spacing w:val="-2"/>
        </w:rPr>
        <w:t>Kercood</w:t>
      </w:r>
      <w:proofErr w:type="spellEnd"/>
      <w:r>
        <w:rPr>
          <w:rFonts w:ascii="Times New Roman" w:hAnsi="Times New Roman" w:cs="Times New Roman"/>
          <w:spacing w:val="-2"/>
        </w:rPr>
        <w:t xml:space="preserve"> et al (2017, p. 342) descubrieron que los estudiantes con déficits atencionales, incluso sin un diagnóstico formal, tienden a considerarse menos flexibles cognitivamente en comparación con sus pares. Esta falta de flexibilidad afecta su desempeño en áreas fundamentales como lectura, matemáticas y escritura. Por su parte, González (2018) advierte que el personal docente universitario suele percibir a los estudiantes con TDAH como problemáticos, lo que genera tensiones y fricciones que dificultan su integración.</w:t>
      </w:r>
    </w:p>
    <w:p w14:paraId="13EA758D" w14:textId="77777777" w:rsidR="00F30677" w:rsidRDefault="00000000" w:rsidP="00086E70">
      <w:pPr>
        <w:pStyle w:val="Textoindependiente"/>
        <w:spacing w:after="0" w:line="360" w:lineRule="auto"/>
        <w:jc w:val="both"/>
      </w:pPr>
      <w:r>
        <w:rPr>
          <w:rFonts w:ascii="Times New Roman" w:hAnsi="Times New Roman" w:cs="Times New Roman"/>
          <w:spacing w:val="-2"/>
        </w:rPr>
        <w:tab/>
        <w:t xml:space="preserve">Por otro lado, el impacto emocional del TDAH también es significativo, especialmente en adultos no diagnosticados. Según Juan Sangüesa (2012), muchos de ellos cargan con una “pesada carga de desaliento y </w:t>
      </w:r>
      <w:proofErr w:type="spellStart"/>
      <w:r>
        <w:rPr>
          <w:rFonts w:ascii="Times New Roman" w:hAnsi="Times New Roman" w:cs="Times New Roman"/>
          <w:spacing w:val="-2"/>
        </w:rPr>
        <w:t>auto-reproche</w:t>
      </w:r>
      <w:proofErr w:type="spellEnd"/>
      <w:r>
        <w:rPr>
          <w:rFonts w:ascii="Times New Roman" w:hAnsi="Times New Roman" w:cs="Times New Roman"/>
          <w:spacing w:val="-2"/>
        </w:rPr>
        <w:t xml:space="preserve">”, resultado de años de críticas y desaprobación por parte de familiares, docentes, amigos y parejas. Para abordar este impacto, Sangüesa sugiere una reescritura terapéutica de las narrativas negativas tanto de los individuos como de sus familias. Desde una perspectiva psicopedagógica, se recomienda estructurar rutinas y estrategias específicas que incluyan el uso de herramientas como libretas de organización y técnicas de manejo del tiempo, como la </w:t>
      </w:r>
      <w:r>
        <w:rPr>
          <w:rFonts w:ascii="Times New Roman" w:hAnsi="Times New Roman" w:cs="Times New Roman"/>
          <w:i/>
          <w:iCs/>
          <w:spacing w:val="-2"/>
        </w:rPr>
        <w:t>t</w:t>
      </w:r>
      <w:r>
        <w:rPr>
          <w:rFonts w:ascii="Times New Roman" w:hAnsi="Times New Roman" w:cs="Times New Roman"/>
          <w:i/>
          <w:iCs/>
          <w:color w:val="000000"/>
          <w:spacing w:val="-2"/>
        </w:rPr>
        <w:t xml:space="preserve">écnica del </w:t>
      </w:r>
      <w:proofErr w:type="spellStart"/>
      <w:r>
        <w:rPr>
          <w:rFonts w:ascii="Times New Roman" w:hAnsi="Times New Roman" w:cs="Times New Roman"/>
          <w:i/>
          <w:iCs/>
          <w:color w:val="000000"/>
          <w:spacing w:val="-2"/>
        </w:rPr>
        <w:t>p</w:t>
      </w:r>
      <w:r>
        <w:rPr>
          <w:rFonts w:ascii="Times New Roman" w:hAnsi="Times New Roman" w:cs="Times New Roman"/>
          <w:i/>
          <w:iCs/>
          <w:spacing w:val="-2"/>
        </w:rPr>
        <w:t>omodoro</w:t>
      </w:r>
      <w:proofErr w:type="spellEnd"/>
      <w:r>
        <w:rPr>
          <w:rFonts w:ascii="Times New Roman" w:hAnsi="Times New Roman" w:cs="Times New Roman"/>
          <w:spacing w:val="-2"/>
        </w:rPr>
        <w:t xml:space="preserve">, que permiten dosificar la atención y cumplir con los plazos establecidos; sin embargo, </w:t>
      </w:r>
      <w:r>
        <w:rPr>
          <w:rFonts w:ascii="Times New Roman" w:hAnsi="Times New Roman" w:cs="Times New Roman"/>
          <w:spacing w:val="-2"/>
        </w:rPr>
        <w:lastRenderedPageBreak/>
        <w:t>prevalecen pr</w:t>
      </w:r>
      <w:r>
        <w:rPr>
          <w:rFonts w:ascii="Times New Roman" w:hAnsi="Times New Roman" w:cs="Times New Roman"/>
          <w:color w:val="000000"/>
          <w:spacing w:val="-2"/>
        </w:rPr>
        <w:t xml:space="preserve">ácticas de riesgo por parte de los estudiantes con TDAH, especialmente en la educación media y superior, como el forzamiento del </w:t>
      </w:r>
      <w:proofErr w:type="spellStart"/>
      <w:r>
        <w:rPr>
          <w:rFonts w:ascii="Times New Roman" w:hAnsi="Times New Roman" w:cs="Times New Roman"/>
          <w:color w:val="000000"/>
          <w:spacing w:val="-2"/>
        </w:rPr>
        <w:t>hiperfoco</w:t>
      </w:r>
      <w:proofErr w:type="spellEnd"/>
      <w:r>
        <w:rPr>
          <w:rFonts w:ascii="Times New Roman" w:hAnsi="Times New Roman" w:cs="Times New Roman"/>
          <w:color w:val="000000"/>
          <w:spacing w:val="-2"/>
        </w:rPr>
        <w:t xml:space="preserve"> para estudiar (</w:t>
      </w:r>
      <w:proofErr w:type="spellStart"/>
      <w:r>
        <w:rPr>
          <w:rFonts w:ascii="Times New Roman" w:hAnsi="Times New Roman" w:cs="Times New Roman"/>
          <w:color w:val="000000"/>
          <w:spacing w:val="-2"/>
        </w:rPr>
        <w:t>Hupfeld</w:t>
      </w:r>
      <w:proofErr w:type="spellEnd"/>
      <w:r>
        <w:rPr>
          <w:rFonts w:ascii="Times New Roman" w:hAnsi="Times New Roman" w:cs="Times New Roman"/>
          <w:color w:val="000000"/>
          <w:spacing w:val="-2"/>
        </w:rPr>
        <w:t xml:space="preserve"> et al, 2019) y el desarrollo de amistades o alianzas escolares; si bien, el número de relaciones de amistad que sostienen niñas y niños con TDAH es significativamente menor y sus interacciones son menos significativas (</w:t>
      </w:r>
      <w:proofErr w:type="spellStart"/>
      <w:r>
        <w:rPr>
          <w:rFonts w:ascii="Times New Roman" w:hAnsi="Times New Roman" w:cs="Times New Roman"/>
          <w:color w:val="000000"/>
          <w:spacing w:val="-2"/>
        </w:rPr>
        <w:t>Spender</w:t>
      </w:r>
      <w:proofErr w:type="spellEnd"/>
      <w:r>
        <w:rPr>
          <w:rFonts w:ascii="Times New Roman" w:hAnsi="Times New Roman" w:cs="Times New Roman"/>
          <w:color w:val="000000"/>
          <w:spacing w:val="-2"/>
        </w:rPr>
        <w:t xml:space="preserve"> et al, 2023).</w:t>
      </w:r>
    </w:p>
    <w:p w14:paraId="24AC6F7A" w14:textId="77777777" w:rsidR="00F30677" w:rsidRDefault="00000000" w:rsidP="00086E70">
      <w:pPr>
        <w:pStyle w:val="Textoindependiente"/>
        <w:spacing w:after="0" w:line="360" w:lineRule="auto"/>
        <w:jc w:val="both"/>
        <w:rPr>
          <w:rFonts w:ascii="Times New Roman" w:hAnsi="Times New Roman" w:cs="Times New Roman"/>
          <w:spacing w:val="-2"/>
        </w:rPr>
      </w:pPr>
      <w:r>
        <w:rPr>
          <w:rFonts w:ascii="Times New Roman" w:hAnsi="Times New Roman"/>
        </w:rPr>
        <w:tab/>
        <w:t>Desde un punto de vista positivo</w:t>
      </w:r>
      <w:r>
        <w:rPr>
          <w:rFonts w:ascii="Times New Roman" w:hAnsi="Times New Roman" w:cs="Times New Roman"/>
          <w:spacing w:val="-2"/>
        </w:rPr>
        <w:t xml:space="preserve">, la terapeuta Kathleen </w:t>
      </w:r>
      <w:proofErr w:type="spellStart"/>
      <w:r>
        <w:rPr>
          <w:rFonts w:ascii="Times New Roman" w:hAnsi="Times New Roman" w:cs="Times New Roman"/>
          <w:spacing w:val="-2"/>
        </w:rPr>
        <w:t>Nadeau</w:t>
      </w:r>
      <w:proofErr w:type="spellEnd"/>
      <w:r>
        <w:rPr>
          <w:rFonts w:ascii="Times New Roman" w:hAnsi="Times New Roman" w:cs="Times New Roman"/>
          <w:spacing w:val="-2"/>
        </w:rPr>
        <w:t xml:space="preserve"> (2015) resalta las fortalezas asociadas al TDAH. Según </w:t>
      </w:r>
      <w:proofErr w:type="spellStart"/>
      <w:r>
        <w:rPr>
          <w:rFonts w:ascii="Times New Roman" w:hAnsi="Times New Roman" w:cs="Times New Roman"/>
          <w:spacing w:val="-2"/>
        </w:rPr>
        <w:t>Nadeau</w:t>
      </w:r>
      <w:proofErr w:type="spellEnd"/>
      <w:r>
        <w:rPr>
          <w:rFonts w:ascii="Times New Roman" w:hAnsi="Times New Roman" w:cs="Times New Roman"/>
          <w:spacing w:val="-2"/>
        </w:rPr>
        <w:t xml:space="preserve">, características como la hiperactividad, la curiosidad y la toma de riesgos pueden convertirse en ventajas significativas en la vida adulta, fomentando el emprendimiento, la creatividad y la capacidad de hacer conexiones inusuales. Esta visión ha sido respaldada por investigaciones como las de </w:t>
      </w:r>
      <w:proofErr w:type="spellStart"/>
      <w:r>
        <w:rPr>
          <w:rFonts w:ascii="Times New Roman" w:hAnsi="Times New Roman" w:cs="Times New Roman"/>
          <w:spacing w:val="-2"/>
        </w:rPr>
        <w:t>Wiklund</w:t>
      </w:r>
      <w:proofErr w:type="spellEnd"/>
      <w:r>
        <w:rPr>
          <w:rFonts w:ascii="Times New Roman" w:hAnsi="Times New Roman" w:cs="Times New Roman"/>
          <w:spacing w:val="-2"/>
        </w:rPr>
        <w:t xml:space="preserve">, et al (2017, p. 652) y </w:t>
      </w:r>
      <w:proofErr w:type="spellStart"/>
      <w:r>
        <w:rPr>
          <w:rFonts w:ascii="Times New Roman" w:hAnsi="Times New Roman" w:cs="Times New Roman"/>
          <w:spacing w:val="-2"/>
        </w:rPr>
        <w:t>Antshel</w:t>
      </w:r>
      <w:proofErr w:type="spellEnd"/>
      <w:r>
        <w:rPr>
          <w:rFonts w:ascii="Times New Roman" w:hAnsi="Times New Roman" w:cs="Times New Roman"/>
          <w:spacing w:val="-2"/>
        </w:rPr>
        <w:t xml:space="preserve"> (2018, p. 263), quienes relacionan el TDAH con habilidades valiosas para el emprendimiento, así como por Sedgwick et al (2019, p. 250), quienes destacan cualidades positivas como el dinamismo cognitivo, la resiliencia, la valentía y el sentido de trascendencia. Es decir, aunque los j</w:t>
      </w:r>
      <w:r>
        <w:rPr>
          <w:rFonts w:ascii="Times New Roman" w:hAnsi="Times New Roman" w:cs="Times New Roman"/>
          <w:color w:val="000000"/>
          <w:spacing w:val="-2"/>
        </w:rPr>
        <w:t>óvenes adultos</w:t>
      </w:r>
      <w:r>
        <w:rPr>
          <w:rFonts w:ascii="Times New Roman" w:hAnsi="Times New Roman" w:cs="Times New Roman"/>
          <w:spacing w:val="-2"/>
        </w:rPr>
        <w:t xml:space="preserve"> con TDAH enfrentan importantes desafíos en la educación superior, sus características también pueden convertirse en fortalezas únicas cuando reciben el apoyo adecuado y desarrollan estrategias eficaces de afrontamiento, en especial tomando en cuenta los aspectos creativos, como es la capacidad creativa y la profundidad de su involucramiento con ciertos temas y proyectos. Esta perspectiva equilibrada ofrece un marco valioso para promover su inclusión y éxito académico.</w:t>
      </w:r>
    </w:p>
    <w:p w14:paraId="46356FB8" w14:textId="77777777" w:rsidR="00086E70" w:rsidRDefault="00086E70" w:rsidP="00086E70">
      <w:pPr>
        <w:pStyle w:val="Textoindependiente"/>
        <w:spacing w:after="0" w:line="360" w:lineRule="auto"/>
        <w:jc w:val="both"/>
      </w:pPr>
    </w:p>
    <w:p w14:paraId="063D5937" w14:textId="77777777" w:rsidR="00F30677" w:rsidRDefault="00000000" w:rsidP="00086E70">
      <w:pPr>
        <w:pStyle w:val="Textoindependiente"/>
        <w:spacing w:after="0" w:line="360" w:lineRule="auto"/>
        <w:jc w:val="center"/>
      </w:pPr>
      <w:r>
        <w:rPr>
          <w:rFonts w:ascii="Times New Roman" w:hAnsi="Times New Roman"/>
          <w:b/>
          <w:bCs/>
          <w:color w:val="000000"/>
          <w:spacing w:val="-2"/>
        </w:rPr>
        <w:t>Mujeres y TDAH</w:t>
      </w:r>
    </w:p>
    <w:p w14:paraId="7A9447CD" w14:textId="77777777" w:rsidR="00F30677" w:rsidRDefault="00000000" w:rsidP="00086E70">
      <w:pPr>
        <w:spacing w:line="360" w:lineRule="auto"/>
        <w:ind w:firstLine="709"/>
        <w:jc w:val="both"/>
      </w:pPr>
      <w:r>
        <w:rPr>
          <w:rFonts w:ascii="Times New Roman" w:hAnsi="Times New Roman" w:cs="Times New Roman"/>
          <w:spacing w:val="-2"/>
        </w:rPr>
        <w:t>En relación con el TDAH, las diferencias de género resultan significativas. Durante la infancia, su prevalencia es mayor en niños que en niñas, con una proporción de 3:1, aunque esta diferencia tiende a equilibrarse en la adultez (Ortega et al, 2015). Esto podría deberse a factores relacionados con la socialización de género y el diagnóstico tardío en mujeres, ya que se manifiestan los síntomas durante la niñez (NIMH, 2007). Aunque el TDAH es un trastorno multifactorial con componentes genéticos (de Carvalho et al, 2012), es fundamental considerar estas diferencias diagnósticas para garantizar un apoyo adecuado a quienes lo padecen. Las mujeres que presentan exclusivamente problemas relacionados con la atención, sin una hiperactividad significativa asociada, pueden no ser identificadas como necesitadas de una evaluación específica y, por lo tanto, a menudo no se benefician de un tratamiento adecuado (</w:t>
      </w:r>
      <w:proofErr w:type="spellStart"/>
      <w:r>
        <w:rPr>
          <w:rFonts w:ascii="Times New Roman" w:hAnsi="Times New Roman" w:cs="Times New Roman"/>
          <w:spacing w:val="-2"/>
        </w:rPr>
        <w:t>Fraticelli</w:t>
      </w:r>
      <w:proofErr w:type="spellEnd"/>
      <w:r>
        <w:rPr>
          <w:rFonts w:ascii="Times New Roman" w:hAnsi="Times New Roman" w:cs="Times New Roman"/>
          <w:spacing w:val="-2"/>
        </w:rPr>
        <w:t xml:space="preserve"> et al, 2022).</w:t>
      </w:r>
    </w:p>
    <w:p w14:paraId="259385DA" w14:textId="77777777" w:rsidR="00F30677" w:rsidRDefault="00000000" w:rsidP="00B229B1">
      <w:pPr>
        <w:pStyle w:val="Textoindependiente"/>
        <w:spacing w:after="0" w:line="360" w:lineRule="auto"/>
        <w:jc w:val="both"/>
      </w:pPr>
      <w:r>
        <w:rPr>
          <w:rFonts w:ascii="Times New Roman" w:hAnsi="Times New Roman" w:cs="Times New Roman"/>
          <w:spacing w:val="-2"/>
        </w:rPr>
        <w:tab/>
        <w:t>Se ha documentado que las mujeres tienden a camuflar los síntomas de ciertos trastornos neuropsiquiátricos, como el trastorno del espectro autista (TEA), lo que podría, hasta cierto punto, replicarse en el TDAH (</w:t>
      </w:r>
      <w:proofErr w:type="spellStart"/>
      <w:r>
        <w:rPr>
          <w:rFonts w:ascii="Times New Roman" w:hAnsi="Times New Roman" w:cs="Times New Roman"/>
          <w:spacing w:val="-2"/>
        </w:rPr>
        <w:t>Schuck</w:t>
      </w:r>
      <w:proofErr w:type="spellEnd"/>
      <w:r>
        <w:rPr>
          <w:rFonts w:ascii="Times New Roman" w:hAnsi="Times New Roman" w:cs="Times New Roman"/>
          <w:spacing w:val="-2"/>
        </w:rPr>
        <w:t xml:space="preserve"> et al, 2019, p. 2601). Asimismo, los </w:t>
      </w:r>
      <w:r>
        <w:rPr>
          <w:rFonts w:ascii="Times New Roman" w:hAnsi="Times New Roman" w:cs="Times New Roman"/>
          <w:spacing w:val="-2"/>
        </w:rPr>
        <w:lastRenderedPageBreak/>
        <w:t>estereotipos asociados a la desregulación hormonal femenina suelen llevar a que los síntomas del TDAH sean confundidos con la fatiga habitual, lo que dificulta aún más su identificación y tratamiento (Zamora, 2023, p. 18). En mujeres con TDAH, se observan con frecuencia baja autoestima, angustia</w:t>
      </w:r>
      <w:r>
        <w:rPr>
          <w:rFonts w:ascii="Times New Roman" w:hAnsi="Times New Roman" w:cs="Times New Roman"/>
          <w:b/>
          <w:bCs/>
          <w:spacing w:val="-2"/>
        </w:rPr>
        <w:t xml:space="preserve"> </w:t>
      </w:r>
      <w:r>
        <w:rPr>
          <w:rFonts w:ascii="Times New Roman" w:hAnsi="Times New Roman" w:cs="Times New Roman"/>
          <w:spacing w:val="-2"/>
        </w:rPr>
        <w:t>psicológica, sensaci</w:t>
      </w:r>
      <w:r>
        <w:rPr>
          <w:rFonts w:ascii="Times New Roman" w:hAnsi="Times New Roman" w:cs="Times New Roman"/>
          <w:color w:val="000000"/>
          <w:spacing w:val="-2"/>
        </w:rPr>
        <w:t>ón</w:t>
      </w:r>
      <w:r>
        <w:rPr>
          <w:rFonts w:ascii="Times New Roman" w:hAnsi="Times New Roman" w:cs="Times New Roman"/>
          <w:spacing w:val="-2"/>
        </w:rPr>
        <w:t xml:space="preserve"> de insuficiencia, estrés crónico (Zamora, 2023); as</w:t>
      </w:r>
      <w:r>
        <w:rPr>
          <w:rFonts w:ascii="Times New Roman" w:hAnsi="Times New Roman" w:cs="Times New Roman"/>
          <w:color w:val="000000"/>
          <w:spacing w:val="-2"/>
        </w:rPr>
        <w:t>í como sentimientos de rechazo y una tendencia a proteger a otras personas (Henry y Jones, 2011, p. 259). Se sabe también que las mujeres presentan condiciones agravadas de comorbilidad con trastornos alimentarios (</w:t>
      </w:r>
      <w:proofErr w:type="spellStart"/>
      <w:r>
        <w:rPr>
          <w:rFonts w:ascii="Times New Roman" w:hAnsi="Times New Roman" w:cs="Times New Roman"/>
          <w:color w:val="000000"/>
          <w:spacing w:val="-2"/>
        </w:rPr>
        <w:t>Groß-Lesch</w:t>
      </w:r>
      <w:proofErr w:type="spellEnd"/>
      <w:r>
        <w:rPr>
          <w:rFonts w:ascii="Times New Roman" w:hAnsi="Times New Roman" w:cs="Times New Roman"/>
          <w:color w:val="000000"/>
          <w:spacing w:val="-2"/>
        </w:rPr>
        <w:t xml:space="preserve"> et al, 2016). Se deben reconocer estrategias específicas de tratamiento del trastorno en mujeres, como los grupos de apoyo, que impactan positivamente en su sentido de reconocimiento (de Jong et al, 2024); sin embargo, la intervención terapéutica suele ser individual, con énfasis en el establecimiento de rutinas, control del tiempo y reducción de estrés (Gutman et al, 2020).</w:t>
      </w:r>
    </w:p>
    <w:p w14:paraId="2782B1C5" w14:textId="77777777" w:rsidR="00F30677" w:rsidRDefault="00000000" w:rsidP="00B229B1">
      <w:pPr>
        <w:pStyle w:val="Textoindependiente"/>
        <w:spacing w:after="0" w:line="360" w:lineRule="auto"/>
        <w:jc w:val="both"/>
      </w:pPr>
      <w:r>
        <w:rPr>
          <w:rFonts w:ascii="Times New Roman" w:hAnsi="Times New Roman" w:cs="Times New Roman"/>
          <w:spacing w:val="-2"/>
        </w:rPr>
        <w:tab/>
        <w:t xml:space="preserve">Esta serie de factores resalta la importancia de abordar el género como un factor central en el análisis del TDAH, tanto para mejorar los procesos diagnósticos como para diseñar estrategias de apoyo más inclusivas y eficaces. El género constituye un factor crucial en esta investigación por diversas razones. En primer lugar, destaca la feminización de la educación Normal, reflejada en la sobrerrepresentación femenina en las matrículas de las Licenciaturas en Educación. Por ejemplo, en la LIE del </w:t>
      </w:r>
      <w:proofErr w:type="gramStart"/>
      <w:r>
        <w:rPr>
          <w:rFonts w:ascii="Times New Roman" w:hAnsi="Times New Roman" w:cs="Times New Roman"/>
          <w:spacing w:val="-2"/>
        </w:rPr>
        <w:t>BINE</w:t>
      </w:r>
      <w:proofErr w:type="gramEnd"/>
      <w:r>
        <w:rPr>
          <w:rFonts w:ascii="Times New Roman" w:hAnsi="Times New Roman" w:cs="Times New Roman"/>
          <w:spacing w:val="-2"/>
        </w:rPr>
        <w:t xml:space="preserve">, de 90 estudiantes, 82 son mujeres. Esta predominancia femenina pone en evidencia problemáticas específicas, como los casos documentados de síndrome de </w:t>
      </w:r>
      <w:r>
        <w:rPr>
          <w:rFonts w:ascii="Times New Roman" w:hAnsi="Times New Roman" w:cs="Times New Roman"/>
          <w:i/>
          <w:iCs/>
          <w:spacing w:val="-2"/>
        </w:rPr>
        <w:t>burnout</w:t>
      </w:r>
      <w:r>
        <w:rPr>
          <w:rFonts w:ascii="Times New Roman" w:hAnsi="Times New Roman" w:cs="Times New Roman"/>
          <w:spacing w:val="-2"/>
        </w:rPr>
        <w:t xml:space="preserve"> de estudiantes mujeres en la propia Licenciatura en Inclusi</w:t>
      </w:r>
      <w:r>
        <w:rPr>
          <w:rFonts w:ascii="Times New Roman" w:hAnsi="Times New Roman" w:cs="Times New Roman"/>
          <w:color w:val="000000"/>
          <w:spacing w:val="-2"/>
        </w:rPr>
        <w:t>ón Educativa (L</w:t>
      </w:r>
      <w:r>
        <w:rPr>
          <w:rFonts w:ascii="Times New Roman" w:hAnsi="Times New Roman" w:cs="Times New Roman"/>
          <w:spacing w:val="-2"/>
        </w:rPr>
        <w:t>IE) del Benem</w:t>
      </w:r>
      <w:r>
        <w:rPr>
          <w:rFonts w:ascii="Times New Roman" w:hAnsi="Times New Roman" w:cs="Times New Roman"/>
          <w:color w:val="000000"/>
          <w:spacing w:val="-2"/>
        </w:rPr>
        <w:t>érito Instituto Normal del Estado (</w:t>
      </w:r>
      <w:proofErr w:type="gramStart"/>
      <w:r>
        <w:rPr>
          <w:rFonts w:ascii="Times New Roman" w:hAnsi="Times New Roman" w:cs="Times New Roman"/>
          <w:spacing w:val="-2"/>
        </w:rPr>
        <w:t>BINE</w:t>
      </w:r>
      <w:proofErr w:type="gramEnd"/>
      <w:r>
        <w:rPr>
          <w:rFonts w:ascii="Times New Roman" w:hAnsi="Times New Roman" w:cs="Times New Roman"/>
          <w:spacing w:val="-2"/>
        </w:rPr>
        <w:t>) (Bravo Vallejo, 2024). Esta realidad invita a analizar las prácticas y procesos asociados al género, ya que la mayoría femenina no garantiza un ambiente de igualdad sustantiva (Báez, 2014). Por el contrario, en la educación superior mexicana persisten estereotipos machistas que relegan a las mujeres al ámbito doméstico y a la crianza de los hijos (</w:t>
      </w:r>
      <w:proofErr w:type="spellStart"/>
      <w:r>
        <w:rPr>
          <w:rFonts w:ascii="Times New Roman" w:hAnsi="Times New Roman" w:cs="Times New Roman"/>
          <w:spacing w:val="-2"/>
        </w:rPr>
        <w:t>Yaber</w:t>
      </w:r>
      <w:proofErr w:type="spellEnd"/>
      <w:r>
        <w:rPr>
          <w:rFonts w:ascii="Times New Roman" w:hAnsi="Times New Roman" w:cs="Times New Roman"/>
          <w:spacing w:val="-2"/>
        </w:rPr>
        <w:t xml:space="preserve"> y Sotelo, 2022), reforzando prejuicios que las describen como conflictivas y problemáticas en contextos educativos como las Escuelas Normales (Vega Villarreal, 2019).</w:t>
      </w:r>
    </w:p>
    <w:p w14:paraId="5BEAA789" w14:textId="77777777" w:rsidR="00F30677" w:rsidRDefault="00000000" w:rsidP="00B229B1">
      <w:pPr>
        <w:pStyle w:val="Textoindependiente"/>
        <w:spacing w:after="0" w:line="360" w:lineRule="auto"/>
        <w:jc w:val="both"/>
      </w:pPr>
      <w:r>
        <w:rPr>
          <w:rFonts w:ascii="Times New Roman" w:hAnsi="Times New Roman"/>
          <w:color w:val="000000"/>
          <w:spacing w:val="-2"/>
        </w:rPr>
        <w:tab/>
        <w:t>Tomando en cuenta los aspectos teóricos y contextuales mencionados anteriormente, esta investigación se propuso analizar cómo enfrentan las estudiantes de la LIE con diagnóstico de TDAH los desafíos académicos, sociales y emocionales asociados a su condición, poniendo énfasis en las implicaciones de género en la manifestación de los síntomas y en el acceso a recursos de apoyo dentro del contexto de la educación superior.</w:t>
      </w:r>
    </w:p>
    <w:p w14:paraId="542A0BDC" w14:textId="77777777" w:rsidR="00F30677" w:rsidRDefault="00F30677" w:rsidP="00B229B1">
      <w:pPr>
        <w:pStyle w:val="Textoindependiente"/>
        <w:spacing w:after="0" w:line="360" w:lineRule="auto"/>
        <w:jc w:val="both"/>
        <w:rPr>
          <w:rFonts w:ascii="Times New Roman" w:hAnsi="Times New Roman"/>
        </w:rPr>
      </w:pPr>
    </w:p>
    <w:p w14:paraId="2249D87F" w14:textId="77777777" w:rsidR="00086E70" w:rsidRDefault="00086E70" w:rsidP="00B229B1">
      <w:pPr>
        <w:pStyle w:val="Textoindependiente"/>
        <w:spacing w:after="0" w:line="360" w:lineRule="auto"/>
        <w:jc w:val="both"/>
        <w:rPr>
          <w:rFonts w:ascii="Times New Roman" w:hAnsi="Times New Roman"/>
        </w:rPr>
      </w:pPr>
    </w:p>
    <w:p w14:paraId="45724D9A" w14:textId="77777777" w:rsidR="00086E70" w:rsidRDefault="00086E70" w:rsidP="00B229B1">
      <w:pPr>
        <w:pStyle w:val="Textoindependiente"/>
        <w:spacing w:after="0" w:line="360" w:lineRule="auto"/>
        <w:jc w:val="both"/>
        <w:rPr>
          <w:rFonts w:ascii="Times New Roman" w:hAnsi="Times New Roman"/>
        </w:rPr>
      </w:pPr>
    </w:p>
    <w:p w14:paraId="28B2C20E" w14:textId="77777777" w:rsidR="00086E70" w:rsidRDefault="00086E70" w:rsidP="00B229B1">
      <w:pPr>
        <w:pStyle w:val="Textoindependiente"/>
        <w:spacing w:after="0" w:line="360" w:lineRule="auto"/>
        <w:jc w:val="both"/>
        <w:rPr>
          <w:rFonts w:ascii="Times New Roman" w:hAnsi="Times New Roman"/>
        </w:rPr>
      </w:pPr>
    </w:p>
    <w:p w14:paraId="6C15CFA2" w14:textId="77777777" w:rsidR="00F30677" w:rsidRDefault="00000000" w:rsidP="00086E70">
      <w:pPr>
        <w:pStyle w:val="Textoindependiente"/>
        <w:spacing w:after="0" w:line="360" w:lineRule="auto"/>
        <w:jc w:val="center"/>
      </w:pPr>
      <w:r>
        <w:rPr>
          <w:rFonts w:ascii="Times New Roman" w:hAnsi="Times New Roman"/>
          <w:b/>
          <w:bCs/>
          <w:sz w:val="32"/>
          <w:szCs w:val="32"/>
        </w:rPr>
        <w:lastRenderedPageBreak/>
        <w:t>Materiales y métodos</w:t>
      </w:r>
    </w:p>
    <w:p w14:paraId="1BCB7C74" w14:textId="77777777" w:rsidR="00F30677" w:rsidRDefault="00000000" w:rsidP="0035700B">
      <w:pPr>
        <w:spacing w:line="360" w:lineRule="auto"/>
        <w:ind w:firstLine="709"/>
        <w:jc w:val="both"/>
      </w:pPr>
      <w:r>
        <w:rPr>
          <w:rFonts w:ascii="Times New Roman" w:hAnsi="Times New Roman" w:cs="Times New Roman"/>
          <w:spacing w:val="-2"/>
        </w:rPr>
        <w:t xml:space="preserve">Esta investigación de enfoque mixto analiza cómo los contextos socioculturales y escolares influyen en la creación de estrategias individuales para la organización, la atención y la autorregulación en estudiantes de educación superior con diagnóstico confirmado o sospecha de TDAH. El objetivo principal es comprender las dificultades asociadas con la sintomatología del trastorno y sus impactos en el rendimiento académico, las relaciones con figuras de autoridad, las interacciones sociales, los aspectos emocionales y las estrategias de organización (Sepúlveda y Espina, 2021, p. 104). </w:t>
      </w:r>
    </w:p>
    <w:p w14:paraId="687238B1" w14:textId="77777777" w:rsidR="00F30677" w:rsidRDefault="00000000" w:rsidP="00B229B1">
      <w:pPr>
        <w:spacing w:before="58" w:line="360" w:lineRule="auto"/>
        <w:jc w:val="both"/>
      </w:pPr>
      <w:r>
        <w:rPr>
          <w:rFonts w:ascii="Times New Roman" w:hAnsi="Times New Roman" w:cs="Times New Roman"/>
          <w:spacing w:val="-2"/>
        </w:rPr>
        <w:tab/>
        <w:t>El estudio empleó un enfoque metodológico en dos fases, cada una alineada con los objetivos establecidos;</w:t>
      </w:r>
      <w:r>
        <w:rPr>
          <w:rFonts w:ascii="Times New Roman" w:hAnsi="Times New Roman" w:cs="Times New Roman"/>
          <w:color w:val="000000"/>
          <w:spacing w:val="-2"/>
        </w:rPr>
        <w:t xml:space="preserve"> </w:t>
      </w:r>
      <w:r>
        <w:rPr>
          <w:rFonts w:ascii="Times New Roman" w:hAnsi="Times New Roman" w:cs="Times New Roman"/>
          <w:spacing w:val="-2"/>
        </w:rPr>
        <w:t>se llevó a cabo en la Licenciatura en Inclusión Educativa (LIE) del Benemérito Instituto Normal del Estado (</w:t>
      </w:r>
      <w:proofErr w:type="gramStart"/>
      <w:r>
        <w:rPr>
          <w:rFonts w:ascii="Times New Roman" w:hAnsi="Times New Roman" w:cs="Times New Roman"/>
          <w:spacing w:val="-2"/>
        </w:rPr>
        <w:t>BINE</w:t>
      </w:r>
      <w:proofErr w:type="gramEnd"/>
      <w:r>
        <w:rPr>
          <w:rFonts w:ascii="Times New Roman" w:hAnsi="Times New Roman" w:cs="Times New Roman"/>
          <w:spacing w:val="-2"/>
        </w:rPr>
        <w:t>) en Puebla, un programa educativo que enfrenta desafíos relacionados con la discriminación y exclusión de estudiantes. La LIE, con planes de estudio 2018 y 2022, tiene como misión formar profesionales capaces de diseñar ambientes de aprendizaje inclusivos con un enfoque humanista. De los 90 estudiantes inscritos, 38 participaron en el cuestionario inicial, y cinco, que presentaban un diagnóstico confirmado de TDAH o síntomas relacionados con el trastorno, participaron en un grupo de discusión para explorar sus experiencias vinculadas al TDAH.</w:t>
      </w:r>
    </w:p>
    <w:p w14:paraId="00F5D43E" w14:textId="4973A1D7" w:rsidR="00F30677" w:rsidRDefault="00000000" w:rsidP="00B229B1">
      <w:pPr>
        <w:spacing w:before="58" w:line="360" w:lineRule="auto"/>
        <w:jc w:val="both"/>
        <w:rPr>
          <w:rFonts w:ascii="Times New Roman" w:hAnsi="Times New Roman" w:cs="Times New Roman"/>
          <w:spacing w:val="-2"/>
        </w:rPr>
      </w:pPr>
      <w:r>
        <w:rPr>
          <w:rFonts w:ascii="Times New Roman" w:hAnsi="Times New Roman" w:cs="Times New Roman"/>
          <w:spacing w:val="-2"/>
        </w:rPr>
        <w:tab/>
        <w:t xml:space="preserve">El diseño metodológico se estructuró en dos fases. En la fase cuantitativa, se aplicó el </w:t>
      </w:r>
      <w:r>
        <w:rPr>
          <w:rFonts w:ascii="Times New Roman" w:hAnsi="Times New Roman"/>
          <w:color w:val="000000"/>
          <w:spacing w:val="-2"/>
        </w:rPr>
        <w:t>“</w:t>
      </w:r>
      <w:r>
        <w:rPr>
          <w:rFonts w:ascii="Times New Roman" w:hAnsi="Times New Roman"/>
          <w:i/>
          <w:iCs/>
          <w:color w:val="000000"/>
          <w:spacing w:val="-2"/>
        </w:rPr>
        <w:t>Test de Autopercepción de Síntomas de TDAH”</w:t>
      </w:r>
      <w:r>
        <w:rPr>
          <w:rFonts w:ascii="Times New Roman" w:hAnsi="Times New Roman" w:cs="Times New Roman"/>
          <w:spacing w:val="-2"/>
        </w:rPr>
        <w:t xml:space="preserve">, un instrumento validado por el psicólogo clínico José Juan Zamudio Díaz que consta de tres </w:t>
      </w:r>
      <w:r>
        <w:rPr>
          <w:rFonts w:ascii="Times New Roman" w:hAnsi="Times New Roman" w:cs="Times New Roman"/>
          <w:color w:val="000000"/>
          <w:spacing w:val="-2"/>
        </w:rPr>
        <w:t xml:space="preserve">áreas, hiperactividad, impulsividad e inatención. </w:t>
      </w:r>
      <w:r>
        <w:rPr>
          <w:rFonts w:ascii="Times New Roman" w:hAnsi="Times New Roman" w:cs="Times New Roman"/>
          <w:spacing w:val="-2"/>
        </w:rPr>
        <w:t>Ver Figura 1.</w:t>
      </w:r>
    </w:p>
    <w:p w14:paraId="55159C11" w14:textId="77777777" w:rsidR="00B229B1" w:rsidRDefault="00B229B1" w:rsidP="00B229B1">
      <w:pPr>
        <w:spacing w:before="58" w:line="360" w:lineRule="auto"/>
        <w:jc w:val="both"/>
      </w:pPr>
    </w:p>
    <w:p w14:paraId="276FA6D7" w14:textId="77777777" w:rsidR="0035700B" w:rsidRDefault="0035700B" w:rsidP="00B229B1">
      <w:pPr>
        <w:spacing w:before="58" w:line="360" w:lineRule="auto"/>
        <w:jc w:val="both"/>
      </w:pPr>
    </w:p>
    <w:p w14:paraId="6936999E" w14:textId="77777777" w:rsidR="0035700B" w:rsidRDefault="0035700B" w:rsidP="00B229B1">
      <w:pPr>
        <w:spacing w:before="58" w:line="360" w:lineRule="auto"/>
        <w:jc w:val="both"/>
      </w:pPr>
    </w:p>
    <w:p w14:paraId="7A17B52A" w14:textId="77777777" w:rsidR="0035700B" w:rsidRDefault="0035700B" w:rsidP="00B229B1">
      <w:pPr>
        <w:spacing w:before="58" w:line="360" w:lineRule="auto"/>
        <w:jc w:val="both"/>
      </w:pPr>
    </w:p>
    <w:p w14:paraId="376C9203" w14:textId="77777777" w:rsidR="0035700B" w:rsidRDefault="0035700B" w:rsidP="00B229B1">
      <w:pPr>
        <w:spacing w:before="58" w:line="360" w:lineRule="auto"/>
        <w:jc w:val="both"/>
      </w:pPr>
    </w:p>
    <w:p w14:paraId="7EACA44A" w14:textId="77777777" w:rsidR="0035700B" w:rsidRDefault="0035700B" w:rsidP="00B229B1">
      <w:pPr>
        <w:spacing w:before="58" w:line="360" w:lineRule="auto"/>
        <w:jc w:val="both"/>
      </w:pPr>
    </w:p>
    <w:p w14:paraId="4CE6BC39" w14:textId="77777777" w:rsidR="0035700B" w:rsidRDefault="0035700B" w:rsidP="00B229B1">
      <w:pPr>
        <w:spacing w:before="58" w:line="360" w:lineRule="auto"/>
        <w:jc w:val="both"/>
      </w:pPr>
    </w:p>
    <w:p w14:paraId="1B366DBC" w14:textId="77777777" w:rsidR="0035700B" w:rsidRDefault="0035700B" w:rsidP="00B229B1">
      <w:pPr>
        <w:spacing w:before="58" w:line="360" w:lineRule="auto"/>
        <w:jc w:val="both"/>
      </w:pPr>
    </w:p>
    <w:p w14:paraId="6AE7635D" w14:textId="77777777" w:rsidR="0035700B" w:rsidRDefault="0035700B" w:rsidP="00B229B1">
      <w:pPr>
        <w:spacing w:before="58" w:line="360" w:lineRule="auto"/>
        <w:jc w:val="both"/>
      </w:pPr>
    </w:p>
    <w:p w14:paraId="13507436" w14:textId="77777777" w:rsidR="0035700B" w:rsidRDefault="0035700B" w:rsidP="00B229B1">
      <w:pPr>
        <w:spacing w:before="58" w:line="360" w:lineRule="auto"/>
        <w:jc w:val="both"/>
      </w:pPr>
    </w:p>
    <w:p w14:paraId="23DCD9E7" w14:textId="77777777" w:rsidR="0035700B" w:rsidRDefault="0035700B" w:rsidP="00B229B1">
      <w:pPr>
        <w:spacing w:before="58" w:line="360" w:lineRule="auto"/>
        <w:jc w:val="both"/>
      </w:pPr>
    </w:p>
    <w:p w14:paraId="1D6F1C8C" w14:textId="77777777" w:rsidR="0035700B" w:rsidRDefault="0035700B" w:rsidP="00B229B1">
      <w:pPr>
        <w:spacing w:before="58" w:line="360" w:lineRule="auto"/>
        <w:jc w:val="both"/>
      </w:pPr>
    </w:p>
    <w:p w14:paraId="0C42FA19" w14:textId="77777777" w:rsidR="0035700B" w:rsidRDefault="0035700B" w:rsidP="00B229B1">
      <w:pPr>
        <w:spacing w:before="58" w:line="360" w:lineRule="auto"/>
        <w:jc w:val="both"/>
      </w:pPr>
    </w:p>
    <w:p w14:paraId="71DBFE40" w14:textId="77777777" w:rsidR="00F30677" w:rsidRDefault="00000000" w:rsidP="00B229B1">
      <w:pPr>
        <w:spacing w:before="58" w:after="58" w:line="360" w:lineRule="auto"/>
        <w:jc w:val="center"/>
      </w:pPr>
      <w:r w:rsidRPr="00B229B1">
        <w:rPr>
          <w:rFonts w:ascii="Times New Roman" w:hAnsi="Times New Roman"/>
          <w:b/>
          <w:bCs/>
          <w:color w:val="000000"/>
          <w:spacing w:val="-2"/>
        </w:rPr>
        <w:lastRenderedPageBreak/>
        <w:t>Figura 1.</w:t>
      </w:r>
      <w:r>
        <w:rPr>
          <w:rFonts w:ascii="Times New Roman" w:hAnsi="Times New Roman"/>
          <w:color w:val="000000"/>
          <w:spacing w:val="-2"/>
        </w:rPr>
        <w:t xml:space="preserve"> Justificación clínica del Test, por el psicólogo José Juan Zamudio Díaz (fragmento).</w:t>
      </w:r>
    </w:p>
    <w:p w14:paraId="1FB5D224" w14:textId="77777777" w:rsidR="00F30677" w:rsidRDefault="00000000" w:rsidP="00B229B1">
      <w:pPr>
        <w:spacing w:before="58" w:after="58" w:line="360" w:lineRule="auto"/>
        <w:jc w:val="center"/>
      </w:pPr>
      <w:r>
        <w:rPr>
          <w:noProof/>
        </w:rPr>
        <w:drawing>
          <wp:anchor distT="0" distB="0" distL="0" distR="0" simplePos="0" relativeHeight="2" behindDoc="0" locked="0" layoutInCell="0" allowOverlap="1" wp14:anchorId="4CA5309C" wp14:editId="7846A663">
            <wp:simplePos x="0" y="0"/>
            <wp:positionH relativeFrom="column">
              <wp:align>center</wp:align>
            </wp:positionH>
            <wp:positionV relativeFrom="paragraph">
              <wp:posOffset>635</wp:posOffset>
            </wp:positionV>
            <wp:extent cx="5556885" cy="434022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556885" cy="4340225"/>
                    </a:xfrm>
                    <a:prstGeom prst="rect">
                      <a:avLst/>
                    </a:prstGeom>
                  </pic:spPr>
                </pic:pic>
              </a:graphicData>
            </a:graphic>
          </wp:anchor>
        </w:drawing>
      </w:r>
      <w:r>
        <w:rPr>
          <w:rFonts w:ascii="Times New Roman" w:hAnsi="Times New Roman" w:cs="Times New Roman"/>
          <w:spacing w:val="-2"/>
        </w:rPr>
        <w:t>Fuente</w:t>
      </w:r>
      <w:r>
        <w:rPr>
          <w:rFonts w:ascii="Times New Roman" w:hAnsi="Times New Roman"/>
          <w:color w:val="000000"/>
          <w:spacing w:val="-2"/>
        </w:rPr>
        <w:t>: Zamudio Díaz (2024).</w:t>
      </w:r>
    </w:p>
    <w:p w14:paraId="1D4B7BE2" w14:textId="31B38B28" w:rsidR="00F30677" w:rsidRDefault="00000000" w:rsidP="00086E70">
      <w:pPr>
        <w:spacing w:before="58" w:after="58" w:line="360" w:lineRule="auto"/>
        <w:jc w:val="both"/>
      </w:pPr>
      <w:r>
        <w:rPr>
          <w:rFonts w:ascii="Times New Roman" w:hAnsi="Times New Roman"/>
          <w:color w:val="000000"/>
          <w:spacing w:val="-2"/>
        </w:rPr>
        <w:tab/>
      </w:r>
      <w:r>
        <w:rPr>
          <w:rFonts w:ascii="Times New Roman" w:hAnsi="Times New Roman" w:cs="Times New Roman"/>
          <w:spacing w:val="-2"/>
        </w:rPr>
        <w:t xml:space="preserve">Este cuestionario se distribuyó a través de Google </w:t>
      </w:r>
      <w:proofErr w:type="spellStart"/>
      <w:r>
        <w:rPr>
          <w:rFonts w:ascii="Times New Roman" w:hAnsi="Times New Roman" w:cs="Times New Roman"/>
          <w:spacing w:val="-2"/>
        </w:rPr>
        <w:t>Forms</w:t>
      </w:r>
      <w:proofErr w:type="spellEnd"/>
      <w:r>
        <w:rPr>
          <w:rFonts w:ascii="Times New Roman" w:hAnsi="Times New Roman" w:cs="Times New Roman"/>
          <w:spacing w:val="-2"/>
        </w:rPr>
        <w:t xml:space="preserve"> a toda la población estudiantil de la LIE durante el ciclo escolar 2023–2024, alcanzando una muestra de 38 respuestas. Los resultados fueron analizados cuantitativamente para identificar a los estudiantes con diagnóstico o síntomas probables de TDAH. </w:t>
      </w:r>
    </w:p>
    <w:p w14:paraId="73DC478B" w14:textId="77777777" w:rsidR="00F30677" w:rsidRDefault="00000000" w:rsidP="00B229B1">
      <w:pPr>
        <w:spacing w:line="360" w:lineRule="auto"/>
        <w:jc w:val="both"/>
      </w:pPr>
      <w:r>
        <w:rPr>
          <w:rFonts w:ascii="Times New Roman" w:hAnsi="Times New Roman" w:cs="Times New Roman"/>
          <w:spacing w:val="-2"/>
        </w:rPr>
        <w:tab/>
        <w:t>En la fase cualitativa, a partir de los resultados de la fase cuantitativa, se seleccionaron cinco estudiantes con diagn</w:t>
      </w:r>
      <w:r>
        <w:rPr>
          <w:rFonts w:ascii="Times New Roman" w:hAnsi="Times New Roman" w:cs="Times New Roman"/>
          <w:color w:val="000000"/>
          <w:spacing w:val="-2"/>
        </w:rPr>
        <w:t>óstico o posible condición de TDAH</w:t>
      </w:r>
      <w:r>
        <w:rPr>
          <w:rFonts w:ascii="Times New Roman" w:hAnsi="Times New Roman" w:cs="Times New Roman"/>
          <w:spacing w:val="-2"/>
        </w:rPr>
        <w:t xml:space="preserve"> para participar en un grupo de discusión. Los criterios de inclusi</w:t>
      </w:r>
      <w:r>
        <w:rPr>
          <w:rFonts w:ascii="Times New Roman" w:hAnsi="Times New Roman" w:cs="Times New Roman"/>
          <w:color w:val="000000"/>
          <w:spacing w:val="-2"/>
        </w:rPr>
        <w:t xml:space="preserve">ón fueron: 1. Ser estudiante inscrita en el programa Licenciatura en Inclusión Educativa. 2. Tener un diagnóstico médico previo o, en su caso, tener un resultado probable en dos de las tres áreas del </w:t>
      </w:r>
      <w:r>
        <w:rPr>
          <w:rFonts w:ascii="Times New Roman" w:hAnsi="Times New Roman"/>
          <w:color w:val="000000"/>
          <w:spacing w:val="-2"/>
        </w:rPr>
        <w:t>“</w:t>
      </w:r>
      <w:r>
        <w:rPr>
          <w:rFonts w:ascii="Times New Roman" w:hAnsi="Times New Roman"/>
          <w:i/>
          <w:iCs/>
          <w:color w:val="000000"/>
          <w:spacing w:val="-2"/>
        </w:rPr>
        <w:t>Test de Autopercepción de Síntomas de TDAH”</w:t>
      </w:r>
      <w:r>
        <w:rPr>
          <w:rFonts w:ascii="Times New Roman" w:hAnsi="Times New Roman" w:cs="Times New Roman"/>
          <w:color w:val="000000"/>
          <w:spacing w:val="-2"/>
        </w:rPr>
        <w:t>, que son inatención, hiperactividad e impulsividad.</w:t>
      </w:r>
      <w:r>
        <w:rPr>
          <w:rFonts w:ascii="Times New Roman" w:hAnsi="Times New Roman" w:cs="Times New Roman"/>
          <w:spacing w:val="-2"/>
        </w:rPr>
        <w:t xml:space="preserve"> Los requisitos fueron cubiertos por cinco estudiantes mujeres. Se utilizó una guía temática de grupo focal, diseñada en función de los objetivos de investigación y validado con en función de los objetivos de investigación y validada conforme a las recomendaciones metodológicas para la construcción de guías cualitativas. Además, se justifica su estructura en investigaciones sobre TDAH que abordan dimensiones emocionales, académicas y sociales (Sepúlveda y Espina, 2021, p. 105). Este diseño tenía como objetivo realizar una </w:t>
      </w:r>
      <w:r>
        <w:rPr>
          <w:rFonts w:ascii="Times New Roman" w:hAnsi="Times New Roman" w:cs="Times New Roman"/>
          <w:spacing w:val="-2"/>
        </w:rPr>
        <w:lastRenderedPageBreak/>
        <w:t>exploración profunda y natural de las experiencias de los participantes, permitiendo identificar patrones, categorías y significados relevantes.</w:t>
      </w:r>
    </w:p>
    <w:p w14:paraId="64B19369" w14:textId="77777777" w:rsidR="00F30677" w:rsidRDefault="00000000" w:rsidP="00B229B1">
      <w:pPr>
        <w:spacing w:line="360" w:lineRule="auto"/>
        <w:jc w:val="both"/>
      </w:pPr>
      <w:r>
        <w:rPr>
          <w:rFonts w:ascii="Times New Roman" w:hAnsi="Times New Roman" w:cs="Times New Roman"/>
          <w:spacing w:val="-2"/>
        </w:rPr>
        <w:tab/>
        <w:t xml:space="preserve">El instrumento </w:t>
      </w:r>
      <w:r>
        <w:rPr>
          <w:rFonts w:ascii="Times New Roman" w:hAnsi="Times New Roman" w:cs="Times New Roman"/>
          <w:i/>
          <w:iCs/>
          <w:spacing w:val="-2"/>
        </w:rPr>
        <w:t>Gu</w:t>
      </w:r>
      <w:r>
        <w:rPr>
          <w:rFonts w:ascii="Times New Roman" w:hAnsi="Times New Roman" w:cs="Times New Roman"/>
          <w:i/>
          <w:iCs/>
          <w:color w:val="000000"/>
          <w:spacing w:val="-2"/>
        </w:rPr>
        <w:t>ía de discusión</w:t>
      </w:r>
      <w:r>
        <w:rPr>
          <w:rFonts w:ascii="Times New Roman" w:hAnsi="Times New Roman" w:cs="Times New Roman"/>
          <w:spacing w:val="-2"/>
        </w:rPr>
        <w:t xml:space="preserve"> </w:t>
      </w:r>
      <w:r>
        <w:rPr>
          <w:rFonts w:ascii="Times New Roman" w:hAnsi="Times New Roman" w:cs="Times New Roman"/>
          <w:i/>
          <w:iCs/>
          <w:spacing w:val="-2"/>
        </w:rPr>
        <w:t>grupal</w:t>
      </w:r>
      <w:r>
        <w:rPr>
          <w:rFonts w:ascii="Times New Roman" w:hAnsi="Times New Roman" w:cs="Times New Roman"/>
          <w:spacing w:val="-2"/>
        </w:rPr>
        <w:t xml:space="preserve"> fue revisado en sus aspectos de claridad y coherencia con el apoyo de las docentes de la LIE del BINE </w:t>
      </w:r>
      <w:proofErr w:type="spellStart"/>
      <w:r>
        <w:rPr>
          <w:rFonts w:ascii="Times New Roman" w:hAnsi="Times New Roman" w:cs="Times New Roman"/>
          <w:spacing w:val="-2"/>
        </w:rPr>
        <w:t>Dorisnelda</w:t>
      </w:r>
      <w:proofErr w:type="spellEnd"/>
      <w:r>
        <w:rPr>
          <w:rFonts w:ascii="Times New Roman" w:hAnsi="Times New Roman" w:cs="Times New Roman"/>
          <w:spacing w:val="-2"/>
        </w:rPr>
        <w:t xml:space="preserve"> Romano Hern</w:t>
      </w:r>
      <w:r>
        <w:rPr>
          <w:rFonts w:ascii="Times New Roman" w:hAnsi="Times New Roman" w:cs="Times New Roman"/>
          <w:color w:val="000000"/>
          <w:spacing w:val="-2"/>
        </w:rPr>
        <w:t>ández y Rosalinda Gutiérrez Juárez, lo que derivó en la reformulación de las preguntas orientadoras,</w:t>
      </w:r>
      <w:r>
        <w:rPr>
          <w:rFonts w:ascii="Times New Roman" w:hAnsi="Times New Roman" w:cs="Times New Roman"/>
          <w:spacing w:val="-2"/>
        </w:rPr>
        <w:t xml:space="preserve"> garantizar que el lenguaje fuera accesible y comprensible para los participantes, eliminando ambigüedades y simplificando conceptos complejos. Por otro lado, se alinearon las preguntas con los objetivos de investigación para cubrir las dimensiones del TDAH en las etapas de la infancia, adolescencia y vida universitaria. </w:t>
      </w:r>
    </w:p>
    <w:p w14:paraId="0B70FCFD" w14:textId="77777777" w:rsidR="00F30677" w:rsidRDefault="00000000" w:rsidP="00B229B1">
      <w:pPr>
        <w:spacing w:line="360" w:lineRule="auto"/>
        <w:jc w:val="both"/>
        <w:rPr>
          <w:rFonts w:ascii="Times New Roman" w:hAnsi="Times New Roman" w:cs="Times New Roman"/>
          <w:spacing w:val="-2"/>
        </w:rPr>
      </w:pPr>
      <w:r>
        <w:rPr>
          <w:rFonts w:ascii="Times New Roman" w:hAnsi="Times New Roman" w:cs="Times New Roman"/>
          <w:spacing w:val="-2"/>
        </w:rPr>
        <w:tab/>
        <w:t>A continuación, se presentan las preguntas que orientaron la discusión en cada una de las etapas del desarrollo de las participantes. Ver Tabla 1:</w:t>
      </w:r>
    </w:p>
    <w:p w14:paraId="1A89FCE9" w14:textId="77777777" w:rsidR="00B229B1" w:rsidRDefault="00B229B1" w:rsidP="00B229B1">
      <w:pPr>
        <w:spacing w:line="360" w:lineRule="auto"/>
        <w:jc w:val="both"/>
      </w:pPr>
    </w:p>
    <w:p w14:paraId="018FD7BF" w14:textId="77777777" w:rsidR="00086E70" w:rsidRDefault="00086E70" w:rsidP="00B229B1">
      <w:pPr>
        <w:spacing w:line="360" w:lineRule="auto"/>
        <w:jc w:val="both"/>
      </w:pPr>
    </w:p>
    <w:p w14:paraId="6E135F75" w14:textId="77777777" w:rsidR="00086E70" w:rsidRDefault="00086E70" w:rsidP="00B229B1">
      <w:pPr>
        <w:spacing w:line="360" w:lineRule="auto"/>
        <w:jc w:val="both"/>
      </w:pPr>
    </w:p>
    <w:p w14:paraId="18A993E5" w14:textId="77777777" w:rsidR="00086E70" w:rsidRDefault="00086E70" w:rsidP="00B229B1">
      <w:pPr>
        <w:spacing w:line="360" w:lineRule="auto"/>
        <w:jc w:val="both"/>
      </w:pPr>
    </w:p>
    <w:p w14:paraId="30B519D9" w14:textId="77777777" w:rsidR="00086E70" w:rsidRDefault="00086E70" w:rsidP="00B229B1">
      <w:pPr>
        <w:spacing w:line="360" w:lineRule="auto"/>
        <w:jc w:val="both"/>
      </w:pPr>
    </w:p>
    <w:p w14:paraId="4C66FFBF" w14:textId="77777777" w:rsidR="00086E70" w:rsidRDefault="00086E70" w:rsidP="00B229B1">
      <w:pPr>
        <w:spacing w:line="360" w:lineRule="auto"/>
        <w:jc w:val="both"/>
      </w:pPr>
    </w:p>
    <w:p w14:paraId="6993EADC" w14:textId="77777777" w:rsidR="00086E70" w:rsidRDefault="00086E70" w:rsidP="00B229B1">
      <w:pPr>
        <w:spacing w:line="360" w:lineRule="auto"/>
        <w:jc w:val="both"/>
      </w:pPr>
    </w:p>
    <w:p w14:paraId="7B207ED0" w14:textId="77777777" w:rsidR="00086E70" w:rsidRDefault="00086E70" w:rsidP="00B229B1">
      <w:pPr>
        <w:spacing w:line="360" w:lineRule="auto"/>
        <w:jc w:val="both"/>
      </w:pPr>
    </w:p>
    <w:p w14:paraId="336E85F8" w14:textId="77777777" w:rsidR="00086E70" w:rsidRDefault="00086E70" w:rsidP="00B229B1">
      <w:pPr>
        <w:spacing w:line="360" w:lineRule="auto"/>
        <w:jc w:val="both"/>
      </w:pPr>
    </w:p>
    <w:p w14:paraId="1CCB11C0" w14:textId="77777777" w:rsidR="00086E70" w:rsidRDefault="00086E70" w:rsidP="00B229B1">
      <w:pPr>
        <w:spacing w:line="360" w:lineRule="auto"/>
        <w:jc w:val="both"/>
      </w:pPr>
    </w:p>
    <w:p w14:paraId="59055AA0" w14:textId="77777777" w:rsidR="00086E70" w:rsidRDefault="00086E70" w:rsidP="00B229B1">
      <w:pPr>
        <w:spacing w:line="360" w:lineRule="auto"/>
        <w:jc w:val="both"/>
      </w:pPr>
    </w:p>
    <w:p w14:paraId="71195D67" w14:textId="77777777" w:rsidR="00086E70" w:rsidRDefault="00086E70" w:rsidP="00B229B1">
      <w:pPr>
        <w:spacing w:line="360" w:lineRule="auto"/>
        <w:jc w:val="both"/>
      </w:pPr>
    </w:p>
    <w:p w14:paraId="162721DB" w14:textId="77777777" w:rsidR="00086E70" w:rsidRDefault="00086E70" w:rsidP="00B229B1">
      <w:pPr>
        <w:spacing w:line="360" w:lineRule="auto"/>
        <w:jc w:val="both"/>
      </w:pPr>
    </w:p>
    <w:p w14:paraId="22D5EBAB" w14:textId="77777777" w:rsidR="00086E70" w:rsidRDefault="00086E70" w:rsidP="00B229B1">
      <w:pPr>
        <w:spacing w:line="360" w:lineRule="auto"/>
        <w:jc w:val="both"/>
      </w:pPr>
    </w:p>
    <w:p w14:paraId="492942F9" w14:textId="77777777" w:rsidR="00086E70" w:rsidRDefault="00086E70" w:rsidP="00B229B1">
      <w:pPr>
        <w:spacing w:line="360" w:lineRule="auto"/>
        <w:jc w:val="both"/>
      </w:pPr>
    </w:p>
    <w:p w14:paraId="14C5FC9C" w14:textId="77777777" w:rsidR="00086E70" w:rsidRDefault="00086E70" w:rsidP="00B229B1">
      <w:pPr>
        <w:spacing w:line="360" w:lineRule="auto"/>
        <w:jc w:val="both"/>
      </w:pPr>
    </w:p>
    <w:p w14:paraId="534B04F4" w14:textId="77777777" w:rsidR="00086E70" w:rsidRDefault="00086E70" w:rsidP="00B229B1">
      <w:pPr>
        <w:spacing w:line="360" w:lineRule="auto"/>
        <w:jc w:val="both"/>
      </w:pPr>
    </w:p>
    <w:p w14:paraId="1951FC33" w14:textId="77777777" w:rsidR="00086E70" w:rsidRDefault="00086E70" w:rsidP="00B229B1">
      <w:pPr>
        <w:spacing w:line="360" w:lineRule="auto"/>
        <w:jc w:val="both"/>
      </w:pPr>
    </w:p>
    <w:p w14:paraId="62BDDBC2" w14:textId="77777777" w:rsidR="00086E70" w:rsidRDefault="00086E70" w:rsidP="00B229B1">
      <w:pPr>
        <w:spacing w:line="360" w:lineRule="auto"/>
        <w:jc w:val="both"/>
      </w:pPr>
    </w:p>
    <w:p w14:paraId="4C577EDA" w14:textId="77777777" w:rsidR="00086E70" w:rsidRDefault="00086E70" w:rsidP="00B229B1">
      <w:pPr>
        <w:spacing w:line="360" w:lineRule="auto"/>
        <w:jc w:val="both"/>
      </w:pPr>
    </w:p>
    <w:p w14:paraId="47582694" w14:textId="77777777" w:rsidR="00086E70" w:rsidRDefault="00086E70" w:rsidP="00B229B1">
      <w:pPr>
        <w:spacing w:line="360" w:lineRule="auto"/>
        <w:jc w:val="both"/>
      </w:pPr>
    </w:p>
    <w:p w14:paraId="1D4AE00D" w14:textId="77777777" w:rsidR="00086E70" w:rsidRDefault="00086E70" w:rsidP="00B229B1">
      <w:pPr>
        <w:spacing w:line="360" w:lineRule="auto"/>
        <w:jc w:val="both"/>
      </w:pPr>
    </w:p>
    <w:p w14:paraId="049ED3E8" w14:textId="77777777" w:rsidR="00086E70" w:rsidRDefault="00086E70" w:rsidP="00B229B1">
      <w:pPr>
        <w:spacing w:line="360" w:lineRule="auto"/>
        <w:jc w:val="both"/>
      </w:pPr>
    </w:p>
    <w:p w14:paraId="5927AC25" w14:textId="77777777" w:rsidR="00086E70" w:rsidRDefault="00086E70" w:rsidP="00B229B1">
      <w:pPr>
        <w:spacing w:line="360" w:lineRule="auto"/>
        <w:jc w:val="both"/>
      </w:pPr>
    </w:p>
    <w:p w14:paraId="4A48146E" w14:textId="77777777" w:rsidR="00086E70" w:rsidRDefault="00086E70" w:rsidP="00B229B1">
      <w:pPr>
        <w:spacing w:line="360" w:lineRule="auto"/>
        <w:jc w:val="both"/>
      </w:pPr>
    </w:p>
    <w:p w14:paraId="08A62139" w14:textId="30AD006A" w:rsidR="00F30677" w:rsidRDefault="00000000" w:rsidP="00B229B1">
      <w:pPr>
        <w:spacing w:before="58" w:after="58" w:line="360" w:lineRule="auto"/>
        <w:jc w:val="center"/>
      </w:pPr>
      <w:r w:rsidRPr="00B229B1">
        <w:rPr>
          <w:rFonts w:ascii="Times New Roman" w:hAnsi="Times New Roman" w:cs="Times New Roman"/>
          <w:b/>
          <w:bCs/>
          <w:spacing w:val="-2"/>
        </w:rPr>
        <w:lastRenderedPageBreak/>
        <w:t>Tabla 1.</w:t>
      </w:r>
      <w:r>
        <w:rPr>
          <w:rFonts w:ascii="Times New Roman" w:hAnsi="Times New Roman" w:cs="Times New Roman"/>
          <w:spacing w:val="-2"/>
        </w:rPr>
        <w:t xml:space="preserve"> Guía de discusi</w:t>
      </w:r>
      <w:r>
        <w:rPr>
          <w:rFonts w:ascii="Times New Roman" w:hAnsi="Times New Roman" w:cs="Times New Roman"/>
          <w:color w:val="000000"/>
          <w:spacing w:val="-2"/>
        </w:rPr>
        <w:t>ón grupal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782"/>
        <w:gridCol w:w="6861"/>
      </w:tblGrid>
      <w:tr w:rsidR="00F30677" w14:paraId="2ADC3C6F" w14:textId="77777777" w:rsidTr="0035700B">
        <w:trPr>
          <w:jc w:val="center"/>
        </w:trPr>
        <w:tc>
          <w:tcPr>
            <w:tcW w:w="2782" w:type="dxa"/>
          </w:tcPr>
          <w:p w14:paraId="68553ABB" w14:textId="77777777" w:rsidR="00F30677" w:rsidRDefault="00000000">
            <w:pPr>
              <w:widowControl w:val="0"/>
            </w:pPr>
            <w:r>
              <w:rPr>
                <w:rFonts w:ascii="Times New Roman" w:hAnsi="Times New Roman" w:cs="Times New Roman"/>
                <w:spacing w:val="-2"/>
              </w:rPr>
              <w:t>1. Infancia y adolescencia</w:t>
            </w:r>
          </w:p>
        </w:tc>
        <w:tc>
          <w:tcPr>
            <w:tcW w:w="6860" w:type="dxa"/>
          </w:tcPr>
          <w:p w14:paraId="28BB0C86" w14:textId="77777777" w:rsidR="00F30677" w:rsidRDefault="00000000">
            <w:pPr>
              <w:widowControl w:val="0"/>
              <w:jc w:val="both"/>
            </w:pPr>
            <w:r>
              <w:rPr>
                <w:rFonts w:ascii="Times New Roman" w:hAnsi="Times New Roman" w:cs="Times New Roman"/>
                <w:spacing w:val="-2"/>
              </w:rPr>
              <w:t>¿Cómo describirían su vida familiar y la atención recibida en casa?</w:t>
            </w:r>
          </w:p>
        </w:tc>
      </w:tr>
      <w:tr w:rsidR="00F30677" w14:paraId="0246B215" w14:textId="77777777" w:rsidTr="0035700B">
        <w:trPr>
          <w:jc w:val="center"/>
        </w:trPr>
        <w:tc>
          <w:tcPr>
            <w:tcW w:w="2782" w:type="dxa"/>
            <w:vMerge w:val="restart"/>
          </w:tcPr>
          <w:p w14:paraId="5E073A4D" w14:textId="77777777" w:rsidR="00F30677" w:rsidRDefault="00F30677">
            <w:pPr>
              <w:widowControl w:val="0"/>
              <w:rPr>
                <w:rFonts w:ascii="Times New Roman" w:hAnsi="Times New Roman"/>
              </w:rPr>
            </w:pPr>
          </w:p>
        </w:tc>
        <w:tc>
          <w:tcPr>
            <w:tcW w:w="6860" w:type="dxa"/>
          </w:tcPr>
          <w:p w14:paraId="56547CDB" w14:textId="77777777" w:rsidR="00F30677" w:rsidRDefault="00000000">
            <w:pPr>
              <w:widowControl w:val="0"/>
              <w:jc w:val="both"/>
            </w:pPr>
            <w:r>
              <w:rPr>
                <w:rFonts w:ascii="Times New Roman" w:hAnsi="Times New Roman" w:cs="Times New Roman"/>
                <w:spacing w:val="-2"/>
              </w:rPr>
              <w:t>¿Qué aspectos de su infancia recuerdan en relación con la impulsividad y distracción?</w:t>
            </w:r>
          </w:p>
        </w:tc>
      </w:tr>
      <w:tr w:rsidR="00F30677" w14:paraId="27BE5947" w14:textId="77777777" w:rsidTr="0035700B">
        <w:trPr>
          <w:jc w:val="center"/>
        </w:trPr>
        <w:tc>
          <w:tcPr>
            <w:tcW w:w="2782" w:type="dxa"/>
            <w:vMerge/>
          </w:tcPr>
          <w:p w14:paraId="6D2A7EE8" w14:textId="77777777" w:rsidR="00F30677" w:rsidRDefault="00F30677">
            <w:pPr>
              <w:widowControl w:val="0"/>
              <w:rPr>
                <w:rFonts w:ascii="Times New Roman" w:hAnsi="Times New Roman"/>
              </w:rPr>
            </w:pPr>
          </w:p>
        </w:tc>
        <w:tc>
          <w:tcPr>
            <w:tcW w:w="6860" w:type="dxa"/>
          </w:tcPr>
          <w:p w14:paraId="12537BBA" w14:textId="77777777" w:rsidR="00F30677" w:rsidRDefault="00000000">
            <w:pPr>
              <w:widowControl w:val="0"/>
              <w:jc w:val="both"/>
            </w:pPr>
            <w:r>
              <w:rPr>
                <w:rFonts w:ascii="Times New Roman" w:hAnsi="Times New Roman" w:cs="Times New Roman"/>
                <w:spacing w:val="-2"/>
              </w:rPr>
              <w:t>¿Se percibían diferentes respecto a sus hermanos/as u otros niños/as?</w:t>
            </w:r>
          </w:p>
        </w:tc>
      </w:tr>
      <w:tr w:rsidR="00F30677" w14:paraId="3ECB04B1" w14:textId="77777777" w:rsidTr="0035700B">
        <w:trPr>
          <w:jc w:val="center"/>
        </w:trPr>
        <w:tc>
          <w:tcPr>
            <w:tcW w:w="2782" w:type="dxa"/>
            <w:vMerge/>
          </w:tcPr>
          <w:p w14:paraId="4C73AFF1" w14:textId="77777777" w:rsidR="00F30677" w:rsidRDefault="00F30677">
            <w:pPr>
              <w:widowControl w:val="0"/>
              <w:rPr>
                <w:rFonts w:ascii="Times New Roman" w:hAnsi="Times New Roman"/>
              </w:rPr>
            </w:pPr>
          </w:p>
        </w:tc>
        <w:tc>
          <w:tcPr>
            <w:tcW w:w="6860" w:type="dxa"/>
          </w:tcPr>
          <w:p w14:paraId="0D317E68" w14:textId="77777777" w:rsidR="00F30677" w:rsidRDefault="00000000">
            <w:pPr>
              <w:widowControl w:val="0"/>
              <w:jc w:val="both"/>
            </w:pPr>
            <w:r>
              <w:rPr>
                <w:rFonts w:ascii="Times New Roman" w:hAnsi="Times New Roman" w:cs="Times New Roman"/>
                <w:spacing w:val="-2"/>
              </w:rPr>
              <w:t>¿Alguien más en su familia presenta características similares a las del TDAH?</w:t>
            </w:r>
          </w:p>
        </w:tc>
      </w:tr>
      <w:tr w:rsidR="00F30677" w14:paraId="0E6DEB4D" w14:textId="77777777" w:rsidTr="0035700B">
        <w:trPr>
          <w:jc w:val="center"/>
        </w:trPr>
        <w:tc>
          <w:tcPr>
            <w:tcW w:w="2782" w:type="dxa"/>
            <w:vMerge/>
          </w:tcPr>
          <w:p w14:paraId="0D7FDAE3" w14:textId="77777777" w:rsidR="00F30677" w:rsidRDefault="00F30677">
            <w:pPr>
              <w:widowControl w:val="0"/>
              <w:rPr>
                <w:rFonts w:ascii="Times New Roman" w:hAnsi="Times New Roman"/>
              </w:rPr>
            </w:pPr>
          </w:p>
        </w:tc>
        <w:tc>
          <w:tcPr>
            <w:tcW w:w="6860" w:type="dxa"/>
          </w:tcPr>
          <w:p w14:paraId="7CFCEF1B" w14:textId="77777777" w:rsidR="00F30677" w:rsidRDefault="00000000">
            <w:pPr>
              <w:widowControl w:val="0"/>
              <w:jc w:val="both"/>
            </w:pPr>
            <w:r>
              <w:rPr>
                <w:rFonts w:ascii="Times New Roman" w:hAnsi="Times New Roman" w:cs="Times New Roman"/>
                <w:spacing w:val="-2"/>
              </w:rPr>
              <w:t>¿Qué tipo de apoyo o aceptación sintieron de sus padres, familiares y maestros?</w:t>
            </w:r>
          </w:p>
        </w:tc>
      </w:tr>
      <w:tr w:rsidR="00F30677" w14:paraId="732FB9CD" w14:textId="77777777" w:rsidTr="0035700B">
        <w:trPr>
          <w:jc w:val="center"/>
        </w:trPr>
        <w:tc>
          <w:tcPr>
            <w:tcW w:w="2782" w:type="dxa"/>
          </w:tcPr>
          <w:p w14:paraId="29E8B2A1" w14:textId="77777777" w:rsidR="00F30677" w:rsidRDefault="00000000">
            <w:pPr>
              <w:widowControl w:val="0"/>
            </w:pPr>
            <w:r>
              <w:rPr>
                <w:rFonts w:ascii="Times New Roman" w:hAnsi="Times New Roman" w:cs="Times New Roman"/>
                <w:spacing w:val="-2"/>
              </w:rPr>
              <w:t>2. Etapa escolar</w:t>
            </w:r>
          </w:p>
        </w:tc>
        <w:tc>
          <w:tcPr>
            <w:tcW w:w="6860" w:type="dxa"/>
          </w:tcPr>
          <w:p w14:paraId="5F19932B" w14:textId="77777777" w:rsidR="00F30677" w:rsidRDefault="00000000">
            <w:pPr>
              <w:widowControl w:val="0"/>
              <w:jc w:val="both"/>
            </w:pPr>
            <w:r>
              <w:rPr>
                <w:rFonts w:ascii="Times New Roman" w:hAnsi="Times New Roman" w:cs="Times New Roman"/>
                <w:spacing w:val="-2"/>
              </w:rPr>
              <w:t>¿Qué estrategias de estudio utilizaban en la primaria?</w:t>
            </w:r>
          </w:p>
        </w:tc>
      </w:tr>
      <w:tr w:rsidR="00F30677" w14:paraId="3C009BC7" w14:textId="77777777" w:rsidTr="0035700B">
        <w:trPr>
          <w:jc w:val="center"/>
        </w:trPr>
        <w:tc>
          <w:tcPr>
            <w:tcW w:w="2782" w:type="dxa"/>
            <w:vMerge w:val="restart"/>
          </w:tcPr>
          <w:p w14:paraId="08F7DDDE" w14:textId="77777777" w:rsidR="00F30677" w:rsidRDefault="00F30677">
            <w:pPr>
              <w:widowControl w:val="0"/>
              <w:rPr>
                <w:rFonts w:ascii="Times New Roman" w:hAnsi="Times New Roman"/>
              </w:rPr>
            </w:pPr>
          </w:p>
        </w:tc>
        <w:tc>
          <w:tcPr>
            <w:tcW w:w="6860" w:type="dxa"/>
          </w:tcPr>
          <w:p w14:paraId="280752CF" w14:textId="77777777" w:rsidR="00F30677" w:rsidRDefault="00000000">
            <w:pPr>
              <w:widowControl w:val="0"/>
              <w:jc w:val="both"/>
            </w:pPr>
            <w:r>
              <w:rPr>
                <w:rFonts w:ascii="Times New Roman" w:hAnsi="Times New Roman" w:cs="Times New Roman"/>
                <w:spacing w:val="-2"/>
              </w:rPr>
              <w:t>¿Cómo era su desempeño trabajando en equipo o de manera individual?</w:t>
            </w:r>
          </w:p>
        </w:tc>
      </w:tr>
      <w:tr w:rsidR="00F30677" w14:paraId="09BAE4E9" w14:textId="77777777" w:rsidTr="0035700B">
        <w:trPr>
          <w:jc w:val="center"/>
        </w:trPr>
        <w:tc>
          <w:tcPr>
            <w:tcW w:w="2782" w:type="dxa"/>
            <w:vMerge/>
          </w:tcPr>
          <w:p w14:paraId="7E64ED31" w14:textId="77777777" w:rsidR="00F30677" w:rsidRDefault="00F30677">
            <w:pPr>
              <w:widowControl w:val="0"/>
              <w:rPr>
                <w:rFonts w:ascii="Times New Roman" w:hAnsi="Times New Roman"/>
              </w:rPr>
            </w:pPr>
          </w:p>
        </w:tc>
        <w:tc>
          <w:tcPr>
            <w:tcW w:w="6860" w:type="dxa"/>
          </w:tcPr>
          <w:p w14:paraId="00EC7115" w14:textId="77777777" w:rsidR="00F30677" w:rsidRDefault="00000000">
            <w:pPr>
              <w:widowControl w:val="0"/>
              <w:jc w:val="both"/>
            </w:pPr>
            <w:r>
              <w:rPr>
                <w:rFonts w:ascii="Times New Roman" w:hAnsi="Times New Roman" w:cs="Times New Roman"/>
                <w:spacing w:val="-2"/>
              </w:rPr>
              <w:t>¿Cómo solían construir amistades en la primaria o secundaria?</w:t>
            </w:r>
          </w:p>
        </w:tc>
      </w:tr>
      <w:tr w:rsidR="00F30677" w14:paraId="43CE0B12" w14:textId="77777777" w:rsidTr="0035700B">
        <w:trPr>
          <w:jc w:val="center"/>
        </w:trPr>
        <w:tc>
          <w:tcPr>
            <w:tcW w:w="2782" w:type="dxa"/>
            <w:vMerge/>
          </w:tcPr>
          <w:p w14:paraId="61EC6D8D" w14:textId="77777777" w:rsidR="00F30677" w:rsidRDefault="00F30677">
            <w:pPr>
              <w:widowControl w:val="0"/>
              <w:rPr>
                <w:rFonts w:ascii="Times New Roman" w:hAnsi="Times New Roman"/>
              </w:rPr>
            </w:pPr>
          </w:p>
        </w:tc>
        <w:tc>
          <w:tcPr>
            <w:tcW w:w="6860" w:type="dxa"/>
          </w:tcPr>
          <w:p w14:paraId="46339453" w14:textId="77777777" w:rsidR="00F30677" w:rsidRDefault="00000000">
            <w:pPr>
              <w:widowControl w:val="0"/>
              <w:jc w:val="both"/>
            </w:pPr>
            <w:r>
              <w:rPr>
                <w:rFonts w:ascii="Times New Roman" w:hAnsi="Times New Roman" w:cs="Times New Roman"/>
                <w:spacing w:val="-2"/>
              </w:rPr>
              <w:t>¿Tuvieron conflictos con figuras de autoridad o compañeros/as?</w:t>
            </w:r>
          </w:p>
        </w:tc>
      </w:tr>
      <w:tr w:rsidR="00F30677" w14:paraId="13DBB9A8" w14:textId="77777777" w:rsidTr="0035700B">
        <w:trPr>
          <w:jc w:val="center"/>
        </w:trPr>
        <w:tc>
          <w:tcPr>
            <w:tcW w:w="2782" w:type="dxa"/>
            <w:vMerge/>
          </w:tcPr>
          <w:p w14:paraId="528B7FFD" w14:textId="77777777" w:rsidR="00F30677" w:rsidRDefault="00F30677">
            <w:pPr>
              <w:widowControl w:val="0"/>
              <w:rPr>
                <w:rFonts w:ascii="Times New Roman" w:hAnsi="Times New Roman"/>
              </w:rPr>
            </w:pPr>
          </w:p>
        </w:tc>
        <w:tc>
          <w:tcPr>
            <w:tcW w:w="6860" w:type="dxa"/>
          </w:tcPr>
          <w:p w14:paraId="4CB9ED91" w14:textId="77777777" w:rsidR="00F30677" w:rsidRDefault="00000000">
            <w:pPr>
              <w:widowControl w:val="0"/>
              <w:jc w:val="both"/>
            </w:pPr>
            <w:r>
              <w:rPr>
                <w:rFonts w:ascii="Times New Roman" w:hAnsi="Times New Roman" w:cs="Times New Roman"/>
                <w:spacing w:val="-2"/>
              </w:rPr>
              <w:t>¿Qué les motivaba a comprometerse con actividades a largo plazo?</w:t>
            </w:r>
          </w:p>
        </w:tc>
      </w:tr>
      <w:tr w:rsidR="00F30677" w14:paraId="231D801A" w14:textId="77777777" w:rsidTr="0035700B">
        <w:trPr>
          <w:jc w:val="center"/>
        </w:trPr>
        <w:tc>
          <w:tcPr>
            <w:tcW w:w="2782" w:type="dxa"/>
            <w:vMerge/>
          </w:tcPr>
          <w:p w14:paraId="6F6E1DAC" w14:textId="77777777" w:rsidR="00F30677" w:rsidRDefault="00F30677">
            <w:pPr>
              <w:widowControl w:val="0"/>
              <w:rPr>
                <w:rFonts w:ascii="Times New Roman" w:hAnsi="Times New Roman"/>
              </w:rPr>
            </w:pPr>
          </w:p>
        </w:tc>
        <w:tc>
          <w:tcPr>
            <w:tcW w:w="6860" w:type="dxa"/>
          </w:tcPr>
          <w:p w14:paraId="6E753FCD" w14:textId="77777777" w:rsidR="00F30677" w:rsidRDefault="00000000">
            <w:pPr>
              <w:widowControl w:val="0"/>
              <w:jc w:val="both"/>
            </w:pPr>
            <w:r>
              <w:rPr>
                <w:rFonts w:ascii="Times New Roman" w:hAnsi="Times New Roman" w:cs="Times New Roman"/>
                <w:spacing w:val="-2"/>
              </w:rPr>
              <w:t>¿Recuerdan dificultades con estilos de aprendizaje impuestos en la escuela?</w:t>
            </w:r>
          </w:p>
        </w:tc>
      </w:tr>
      <w:tr w:rsidR="00F30677" w14:paraId="438A8D40" w14:textId="77777777" w:rsidTr="0035700B">
        <w:trPr>
          <w:jc w:val="center"/>
        </w:trPr>
        <w:tc>
          <w:tcPr>
            <w:tcW w:w="2782" w:type="dxa"/>
          </w:tcPr>
          <w:p w14:paraId="3DC83D30" w14:textId="77777777" w:rsidR="00F30677" w:rsidRDefault="00000000">
            <w:pPr>
              <w:widowControl w:val="0"/>
            </w:pPr>
            <w:r>
              <w:rPr>
                <w:rFonts w:ascii="Times New Roman" w:hAnsi="Times New Roman" w:cs="Times New Roman"/>
                <w:spacing w:val="-2"/>
              </w:rPr>
              <w:t>3. Vida universitaria</w:t>
            </w:r>
          </w:p>
        </w:tc>
        <w:tc>
          <w:tcPr>
            <w:tcW w:w="6860" w:type="dxa"/>
          </w:tcPr>
          <w:p w14:paraId="45E028D0" w14:textId="77777777" w:rsidR="00F30677" w:rsidRDefault="00000000">
            <w:pPr>
              <w:widowControl w:val="0"/>
              <w:jc w:val="both"/>
            </w:pPr>
            <w:r>
              <w:rPr>
                <w:rFonts w:ascii="Times New Roman" w:hAnsi="Times New Roman" w:cs="Times New Roman"/>
                <w:spacing w:val="-2"/>
              </w:rPr>
              <w:t>¿Cómo vivieron la transición de la preparatoria a la universidad?</w:t>
            </w:r>
          </w:p>
        </w:tc>
      </w:tr>
      <w:tr w:rsidR="00F30677" w14:paraId="3FA6D635" w14:textId="77777777" w:rsidTr="0035700B">
        <w:trPr>
          <w:jc w:val="center"/>
        </w:trPr>
        <w:tc>
          <w:tcPr>
            <w:tcW w:w="2782" w:type="dxa"/>
            <w:vMerge w:val="restart"/>
          </w:tcPr>
          <w:p w14:paraId="3559BA59" w14:textId="77777777" w:rsidR="00F30677" w:rsidRDefault="00F30677">
            <w:pPr>
              <w:widowControl w:val="0"/>
              <w:rPr>
                <w:rFonts w:ascii="Times New Roman" w:hAnsi="Times New Roman"/>
              </w:rPr>
            </w:pPr>
          </w:p>
        </w:tc>
        <w:tc>
          <w:tcPr>
            <w:tcW w:w="6860" w:type="dxa"/>
          </w:tcPr>
          <w:p w14:paraId="4E4EC9F7" w14:textId="77777777" w:rsidR="00F30677" w:rsidRDefault="00000000">
            <w:pPr>
              <w:widowControl w:val="0"/>
              <w:jc w:val="both"/>
            </w:pPr>
            <w:r>
              <w:rPr>
                <w:rFonts w:ascii="Times New Roman" w:hAnsi="Times New Roman" w:cs="Times New Roman"/>
                <w:spacing w:val="-2"/>
              </w:rPr>
              <w:t>¿Creen que su condición influyó en la elección de su carrera?</w:t>
            </w:r>
          </w:p>
        </w:tc>
      </w:tr>
      <w:tr w:rsidR="00F30677" w14:paraId="6B9806FE" w14:textId="77777777" w:rsidTr="0035700B">
        <w:trPr>
          <w:jc w:val="center"/>
        </w:trPr>
        <w:tc>
          <w:tcPr>
            <w:tcW w:w="2782" w:type="dxa"/>
            <w:vMerge/>
          </w:tcPr>
          <w:p w14:paraId="7E74820C" w14:textId="77777777" w:rsidR="00F30677" w:rsidRDefault="00F30677">
            <w:pPr>
              <w:widowControl w:val="0"/>
              <w:rPr>
                <w:rFonts w:ascii="Times New Roman" w:hAnsi="Times New Roman"/>
              </w:rPr>
            </w:pPr>
          </w:p>
        </w:tc>
        <w:tc>
          <w:tcPr>
            <w:tcW w:w="6860" w:type="dxa"/>
          </w:tcPr>
          <w:p w14:paraId="56ADFB8C" w14:textId="77777777" w:rsidR="00F30677" w:rsidRDefault="00000000">
            <w:pPr>
              <w:widowControl w:val="0"/>
              <w:jc w:val="both"/>
            </w:pPr>
            <w:r>
              <w:rPr>
                <w:rFonts w:ascii="Times New Roman" w:hAnsi="Times New Roman" w:cs="Times New Roman"/>
                <w:spacing w:val="-2"/>
              </w:rPr>
              <w:t>¿Cómo manejan los cambios y la adaptación a nuevos espacios o grupos?</w:t>
            </w:r>
          </w:p>
        </w:tc>
      </w:tr>
      <w:tr w:rsidR="00F30677" w14:paraId="34B5AEC3" w14:textId="77777777" w:rsidTr="0035700B">
        <w:trPr>
          <w:jc w:val="center"/>
        </w:trPr>
        <w:tc>
          <w:tcPr>
            <w:tcW w:w="2782" w:type="dxa"/>
            <w:vMerge/>
          </w:tcPr>
          <w:p w14:paraId="42513602" w14:textId="77777777" w:rsidR="00F30677" w:rsidRDefault="00F30677">
            <w:pPr>
              <w:widowControl w:val="0"/>
              <w:rPr>
                <w:rFonts w:ascii="Times New Roman" w:hAnsi="Times New Roman"/>
              </w:rPr>
            </w:pPr>
          </w:p>
        </w:tc>
        <w:tc>
          <w:tcPr>
            <w:tcW w:w="6860" w:type="dxa"/>
          </w:tcPr>
          <w:p w14:paraId="4091CEC2" w14:textId="77777777" w:rsidR="00F30677" w:rsidRDefault="00000000">
            <w:pPr>
              <w:widowControl w:val="0"/>
              <w:jc w:val="both"/>
            </w:pPr>
            <w:r>
              <w:rPr>
                <w:rFonts w:ascii="Times New Roman" w:hAnsi="Times New Roman" w:cs="Times New Roman"/>
                <w:spacing w:val="-2"/>
              </w:rPr>
              <w:t>¿Qué estrategias utilizan para estudiar o concentrarse?</w:t>
            </w:r>
          </w:p>
        </w:tc>
      </w:tr>
      <w:tr w:rsidR="00F30677" w14:paraId="757E8A42" w14:textId="77777777" w:rsidTr="0035700B">
        <w:trPr>
          <w:jc w:val="center"/>
        </w:trPr>
        <w:tc>
          <w:tcPr>
            <w:tcW w:w="2782" w:type="dxa"/>
            <w:vMerge/>
          </w:tcPr>
          <w:p w14:paraId="38FE30DA" w14:textId="77777777" w:rsidR="00F30677" w:rsidRDefault="00F30677">
            <w:pPr>
              <w:widowControl w:val="0"/>
              <w:rPr>
                <w:rFonts w:ascii="Times New Roman" w:hAnsi="Times New Roman"/>
              </w:rPr>
            </w:pPr>
          </w:p>
        </w:tc>
        <w:tc>
          <w:tcPr>
            <w:tcW w:w="6860" w:type="dxa"/>
          </w:tcPr>
          <w:p w14:paraId="0AA4F603" w14:textId="77777777" w:rsidR="00F30677" w:rsidRDefault="00000000">
            <w:pPr>
              <w:widowControl w:val="0"/>
              <w:jc w:val="both"/>
            </w:pPr>
            <w:r>
              <w:rPr>
                <w:rFonts w:ascii="Times New Roman" w:hAnsi="Times New Roman" w:cs="Times New Roman"/>
                <w:spacing w:val="-2"/>
              </w:rPr>
              <w:t>¿Qué métodos emplean para regular su atención durante las clases?</w:t>
            </w:r>
          </w:p>
        </w:tc>
      </w:tr>
      <w:tr w:rsidR="00F30677" w14:paraId="0367A996" w14:textId="77777777" w:rsidTr="0035700B">
        <w:trPr>
          <w:jc w:val="center"/>
        </w:trPr>
        <w:tc>
          <w:tcPr>
            <w:tcW w:w="2782" w:type="dxa"/>
            <w:vMerge/>
          </w:tcPr>
          <w:p w14:paraId="128AF686" w14:textId="77777777" w:rsidR="00F30677" w:rsidRDefault="00F30677">
            <w:pPr>
              <w:widowControl w:val="0"/>
              <w:rPr>
                <w:rFonts w:ascii="Times New Roman" w:hAnsi="Times New Roman"/>
              </w:rPr>
            </w:pPr>
          </w:p>
        </w:tc>
        <w:tc>
          <w:tcPr>
            <w:tcW w:w="6860" w:type="dxa"/>
          </w:tcPr>
          <w:p w14:paraId="78201F8F" w14:textId="77777777" w:rsidR="00F30677" w:rsidRDefault="00000000">
            <w:pPr>
              <w:widowControl w:val="0"/>
              <w:jc w:val="both"/>
            </w:pPr>
            <w:r>
              <w:rPr>
                <w:rFonts w:ascii="Times New Roman" w:hAnsi="Times New Roman" w:cs="Times New Roman"/>
                <w:spacing w:val="-2"/>
              </w:rPr>
              <w:t>¿Es preferible para ustedes compartir su diagnóstico o mantenerlo en privado?</w:t>
            </w:r>
          </w:p>
        </w:tc>
      </w:tr>
      <w:tr w:rsidR="00F30677" w14:paraId="503058AA" w14:textId="77777777" w:rsidTr="0035700B">
        <w:trPr>
          <w:jc w:val="center"/>
        </w:trPr>
        <w:tc>
          <w:tcPr>
            <w:tcW w:w="2782" w:type="dxa"/>
            <w:vMerge/>
          </w:tcPr>
          <w:p w14:paraId="3AE1A40D" w14:textId="77777777" w:rsidR="00F30677" w:rsidRDefault="00F30677">
            <w:pPr>
              <w:widowControl w:val="0"/>
              <w:rPr>
                <w:rFonts w:ascii="Times New Roman" w:hAnsi="Times New Roman"/>
              </w:rPr>
            </w:pPr>
          </w:p>
        </w:tc>
        <w:tc>
          <w:tcPr>
            <w:tcW w:w="6860" w:type="dxa"/>
          </w:tcPr>
          <w:p w14:paraId="7D5F6847" w14:textId="77777777" w:rsidR="00F30677" w:rsidRDefault="00000000">
            <w:pPr>
              <w:widowControl w:val="0"/>
              <w:jc w:val="both"/>
            </w:pPr>
            <w:r>
              <w:rPr>
                <w:rFonts w:ascii="Times New Roman" w:hAnsi="Times New Roman" w:cs="Times New Roman"/>
                <w:spacing w:val="-2"/>
              </w:rPr>
              <w:t>¿Perciben que sus síntomas se combinan con otros trastornos?</w:t>
            </w:r>
          </w:p>
        </w:tc>
      </w:tr>
      <w:tr w:rsidR="00F30677" w14:paraId="4E092528" w14:textId="77777777" w:rsidTr="0035700B">
        <w:trPr>
          <w:jc w:val="center"/>
        </w:trPr>
        <w:tc>
          <w:tcPr>
            <w:tcW w:w="2782" w:type="dxa"/>
            <w:vMerge/>
          </w:tcPr>
          <w:p w14:paraId="69C648BF" w14:textId="77777777" w:rsidR="00F30677" w:rsidRDefault="00F30677">
            <w:pPr>
              <w:widowControl w:val="0"/>
              <w:rPr>
                <w:rFonts w:ascii="Times New Roman" w:hAnsi="Times New Roman"/>
              </w:rPr>
            </w:pPr>
          </w:p>
        </w:tc>
        <w:tc>
          <w:tcPr>
            <w:tcW w:w="6860" w:type="dxa"/>
          </w:tcPr>
          <w:p w14:paraId="76E1C32A" w14:textId="77777777" w:rsidR="00F30677" w:rsidRDefault="00000000">
            <w:pPr>
              <w:widowControl w:val="0"/>
              <w:jc w:val="both"/>
            </w:pPr>
            <w:r>
              <w:rPr>
                <w:rFonts w:ascii="Times New Roman" w:hAnsi="Times New Roman" w:cs="Times New Roman"/>
                <w:spacing w:val="-2"/>
              </w:rPr>
              <w:t>¿Cómo manejan su tiempo y organizan sus actividades diarias?</w:t>
            </w:r>
          </w:p>
        </w:tc>
      </w:tr>
      <w:tr w:rsidR="00F30677" w14:paraId="538AC918" w14:textId="77777777" w:rsidTr="0035700B">
        <w:trPr>
          <w:jc w:val="center"/>
        </w:trPr>
        <w:tc>
          <w:tcPr>
            <w:tcW w:w="2782" w:type="dxa"/>
            <w:vMerge/>
          </w:tcPr>
          <w:p w14:paraId="4FE355F5" w14:textId="77777777" w:rsidR="00F30677" w:rsidRDefault="00F30677">
            <w:pPr>
              <w:widowControl w:val="0"/>
              <w:rPr>
                <w:rFonts w:ascii="Times New Roman" w:hAnsi="Times New Roman"/>
              </w:rPr>
            </w:pPr>
          </w:p>
        </w:tc>
        <w:tc>
          <w:tcPr>
            <w:tcW w:w="6860" w:type="dxa"/>
          </w:tcPr>
          <w:p w14:paraId="5F657D75" w14:textId="77777777" w:rsidR="00F30677" w:rsidRDefault="00000000">
            <w:pPr>
              <w:widowControl w:val="0"/>
              <w:jc w:val="both"/>
            </w:pPr>
            <w:r>
              <w:rPr>
                <w:rFonts w:ascii="Times New Roman" w:hAnsi="Times New Roman" w:cs="Times New Roman"/>
                <w:spacing w:val="-2"/>
              </w:rPr>
              <w:t>¿Qué tipo de ambientes prefieren para estudiar o trabajar?</w:t>
            </w:r>
          </w:p>
        </w:tc>
      </w:tr>
      <w:tr w:rsidR="00F30677" w14:paraId="3D568E3D" w14:textId="77777777" w:rsidTr="0035700B">
        <w:trPr>
          <w:jc w:val="center"/>
        </w:trPr>
        <w:tc>
          <w:tcPr>
            <w:tcW w:w="2782" w:type="dxa"/>
          </w:tcPr>
          <w:p w14:paraId="0E518486" w14:textId="77777777" w:rsidR="00F30677" w:rsidRDefault="00F30677">
            <w:pPr>
              <w:widowControl w:val="0"/>
              <w:rPr>
                <w:rFonts w:ascii="Times New Roman" w:hAnsi="Times New Roman"/>
              </w:rPr>
            </w:pPr>
          </w:p>
        </w:tc>
        <w:tc>
          <w:tcPr>
            <w:tcW w:w="6860" w:type="dxa"/>
          </w:tcPr>
          <w:p w14:paraId="6855C43F" w14:textId="77777777" w:rsidR="00F30677" w:rsidRDefault="00000000">
            <w:pPr>
              <w:widowControl w:val="0"/>
              <w:jc w:val="both"/>
            </w:pPr>
            <w:r>
              <w:rPr>
                <w:rFonts w:ascii="Times New Roman" w:hAnsi="Times New Roman"/>
              </w:rPr>
              <w:t>¿Cómo gestionan los cambios y la adaptación a nuevos entornos universitarios?</w:t>
            </w:r>
          </w:p>
        </w:tc>
      </w:tr>
      <w:tr w:rsidR="00F30677" w14:paraId="71E1DF34" w14:textId="77777777" w:rsidTr="0035700B">
        <w:trPr>
          <w:jc w:val="center"/>
        </w:trPr>
        <w:tc>
          <w:tcPr>
            <w:tcW w:w="2782" w:type="dxa"/>
          </w:tcPr>
          <w:p w14:paraId="3C9B7C79" w14:textId="77777777" w:rsidR="00F30677" w:rsidRDefault="00000000">
            <w:pPr>
              <w:widowControl w:val="0"/>
            </w:pPr>
            <w:r>
              <w:rPr>
                <w:rFonts w:ascii="Times New Roman" w:hAnsi="Times New Roman" w:cs="Times New Roman"/>
                <w:spacing w:val="-2"/>
              </w:rPr>
              <w:t>4. Relaciones y trabajo en Equipo</w:t>
            </w:r>
          </w:p>
        </w:tc>
        <w:tc>
          <w:tcPr>
            <w:tcW w:w="6860" w:type="dxa"/>
          </w:tcPr>
          <w:p w14:paraId="3402FE48" w14:textId="77777777" w:rsidR="00F30677" w:rsidRDefault="00000000">
            <w:pPr>
              <w:widowControl w:val="0"/>
              <w:jc w:val="both"/>
            </w:pPr>
            <w:r>
              <w:rPr>
                <w:rFonts w:ascii="Times New Roman" w:hAnsi="Times New Roman" w:cs="Times New Roman"/>
                <w:spacing w:val="-2"/>
              </w:rPr>
              <w:t>¿Cómo se sienten al trabajar en equipo o prefieren actividades individuales?</w:t>
            </w:r>
          </w:p>
        </w:tc>
      </w:tr>
      <w:tr w:rsidR="00F30677" w14:paraId="04ABA821" w14:textId="77777777" w:rsidTr="0035700B">
        <w:trPr>
          <w:jc w:val="center"/>
        </w:trPr>
        <w:tc>
          <w:tcPr>
            <w:tcW w:w="2782" w:type="dxa"/>
            <w:vMerge w:val="restart"/>
          </w:tcPr>
          <w:p w14:paraId="013CBFF0" w14:textId="77777777" w:rsidR="00F30677" w:rsidRDefault="00F30677">
            <w:pPr>
              <w:widowControl w:val="0"/>
              <w:rPr>
                <w:rFonts w:ascii="Times New Roman" w:hAnsi="Times New Roman"/>
              </w:rPr>
            </w:pPr>
          </w:p>
        </w:tc>
        <w:tc>
          <w:tcPr>
            <w:tcW w:w="6860" w:type="dxa"/>
          </w:tcPr>
          <w:p w14:paraId="129BF8FC" w14:textId="77777777" w:rsidR="00F30677" w:rsidRDefault="00000000">
            <w:pPr>
              <w:widowControl w:val="0"/>
              <w:jc w:val="both"/>
            </w:pPr>
            <w:r>
              <w:rPr>
                <w:rFonts w:ascii="Times New Roman" w:hAnsi="Times New Roman" w:cs="Times New Roman"/>
                <w:spacing w:val="-2"/>
              </w:rPr>
              <w:t xml:space="preserve">¿Han experimentado el fenómeno del </w:t>
            </w:r>
            <w:proofErr w:type="spellStart"/>
            <w:r>
              <w:rPr>
                <w:rFonts w:ascii="Times New Roman" w:hAnsi="Times New Roman" w:cs="Times New Roman"/>
                <w:spacing w:val="-2"/>
              </w:rPr>
              <w:t>hiperfoco</w:t>
            </w:r>
            <w:proofErr w:type="spellEnd"/>
            <w:r>
              <w:rPr>
                <w:rFonts w:ascii="Times New Roman" w:hAnsi="Times New Roman" w:cs="Times New Roman"/>
                <w:spacing w:val="-2"/>
              </w:rPr>
              <w:t>? ¿En qué situaciones?</w:t>
            </w:r>
          </w:p>
        </w:tc>
      </w:tr>
      <w:tr w:rsidR="00F30677" w14:paraId="0F4B28D4" w14:textId="77777777" w:rsidTr="0035700B">
        <w:trPr>
          <w:jc w:val="center"/>
        </w:trPr>
        <w:tc>
          <w:tcPr>
            <w:tcW w:w="2782" w:type="dxa"/>
            <w:vMerge/>
          </w:tcPr>
          <w:p w14:paraId="485DAB07" w14:textId="77777777" w:rsidR="00F30677" w:rsidRDefault="00F30677">
            <w:pPr>
              <w:widowControl w:val="0"/>
              <w:rPr>
                <w:rFonts w:ascii="Times New Roman" w:hAnsi="Times New Roman"/>
              </w:rPr>
            </w:pPr>
          </w:p>
        </w:tc>
        <w:tc>
          <w:tcPr>
            <w:tcW w:w="6860" w:type="dxa"/>
          </w:tcPr>
          <w:p w14:paraId="4C77141B" w14:textId="77777777" w:rsidR="00F30677" w:rsidRDefault="00000000">
            <w:pPr>
              <w:widowControl w:val="0"/>
              <w:jc w:val="both"/>
            </w:pPr>
            <w:r>
              <w:rPr>
                <w:rFonts w:ascii="Times New Roman" w:hAnsi="Times New Roman" w:cs="Times New Roman"/>
                <w:spacing w:val="-2"/>
              </w:rPr>
              <w:t>¿Qué estrategias emplean para manejar estímulos externos en el aula?</w:t>
            </w:r>
          </w:p>
        </w:tc>
      </w:tr>
      <w:tr w:rsidR="00F30677" w14:paraId="52B9499C" w14:textId="77777777" w:rsidTr="0035700B">
        <w:trPr>
          <w:jc w:val="center"/>
        </w:trPr>
        <w:tc>
          <w:tcPr>
            <w:tcW w:w="2782" w:type="dxa"/>
          </w:tcPr>
          <w:p w14:paraId="5169F866" w14:textId="77777777" w:rsidR="00F30677" w:rsidRDefault="00000000">
            <w:pPr>
              <w:widowControl w:val="0"/>
            </w:pPr>
            <w:r>
              <w:rPr>
                <w:rFonts w:ascii="Times New Roman" w:hAnsi="Times New Roman" w:cs="Times New Roman"/>
                <w:spacing w:val="-2"/>
              </w:rPr>
              <w:t>5. Autorregulación y emociones</w:t>
            </w:r>
          </w:p>
        </w:tc>
        <w:tc>
          <w:tcPr>
            <w:tcW w:w="6860" w:type="dxa"/>
          </w:tcPr>
          <w:p w14:paraId="696B4169" w14:textId="77777777" w:rsidR="00F30677" w:rsidRDefault="00000000">
            <w:pPr>
              <w:widowControl w:val="0"/>
              <w:jc w:val="both"/>
            </w:pPr>
            <w:r>
              <w:rPr>
                <w:rFonts w:ascii="Times New Roman" w:hAnsi="Times New Roman" w:cs="Times New Roman"/>
                <w:spacing w:val="-2"/>
              </w:rPr>
              <w:t>¿Han experimentado cambios emocionales intensos?</w:t>
            </w:r>
          </w:p>
        </w:tc>
      </w:tr>
      <w:tr w:rsidR="00F30677" w14:paraId="5D5AB7C2" w14:textId="77777777" w:rsidTr="0035700B">
        <w:trPr>
          <w:jc w:val="center"/>
        </w:trPr>
        <w:tc>
          <w:tcPr>
            <w:tcW w:w="2782" w:type="dxa"/>
          </w:tcPr>
          <w:p w14:paraId="2949D82A" w14:textId="77777777" w:rsidR="00F30677" w:rsidRDefault="00F30677">
            <w:pPr>
              <w:widowControl w:val="0"/>
              <w:jc w:val="both"/>
              <w:rPr>
                <w:rFonts w:ascii="Times New Roman" w:hAnsi="Times New Roman"/>
              </w:rPr>
            </w:pPr>
          </w:p>
        </w:tc>
        <w:tc>
          <w:tcPr>
            <w:tcW w:w="6860" w:type="dxa"/>
          </w:tcPr>
          <w:p w14:paraId="10F68BB7" w14:textId="77777777" w:rsidR="00F30677" w:rsidRDefault="00000000">
            <w:pPr>
              <w:widowControl w:val="0"/>
              <w:jc w:val="both"/>
            </w:pPr>
            <w:r>
              <w:rPr>
                <w:rFonts w:ascii="Times New Roman" w:hAnsi="Times New Roman" w:cs="Times New Roman"/>
                <w:spacing w:val="-2"/>
              </w:rPr>
              <w:t>¿Qué técnicas emplean para autorregularse emocionalmente?</w:t>
            </w:r>
          </w:p>
        </w:tc>
      </w:tr>
    </w:tbl>
    <w:p w14:paraId="7C4863DE" w14:textId="77777777" w:rsidR="00F30677" w:rsidRDefault="00000000" w:rsidP="00B229B1">
      <w:pPr>
        <w:spacing w:line="360" w:lineRule="auto"/>
        <w:jc w:val="center"/>
      </w:pPr>
      <w:r>
        <w:rPr>
          <w:rFonts w:ascii="Times New Roman" w:hAnsi="Times New Roman" w:cs="Times New Roman"/>
          <w:color w:val="000000"/>
          <w:spacing w:val="-2"/>
        </w:rPr>
        <w:t>Fuente: Elaboración propia.</w:t>
      </w:r>
    </w:p>
    <w:p w14:paraId="002C260D" w14:textId="77777777" w:rsidR="00F30677" w:rsidRDefault="00000000" w:rsidP="00B229B1">
      <w:pPr>
        <w:spacing w:line="360" w:lineRule="auto"/>
        <w:jc w:val="both"/>
      </w:pPr>
      <w:r>
        <w:rPr>
          <w:rFonts w:ascii="Times New Roman" w:hAnsi="Times New Roman" w:cs="Times New Roman"/>
          <w:spacing w:val="-2"/>
        </w:rPr>
        <w:tab/>
        <w:t>En la sesi</w:t>
      </w:r>
      <w:r>
        <w:rPr>
          <w:rFonts w:ascii="Times New Roman" w:hAnsi="Times New Roman" w:cs="Times New Roman"/>
          <w:color w:val="000000"/>
          <w:spacing w:val="-2"/>
        </w:rPr>
        <w:t>ón de grupo</w:t>
      </w:r>
      <w:r>
        <w:rPr>
          <w:rFonts w:ascii="Times New Roman" w:hAnsi="Times New Roman" w:cs="Times New Roman"/>
          <w:spacing w:val="-2"/>
        </w:rPr>
        <w:t xml:space="preserve"> </w:t>
      </w:r>
      <w:r>
        <w:rPr>
          <w:rFonts w:ascii="Times New Roman" w:hAnsi="Times New Roman" w:cs="Times New Roman"/>
          <w:color w:val="000000"/>
          <w:spacing w:val="-2"/>
        </w:rPr>
        <w:t>se abordaron</w:t>
      </w:r>
      <w:r>
        <w:rPr>
          <w:rFonts w:ascii="Times New Roman" w:hAnsi="Times New Roman" w:cs="Times New Roman"/>
          <w:spacing w:val="-2"/>
        </w:rPr>
        <w:t xml:space="preserve"> temas centrales al diagnóstico y manejo del TDAH, desde dimensiones familiares y escolares hasta desafíos emocionales y organizativos en la universidad. En t</w:t>
      </w:r>
      <w:r>
        <w:rPr>
          <w:rFonts w:ascii="Times New Roman" w:hAnsi="Times New Roman" w:cs="Times New Roman"/>
          <w:color w:val="000000"/>
          <w:spacing w:val="-2"/>
        </w:rPr>
        <w:t>érminos de</w:t>
      </w:r>
      <w:r>
        <w:rPr>
          <w:rFonts w:ascii="Times New Roman" w:hAnsi="Times New Roman" w:cs="Times New Roman"/>
          <w:spacing w:val="-2"/>
        </w:rPr>
        <w:t xml:space="preserve"> fiabilidad, las preguntas se estructuraron con </w:t>
      </w:r>
      <w:r>
        <w:rPr>
          <w:rFonts w:ascii="Times New Roman" w:hAnsi="Times New Roman" w:cs="Times New Roman"/>
          <w:spacing w:val="-2"/>
        </w:rPr>
        <w:lastRenderedPageBreak/>
        <w:t>el fin de generar un flujo natural que fomentara respuestas espontáneas y detalladas. El grupo de discusi</w:t>
      </w:r>
      <w:r>
        <w:rPr>
          <w:rFonts w:ascii="Times New Roman" w:hAnsi="Times New Roman" w:cs="Times New Roman"/>
          <w:color w:val="000000"/>
          <w:spacing w:val="-2"/>
        </w:rPr>
        <w:t>ón sigue</w:t>
      </w:r>
      <w:r>
        <w:rPr>
          <w:rFonts w:ascii="Times New Roman" w:hAnsi="Times New Roman" w:cs="Times New Roman"/>
          <w:spacing w:val="-2"/>
        </w:rPr>
        <w:t xml:space="preserve"> modelos propuestos por estudios cualitativos similares en TDAH, garantizando su pertinencia y aplicabilidad al contexto educativo. La sesión tuvo una duración de dos horas y fue transcrita en su totalidad, lo que resultó en la transcripción de 78 páginas de testimonios. Los testimonios fueron analizados cualitativamente mediante el software </w:t>
      </w:r>
      <w:proofErr w:type="spellStart"/>
      <w:r>
        <w:rPr>
          <w:rFonts w:ascii="Times New Roman" w:hAnsi="Times New Roman" w:cs="Times New Roman"/>
          <w:i/>
          <w:iCs/>
          <w:spacing w:val="-2"/>
        </w:rPr>
        <w:t>Taguette</w:t>
      </w:r>
      <w:proofErr w:type="spellEnd"/>
      <w:r>
        <w:rPr>
          <w:rFonts w:ascii="Times New Roman" w:hAnsi="Times New Roman" w:cs="Times New Roman"/>
          <w:spacing w:val="-2"/>
        </w:rPr>
        <w:t xml:space="preserve">, una herramienta de código abierto para la gestión y etiquetado de datos cualitativos. </w:t>
      </w:r>
    </w:p>
    <w:p w14:paraId="38BC7180" w14:textId="77777777" w:rsidR="00F30677" w:rsidRDefault="00000000" w:rsidP="00B229B1">
      <w:pPr>
        <w:spacing w:line="360" w:lineRule="auto"/>
        <w:jc w:val="both"/>
        <w:rPr>
          <w:rFonts w:ascii="Times New Roman" w:hAnsi="Times New Roman" w:cs="Times New Roman"/>
          <w:color w:val="000000"/>
          <w:spacing w:val="-2"/>
        </w:rPr>
      </w:pPr>
      <w:r>
        <w:rPr>
          <w:rFonts w:ascii="Times New Roman" w:hAnsi="Times New Roman" w:cs="Times New Roman"/>
          <w:spacing w:val="-2"/>
        </w:rPr>
        <w:tab/>
        <w:t>Tras la transcripción, los testimonios fueron segmentados y etiquetados según categorías emergentes. Estos fueron luego agrupados en subtemas para facilitar su análisis y comparación</w:t>
      </w:r>
      <w:r>
        <w:rPr>
          <w:rFonts w:ascii="Times New Roman" w:hAnsi="Times New Roman" w:cs="Times New Roman"/>
          <w:color w:val="000000"/>
          <w:spacing w:val="-2"/>
        </w:rPr>
        <w:t xml:space="preserve">. Ver Figura 2. </w:t>
      </w:r>
    </w:p>
    <w:p w14:paraId="59A41672" w14:textId="77777777" w:rsidR="00B229B1" w:rsidRDefault="00B229B1" w:rsidP="00B229B1">
      <w:pPr>
        <w:spacing w:line="360" w:lineRule="auto"/>
        <w:jc w:val="both"/>
      </w:pPr>
    </w:p>
    <w:p w14:paraId="305B1EDC" w14:textId="77777777" w:rsidR="00F30677" w:rsidRDefault="00000000" w:rsidP="0035700B">
      <w:pPr>
        <w:spacing w:line="360" w:lineRule="auto"/>
        <w:jc w:val="center"/>
      </w:pPr>
      <w:r w:rsidRPr="00B229B1">
        <w:rPr>
          <w:rFonts w:ascii="Times New Roman" w:hAnsi="Times New Roman" w:cs="Times New Roman"/>
          <w:b/>
          <w:bCs/>
          <w:color w:val="000000"/>
          <w:spacing w:val="-2"/>
        </w:rPr>
        <w:t>Figura 2.</w:t>
      </w:r>
      <w:r>
        <w:rPr>
          <w:rFonts w:ascii="Times New Roman" w:hAnsi="Times New Roman" w:cs="Times New Roman"/>
          <w:color w:val="000000"/>
          <w:spacing w:val="-2"/>
        </w:rPr>
        <w:t xml:space="preserve"> Página de transcripción de testimonios y tabla de análisis por categorías (Fragmentos).</w:t>
      </w:r>
    </w:p>
    <w:p w14:paraId="32BB9A3E" w14:textId="77777777" w:rsidR="00F30677" w:rsidRDefault="00000000" w:rsidP="00B229B1">
      <w:pPr>
        <w:spacing w:line="360" w:lineRule="auto"/>
        <w:jc w:val="center"/>
      </w:pPr>
      <w:r>
        <w:rPr>
          <w:noProof/>
        </w:rPr>
        <w:drawing>
          <wp:anchor distT="0" distB="0" distL="0" distR="0" simplePos="0" relativeHeight="3" behindDoc="0" locked="0" layoutInCell="0" allowOverlap="1" wp14:anchorId="496A1C60" wp14:editId="06CF64D2">
            <wp:simplePos x="0" y="0"/>
            <wp:positionH relativeFrom="column">
              <wp:align>center</wp:align>
            </wp:positionH>
            <wp:positionV relativeFrom="paragraph">
              <wp:posOffset>635</wp:posOffset>
            </wp:positionV>
            <wp:extent cx="6120130" cy="2487295"/>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6120130" cy="2487295"/>
                    </a:xfrm>
                    <a:prstGeom prst="rect">
                      <a:avLst/>
                    </a:prstGeom>
                  </pic:spPr>
                </pic:pic>
              </a:graphicData>
            </a:graphic>
          </wp:anchor>
        </w:drawing>
      </w:r>
      <w:r>
        <w:rPr>
          <w:rFonts w:ascii="Times New Roman" w:hAnsi="Times New Roman" w:cs="Times New Roman"/>
          <w:color w:val="000000"/>
          <w:spacing w:val="-2"/>
        </w:rPr>
        <w:t>Fuente: Elaboración propia a partir de los testimonios transcritos.</w:t>
      </w:r>
    </w:p>
    <w:p w14:paraId="6218F877" w14:textId="77777777" w:rsidR="00F30677" w:rsidRDefault="00F30677">
      <w:pPr>
        <w:spacing w:before="58" w:after="58" w:line="360" w:lineRule="auto"/>
        <w:jc w:val="both"/>
        <w:rPr>
          <w:rFonts w:ascii="Times New Roman" w:hAnsi="Times New Roman"/>
        </w:rPr>
      </w:pPr>
    </w:p>
    <w:p w14:paraId="7300D30E" w14:textId="77777777" w:rsidR="00F30677" w:rsidRDefault="00000000" w:rsidP="00B229B1">
      <w:pPr>
        <w:pStyle w:val="Textoindependiente"/>
        <w:spacing w:after="0" w:line="360" w:lineRule="auto"/>
        <w:jc w:val="center"/>
      </w:pPr>
      <w:r>
        <w:rPr>
          <w:rStyle w:val="StrongEmphasis"/>
          <w:rFonts w:ascii="Times New Roman" w:hAnsi="Times New Roman"/>
          <w:color w:val="000000"/>
          <w:sz w:val="32"/>
          <w:szCs w:val="32"/>
        </w:rPr>
        <w:t>Resultados</w:t>
      </w:r>
    </w:p>
    <w:p w14:paraId="01ADBA86" w14:textId="77777777" w:rsidR="00F30677" w:rsidRDefault="00000000" w:rsidP="00B229B1">
      <w:pPr>
        <w:pStyle w:val="Textoindependiente"/>
        <w:spacing w:after="0" w:line="360" w:lineRule="auto"/>
        <w:ind w:firstLine="709"/>
        <w:jc w:val="both"/>
      </w:pPr>
      <w:r>
        <w:rPr>
          <w:rFonts w:ascii="Times New Roman" w:hAnsi="Times New Roman"/>
        </w:rPr>
        <w:t>El grupo de discusión se llevó a cabo en un espacio facilitado por el Área Sustantiva de Investigación, donde se preparó una mesa redonda con siete sillas. Durante dos horas, cinco estudiantes de la Licenciatura en Inclusión Educativa del BINE compartieron sus experiencias relacionadas con el TDAH. Guiadas por preguntas de los autores, las participantes exploraron temas clave para los objetivos del estudio.</w:t>
      </w:r>
    </w:p>
    <w:p w14:paraId="00D952AB" w14:textId="77777777" w:rsidR="00F30677" w:rsidRDefault="00000000" w:rsidP="00B229B1">
      <w:pPr>
        <w:pStyle w:val="Textoindependiente"/>
        <w:spacing w:after="0" w:line="360" w:lineRule="auto"/>
        <w:jc w:val="both"/>
      </w:pPr>
      <w:r>
        <w:rPr>
          <w:rFonts w:ascii="Times New Roman" w:hAnsi="Times New Roman"/>
        </w:rPr>
        <w:tab/>
        <w:t xml:space="preserve">Según los resultados del </w:t>
      </w:r>
      <w:r>
        <w:rPr>
          <w:rStyle w:val="nfasis"/>
          <w:rFonts w:ascii="Times New Roman" w:hAnsi="Times New Roman"/>
          <w:i w:val="0"/>
          <w:iCs w:val="0"/>
          <w:color w:val="000000"/>
        </w:rPr>
        <w:t>“</w:t>
      </w:r>
      <w:r>
        <w:rPr>
          <w:rStyle w:val="nfasis"/>
          <w:rFonts w:ascii="Times New Roman" w:hAnsi="Times New Roman"/>
          <w:color w:val="000000"/>
        </w:rPr>
        <w:t>Test de Autopercepción de Síntomas de TDAH”</w:t>
      </w:r>
      <w:r>
        <w:rPr>
          <w:rFonts w:ascii="Times New Roman" w:hAnsi="Times New Roman"/>
        </w:rPr>
        <w:t xml:space="preserve">, se identificó que cinco estudiantes de un total de 90 en el ciclo escolar 2023-2024, tienen diagnóstico o probable condición de TDAH lo que representa el 5.5% de la población total. A partir del análisis de la sesión, se obtuvieron testimonios que se dividieron en dos categorías principales: </w:t>
      </w:r>
      <w:r>
        <w:rPr>
          <w:rFonts w:ascii="Times New Roman" w:hAnsi="Times New Roman"/>
          <w:i/>
          <w:iCs/>
        </w:rPr>
        <w:t>g</w:t>
      </w:r>
      <w:r>
        <w:rPr>
          <w:rFonts w:ascii="Times New Roman" w:hAnsi="Times New Roman"/>
          <w:i/>
          <w:iCs/>
          <w:color w:val="000000"/>
        </w:rPr>
        <w:t>énero</w:t>
      </w:r>
      <w:r>
        <w:rPr>
          <w:rFonts w:ascii="Times New Roman" w:hAnsi="Times New Roman"/>
          <w:color w:val="000000"/>
        </w:rPr>
        <w:t xml:space="preserve"> y </w:t>
      </w:r>
      <w:r>
        <w:rPr>
          <w:rFonts w:ascii="Times New Roman" w:hAnsi="Times New Roman"/>
          <w:i/>
          <w:iCs/>
        </w:rPr>
        <w:t>estrategias de atención y organización</w:t>
      </w:r>
      <w:r>
        <w:rPr>
          <w:rFonts w:ascii="Times New Roman" w:hAnsi="Times New Roman"/>
        </w:rPr>
        <w:t>.</w:t>
      </w:r>
    </w:p>
    <w:p w14:paraId="2C450F24" w14:textId="77777777" w:rsidR="00F30677" w:rsidRDefault="00000000" w:rsidP="00086E70">
      <w:pPr>
        <w:pStyle w:val="Ttulo3"/>
        <w:spacing w:after="0" w:line="360" w:lineRule="auto"/>
        <w:jc w:val="center"/>
      </w:pPr>
      <w:r>
        <w:rPr>
          <w:rFonts w:ascii="Times New Roman" w:hAnsi="Times New Roman"/>
          <w:sz w:val="24"/>
          <w:szCs w:val="24"/>
        </w:rPr>
        <w:lastRenderedPageBreak/>
        <w:t>Género</w:t>
      </w:r>
    </w:p>
    <w:p w14:paraId="70629835" w14:textId="77777777" w:rsidR="00F30677" w:rsidRDefault="00000000" w:rsidP="00086E70">
      <w:pPr>
        <w:pStyle w:val="Textoindependiente"/>
        <w:spacing w:after="0" w:line="360" w:lineRule="auto"/>
        <w:ind w:firstLine="709"/>
        <w:jc w:val="both"/>
      </w:pPr>
      <w:r>
        <w:rPr>
          <w:rFonts w:ascii="Times New Roman" w:hAnsi="Times New Roman"/>
        </w:rPr>
        <w:t xml:space="preserve">Las participantes, en adelante denominadas </w:t>
      </w:r>
      <w:r>
        <w:rPr>
          <w:rFonts w:ascii="Times New Roman" w:hAnsi="Times New Roman"/>
          <w:i/>
          <w:iCs/>
        </w:rPr>
        <w:t>Informantes</w:t>
      </w:r>
      <w:r>
        <w:rPr>
          <w:rFonts w:ascii="Times New Roman" w:hAnsi="Times New Roman"/>
        </w:rPr>
        <w:t xml:space="preserve">, relataron experiencias que reflejan cómo el género influye en la percepción y vivencia del TDAH. Desde el contexto familiar hasta el escolar, las </w:t>
      </w:r>
      <w:r>
        <w:rPr>
          <w:rFonts w:ascii="Times New Roman" w:hAnsi="Times New Roman"/>
          <w:i/>
          <w:iCs/>
        </w:rPr>
        <w:t>Informantes</w:t>
      </w:r>
      <w:r>
        <w:rPr>
          <w:rFonts w:ascii="Times New Roman" w:hAnsi="Times New Roman"/>
        </w:rPr>
        <w:t xml:space="preserve"> describieron una serie de malentendidos y estigmatizaciones. Por ejemplo, la Informante 1 expresó cómo su madre no confiaba en ella y la etiquetaba como </w:t>
      </w:r>
      <w:r>
        <w:rPr>
          <w:rFonts w:ascii="Times New Roman" w:hAnsi="Times New Roman"/>
          <w:i/>
          <w:iCs/>
        </w:rPr>
        <w:t>“una loca”</w:t>
      </w:r>
      <w:r>
        <w:rPr>
          <w:rFonts w:ascii="Times New Roman" w:hAnsi="Times New Roman"/>
        </w:rPr>
        <w:t xml:space="preserve"> debido a comportamientos relacionados con su condición: </w:t>
      </w:r>
      <w:r>
        <w:rPr>
          <w:rStyle w:val="nfasis"/>
          <w:rFonts w:ascii="Times New Roman" w:hAnsi="Times New Roman"/>
        </w:rPr>
        <w:t xml:space="preserve">“Mi mamá dijo: —No, es que está loca, déjenla, ignórenla”. </w:t>
      </w:r>
      <w:r>
        <w:rPr>
          <w:rStyle w:val="nfasis"/>
          <w:rFonts w:ascii="Times New Roman" w:hAnsi="Times New Roman"/>
          <w:i w:val="0"/>
          <w:iCs w:val="0"/>
        </w:rPr>
        <w:t>C</w:t>
      </w:r>
      <w:r>
        <w:rPr>
          <w:rFonts w:ascii="Times New Roman" w:hAnsi="Times New Roman"/>
        </w:rPr>
        <w:t>uando los docentes informaron sobre las dificultades que enfrentaba en la secundaria. Este tipo de estigma, originado en el entorno familiar, también se manifestó en el ámbito escolar.</w:t>
      </w:r>
    </w:p>
    <w:p w14:paraId="117628E6" w14:textId="77777777" w:rsidR="00F30677" w:rsidRDefault="00000000" w:rsidP="00B229B1">
      <w:pPr>
        <w:pStyle w:val="Textoindependiente"/>
        <w:spacing w:after="0" w:line="360" w:lineRule="auto"/>
        <w:jc w:val="both"/>
      </w:pPr>
      <w:r>
        <w:rPr>
          <w:rFonts w:ascii="Times New Roman" w:hAnsi="Times New Roman"/>
        </w:rPr>
        <w:tab/>
        <w:t xml:space="preserve">Otro tema recurrente fue el conflicto en la comunicación, especialmente por la dificultad de regular el tono de voz. La Informante 4 narró cómo era acusada de querer pelear por alzar la voz: </w:t>
      </w:r>
      <w:r>
        <w:rPr>
          <w:rStyle w:val="nfasis"/>
          <w:rFonts w:ascii="Times New Roman" w:hAnsi="Times New Roman"/>
        </w:rPr>
        <w:t>“Es que siempre quiere pelear, y siempre quiero dar mi opinión”</w:t>
      </w:r>
      <w:r>
        <w:rPr>
          <w:rFonts w:ascii="Times New Roman" w:hAnsi="Times New Roman"/>
        </w:rPr>
        <w:t xml:space="preserve">, mientras que la Informante 5 señaló: </w:t>
      </w:r>
      <w:r>
        <w:rPr>
          <w:rStyle w:val="nfasis"/>
          <w:rFonts w:ascii="Times New Roman" w:hAnsi="Times New Roman"/>
        </w:rPr>
        <w:t>“Normalmente parece que gritamos”</w:t>
      </w:r>
      <w:r>
        <w:rPr>
          <w:rFonts w:ascii="Times New Roman" w:hAnsi="Times New Roman"/>
        </w:rPr>
        <w:t>. Estas situaciones generaron malas interpretaciones en sus interacciones sociales, reforzando estereotipos que las clasificaban como conflictivas. Como estrategia para contrarrestar esta percepción, varias participantes mencionaron apoyarse en figuras de confianza, como amigas cercanas, para mediar en sus relaciones.</w:t>
      </w:r>
    </w:p>
    <w:p w14:paraId="7D0BB02E" w14:textId="77777777" w:rsidR="00F30677" w:rsidRDefault="00000000" w:rsidP="00B229B1">
      <w:pPr>
        <w:pStyle w:val="Textoindependiente"/>
        <w:spacing w:after="0" w:line="360" w:lineRule="auto"/>
        <w:jc w:val="both"/>
      </w:pPr>
      <w:r>
        <w:rPr>
          <w:rFonts w:ascii="Times New Roman" w:hAnsi="Times New Roman"/>
        </w:rPr>
        <w:tab/>
        <w:t xml:space="preserve">Asimismo, las </w:t>
      </w:r>
      <w:r>
        <w:rPr>
          <w:rFonts w:ascii="Times New Roman" w:hAnsi="Times New Roman"/>
          <w:i/>
          <w:iCs/>
        </w:rPr>
        <w:t>Informantes</w:t>
      </w:r>
      <w:r>
        <w:rPr>
          <w:rFonts w:ascii="Times New Roman" w:hAnsi="Times New Roman"/>
        </w:rPr>
        <w:t xml:space="preserve"> destacaron la inclinación al cuidado como una característica recurrente asociada a su identidad de género. La Informante 5 compartió cómo sus compañeros la llamaban ‘</w:t>
      </w:r>
      <w:r>
        <w:rPr>
          <w:rStyle w:val="nfasis"/>
          <w:rFonts w:ascii="Times New Roman" w:hAnsi="Times New Roman"/>
        </w:rPr>
        <w:t>la mamá de todos’</w:t>
      </w:r>
      <w:r>
        <w:rPr>
          <w:rFonts w:ascii="Times New Roman" w:hAnsi="Times New Roman"/>
        </w:rPr>
        <w:t>, en referencia a su actitud empática, pero también señaló que este rol puede resultar problemático, al ser percibido como una invasión en la vida de otros. Sin embargo, este mismo rol puede derivar en exclusión, como narró la Informante 1, quien fue apodada ‘</w:t>
      </w:r>
      <w:r>
        <w:rPr>
          <w:rStyle w:val="nfasis"/>
          <w:rFonts w:ascii="Times New Roman" w:hAnsi="Times New Roman"/>
        </w:rPr>
        <w:t xml:space="preserve">la mamá de los pollitos’ </w:t>
      </w:r>
      <w:r>
        <w:rPr>
          <w:rFonts w:ascii="Times New Roman" w:hAnsi="Times New Roman"/>
        </w:rPr>
        <w:t>en su grupo escolar, lo que la llevó a ser aislada por sus compañeros.</w:t>
      </w:r>
    </w:p>
    <w:p w14:paraId="4472D07E" w14:textId="77777777" w:rsidR="00F30677" w:rsidRDefault="00000000" w:rsidP="00B229B1">
      <w:pPr>
        <w:pStyle w:val="Textoindependiente"/>
        <w:spacing w:after="0" w:line="360" w:lineRule="auto"/>
        <w:jc w:val="both"/>
      </w:pPr>
      <w:r>
        <w:rPr>
          <w:rFonts w:ascii="Times New Roman" w:hAnsi="Times New Roman"/>
        </w:rPr>
        <w:tab/>
        <w:t xml:space="preserve">El diagnóstico del TDAH también mostró desigualdades por género. La Informante 4 explicó cómo el diagnóstico de su hermano fue más sencillo, mientras que en su caso los especialistas no identificaron la condición debido a la falta de herramientas específicas para mujeres: </w:t>
      </w:r>
      <w:r>
        <w:rPr>
          <w:rStyle w:val="nfasis"/>
          <w:rFonts w:ascii="Times New Roman" w:hAnsi="Times New Roman"/>
        </w:rPr>
        <w:t>“Es lo que le costó trabajo al psiquiatra detectar (…) decían ‘ella es muy callada y así’”</w:t>
      </w:r>
      <w:r>
        <w:rPr>
          <w:rFonts w:ascii="Times New Roman" w:hAnsi="Times New Roman"/>
        </w:rPr>
        <w:t>. Este caso resalta la necesidad de ajustar los instrumentos diagnósticos para tener en cuenta las diferencias de género, dado que el género influye en el diagnóstico, las relaciones familiares y escolares, así como en las expectativas sociales hacia las estudiantes con TDAH.</w:t>
      </w:r>
    </w:p>
    <w:p w14:paraId="03B54E50" w14:textId="77777777" w:rsidR="00F30677" w:rsidRDefault="00000000" w:rsidP="00B229B1">
      <w:pPr>
        <w:pStyle w:val="Textoindependiente"/>
        <w:spacing w:after="0" w:line="360" w:lineRule="auto"/>
        <w:jc w:val="both"/>
      </w:pPr>
      <w:r>
        <w:rPr>
          <w:rFonts w:ascii="Times New Roman" w:hAnsi="Times New Roman"/>
        </w:rPr>
        <w:tab/>
        <w:t>Estas problemáticas destacan la importancia de reconocer las particularidades de las mujeres con esta condición, promoviendo enfoques más sensibles y actualizados.</w:t>
      </w:r>
    </w:p>
    <w:p w14:paraId="5D8A130D" w14:textId="77777777" w:rsidR="00F30677" w:rsidRDefault="00000000" w:rsidP="00B229B1">
      <w:pPr>
        <w:pStyle w:val="Ttulo3"/>
        <w:spacing w:after="0" w:line="360" w:lineRule="auto"/>
        <w:jc w:val="center"/>
      </w:pPr>
      <w:r>
        <w:rPr>
          <w:rFonts w:ascii="Times New Roman" w:hAnsi="Times New Roman"/>
          <w:sz w:val="24"/>
          <w:szCs w:val="24"/>
        </w:rPr>
        <w:lastRenderedPageBreak/>
        <w:t>Estrategias de organización y atención</w:t>
      </w:r>
    </w:p>
    <w:p w14:paraId="1509B836" w14:textId="77777777" w:rsidR="00F30677" w:rsidRDefault="00000000" w:rsidP="00B229B1">
      <w:pPr>
        <w:pStyle w:val="Textoindependiente"/>
        <w:spacing w:after="0" w:line="360" w:lineRule="auto"/>
        <w:ind w:firstLine="709"/>
        <w:jc w:val="both"/>
      </w:pPr>
      <w:r>
        <w:rPr>
          <w:rFonts w:ascii="Times New Roman" w:hAnsi="Times New Roman"/>
        </w:rPr>
        <w:t xml:space="preserve">Durante la discusión, las </w:t>
      </w:r>
      <w:r>
        <w:rPr>
          <w:rFonts w:ascii="Times New Roman" w:hAnsi="Times New Roman"/>
          <w:i/>
          <w:iCs/>
        </w:rPr>
        <w:t>Informantes</w:t>
      </w:r>
      <w:r>
        <w:rPr>
          <w:rFonts w:ascii="Times New Roman" w:hAnsi="Times New Roman"/>
        </w:rPr>
        <w:t xml:space="preserve"> compartieron diversas estrategias para manejar su atención y organización, destacando cómo estas afectan tanto su desempeño como su bienestar emocional. La dualidad entre orden y caos fue un tema recurrente. La Informante 3, por ejemplo, señaló cómo la limpieza de su espacio influía en su estado de ánimo: </w:t>
      </w:r>
      <w:r>
        <w:rPr>
          <w:rStyle w:val="nfasis"/>
          <w:rFonts w:ascii="Times New Roman" w:hAnsi="Times New Roman"/>
        </w:rPr>
        <w:t>“Cuando está muy desordenado, me siento triste”</w:t>
      </w:r>
      <w:r>
        <w:rPr>
          <w:rFonts w:ascii="Times New Roman" w:hAnsi="Times New Roman"/>
        </w:rPr>
        <w:t xml:space="preserve">. De manera similar, la Informante 4 relató su frustración cuando su cuarto fue ordenado por alguien más: </w:t>
      </w:r>
      <w:r>
        <w:rPr>
          <w:rStyle w:val="nfasis"/>
          <w:rFonts w:ascii="Times New Roman" w:hAnsi="Times New Roman"/>
        </w:rPr>
        <w:t>“Ahora, voy a tener que tener el cuarto ordenado”</w:t>
      </w:r>
      <w:r>
        <w:rPr>
          <w:rFonts w:ascii="Times New Roman" w:hAnsi="Times New Roman"/>
        </w:rPr>
        <w:t>.</w:t>
      </w:r>
    </w:p>
    <w:p w14:paraId="30ECA4F8" w14:textId="77777777" w:rsidR="00F30677" w:rsidRDefault="00000000" w:rsidP="00B229B1">
      <w:pPr>
        <w:pStyle w:val="Textoindependiente"/>
        <w:spacing w:after="0" w:line="360" w:lineRule="auto"/>
        <w:jc w:val="both"/>
      </w:pPr>
      <w:r>
        <w:rPr>
          <w:rFonts w:ascii="Times New Roman" w:hAnsi="Times New Roman"/>
        </w:rPr>
        <w:tab/>
        <w:t xml:space="preserve">En cuanto a estrategias escolares, las participantes mostraron enfoques variados. La Informante 1 admitió que rara vez estudiaba, confiando en su capacidad de retomar la información en clase: </w:t>
      </w:r>
      <w:r>
        <w:rPr>
          <w:rStyle w:val="nfasis"/>
          <w:rFonts w:ascii="Times New Roman" w:hAnsi="Times New Roman"/>
        </w:rPr>
        <w:t>“Siempre me pasa que se me olvida el tema, pero empiezan a hablar de eso. ‘Ah, cierto’—Y ya me a</w:t>
      </w:r>
      <w:r>
        <w:rPr>
          <w:rStyle w:val="nfasis"/>
          <w:rFonts w:ascii="Times New Roman" w:hAnsi="Times New Roman"/>
          <w:color w:val="000000"/>
        </w:rPr>
        <w:t>cuerdo”</w:t>
      </w:r>
      <w:r>
        <w:rPr>
          <w:rFonts w:ascii="Times New Roman" w:hAnsi="Times New Roman"/>
        </w:rPr>
        <w:t xml:space="preserve">. En contraste, otras como la Informante 3 describieron cómo realizaban trabajo adicional, creando materiales complementarios para entender los temas: </w:t>
      </w:r>
      <w:r>
        <w:rPr>
          <w:rStyle w:val="nfasis"/>
          <w:rFonts w:ascii="Times New Roman" w:hAnsi="Times New Roman"/>
        </w:rPr>
        <w:t>“Es doble trabajo, pero lo hago para poder entender”</w:t>
      </w:r>
      <w:r>
        <w:rPr>
          <w:rFonts w:ascii="Times New Roman" w:hAnsi="Times New Roman"/>
        </w:rPr>
        <w:t>.</w:t>
      </w:r>
    </w:p>
    <w:p w14:paraId="01817E29" w14:textId="77777777" w:rsidR="00F30677" w:rsidRDefault="00000000" w:rsidP="00B229B1">
      <w:pPr>
        <w:pStyle w:val="Textoindependiente"/>
        <w:spacing w:after="0" w:line="360" w:lineRule="auto"/>
        <w:jc w:val="both"/>
      </w:pPr>
      <w:r>
        <w:rPr>
          <w:rFonts w:ascii="Times New Roman" w:hAnsi="Times New Roman"/>
        </w:rPr>
        <w:tab/>
        <w:t xml:space="preserve">El manejo del tiempo también fue central en las estrategias de atención. Varias participantes coincidieron en que lograban concentrarse mejor durante la noche, entre las 11:00 p.m. y las 12:00 a.m., debido a la reducción de distracciones: </w:t>
      </w:r>
      <w:r>
        <w:rPr>
          <w:rStyle w:val="nfasis"/>
          <w:rFonts w:ascii="Times New Roman" w:hAnsi="Times New Roman"/>
        </w:rPr>
        <w:t>“Me concentro más en hacer mis tareas a esa hora”</w:t>
      </w:r>
      <w:r>
        <w:rPr>
          <w:rFonts w:ascii="Times New Roman" w:hAnsi="Times New Roman"/>
        </w:rPr>
        <w:t xml:space="preserve"> (Informante 5). No obstante, también se mencionó cómo los largos periodos de clase afectaban su rendimiento: </w:t>
      </w:r>
      <w:r>
        <w:rPr>
          <w:rStyle w:val="nfasis"/>
          <w:rFonts w:ascii="Times New Roman" w:hAnsi="Times New Roman"/>
        </w:rPr>
        <w:t>“¿Qué es eso de 2 horas seguidas? Es un asco”</w:t>
      </w:r>
      <w:r>
        <w:rPr>
          <w:rFonts w:ascii="Times New Roman" w:hAnsi="Times New Roman"/>
        </w:rPr>
        <w:t xml:space="preserve"> (Informante 1).</w:t>
      </w:r>
    </w:p>
    <w:p w14:paraId="5FD1A9FC" w14:textId="77777777" w:rsidR="00F30677" w:rsidRDefault="00000000" w:rsidP="00B229B1">
      <w:pPr>
        <w:pStyle w:val="Textoindependiente"/>
        <w:spacing w:after="0" w:line="360" w:lineRule="auto"/>
        <w:jc w:val="both"/>
      </w:pPr>
      <w:r>
        <w:rPr>
          <w:rFonts w:ascii="Times New Roman" w:hAnsi="Times New Roman"/>
        </w:rPr>
        <w:tab/>
        <w:t xml:space="preserve">Otro aspecto destacado fue el </w:t>
      </w:r>
      <w:proofErr w:type="spellStart"/>
      <w:r>
        <w:rPr>
          <w:rFonts w:ascii="Times New Roman" w:hAnsi="Times New Roman"/>
        </w:rPr>
        <w:t>hiperfoco</w:t>
      </w:r>
      <w:proofErr w:type="spellEnd"/>
      <w:r>
        <w:rPr>
          <w:rFonts w:ascii="Times New Roman" w:hAnsi="Times New Roman"/>
        </w:rPr>
        <w:t xml:space="preserve">, una concentración intensa y limitada en tareas específicas. La Informante 4 explicó cómo aprovechaba estos momentos para realizar actividades como limpiar o hacer tareas: </w:t>
      </w:r>
      <w:r>
        <w:rPr>
          <w:rStyle w:val="nfasis"/>
          <w:rFonts w:ascii="Times New Roman" w:hAnsi="Times New Roman"/>
        </w:rPr>
        <w:t>“De la nada es como: me dieron ganas de hacer mi tarea, apago todo y me pongo a hacerla”</w:t>
      </w:r>
      <w:r>
        <w:rPr>
          <w:rFonts w:ascii="Times New Roman" w:hAnsi="Times New Roman"/>
        </w:rPr>
        <w:t>.</w:t>
      </w:r>
    </w:p>
    <w:p w14:paraId="09730025" w14:textId="77777777" w:rsidR="00F30677" w:rsidRDefault="00000000" w:rsidP="00B229B1">
      <w:pPr>
        <w:pStyle w:val="Textoindependiente"/>
        <w:spacing w:after="0" w:line="360" w:lineRule="auto"/>
        <w:jc w:val="both"/>
      </w:pPr>
      <w:r>
        <w:rPr>
          <w:rFonts w:ascii="Times New Roman" w:hAnsi="Times New Roman"/>
        </w:rPr>
        <w:tab/>
        <w:t xml:space="preserve">Las estrategias de atención incluían actividades complementarias, como colorear o escuchar música, para mantener el enfoque durante las clases. Algunas participantes mencionaron cómo ciertos docentes adaptaron sus métodos para apoyarlas, mientras que otras encontraron estas intervenciones incómodas. Por ejemplo, la Informante 3 narró: </w:t>
      </w:r>
      <w:r>
        <w:rPr>
          <w:rStyle w:val="nfasis"/>
          <w:rFonts w:ascii="Times New Roman" w:hAnsi="Times New Roman"/>
        </w:rPr>
        <w:t>“El profesor trata de buscarme la mirada, y aunque me incomoda, me ayuda a prestar más atención”</w:t>
      </w:r>
      <w:r>
        <w:rPr>
          <w:rFonts w:ascii="Times New Roman" w:hAnsi="Times New Roman"/>
        </w:rPr>
        <w:t>.</w:t>
      </w:r>
    </w:p>
    <w:p w14:paraId="1BD930FC" w14:textId="77777777" w:rsidR="00F30677" w:rsidRDefault="00000000" w:rsidP="00B229B1">
      <w:pPr>
        <w:pStyle w:val="Textoindependiente"/>
        <w:spacing w:after="0" w:line="360" w:lineRule="auto"/>
        <w:jc w:val="both"/>
      </w:pPr>
      <w:r>
        <w:rPr>
          <w:rFonts w:ascii="Times New Roman" w:hAnsi="Times New Roman"/>
        </w:rPr>
        <w:tab/>
        <w:t>El grupo de discusión permitió no solo explorar las experiencias y estrategias de las estudiantes con TDAH, sino también construir un espacio de sororidad donde las participantes compartieron y validaron sus vivencias. Este intercambio sirvió como una estrategia de apoyo mutuo y una oportunidad para aliviar el impacto del “</w:t>
      </w:r>
      <w:proofErr w:type="spellStart"/>
      <w:r>
        <w:rPr>
          <w:rStyle w:val="nfasis"/>
          <w:rFonts w:ascii="Times New Roman" w:hAnsi="Times New Roman"/>
        </w:rPr>
        <w:t>masking</w:t>
      </w:r>
      <w:proofErr w:type="spellEnd"/>
      <w:r>
        <w:rPr>
          <w:rFonts w:ascii="Times New Roman" w:hAnsi="Times New Roman"/>
          <w:i/>
          <w:iCs/>
        </w:rPr>
        <w:t xml:space="preserve"> (ocultamiento de la condición)”</w:t>
      </w:r>
      <w:r>
        <w:rPr>
          <w:rFonts w:ascii="Times New Roman" w:hAnsi="Times New Roman"/>
        </w:rPr>
        <w:t xml:space="preserve">. La riqueza de sus testimonios evidencia la necesidad de </w:t>
      </w:r>
      <w:r>
        <w:rPr>
          <w:rFonts w:ascii="Times New Roman" w:hAnsi="Times New Roman"/>
        </w:rPr>
        <w:lastRenderedPageBreak/>
        <w:t xml:space="preserve">reconocer las diferencias de género en la vivencia del TDAH y de promover estrategias que consideren tanto sus desafíos como sus fortalezas. </w:t>
      </w:r>
      <w:r>
        <w:rPr>
          <w:rFonts w:ascii="Times New Roman" w:hAnsi="Times New Roman" w:cs="Times New Roman"/>
          <w:spacing w:val="-2"/>
        </w:rPr>
        <w:t>Ver Figura 3</w:t>
      </w:r>
      <w:r>
        <w:rPr>
          <w:rFonts w:ascii="Times New Roman" w:hAnsi="Times New Roman"/>
        </w:rPr>
        <w:t>.</w:t>
      </w:r>
    </w:p>
    <w:p w14:paraId="5E8DF5E4" w14:textId="77777777" w:rsidR="00B229B1" w:rsidRDefault="00B229B1">
      <w:pPr>
        <w:pStyle w:val="Textoindependiente"/>
        <w:spacing w:line="360" w:lineRule="auto"/>
        <w:jc w:val="both"/>
        <w:rPr>
          <w:rFonts w:ascii="Times New Roman" w:hAnsi="Times New Roman"/>
        </w:rPr>
      </w:pPr>
    </w:p>
    <w:p w14:paraId="7638E718" w14:textId="1AAC498A" w:rsidR="00F30677" w:rsidRDefault="00000000" w:rsidP="00B229B1">
      <w:pPr>
        <w:pStyle w:val="Textoindependiente"/>
        <w:spacing w:line="360" w:lineRule="auto"/>
        <w:jc w:val="center"/>
      </w:pPr>
      <w:r w:rsidRPr="00B229B1">
        <w:rPr>
          <w:rFonts w:ascii="Times New Roman" w:hAnsi="Times New Roman"/>
          <w:b/>
          <w:bCs/>
        </w:rPr>
        <w:t>Figura 3.</w:t>
      </w:r>
      <w:r>
        <w:rPr>
          <w:rFonts w:ascii="Times New Roman" w:hAnsi="Times New Roman"/>
        </w:rPr>
        <w:t xml:space="preserve"> </w:t>
      </w:r>
      <w:r>
        <w:rPr>
          <w:rFonts w:ascii="Times New Roman" w:hAnsi="Times New Roman" w:cs="Times New Roman"/>
          <w:color w:val="000000"/>
          <w:spacing w:val="-2"/>
        </w:rPr>
        <w:t>Captura de pantalla de retroalimentación sobre el grupo de discusión en WhatsApp.</w:t>
      </w:r>
    </w:p>
    <w:p w14:paraId="000682BA" w14:textId="77777777" w:rsidR="00F30677" w:rsidRDefault="00000000" w:rsidP="00B229B1">
      <w:pPr>
        <w:pStyle w:val="Textoindependiente"/>
        <w:spacing w:after="0" w:line="360" w:lineRule="auto"/>
        <w:jc w:val="center"/>
      </w:pPr>
      <w:r>
        <w:rPr>
          <w:noProof/>
        </w:rPr>
        <w:drawing>
          <wp:anchor distT="0" distB="0" distL="0" distR="0" simplePos="0" relativeHeight="4" behindDoc="0" locked="0" layoutInCell="0" allowOverlap="1" wp14:anchorId="5D5B8CE0" wp14:editId="1C385D3F">
            <wp:simplePos x="0" y="0"/>
            <wp:positionH relativeFrom="column">
              <wp:align>center</wp:align>
            </wp:positionH>
            <wp:positionV relativeFrom="paragraph">
              <wp:posOffset>635</wp:posOffset>
            </wp:positionV>
            <wp:extent cx="3850640" cy="4623435"/>
            <wp:effectExtent l="0" t="0" r="0" b="0"/>
            <wp:wrapTopAndBottom/>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8"/>
                    <a:stretch>
                      <a:fillRect/>
                    </a:stretch>
                  </pic:blipFill>
                  <pic:spPr bwMode="auto">
                    <a:xfrm>
                      <a:off x="0" y="0"/>
                      <a:ext cx="3850640" cy="4623435"/>
                    </a:xfrm>
                    <a:prstGeom prst="rect">
                      <a:avLst/>
                    </a:prstGeom>
                  </pic:spPr>
                </pic:pic>
              </a:graphicData>
            </a:graphic>
          </wp:anchor>
        </w:drawing>
      </w:r>
      <w:r>
        <w:rPr>
          <w:rFonts w:ascii="Times New Roman" w:hAnsi="Times New Roman" w:cs="Times New Roman"/>
          <w:color w:val="000000"/>
          <w:spacing w:val="-2"/>
        </w:rPr>
        <w:t>Fuente: Elaboración propia.</w:t>
      </w:r>
    </w:p>
    <w:p w14:paraId="14D1C88E" w14:textId="77777777" w:rsidR="00F30677" w:rsidRDefault="00000000">
      <w:pPr>
        <w:spacing w:before="58" w:after="58" w:line="360" w:lineRule="auto"/>
        <w:jc w:val="both"/>
      </w:pPr>
      <w:r>
        <w:rPr>
          <w:rFonts w:ascii="Times New Roman" w:hAnsi="Times New Roman" w:cs="Times New Roman"/>
          <w:color w:val="000000"/>
          <w:spacing w:val="-2"/>
        </w:rPr>
        <w:tab/>
        <w:t xml:space="preserve">La retroalimentación obtenida a través del grupo de WhatsApp refleja la percepción positiva de las participantes sobre el espacio de discusión. Comentarios como: “Muchas gracias, fue muy bueno compartir experiencias (Emoji de manos en forma de corazón, piel blanca)” destacan la oportunidad de compartir vivencias en un ambiente de confianza. Otro testimonio, “Me sentí en confianza, como que aquí se puede hablar sin tener que estarse cuidando de lo que dices”, evidencia el sentido de intimidad y conexión emocional generado entre las participantes y el facilitador, reforzando el valor del intercambio colectivo. Finalmente, la expresión “Neta muchísimas gracias chicas por compartir sus anécdotas y hacer un gran bonito </w:t>
      </w:r>
      <w:proofErr w:type="spellStart"/>
      <w:r>
        <w:rPr>
          <w:rFonts w:ascii="Times New Roman" w:hAnsi="Times New Roman" w:cs="Times New Roman"/>
          <w:i/>
          <w:iCs/>
          <w:color w:val="000000"/>
          <w:spacing w:val="-2"/>
        </w:rPr>
        <w:t>chismesito</w:t>
      </w:r>
      <w:proofErr w:type="spellEnd"/>
      <w:r>
        <w:rPr>
          <w:rFonts w:ascii="Times New Roman" w:hAnsi="Times New Roman" w:cs="Times New Roman"/>
          <w:color w:val="000000"/>
          <w:spacing w:val="-2"/>
        </w:rPr>
        <w:t xml:space="preserve"> (Emoji de manos en forma de corazón, piel morena)” pone de manifiesto la relevancia del grupo no solo como un espacio académico, sino también como un medio para generar redes de apoyo informal y fortalecer vínculos personales, promoviendo un sentido de comunidad entre las participantes.</w:t>
      </w:r>
    </w:p>
    <w:p w14:paraId="7263A382" w14:textId="77777777" w:rsidR="00F30677" w:rsidRDefault="00000000" w:rsidP="00B229B1">
      <w:pPr>
        <w:spacing w:line="360" w:lineRule="auto"/>
        <w:jc w:val="center"/>
      </w:pPr>
      <w:r>
        <w:rPr>
          <w:rFonts w:ascii="Times New Roman" w:hAnsi="Times New Roman"/>
          <w:b/>
          <w:bCs/>
          <w:sz w:val="32"/>
          <w:szCs w:val="32"/>
        </w:rPr>
        <w:lastRenderedPageBreak/>
        <w:t>Discusión</w:t>
      </w:r>
    </w:p>
    <w:p w14:paraId="7384B114" w14:textId="77777777" w:rsidR="00F30677" w:rsidRDefault="00000000" w:rsidP="00B229B1">
      <w:pPr>
        <w:spacing w:before="58" w:after="58" w:line="360" w:lineRule="auto"/>
        <w:ind w:firstLine="709"/>
        <w:jc w:val="both"/>
      </w:pPr>
      <w:r>
        <w:rPr>
          <w:rFonts w:ascii="Times New Roman" w:hAnsi="Times New Roman"/>
        </w:rPr>
        <w:t xml:space="preserve">Al inicio de esta investigación surgió una disyuntiva fundamental: determinar si era pertinente o no diagnosticar a la población participante. Finalmente, se decidió que tal acción no solo estaba fuera del alcance del estudio, sino que también resultaba incompatible con sus objetivos. Por ello, se optó por un enfoque alternativo mediante el uso del </w:t>
      </w:r>
      <w:r>
        <w:rPr>
          <w:rFonts w:ascii="Times New Roman" w:hAnsi="Times New Roman"/>
          <w:color w:val="000000"/>
        </w:rPr>
        <w:t>“</w:t>
      </w:r>
      <w:r>
        <w:rPr>
          <w:rFonts w:ascii="Times New Roman" w:hAnsi="Times New Roman"/>
          <w:i/>
          <w:iCs/>
          <w:color w:val="000000"/>
        </w:rPr>
        <w:t>Test de Autopercepción de Síntomas de TDAH”</w:t>
      </w:r>
      <w:r>
        <w:rPr>
          <w:rFonts w:ascii="Times New Roman" w:hAnsi="Times New Roman"/>
        </w:rPr>
        <w:t xml:space="preserve"> como herramienta de tamizaje.</w:t>
      </w:r>
    </w:p>
    <w:p w14:paraId="448A3A09" w14:textId="77777777" w:rsidR="00F30677" w:rsidRDefault="00000000">
      <w:pPr>
        <w:spacing w:before="58" w:after="58" w:line="360" w:lineRule="auto"/>
        <w:jc w:val="both"/>
      </w:pPr>
      <w:r>
        <w:rPr>
          <w:rFonts w:ascii="Times New Roman" w:hAnsi="Times New Roman"/>
        </w:rPr>
        <w:tab/>
        <w:t>No obstante, durante el proceso, se percibió cierta resistencia por parte de las estudiantes a compartir sus testimonios. Esta reticencia parecía estar motivada por el temor de que la información proporcionada pudiera ser utilizada por las instancias de atención de la Licenciatura en Inclusión Educativa. Ante esta preocupación, los autores garantizaron la confidencialidad de los datos recopilados, generando un ambiente de confianza tanto en las sesiones del grupo de discusión como en el manejo posterior de la información.</w:t>
      </w:r>
    </w:p>
    <w:p w14:paraId="05E14929" w14:textId="77777777" w:rsidR="00F30677" w:rsidRDefault="00000000">
      <w:pPr>
        <w:spacing w:before="58" w:after="58" w:line="360" w:lineRule="auto"/>
        <w:jc w:val="both"/>
      </w:pPr>
      <w:r>
        <w:rPr>
          <w:rFonts w:ascii="Times New Roman" w:hAnsi="Times New Roman"/>
        </w:rPr>
        <w:tab/>
        <w:t>Por otro lado, el reducido tamaño de la población generó cuestionamientos sobre la representatividad de la muestra. A esto se sumó la resistencia inicial del área de Tutoría, que se mostró reticente a colaborar, argumentando la ausencia de casos registrados de TDAH en los expedientes de los estudiantes y señalando que el equipo de investigación carecía de facultades para realizar diagnósticos. En respuesta, se enfatizó que la participación en el estudio era completamente voluntaria y estaba dirigida exclusivamente a estudiantes con un diagnóstico previo, o</w:t>
      </w:r>
      <w:r>
        <w:rPr>
          <w:rFonts w:ascii="Times New Roman" w:hAnsi="Times New Roman"/>
          <w:color w:val="000000"/>
        </w:rPr>
        <w:t xml:space="preserve"> quienes dieron positivo en dos de las tres áreas del Test (inatención, hiperactividad e impulsividad)</w:t>
      </w:r>
      <w:r>
        <w:rPr>
          <w:rFonts w:ascii="Times New Roman" w:hAnsi="Times New Roman"/>
        </w:rPr>
        <w:t>. Para facilitar la logística y respetar la privacidad, se estableció un grupo de WhatsApp como canal de comunicación entre las participantes, a través del cual se organizaron las sesiones del grupo de discusión, realizadas en un espacio aislado y adecuado para tal propósito.</w:t>
      </w:r>
    </w:p>
    <w:p w14:paraId="2EC04DDD" w14:textId="77777777" w:rsidR="00F30677" w:rsidRDefault="00000000">
      <w:pPr>
        <w:spacing w:before="58" w:after="58" w:line="360" w:lineRule="auto"/>
        <w:jc w:val="both"/>
      </w:pPr>
      <w:r>
        <w:rPr>
          <w:rFonts w:ascii="Times New Roman" w:hAnsi="Times New Roman"/>
        </w:rPr>
        <w:tab/>
        <w:t>Por otro lado, dentro del equipo de investigación se presentó una divergencia en torno al uso del género como categoría analítica. Uno de los autores argumentaba que era necesario abordar primero el TDAH "en general", sin incluir perspectivas de género. Esta postura reflejaba su inquietud personal respecto a posibles sesgos derivados de su identidad y experiencia, dado que su trabajo previo se enmarcaba en el ámbito de las Masculinidades, donde a menudo se percibe una tensión en torno a los estudios sobre mujeres y feminismos.</w:t>
      </w:r>
    </w:p>
    <w:p w14:paraId="2277D1F5" w14:textId="77777777" w:rsidR="00F30677" w:rsidRDefault="00000000">
      <w:pPr>
        <w:spacing w:before="58" w:after="58" w:line="360" w:lineRule="auto"/>
        <w:jc w:val="both"/>
      </w:pPr>
      <w:r>
        <w:rPr>
          <w:rFonts w:ascii="Times New Roman" w:hAnsi="Times New Roman"/>
        </w:rPr>
        <w:tab/>
        <w:t xml:space="preserve">A pesar de la duda inicial, los datos obtenidos durante la investigación evidenciaron la centralidad del género en la experiencia del TDAH en estudiantes de educación superior. Ante esto, adoptó una perspectiva feminista, que permite examinar cómo las estructuras de género influyen en la vivencia del TDAH en mujeres, lo que resulta esencial en la educación superior. como marco analítico, con base en la propuesta de García, Jiménez, </w:t>
      </w:r>
      <w:r>
        <w:rPr>
          <w:rFonts w:ascii="Times New Roman" w:hAnsi="Times New Roman"/>
        </w:rPr>
        <w:lastRenderedPageBreak/>
        <w:t>Martínez Morante y Río Lozano (2010), que reconoce la capacidad de esta metodología para explorar y comprender las desigualdades entre mujeres y hombres en contextos sociales, culturales y económicos específicos. Asimismo, esta perspectiva no excluye la participación masculina, sino que permite interpretar las diferentes concepciones que hombres y mujeres tienen sobre sí mismos. Este enfoque contribuyó a fortalecer la validez de los resultados, al garantizar un análisis ético que respetara la confianza de las participantes y la coautora en el equipo de investigación.</w:t>
      </w:r>
    </w:p>
    <w:p w14:paraId="69BE6018" w14:textId="77777777" w:rsidR="00F30677" w:rsidRPr="00B229B1" w:rsidRDefault="00F30677">
      <w:pPr>
        <w:spacing w:before="115" w:after="58" w:line="360" w:lineRule="auto"/>
        <w:rPr>
          <w:rFonts w:ascii="Times New Roman" w:hAnsi="Times New Roman"/>
        </w:rPr>
      </w:pPr>
    </w:p>
    <w:p w14:paraId="47796C7C" w14:textId="77777777" w:rsidR="00F30677" w:rsidRDefault="00000000" w:rsidP="00B229B1">
      <w:pPr>
        <w:spacing w:line="360" w:lineRule="auto"/>
        <w:jc w:val="center"/>
      </w:pPr>
      <w:r>
        <w:rPr>
          <w:rFonts w:ascii="Times New Roman" w:hAnsi="Times New Roman"/>
          <w:b/>
          <w:bCs/>
          <w:sz w:val="32"/>
          <w:szCs w:val="32"/>
        </w:rPr>
        <w:t>Conclusiones</w:t>
      </w:r>
    </w:p>
    <w:p w14:paraId="18439CE1" w14:textId="77777777" w:rsidR="00F30677" w:rsidRDefault="00000000" w:rsidP="00B229B1">
      <w:pPr>
        <w:spacing w:line="360" w:lineRule="auto"/>
        <w:ind w:firstLine="709"/>
        <w:jc w:val="both"/>
      </w:pPr>
      <w:r>
        <w:rPr>
          <w:rFonts w:ascii="Times New Roman" w:hAnsi="Times New Roman" w:cs="Times New Roman"/>
          <w:color w:val="000000"/>
          <w:spacing w:val="-2"/>
        </w:rPr>
        <w:t>El objetivo de esta investigación fue analizar cómo las estudiantes de la Licenciatura en Inclusión Educativa (LIE) con diagnóstico de TDAH enfrentan los desafíos académicos, sociales y emocionales derivados de su condición. El estudio se centró en las implicaciones de género y el acceso a recursos de apoyo en el contexto de la educación superior.</w:t>
      </w:r>
    </w:p>
    <w:p w14:paraId="74E61051" w14:textId="77777777" w:rsidR="00F30677" w:rsidRDefault="00000000">
      <w:pPr>
        <w:spacing w:line="360" w:lineRule="auto"/>
        <w:jc w:val="both"/>
      </w:pPr>
      <w:r>
        <w:rPr>
          <w:rFonts w:ascii="Times New Roman" w:hAnsi="Times New Roman" w:cs="Times New Roman"/>
          <w:color w:val="000000"/>
          <w:spacing w:val="-2"/>
        </w:rPr>
        <w:tab/>
        <w:t>Las participantes señalaron que enfrentan un trato diferenciado debido a su género y diagnóstico, tanto en el ámbito familiar como escolar. A menudo son vistas a través de estereotipos de género, lo que se refleja en comentarios negativos como “ser llamadas ‘</w:t>
      </w:r>
      <w:r>
        <w:rPr>
          <w:rFonts w:ascii="Times New Roman" w:hAnsi="Times New Roman" w:cs="Times New Roman"/>
          <w:i/>
          <w:iCs/>
          <w:color w:val="000000"/>
          <w:spacing w:val="-2"/>
        </w:rPr>
        <w:t>locas</w:t>
      </w:r>
      <w:r>
        <w:rPr>
          <w:rFonts w:ascii="Times New Roman" w:hAnsi="Times New Roman" w:cs="Times New Roman"/>
          <w:color w:val="000000"/>
          <w:spacing w:val="-2"/>
        </w:rPr>
        <w:t>’ o ‘</w:t>
      </w:r>
      <w:r>
        <w:rPr>
          <w:rFonts w:ascii="Times New Roman" w:hAnsi="Times New Roman" w:cs="Times New Roman"/>
          <w:i/>
          <w:iCs/>
          <w:color w:val="000000"/>
          <w:spacing w:val="-2"/>
        </w:rPr>
        <w:t>conflictivas</w:t>
      </w:r>
      <w:r>
        <w:rPr>
          <w:rFonts w:ascii="Times New Roman" w:hAnsi="Times New Roman" w:cs="Times New Roman"/>
          <w:color w:val="000000"/>
          <w:spacing w:val="-2"/>
        </w:rPr>
        <w:t>’ por los demás”, y esto contribuye a su baja autoestima y angustia psicológica. Este estigma refuerza la percepción de que las mujeres con TDAH son problemáticas, especialmente en entornos como las Escuelas Normales, que tienen una mayoría de estudiantes mujeres.</w:t>
      </w:r>
    </w:p>
    <w:p w14:paraId="390CF68D" w14:textId="77777777" w:rsidR="00F30677" w:rsidRDefault="00000000">
      <w:pPr>
        <w:spacing w:line="360" w:lineRule="auto"/>
        <w:jc w:val="both"/>
      </w:pPr>
      <w:r>
        <w:rPr>
          <w:rFonts w:ascii="Times New Roman" w:hAnsi="Times New Roman" w:cs="Times New Roman"/>
          <w:color w:val="000000"/>
          <w:spacing w:val="-2"/>
        </w:rPr>
        <w:tab/>
        <w:t>En cuanto a las estrategias de estudio, las participantes emplean métodos de estudio flexibles, adaptados a sus necesidades emocionales y académicas, como la organización libre de su espacio o el uso de técnicas no convencionales. Muchas organizan sus espacios de estudio de forma única, y algunas utilizan actividades complementarias, como dibujar o moverse, para mantener la atención en clase. Sin embargo, estos comportamientos son a veces malinterpretados como indisciplina, lo que contribuye a su aislamiento social y académico. También mencionaron estrategias en casa, como crear ambientes de silencio y recurrir a períodos de “</w:t>
      </w:r>
      <w:proofErr w:type="spellStart"/>
      <w:r>
        <w:rPr>
          <w:rFonts w:ascii="Times New Roman" w:hAnsi="Times New Roman" w:cs="Times New Roman"/>
          <w:color w:val="000000"/>
          <w:spacing w:val="-2"/>
        </w:rPr>
        <w:t>hiperfoco</w:t>
      </w:r>
      <w:proofErr w:type="spellEnd"/>
      <w:r>
        <w:rPr>
          <w:rFonts w:ascii="Times New Roman" w:hAnsi="Times New Roman" w:cs="Times New Roman"/>
          <w:color w:val="000000"/>
          <w:spacing w:val="-2"/>
        </w:rPr>
        <w:t>” (una intensa concentración en tareas específicas), a menudo durante la noche, para concentrarse en sus tareas.</w:t>
      </w:r>
    </w:p>
    <w:p w14:paraId="415B5444" w14:textId="77777777" w:rsidR="00F30677" w:rsidRDefault="00000000">
      <w:pPr>
        <w:spacing w:line="360" w:lineRule="auto"/>
        <w:jc w:val="both"/>
      </w:pPr>
      <w:r>
        <w:rPr>
          <w:rFonts w:ascii="Times New Roman" w:hAnsi="Times New Roman" w:cs="Times New Roman"/>
        </w:rPr>
        <w:tab/>
        <w:t>Además de las estrategias individuales de estudio, el desarrollo del grupo de discusión facilitó</w:t>
      </w:r>
      <w:r>
        <w:rPr>
          <w:rFonts w:ascii="Times New Roman" w:hAnsi="Times New Roman"/>
          <w:color w:val="000000"/>
        </w:rPr>
        <w:t xml:space="preserve"> la creación de un espacio de intercambios, entendimiento y sororidad, sirviendo no solo como una estrategia de apoyo mutuo, sino también como un respiro frente al ocultamiento de la condición (</w:t>
      </w:r>
      <w:proofErr w:type="spellStart"/>
      <w:r>
        <w:rPr>
          <w:rFonts w:ascii="Times New Roman" w:hAnsi="Times New Roman"/>
          <w:i/>
          <w:iCs/>
          <w:color w:val="000000"/>
        </w:rPr>
        <w:t>masking</w:t>
      </w:r>
      <w:proofErr w:type="spellEnd"/>
      <w:r>
        <w:rPr>
          <w:rFonts w:ascii="Times New Roman" w:hAnsi="Times New Roman"/>
          <w:color w:val="000000"/>
        </w:rPr>
        <w:t>) y los efectos negativos que este comporta.</w:t>
      </w:r>
    </w:p>
    <w:p w14:paraId="67BC94C2" w14:textId="77777777" w:rsidR="00F30677" w:rsidRDefault="00F30677">
      <w:pPr>
        <w:spacing w:line="360" w:lineRule="auto"/>
        <w:rPr>
          <w:rFonts w:ascii="Times New Roman" w:hAnsi="Times New Roman"/>
          <w:sz w:val="12"/>
          <w:szCs w:val="12"/>
        </w:rPr>
      </w:pPr>
    </w:p>
    <w:p w14:paraId="20936CCA" w14:textId="77777777" w:rsidR="00B229B1" w:rsidRDefault="00B229B1">
      <w:pPr>
        <w:spacing w:line="360" w:lineRule="auto"/>
        <w:rPr>
          <w:rFonts w:ascii="Times New Roman" w:hAnsi="Times New Roman"/>
          <w:b/>
          <w:bCs/>
          <w:sz w:val="32"/>
          <w:szCs w:val="32"/>
        </w:rPr>
      </w:pPr>
    </w:p>
    <w:p w14:paraId="48A3D16F" w14:textId="6BA7D496" w:rsidR="00F30677" w:rsidRPr="00B229B1" w:rsidRDefault="00000000" w:rsidP="00B229B1">
      <w:pPr>
        <w:spacing w:line="360" w:lineRule="auto"/>
        <w:jc w:val="center"/>
        <w:rPr>
          <w:sz w:val="22"/>
          <w:szCs w:val="22"/>
        </w:rPr>
      </w:pPr>
      <w:r w:rsidRPr="00B229B1">
        <w:rPr>
          <w:rFonts w:ascii="Times New Roman" w:hAnsi="Times New Roman"/>
          <w:b/>
          <w:bCs/>
          <w:sz w:val="28"/>
          <w:szCs w:val="28"/>
        </w:rPr>
        <w:lastRenderedPageBreak/>
        <w:t>Futuras líneas de investigación</w:t>
      </w:r>
    </w:p>
    <w:p w14:paraId="4FA66BEF" w14:textId="77777777" w:rsidR="00F30677" w:rsidRDefault="00000000" w:rsidP="00B229B1">
      <w:pPr>
        <w:spacing w:line="360" w:lineRule="auto"/>
        <w:ind w:firstLine="709"/>
        <w:jc w:val="both"/>
      </w:pPr>
      <w:r>
        <w:rPr>
          <w:rFonts w:ascii="Times New Roman" w:hAnsi="Times New Roman"/>
        </w:rPr>
        <w:t>La investigación futura sobre el trastorno por d</w:t>
      </w:r>
      <w:r>
        <w:rPr>
          <w:rFonts w:ascii="Times New Roman" w:hAnsi="Times New Roman"/>
          <w:color w:val="000000"/>
        </w:rPr>
        <w:t>éficit de atención e hiperactividad (</w:t>
      </w:r>
      <w:r>
        <w:rPr>
          <w:rFonts w:ascii="Times New Roman" w:hAnsi="Times New Roman"/>
        </w:rPr>
        <w:t xml:space="preserve">TDAH) en mujeres estudiantes de educación superior podría centrarse en explorar las percepciones y actitudes de los docentes hacia estas estudiantes, prestando especial atención a su preparación y disposición para implementar estrategias inclusivas. En este contexto, resulta pertinente analizar el impacto de dichas actitudes en el desarrollo académico y personal de las estudiantes con TDAH, particularmente en programas educativos con una predominancia de mujeres, como ocurre en la Licenciatura en Inclusión Educativa y en las Escuelas Normales en general. </w:t>
      </w:r>
    </w:p>
    <w:p w14:paraId="3E879D25" w14:textId="77777777" w:rsidR="00F30677" w:rsidRDefault="00000000">
      <w:pPr>
        <w:spacing w:line="360" w:lineRule="auto"/>
        <w:jc w:val="both"/>
      </w:pPr>
      <w:r>
        <w:rPr>
          <w:rFonts w:ascii="Times New Roman" w:hAnsi="Times New Roman"/>
        </w:rPr>
        <w:tab/>
        <w:t>En particular, en un entorno educativo inclusivo, resulta de inter</w:t>
      </w:r>
      <w:r>
        <w:rPr>
          <w:rFonts w:ascii="Times New Roman" w:hAnsi="Times New Roman"/>
          <w:color w:val="000000"/>
        </w:rPr>
        <w:t>és</w:t>
      </w:r>
      <w:r>
        <w:rPr>
          <w:rFonts w:ascii="Times New Roman" w:hAnsi="Times New Roman"/>
        </w:rPr>
        <w:t xml:space="preserve"> estudiar cómo los factores culturales y sociales influyen en la autopercepción y el manejo de los síntomas del TDAH. Esto implica investigar cómo las normas sociales, los estereotipos de género y las concepciones sobre salud mental afectan las experiencias de las mujeres con TDAH y otras condiciones de neurodivergencia en los contextos educativos de nivel superior.</w:t>
      </w:r>
    </w:p>
    <w:p w14:paraId="73A46ECD" w14:textId="77777777" w:rsidR="00F30677" w:rsidRDefault="00000000">
      <w:pPr>
        <w:spacing w:line="360" w:lineRule="auto"/>
        <w:jc w:val="both"/>
      </w:pPr>
      <w:r>
        <w:rPr>
          <w:rFonts w:ascii="Times New Roman" w:hAnsi="Times New Roman"/>
        </w:rPr>
        <w:tab/>
        <w:t xml:space="preserve">Por </w:t>
      </w:r>
      <w:r>
        <w:rPr>
          <w:rFonts w:ascii="Times New Roman" w:hAnsi="Times New Roman"/>
          <w:color w:val="000000"/>
        </w:rPr>
        <w:t>último, el desarrollo y la evaluación de intervenciones destinadas a promover entornos educativos inclusivos y de apoyo para estudiantes con TDAH deben considerarse una prioridad. Evaluar la eficacia de programas de sensibilización sobre el TDAH, metodologías de enseñanza inclusiva y otros mecanismos de apoyo, como la tutoría, puede aportar información valiosa. Asimismo, la investigación futura podría examinar el papel de los sistemas de apoyo emocional y social—tales como las amistades, la familia y, especialmente, los grupos específicos para mujeres con TDAH—, que pueden ser fundamentales para ayudar a las estudiantes a transitar sus vidas académicas y personales. En este sentido, es crucial identificar las mejores prácticas para crear redes de apoyo en las Escuelas Normales y otras instituciones educativas. Consideramos que una intervención basada en la investigación-acción podría aportar resultados satisfactorios en estudios posteriores.</w:t>
      </w:r>
    </w:p>
    <w:p w14:paraId="063BB0ED" w14:textId="77777777" w:rsidR="00F30677" w:rsidRDefault="00F30677">
      <w:pPr>
        <w:spacing w:line="360" w:lineRule="auto"/>
        <w:rPr>
          <w:rFonts w:ascii="Times New Roman" w:hAnsi="Times New Roman"/>
          <w:sz w:val="12"/>
          <w:szCs w:val="12"/>
        </w:rPr>
      </w:pPr>
    </w:p>
    <w:p w14:paraId="3AFF30B7" w14:textId="77777777" w:rsidR="00F30677" w:rsidRPr="00B229B1" w:rsidRDefault="00000000">
      <w:pPr>
        <w:spacing w:line="360" w:lineRule="auto"/>
        <w:rPr>
          <w:sz w:val="20"/>
          <w:szCs w:val="20"/>
        </w:rPr>
      </w:pPr>
      <w:r w:rsidRPr="00B229B1">
        <w:rPr>
          <w:rFonts w:ascii="Times New Roman" w:hAnsi="Times New Roman"/>
          <w:b/>
          <w:bCs/>
        </w:rPr>
        <w:t>Agradecimientos</w:t>
      </w:r>
    </w:p>
    <w:p w14:paraId="6AFCB44B" w14:textId="77777777" w:rsidR="00F30677" w:rsidRDefault="00000000">
      <w:pPr>
        <w:spacing w:line="360" w:lineRule="auto"/>
      </w:pPr>
      <w:r>
        <w:rPr>
          <w:rFonts w:ascii="Times New Roman" w:hAnsi="Times New Roman"/>
        </w:rPr>
        <w:t xml:space="preserve">Investigación realizada gracias al estímulo del Sistema Nacional de Investigadoras e Investigadores de la </w:t>
      </w:r>
      <w:r>
        <w:rPr>
          <w:rStyle w:val="nfasis"/>
          <w:rFonts w:ascii="Times New Roman" w:hAnsi="Times New Roman"/>
          <w:i w:val="0"/>
          <w:iCs w:val="0"/>
        </w:rPr>
        <w:t>Secretaría de Ciencia</w:t>
      </w:r>
      <w:r>
        <w:rPr>
          <w:rFonts w:ascii="Times New Roman" w:hAnsi="Times New Roman"/>
        </w:rPr>
        <w:t>, Humanidades, Tecnología e Innovación (SECIHTI).</w:t>
      </w:r>
    </w:p>
    <w:p w14:paraId="7B9D9CF3" w14:textId="77777777" w:rsidR="00F30677" w:rsidRDefault="00000000">
      <w:pPr>
        <w:spacing w:line="360" w:lineRule="auto"/>
        <w:rPr>
          <w:rFonts w:ascii="Times New Roman" w:hAnsi="Times New Roman"/>
          <w:sz w:val="12"/>
          <w:szCs w:val="12"/>
        </w:rPr>
      </w:pPr>
      <w:r>
        <w:br w:type="page"/>
      </w:r>
    </w:p>
    <w:p w14:paraId="689B1248" w14:textId="77777777" w:rsidR="00F30677" w:rsidRPr="00B229B1" w:rsidRDefault="00000000">
      <w:pPr>
        <w:spacing w:line="360" w:lineRule="auto"/>
        <w:rPr>
          <w:rFonts w:asciiTheme="minorHAnsi" w:hAnsiTheme="minorHAnsi" w:cstheme="minorHAnsi"/>
          <w:sz w:val="22"/>
          <w:szCs w:val="22"/>
        </w:rPr>
      </w:pPr>
      <w:r w:rsidRPr="00B229B1">
        <w:rPr>
          <w:rFonts w:asciiTheme="minorHAnsi" w:hAnsiTheme="minorHAnsi" w:cstheme="minorHAnsi"/>
          <w:b/>
          <w:bCs/>
          <w:sz w:val="28"/>
          <w:szCs w:val="28"/>
        </w:rPr>
        <w:lastRenderedPageBreak/>
        <w:t>Referencias</w:t>
      </w:r>
    </w:p>
    <w:p w14:paraId="201945AD" w14:textId="77777777" w:rsidR="00F30677" w:rsidRDefault="00000000">
      <w:pPr>
        <w:spacing w:line="360" w:lineRule="auto"/>
        <w:ind w:left="720" w:hanging="720"/>
      </w:pPr>
      <w:r>
        <w:rPr>
          <w:rFonts w:ascii="Times New Roman" w:hAnsi="Times New Roman"/>
        </w:rPr>
        <w:t xml:space="preserve">American </w:t>
      </w:r>
      <w:proofErr w:type="spellStart"/>
      <w:r>
        <w:rPr>
          <w:rFonts w:ascii="Times New Roman" w:hAnsi="Times New Roman"/>
        </w:rPr>
        <w:t>Psychological</w:t>
      </w:r>
      <w:proofErr w:type="spellEnd"/>
      <w:r>
        <w:rPr>
          <w:rFonts w:ascii="Times New Roman" w:hAnsi="Times New Roman"/>
        </w:rPr>
        <w:t xml:space="preserve"> </w:t>
      </w:r>
      <w:proofErr w:type="spellStart"/>
      <w:r>
        <w:rPr>
          <w:rFonts w:ascii="Times New Roman" w:hAnsi="Times New Roman"/>
        </w:rPr>
        <w:t>Association</w:t>
      </w:r>
      <w:proofErr w:type="spellEnd"/>
      <w:r>
        <w:rPr>
          <w:rFonts w:ascii="Times New Roman" w:hAnsi="Times New Roman"/>
        </w:rPr>
        <w:t xml:space="preserve"> [APA]. (2014). Manual de diagnóstico y estadístico de los trastornos mentales (DSM‒5). </w:t>
      </w:r>
    </w:p>
    <w:p w14:paraId="0492B872" w14:textId="77777777" w:rsidR="00F30677" w:rsidRDefault="00000000">
      <w:pPr>
        <w:spacing w:line="360" w:lineRule="auto"/>
        <w:ind w:left="720" w:hanging="720"/>
      </w:pPr>
      <w:proofErr w:type="spellStart"/>
      <w:r>
        <w:rPr>
          <w:rFonts w:ascii="Times New Roman" w:hAnsi="Times New Roman"/>
        </w:rPr>
        <w:t>Antshel</w:t>
      </w:r>
      <w:proofErr w:type="spellEnd"/>
      <w:r>
        <w:rPr>
          <w:rFonts w:ascii="Times New Roman" w:hAnsi="Times New Roman"/>
        </w:rPr>
        <w:t xml:space="preserve">, K. M. (2018).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(ADHD) and </w:t>
      </w:r>
      <w:proofErr w:type="spellStart"/>
      <w:r>
        <w:rPr>
          <w:rFonts w:ascii="Times New Roman" w:hAnsi="Times New Roman"/>
        </w:rPr>
        <w:t>entrepreneurship</w:t>
      </w:r>
      <w:proofErr w:type="spellEnd"/>
      <w:r>
        <w:rPr>
          <w:rFonts w:ascii="Times New Roman" w:hAnsi="Times New Roman"/>
        </w:rPr>
        <w:t xml:space="preserve">. </w:t>
      </w:r>
      <w:proofErr w:type="spellStart"/>
      <w:r>
        <w:rPr>
          <w:rFonts w:ascii="Times New Roman" w:hAnsi="Times New Roman"/>
        </w:rPr>
        <w:t>Academy</w:t>
      </w:r>
      <w:proofErr w:type="spellEnd"/>
      <w:r>
        <w:rPr>
          <w:rFonts w:ascii="Times New Roman" w:hAnsi="Times New Roman"/>
        </w:rPr>
        <w:t xml:space="preserve"> of Management </w:t>
      </w:r>
      <w:proofErr w:type="spellStart"/>
      <w:r>
        <w:rPr>
          <w:rFonts w:ascii="Times New Roman" w:hAnsi="Times New Roman"/>
        </w:rPr>
        <w:t>Perspectives</w:t>
      </w:r>
      <w:proofErr w:type="spellEnd"/>
      <w:r>
        <w:rPr>
          <w:rFonts w:ascii="Times New Roman" w:hAnsi="Times New Roman"/>
        </w:rPr>
        <w:t>, 32(2), 243-265</w:t>
      </w:r>
    </w:p>
    <w:p w14:paraId="0BBAA28B" w14:textId="77777777" w:rsidR="00F30677" w:rsidRDefault="00000000">
      <w:pPr>
        <w:spacing w:line="360" w:lineRule="auto"/>
        <w:ind w:left="720" w:hanging="720"/>
      </w:pPr>
      <w:r>
        <w:rPr>
          <w:rFonts w:ascii="Times New Roman" w:hAnsi="Times New Roman"/>
        </w:rPr>
        <w:t xml:space="preserve">Báez, I. (2014). La feminización en las escuelas normales del Estado de México. Ra </w:t>
      </w:r>
      <w:proofErr w:type="spellStart"/>
      <w:r>
        <w:rPr>
          <w:rFonts w:ascii="Times New Roman" w:hAnsi="Times New Roman"/>
        </w:rPr>
        <w:t>Ximhai</w:t>
      </w:r>
      <w:proofErr w:type="spellEnd"/>
      <w:r>
        <w:rPr>
          <w:rFonts w:ascii="Times New Roman" w:hAnsi="Times New Roman"/>
        </w:rPr>
        <w:t>, vol. 10, núm. 5, julio‒diciembre, 2014, pp. 321‒338. Universidad Autónoma Indígena de México. El Fuerte, México.</w:t>
      </w:r>
    </w:p>
    <w:p w14:paraId="11FA59A8" w14:textId="77777777" w:rsidR="00F30677" w:rsidRDefault="00000000">
      <w:pPr>
        <w:spacing w:line="360" w:lineRule="auto"/>
        <w:ind w:left="720" w:hanging="720"/>
      </w:pPr>
      <w:r>
        <w:rPr>
          <w:rFonts w:ascii="Times New Roman" w:hAnsi="Times New Roman"/>
        </w:rPr>
        <w:t xml:space="preserve">Barkley R.A. (2015). </w:t>
      </w:r>
      <w:proofErr w:type="spellStart"/>
      <w:r>
        <w:rPr>
          <w:rFonts w:ascii="Times New Roman" w:hAnsi="Times New Roman"/>
        </w:rPr>
        <w:t>Attention-Deficit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Handbook</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Diagnosis and </w:t>
      </w:r>
      <w:proofErr w:type="spellStart"/>
      <w:r>
        <w:rPr>
          <w:rFonts w:ascii="Times New Roman" w:hAnsi="Times New Roman"/>
        </w:rPr>
        <w:t>Treatment</w:t>
      </w:r>
      <w:proofErr w:type="spellEnd"/>
      <w:r>
        <w:rPr>
          <w:rFonts w:ascii="Times New Roman" w:hAnsi="Times New Roman"/>
        </w:rPr>
        <w:t xml:space="preserve">, </w:t>
      </w:r>
      <w:proofErr w:type="spellStart"/>
      <w:r>
        <w:rPr>
          <w:rFonts w:ascii="Times New Roman" w:hAnsi="Times New Roman"/>
        </w:rPr>
        <w:t>Fourth</w:t>
      </w:r>
      <w:proofErr w:type="spellEnd"/>
      <w:r>
        <w:rPr>
          <w:rFonts w:ascii="Times New Roman" w:hAnsi="Times New Roman"/>
        </w:rPr>
        <w:t xml:space="preserve"> </w:t>
      </w:r>
      <w:proofErr w:type="spellStart"/>
      <w:r>
        <w:rPr>
          <w:rFonts w:ascii="Times New Roman" w:hAnsi="Times New Roman"/>
        </w:rPr>
        <w:t>Edition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Guilford </w:t>
      </w:r>
      <w:proofErr w:type="spellStart"/>
      <w:r>
        <w:rPr>
          <w:rFonts w:ascii="Times New Roman" w:hAnsi="Times New Roman"/>
        </w:rPr>
        <w:t>Press</w:t>
      </w:r>
      <w:proofErr w:type="spellEnd"/>
      <w:r>
        <w:rPr>
          <w:rFonts w:ascii="Times New Roman" w:hAnsi="Times New Roman"/>
        </w:rPr>
        <w:t>, New York.</w:t>
      </w:r>
    </w:p>
    <w:p w14:paraId="4C4E4D7C" w14:textId="77777777" w:rsidR="00F30677" w:rsidRDefault="00000000">
      <w:pPr>
        <w:spacing w:line="360" w:lineRule="auto"/>
        <w:ind w:left="720" w:hanging="720"/>
      </w:pPr>
      <w:r>
        <w:rPr>
          <w:rFonts w:ascii="Times New Roman" w:hAnsi="Times New Roman"/>
        </w:rPr>
        <w:t xml:space="preserve">Barragán, E. y de la Peña, F. (2008). Primer Consenso Latinoamericano y declaración de México para el trastorno de déficit de atención e hiperactividad en Latinoamérica. </w:t>
      </w:r>
      <w:proofErr w:type="spellStart"/>
      <w:r>
        <w:rPr>
          <w:rFonts w:ascii="Times New Roman" w:hAnsi="Times New Roman"/>
        </w:rPr>
        <w:t>Rev</w:t>
      </w:r>
      <w:proofErr w:type="spellEnd"/>
      <w:r>
        <w:rPr>
          <w:rFonts w:ascii="Times New Roman" w:hAnsi="Times New Roman"/>
        </w:rPr>
        <w:t xml:space="preserve"> </w:t>
      </w:r>
      <w:proofErr w:type="spellStart"/>
      <w:r>
        <w:rPr>
          <w:rFonts w:ascii="Times New Roman" w:hAnsi="Times New Roman"/>
        </w:rPr>
        <w:t>Med</w:t>
      </w:r>
      <w:proofErr w:type="spellEnd"/>
      <w:r>
        <w:rPr>
          <w:rFonts w:ascii="Times New Roman" w:hAnsi="Times New Roman"/>
        </w:rPr>
        <w:t xml:space="preserve"> </w:t>
      </w:r>
      <w:proofErr w:type="spellStart"/>
      <w:r>
        <w:rPr>
          <w:rFonts w:ascii="Times New Roman" w:hAnsi="Times New Roman"/>
        </w:rPr>
        <w:t>Hondur</w:t>
      </w:r>
      <w:proofErr w:type="spellEnd"/>
      <w:r>
        <w:rPr>
          <w:rFonts w:ascii="Times New Roman" w:hAnsi="Times New Roman"/>
        </w:rPr>
        <w:t>.</w:t>
      </w:r>
    </w:p>
    <w:p w14:paraId="72FF6483" w14:textId="77777777" w:rsidR="00F30677" w:rsidRDefault="00000000">
      <w:pPr>
        <w:spacing w:line="360" w:lineRule="auto"/>
        <w:ind w:left="720" w:hanging="720"/>
      </w:pPr>
      <w:proofErr w:type="spellStart"/>
      <w:r>
        <w:rPr>
          <w:rFonts w:ascii="Times New Roman" w:hAnsi="Times New Roman"/>
        </w:rPr>
        <w:t>Biederman</w:t>
      </w:r>
      <w:proofErr w:type="spellEnd"/>
      <w:r>
        <w:rPr>
          <w:rFonts w:ascii="Times New Roman" w:hAnsi="Times New Roman"/>
        </w:rPr>
        <w:t xml:space="preserve"> J. (2004). </w:t>
      </w:r>
      <w:proofErr w:type="spellStart"/>
      <w:r>
        <w:rPr>
          <w:rFonts w:ascii="Times New Roman" w:hAnsi="Times New Roman"/>
        </w:rPr>
        <w:t>Attention-deficit</w:t>
      </w:r>
      <w:proofErr w:type="spellEnd"/>
      <w:r>
        <w:rPr>
          <w:rFonts w:ascii="Times New Roman" w:hAnsi="Times New Roman"/>
        </w:rPr>
        <w:t>/</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selective </w:t>
      </w:r>
      <w:proofErr w:type="spellStart"/>
      <w:r>
        <w:rPr>
          <w:rFonts w:ascii="Times New Roman" w:hAnsi="Times New Roman"/>
        </w:rPr>
        <w:t>overview</w:t>
      </w:r>
      <w:proofErr w:type="spellEnd"/>
      <w:r>
        <w:rPr>
          <w:rFonts w:ascii="Times New Roman" w:hAnsi="Times New Roman"/>
        </w:rPr>
        <w:t xml:space="preserve"> </w:t>
      </w:r>
      <w:proofErr w:type="spellStart"/>
      <w:r>
        <w:rPr>
          <w:rFonts w:ascii="Times New Roman" w:hAnsi="Times New Roman"/>
        </w:rPr>
        <w:t>Biological</w:t>
      </w:r>
      <w:proofErr w:type="spellEnd"/>
      <w:r>
        <w:rPr>
          <w:rFonts w:ascii="Times New Roman" w:hAnsi="Times New Roman"/>
        </w:rPr>
        <w:t xml:space="preserve"> </w:t>
      </w:r>
      <w:proofErr w:type="spellStart"/>
      <w:r>
        <w:rPr>
          <w:rFonts w:ascii="Times New Roman" w:hAnsi="Times New Roman"/>
        </w:rPr>
        <w:t>psychiatry</w:t>
      </w:r>
      <w:proofErr w:type="spellEnd"/>
      <w:r>
        <w:rPr>
          <w:rFonts w:ascii="Times New Roman" w:hAnsi="Times New Roman"/>
        </w:rPr>
        <w:t>, 57 (11) (2004), pp. 1215-1220.</w:t>
      </w:r>
    </w:p>
    <w:p w14:paraId="4ABFE6F5" w14:textId="77777777" w:rsidR="00F30677" w:rsidRDefault="00000000">
      <w:pPr>
        <w:spacing w:line="360" w:lineRule="auto"/>
        <w:ind w:left="720" w:hanging="720"/>
      </w:pPr>
      <w:r>
        <w:rPr>
          <w:rFonts w:ascii="Times New Roman" w:hAnsi="Times New Roman"/>
        </w:rPr>
        <w:t xml:space="preserve">Bravo Vallejo, M. (2024). </w:t>
      </w:r>
      <w:r>
        <w:rPr>
          <w:rFonts w:ascii="Times New Roman" w:hAnsi="Times New Roman"/>
          <w:i/>
          <w:iCs/>
        </w:rPr>
        <w:t xml:space="preserve">Burnout: </w:t>
      </w:r>
      <w:r>
        <w:rPr>
          <w:rFonts w:ascii="Times New Roman" w:hAnsi="Times New Roman"/>
        </w:rPr>
        <w:t>Efectos y opiniones entre estudiantes normalistas del BINE. Ponencia presentada ante el CONISEN en Durango, M</w:t>
      </w:r>
      <w:r>
        <w:rPr>
          <w:rFonts w:ascii="Times New Roman" w:hAnsi="Times New Roman"/>
          <w:color w:val="000000"/>
        </w:rPr>
        <w:t xml:space="preserve">éxico, el 26 de septiembre de 2024. </w:t>
      </w:r>
      <w:hyperlink r:id="rId9">
        <w:r w:rsidR="00F30677">
          <w:rPr>
            <w:rStyle w:val="Hipervnculo"/>
            <w:rFonts w:ascii="Times New Roman" w:hAnsi="Times New Roman"/>
            <w:color w:val="000000"/>
          </w:rPr>
          <w:t>https://conisen.mx/memorias</w:t>
        </w:r>
      </w:hyperlink>
      <w:r>
        <w:rPr>
          <w:rFonts w:ascii="Times New Roman" w:hAnsi="Times New Roman"/>
          <w:color w:val="000000"/>
        </w:rPr>
        <w:t xml:space="preserve"> </w:t>
      </w:r>
    </w:p>
    <w:p w14:paraId="3F0C181A" w14:textId="77777777" w:rsidR="00F30677" w:rsidRDefault="00000000">
      <w:pPr>
        <w:spacing w:line="360" w:lineRule="auto"/>
        <w:ind w:left="720" w:hanging="720"/>
      </w:pPr>
      <w:r>
        <w:rPr>
          <w:rFonts w:ascii="Times New Roman" w:hAnsi="Times New Roman"/>
        </w:rPr>
        <w:t xml:space="preserve">de Carvalho, J. A., de Carvalho, M. P., de Souza, L. S. A., y Braga, R. M. (2012). TDAH: </w:t>
      </w:r>
      <w:proofErr w:type="spellStart"/>
      <w:r>
        <w:rPr>
          <w:rFonts w:ascii="Times New Roman" w:hAnsi="Times New Roman"/>
        </w:rPr>
        <w:t>Considerações</w:t>
      </w:r>
      <w:proofErr w:type="spellEnd"/>
      <w:r>
        <w:rPr>
          <w:rFonts w:ascii="Times New Roman" w:hAnsi="Times New Roman"/>
        </w:rPr>
        <w:t xml:space="preserve"> sobre o </w:t>
      </w:r>
      <w:proofErr w:type="spellStart"/>
      <w:r>
        <w:rPr>
          <w:rFonts w:ascii="Times New Roman" w:hAnsi="Times New Roman"/>
        </w:rPr>
        <w:t>transtorno</w:t>
      </w:r>
      <w:proofErr w:type="spellEnd"/>
      <w:r>
        <w:rPr>
          <w:rFonts w:ascii="Times New Roman" w:hAnsi="Times New Roman"/>
        </w:rPr>
        <w:t xml:space="preserve"> do déficit de </w:t>
      </w:r>
      <w:proofErr w:type="spellStart"/>
      <w:r>
        <w:rPr>
          <w:rFonts w:ascii="Times New Roman" w:hAnsi="Times New Roman"/>
        </w:rPr>
        <w:t>atenção</w:t>
      </w:r>
      <w:proofErr w:type="spellEnd"/>
      <w:r>
        <w:rPr>
          <w:rFonts w:ascii="Times New Roman" w:hAnsi="Times New Roman"/>
        </w:rPr>
        <w:t xml:space="preserve"> e </w:t>
      </w:r>
      <w:proofErr w:type="spellStart"/>
      <w:r>
        <w:rPr>
          <w:rFonts w:ascii="Times New Roman" w:hAnsi="Times New Roman"/>
        </w:rPr>
        <w:t>hiperatividade</w:t>
      </w:r>
      <w:proofErr w:type="spellEnd"/>
      <w:r>
        <w:rPr>
          <w:rFonts w:ascii="Times New Roman" w:hAnsi="Times New Roman"/>
        </w:rPr>
        <w:t xml:space="preserve">. Revista </w:t>
      </w:r>
      <w:proofErr w:type="spellStart"/>
      <w:r>
        <w:rPr>
          <w:rFonts w:ascii="Times New Roman" w:hAnsi="Times New Roman"/>
        </w:rPr>
        <w:t>cientifica</w:t>
      </w:r>
      <w:proofErr w:type="spellEnd"/>
      <w:r>
        <w:rPr>
          <w:rFonts w:ascii="Times New Roman" w:hAnsi="Times New Roman"/>
        </w:rPr>
        <w:t xml:space="preserve"> do ITPAC, </w:t>
      </w:r>
      <w:proofErr w:type="spellStart"/>
      <w:r>
        <w:rPr>
          <w:rFonts w:ascii="Times New Roman" w:hAnsi="Times New Roman"/>
        </w:rPr>
        <w:t>Araguaína</w:t>
      </w:r>
      <w:proofErr w:type="spellEnd"/>
      <w:r>
        <w:rPr>
          <w:rFonts w:ascii="Times New Roman" w:hAnsi="Times New Roman"/>
        </w:rPr>
        <w:t xml:space="preserve">, 5(3). </w:t>
      </w:r>
    </w:p>
    <w:p w14:paraId="4E0561C8" w14:textId="77777777" w:rsidR="00F30677" w:rsidRDefault="00000000">
      <w:pPr>
        <w:spacing w:line="360" w:lineRule="auto"/>
        <w:ind w:left="720" w:hanging="720"/>
      </w:pPr>
      <w:r>
        <w:rPr>
          <w:rFonts w:ascii="Times New Roman" w:hAnsi="Times New Roman"/>
        </w:rPr>
        <w:t xml:space="preserve">de Jong, M., </w:t>
      </w:r>
      <w:proofErr w:type="spellStart"/>
      <w:r>
        <w:rPr>
          <w:rFonts w:ascii="Times New Roman" w:hAnsi="Times New Roman"/>
        </w:rPr>
        <w:t>Wynchank</w:t>
      </w:r>
      <w:proofErr w:type="spellEnd"/>
      <w:r>
        <w:rPr>
          <w:rFonts w:ascii="Times New Roman" w:hAnsi="Times New Roman"/>
        </w:rPr>
        <w:t xml:space="preserve">, D. S. M. R., </w:t>
      </w:r>
      <w:proofErr w:type="spellStart"/>
      <w:r>
        <w:rPr>
          <w:rFonts w:ascii="Times New Roman" w:hAnsi="Times New Roman"/>
        </w:rPr>
        <w:t>Michielsen</w:t>
      </w:r>
      <w:proofErr w:type="spellEnd"/>
      <w:r>
        <w:rPr>
          <w:rFonts w:ascii="Times New Roman" w:hAnsi="Times New Roman"/>
        </w:rPr>
        <w:t xml:space="preserve">, M., et al, (2024). A </w:t>
      </w:r>
      <w:proofErr w:type="spellStart"/>
      <w:r>
        <w:rPr>
          <w:rFonts w:ascii="Times New Roman" w:hAnsi="Times New Roman"/>
        </w:rPr>
        <w:t>Female-Specific</w:t>
      </w:r>
      <w:proofErr w:type="spellEnd"/>
      <w:r>
        <w:rPr>
          <w:rFonts w:ascii="Times New Roman" w:hAnsi="Times New Roman"/>
        </w:rPr>
        <w:t xml:space="preserve"> </w:t>
      </w:r>
      <w:proofErr w:type="spellStart"/>
      <w:r>
        <w:rPr>
          <w:rFonts w:ascii="Times New Roman" w:hAnsi="Times New Roman"/>
        </w:rPr>
        <w:t>Treatment</w:t>
      </w:r>
      <w:proofErr w:type="spellEnd"/>
      <w:r>
        <w:rPr>
          <w:rFonts w:ascii="Times New Roman" w:hAnsi="Times New Roman"/>
        </w:rPr>
        <w:t xml:space="preserve"> </w:t>
      </w:r>
      <w:proofErr w:type="spellStart"/>
      <w:r>
        <w:rPr>
          <w:rFonts w:ascii="Times New Roman" w:hAnsi="Times New Roman"/>
        </w:rPr>
        <w:t>Group</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ADHD—</w:t>
      </w:r>
      <w:proofErr w:type="spellStart"/>
      <w:r>
        <w:rPr>
          <w:rFonts w:ascii="Times New Roman" w:hAnsi="Times New Roman"/>
        </w:rPr>
        <w:t>Description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xml:space="preserve"> and </w:t>
      </w:r>
      <w:proofErr w:type="spellStart"/>
      <w:r>
        <w:rPr>
          <w:rFonts w:ascii="Times New Roman" w:hAnsi="Times New Roman"/>
        </w:rPr>
        <w:t>Qualitative</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First</w:t>
      </w:r>
      <w:proofErr w:type="spellEnd"/>
      <w:r>
        <w:rPr>
          <w:rFonts w:ascii="Times New Roman" w:hAnsi="Times New Roman"/>
        </w:rPr>
        <w:t xml:space="preserve"> </w:t>
      </w:r>
      <w:proofErr w:type="spellStart"/>
      <w:r>
        <w:rPr>
          <w:rFonts w:ascii="Times New Roman" w:hAnsi="Times New Roman"/>
        </w:rPr>
        <w:t>Experiences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of </w:t>
      </w:r>
      <w:proofErr w:type="spellStart"/>
      <w:r>
        <w:rPr>
          <w:rFonts w:ascii="Times New Roman" w:hAnsi="Times New Roman"/>
        </w:rPr>
        <w:t>Clinical</w:t>
      </w:r>
      <w:proofErr w:type="spellEnd"/>
      <w:r>
        <w:rPr>
          <w:rFonts w:ascii="Times New Roman" w:hAnsi="Times New Roman"/>
        </w:rPr>
        <w:t xml:space="preserve"> Medicine, 13(7), 2106. </w:t>
      </w:r>
      <w:hyperlink r:id="rId10">
        <w:r w:rsidR="00F30677">
          <w:rPr>
            <w:rStyle w:val="Hipervnculo"/>
            <w:rFonts w:ascii="Times New Roman" w:hAnsi="Times New Roman"/>
          </w:rPr>
          <w:t>https://doi.org/10.3390/jcm13072106</w:t>
        </w:r>
      </w:hyperlink>
      <w:r>
        <w:rPr>
          <w:rFonts w:ascii="Times New Roman" w:hAnsi="Times New Roman"/>
        </w:rPr>
        <w:t xml:space="preserve"> </w:t>
      </w:r>
    </w:p>
    <w:p w14:paraId="3F85024F" w14:textId="77777777" w:rsidR="00F30677" w:rsidRDefault="00000000">
      <w:pPr>
        <w:spacing w:line="360" w:lineRule="auto"/>
        <w:ind w:left="720" w:hanging="720"/>
      </w:pPr>
      <w:r>
        <w:rPr>
          <w:rFonts w:ascii="Times New Roman" w:hAnsi="Times New Roman"/>
        </w:rPr>
        <w:t xml:space="preserve">Díaz, A., Jiménez, J. E., Rodríguez, C., </w:t>
      </w:r>
      <w:proofErr w:type="spellStart"/>
      <w:r>
        <w:rPr>
          <w:rFonts w:ascii="Times New Roman" w:hAnsi="Times New Roman"/>
        </w:rPr>
        <w:t>Afonso</w:t>
      </w:r>
      <w:proofErr w:type="spellEnd"/>
      <w:r>
        <w:rPr>
          <w:rFonts w:ascii="Times New Roman" w:hAnsi="Times New Roman"/>
        </w:rPr>
        <w:t>, M., y Artiles Hernández, C. (2013). Consideraciones de los estudios de prevalencia del trastorno por déficit de atención con o sin hiperactividad (TDAH). Revista de Psicología y Educación.</w:t>
      </w:r>
    </w:p>
    <w:p w14:paraId="6CB66391" w14:textId="77777777" w:rsidR="00F30677" w:rsidRDefault="00000000">
      <w:pPr>
        <w:spacing w:line="360" w:lineRule="auto"/>
        <w:ind w:left="720" w:hanging="720"/>
      </w:pPr>
      <w:r>
        <w:rPr>
          <w:rFonts w:ascii="Times New Roman" w:hAnsi="Times New Roman"/>
        </w:rPr>
        <w:t xml:space="preserve">Evans, S. W., Van </w:t>
      </w:r>
      <w:proofErr w:type="spellStart"/>
      <w:r>
        <w:rPr>
          <w:rFonts w:ascii="Times New Roman" w:hAnsi="Times New Roman"/>
        </w:rPr>
        <w:t>der</w:t>
      </w:r>
      <w:proofErr w:type="spellEnd"/>
      <w:r>
        <w:rPr>
          <w:rFonts w:ascii="Times New Roman" w:hAnsi="Times New Roman"/>
        </w:rPr>
        <w:t xml:space="preserve"> </w:t>
      </w:r>
      <w:proofErr w:type="spellStart"/>
      <w:r>
        <w:rPr>
          <w:rFonts w:ascii="Times New Roman" w:hAnsi="Times New Roman"/>
        </w:rPr>
        <w:t>Oord</w:t>
      </w:r>
      <w:proofErr w:type="spellEnd"/>
      <w:r>
        <w:rPr>
          <w:rFonts w:ascii="Times New Roman" w:hAnsi="Times New Roman"/>
        </w:rPr>
        <w:t xml:space="preserve">, S., y Rogers, E. E. (2020). </w:t>
      </w:r>
      <w:proofErr w:type="spellStart"/>
      <w:r>
        <w:rPr>
          <w:rFonts w:ascii="Times New Roman" w:hAnsi="Times New Roman"/>
        </w:rPr>
        <w:t>Academic</w:t>
      </w:r>
      <w:proofErr w:type="spellEnd"/>
      <w:r>
        <w:rPr>
          <w:rFonts w:ascii="Times New Roman" w:hAnsi="Times New Roman"/>
        </w:rPr>
        <w:t xml:space="preserve"> </w:t>
      </w:r>
      <w:proofErr w:type="spellStart"/>
      <w:r>
        <w:rPr>
          <w:rFonts w:ascii="Times New Roman" w:hAnsi="Times New Roman"/>
        </w:rPr>
        <w:t>functioning</w:t>
      </w:r>
      <w:proofErr w:type="spellEnd"/>
      <w:r>
        <w:rPr>
          <w:rFonts w:ascii="Times New Roman" w:hAnsi="Times New Roman"/>
        </w:rPr>
        <w:t xml:space="preserve"> and </w:t>
      </w:r>
      <w:proofErr w:type="spellStart"/>
      <w:r>
        <w:rPr>
          <w:rFonts w:ascii="Times New Roman" w:hAnsi="Times New Roman"/>
        </w:rPr>
        <w:t>interventions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adolescents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ADHD. ADHD in </w:t>
      </w:r>
      <w:proofErr w:type="spellStart"/>
      <w:r>
        <w:rPr>
          <w:rFonts w:ascii="Times New Roman" w:hAnsi="Times New Roman"/>
        </w:rPr>
        <w:t>adolescents</w:t>
      </w:r>
      <w:proofErr w:type="spellEnd"/>
      <w:r>
        <w:rPr>
          <w:rFonts w:ascii="Times New Roman" w:hAnsi="Times New Roman"/>
        </w:rPr>
        <w:t xml:space="preserve">: </w:t>
      </w:r>
      <w:proofErr w:type="spellStart"/>
      <w:r>
        <w:rPr>
          <w:rFonts w:ascii="Times New Roman" w:hAnsi="Times New Roman"/>
        </w:rPr>
        <w:t>Development</w:t>
      </w:r>
      <w:proofErr w:type="spellEnd"/>
      <w:r>
        <w:rPr>
          <w:rFonts w:ascii="Times New Roman" w:hAnsi="Times New Roman"/>
        </w:rPr>
        <w:t xml:space="preserve">, </w:t>
      </w:r>
      <w:proofErr w:type="spellStart"/>
      <w:r>
        <w:rPr>
          <w:rFonts w:ascii="Times New Roman" w:hAnsi="Times New Roman"/>
        </w:rPr>
        <w:t>assessment</w:t>
      </w:r>
      <w:proofErr w:type="spellEnd"/>
      <w:r>
        <w:rPr>
          <w:rFonts w:ascii="Times New Roman" w:hAnsi="Times New Roman"/>
        </w:rPr>
        <w:t xml:space="preserve">, and </w:t>
      </w:r>
      <w:proofErr w:type="spellStart"/>
      <w:r>
        <w:rPr>
          <w:rFonts w:ascii="Times New Roman" w:hAnsi="Times New Roman"/>
        </w:rPr>
        <w:t>treatment</w:t>
      </w:r>
      <w:proofErr w:type="spellEnd"/>
      <w:r>
        <w:rPr>
          <w:rFonts w:ascii="Times New Roman" w:hAnsi="Times New Roman"/>
        </w:rPr>
        <w:t>, 148-169.</w:t>
      </w:r>
    </w:p>
    <w:p w14:paraId="2C16ADD5" w14:textId="77777777" w:rsidR="00F30677" w:rsidRDefault="00000000">
      <w:pPr>
        <w:spacing w:line="360" w:lineRule="auto"/>
        <w:ind w:left="720" w:hanging="720"/>
      </w:pPr>
      <w:proofErr w:type="spellStart"/>
      <w:r>
        <w:rPr>
          <w:rFonts w:ascii="Times New Roman" w:hAnsi="Times New Roman"/>
        </w:rPr>
        <w:t>Fraticelli</w:t>
      </w:r>
      <w:proofErr w:type="spellEnd"/>
      <w:r>
        <w:rPr>
          <w:rFonts w:ascii="Times New Roman" w:hAnsi="Times New Roman"/>
        </w:rPr>
        <w:t xml:space="preserve"> S, </w:t>
      </w:r>
      <w:proofErr w:type="spellStart"/>
      <w:r>
        <w:rPr>
          <w:rFonts w:ascii="Times New Roman" w:hAnsi="Times New Roman"/>
        </w:rPr>
        <w:t>Caratelli</w:t>
      </w:r>
      <w:proofErr w:type="spellEnd"/>
      <w:r>
        <w:rPr>
          <w:rFonts w:ascii="Times New Roman" w:hAnsi="Times New Roman"/>
        </w:rPr>
        <w:t xml:space="preserve"> G, De </w:t>
      </w:r>
      <w:proofErr w:type="spellStart"/>
      <w:r>
        <w:rPr>
          <w:rFonts w:ascii="Times New Roman" w:hAnsi="Times New Roman"/>
        </w:rPr>
        <w:t>Berardis</w:t>
      </w:r>
      <w:proofErr w:type="spellEnd"/>
      <w:r>
        <w:rPr>
          <w:rFonts w:ascii="Times New Roman" w:hAnsi="Times New Roman"/>
        </w:rPr>
        <w:t xml:space="preserve"> D, et al, (2022). </w:t>
      </w:r>
      <w:proofErr w:type="spellStart"/>
      <w:r>
        <w:rPr>
          <w:rFonts w:ascii="Times New Roman" w:hAnsi="Times New Roman"/>
        </w:rPr>
        <w:t>Gender</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update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current</w:t>
      </w:r>
      <w:proofErr w:type="spellEnd"/>
      <w:r>
        <w:rPr>
          <w:rFonts w:ascii="Times New Roman" w:hAnsi="Times New Roman"/>
        </w:rPr>
        <w:t xml:space="preserve"> </w:t>
      </w:r>
      <w:proofErr w:type="spellStart"/>
      <w:r>
        <w:rPr>
          <w:rFonts w:ascii="Times New Roman" w:hAnsi="Times New Roman"/>
        </w:rPr>
        <w:t>evidence</w:t>
      </w:r>
      <w:proofErr w:type="spellEnd"/>
      <w:r>
        <w:rPr>
          <w:rFonts w:ascii="Times New Roman" w:hAnsi="Times New Roman"/>
        </w:rPr>
        <w:t xml:space="preserve">. </w:t>
      </w:r>
      <w:proofErr w:type="spellStart"/>
      <w:r>
        <w:rPr>
          <w:rFonts w:ascii="Times New Roman" w:hAnsi="Times New Roman"/>
        </w:rPr>
        <w:t>Riv</w:t>
      </w:r>
      <w:proofErr w:type="spellEnd"/>
      <w:r>
        <w:rPr>
          <w:rFonts w:ascii="Times New Roman" w:hAnsi="Times New Roman"/>
        </w:rPr>
        <w:t xml:space="preserve"> </w:t>
      </w:r>
      <w:proofErr w:type="spellStart"/>
      <w:r>
        <w:rPr>
          <w:rFonts w:ascii="Times New Roman" w:hAnsi="Times New Roman"/>
        </w:rPr>
        <w:t>Psichiatr</w:t>
      </w:r>
      <w:proofErr w:type="spellEnd"/>
      <w:r>
        <w:rPr>
          <w:rFonts w:ascii="Times New Roman" w:hAnsi="Times New Roman"/>
        </w:rPr>
        <w:t xml:space="preserve"> 2022;57(4):159-164. </w:t>
      </w:r>
      <w:hyperlink r:id="rId11">
        <w:r w:rsidR="00F30677">
          <w:rPr>
            <w:rStyle w:val="Hipervnculo"/>
            <w:rFonts w:ascii="Times New Roman" w:hAnsi="Times New Roman"/>
          </w:rPr>
          <w:t>http://doi.org/10.1708/3855.38380</w:t>
        </w:r>
      </w:hyperlink>
      <w:r>
        <w:rPr>
          <w:rFonts w:ascii="Times New Roman" w:hAnsi="Times New Roman"/>
        </w:rPr>
        <w:t xml:space="preserve"> </w:t>
      </w:r>
    </w:p>
    <w:p w14:paraId="7D179D77" w14:textId="77777777" w:rsidR="00F30677" w:rsidRDefault="00000000">
      <w:pPr>
        <w:spacing w:line="360" w:lineRule="auto"/>
        <w:ind w:left="720" w:hanging="720"/>
      </w:pPr>
      <w:r>
        <w:rPr>
          <w:rFonts w:ascii="Times New Roman" w:hAnsi="Times New Roman"/>
        </w:rPr>
        <w:lastRenderedPageBreak/>
        <w:t>García, M. D. M., Jiménez, M. L., Martínez Morante, E., y Río Lozano, M. D. (2010). Guía para incorporar la perspectiva de género a la investigación en salud. Escuela Andaluza de Salud Pública.</w:t>
      </w:r>
    </w:p>
    <w:p w14:paraId="0E00DD50" w14:textId="77777777" w:rsidR="00F30677" w:rsidRDefault="00000000">
      <w:pPr>
        <w:spacing w:line="360" w:lineRule="auto"/>
        <w:ind w:left="720" w:hanging="720"/>
      </w:pPr>
      <w:r>
        <w:rPr>
          <w:rFonts w:ascii="Times New Roman" w:hAnsi="Times New Roman"/>
        </w:rPr>
        <w:t xml:space="preserve">González, J. (2018). Encuesta a profesorado universitario sobre el déficit de atención e hiperactividad en personas jóvenes adultas. Revista Educación, vol. 42, núm. 1, 2018. Universidad de Costa Rica, Costa Rica. </w:t>
      </w:r>
      <w:r>
        <w:rPr>
          <w:rStyle w:val="Hipervnculo"/>
          <w:rFonts w:ascii="Times New Roman" w:hAnsi="Times New Roman"/>
        </w:rPr>
        <w:t>https://dx.doi.org/10.15517/revedu.v42i1.22714</w:t>
      </w:r>
    </w:p>
    <w:p w14:paraId="5236FBEF" w14:textId="77777777" w:rsidR="00F30677" w:rsidRDefault="00000000">
      <w:pPr>
        <w:spacing w:line="360" w:lineRule="auto"/>
        <w:ind w:left="720" w:hanging="720"/>
      </w:pPr>
      <w:r>
        <w:rPr>
          <w:rFonts w:ascii="Times New Roman" w:hAnsi="Times New Roman"/>
        </w:rPr>
        <w:t xml:space="preserve">Granados, D, E., Figueroa, S., Hernández, T. y Álvarez, M.M. (2020). Indicadores de trastornos por déficit de atención e hiperactividad y hábitos de estudio en universitarios de Psicología. </w:t>
      </w:r>
      <w:proofErr w:type="spellStart"/>
      <w:r>
        <w:rPr>
          <w:rFonts w:ascii="Times New Roman" w:hAnsi="Times New Roman"/>
        </w:rPr>
        <w:t>Eduscientia</w:t>
      </w:r>
      <w:proofErr w:type="spellEnd"/>
      <w:r>
        <w:rPr>
          <w:rFonts w:ascii="Times New Roman" w:hAnsi="Times New Roman"/>
        </w:rPr>
        <w:t xml:space="preserve">. </w:t>
      </w:r>
    </w:p>
    <w:p w14:paraId="226BF0AB" w14:textId="77777777" w:rsidR="00F30677" w:rsidRDefault="00000000">
      <w:pPr>
        <w:spacing w:line="360" w:lineRule="auto"/>
        <w:ind w:left="720" w:hanging="720"/>
      </w:pPr>
      <w:proofErr w:type="spellStart"/>
      <w:r>
        <w:rPr>
          <w:rFonts w:ascii="Times New Roman" w:hAnsi="Times New Roman"/>
        </w:rPr>
        <w:t>Groß-Lesch</w:t>
      </w:r>
      <w:proofErr w:type="spellEnd"/>
      <w:r>
        <w:rPr>
          <w:rFonts w:ascii="Times New Roman" w:hAnsi="Times New Roman"/>
        </w:rPr>
        <w:t xml:space="preserve">, S., </w:t>
      </w:r>
      <w:proofErr w:type="spellStart"/>
      <w:r>
        <w:rPr>
          <w:rFonts w:ascii="Times New Roman" w:hAnsi="Times New Roman"/>
        </w:rPr>
        <w:t>Dempfle</w:t>
      </w:r>
      <w:proofErr w:type="spellEnd"/>
      <w:r>
        <w:rPr>
          <w:rFonts w:ascii="Times New Roman" w:hAnsi="Times New Roman"/>
        </w:rPr>
        <w:t xml:space="preserve">, A., </w:t>
      </w:r>
      <w:proofErr w:type="spellStart"/>
      <w:r>
        <w:rPr>
          <w:rFonts w:ascii="Times New Roman" w:hAnsi="Times New Roman"/>
        </w:rPr>
        <w:t>Reichert</w:t>
      </w:r>
      <w:proofErr w:type="spellEnd"/>
      <w:r>
        <w:rPr>
          <w:rFonts w:ascii="Times New Roman" w:hAnsi="Times New Roman"/>
        </w:rPr>
        <w:t xml:space="preserve">, S., et al, (2016). Sex-and </w:t>
      </w:r>
      <w:proofErr w:type="spellStart"/>
      <w:r>
        <w:rPr>
          <w:rFonts w:ascii="Times New Roman" w:hAnsi="Times New Roman"/>
        </w:rPr>
        <w:t>subtype-related</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comorbidity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ADHDs</w:t>
      </w:r>
      <w:proofErr w:type="spellEnd"/>
      <w:r>
        <w:rPr>
          <w:rFonts w:ascii="Times New Roman" w:hAnsi="Times New Roman"/>
        </w:rPr>
        <w:t xml:space="preserve">.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Attention</w:t>
      </w:r>
      <w:proofErr w:type="spellEnd"/>
      <w:r>
        <w:rPr>
          <w:rFonts w:ascii="Times New Roman" w:hAnsi="Times New Roman"/>
          <w:i/>
        </w:rPr>
        <w:t xml:space="preserve"> </w:t>
      </w:r>
      <w:proofErr w:type="spellStart"/>
      <w:r>
        <w:rPr>
          <w:rFonts w:ascii="Times New Roman" w:hAnsi="Times New Roman"/>
          <w:i/>
        </w:rPr>
        <w:t>Disorders</w:t>
      </w:r>
      <w:proofErr w:type="spellEnd"/>
      <w:r>
        <w:rPr>
          <w:rFonts w:ascii="Times New Roman" w:hAnsi="Times New Roman"/>
        </w:rPr>
        <w:t xml:space="preserve">, </w:t>
      </w:r>
      <w:r>
        <w:rPr>
          <w:rFonts w:ascii="Times New Roman" w:hAnsi="Times New Roman"/>
          <w:i/>
        </w:rPr>
        <w:t>20</w:t>
      </w:r>
      <w:r>
        <w:rPr>
          <w:rFonts w:ascii="Times New Roman" w:hAnsi="Times New Roman"/>
        </w:rPr>
        <w:t>(10), 855-866.</w:t>
      </w:r>
    </w:p>
    <w:p w14:paraId="21FC98BB" w14:textId="77777777" w:rsidR="00F30677" w:rsidRDefault="00000000">
      <w:pPr>
        <w:spacing w:line="360" w:lineRule="auto"/>
        <w:ind w:left="720" w:hanging="720"/>
      </w:pPr>
      <w:r>
        <w:rPr>
          <w:rFonts w:ascii="Times New Roman" w:hAnsi="Times New Roman"/>
        </w:rPr>
        <w:t xml:space="preserve">Gutman, </w:t>
      </w:r>
      <w:proofErr w:type="spellStart"/>
      <w:r>
        <w:rPr>
          <w:rFonts w:ascii="Times New Roman" w:hAnsi="Times New Roman"/>
        </w:rPr>
        <w:t>Balasubramanian</w:t>
      </w:r>
      <w:proofErr w:type="spellEnd"/>
      <w:r>
        <w:rPr>
          <w:rFonts w:ascii="Times New Roman" w:hAnsi="Times New Roman"/>
        </w:rPr>
        <w:t xml:space="preserve">, Herzog, et al, (2020). </w:t>
      </w:r>
      <w:proofErr w:type="spellStart"/>
      <w:r>
        <w:rPr>
          <w:rFonts w:ascii="Times New Roman" w:hAnsi="Times New Roman"/>
        </w:rPr>
        <w:t>Effectiveness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 </w:t>
      </w:r>
      <w:proofErr w:type="spellStart"/>
      <w:r>
        <w:rPr>
          <w:rFonts w:ascii="Times New Roman" w:hAnsi="Times New Roman"/>
        </w:rPr>
        <w:t>Tailored</w:t>
      </w:r>
      <w:proofErr w:type="spellEnd"/>
      <w:r>
        <w:rPr>
          <w:rFonts w:ascii="Times New Roman" w:hAnsi="Times New Roman"/>
        </w:rPr>
        <w:t xml:space="preserve"> </w:t>
      </w:r>
      <w:proofErr w:type="spellStart"/>
      <w:r>
        <w:rPr>
          <w:rFonts w:ascii="Times New Roman" w:hAnsi="Times New Roman"/>
        </w:rPr>
        <w:t>Intervention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(ADHD) and ADHD </w:t>
      </w:r>
      <w:proofErr w:type="spellStart"/>
      <w:r>
        <w:rPr>
          <w:rFonts w:ascii="Times New Roman" w:hAnsi="Times New Roman"/>
        </w:rPr>
        <w:t>Symptoms</w:t>
      </w:r>
      <w:proofErr w:type="spellEnd"/>
      <w:r>
        <w:rPr>
          <w:rFonts w:ascii="Times New Roman" w:hAnsi="Times New Roman"/>
        </w:rPr>
        <w:t xml:space="preserve">: A </w:t>
      </w:r>
      <w:proofErr w:type="spellStart"/>
      <w:r>
        <w:rPr>
          <w:rFonts w:ascii="Times New Roman" w:hAnsi="Times New Roman"/>
        </w:rPr>
        <w:t>Randomized</w:t>
      </w:r>
      <w:proofErr w:type="spellEnd"/>
      <w:r>
        <w:rPr>
          <w:rFonts w:ascii="Times New Roman" w:hAnsi="Times New Roman"/>
        </w:rPr>
        <w:t xml:space="preserve"> </w:t>
      </w:r>
      <w:proofErr w:type="spellStart"/>
      <w:r>
        <w:rPr>
          <w:rFonts w:ascii="Times New Roman" w:hAnsi="Times New Roman"/>
        </w:rPr>
        <w:t>Controlled</w:t>
      </w:r>
      <w:proofErr w:type="spellEnd"/>
      <w:r>
        <w:rPr>
          <w:rFonts w:ascii="Times New Roman" w:hAnsi="Times New Roman"/>
        </w:rPr>
        <w:t xml:space="preserve">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American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Occupational</w:t>
      </w:r>
      <w:proofErr w:type="spellEnd"/>
      <w:r>
        <w:rPr>
          <w:rFonts w:ascii="Times New Roman" w:hAnsi="Times New Roman"/>
        </w:rPr>
        <w:t xml:space="preserve"> </w:t>
      </w:r>
      <w:proofErr w:type="spellStart"/>
      <w:r>
        <w:rPr>
          <w:rFonts w:ascii="Times New Roman" w:hAnsi="Times New Roman"/>
        </w:rPr>
        <w:t>Therapy</w:t>
      </w:r>
      <w:proofErr w:type="spellEnd"/>
      <w:r>
        <w:rPr>
          <w:rFonts w:ascii="Times New Roman" w:hAnsi="Times New Roman"/>
        </w:rPr>
        <w:t xml:space="preserve">, 2020, Vol. 74(1), 7401205010p1–7401205010p11. </w:t>
      </w:r>
      <w:hyperlink r:id="rId12">
        <w:r w:rsidR="00F30677">
          <w:rPr>
            <w:rStyle w:val="Hipervnculo"/>
            <w:rFonts w:ascii="Times New Roman" w:hAnsi="Times New Roman"/>
          </w:rPr>
          <w:t>https://doi.org/10.5014/ajot.2020.033316</w:t>
        </w:r>
      </w:hyperlink>
      <w:r>
        <w:rPr>
          <w:rFonts w:ascii="Times New Roman" w:hAnsi="Times New Roman"/>
        </w:rPr>
        <w:t xml:space="preserve"> </w:t>
      </w:r>
    </w:p>
    <w:p w14:paraId="727BF1C8" w14:textId="77777777" w:rsidR="00F30677" w:rsidRDefault="00000000">
      <w:pPr>
        <w:spacing w:line="360" w:lineRule="auto"/>
        <w:ind w:left="720" w:hanging="720"/>
      </w:pPr>
      <w:r>
        <w:rPr>
          <w:rFonts w:ascii="Times New Roman" w:hAnsi="Times New Roman"/>
        </w:rPr>
        <w:t xml:space="preserve">Henry E. y Jones S. (2011). </w:t>
      </w:r>
      <w:proofErr w:type="spellStart"/>
      <w:r>
        <w:rPr>
          <w:rFonts w:ascii="Times New Roman" w:hAnsi="Times New Roman"/>
        </w:rPr>
        <w:t>Experiences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older</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diagnosed</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J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Aging</w:t>
      </w:r>
      <w:proofErr w:type="spellEnd"/>
      <w:r>
        <w:rPr>
          <w:rFonts w:ascii="Times New Roman" w:hAnsi="Times New Roman"/>
        </w:rPr>
        <w:t xml:space="preserve">. 2011;23(3):246-62. </w:t>
      </w:r>
      <w:hyperlink r:id="rId13">
        <w:r w:rsidR="00F30677">
          <w:rPr>
            <w:rStyle w:val="Hipervnculo"/>
            <w:rFonts w:ascii="Times New Roman" w:hAnsi="Times New Roman"/>
          </w:rPr>
          <w:t>https://doi.org/10.1080/08952841.2011.589285</w:t>
        </w:r>
      </w:hyperlink>
      <w:r>
        <w:rPr>
          <w:rFonts w:ascii="Times New Roman" w:hAnsi="Times New Roman"/>
        </w:rPr>
        <w:t xml:space="preserve"> </w:t>
      </w:r>
    </w:p>
    <w:p w14:paraId="17F77A2C" w14:textId="77777777" w:rsidR="00F30677" w:rsidRDefault="00000000">
      <w:pPr>
        <w:spacing w:line="360" w:lineRule="auto"/>
        <w:ind w:left="720" w:hanging="720"/>
      </w:pPr>
      <w:proofErr w:type="spellStart"/>
      <w:r>
        <w:rPr>
          <w:rFonts w:ascii="Times New Roman" w:hAnsi="Times New Roman"/>
        </w:rPr>
        <w:t>Hupfeld</w:t>
      </w:r>
      <w:proofErr w:type="spellEnd"/>
      <w:r>
        <w:rPr>
          <w:rFonts w:ascii="Times New Roman" w:hAnsi="Times New Roman"/>
        </w:rPr>
        <w:t xml:space="preserve">, K., </w:t>
      </w:r>
      <w:proofErr w:type="spellStart"/>
      <w:r>
        <w:rPr>
          <w:rFonts w:ascii="Times New Roman" w:hAnsi="Times New Roman"/>
        </w:rPr>
        <w:t>Abagis</w:t>
      </w:r>
      <w:proofErr w:type="spellEnd"/>
      <w:r>
        <w:rPr>
          <w:rFonts w:ascii="Times New Roman" w:hAnsi="Times New Roman"/>
        </w:rPr>
        <w:t xml:space="preserve"> T. y </w:t>
      </w:r>
      <w:proofErr w:type="spellStart"/>
      <w:r>
        <w:rPr>
          <w:rFonts w:ascii="Times New Roman" w:hAnsi="Times New Roman"/>
        </w:rPr>
        <w:t>Shah</w:t>
      </w:r>
      <w:proofErr w:type="spellEnd"/>
      <w:r>
        <w:rPr>
          <w:rFonts w:ascii="Times New Roman" w:hAnsi="Times New Roman"/>
        </w:rPr>
        <w:t xml:space="preserve">, P. (2019). Living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zone</w:t>
      </w:r>
      <w:proofErr w:type="spellEnd"/>
      <w:r>
        <w:rPr>
          <w:rFonts w:ascii="Times New Roman" w:hAnsi="Times New Roman"/>
        </w:rPr>
        <w:t xml:space="preserve">”: </w:t>
      </w:r>
      <w:proofErr w:type="spellStart"/>
      <w:r>
        <w:rPr>
          <w:rFonts w:ascii="Times New Roman" w:hAnsi="Times New Roman"/>
        </w:rPr>
        <w:t>Hyperfocus</w:t>
      </w:r>
      <w:proofErr w:type="spellEnd"/>
      <w:r>
        <w:rPr>
          <w:rFonts w:ascii="Times New Roman" w:hAnsi="Times New Roman"/>
        </w:rPr>
        <w:t xml:space="preserve"> in </w:t>
      </w:r>
      <w:proofErr w:type="spellStart"/>
      <w:r>
        <w:rPr>
          <w:rFonts w:ascii="Times New Roman" w:hAnsi="Times New Roman"/>
        </w:rPr>
        <w:t>adult</w:t>
      </w:r>
      <w:proofErr w:type="spellEnd"/>
      <w:r>
        <w:rPr>
          <w:rFonts w:ascii="Times New Roman" w:hAnsi="Times New Roman"/>
        </w:rPr>
        <w:t xml:space="preserve"> ADHD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and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Disorders</w:t>
      </w:r>
      <w:proofErr w:type="spellEnd"/>
      <w:r>
        <w:rPr>
          <w:rFonts w:ascii="Times New Roman" w:hAnsi="Times New Roman"/>
        </w:rPr>
        <w:t xml:space="preserve">, 11 (2019), pp. 191-208, </w:t>
      </w:r>
      <w:hyperlink r:id="rId14">
        <w:r w:rsidR="00F30677">
          <w:rPr>
            <w:rStyle w:val="Hipervnculo"/>
            <w:rFonts w:ascii="Times New Roman" w:hAnsi="Times New Roman"/>
          </w:rPr>
          <w:t>https://doi.org10.1007/s12402-018-0272-y</w:t>
        </w:r>
      </w:hyperlink>
      <w:r>
        <w:rPr>
          <w:rFonts w:ascii="Times New Roman" w:hAnsi="Times New Roman"/>
        </w:rPr>
        <w:t xml:space="preserve"> </w:t>
      </w:r>
      <w:proofErr w:type="spellStart"/>
      <w:r>
        <w:rPr>
          <w:rFonts w:ascii="Times New Roman" w:hAnsi="Times New Roman"/>
        </w:rPr>
        <w:t>Institute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Health</w:t>
      </w:r>
      <w:proofErr w:type="spellEnd"/>
      <w:r>
        <w:rPr>
          <w:rFonts w:ascii="Times New Roman" w:hAnsi="Times New Roman"/>
        </w:rPr>
        <w:t xml:space="preserve"> </w:t>
      </w:r>
      <w:proofErr w:type="spellStart"/>
      <w:r>
        <w:rPr>
          <w:rFonts w:ascii="Times New Roman" w:hAnsi="Times New Roman"/>
        </w:rPr>
        <w:t>Metrics</w:t>
      </w:r>
      <w:proofErr w:type="spellEnd"/>
      <w:r>
        <w:rPr>
          <w:rFonts w:ascii="Times New Roman" w:hAnsi="Times New Roman"/>
        </w:rPr>
        <w:t xml:space="preserve"> and </w:t>
      </w:r>
      <w:proofErr w:type="spellStart"/>
      <w:r>
        <w:rPr>
          <w:rFonts w:ascii="Times New Roman" w:hAnsi="Times New Roman"/>
        </w:rPr>
        <w:t>Evaluation</w:t>
      </w:r>
      <w:proofErr w:type="spellEnd"/>
      <w:r>
        <w:rPr>
          <w:rFonts w:ascii="Times New Roman" w:hAnsi="Times New Roman"/>
        </w:rPr>
        <w:t xml:space="preserve"> (2019). Global </w:t>
      </w:r>
      <w:proofErr w:type="spellStart"/>
      <w:r>
        <w:rPr>
          <w:rFonts w:ascii="Times New Roman" w:hAnsi="Times New Roman"/>
        </w:rPr>
        <w:t>Burden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Disease</w:t>
      </w:r>
      <w:proofErr w:type="spellEnd"/>
      <w:r>
        <w:rPr>
          <w:rFonts w:ascii="Times New Roman" w:hAnsi="Times New Roman"/>
        </w:rPr>
        <w:t xml:space="preserve"> (GBD).</w:t>
      </w:r>
    </w:p>
    <w:p w14:paraId="0C16AED9" w14:textId="77777777" w:rsidR="00F30677" w:rsidRDefault="00000000">
      <w:pPr>
        <w:spacing w:line="360" w:lineRule="auto"/>
        <w:ind w:left="720" w:hanging="720"/>
      </w:pPr>
      <w:proofErr w:type="spellStart"/>
      <w:r>
        <w:rPr>
          <w:rFonts w:ascii="Times New Roman" w:hAnsi="Times New Roman"/>
        </w:rPr>
        <w:t>Kercood</w:t>
      </w:r>
      <w:proofErr w:type="spellEnd"/>
      <w:r>
        <w:rPr>
          <w:rFonts w:ascii="Times New Roman" w:hAnsi="Times New Roman"/>
        </w:rPr>
        <w:t xml:space="preserve">, S., </w:t>
      </w:r>
      <w:proofErr w:type="spellStart"/>
      <w:r>
        <w:rPr>
          <w:rFonts w:ascii="Times New Roman" w:hAnsi="Times New Roman"/>
        </w:rPr>
        <w:t>Lineweaver</w:t>
      </w:r>
      <w:proofErr w:type="spellEnd"/>
      <w:r>
        <w:rPr>
          <w:rFonts w:ascii="Times New Roman" w:hAnsi="Times New Roman"/>
        </w:rPr>
        <w:t xml:space="preserve">, T. T., Frank, C. C., et al, (2017). Cognitive </w:t>
      </w:r>
      <w:proofErr w:type="spellStart"/>
      <w:r>
        <w:rPr>
          <w:rFonts w:ascii="Times New Roman" w:hAnsi="Times New Roman"/>
        </w:rPr>
        <w:t>flexibility</w:t>
      </w:r>
      <w:proofErr w:type="spellEnd"/>
      <w:r>
        <w:rPr>
          <w:rFonts w:ascii="Times New Roman" w:hAnsi="Times New Roman"/>
        </w:rPr>
        <w:t xml:space="preserve"> and </w:t>
      </w:r>
      <w:proofErr w:type="spellStart"/>
      <w:r>
        <w:rPr>
          <w:rFonts w:ascii="Times New Roman" w:hAnsi="Times New Roman"/>
        </w:rPr>
        <w:t>its</w:t>
      </w:r>
      <w:proofErr w:type="spellEnd"/>
      <w:r>
        <w:rPr>
          <w:rFonts w:ascii="Times New Roman" w:hAnsi="Times New Roman"/>
        </w:rPr>
        <w:t xml:space="preserve"> </w:t>
      </w:r>
      <w:proofErr w:type="spellStart"/>
      <w:r>
        <w:rPr>
          <w:rFonts w:ascii="Times New Roman" w:hAnsi="Times New Roman"/>
        </w:rPr>
        <w:t>relationship</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academic</w:t>
      </w:r>
      <w:proofErr w:type="spellEnd"/>
      <w:r>
        <w:rPr>
          <w:rFonts w:ascii="Times New Roman" w:hAnsi="Times New Roman"/>
        </w:rPr>
        <w:t xml:space="preserve"> </w:t>
      </w:r>
      <w:proofErr w:type="spellStart"/>
      <w:r>
        <w:rPr>
          <w:rFonts w:ascii="Times New Roman" w:hAnsi="Times New Roman"/>
        </w:rPr>
        <w:t>achievement</w:t>
      </w:r>
      <w:proofErr w:type="spellEnd"/>
      <w:r>
        <w:rPr>
          <w:rFonts w:ascii="Times New Roman" w:hAnsi="Times New Roman"/>
        </w:rPr>
        <w:t xml:space="preserve"> and </w:t>
      </w:r>
      <w:proofErr w:type="spellStart"/>
      <w:r>
        <w:rPr>
          <w:rFonts w:ascii="Times New Roman" w:hAnsi="Times New Roman"/>
        </w:rPr>
        <w:t>career</w:t>
      </w:r>
      <w:proofErr w:type="spellEnd"/>
      <w:r>
        <w:rPr>
          <w:rFonts w:ascii="Times New Roman" w:hAnsi="Times New Roman"/>
        </w:rPr>
        <w:t xml:space="preserve"> </w:t>
      </w:r>
      <w:proofErr w:type="spellStart"/>
      <w:r>
        <w:rPr>
          <w:rFonts w:ascii="Times New Roman" w:hAnsi="Times New Roman"/>
        </w:rPr>
        <w:t>choice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college</w:t>
      </w:r>
      <w:proofErr w:type="spellEnd"/>
      <w:r>
        <w:rPr>
          <w:rFonts w:ascii="Times New Roman" w:hAnsi="Times New Roman"/>
        </w:rPr>
        <w:t xml:space="preserve"> </w:t>
      </w:r>
      <w:proofErr w:type="spellStart"/>
      <w:r>
        <w:rPr>
          <w:rFonts w:ascii="Times New Roman" w:hAnsi="Times New Roman"/>
        </w:rPr>
        <w:t>students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and </w:t>
      </w:r>
      <w:proofErr w:type="spellStart"/>
      <w:r>
        <w:rPr>
          <w:rFonts w:ascii="Times New Roman" w:hAnsi="Times New Roman"/>
        </w:rPr>
        <w:t>without</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Postsecondary</w:t>
      </w:r>
      <w:proofErr w:type="spellEnd"/>
      <w:r>
        <w:rPr>
          <w:rFonts w:ascii="Times New Roman" w:hAnsi="Times New Roman"/>
          <w:i/>
        </w:rPr>
        <w:t xml:space="preserve"> </w:t>
      </w:r>
      <w:proofErr w:type="spellStart"/>
      <w:r>
        <w:rPr>
          <w:rFonts w:ascii="Times New Roman" w:hAnsi="Times New Roman"/>
          <w:i/>
        </w:rPr>
        <w:t>Education</w:t>
      </w:r>
      <w:proofErr w:type="spellEnd"/>
      <w:r>
        <w:rPr>
          <w:rFonts w:ascii="Times New Roman" w:hAnsi="Times New Roman"/>
          <w:i/>
        </w:rPr>
        <w:t xml:space="preserve"> and </w:t>
      </w:r>
      <w:proofErr w:type="spellStart"/>
      <w:r>
        <w:rPr>
          <w:rFonts w:ascii="Times New Roman" w:hAnsi="Times New Roman"/>
          <w:i/>
        </w:rPr>
        <w:t>Disability</w:t>
      </w:r>
      <w:proofErr w:type="spellEnd"/>
      <w:r>
        <w:rPr>
          <w:rFonts w:ascii="Times New Roman" w:hAnsi="Times New Roman"/>
        </w:rPr>
        <w:t xml:space="preserve">, </w:t>
      </w:r>
      <w:r>
        <w:rPr>
          <w:rFonts w:ascii="Times New Roman" w:hAnsi="Times New Roman"/>
          <w:i/>
        </w:rPr>
        <w:t>30</w:t>
      </w:r>
      <w:r>
        <w:rPr>
          <w:rFonts w:ascii="Times New Roman" w:hAnsi="Times New Roman"/>
        </w:rPr>
        <w:t xml:space="preserve">(4), 329-344. </w:t>
      </w:r>
      <w:hyperlink r:id="rId15">
        <w:r w:rsidR="00F30677">
          <w:rPr>
            <w:rStyle w:val="Hipervnculo"/>
            <w:rFonts w:ascii="Times New Roman" w:hAnsi="Times New Roman"/>
          </w:rPr>
          <w:t>https://eric.ed.gov/?id=EJ1172788</w:t>
        </w:r>
      </w:hyperlink>
      <w:r>
        <w:rPr>
          <w:rFonts w:ascii="Times New Roman" w:hAnsi="Times New Roman"/>
        </w:rPr>
        <w:t xml:space="preserve"> </w:t>
      </w:r>
    </w:p>
    <w:p w14:paraId="5D3E6B89" w14:textId="77777777" w:rsidR="00F30677" w:rsidRDefault="00000000">
      <w:pPr>
        <w:spacing w:line="360" w:lineRule="auto"/>
        <w:ind w:left="720" w:hanging="720"/>
      </w:pPr>
      <w:r>
        <w:rPr>
          <w:rFonts w:ascii="Times New Roman" w:hAnsi="Times New Roman"/>
        </w:rPr>
        <w:t xml:space="preserve">Magnus W, </w:t>
      </w:r>
      <w:proofErr w:type="spellStart"/>
      <w:r>
        <w:rPr>
          <w:rFonts w:ascii="Times New Roman" w:hAnsi="Times New Roman"/>
        </w:rPr>
        <w:t>Nazir</w:t>
      </w:r>
      <w:proofErr w:type="spellEnd"/>
      <w:r>
        <w:rPr>
          <w:rFonts w:ascii="Times New Roman" w:hAnsi="Times New Roman"/>
        </w:rPr>
        <w:t xml:space="preserve"> S, </w:t>
      </w:r>
      <w:proofErr w:type="spellStart"/>
      <w:r>
        <w:rPr>
          <w:rFonts w:ascii="Times New Roman" w:hAnsi="Times New Roman"/>
        </w:rPr>
        <w:t>Anilkumar</w:t>
      </w:r>
      <w:proofErr w:type="spellEnd"/>
      <w:r>
        <w:rPr>
          <w:rFonts w:ascii="Times New Roman" w:hAnsi="Times New Roman"/>
        </w:rPr>
        <w:t xml:space="preserve"> AC, et al, (2023).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StatPearls</w:t>
      </w:r>
      <w:proofErr w:type="spellEnd"/>
      <w:r>
        <w:rPr>
          <w:rFonts w:ascii="Times New Roman" w:hAnsi="Times New Roman"/>
        </w:rPr>
        <w:t xml:space="preserve"> Publishing; 2024 Jan-. </w:t>
      </w:r>
      <w:proofErr w:type="spellStart"/>
      <w:r>
        <w:rPr>
          <w:rFonts w:ascii="Times New Roman" w:hAnsi="Times New Roman"/>
        </w:rPr>
        <w:t>Available</w:t>
      </w:r>
      <w:proofErr w:type="spellEnd"/>
      <w:r>
        <w:rPr>
          <w:rFonts w:ascii="Times New Roman" w:hAnsi="Times New Roman"/>
        </w:rPr>
        <w:t xml:space="preserve"> </w:t>
      </w:r>
      <w:proofErr w:type="spellStart"/>
      <w:r>
        <w:rPr>
          <w:rFonts w:ascii="Times New Roman" w:hAnsi="Times New Roman"/>
        </w:rPr>
        <w:t>from</w:t>
      </w:r>
      <w:proofErr w:type="spellEnd"/>
      <w:r>
        <w:rPr>
          <w:rFonts w:ascii="Times New Roman" w:hAnsi="Times New Roman"/>
        </w:rPr>
        <w:t xml:space="preserve">: </w:t>
      </w:r>
      <w:r>
        <w:rPr>
          <w:rStyle w:val="Hipervnculo"/>
          <w:rFonts w:ascii="Times New Roman" w:hAnsi="Times New Roman"/>
        </w:rPr>
        <w:t>https://www.ncbi.nlm.nih.gov/books/NBK441838/</w:t>
      </w:r>
    </w:p>
    <w:p w14:paraId="3EB04328" w14:textId="77777777" w:rsidR="00F30677" w:rsidRDefault="00000000">
      <w:pPr>
        <w:spacing w:line="360" w:lineRule="auto"/>
        <w:ind w:left="720" w:hanging="720"/>
      </w:pPr>
      <w:proofErr w:type="spellStart"/>
      <w:r>
        <w:rPr>
          <w:rFonts w:ascii="Times New Roman" w:hAnsi="Times New Roman"/>
        </w:rPr>
        <w:t>Marifil</w:t>
      </w:r>
      <w:proofErr w:type="spellEnd"/>
      <w:r>
        <w:rPr>
          <w:rFonts w:ascii="Times New Roman" w:hAnsi="Times New Roman"/>
        </w:rPr>
        <w:t xml:space="preserve">, T. P., </w:t>
      </w:r>
      <w:proofErr w:type="spellStart"/>
      <w:r>
        <w:rPr>
          <w:rFonts w:ascii="Times New Roman" w:hAnsi="Times New Roman"/>
        </w:rPr>
        <w:t>Sepulveda</w:t>
      </w:r>
      <w:proofErr w:type="spellEnd"/>
      <w:r>
        <w:rPr>
          <w:rFonts w:ascii="Times New Roman" w:hAnsi="Times New Roman"/>
        </w:rPr>
        <w:t>, D. C., Lorca, R. T., Aro, C. P., Fuentes, C. C., &amp; Paredes, A. C. (2021). Cambios en los síntomas de inatención, hiperactividad e impulsividad en niños y adolescentes con TDAH mediante los Deportes: Una revisión. Retos: nuevas tendencias en educación física, deporte y recreación, (41), 701-707.</w:t>
      </w:r>
    </w:p>
    <w:p w14:paraId="0B0D2DF3" w14:textId="77777777" w:rsidR="00F30677" w:rsidRDefault="00000000">
      <w:pPr>
        <w:spacing w:line="360" w:lineRule="auto"/>
        <w:ind w:left="720" w:hanging="720"/>
      </w:pPr>
      <w:proofErr w:type="spellStart"/>
      <w:r>
        <w:rPr>
          <w:rFonts w:ascii="Times New Roman" w:hAnsi="Times New Roman"/>
        </w:rPr>
        <w:lastRenderedPageBreak/>
        <w:t>Mylett</w:t>
      </w:r>
      <w:proofErr w:type="spellEnd"/>
      <w:r>
        <w:rPr>
          <w:rFonts w:ascii="Times New Roman" w:hAnsi="Times New Roman"/>
        </w:rPr>
        <w:t xml:space="preserve">, M. (2020). "I </w:t>
      </w:r>
      <w:proofErr w:type="spellStart"/>
      <w:r>
        <w:rPr>
          <w:rFonts w:ascii="Times New Roman" w:hAnsi="Times New Roman"/>
        </w:rPr>
        <w:t>wish</w:t>
      </w:r>
      <w:proofErr w:type="spellEnd"/>
      <w:r>
        <w:rPr>
          <w:rFonts w:ascii="Times New Roman" w:hAnsi="Times New Roman"/>
        </w:rPr>
        <w:t xml:space="preserve"> I </w:t>
      </w:r>
      <w:proofErr w:type="spellStart"/>
      <w:r>
        <w:rPr>
          <w:rFonts w:ascii="Times New Roman" w:hAnsi="Times New Roman"/>
        </w:rPr>
        <w:t>could</w:t>
      </w:r>
      <w:proofErr w:type="spellEnd"/>
      <w:r>
        <w:rPr>
          <w:rFonts w:ascii="Times New Roman" w:hAnsi="Times New Roman"/>
        </w:rPr>
        <w:t xml:space="preserve"> </w:t>
      </w:r>
      <w:proofErr w:type="spellStart"/>
      <w:r>
        <w:rPr>
          <w:rFonts w:ascii="Times New Roman" w:hAnsi="Times New Roman"/>
        </w:rPr>
        <w:t>just</w:t>
      </w:r>
      <w:proofErr w:type="spellEnd"/>
      <w:r>
        <w:rPr>
          <w:rFonts w:ascii="Times New Roman" w:hAnsi="Times New Roman"/>
        </w:rPr>
        <w:t xml:space="preserve"> be </w:t>
      </w:r>
      <w:proofErr w:type="spellStart"/>
      <w:r>
        <w:rPr>
          <w:rFonts w:ascii="Times New Roman" w:hAnsi="Times New Roman"/>
        </w:rPr>
        <w:t>myself</w:t>
      </w:r>
      <w:proofErr w:type="spellEnd"/>
      <w:r>
        <w:rPr>
          <w:rFonts w:ascii="Times New Roman" w:hAnsi="Times New Roman"/>
        </w:rPr>
        <w:t xml:space="preserve">": Social </w:t>
      </w:r>
      <w:proofErr w:type="spellStart"/>
      <w:r>
        <w:rPr>
          <w:rFonts w:ascii="Times New Roman" w:hAnsi="Times New Roman"/>
        </w:rPr>
        <w:t>camouflaging</w:t>
      </w:r>
      <w:proofErr w:type="spellEnd"/>
      <w:r>
        <w:rPr>
          <w:rFonts w:ascii="Times New Roman" w:hAnsi="Times New Roman"/>
        </w:rPr>
        <w:t xml:space="preserve">, </w:t>
      </w:r>
      <w:proofErr w:type="spellStart"/>
      <w:r>
        <w:rPr>
          <w:rFonts w:ascii="Times New Roman" w:hAnsi="Times New Roman"/>
        </w:rPr>
        <w:t>internalized</w:t>
      </w:r>
      <w:proofErr w:type="spellEnd"/>
      <w:r>
        <w:rPr>
          <w:rFonts w:ascii="Times New Roman" w:hAnsi="Times New Roman"/>
        </w:rPr>
        <w:t xml:space="preserve"> </w:t>
      </w:r>
      <w:proofErr w:type="spellStart"/>
      <w:r>
        <w:rPr>
          <w:rFonts w:ascii="Times New Roman" w:hAnsi="Times New Roman"/>
        </w:rPr>
        <w:t>stigma</w:t>
      </w:r>
      <w:proofErr w:type="spellEnd"/>
      <w:r>
        <w:rPr>
          <w:rFonts w:ascii="Times New Roman" w:hAnsi="Times New Roman"/>
        </w:rPr>
        <w:t xml:space="preserve">, and </w:t>
      </w:r>
      <w:proofErr w:type="spellStart"/>
      <w:r>
        <w:rPr>
          <w:rFonts w:ascii="Times New Roman" w:hAnsi="Times New Roman"/>
        </w:rPr>
        <w:t>internalizing</w:t>
      </w:r>
      <w:proofErr w:type="spellEnd"/>
      <w:r>
        <w:rPr>
          <w:rFonts w:ascii="Times New Roman" w:hAnsi="Times New Roman"/>
        </w:rPr>
        <w:t xml:space="preserve"> mental </w:t>
      </w:r>
      <w:proofErr w:type="spellStart"/>
      <w:r>
        <w:rPr>
          <w:rFonts w:ascii="Times New Roman" w:hAnsi="Times New Roman"/>
        </w:rPr>
        <w:t>health</w:t>
      </w:r>
      <w:proofErr w:type="spellEnd"/>
      <w:r>
        <w:rPr>
          <w:rFonts w:ascii="Times New Roman" w:hAnsi="Times New Roman"/>
        </w:rPr>
        <w:t xml:space="preserve"> </w:t>
      </w:r>
      <w:proofErr w:type="spellStart"/>
      <w:r>
        <w:rPr>
          <w:rFonts w:ascii="Times New Roman" w:hAnsi="Times New Roman"/>
        </w:rPr>
        <w:t>problems</w:t>
      </w:r>
      <w:proofErr w:type="spellEnd"/>
      <w:r>
        <w:rPr>
          <w:rFonts w:ascii="Times New Roman" w:hAnsi="Times New Roman"/>
        </w:rPr>
        <w:t xml:space="preserve"> in </w:t>
      </w:r>
      <w:proofErr w:type="spellStart"/>
      <w:r>
        <w:rPr>
          <w:rFonts w:ascii="Times New Roman" w:hAnsi="Times New Roman"/>
        </w:rPr>
        <w:t>adult</w:t>
      </w:r>
      <w:proofErr w:type="spellEnd"/>
      <w:r>
        <w:rPr>
          <w:rFonts w:ascii="Times New Roman" w:hAnsi="Times New Roman"/>
        </w:rPr>
        <w:t xml:space="preserve"> ADHD. MA </w:t>
      </w:r>
      <w:proofErr w:type="spellStart"/>
      <w:r>
        <w:rPr>
          <w:rFonts w:ascii="Times New Roman" w:hAnsi="Times New Roman"/>
        </w:rPr>
        <w:t>Thesis</w:t>
      </w:r>
      <w:proofErr w:type="spellEnd"/>
      <w:r>
        <w:rPr>
          <w:rFonts w:ascii="Times New Roman" w:hAnsi="Times New Roman"/>
        </w:rPr>
        <w:t xml:space="preserve"> in </w:t>
      </w:r>
      <w:proofErr w:type="spellStart"/>
      <w:r>
        <w:rPr>
          <w:rFonts w:ascii="Times New Roman" w:hAnsi="Times New Roman"/>
        </w:rPr>
        <w:t>Psychology</w:t>
      </w:r>
      <w:proofErr w:type="spellEnd"/>
      <w:r>
        <w:rPr>
          <w:rFonts w:ascii="Times New Roman" w:hAnsi="Times New Roman"/>
        </w:rPr>
        <w:t xml:space="preserve">. </w:t>
      </w:r>
      <w:proofErr w:type="spellStart"/>
      <w:r>
        <w:rPr>
          <w:rFonts w:ascii="Times New Roman" w:hAnsi="Times New Roman"/>
        </w:rPr>
        <w:t>Simon</w:t>
      </w:r>
      <w:proofErr w:type="spellEnd"/>
      <w:r>
        <w:rPr>
          <w:rFonts w:ascii="Times New Roman" w:hAnsi="Times New Roman"/>
        </w:rPr>
        <w:t xml:space="preserve"> Fraser </w:t>
      </w:r>
      <w:proofErr w:type="spellStart"/>
      <w:r>
        <w:rPr>
          <w:rFonts w:ascii="Times New Roman" w:hAnsi="Times New Roman"/>
        </w:rPr>
        <w:t>University</w:t>
      </w:r>
      <w:proofErr w:type="spellEnd"/>
      <w:r>
        <w:rPr>
          <w:rFonts w:ascii="Times New Roman" w:hAnsi="Times New Roman"/>
        </w:rPr>
        <w:t xml:space="preserve">. </w:t>
      </w:r>
      <w:hyperlink r:id="rId16">
        <w:r w:rsidR="00F30677">
          <w:rPr>
            <w:rStyle w:val="Hipervnculo"/>
            <w:rFonts w:ascii="Times New Roman" w:hAnsi="Times New Roman"/>
          </w:rPr>
          <w:t>https://summit.sfu.ca/item/35794</w:t>
        </w:r>
      </w:hyperlink>
      <w:r>
        <w:rPr>
          <w:rFonts w:ascii="Times New Roman" w:hAnsi="Times New Roman"/>
        </w:rPr>
        <w:t xml:space="preserve"> </w:t>
      </w:r>
    </w:p>
    <w:p w14:paraId="13A883A5" w14:textId="77777777" w:rsidR="00F30677" w:rsidRDefault="00000000">
      <w:pPr>
        <w:spacing w:line="360" w:lineRule="auto"/>
        <w:ind w:left="720" w:hanging="720"/>
      </w:pPr>
      <w:proofErr w:type="spellStart"/>
      <w:r>
        <w:rPr>
          <w:rFonts w:ascii="Times New Roman" w:hAnsi="Times New Roman"/>
        </w:rPr>
        <w:t>Nadeau</w:t>
      </w:r>
      <w:proofErr w:type="spellEnd"/>
      <w:r>
        <w:rPr>
          <w:rFonts w:ascii="Times New Roman" w:hAnsi="Times New Roman"/>
        </w:rPr>
        <w:t xml:space="preserve">, K.G. (2015). </w:t>
      </w:r>
      <w:proofErr w:type="spellStart"/>
      <w:r>
        <w:rPr>
          <w:rFonts w:ascii="Times New Roman" w:hAnsi="Times New Roman"/>
        </w:rPr>
        <w:t>The</w:t>
      </w:r>
      <w:proofErr w:type="spellEnd"/>
      <w:r>
        <w:rPr>
          <w:rFonts w:ascii="Times New Roman" w:hAnsi="Times New Roman"/>
        </w:rPr>
        <w:t xml:space="preserve"> ADHD Guide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Career</w:t>
      </w:r>
      <w:proofErr w:type="spellEnd"/>
      <w:r>
        <w:rPr>
          <w:rFonts w:ascii="Times New Roman" w:hAnsi="Times New Roman"/>
        </w:rPr>
        <w:t xml:space="preserve"> </w:t>
      </w:r>
      <w:proofErr w:type="spellStart"/>
      <w:r>
        <w:rPr>
          <w:rFonts w:ascii="Times New Roman" w:hAnsi="Times New Roman"/>
        </w:rPr>
        <w:t>Success</w:t>
      </w:r>
      <w:proofErr w:type="spellEnd"/>
      <w:r>
        <w:rPr>
          <w:rFonts w:ascii="Times New Roman" w:hAnsi="Times New Roman"/>
        </w:rPr>
        <w:t xml:space="preserve">: </w:t>
      </w:r>
      <w:proofErr w:type="spellStart"/>
      <w:r>
        <w:rPr>
          <w:rFonts w:ascii="Times New Roman" w:hAnsi="Times New Roman"/>
        </w:rPr>
        <w:t>Harness</w:t>
      </w:r>
      <w:proofErr w:type="spellEnd"/>
      <w:r>
        <w:rPr>
          <w:rFonts w:ascii="Times New Roman" w:hAnsi="Times New Roman"/>
        </w:rPr>
        <w:t xml:space="preserve"> </w:t>
      </w:r>
      <w:proofErr w:type="spellStart"/>
      <w:r>
        <w:rPr>
          <w:rFonts w:ascii="Times New Roman" w:hAnsi="Times New Roman"/>
        </w:rPr>
        <w:t>your</w:t>
      </w:r>
      <w:proofErr w:type="spellEnd"/>
      <w:r>
        <w:rPr>
          <w:rFonts w:ascii="Times New Roman" w:hAnsi="Times New Roman"/>
        </w:rPr>
        <w:t xml:space="preserve"> </w:t>
      </w:r>
      <w:proofErr w:type="spellStart"/>
      <w:r>
        <w:rPr>
          <w:rFonts w:ascii="Times New Roman" w:hAnsi="Times New Roman"/>
        </w:rPr>
        <w:t>Strengths</w:t>
      </w:r>
      <w:proofErr w:type="spellEnd"/>
      <w:r>
        <w:rPr>
          <w:rFonts w:ascii="Times New Roman" w:hAnsi="Times New Roman"/>
        </w:rPr>
        <w:t xml:space="preserve">, </w:t>
      </w:r>
      <w:proofErr w:type="spellStart"/>
      <w:r>
        <w:rPr>
          <w:rFonts w:ascii="Times New Roman" w:hAnsi="Times New Roman"/>
        </w:rPr>
        <w:t>Manage</w:t>
      </w:r>
      <w:proofErr w:type="spellEnd"/>
      <w:r>
        <w:rPr>
          <w:rFonts w:ascii="Times New Roman" w:hAnsi="Times New Roman"/>
        </w:rPr>
        <w:t xml:space="preserve"> </w:t>
      </w:r>
      <w:proofErr w:type="spellStart"/>
      <w:r>
        <w:rPr>
          <w:rFonts w:ascii="Times New Roman" w:hAnsi="Times New Roman"/>
        </w:rPr>
        <w:t>your</w:t>
      </w:r>
      <w:proofErr w:type="spellEnd"/>
      <w:r>
        <w:rPr>
          <w:rFonts w:ascii="Times New Roman" w:hAnsi="Times New Roman"/>
        </w:rPr>
        <w:t xml:space="preserve"> </w:t>
      </w:r>
      <w:proofErr w:type="spellStart"/>
      <w:r>
        <w:rPr>
          <w:rFonts w:ascii="Times New Roman" w:hAnsi="Times New Roman"/>
        </w:rPr>
        <w:t>Challenges</w:t>
      </w:r>
      <w:proofErr w:type="spellEnd"/>
      <w:r>
        <w:rPr>
          <w:rFonts w:ascii="Times New Roman" w:hAnsi="Times New Roman"/>
        </w:rPr>
        <w:t xml:space="preserve"> (2nd ed.). Routledge. </w:t>
      </w:r>
      <w:hyperlink r:id="rId17">
        <w:r w:rsidR="00F30677">
          <w:rPr>
            <w:rStyle w:val="Hipervnculo"/>
            <w:rFonts w:ascii="Times New Roman" w:hAnsi="Times New Roman"/>
          </w:rPr>
          <w:t>https://doi.org/10.4324/9781315723334</w:t>
        </w:r>
      </w:hyperlink>
      <w:r>
        <w:rPr>
          <w:rFonts w:ascii="Times New Roman" w:hAnsi="Times New Roman"/>
        </w:rPr>
        <w:t xml:space="preserve"> </w:t>
      </w:r>
    </w:p>
    <w:p w14:paraId="42CF058B" w14:textId="77777777" w:rsidR="00F30677" w:rsidRDefault="00000000">
      <w:pPr>
        <w:spacing w:line="360" w:lineRule="auto"/>
        <w:ind w:left="720" w:hanging="720"/>
      </w:pPr>
      <w:r>
        <w:rPr>
          <w:rFonts w:ascii="Times New Roman" w:hAnsi="Times New Roman"/>
        </w:rPr>
        <w:t xml:space="preserve">NIMH (2007). </w:t>
      </w:r>
      <w:proofErr w:type="spellStart"/>
      <w:r>
        <w:rPr>
          <w:rFonts w:ascii="Times New Roman" w:hAnsi="Times New Roman"/>
        </w:rPr>
        <w:t>Brain</w:t>
      </w:r>
      <w:proofErr w:type="spellEnd"/>
      <w:r>
        <w:rPr>
          <w:rFonts w:ascii="Times New Roman" w:hAnsi="Times New Roman"/>
        </w:rPr>
        <w:t xml:space="preserve"> </w:t>
      </w:r>
      <w:proofErr w:type="spellStart"/>
      <w:r>
        <w:rPr>
          <w:rFonts w:ascii="Times New Roman" w:hAnsi="Times New Roman"/>
        </w:rPr>
        <w:t>Matures</w:t>
      </w:r>
      <w:proofErr w:type="spellEnd"/>
      <w:r>
        <w:rPr>
          <w:rFonts w:ascii="Times New Roman" w:hAnsi="Times New Roman"/>
        </w:rPr>
        <w:t xml:space="preserve"> a </w:t>
      </w:r>
      <w:proofErr w:type="spellStart"/>
      <w:r>
        <w:rPr>
          <w:rFonts w:ascii="Times New Roman" w:hAnsi="Times New Roman"/>
        </w:rPr>
        <w:t>Few</w:t>
      </w:r>
      <w:proofErr w:type="spellEnd"/>
      <w:r>
        <w:rPr>
          <w:rFonts w:ascii="Times New Roman" w:hAnsi="Times New Roman"/>
        </w:rPr>
        <w:t xml:space="preserve"> </w:t>
      </w:r>
      <w:proofErr w:type="spellStart"/>
      <w:r>
        <w:rPr>
          <w:rFonts w:ascii="Times New Roman" w:hAnsi="Times New Roman"/>
        </w:rPr>
        <w:t>Years</w:t>
      </w:r>
      <w:proofErr w:type="spellEnd"/>
      <w:r>
        <w:rPr>
          <w:rFonts w:ascii="Times New Roman" w:hAnsi="Times New Roman"/>
        </w:rPr>
        <w:t xml:space="preserve"> Late in ADHD, </w:t>
      </w:r>
      <w:proofErr w:type="spellStart"/>
      <w:r>
        <w:rPr>
          <w:rFonts w:ascii="Times New Roman" w:hAnsi="Times New Roman"/>
        </w:rPr>
        <w:t>But</w:t>
      </w:r>
      <w:proofErr w:type="spellEnd"/>
      <w:r>
        <w:rPr>
          <w:rFonts w:ascii="Times New Roman" w:hAnsi="Times New Roman"/>
        </w:rPr>
        <w:t xml:space="preserve"> </w:t>
      </w:r>
      <w:proofErr w:type="spellStart"/>
      <w:r>
        <w:rPr>
          <w:rFonts w:ascii="Times New Roman" w:hAnsi="Times New Roman"/>
        </w:rPr>
        <w:t>Follows</w:t>
      </w:r>
      <w:proofErr w:type="spellEnd"/>
      <w:r>
        <w:rPr>
          <w:rFonts w:ascii="Times New Roman" w:hAnsi="Times New Roman"/>
        </w:rPr>
        <w:t xml:space="preserve"> Normal </w:t>
      </w:r>
      <w:proofErr w:type="spellStart"/>
      <w:r>
        <w:rPr>
          <w:rFonts w:ascii="Times New Roman" w:hAnsi="Times New Roman"/>
        </w:rPr>
        <w:t>Pattern</w:t>
      </w:r>
      <w:proofErr w:type="spellEnd"/>
      <w:r>
        <w:rPr>
          <w:rFonts w:ascii="Times New Roman" w:hAnsi="Times New Roman"/>
        </w:rPr>
        <w:t>. NIH</w:t>
      </w:r>
    </w:p>
    <w:p w14:paraId="1B146C9B" w14:textId="77777777" w:rsidR="00F30677" w:rsidRDefault="00000000">
      <w:pPr>
        <w:spacing w:line="360" w:lineRule="auto"/>
        <w:ind w:left="720" w:hanging="720"/>
      </w:pPr>
      <w:r>
        <w:rPr>
          <w:rFonts w:ascii="Times New Roman" w:hAnsi="Times New Roman"/>
        </w:rPr>
        <w:t>Ortega, A., Ariza, A., Delgado, D., y Riaño, M. (2015). Programa de estimulación sobre procesos atencionales en niños con TDAH. Revista Fronteras del Saber, 6, 31-38.</w:t>
      </w:r>
    </w:p>
    <w:p w14:paraId="7997383E" w14:textId="77777777" w:rsidR="00F30677" w:rsidRDefault="00000000">
      <w:pPr>
        <w:spacing w:line="360" w:lineRule="auto"/>
        <w:ind w:left="720" w:hanging="720"/>
      </w:pPr>
      <w:r>
        <w:rPr>
          <w:rFonts w:ascii="Times New Roman" w:hAnsi="Times New Roman"/>
        </w:rPr>
        <w:t xml:space="preserve">Ortiz, S. y </w:t>
      </w:r>
      <w:proofErr w:type="spellStart"/>
      <w:r>
        <w:rPr>
          <w:rFonts w:ascii="Times New Roman" w:hAnsi="Times New Roman"/>
        </w:rPr>
        <w:t>Jaimes</w:t>
      </w:r>
      <w:proofErr w:type="spellEnd"/>
      <w:r>
        <w:rPr>
          <w:rFonts w:ascii="Times New Roman" w:hAnsi="Times New Roman"/>
        </w:rPr>
        <w:t>, A, L. (2007). Prevalencia de déficit atencional en estudiantes de medicina de la Pontificia Universidad Católica de Chile. Departamento de psicología médica, psiquiatría y salud mental. UNAM.</w:t>
      </w:r>
    </w:p>
    <w:p w14:paraId="39559CBB" w14:textId="77777777" w:rsidR="00F30677" w:rsidRDefault="00000000">
      <w:pPr>
        <w:spacing w:line="360" w:lineRule="auto"/>
        <w:ind w:left="720" w:hanging="720"/>
      </w:pPr>
      <w:proofErr w:type="spellStart"/>
      <w:r>
        <w:rPr>
          <w:rFonts w:ascii="Times New Roman" w:hAnsi="Times New Roman"/>
        </w:rPr>
        <w:t>Polanczyk</w:t>
      </w:r>
      <w:proofErr w:type="spellEnd"/>
      <w:r>
        <w:rPr>
          <w:rFonts w:ascii="Times New Roman" w:hAnsi="Times New Roman"/>
        </w:rPr>
        <w:t xml:space="preserve">, G., De Lima, M. S., Horta, B. L., et al, (2007).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worldwide</w:t>
      </w:r>
      <w:proofErr w:type="spellEnd"/>
      <w:r>
        <w:rPr>
          <w:rFonts w:ascii="Times New Roman" w:hAnsi="Times New Roman"/>
        </w:rPr>
        <w:t xml:space="preserve"> </w:t>
      </w:r>
      <w:proofErr w:type="spellStart"/>
      <w:r>
        <w:rPr>
          <w:rFonts w:ascii="Times New Roman" w:hAnsi="Times New Roman"/>
        </w:rPr>
        <w:t>prevalence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ADHD: a </w:t>
      </w:r>
      <w:proofErr w:type="spellStart"/>
      <w:r>
        <w:rPr>
          <w:rFonts w:ascii="Times New Roman" w:hAnsi="Times New Roman"/>
        </w:rPr>
        <w:t>systematic</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and </w:t>
      </w:r>
      <w:proofErr w:type="spellStart"/>
      <w:r>
        <w:rPr>
          <w:rFonts w:ascii="Times New Roman" w:hAnsi="Times New Roman"/>
        </w:rPr>
        <w:t>metaregression</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xml:space="preserve">. </w:t>
      </w:r>
      <w:r>
        <w:rPr>
          <w:rFonts w:ascii="Times New Roman" w:hAnsi="Times New Roman"/>
          <w:i/>
        </w:rPr>
        <w:t xml:space="preserve">American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psychiatry</w:t>
      </w:r>
      <w:proofErr w:type="spellEnd"/>
      <w:r>
        <w:rPr>
          <w:rFonts w:ascii="Times New Roman" w:hAnsi="Times New Roman"/>
        </w:rPr>
        <w:t xml:space="preserve">, </w:t>
      </w:r>
      <w:r>
        <w:rPr>
          <w:rFonts w:ascii="Times New Roman" w:hAnsi="Times New Roman"/>
          <w:i/>
        </w:rPr>
        <w:t>164</w:t>
      </w:r>
      <w:r>
        <w:rPr>
          <w:rFonts w:ascii="Times New Roman" w:hAnsi="Times New Roman"/>
        </w:rPr>
        <w:t>(6), 942-948.</w:t>
      </w:r>
    </w:p>
    <w:p w14:paraId="246A95AA" w14:textId="77777777" w:rsidR="00F30677" w:rsidRDefault="00000000">
      <w:pPr>
        <w:spacing w:line="360" w:lineRule="auto"/>
        <w:ind w:left="720" w:hanging="720"/>
      </w:pPr>
      <w:r>
        <w:rPr>
          <w:rFonts w:ascii="Times New Roman" w:hAnsi="Times New Roman"/>
        </w:rPr>
        <w:t xml:space="preserve">Ramos Quiroga, J.A., Bosch </w:t>
      </w:r>
      <w:proofErr w:type="spellStart"/>
      <w:r>
        <w:rPr>
          <w:rFonts w:ascii="Times New Roman" w:hAnsi="Times New Roman"/>
        </w:rPr>
        <w:t>Munsó</w:t>
      </w:r>
      <w:proofErr w:type="spellEnd"/>
      <w:r>
        <w:rPr>
          <w:rFonts w:ascii="Times New Roman" w:hAnsi="Times New Roman"/>
        </w:rPr>
        <w:t>, M., Castells Cervelló, M., et al, (2006). Trastorno por déficit de atención con hiperactividad en adultos: caracterización clínica y terapéutica. Revista Neurológica.</w:t>
      </w:r>
    </w:p>
    <w:p w14:paraId="27FC6B88" w14:textId="77777777" w:rsidR="00F30677" w:rsidRDefault="00000000">
      <w:pPr>
        <w:spacing w:line="360" w:lineRule="auto"/>
        <w:ind w:left="720" w:hanging="720"/>
      </w:pPr>
      <w:r>
        <w:rPr>
          <w:rFonts w:ascii="Times New Roman" w:hAnsi="Times New Roman"/>
        </w:rPr>
        <w:t xml:space="preserve">Rogers, D. C., </w:t>
      </w:r>
      <w:proofErr w:type="spellStart"/>
      <w:r>
        <w:rPr>
          <w:rFonts w:ascii="Times New Roman" w:hAnsi="Times New Roman"/>
        </w:rPr>
        <w:t>Dittner</w:t>
      </w:r>
      <w:proofErr w:type="spellEnd"/>
      <w:r>
        <w:rPr>
          <w:rFonts w:ascii="Times New Roman" w:hAnsi="Times New Roman"/>
        </w:rPr>
        <w:t xml:space="preserve">, A. J., Rimes, K. A., y </w:t>
      </w:r>
      <w:proofErr w:type="spellStart"/>
      <w:r>
        <w:rPr>
          <w:rFonts w:ascii="Times New Roman" w:hAnsi="Times New Roman"/>
        </w:rPr>
        <w:t>Chalder</w:t>
      </w:r>
      <w:proofErr w:type="spellEnd"/>
      <w:r>
        <w:rPr>
          <w:rFonts w:ascii="Times New Roman" w:hAnsi="Times New Roman"/>
        </w:rPr>
        <w:t xml:space="preserve">, T. (2017). Fatigue in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population</w:t>
      </w:r>
      <w:proofErr w:type="spellEnd"/>
      <w:r>
        <w:rPr>
          <w:rFonts w:ascii="Times New Roman" w:hAnsi="Times New Roman"/>
        </w:rPr>
        <w:t xml:space="preserve">: A </w:t>
      </w:r>
      <w:proofErr w:type="spellStart"/>
      <w:r>
        <w:rPr>
          <w:rFonts w:ascii="Times New Roman" w:hAnsi="Times New Roman"/>
        </w:rPr>
        <w:t>trans‐diagnostic</w:t>
      </w:r>
      <w:proofErr w:type="spellEnd"/>
      <w:r>
        <w:rPr>
          <w:rFonts w:ascii="Times New Roman" w:hAnsi="Times New Roman"/>
        </w:rPr>
        <w:t xml:space="preserve"> </w:t>
      </w:r>
      <w:proofErr w:type="spellStart"/>
      <w:r>
        <w:rPr>
          <w:rFonts w:ascii="Times New Roman" w:hAnsi="Times New Roman"/>
        </w:rPr>
        <w:t>approach</w:t>
      </w:r>
      <w:proofErr w:type="spellEnd"/>
      <w:r>
        <w:rPr>
          <w:rFonts w:ascii="Times New Roman" w:hAnsi="Times New Roman"/>
        </w:rPr>
        <w:t xml:space="preserve">. British </w:t>
      </w:r>
      <w:proofErr w:type="spellStart"/>
      <w:r>
        <w:rPr>
          <w:rFonts w:ascii="Times New Roman" w:hAnsi="Times New Roman"/>
        </w:rPr>
        <w:t>Journal</w:t>
      </w:r>
      <w:proofErr w:type="spellEnd"/>
      <w:r>
        <w:rPr>
          <w:rFonts w:ascii="Times New Roman" w:hAnsi="Times New Roman"/>
        </w:rPr>
        <w:t xml:space="preserve"> of </w:t>
      </w:r>
      <w:proofErr w:type="spellStart"/>
      <w:r>
        <w:rPr>
          <w:rFonts w:ascii="Times New Roman" w:hAnsi="Times New Roman"/>
        </w:rPr>
        <w:t>Clinical</w:t>
      </w:r>
      <w:proofErr w:type="spellEnd"/>
      <w:r>
        <w:rPr>
          <w:rFonts w:ascii="Times New Roman" w:hAnsi="Times New Roman"/>
        </w:rPr>
        <w:t xml:space="preserve"> </w:t>
      </w:r>
      <w:proofErr w:type="spellStart"/>
      <w:r>
        <w:rPr>
          <w:rFonts w:ascii="Times New Roman" w:hAnsi="Times New Roman"/>
        </w:rPr>
        <w:t>Psychology</w:t>
      </w:r>
      <w:proofErr w:type="spellEnd"/>
      <w:r>
        <w:rPr>
          <w:rFonts w:ascii="Times New Roman" w:hAnsi="Times New Roman"/>
        </w:rPr>
        <w:t>, 56(1), 33-52.</w:t>
      </w:r>
    </w:p>
    <w:p w14:paraId="19B612E8" w14:textId="77777777" w:rsidR="00F30677" w:rsidRDefault="00000000">
      <w:pPr>
        <w:spacing w:line="360" w:lineRule="auto"/>
        <w:ind w:left="720" w:hanging="720"/>
      </w:pPr>
      <w:r>
        <w:rPr>
          <w:rFonts w:ascii="Times New Roman" w:hAnsi="Times New Roman"/>
        </w:rPr>
        <w:t>Rubiales, J., Bakker, L., Russo, D., et al, (2016). Desempeño en funciones ejecutivas y síntomas comórbidos asociados en niños con Trastorno por déficit de atención con hiperactividad (TDAH). Revista CES Psicología.</w:t>
      </w:r>
    </w:p>
    <w:p w14:paraId="7900013B" w14:textId="77777777" w:rsidR="00F30677" w:rsidRDefault="00000000">
      <w:pPr>
        <w:spacing w:line="360" w:lineRule="auto"/>
        <w:ind w:left="720" w:hanging="720"/>
      </w:pPr>
      <w:proofErr w:type="spellStart"/>
      <w:r>
        <w:rPr>
          <w:rFonts w:ascii="Times New Roman" w:hAnsi="Times New Roman"/>
        </w:rPr>
        <w:t>Rusca</w:t>
      </w:r>
      <w:proofErr w:type="spellEnd"/>
      <w:r>
        <w:rPr>
          <w:rFonts w:ascii="Times New Roman" w:hAnsi="Times New Roman"/>
        </w:rPr>
        <w:t>, F., Cortez, C. (2020). Trastorno por déficit de atención con hiperactividad (TDAH) en niños y adolescentes. Una revisión clínica. Revista de Neuro‒psiquiatría.</w:t>
      </w:r>
    </w:p>
    <w:p w14:paraId="103C220F" w14:textId="77777777" w:rsidR="00F30677" w:rsidRDefault="00000000">
      <w:pPr>
        <w:spacing w:line="360" w:lineRule="auto"/>
        <w:ind w:left="720" w:hanging="720"/>
      </w:pPr>
      <w:r>
        <w:rPr>
          <w:rFonts w:ascii="Times New Roman" w:hAnsi="Times New Roman"/>
        </w:rPr>
        <w:t xml:space="preserve">Sangüesa, J. (2012). La historia que el Déficit Atencional ha escrito sobre tu identidad (y cómo evitar sus efectos negativos). En el blog Vivir Mejor con TDAH del Adulto. 23 de mayo de 2012. </w:t>
      </w:r>
      <w:hyperlink r:id="rId18">
        <w:r w:rsidR="00F30677">
          <w:rPr>
            <w:rStyle w:val="Hipervnculo"/>
            <w:rFonts w:ascii="Times New Roman" w:hAnsi="Times New Roman"/>
          </w:rPr>
          <w:t>https://juansanguesa.com/la-historia-que-el-deficit-atencional-ha-escrito-sobre-tu-identidad-y-como-evitar-sus-efectos-negativos/</w:t>
        </w:r>
      </w:hyperlink>
      <w:r>
        <w:rPr>
          <w:rFonts w:ascii="Times New Roman" w:hAnsi="Times New Roman"/>
        </w:rPr>
        <w:t xml:space="preserve"> </w:t>
      </w:r>
    </w:p>
    <w:p w14:paraId="6DF34308" w14:textId="77777777" w:rsidR="00F30677" w:rsidRDefault="00000000">
      <w:pPr>
        <w:spacing w:line="360" w:lineRule="auto"/>
        <w:ind w:left="720" w:hanging="720"/>
      </w:pPr>
      <w:proofErr w:type="spellStart"/>
      <w:r>
        <w:rPr>
          <w:rFonts w:ascii="Times New Roman" w:hAnsi="Times New Roman"/>
        </w:rPr>
        <w:t>Schuck</w:t>
      </w:r>
      <w:proofErr w:type="spellEnd"/>
      <w:r>
        <w:rPr>
          <w:rFonts w:ascii="Times New Roman" w:hAnsi="Times New Roman"/>
        </w:rPr>
        <w:t xml:space="preserve">, R., Flores, R., y Fung, L. (2019). </w:t>
      </w:r>
      <w:proofErr w:type="spellStart"/>
      <w:r>
        <w:rPr>
          <w:rFonts w:ascii="Times New Roman" w:hAnsi="Times New Roman"/>
        </w:rPr>
        <w:t>Brief</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Sex/</w:t>
      </w:r>
      <w:proofErr w:type="spellStart"/>
      <w:r>
        <w:rPr>
          <w:rFonts w:ascii="Times New Roman" w:hAnsi="Times New Roman"/>
        </w:rPr>
        <w:t>Gender</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Symptomology</w:t>
      </w:r>
      <w:proofErr w:type="spellEnd"/>
      <w:r>
        <w:rPr>
          <w:rFonts w:ascii="Times New Roman" w:hAnsi="Times New Roman"/>
        </w:rPr>
        <w:t xml:space="preserve"> and </w:t>
      </w:r>
      <w:proofErr w:type="spellStart"/>
      <w:r>
        <w:rPr>
          <w:rFonts w:ascii="Times New Roman" w:hAnsi="Times New Roman"/>
        </w:rPr>
        <w:t>Camouflaging</w:t>
      </w:r>
      <w:proofErr w:type="spellEnd"/>
      <w:r>
        <w:rPr>
          <w:rFonts w:ascii="Times New Roman" w:hAnsi="Times New Roman"/>
        </w:rPr>
        <w:t xml:space="preserve"> in </w:t>
      </w:r>
      <w:proofErr w:type="spellStart"/>
      <w:r>
        <w:rPr>
          <w:rFonts w:ascii="Times New Roman" w:hAnsi="Times New Roman"/>
        </w:rPr>
        <w:t>Adults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Autism</w:t>
      </w:r>
      <w:proofErr w:type="spellEnd"/>
      <w:r>
        <w:rPr>
          <w:rFonts w:ascii="Times New Roman" w:hAnsi="Times New Roman"/>
        </w:rPr>
        <w:t xml:space="preserve"> </w:t>
      </w:r>
      <w:proofErr w:type="spellStart"/>
      <w:r>
        <w:rPr>
          <w:rFonts w:ascii="Times New Roman" w:hAnsi="Times New Roman"/>
        </w:rPr>
        <w:t>Spectrum</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J </w:t>
      </w:r>
      <w:proofErr w:type="spellStart"/>
      <w:r>
        <w:rPr>
          <w:rFonts w:ascii="Times New Roman" w:hAnsi="Times New Roman"/>
        </w:rPr>
        <w:t>Autism</w:t>
      </w:r>
      <w:proofErr w:type="spellEnd"/>
      <w:r>
        <w:rPr>
          <w:rFonts w:ascii="Times New Roman" w:hAnsi="Times New Roman"/>
        </w:rPr>
        <w:t xml:space="preserve"> Dev </w:t>
      </w:r>
      <w:proofErr w:type="spellStart"/>
      <w:r>
        <w:rPr>
          <w:rFonts w:ascii="Times New Roman" w:hAnsi="Times New Roman"/>
        </w:rPr>
        <w:t>Disord</w:t>
      </w:r>
      <w:proofErr w:type="spellEnd"/>
      <w:r>
        <w:rPr>
          <w:rFonts w:ascii="Times New Roman" w:hAnsi="Times New Roman"/>
        </w:rPr>
        <w:t>, 49(6), 2597–2604.</w:t>
      </w:r>
    </w:p>
    <w:p w14:paraId="285F82D8" w14:textId="77777777" w:rsidR="00F30677" w:rsidRDefault="00000000">
      <w:pPr>
        <w:spacing w:line="360" w:lineRule="auto"/>
        <w:ind w:left="720" w:hanging="720"/>
      </w:pPr>
      <w:r>
        <w:rPr>
          <w:rFonts w:ascii="Times New Roman" w:hAnsi="Times New Roman"/>
        </w:rPr>
        <w:lastRenderedPageBreak/>
        <w:t xml:space="preserve">Sedgwick, J.A., </w:t>
      </w:r>
      <w:proofErr w:type="spellStart"/>
      <w:r>
        <w:rPr>
          <w:rFonts w:ascii="Times New Roman" w:hAnsi="Times New Roman"/>
        </w:rPr>
        <w:t>Merwood</w:t>
      </w:r>
      <w:proofErr w:type="spellEnd"/>
      <w:r>
        <w:rPr>
          <w:rFonts w:ascii="Times New Roman" w:hAnsi="Times New Roman"/>
        </w:rPr>
        <w:t xml:space="preserve">, A. y </w:t>
      </w:r>
      <w:proofErr w:type="spellStart"/>
      <w:r>
        <w:rPr>
          <w:rFonts w:ascii="Times New Roman" w:hAnsi="Times New Roman"/>
        </w:rPr>
        <w:t>Asherson</w:t>
      </w:r>
      <w:proofErr w:type="spellEnd"/>
      <w:r>
        <w:rPr>
          <w:rFonts w:ascii="Times New Roman" w:hAnsi="Times New Roman"/>
        </w:rPr>
        <w:t xml:space="preserve">, P. (2019). </w:t>
      </w:r>
      <w:proofErr w:type="spellStart"/>
      <w:r>
        <w:rPr>
          <w:rFonts w:ascii="Times New Roman" w:hAnsi="Times New Roman"/>
        </w:rPr>
        <w:t>The</w:t>
      </w:r>
      <w:proofErr w:type="spellEnd"/>
      <w:r>
        <w:rPr>
          <w:rFonts w:ascii="Times New Roman" w:hAnsi="Times New Roman"/>
        </w:rPr>
        <w:t xml:space="preserve"> positive </w:t>
      </w:r>
      <w:proofErr w:type="spellStart"/>
      <w:r>
        <w:rPr>
          <w:rFonts w:ascii="Times New Roman" w:hAnsi="Times New Roman"/>
        </w:rPr>
        <w:t>aspects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qualitative</w:t>
      </w:r>
      <w:proofErr w:type="spellEnd"/>
      <w:r>
        <w:rPr>
          <w:rFonts w:ascii="Times New Roman" w:hAnsi="Times New Roman"/>
        </w:rPr>
        <w:t xml:space="preserve"> </w:t>
      </w:r>
      <w:proofErr w:type="spellStart"/>
      <w:r>
        <w:rPr>
          <w:rFonts w:ascii="Times New Roman" w:hAnsi="Times New Roman"/>
        </w:rPr>
        <w:t>investigation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successful</w:t>
      </w:r>
      <w:proofErr w:type="spellEnd"/>
      <w:r>
        <w:rPr>
          <w:rFonts w:ascii="Times New Roman" w:hAnsi="Times New Roman"/>
        </w:rPr>
        <w:t xml:space="preserve"> </w:t>
      </w:r>
      <w:proofErr w:type="spellStart"/>
      <w:r>
        <w:rPr>
          <w:rFonts w:ascii="Times New Roman" w:hAnsi="Times New Roman"/>
        </w:rPr>
        <w:t>adults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ADHD. ADHD </w:t>
      </w:r>
      <w:proofErr w:type="spellStart"/>
      <w:r>
        <w:rPr>
          <w:rFonts w:ascii="Times New Roman" w:hAnsi="Times New Roman"/>
        </w:rPr>
        <w:t>Atten</w:t>
      </w:r>
      <w:proofErr w:type="spellEnd"/>
      <w:r>
        <w:rPr>
          <w:rFonts w:ascii="Times New Roman" w:hAnsi="Times New Roman"/>
        </w:rPr>
        <w:t xml:space="preserve"> Def </w:t>
      </w:r>
      <w:proofErr w:type="spellStart"/>
      <w:r>
        <w:rPr>
          <w:rFonts w:ascii="Times New Roman" w:hAnsi="Times New Roman"/>
        </w:rPr>
        <w:t>Hyp</w:t>
      </w:r>
      <w:proofErr w:type="spellEnd"/>
      <w:r>
        <w:rPr>
          <w:rFonts w:ascii="Times New Roman" w:hAnsi="Times New Roman"/>
        </w:rPr>
        <w:t xml:space="preserve"> </w:t>
      </w:r>
      <w:proofErr w:type="spellStart"/>
      <w:r>
        <w:rPr>
          <w:rFonts w:ascii="Times New Roman" w:hAnsi="Times New Roman"/>
        </w:rPr>
        <w:t>Disord</w:t>
      </w:r>
      <w:proofErr w:type="spellEnd"/>
      <w:r>
        <w:rPr>
          <w:rFonts w:ascii="Times New Roman" w:hAnsi="Times New Roman"/>
        </w:rPr>
        <w:t xml:space="preserve"> 11, 241–253. </w:t>
      </w:r>
      <w:hyperlink r:id="rId19">
        <w:r w:rsidR="00F30677">
          <w:rPr>
            <w:rStyle w:val="Hipervnculo"/>
            <w:rFonts w:ascii="Times New Roman" w:hAnsi="Times New Roman"/>
          </w:rPr>
          <w:t>https://doi.org/10.1007/s12402-018-0277-6</w:t>
        </w:r>
      </w:hyperlink>
      <w:r>
        <w:rPr>
          <w:rFonts w:ascii="Times New Roman" w:hAnsi="Times New Roman"/>
        </w:rPr>
        <w:t xml:space="preserve"> </w:t>
      </w:r>
    </w:p>
    <w:p w14:paraId="732B5289" w14:textId="77777777" w:rsidR="00F30677" w:rsidRDefault="00000000">
      <w:pPr>
        <w:spacing w:line="360" w:lineRule="auto"/>
        <w:ind w:left="720" w:hanging="720"/>
      </w:pPr>
      <w:r>
        <w:rPr>
          <w:rFonts w:ascii="Times New Roman" w:hAnsi="Times New Roman"/>
        </w:rPr>
        <w:t xml:space="preserve">Sepúlveda, V.J., Espina, V.F (2021). Desempeño académico en estudiantes de educación superior con Trastorno por Déficit de Atención. Revista Estudios pedagógicos. </w:t>
      </w:r>
      <w:hyperlink r:id="rId20">
        <w:r w:rsidR="00F30677">
          <w:rPr>
            <w:rStyle w:val="Hipervnculo"/>
            <w:rFonts w:ascii="Times New Roman" w:hAnsi="Times New Roman"/>
          </w:rPr>
          <w:t>http://doi.org/10.4067/S0718-07052021000100091</w:t>
        </w:r>
      </w:hyperlink>
      <w:hyperlink>
        <w:r w:rsidR="00F30677">
          <w:rPr>
            <w:rFonts w:ascii="Times New Roman" w:hAnsi="Times New Roman"/>
          </w:rPr>
          <w:t xml:space="preserve"> </w:t>
        </w:r>
      </w:hyperlink>
    </w:p>
    <w:p w14:paraId="600A4934" w14:textId="77777777" w:rsidR="00F30677" w:rsidRDefault="00000000">
      <w:pPr>
        <w:spacing w:line="360" w:lineRule="auto"/>
        <w:ind w:left="720" w:hanging="720"/>
      </w:pPr>
      <w:proofErr w:type="spellStart"/>
      <w:r>
        <w:rPr>
          <w:rFonts w:ascii="Times New Roman" w:hAnsi="Times New Roman"/>
        </w:rPr>
        <w:t>Spender</w:t>
      </w:r>
      <w:proofErr w:type="spellEnd"/>
      <w:r>
        <w:rPr>
          <w:rFonts w:ascii="Times New Roman" w:hAnsi="Times New Roman"/>
        </w:rPr>
        <w:t xml:space="preserve"> K, Chen Y-WR, Wilkes-</w:t>
      </w:r>
      <w:proofErr w:type="spellStart"/>
      <w:r>
        <w:rPr>
          <w:rFonts w:ascii="Times New Roman" w:hAnsi="Times New Roman"/>
        </w:rPr>
        <w:t>Gillan</w:t>
      </w:r>
      <w:proofErr w:type="spellEnd"/>
      <w:r>
        <w:rPr>
          <w:rFonts w:ascii="Times New Roman" w:hAnsi="Times New Roman"/>
        </w:rPr>
        <w:t xml:space="preserve"> S, et al, (2023)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friendships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children</w:t>
      </w:r>
      <w:proofErr w:type="spellEnd"/>
      <w:r>
        <w:rPr>
          <w:rFonts w:ascii="Times New Roman" w:hAnsi="Times New Roman"/>
        </w:rPr>
        <w:t xml:space="preserve"> and </w:t>
      </w:r>
      <w:proofErr w:type="spellStart"/>
      <w:r>
        <w:rPr>
          <w:rFonts w:ascii="Times New Roman" w:hAnsi="Times New Roman"/>
        </w:rPr>
        <w:t>youth</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systematic</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w:t>
      </w:r>
      <w:proofErr w:type="spellStart"/>
      <w:r>
        <w:rPr>
          <w:rFonts w:ascii="Times New Roman" w:hAnsi="Times New Roman"/>
        </w:rPr>
        <w:t>PLoS</w:t>
      </w:r>
      <w:proofErr w:type="spellEnd"/>
      <w:r>
        <w:rPr>
          <w:rFonts w:ascii="Times New Roman" w:hAnsi="Times New Roman"/>
        </w:rPr>
        <w:t xml:space="preserve"> ONE 18(8): e0289539. </w:t>
      </w:r>
      <w:hyperlink r:id="rId21">
        <w:r w:rsidR="00F30677">
          <w:rPr>
            <w:rStyle w:val="Hipervnculo"/>
            <w:rFonts w:ascii="Times New Roman" w:hAnsi="Times New Roman"/>
          </w:rPr>
          <w:t>https://doi.org/10.1371/journal.pone.0289539</w:t>
        </w:r>
      </w:hyperlink>
    </w:p>
    <w:p w14:paraId="05A73E6A" w14:textId="77777777" w:rsidR="00F30677" w:rsidRDefault="00000000">
      <w:pPr>
        <w:spacing w:line="360" w:lineRule="auto"/>
        <w:ind w:left="720" w:hanging="720"/>
      </w:pPr>
      <w:proofErr w:type="spellStart"/>
      <w:r>
        <w:rPr>
          <w:rFonts w:ascii="Times New Roman" w:hAnsi="Times New Roman"/>
        </w:rPr>
        <w:t>Vasiliadis</w:t>
      </w:r>
      <w:proofErr w:type="spellEnd"/>
      <w:r>
        <w:rPr>
          <w:rFonts w:ascii="Times New Roman" w:hAnsi="Times New Roman"/>
        </w:rPr>
        <w:t xml:space="preserve">, H. M., </w:t>
      </w:r>
      <w:proofErr w:type="spellStart"/>
      <w:r>
        <w:rPr>
          <w:rFonts w:ascii="Times New Roman" w:hAnsi="Times New Roman"/>
        </w:rPr>
        <w:t>Lunghi</w:t>
      </w:r>
      <w:proofErr w:type="spellEnd"/>
      <w:r>
        <w:rPr>
          <w:rFonts w:ascii="Times New Roman" w:hAnsi="Times New Roman"/>
        </w:rPr>
        <w:t xml:space="preserve">, C., </w:t>
      </w:r>
      <w:proofErr w:type="spellStart"/>
      <w:r>
        <w:rPr>
          <w:rFonts w:ascii="Times New Roman" w:hAnsi="Times New Roman"/>
        </w:rPr>
        <w:t>Rahme</w:t>
      </w:r>
      <w:proofErr w:type="spellEnd"/>
      <w:r>
        <w:rPr>
          <w:rFonts w:ascii="Times New Roman" w:hAnsi="Times New Roman"/>
        </w:rPr>
        <w:t xml:space="preserve">, E., et al, (2024). ADHD </w:t>
      </w:r>
      <w:proofErr w:type="spellStart"/>
      <w:r>
        <w:rPr>
          <w:rFonts w:ascii="Times New Roman" w:hAnsi="Times New Roman"/>
        </w:rPr>
        <w:t>medications</w:t>
      </w:r>
      <w:proofErr w:type="spellEnd"/>
      <w:r>
        <w:rPr>
          <w:rFonts w:ascii="Times New Roman" w:hAnsi="Times New Roman"/>
        </w:rPr>
        <w:t xml:space="preserve"> use and </w:t>
      </w:r>
      <w:proofErr w:type="spellStart"/>
      <w:r>
        <w:rPr>
          <w:rFonts w:ascii="Times New Roman" w:hAnsi="Times New Roman"/>
        </w:rPr>
        <w:t>risk</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mortality</w:t>
      </w:r>
      <w:proofErr w:type="spellEnd"/>
      <w:r>
        <w:rPr>
          <w:rFonts w:ascii="Times New Roman" w:hAnsi="Times New Roman"/>
        </w:rPr>
        <w:t xml:space="preserve"> and </w:t>
      </w:r>
      <w:proofErr w:type="spellStart"/>
      <w:r>
        <w:rPr>
          <w:rFonts w:ascii="Times New Roman" w:hAnsi="Times New Roman"/>
        </w:rPr>
        <w:t>unintentional</w:t>
      </w:r>
      <w:proofErr w:type="spellEnd"/>
      <w:r>
        <w:rPr>
          <w:rFonts w:ascii="Times New Roman" w:hAnsi="Times New Roman"/>
        </w:rPr>
        <w:t xml:space="preserve"> injuries: a </w:t>
      </w:r>
      <w:proofErr w:type="spellStart"/>
      <w:r>
        <w:rPr>
          <w:rFonts w:ascii="Times New Roman" w:hAnsi="Times New Roman"/>
        </w:rPr>
        <w:t>population-based</w:t>
      </w:r>
      <w:proofErr w:type="spellEnd"/>
      <w:r>
        <w:rPr>
          <w:rFonts w:ascii="Times New Roman" w:hAnsi="Times New Roman"/>
        </w:rPr>
        <w:t xml:space="preserve"> </w:t>
      </w:r>
      <w:proofErr w:type="spellStart"/>
      <w:r>
        <w:rPr>
          <w:rFonts w:ascii="Times New Roman" w:hAnsi="Times New Roman"/>
        </w:rPr>
        <w:t>cohort</w:t>
      </w:r>
      <w:proofErr w:type="spellEnd"/>
      <w:r>
        <w:rPr>
          <w:rFonts w:ascii="Times New Roman" w:hAnsi="Times New Roman"/>
        </w:rPr>
        <w:t xml:space="preserve">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rPr>
        <w:t>Translational</w:t>
      </w:r>
      <w:proofErr w:type="spellEnd"/>
      <w:r>
        <w:rPr>
          <w:rFonts w:ascii="Times New Roman" w:hAnsi="Times New Roman"/>
        </w:rPr>
        <w:t xml:space="preserve"> </w:t>
      </w:r>
      <w:proofErr w:type="spellStart"/>
      <w:r>
        <w:rPr>
          <w:rFonts w:ascii="Times New Roman" w:hAnsi="Times New Roman"/>
        </w:rPr>
        <w:t>Psychiatry</w:t>
      </w:r>
      <w:proofErr w:type="spellEnd"/>
      <w:r>
        <w:rPr>
          <w:rFonts w:ascii="Times New Roman" w:hAnsi="Times New Roman"/>
        </w:rPr>
        <w:t>, 14(1), 128.</w:t>
      </w:r>
    </w:p>
    <w:p w14:paraId="7C1218E8" w14:textId="77777777" w:rsidR="00F30677" w:rsidRDefault="00000000">
      <w:pPr>
        <w:spacing w:line="360" w:lineRule="auto"/>
        <w:ind w:left="720" w:hanging="720"/>
      </w:pPr>
      <w:r>
        <w:rPr>
          <w:rFonts w:ascii="Times New Roman" w:hAnsi="Times New Roman"/>
        </w:rPr>
        <w:t xml:space="preserve">Vega Villarreal, S. (2019). Estereotipos de género en las escuelas normales. Indicios de una pedagogía sexista. RECIE. Revista Electrónica Científica De Investigación Educativa, 4(2), 1291-1302. </w:t>
      </w:r>
      <w:hyperlink r:id="rId22">
        <w:r w:rsidR="00F30677">
          <w:rPr>
            <w:rStyle w:val="Hipervnculo"/>
            <w:rFonts w:ascii="Times New Roman" w:hAnsi="Times New Roman"/>
          </w:rPr>
          <w:t>https://doi.org/10.33010/recie.v4i2.434</w:t>
        </w:r>
      </w:hyperlink>
      <w:r>
        <w:rPr>
          <w:rFonts w:ascii="Times New Roman" w:hAnsi="Times New Roman"/>
        </w:rPr>
        <w:t xml:space="preserve"> </w:t>
      </w:r>
    </w:p>
    <w:p w14:paraId="5D528985" w14:textId="77777777" w:rsidR="00F30677" w:rsidRDefault="00000000">
      <w:pPr>
        <w:spacing w:line="360" w:lineRule="auto"/>
        <w:ind w:left="720" w:hanging="720"/>
      </w:pPr>
      <w:r>
        <w:rPr>
          <w:rFonts w:ascii="Times New Roman" w:hAnsi="Times New Roman"/>
        </w:rPr>
        <w:t xml:space="preserve">WCEFA (1990). Declaración mundial sobre educación para todos y Marco de acción para satisfacer las necesidades básicas de aprendizaje. Conferencia Mundial sobre Educación para Todos. </w:t>
      </w:r>
    </w:p>
    <w:p w14:paraId="42729C4B" w14:textId="77777777" w:rsidR="00F30677" w:rsidRDefault="00000000">
      <w:pPr>
        <w:spacing w:line="360" w:lineRule="auto"/>
        <w:ind w:left="720" w:hanging="720"/>
      </w:pPr>
      <w:proofErr w:type="spellStart"/>
      <w:r>
        <w:rPr>
          <w:rFonts w:ascii="Times New Roman" w:hAnsi="Times New Roman"/>
        </w:rPr>
        <w:t>Wiklund</w:t>
      </w:r>
      <w:proofErr w:type="spellEnd"/>
      <w:r>
        <w:rPr>
          <w:rFonts w:ascii="Times New Roman" w:hAnsi="Times New Roman"/>
        </w:rPr>
        <w:t xml:space="preserve">, J., </w:t>
      </w:r>
      <w:proofErr w:type="spellStart"/>
      <w:r>
        <w:rPr>
          <w:rFonts w:ascii="Times New Roman" w:hAnsi="Times New Roman"/>
        </w:rPr>
        <w:t>Yu</w:t>
      </w:r>
      <w:proofErr w:type="spellEnd"/>
      <w:r>
        <w:rPr>
          <w:rFonts w:ascii="Times New Roman" w:hAnsi="Times New Roman"/>
        </w:rPr>
        <w:t xml:space="preserve">, W., Tucker, R., y Marino, L. D. (2017). ADHD, </w:t>
      </w:r>
      <w:proofErr w:type="spellStart"/>
      <w:r>
        <w:rPr>
          <w:rFonts w:ascii="Times New Roman" w:hAnsi="Times New Roman"/>
        </w:rPr>
        <w:t>impulsivity</w:t>
      </w:r>
      <w:proofErr w:type="spellEnd"/>
      <w:r>
        <w:rPr>
          <w:rFonts w:ascii="Times New Roman" w:hAnsi="Times New Roman"/>
        </w:rPr>
        <w:t xml:space="preserve"> and </w:t>
      </w:r>
      <w:proofErr w:type="spellStart"/>
      <w:r>
        <w:rPr>
          <w:rFonts w:ascii="Times New Roman" w:hAnsi="Times New Roman"/>
        </w:rPr>
        <w:t>entrepreneurship</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of Business </w:t>
      </w:r>
      <w:proofErr w:type="spellStart"/>
      <w:r>
        <w:rPr>
          <w:rFonts w:ascii="Times New Roman" w:hAnsi="Times New Roman"/>
        </w:rPr>
        <w:t>Venturing</w:t>
      </w:r>
      <w:proofErr w:type="spellEnd"/>
      <w:r>
        <w:rPr>
          <w:rFonts w:ascii="Times New Roman" w:hAnsi="Times New Roman"/>
        </w:rPr>
        <w:t>, 32(6), 627-656.</w:t>
      </w:r>
    </w:p>
    <w:p w14:paraId="41E2AF14" w14:textId="77777777" w:rsidR="00F30677" w:rsidRDefault="00000000">
      <w:pPr>
        <w:spacing w:line="360" w:lineRule="auto"/>
        <w:ind w:left="720" w:hanging="720"/>
      </w:pPr>
      <w:r>
        <w:rPr>
          <w:rFonts w:ascii="Times New Roman" w:hAnsi="Times New Roman"/>
        </w:rPr>
        <w:t>UNICEF (2022). En mi mente. Promover, proteger y cuidar la salud mental de la infancia. Estado mundial de la infancia 2021. UNICEF para cada infancia.</w:t>
      </w:r>
    </w:p>
    <w:p w14:paraId="30637732" w14:textId="77777777" w:rsidR="00F30677" w:rsidRDefault="00000000">
      <w:pPr>
        <w:spacing w:line="360" w:lineRule="auto"/>
        <w:ind w:left="720" w:hanging="720"/>
      </w:pPr>
      <w:proofErr w:type="spellStart"/>
      <w:r>
        <w:rPr>
          <w:rFonts w:ascii="Times New Roman" w:hAnsi="Times New Roman"/>
        </w:rPr>
        <w:t>Yaber</w:t>
      </w:r>
      <w:proofErr w:type="spellEnd"/>
      <w:r>
        <w:rPr>
          <w:rFonts w:ascii="Times New Roman" w:hAnsi="Times New Roman"/>
        </w:rPr>
        <w:t>, J. Y., y Sotelo, C. E. (2022). La violencia oculta en alumnas de educación superior. RECIE. Revista Electrónica Científica De Investigación Educativa, 6, e1720. https://doi.org/10.33010/recie.v6i0.1720</w:t>
      </w:r>
    </w:p>
    <w:p w14:paraId="72E08656" w14:textId="77777777" w:rsidR="00F30677" w:rsidRDefault="00000000">
      <w:pPr>
        <w:spacing w:line="360" w:lineRule="auto"/>
        <w:ind w:left="720" w:hanging="720"/>
      </w:pPr>
      <w:r>
        <w:rPr>
          <w:rFonts w:ascii="Times New Roman" w:hAnsi="Times New Roman"/>
        </w:rPr>
        <w:t xml:space="preserve">Zamora, L. (2023). </w:t>
      </w:r>
      <w:proofErr w:type="spellStart"/>
      <w:r>
        <w:rPr>
          <w:rFonts w:ascii="Times New Roman" w:hAnsi="Times New Roman"/>
        </w:rPr>
        <w:t>Infradiagnóstico</w:t>
      </w:r>
      <w:proofErr w:type="spellEnd"/>
      <w:r>
        <w:rPr>
          <w:rFonts w:ascii="Times New Roman" w:hAnsi="Times New Roman"/>
        </w:rPr>
        <w:t xml:space="preserve"> de TDAH en mujeres y sesgo de género: una revisión sistemática. Tesis de grado, licenciatura en Psicología. Universidad </w:t>
      </w:r>
      <w:proofErr w:type="spellStart"/>
      <w:r>
        <w:rPr>
          <w:rFonts w:ascii="Times New Roman" w:hAnsi="Times New Roman"/>
        </w:rPr>
        <w:t>Unilider</w:t>
      </w:r>
      <w:proofErr w:type="spellEnd"/>
      <w:r>
        <w:rPr>
          <w:rFonts w:ascii="Times New Roman" w:hAnsi="Times New Roman"/>
        </w:rPr>
        <w:t xml:space="preserve">. </w:t>
      </w:r>
      <w:hyperlink r:id="rId23">
        <w:r w:rsidR="00F30677">
          <w:rPr>
            <w:rStyle w:val="Hipervnculo"/>
            <w:rFonts w:ascii="Times New Roman" w:hAnsi="Times New Roman"/>
          </w:rPr>
          <w:t>http://dx.doi.org/10.13140/RG.2.2.20407.29606</w:t>
        </w:r>
      </w:hyperlink>
      <w:r>
        <w:rPr>
          <w:rFonts w:ascii="Times New Roman" w:hAnsi="Times New Roman"/>
        </w:rPr>
        <w:t xml:space="preserve"> </w:t>
      </w:r>
    </w:p>
    <w:p w14:paraId="2A8E94E5" w14:textId="77777777" w:rsidR="00F30677" w:rsidRDefault="00000000">
      <w:pPr>
        <w:spacing w:line="360" w:lineRule="auto"/>
        <w:ind w:left="720" w:hanging="720"/>
      </w:pPr>
      <w:r>
        <w:rPr>
          <w:rFonts w:ascii="Times New Roman" w:hAnsi="Times New Roman"/>
        </w:rPr>
        <w:t>Zamudio D</w:t>
      </w:r>
      <w:r>
        <w:rPr>
          <w:rFonts w:ascii="Times New Roman" w:hAnsi="Times New Roman"/>
          <w:color w:val="000000"/>
        </w:rPr>
        <w:t>íaz, J.J. (2024). Justificación de “</w:t>
      </w:r>
      <w:r>
        <w:rPr>
          <w:rFonts w:ascii="Times New Roman" w:hAnsi="Times New Roman"/>
          <w:i/>
          <w:iCs/>
          <w:color w:val="000000"/>
        </w:rPr>
        <w:t>Test de Autopercepción de Síntomas de TDAH”</w:t>
      </w:r>
      <w:r>
        <w:rPr>
          <w:rFonts w:ascii="Times New Roman" w:hAnsi="Times New Roman"/>
          <w:color w:val="000000"/>
        </w:rPr>
        <w:t xml:space="preserve">. </w:t>
      </w:r>
      <w:hyperlink r:id="rId24">
        <w:r w:rsidR="00F30677">
          <w:rPr>
            <w:rStyle w:val="Hipervnculo"/>
            <w:rFonts w:ascii="Times New Roman" w:hAnsi="Times New Roman"/>
            <w:color w:val="000000"/>
          </w:rPr>
          <w:t>https://drive.google.com/file/d/1sF7zdjIxBY877Okkkge1N7TfSz1tQCcb/view?usp=sharing</w:t>
        </w:r>
      </w:hyperlink>
      <w:r>
        <w:rPr>
          <w:rStyle w:val="Hipervnculo"/>
          <w:rFonts w:ascii="Times New Roman" w:hAnsi="Times New Roman"/>
          <w:color w:val="000000"/>
        </w:rPr>
        <w:t xml:space="preserve"> </w:t>
      </w:r>
    </w:p>
    <w:p w14:paraId="3AF2CE36" w14:textId="77777777" w:rsidR="00F30677" w:rsidRDefault="00000000">
      <w:pPr>
        <w:spacing w:line="360" w:lineRule="auto"/>
        <w:ind w:left="720" w:hanging="720"/>
      </w:pPr>
      <w:r>
        <w:rPr>
          <w:rFonts w:ascii="Times New Roman" w:hAnsi="Times New Roman"/>
        </w:rPr>
        <w:t>Zúñiga, A. y Durán, O. (2014). El TDAH y su comorbilidad. Pediatría Infantil. SEPEAP.</w:t>
      </w:r>
    </w:p>
    <w:p w14:paraId="0FDDD03A" w14:textId="77777777" w:rsidR="00F30677" w:rsidRDefault="00F30677">
      <w:pPr>
        <w:spacing w:line="360" w:lineRule="auto"/>
        <w:ind w:left="720" w:hanging="720"/>
        <w:rPr>
          <w:rFonts w:ascii="Times New Roman" w:hAnsi="Times New Roman"/>
        </w:rPr>
      </w:pPr>
    </w:p>
    <w:p w14:paraId="4B89F60B" w14:textId="77777777" w:rsidR="00F30677" w:rsidRDefault="00F30677">
      <w:pPr>
        <w:spacing w:line="360" w:lineRule="auto"/>
        <w:ind w:left="720" w:hanging="720"/>
        <w:rPr>
          <w:rFonts w:ascii="Times New Roman" w:hAnsi="Times New Roman"/>
        </w:rPr>
      </w:pPr>
    </w:p>
    <w:tbl>
      <w:tblPr>
        <w:tblW w:w="9360" w:type="dxa"/>
        <w:jc w:val="center"/>
        <w:tblLayout w:type="fixed"/>
        <w:tblCellMar>
          <w:top w:w="100" w:type="dxa"/>
          <w:left w:w="100" w:type="dxa"/>
          <w:bottom w:w="100" w:type="dxa"/>
          <w:right w:w="100" w:type="dxa"/>
        </w:tblCellMar>
        <w:tblLook w:val="0600" w:firstRow="0" w:lastRow="0" w:firstColumn="0" w:lastColumn="0" w:noHBand="1" w:noVBand="1"/>
      </w:tblPr>
      <w:tblGrid>
        <w:gridCol w:w="3044"/>
        <w:gridCol w:w="6316"/>
      </w:tblGrid>
      <w:tr w:rsidR="00CC2FCC" w:rsidRPr="00CC2FCC" w14:paraId="742C9162"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BF3ACED" w14:textId="77777777" w:rsidR="00CC2FCC" w:rsidRPr="00CC2FCC" w:rsidRDefault="00CC2FCC" w:rsidP="00E83058">
            <w:pPr>
              <w:pStyle w:val="Ttulo3"/>
              <w:widowControl w:val="0"/>
              <w:spacing w:before="0" w:line="276" w:lineRule="auto"/>
              <w:rPr>
                <w:b w:val="0"/>
                <w:bCs w:val="0"/>
                <w:sz w:val="24"/>
                <w:szCs w:val="24"/>
              </w:rPr>
            </w:pPr>
            <w:r w:rsidRPr="00CC2FCC">
              <w:rPr>
                <w:rFonts w:ascii="Times New Roman" w:hAnsi="Times New Roman" w:cs="Times New Roman"/>
                <w:b w:val="0"/>
                <w:bCs w:val="0"/>
                <w:sz w:val="24"/>
                <w:szCs w:val="24"/>
                <w:lang w:val="es-MX"/>
              </w:rPr>
              <w:lastRenderedPageBreak/>
              <w:t>Rol de Contribución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0E3DCEA0" w14:textId="77777777" w:rsidR="00CC2FCC" w:rsidRPr="00CC2FCC" w:rsidRDefault="00CC2FCC" w:rsidP="00E83058">
            <w:pPr>
              <w:pStyle w:val="Ttulo3"/>
              <w:widowControl w:val="0"/>
              <w:spacing w:before="0" w:line="276" w:lineRule="auto"/>
              <w:rPr>
                <w:b w:val="0"/>
                <w:bCs w:val="0"/>
                <w:sz w:val="24"/>
                <w:szCs w:val="24"/>
              </w:rPr>
            </w:pPr>
            <w:bookmarkStart w:id="0" w:name="_btsjgdfgjwkr2"/>
            <w:bookmarkEnd w:id="0"/>
            <w:r w:rsidRPr="00CC2FCC">
              <w:rPr>
                <w:rFonts w:ascii="Times New Roman" w:hAnsi="Times New Roman" w:cs="Times New Roman"/>
                <w:b w:val="0"/>
                <w:bCs w:val="0"/>
                <w:sz w:val="24"/>
                <w:szCs w:val="24"/>
                <w:lang w:val="es-MX"/>
              </w:rPr>
              <w:t>Autor (es)</w:t>
            </w:r>
          </w:p>
        </w:tc>
      </w:tr>
      <w:tr w:rsidR="00CC2FCC" w:rsidRPr="00CC2FCC" w14:paraId="70A982BB"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6CD264D2" w14:textId="77777777" w:rsidR="00CC2FCC" w:rsidRPr="00CC2FCC" w:rsidRDefault="00CC2FCC" w:rsidP="00E83058">
            <w:pPr>
              <w:widowControl w:val="0"/>
              <w:spacing w:line="276" w:lineRule="auto"/>
            </w:pPr>
            <w:r w:rsidRPr="00CC2FCC">
              <w:rPr>
                <w:rFonts w:ascii="Times New Roman" w:hAnsi="Times New Roman" w:cs="Times New Roman"/>
                <w:lang w:val="es-MX"/>
              </w:rPr>
              <w:t>Conceptualización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E72AED1"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p>
        </w:tc>
      </w:tr>
      <w:tr w:rsidR="00CC2FCC" w:rsidRPr="00CC2FCC" w14:paraId="4D98DD63"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20934F9" w14:textId="77777777" w:rsidR="00CC2FCC" w:rsidRPr="00CC2FCC" w:rsidRDefault="00CC2FCC" w:rsidP="00E83058">
            <w:pPr>
              <w:widowControl w:val="0"/>
              <w:spacing w:line="276" w:lineRule="auto"/>
            </w:pPr>
            <w:r w:rsidRPr="00CC2FCC">
              <w:rPr>
                <w:rFonts w:ascii="Times New Roman" w:hAnsi="Times New Roman" w:cs="Times New Roman"/>
                <w:lang w:val="es-MX"/>
              </w:rPr>
              <w:t>Metodología</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264203CF" w14:textId="77777777" w:rsidR="00CC2FCC" w:rsidRPr="00CC2FCC" w:rsidRDefault="00CC2FCC" w:rsidP="00E83058">
            <w:pPr>
              <w:widowControl w:val="0"/>
              <w:spacing w:line="276" w:lineRule="auto"/>
            </w:pPr>
            <w:r w:rsidRPr="00CC2FCC">
              <w:rPr>
                <w:rFonts w:ascii="Times New Roman" w:hAnsi="Times New Roman" w:cs="Times New Roman"/>
                <w:lang w:val="es-MX"/>
              </w:rPr>
              <w:t>Luis Ricardo Ramos Hernández</w:t>
            </w:r>
          </w:p>
        </w:tc>
      </w:tr>
      <w:tr w:rsidR="00CC2FCC" w:rsidRPr="00CC2FCC" w14:paraId="5F8CC715"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C71F9D9" w14:textId="77777777" w:rsidR="00CC2FCC" w:rsidRPr="00CC2FCC" w:rsidRDefault="00CC2FCC" w:rsidP="00E83058">
            <w:pPr>
              <w:widowControl w:val="0"/>
              <w:spacing w:line="276" w:lineRule="auto"/>
            </w:pPr>
            <w:r w:rsidRPr="00CC2FCC">
              <w:rPr>
                <w:rFonts w:ascii="Times New Roman" w:hAnsi="Times New Roman" w:cs="Times New Roman"/>
                <w:lang w:val="es-MX"/>
              </w:rPr>
              <w:t>Software</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B8B06B3" w14:textId="77777777" w:rsidR="00CC2FCC" w:rsidRPr="00CC2FCC" w:rsidRDefault="00CC2FCC" w:rsidP="00E83058">
            <w:pPr>
              <w:widowControl w:val="0"/>
              <w:spacing w:line="276" w:lineRule="auto"/>
            </w:pPr>
            <w:r w:rsidRPr="00CC2FCC">
              <w:rPr>
                <w:rFonts w:ascii="Times New Roman" w:hAnsi="Times New Roman" w:cs="Times New Roman"/>
                <w:lang w:val="es-MX"/>
              </w:rPr>
              <w:t>Luis Ricardo Ramos Hernández</w:t>
            </w:r>
          </w:p>
        </w:tc>
      </w:tr>
      <w:tr w:rsidR="00CC2FCC" w:rsidRPr="00CC2FCC" w14:paraId="25323C68"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6BE6A77" w14:textId="77777777" w:rsidR="00CC2FCC" w:rsidRPr="00CC2FCC" w:rsidRDefault="00CC2FCC" w:rsidP="00E83058">
            <w:pPr>
              <w:widowControl w:val="0"/>
              <w:spacing w:line="276" w:lineRule="auto"/>
            </w:pPr>
            <w:r w:rsidRPr="00CC2FCC">
              <w:rPr>
                <w:rFonts w:ascii="Times New Roman" w:hAnsi="Times New Roman" w:cs="Times New Roman"/>
                <w:lang w:val="es-MX"/>
              </w:rPr>
              <w:t>Validación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207180B" w14:textId="77777777" w:rsidR="00CC2FCC" w:rsidRPr="00CC2FCC" w:rsidRDefault="00CC2FCC" w:rsidP="00E83058">
            <w:pPr>
              <w:widowControl w:val="0"/>
              <w:spacing w:line="276" w:lineRule="auto"/>
            </w:pPr>
            <w:r w:rsidRPr="00CC2FCC">
              <w:rPr>
                <w:rFonts w:ascii="Times New Roman" w:hAnsi="Times New Roman" w:cs="Times New Roman"/>
                <w:lang w:val="es-MX"/>
              </w:rPr>
              <w:t>José Juan Zamudio Díaz</w:t>
            </w:r>
          </w:p>
        </w:tc>
      </w:tr>
      <w:tr w:rsidR="00CC2FCC" w:rsidRPr="00CC2FCC" w14:paraId="22589F27"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13443687" w14:textId="77777777" w:rsidR="00CC2FCC" w:rsidRPr="00CC2FCC" w:rsidRDefault="00CC2FCC" w:rsidP="00E83058">
            <w:pPr>
              <w:widowControl w:val="0"/>
              <w:spacing w:line="276" w:lineRule="auto"/>
            </w:pPr>
            <w:r w:rsidRPr="00CC2FCC">
              <w:rPr>
                <w:rFonts w:ascii="Times New Roman" w:hAnsi="Times New Roman" w:cs="Times New Roman"/>
                <w:lang w:val="es-MX"/>
              </w:rPr>
              <w:t>Análisis Formal</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AEC9D3A"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r w:rsidRPr="00CC2FCC">
              <w:rPr>
                <w:rFonts w:ascii="Times New Roman" w:hAnsi="Times New Roman" w:cs="Times New Roman"/>
                <w:lang w:val="es-MX"/>
              </w:rPr>
              <w:t>, Luis Ricardo Ramos Hernández (igual).</w:t>
            </w:r>
          </w:p>
        </w:tc>
      </w:tr>
      <w:tr w:rsidR="00CC2FCC" w:rsidRPr="00CC2FCC" w14:paraId="79382590"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CDE4FEB" w14:textId="77777777" w:rsidR="00CC2FCC" w:rsidRPr="00CC2FCC" w:rsidRDefault="00CC2FCC" w:rsidP="00E83058">
            <w:pPr>
              <w:widowControl w:val="0"/>
              <w:spacing w:line="276" w:lineRule="auto"/>
            </w:pPr>
            <w:r w:rsidRPr="00CC2FCC">
              <w:rPr>
                <w:rFonts w:ascii="Times New Roman" w:hAnsi="Times New Roman" w:cs="Times New Roman"/>
                <w:lang w:val="es-MX"/>
              </w:rPr>
              <w:t>Investigación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7ACBF6A"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r w:rsidRPr="00CC2FCC">
              <w:rPr>
                <w:rFonts w:ascii="Times New Roman" w:hAnsi="Times New Roman" w:cs="Times New Roman"/>
                <w:lang w:val="es-MX"/>
              </w:rPr>
              <w:t>, Luis Ricardo Ramos Hernández (igual).</w:t>
            </w:r>
          </w:p>
        </w:tc>
      </w:tr>
      <w:tr w:rsidR="00CC2FCC" w:rsidRPr="00CC2FCC" w14:paraId="20DF411E"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A060044" w14:textId="77777777" w:rsidR="00CC2FCC" w:rsidRPr="00CC2FCC" w:rsidRDefault="00CC2FCC" w:rsidP="00E83058">
            <w:pPr>
              <w:widowControl w:val="0"/>
              <w:spacing w:line="276" w:lineRule="auto"/>
            </w:pPr>
            <w:r w:rsidRPr="00CC2FCC">
              <w:rPr>
                <w:rFonts w:ascii="Times New Roman" w:hAnsi="Times New Roman" w:cs="Times New Roman"/>
                <w:lang w:val="es-MX"/>
              </w:rPr>
              <w:t>Recursos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34533C0"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r w:rsidRPr="00CC2FCC">
              <w:rPr>
                <w:rFonts w:ascii="Times New Roman" w:hAnsi="Times New Roman" w:cs="Times New Roman"/>
                <w:lang w:val="es-MX"/>
              </w:rPr>
              <w:t>, Luis Ricardo Ramos Hernández (igual).</w:t>
            </w:r>
          </w:p>
        </w:tc>
      </w:tr>
      <w:tr w:rsidR="00CC2FCC" w:rsidRPr="00CC2FCC" w14:paraId="42AADC54"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2FD1D2BF" w14:textId="77777777" w:rsidR="00CC2FCC" w:rsidRPr="00CC2FCC" w:rsidRDefault="00CC2FCC" w:rsidP="00E83058">
            <w:pPr>
              <w:widowControl w:val="0"/>
              <w:spacing w:line="276" w:lineRule="auto"/>
            </w:pPr>
            <w:r w:rsidRPr="00CC2FCC">
              <w:rPr>
                <w:rFonts w:ascii="Times New Roman" w:hAnsi="Times New Roman" w:cs="Times New Roman"/>
                <w:lang w:val="es-MX"/>
              </w:rPr>
              <w:t>Curación de datos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1F8EC1BB"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r w:rsidRPr="00CC2FCC">
              <w:rPr>
                <w:rFonts w:ascii="Times New Roman" w:hAnsi="Times New Roman" w:cs="Times New Roman"/>
                <w:lang w:val="es-MX"/>
              </w:rPr>
              <w:t>, Luis Ricardo Ramos Hernández (igual).</w:t>
            </w:r>
          </w:p>
        </w:tc>
      </w:tr>
      <w:tr w:rsidR="00CC2FCC" w:rsidRPr="00CC2FCC" w14:paraId="441D33AB"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2FD3619A" w14:textId="77777777" w:rsidR="00CC2FCC" w:rsidRPr="00CC2FCC" w:rsidRDefault="00CC2FCC" w:rsidP="00E83058">
            <w:pPr>
              <w:widowControl w:val="0"/>
              <w:spacing w:line="276" w:lineRule="auto"/>
            </w:pPr>
            <w:r w:rsidRPr="00CC2FCC">
              <w:rPr>
                <w:rFonts w:ascii="Times New Roman" w:hAnsi="Times New Roman" w:cs="Times New Roman"/>
                <w:lang w:val="es-MX"/>
              </w:rPr>
              <w:t>Escritura - Preparación del borrador original</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B5417AD"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p>
        </w:tc>
      </w:tr>
      <w:tr w:rsidR="00CC2FCC" w:rsidRPr="00CC2FCC" w14:paraId="08AB94B5"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2F540F93" w14:textId="77777777" w:rsidR="00CC2FCC" w:rsidRPr="00CC2FCC" w:rsidRDefault="00CC2FCC" w:rsidP="00E83058">
            <w:pPr>
              <w:widowControl w:val="0"/>
              <w:spacing w:line="276" w:lineRule="auto"/>
            </w:pPr>
            <w:r w:rsidRPr="00CC2FCC">
              <w:rPr>
                <w:rFonts w:ascii="Times New Roman" w:hAnsi="Times New Roman" w:cs="Times New Roman"/>
                <w:lang w:val="es-MX"/>
              </w:rPr>
              <w:t>Escritura - Revisión y edición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6E635D2"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Luis Ricardo Ramos Hernández </w:t>
            </w:r>
          </w:p>
        </w:tc>
      </w:tr>
      <w:tr w:rsidR="00CC2FCC" w:rsidRPr="00CC2FCC" w14:paraId="21EE7781"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97487F2" w14:textId="77777777" w:rsidR="00CC2FCC" w:rsidRPr="00CC2FCC" w:rsidRDefault="00CC2FCC" w:rsidP="00E83058">
            <w:pPr>
              <w:widowControl w:val="0"/>
              <w:spacing w:line="276" w:lineRule="auto"/>
            </w:pPr>
            <w:r w:rsidRPr="00CC2FCC">
              <w:rPr>
                <w:rFonts w:ascii="Times New Roman" w:hAnsi="Times New Roman" w:cs="Times New Roman"/>
                <w:lang w:val="es-MX"/>
              </w:rPr>
              <w:t>Visualización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6901E7D" w14:textId="77777777" w:rsidR="00CC2FCC" w:rsidRPr="00CC2FCC" w:rsidRDefault="00CC2FCC" w:rsidP="00E83058">
            <w:pPr>
              <w:widowControl w:val="0"/>
              <w:spacing w:line="276" w:lineRule="auto"/>
            </w:pPr>
            <w:r w:rsidRPr="00CC2FCC">
              <w:rPr>
                <w:rFonts w:ascii="Times New Roman" w:hAnsi="Times New Roman" w:cs="Times New Roman"/>
                <w:lang w:val="es-MX"/>
              </w:rPr>
              <w:t xml:space="preserve">Juliette Murillo </w:t>
            </w:r>
            <w:proofErr w:type="spellStart"/>
            <w:r w:rsidRPr="00CC2FCC">
              <w:rPr>
                <w:rFonts w:ascii="Times New Roman" w:hAnsi="Times New Roman" w:cs="Times New Roman"/>
                <w:lang w:val="es-MX"/>
              </w:rPr>
              <w:t>Vinay</w:t>
            </w:r>
            <w:proofErr w:type="spellEnd"/>
          </w:p>
        </w:tc>
      </w:tr>
      <w:tr w:rsidR="00CC2FCC" w:rsidRPr="00CC2FCC" w14:paraId="40F7F9B6"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46B5E63" w14:textId="77777777" w:rsidR="00CC2FCC" w:rsidRPr="00CC2FCC" w:rsidRDefault="00CC2FCC" w:rsidP="00E83058">
            <w:pPr>
              <w:widowControl w:val="0"/>
              <w:spacing w:line="276" w:lineRule="auto"/>
            </w:pPr>
            <w:r w:rsidRPr="00CC2FCC">
              <w:rPr>
                <w:rFonts w:ascii="Times New Roman" w:hAnsi="Times New Roman" w:cs="Times New Roman"/>
                <w:lang w:val="es-MX"/>
              </w:rPr>
              <w:t>Supervisión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610E397" w14:textId="77777777" w:rsidR="00CC2FCC" w:rsidRPr="00CC2FCC" w:rsidRDefault="00CC2FCC" w:rsidP="00E83058">
            <w:pPr>
              <w:widowControl w:val="0"/>
              <w:spacing w:line="276" w:lineRule="auto"/>
            </w:pPr>
            <w:r w:rsidRPr="00CC2FCC">
              <w:rPr>
                <w:rFonts w:ascii="Times New Roman" w:hAnsi="Times New Roman" w:cs="Times New Roman"/>
                <w:lang w:val="es-MX"/>
              </w:rPr>
              <w:t>Luis Ricardo Ramos Hernández</w:t>
            </w:r>
          </w:p>
        </w:tc>
      </w:tr>
      <w:tr w:rsidR="00CC2FCC" w:rsidRPr="00CC2FCC" w14:paraId="3E7389C6" w14:textId="77777777" w:rsidTr="00CC2FCC">
        <w:trPr>
          <w:jc w:val="center"/>
        </w:trPr>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04339D81" w14:textId="77777777" w:rsidR="00CC2FCC" w:rsidRPr="00CC2FCC" w:rsidRDefault="00CC2FCC" w:rsidP="00E83058">
            <w:pPr>
              <w:widowControl w:val="0"/>
              <w:spacing w:line="276" w:lineRule="auto"/>
            </w:pPr>
            <w:r w:rsidRPr="00CC2FCC">
              <w:rPr>
                <w:rFonts w:ascii="Times New Roman" w:hAnsi="Times New Roman" w:cs="Times New Roman"/>
                <w:lang w:val="es-MX"/>
              </w:rPr>
              <w:t>Administración de Proyectos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B2DFDEF" w14:textId="77777777" w:rsidR="00CC2FCC" w:rsidRPr="00CC2FCC" w:rsidRDefault="00CC2FCC" w:rsidP="00E83058">
            <w:pPr>
              <w:widowControl w:val="0"/>
              <w:spacing w:line="276" w:lineRule="auto"/>
            </w:pPr>
            <w:r w:rsidRPr="00CC2FCC">
              <w:rPr>
                <w:rFonts w:ascii="Times New Roman" w:hAnsi="Times New Roman" w:cs="Times New Roman"/>
                <w:lang w:val="es-MX"/>
              </w:rPr>
              <w:t>Luis Ricardo Ramos Hernández</w:t>
            </w:r>
          </w:p>
        </w:tc>
      </w:tr>
      <w:tr w:rsidR="00CC2FCC" w:rsidRPr="00CC2FCC" w14:paraId="5390933B" w14:textId="77777777" w:rsidTr="00CC2FCC">
        <w:trPr>
          <w:jc w:val="center"/>
        </w:trPr>
        <w:tc>
          <w:tcPr>
            <w:tcW w:w="3044" w:type="dxa"/>
            <w:tcBorders>
              <w:left w:val="single" w:sz="8" w:space="0" w:color="000000"/>
              <w:bottom w:val="single" w:sz="8" w:space="0" w:color="000000"/>
              <w:right w:val="single" w:sz="8" w:space="0" w:color="000000"/>
            </w:tcBorders>
            <w:shd w:val="clear" w:color="auto" w:fill="auto"/>
          </w:tcPr>
          <w:p w14:paraId="7179437F" w14:textId="77777777" w:rsidR="00CC2FCC" w:rsidRPr="00CC2FCC" w:rsidRDefault="00CC2FCC" w:rsidP="00E83058">
            <w:pPr>
              <w:widowControl w:val="0"/>
              <w:spacing w:line="276" w:lineRule="auto"/>
            </w:pPr>
            <w:r w:rsidRPr="00CC2FCC">
              <w:rPr>
                <w:rFonts w:ascii="Times New Roman" w:hAnsi="Times New Roman" w:cs="Times New Roman"/>
                <w:lang w:val="es-MX"/>
              </w:rPr>
              <w:t>Adquisición de fondos</w:t>
            </w:r>
          </w:p>
        </w:tc>
        <w:tc>
          <w:tcPr>
            <w:tcW w:w="6315" w:type="dxa"/>
            <w:tcBorders>
              <w:left w:val="single" w:sz="8" w:space="0" w:color="000000"/>
              <w:bottom w:val="single" w:sz="8" w:space="0" w:color="000000"/>
              <w:right w:val="single" w:sz="8" w:space="0" w:color="000000"/>
            </w:tcBorders>
            <w:shd w:val="clear" w:color="auto" w:fill="auto"/>
          </w:tcPr>
          <w:p w14:paraId="541F65C8" w14:textId="77777777" w:rsidR="00CC2FCC" w:rsidRPr="00CC2FCC" w:rsidRDefault="00CC2FCC" w:rsidP="00E83058">
            <w:pPr>
              <w:widowControl w:val="0"/>
              <w:spacing w:line="276" w:lineRule="auto"/>
            </w:pPr>
            <w:r w:rsidRPr="00CC2FCC">
              <w:rPr>
                <w:rFonts w:ascii="Times New Roman" w:hAnsi="Times New Roman" w:cs="Times New Roman"/>
                <w:lang w:val="es-MX"/>
              </w:rPr>
              <w:t>Luis Ricardo Ramos Hernández</w:t>
            </w:r>
          </w:p>
        </w:tc>
      </w:tr>
    </w:tbl>
    <w:p w14:paraId="06B0EDF3" w14:textId="77777777" w:rsidR="00F30677" w:rsidRDefault="00F30677">
      <w:pPr>
        <w:spacing w:line="360" w:lineRule="auto"/>
        <w:rPr>
          <w:rFonts w:ascii="Times New Roman" w:hAnsi="Times New Roman"/>
        </w:rPr>
      </w:pPr>
    </w:p>
    <w:sectPr w:rsidR="00F30677" w:rsidSect="00B229B1">
      <w:headerReference w:type="default" r:id="rId25"/>
      <w:footerReference w:type="default" r:id="rId26"/>
      <w:pgSz w:w="11995" w:h="16838"/>
      <w:pgMar w:top="1135" w:right="1701" w:bottom="709" w:left="1701"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3D8C" w14:textId="77777777" w:rsidR="00950C58" w:rsidRDefault="00950C58">
      <w:r>
        <w:separator/>
      </w:r>
    </w:p>
  </w:endnote>
  <w:endnote w:type="continuationSeparator" w:id="0">
    <w:p w14:paraId="7E56A475" w14:textId="77777777" w:rsidR="00950C58" w:rsidRDefault="009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C043" w14:textId="6131400B" w:rsidR="00F30677" w:rsidRDefault="00B229B1">
    <w:pPr>
      <w:pStyle w:val="Piedepgina"/>
      <w:jc w:val="center"/>
      <w:rPr>
        <w:rFonts w:ascii="Times New Roman" w:hAnsi="Times New Roman"/>
      </w:rPr>
    </w:pPr>
    <w:r w:rsidRPr="002A3D98">
      <w:rPr>
        <w:noProof/>
        <w:lang w:eastAsia="es-MX"/>
      </w:rPr>
      <w:drawing>
        <wp:inline distT="0" distB="0" distL="0" distR="0" wp14:anchorId="703E1B92" wp14:editId="19B49498">
          <wp:extent cx="1600200" cy="419100"/>
          <wp:effectExtent l="0" t="0" r="0" b="0"/>
          <wp:docPr id="381027332" name="Imagen 3810273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rPr>
      <w:t xml:space="preserve">         </w:t>
    </w:r>
    <w:r w:rsidRPr="00086E70">
      <w:rPr>
        <w:rFonts w:ascii="Calibri" w:hAnsi="Calibri" w:cs="Calibri"/>
        <w:b/>
        <w:sz w:val="22"/>
        <w:szCs w:val="22"/>
      </w:rPr>
      <w:t xml:space="preserve">Vol. 15 </w:t>
    </w:r>
    <w:proofErr w:type="spellStart"/>
    <w:r w:rsidRPr="00086E70">
      <w:rPr>
        <w:rFonts w:ascii="Calibri" w:hAnsi="Calibri" w:cs="Calibri"/>
        <w:b/>
        <w:sz w:val="22"/>
        <w:szCs w:val="22"/>
      </w:rPr>
      <w:t>Num</w:t>
    </w:r>
    <w:proofErr w:type="spellEnd"/>
    <w:r w:rsidRPr="00086E70">
      <w:rPr>
        <w:rFonts w:ascii="Calibri" w:hAnsi="Calibri" w:cs="Calibri"/>
        <w:b/>
        <w:sz w:val="22"/>
        <w:szCs w:val="22"/>
      </w:rPr>
      <w:t xml:space="preserve">. 30 </w:t>
    </w:r>
    <w:proofErr w:type="gramStart"/>
    <w:r w:rsidRPr="00086E70">
      <w:rPr>
        <w:rFonts w:ascii="Calibri" w:hAnsi="Calibri" w:cs="Calibri"/>
        <w:b/>
        <w:sz w:val="22"/>
        <w:szCs w:val="22"/>
      </w:rPr>
      <w:t>Enero</w:t>
    </w:r>
    <w:proofErr w:type="gramEnd"/>
    <w:r w:rsidRPr="00086E70">
      <w:rPr>
        <w:rFonts w:ascii="Calibri" w:hAnsi="Calibri" w:cs="Calibri"/>
        <w:b/>
        <w:sz w:val="22"/>
        <w:szCs w:val="22"/>
      </w:rPr>
      <w:t xml:space="preserve"> – Junio 2025, e</w:t>
    </w:r>
    <w:r w:rsidR="0035700B">
      <w:rPr>
        <w:rFonts w:ascii="Calibri" w:hAnsi="Calibri" w:cs="Calibri"/>
        <w:b/>
        <w:sz w:val="22"/>
        <w:szCs w:val="22"/>
      </w:rPr>
      <w:t>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EF76" w14:textId="77777777" w:rsidR="00950C58" w:rsidRDefault="00950C58">
      <w:r>
        <w:separator/>
      </w:r>
    </w:p>
  </w:footnote>
  <w:footnote w:type="continuationSeparator" w:id="0">
    <w:p w14:paraId="05A0769A" w14:textId="77777777" w:rsidR="00950C58" w:rsidRDefault="0095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D20" w14:textId="77777777" w:rsidR="00B229B1" w:rsidRDefault="00B229B1" w:rsidP="00B229B1">
    <w:pPr>
      <w:pStyle w:val="Encabezado"/>
      <w:jc w:val="center"/>
    </w:pPr>
    <w:r w:rsidRPr="002A3D98">
      <w:rPr>
        <w:noProof/>
        <w:lang w:eastAsia="es-MX"/>
      </w:rPr>
      <w:drawing>
        <wp:inline distT="0" distB="0" distL="0" distR="0" wp14:anchorId="6348200A" wp14:editId="61020802">
          <wp:extent cx="5397500" cy="635000"/>
          <wp:effectExtent l="0" t="0" r="0" b="0"/>
          <wp:docPr id="89107931" name="Imagen 891079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77"/>
    <w:rsid w:val="00086E70"/>
    <w:rsid w:val="0035700B"/>
    <w:rsid w:val="00950C58"/>
    <w:rsid w:val="00B229B1"/>
    <w:rsid w:val="00BB472A"/>
    <w:rsid w:val="00BC1FF8"/>
    <w:rsid w:val="00CC2FCC"/>
    <w:rsid w:val="00F306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B8E0"/>
  <w15:docId w15:val="{C9A9C19A-A01D-47EA-B64A-6FF6E86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es-C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oindependiente"/>
    <w:uiPriority w:val="9"/>
    <w:qFormat/>
    <w:pPr>
      <w:outlineLvl w:val="0"/>
    </w:pPr>
    <w:rPr>
      <w:rFonts w:ascii="Liberation Serif" w:eastAsia="Noto Serif CJK SC" w:hAnsi="Liberation Serif"/>
      <w:b/>
      <w:bCs/>
      <w:sz w:val="48"/>
      <w:szCs w:val="48"/>
    </w:rPr>
  </w:style>
  <w:style w:type="paragraph" w:styleId="Ttulo3">
    <w:name w:val="heading 3"/>
    <w:basedOn w:val="Heading"/>
    <w:next w:val="Textoindependiente"/>
    <w:uiPriority w:val="9"/>
    <w:unhideWhenUsed/>
    <w:qFormat/>
    <w:pPr>
      <w:spacing w:before="140"/>
      <w:outlineLvl w:val="2"/>
    </w:pPr>
    <w:rPr>
      <w:rFonts w:ascii="Liberation Serif" w:eastAsia="Noto Serif CJK SC" w:hAnsi="Liberation Serif" w:cs="Lohit Devanaga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Mencinsinresolver">
    <w:name w:val="Unresolved Mention"/>
    <w:basedOn w:val="Fuentedeprrafopredeter"/>
    <w:qFormat/>
    <w:rPr>
      <w:color w:val="605E5C"/>
      <w:shd w:val="clear" w:color="auto" w:fill="E1DFDD"/>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nfasis">
    <w:name w:val="Emphasis"/>
    <w:qFormat/>
    <w:rPr>
      <w:i/>
      <w:iCs/>
    </w:rPr>
  </w:style>
  <w:style w:type="paragraph" w:customStyle="1" w:styleId="Heading">
    <w:name w:val="Heading"/>
    <w:basedOn w:val="Normal"/>
    <w:next w:val="Textoindependiente"/>
    <w:qFormat/>
    <w:pPr>
      <w:keepNext/>
      <w:spacing w:before="240" w:after="120"/>
    </w:pPr>
    <w:rPr>
      <w:rFonts w:ascii="Liberation Sans" w:eastAsia="Noto Sans CJK SC" w:hAnsi="Liberation Sans"/>
      <w:sz w:val="28"/>
      <w:szCs w:val="28"/>
    </w:rPr>
  </w:style>
  <w:style w:type="paragraph" w:styleId="Textoindependiente">
    <w:name w:val="Body Text"/>
    <w:basedOn w:val="Normal"/>
    <w:link w:val="TextoindependienteCar"/>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oindependienteprimerasangra1">
    <w:name w:val="Texto independiente primera sangría1"/>
    <w:basedOn w:val="Textoindependiente"/>
    <w:qFormat/>
    <w:pPr>
      <w:spacing w:after="160" w:line="480" w:lineRule="auto"/>
      <w:ind w:firstLine="360"/>
    </w:pPr>
  </w:style>
  <w:style w:type="paragraph" w:customStyle="1" w:styleId="Textoindependienteprimerasangra2">
    <w:name w:val="Texto independiente primera sangría2"/>
    <w:basedOn w:val="Textoindependiente"/>
    <w:qFormat/>
    <w:pPr>
      <w:spacing w:after="120" w:line="480" w:lineRule="auto"/>
      <w:ind w:firstLine="210"/>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820"/>
        <w:tab w:val="right" w:pos="9641"/>
      </w:tabs>
    </w:pPr>
  </w:style>
  <w:style w:type="paragraph" w:styleId="Piedepgina">
    <w:name w:val="footer"/>
    <w:basedOn w:val="HeaderandFooter"/>
  </w:style>
  <w:style w:type="paragraph" w:styleId="Sangradetextonormal">
    <w:name w:val="Body Text Indent"/>
    <w:basedOn w:val="Normal"/>
    <w:pPr>
      <w:spacing w:after="120"/>
      <w:ind w:left="283"/>
    </w:pPr>
  </w:style>
  <w:style w:type="paragraph" w:customStyle="1" w:styleId="Textoindependienteprimerasangra21">
    <w:name w:val="Texto independiente primera sangría 21"/>
    <w:basedOn w:val="Sangradetextonormal"/>
    <w:qFormat/>
    <w:pPr>
      <w:spacing w:after="160"/>
      <w:ind w:left="360" w:firstLine="360"/>
    </w:pPr>
  </w:style>
  <w:style w:type="character" w:customStyle="1" w:styleId="TextoindependienteCar">
    <w:name w:val="Texto independiente Car"/>
    <w:basedOn w:val="Fuentedeprrafopredeter"/>
    <w:link w:val="Textoindependiente"/>
    <w:rsid w:val="00B229B1"/>
  </w:style>
  <w:style w:type="paragraph" w:styleId="HTMLconformatoprevio">
    <w:name w:val="HTML Preformatted"/>
    <w:basedOn w:val="Normal"/>
    <w:link w:val="HTMLconformatoprevioCar"/>
    <w:uiPriority w:val="99"/>
    <w:unhideWhenUsed/>
    <w:rsid w:val="00B229B1"/>
    <w:pPr>
      <w:suppressAutoHyphens w:val="0"/>
    </w:pPr>
    <w:rPr>
      <w:rFonts w:ascii="Consolas" w:eastAsia="Times New Roman" w:hAnsi="Consolas" w:cs="Consolas"/>
      <w:kern w:val="0"/>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B229B1"/>
    <w:rPr>
      <w:rFonts w:ascii="Consolas" w:eastAsia="Times New Roman" w:hAnsi="Consolas" w:cs="Consolas"/>
      <w:kern w:val="0"/>
      <w:sz w:val="20"/>
      <w:szCs w:val="20"/>
      <w:lang w:val="es-ES" w:eastAsia="es-ES" w:bidi="ar-SA"/>
    </w:rPr>
  </w:style>
  <w:style w:type="paragraph" w:styleId="Encabezado">
    <w:name w:val="header"/>
    <w:basedOn w:val="Normal"/>
    <w:link w:val="EncabezadoCar"/>
    <w:uiPriority w:val="99"/>
    <w:unhideWhenUsed/>
    <w:rsid w:val="00B229B1"/>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B229B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80/08952841.2011.589285" TargetMode="External"/><Relationship Id="rId18" Type="http://schemas.openxmlformats.org/officeDocument/2006/relationships/hyperlink" Target="https://juansanguesa.com/la-historia-que-el-deficit-atencional-ha-escrito-sobre-tu-identidad-y-como-evitar-sus-efectos-negativo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1371/journal.pone.0289539" TargetMode="External"/><Relationship Id="rId7" Type="http://schemas.openxmlformats.org/officeDocument/2006/relationships/image" Target="media/image2.png"/><Relationship Id="rId12" Type="http://schemas.openxmlformats.org/officeDocument/2006/relationships/hyperlink" Target="https://doi.org/10.5014/ajot.2020.033316" TargetMode="External"/><Relationship Id="rId17" Type="http://schemas.openxmlformats.org/officeDocument/2006/relationships/hyperlink" Target="https://doi.org/10.4324/9781315723334"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ummit.sfu.ca/item/35794" TargetMode="External"/><Relationship Id="rId20" Type="http://schemas.openxmlformats.org/officeDocument/2006/relationships/hyperlink" Target="http://doi.org/10.4067/S0718-0705202100010009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oi.org/10.1708/3855.38380" TargetMode="External"/><Relationship Id="rId24" Type="http://schemas.openxmlformats.org/officeDocument/2006/relationships/hyperlink" Target="https://drive.google.com/file/d/1sF7zdjIxBY877Okkkge1N7TfSz1tQCcb/view?usp=sharing" TargetMode="External"/><Relationship Id="rId5" Type="http://schemas.openxmlformats.org/officeDocument/2006/relationships/endnotes" Target="endnotes.xml"/><Relationship Id="rId15" Type="http://schemas.openxmlformats.org/officeDocument/2006/relationships/hyperlink" Target="https://eric.ed.gov/?id=EJ1172788" TargetMode="External"/><Relationship Id="rId23" Type="http://schemas.openxmlformats.org/officeDocument/2006/relationships/hyperlink" Target="http://dx.doi.org/10.13140/RG.2.2.20407.29606" TargetMode="External"/><Relationship Id="rId28" Type="http://schemas.openxmlformats.org/officeDocument/2006/relationships/theme" Target="theme/theme1.xml"/><Relationship Id="rId10" Type="http://schemas.openxmlformats.org/officeDocument/2006/relationships/hyperlink" Target="https://doi.org/10.3390/jcm13072106" TargetMode="External"/><Relationship Id="rId19" Type="http://schemas.openxmlformats.org/officeDocument/2006/relationships/hyperlink" Target="https://doi.org/10.1007/s12402-018-0277-6" TargetMode="External"/><Relationship Id="rId4" Type="http://schemas.openxmlformats.org/officeDocument/2006/relationships/footnotes" Target="footnotes.xml"/><Relationship Id="rId9" Type="http://schemas.openxmlformats.org/officeDocument/2006/relationships/hyperlink" Target="https://conisen.mx/memorias" TargetMode="External"/><Relationship Id="rId14" Type="http://schemas.openxmlformats.org/officeDocument/2006/relationships/hyperlink" Target="https://doi.org10.1007/s12402-018-0272-y" TargetMode="External"/><Relationship Id="rId22" Type="http://schemas.openxmlformats.org/officeDocument/2006/relationships/hyperlink" Target="https://doi.org/10.33010/recie.v4i2.434"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3175</TotalTime>
  <Pages>24</Pages>
  <Words>8394</Words>
  <Characters>46171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4</cp:revision>
  <dcterms:created xsi:type="dcterms:W3CDTF">2025-02-21T16:19:00Z</dcterms:created>
  <dcterms:modified xsi:type="dcterms:W3CDTF">2025-02-21T18:08:00Z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2024-07-05T09:34:14Z</dcterms:created>
  <dc:creator/>
  <dc:description/>
  <dc:language>en-US</dc:language>
  <cp:lastModifiedBy/>
  <cp:lastPrinted>2024-07-11T17:19:33Z</cp:lastPrinted>
  <dcterms:modified xsi:type="dcterms:W3CDTF">2025-02-04T14:17:32Z</dcterms:modified>
  <cp:revision>176</cp:revision>
  <dc:subject/>
  <dc:title/>
</cp:coreProperties>
</file>