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477B" w14:textId="12D4CE4C" w:rsidR="00F671A4" w:rsidRPr="00FE48E5" w:rsidRDefault="00FE48E5" w:rsidP="00F671A4">
      <w:pPr>
        <w:spacing w:before="240" w:after="240"/>
        <w:jc w:val="right"/>
        <w:rPr>
          <w:b/>
          <w:bCs/>
          <w:i/>
          <w:iCs/>
          <w:color w:val="000000" w:themeColor="text1"/>
        </w:rPr>
      </w:pPr>
      <w:bookmarkStart w:id="0" w:name="_Hlk188885756"/>
      <w:r w:rsidRPr="00FE48E5">
        <w:rPr>
          <w:b/>
          <w:bCs/>
          <w:i/>
          <w:iCs/>
          <w:color w:val="000000" w:themeColor="text1"/>
        </w:rPr>
        <w:t>https://doi.org/10.23913/ride.v15i30.2264</w:t>
      </w:r>
      <w:bookmarkEnd w:id="0"/>
    </w:p>
    <w:p w14:paraId="0117616B" w14:textId="146B7A5D" w:rsidR="00F671A4" w:rsidRDefault="00F671A4" w:rsidP="00F671A4">
      <w:pPr>
        <w:spacing w:before="240" w:after="240"/>
        <w:jc w:val="right"/>
        <w:rPr>
          <w:b/>
          <w:bCs/>
        </w:rPr>
      </w:pPr>
      <w:r w:rsidRPr="0004454B">
        <w:rPr>
          <w:b/>
          <w:bCs/>
          <w:i/>
          <w:iCs/>
          <w:color w:val="000000" w:themeColor="text1"/>
        </w:rPr>
        <w:t>Artículos científicos</w:t>
      </w:r>
    </w:p>
    <w:p w14:paraId="52A5488A" w14:textId="5971E2D1" w:rsidR="00316DE1" w:rsidRPr="00F671A4" w:rsidRDefault="00316DE1" w:rsidP="00F671A4">
      <w:pPr>
        <w:spacing w:line="276" w:lineRule="auto"/>
        <w:jc w:val="right"/>
        <w:rPr>
          <w:rFonts w:ascii="Calibri" w:hAnsi="Calibri" w:cs="Calibri"/>
          <w:b/>
          <w:sz w:val="32"/>
          <w:szCs w:val="32"/>
          <w:lang w:val="es-MX"/>
        </w:rPr>
      </w:pPr>
      <w:r w:rsidRPr="00F671A4">
        <w:rPr>
          <w:rFonts w:ascii="Calibri" w:hAnsi="Calibri" w:cs="Calibri"/>
          <w:b/>
          <w:sz w:val="32"/>
          <w:szCs w:val="32"/>
          <w:lang w:val="es-MX"/>
        </w:rPr>
        <w:t>Cansancio</w:t>
      </w:r>
      <w:r w:rsidR="00B97090" w:rsidRPr="00F671A4">
        <w:rPr>
          <w:rFonts w:ascii="Calibri" w:hAnsi="Calibri" w:cs="Calibri"/>
          <w:b/>
          <w:sz w:val="32"/>
          <w:szCs w:val="32"/>
          <w:lang w:val="es-MX"/>
        </w:rPr>
        <w:t xml:space="preserve"> y </w:t>
      </w:r>
      <w:r w:rsidRPr="00F671A4">
        <w:rPr>
          <w:rFonts w:ascii="Calibri" w:hAnsi="Calibri" w:cs="Calibri"/>
          <w:b/>
          <w:sz w:val="32"/>
          <w:szCs w:val="32"/>
          <w:lang w:val="es-MX"/>
        </w:rPr>
        <w:t xml:space="preserve">regulación </w:t>
      </w:r>
      <w:r w:rsidR="00B97090" w:rsidRPr="00F671A4">
        <w:rPr>
          <w:rFonts w:ascii="Calibri" w:hAnsi="Calibri" w:cs="Calibri"/>
          <w:b/>
          <w:sz w:val="32"/>
          <w:szCs w:val="32"/>
          <w:lang w:val="es-MX"/>
        </w:rPr>
        <w:t xml:space="preserve">emocional como predictores del </w:t>
      </w:r>
      <w:r w:rsidRPr="00F671A4">
        <w:rPr>
          <w:rFonts w:ascii="Calibri" w:hAnsi="Calibri" w:cs="Calibri"/>
          <w:b/>
          <w:sz w:val="32"/>
          <w:szCs w:val="32"/>
          <w:lang w:val="es-MX"/>
        </w:rPr>
        <w:t>compromiso académico en estudiantes universitarios</w:t>
      </w:r>
    </w:p>
    <w:p w14:paraId="7DE8A423" w14:textId="29B0BA45" w:rsidR="00B97090" w:rsidRPr="00225112" w:rsidRDefault="00F671A4" w:rsidP="00F671A4">
      <w:pPr>
        <w:spacing w:line="276" w:lineRule="auto"/>
        <w:jc w:val="right"/>
        <w:rPr>
          <w:rFonts w:ascii="Calibri" w:hAnsi="Calibri" w:cs="Calibri"/>
          <w:b/>
          <w:i/>
          <w:iCs/>
          <w:sz w:val="28"/>
          <w:szCs w:val="28"/>
          <w:lang w:val="en-US"/>
        </w:rPr>
      </w:pPr>
      <w:r w:rsidRPr="00225112">
        <w:rPr>
          <w:rFonts w:ascii="Calibri" w:hAnsi="Calibri" w:cs="Calibri"/>
          <w:b/>
          <w:i/>
          <w:iCs/>
          <w:sz w:val="28"/>
          <w:szCs w:val="28"/>
          <w:lang w:val="en-US"/>
        </w:rPr>
        <w:br/>
      </w:r>
      <w:r w:rsidR="00B97090" w:rsidRPr="00225112">
        <w:rPr>
          <w:rFonts w:ascii="Calibri" w:hAnsi="Calibri" w:cs="Calibri"/>
          <w:b/>
          <w:i/>
          <w:iCs/>
          <w:sz w:val="28"/>
          <w:szCs w:val="28"/>
          <w:lang w:val="en-US"/>
        </w:rPr>
        <w:t>Fatigue and emotional regulation as predictors of academic engagement in university students</w:t>
      </w:r>
    </w:p>
    <w:p w14:paraId="21A627EC" w14:textId="7BE6BF15" w:rsidR="00F671A4" w:rsidRPr="00F671A4" w:rsidRDefault="00F671A4" w:rsidP="00F671A4">
      <w:pPr>
        <w:spacing w:line="276" w:lineRule="auto"/>
        <w:jc w:val="right"/>
        <w:rPr>
          <w:rFonts w:ascii="Calibri" w:hAnsi="Calibri" w:cs="Calibri"/>
          <w:b/>
          <w:i/>
          <w:iCs/>
          <w:sz w:val="28"/>
          <w:szCs w:val="28"/>
          <w:lang w:val="es-MX"/>
        </w:rPr>
      </w:pPr>
      <w:r w:rsidRPr="00225112">
        <w:rPr>
          <w:rFonts w:ascii="Calibri" w:hAnsi="Calibri" w:cs="Calibri"/>
          <w:b/>
          <w:i/>
          <w:iCs/>
          <w:sz w:val="28"/>
          <w:szCs w:val="28"/>
          <w:lang w:val="es-ES"/>
        </w:rPr>
        <w:br/>
      </w:r>
      <w:r w:rsidRPr="00F671A4">
        <w:rPr>
          <w:rFonts w:ascii="Calibri" w:hAnsi="Calibri" w:cs="Calibri"/>
          <w:b/>
          <w:i/>
          <w:iCs/>
          <w:sz w:val="28"/>
          <w:szCs w:val="28"/>
          <w:lang w:val="es-MX"/>
        </w:rPr>
        <w:t xml:space="preserve">Fadiga e </w:t>
      </w:r>
      <w:proofErr w:type="spellStart"/>
      <w:r w:rsidRPr="00F671A4">
        <w:rPr>
          <w:rFonts w:ascii="Calibri" w:hAnsi="Calibri" w:cs="Calibri"/>
          <w:b/>
          <w:i/>
          <w:iCs/>
          <w:sz w:val="28"/>
          <w:szCs w:val="28"/>
          <w:lang w:val="es-MX"/>
        </w:rPr>
        <w:t>regulação</w:t>
      </w:r>
      <w:proofErr w:type="spellEnd"/>
      <w:r w:rsidRPr="00F671A4">
        <w:rPr>
          <w:rFonts w:ascii="Calibri" w:hAnsi="Calibri" w:cs="Calibri"/>
          <w:b/>
          <w:i/>
          <w:iCs/>
          <w:sz w:val="28"/>
          <w:szCs w:val="28"/>
          <w:lang w:val="es-MX"/>
        </w:rPr>
        <w:t xml:space="preserve"> emocional como </w:t>
      </w:r>
      <w:proofErr w:type="spellStart"/>
      <w:r w:rsidRPr="00F671A4">
        <w:rPr>
          <w:rFonts w:ascii="Calibri" w:hAnsi="Calibri" w:cs="Calibri"/>
          <w:b/>
          <w:i/>
          <w:iCs/>
          <w:sz w:val="28"/>
          <w:szCs w:val="28"/>
          <w:lang w:val="es-MX"/>
        </w:rPr>
        <w:t>preditores</w:t>
      </w:r>
      <w:proofErr w:type="spellEnd"/>
      <w:r w:rsidRPr="00F671A4">
        <w:rPr>
          <w:rFonts w:ascii="Calibri" w:hAnsi="Calibri" w:cs="Calibri"/>
          <w:b/>
          <w:i/>
          <w:iCs/>
          <w:sz w:val="28"/>
          <w:szCs w:val="28"/>
          <w:lang w:val="es-MX"/>
        </w:rPr>
        <w:t xml:space="preserve"> do </w:t>
      </w:r>
      <w:proofErr w:type="spellStart"/>
      <w:r w:rsidRPr="00F671A4">
        <w:rPr>
          <w:rFonts w:ascii="Calibri" w:hAnsi="Calibri" w:cs="Calibri"/>
          <w:b/>
          <w:i/>
          <w:iCs/>
          <w:sz w:val="28"/>
          <w:szCs w:val="28"/>
          <w:lang w:val="es-MX"/>
        </w:rPr>
        <w:t>engajamento</w:t>
      </w:r>
      <w:proofErr w:type="spellEnd"/>
      <w:r w:rsidRPr="00F671A4">
        <w:rPr>
          <w:rFonts w:ascii="Calibri" w:hAnsi="Calibri" w:cs="Calibri"/>
          <w:b/>
          <w:i/>
          <w:iCs/>
          <w:sz w:val="28"/>
          <w:szCs w:val="28"/>
          <w:lang w:val="es-MX"/>
        </w:rPr>
        <w:t xml:space="preserve"> </w:t>
      </w:r>
      <w:proofErr w:type="spellStart"/>
      <w:r w:rsidRPr="00F671A4">
        <w:rPr>
          <w:rFonts w:ascii="Calibri" w:hAnsi="Calibri" w:cs="Calibri"/>
          <w:b/>
          <w:i/>
          <w:iCs/>
          <w:sz w:val="28"/>
          <w:szCs w:val="28"/>
          <w:lang w:val="es-MX"/>
        </w:rPr>
        <w:t>acadêmico</w:t>
      </w:r>
      <w:proofErr w:type="spellEnd"/>
      <w:r w:rsidRPr="00F671A4">
        <w:rPr>
          <w:rFonts w:ascii="Calibri" w:hAnsi="Calibri" w:cs="Calibri"/>
          <w:b/>
          <w:i/>
          <w:iCs/>
          <w:sz w:val="28"/>
          <w:szCs w:val="28"/>
          <w:lang w:val="es-MX"/>
        </w:rPr>
        <w:t xml:space="preserve"> em </w:t>
      </w:r>
      <w:proofErr w:type="spellStart"/>
      <w:r w:rsidRPr="00F671A4">
        <w:rPr>
          <w:rFonts w:ascii="Calibri" w:hAnsi="Calibri" w:cs="Calibri"/>
          <w:b/>
          <w:i/>
          <w:iCs/>
          <w:sz w:val="28"/>
          <w:szCs w:val="28"/>
          <w:lang w:val="es-MX"/>
        </w:rPr>
        <w:t>estudantes</w:t>
      </w:r>
      <w:proofErr w:type="spellEnd"/>
      <w:r w:rsidRPr="00F671A4">
        <w:rPr>
          <w:rFonts w:ascii="Calibri" w:hAnsi="Calibri" w:cs="Calibri"/>
          <w:b/>
          <w:i/>
          <w:iCs/>
          <w:sz w:val="28"/>
          <w:szCs w:val="28"/>
          <w:lang w:val="es-MX"/>
        </w:rPr>
        <w:t xml:space="preserve"> </w:t>
      </w:r>
      <w:proofErr w:type="spellStart"/>
      <w:r w:rsidRPr="00F671A4">
        <w:rPr>
          <w:rFonts w:ascii="Calibri" w:hAnsi="Calibri" w:cs="Calibri"/>
          <w:b/>
          <w:i/>
          <w:iCs/>
          <w:sz w:val="28"/>
          <w:szCs w:val="28"/>
          <w:lang w:val="es-MX"/>
        </w:rPr>
        <w:t>universitários</w:t>
      </w:r>
      <w:proofErr w:type="spellEnd"/>
    </w:p>
    <w:p w14:paraId="5E6873FC" w14:textId="77777777" w:rsidR="00502849" w:rsidRPr="00225112" w:rsidRDefault="00502849" w:rsidP="00502849">
      <w:pPr>
        <w:jc w:val="center"/>
        <w:rPr>
          <w:lang w:val="es-ES"/>
        </w:rPr>
      </w:pPr>
    </w:p>
    <w:p w14:paraId="5359B970" w14:textId="77777777" w:rsidR="00F671A4" w:rsidRPr="00F671A4" w:rsidRDefault="00502849" w:rsidP="00F671A4">
      <w:pPr>
        <w:spacing w:line="276" w:lineRule="auto"/>
        <w:jc w:val="right"/>
        <w:rPr>
          <w:rFonts w:asciiTheme="minorHAnsi" w:hAnsiTheme="minorHAnsi" w:cstheme="minorHAnsi"/>
          <w:b/>
          <w:bCs/>
        </w:rPr>
      </w:pPr>
      <w:proofErr w:type="spellStart"/>
      <w:r w:rsidRPr="00F671A4">
        <w:rPr>
          <w:rFonts w:asciiTheme="minorHAnsi" w:hAnsiTheme="minorHAnsi" w:cstheme="minorHAnsi"/>
          <w:b/>
          <w:bCs/>
        </w:rPr>
        <w:t>Dioner</w:t>
      </w:r>
      <w:proofErr w:type="spellEnd"/>
      <w:r w:rsidRPr="00F671A4">
        <w:rPr>
          <w:rFonts w:asciiTheme="minorHAnsi" w:hAnsiTheme="minorHAnsi" w:cstheme="minorHAnsi"/>
          <w:b/>
          <w:bCs/>
        </w:rPr>
        <w:t xml:space="preserve"> Francis </w:t>
      </w:r>
      <w:proofErr w:type="spellStart"/>
      <w:r w:rsidRPr="00F671A4">
        <w:rPr>
          <w:rFonts w:asciiTheme="minorHAnsi" w:hAnsiTheme="minorHAnsi" w:cstheme="minorHAnsi"/>
          <w:b/>
          <w:bCs/>
        </w:rPr>
        <w:t>Marin</w:t>
      </w:r>
      <w:proofErr w:type="spellEnd"/>
      <w:r w:rsidRPr="00F671A4">
        <w:rPr>
          <w:rFonts w:asciiTheme="minorHAnsi" w:hAnsiTheme="minorHAnsi" w:cstheme="minorHAnsi"/>
          <w:b/>
          <w:bCs/>
        </w:rPr>
        <w:t xml:space="preserve"> Puelles</w:t>
      </w:r>
    </w:p>
    <w:p w14:paraId="2FB60AA5" w14:textId="307BE4D3" w:rsidR="00F671A4" w:rsidRDefault="00502849" w:rsidP="00F671A4">
      <w:pPr>
        <w:spacing w:line="276" w:lineRule="auto"/>
        <w:jc w:val="right"/>
      </w:pPr>
      <w:r>
        <w:t>Universidad Peruana Cayetano Heredia, Perú</w:t>
      </w:r>
    </w:p>
    <w:p w14:paraId="69BC877F" w14:textId="5F2076F2" w:rsidR="00F671A4" w:rsidRPr="00F671A4" w:rsidRDefault="00F671A4" w:rsidP="00F671A4">
      <w:pPr>
        <w:spacing w:line="276" w:lineRule="auto"/>
        <w:jc w:val="right"/>
        <w:rPr>
          <w:rFonts w:asciiTheme="minorHAnsi" w:hAnsiTheme="minorHAnsi" w:cstheme="minorHAnsi"/>
          <w:color w:val="FF0000"/>
        </w:rPr>
      </w:pPr>
      <w:r w:rsidRPr="00F671A4">
        <w:rPr>
          <w:rFonts w:asciiTheme="minorHAnsi" w:hAnsiTheme="minorHAnsi" w:cstheme="minorHAnsi"/>
          <w:color w:val="FF0000"/>
        </w:rPr>
        <w:t>dioner.marin.p@upch.pe</w:t>
      </w:r>
    </w:p>
    <w:p w14:paraId="1CE6C026" w14:textId="79D296CC" w:rsidR="00F671A4" w:rsidRDefault="00F671A4" w:rsidP="00F671A4">
      <w:pPr>
        <w:spacing w:line="276" w:lineRule="auto"/>
        <w:jc w:val="right"/>
      </w:pPr>
      <w:r w:rsidRPr="00F671A4">
        <w:t>https://orcid.org/0000-0002-7797-8627</w:t>
      </w:r>
    </w:p>
    <w:p w14:paraId="78944E1E" w14:textId="77777777" w:rsidR="00F671A4" w:rsidRDefault="00F671A4" w:rsidP="00F671A4">
      <w:pPr>
        <w:spacing w:line="276" w:lineRule="auto"/>
        <w:jc w:val="right"/>
      </w:pPr>
    </w:p>
    <w:p w14:paraId="3788055C" w14:textId="3A175FD3" w:rsidR="00F671A4" w:rsidRPr="00F671A4" w:rsidRDefault="00502849" w:rsidP="00F671A4">
      <w:pPr>
        <w:spacing w:line="276" w:lineRule="auto"/>
        <w:jc w:val="right"/>
        <w:rPr>
          <w:rFonts w:asciiTheme="minorHAnsi" w:hAnsiTheme="minorHAnsi" w:cstheme="minorHAnsi"/>
          <w:b/>
          <w:bCs/>
        </w:rPr>
      </w:pPr>
      <w:proofErr w:type="spellStart"/>
      <w:r w:rsidRPr="00F671A4">
        <w:rPr>
          <w:rFonts w:asciiTheme="minorHAnsi" w:hAnsiTheme="minorHAnsi" w:cstheme="minorHAnsi"/>
          <w:b/>
          <w:bCs/>
        </w:rPr>
        <w:t>Militza</w:t>
      </w:r>
      <w:proofErr w:type="spellEnd"/>
      <w:r w:rsidRPr="00F671A4">
        <w:rPr>
          <w:rFonts w:asciiTheme="minorHAnsi" w:hAnsiTheme="minorHAnsi" w:cstheme="minorHAnsi"/>
          <w:b/>
          <w:bCs/>
        </w:rPr>
        <w:t xml:space="preserve"> Carmen Virginia </w:t>
      </w:r>
      <w:proofErr w:type="spellStart"/>
      <w:r w:rsidR="002B2440">
        <w:rPr>
          <w:rFonts w:asciiTheme="minorHAnsi" w:hAnsiTheme="minorHAnsi" w:cstheme="minorHAnsi"/>
          <w:b/>
          <w:bCs/>
        </w:rPr>
        <w:t>A</w:t>
      </w:r>
      <w:r w:rsidRPr="00F671A4">
        <w:rPr>
          <w:rFonts w:asciiTheme="minorHAnsi" w:hAnsiTheme="minorHAnsi" w:cstheme="minorHAnsi"/>
          <w:b/>
          <w:bCs/>
        </w:rPr>
        <w:t>lvarez</w:t>
      </w:r>
      <w:proofErr w:type="spellEnd"/>
      <w:r w:rsidRPr="00F671A4">
        <w:rPr>
          <w:rFonts w:asciiTheme="minorHAnsi" w:hAnsiTheme="minorHAnsi" w:cstheme="minorHAnsi"/>
          <w:b/>
          <w:bCs/>
        </w:rPr>
        <w:t xml:space="preserve"> Machuca</w:t>
      </w:r>
    </w:p>
    <w:p w14:paraId="2622DAA8" w14:textId="1B8818B1" w:rsidR="00F671A4" w:rsidRDefault="00F671A4" w:rsidP="00F671A4">
      <w:pPr>
        <w:spacing w:line="276" w:lineRule="auto"/>
        <w:jc w:val="right"/>
      </w:pPr>
      <w:r>
        <w:t>Universidad Peruana Cayetano Heredia, Perú</w:t>
      </w:r>
      <w:r w:rsidR="00502849">
        <w:t xml:space="preserve"> </w:t>
      </w:r>
    </w:p>
    <w:p w14:paraId="5B964E0D" w14:textId="4BEF25F4" w:rsidR="00F671A4" w:rsidRPr="00F671A4" w:rsidRDefault="00F671A4" w:rsidP="00F671A4">
      <w:pPr>
        <w:spacing w:line="276" w:lineRule="auto"/>
        <w:jc w:val="right"/>
        <w:rPr>
          <w:rFonts w:asciiTheme="minorHAnsi" w:hAnsiTheme="minorHAnsi" w:cstheme="minorHAnsi"/>
          <w:color w:val="FF0000"/>
        </w:rPr>
      </w:pPr>
      <w:r w:rsidRPr="00F671A4">
        <w:rPr>
          <w:rFonts w:asciiTheme="minorHAnsi" w:hAnsiTheme="minorHAnsi" w:cstheme="minorHAnsi"/>
          <w:color w:val="FF0000"/>
        </w:rPr>
        <w:t>militza.alvarez@upch.pe</w:t>
      </w:r>
    </w:p>
    <w:p w14:paraId="22790433" w14:textId="1AE0D19D" w:rsidR="00F671A4" w:rsidRDefault="00F671A4" w:rsidP="00F671A4">
      <w:pPr>
        <w:spacing w:line="276" w:lineRule="auto"/>
        <w:jc w:val="right"/>
      </w:pPr>
      <w:r w:rsidRPr="00F671A4">
        <w:t>https://orcid.org/0000-0003-2198-4005</w:t>
      </w:r>
    </w:p>
    <w:p w14:paraId="72B4BC6F" w14:textId="77777777" w:rsidR="00F671A4" w:rsidRDefault="00F671A4" w:rsidP="00F671A4">
      <w:pPr>
        <w:spacing w:line="276" w:lineRule="auto"/>
        <w:jc w:val="right"/>
      </w:pPr>
    </w:p>
    <w:p w14:paraId="1B45FE0A" w14:textId="52D03FBB" w:rsidR="00F671A4" w:rsidRPr="00F671A4" w:rsidRDefault="00502849" w:rsidP="00F671A4">
      <w:pPr>
        <w:spacing w:line="276" w:lineRule="auto"/>
        <w:jc w:val="right"/>
        <w:rPr>
          <w:rFonts w:asciiTheme="minorHAnsi" w:hAnsiTheme="minorHAnsi" w:cstheme="minorHAnsi"/>
          <w:b/>
          <w:bCs/>
        </w:rPr>
      </w:pPr>
      <w:r w:rsidRPr="00F671A4">
        <w:rPr>
          <w:rFonts w:asciiTheme="minorHAnsi" w:hAnsiTheme="minorHAnsi" w:cstheme="minorHAnsi"/>
          <w:b/>
          <w:bCs/>
        </w:rPr>
        <w:t>Elizabeth Dany Araujo</w:t>
      </w:r>
      <w:r w:rsidR="002B2440">
        <w:rPr>
          <w:rFonts w:asciiTheme="minorHAnsi" w:hAnsiTheme="minorHAnsi" w:cstheme="minorHAnsi"/>
          <w:b/>
          <w:bCs/>
        </w:rPr>
        <w:t>-</w:t>
      </w:r>
      <w:r w:rsidRPr="00F671A4">
        <w:rPr>
          <w:rFonts w:asciiTheme="minorHAnsi" w:hAnsiTheme="minorHAnsi" w:cstheme="minorHAnsi"/>
          <w:b/>
          <w:bCs/>
        </w:rPr>
        <w:t>Robles</w:t>
      </w:r>
    </w:p>
    <w:p w14:paraId="228281A4" w14:textId="79341328" w:rsidR="00F671A4" w:rsidRDefault="00F671A4" w:rsidP="00F671A4">
      <w:pPr>
        <w:spacing w:line="276" w:lineRule="auto"/>
        <w:jc w:val="right"/>
      </w:pPr>
      <w:r>
        <w:t>Universidad Peruana Cayetano Heredia, Perú</w:t>
      </w:r>
      <w:r w:rsidR="00502849">
        <w:t xml:space="preserve"> </w:t>
      </w:r>
    </w:p>
    <w:p w14:paraId="48FB293D" w14:textId="528C093B" w:rsidR="00F671A4" w:rsidRPr="00F671A4" w:rsidRDefault="00F671A4" w:rsidP="00F671A4">
      <w:pPr>
        <w:spacing w:line="276" w:lineRule="auto"/>
        <w:jc w:val="right"/>
        <w:rPr>
          <w:rFonts w:asciiTheme="minorHAnsi" w:hAnsiTheme="minorHAnsi" w:cstheme="minorHAnsi"/>
          <w:color w:val="FF0000"/>
        </w:rPr>
      </w:pPr>
      <w:r w:rsidRPr="00F671A4">
        <w:rPr>
          <w:rFonts w:asciiTheme="minorHAnsi" w:hAnsiTheme="minorHAnsi" w:cstheme="minorHAnsi"/>
          <w:color w:val="FF0000"/>
        </w:rPr>
        <w:t>elizabeth.araujo.r@upch.pe</w:t>
      </w:r>
    </w:p>
    <w:p w14:paraId="68367F48" w14:textId="163811B0" w:rsidR="00502849" w:rsidRDefault="00F671A4" w:rsidP="00F671A4">
      <w:pPr>
        <w:spacing w:line="276" w:lineRule="auto"/>
        <w:jc w:val="right"/>
      </w:pPr>
      <w:r w:rsidRPr="00F671A4">
        <w:t>https://orcid.org/0000-0002-9875-6097</w:t>
      </w:r>
    </w:p>
    <w:p w14:paraId="41F5DEF5" w14:textId="77777777" w:rsidR="00B97090" w:rsidRPr="00502849" w:rsidRDefault="00B97090" w:rsidP="0006235B"/>
    <w:p w14:paraId="10B2E4D1" w14:textId="77777777" w:rsidR="00316DE1" w:rsidRPr="00F671A4" w:rsidRDefault="00316DE1" w:rsidP="00316DE1">
      <w:pPr>
        <w:rPr>
          <w:rFonts w:asciiTheme="minorHAnsi" w:hAnsiTheme="minorHAnsi" w:cstheme="minorHAnsi"/>
          <w:b/>
          <w:bCs/>
          <w:sz w:val="28"/>
          <w:szCs w:val="24"/>
          <w:lang w:val="es-ES"/>
        </w:rPr>
      </w:pPr>
      <w:r w:rsidRPr="00F671A4">
        <w:rPr>
          <w:rFonts w:asciiTheme="minorHAnsi" w:hAnsiTheme="minorHAnsi" w:cstheme="minorHAnsi"/>
          <w:b/>
          <w:bCs/>
          <w:sz w:val="28"/>
          <w:szCs w:val="24"/>
          <w:lang w:val="es-ES"/>
        </w:rPr>
        <w:t>Resumen</w:t>
      </w:r>
    </w:p>
    <w:p w14:paraId="3A00F2A7" w14:textId="12F8ED33" w:rsidR="00316DE1" w:rsidRPr="00316DE1" w:rsidRDefault="0011540C" w:rsidP="00316DE1">
      <w:r w:rsidRPr="0011540C">
        <w:t>Los alumnos universitarios son proclives a experimentar fatiga emocional</w:t>
      </w:r>
      <w:r w:rsidR="00316DE1" w:rsidRPr="00316DE1">
        <w:t xml:space="preserve">, y </w:t>
      </w:r>
      <w:r w:rsidR="00DC1F71">
        <w:t xml:space="preserve">la observación de </w:t>
      </w:r>
      <w:r w:rsidR="00B16984">
        <w:t>la</w:t>
      </w:r>
      <w:r w:rsidR="00B16984" w:rsidRPr="00316DE1">
        <w:t xml:space="preserve"> regulación</w:t>
      </w:r>
      <w:r w:rsidR="00842759">
        <w:t xml:space="preserve"> </w:t>
      </w:r>
      <w:r w:rsidR="00316DE1" w:rsidRPr="00316DE1">
        <w:t xml:space="preserve">y del compromiso en la </w:t>
      </w:r>
      <w:r w:rsidR="00DC1F71">
        <w:t>ejecución</w:t>
      </w:r>
      <w:r w:rsidR="00316DE1" w:rsidRPr="00316DE1">
        <w:t xml:space="preserve"> y</w:t>
      </w:r>
      <w:r w:rsidR="00DC1F71">
        <w:t xml:space="preserve"> asistencia en sus quehaceres académicos </w:t>
      </w:r>
      <w:r w:rsidR="00316DE1" w:rsidRPr="00316DE1">
        <w:t xml:space="preserve">es </w:t>
      </w:r>
      <w:r>
        <w:t xml:space="preserve">sumamente </w:t>
      </w:r>
      <w:r w:rsidR="00DC1F71">
        <w:t>importante</w:t>
      </w:r>
      <w:r w:rsidR="00316DE1" w:rsidRPr="00316DE1">
        <w:t>. El</w:t>
      </w:r>
      <w:r w:rsidR="00C972AB">
        <w:t xml:space="preserve"> </w:t>
      </w:r>
      <w:r w:rsidR="00C90919">
        <w:t xml:space="preserve">objetivo del estudio fue analizar si la fatiga emocional y la regulación emocional </w:t>
      </w:r>
      <w:r w:rsidR="00B97090">
        <w:t xml:space="preserve">predicen el </w:t>
      </w:r>
      <w:r w:rsidR="00316DE1" w:rsidRPr="00316DE1">
        <w:t xml:space="preserve">compromiso académico en </w:t>
      </w:r>
      <w:r w:rsidR="00C26C93">
        <w:t xml:space="preserve">estudiantes de universidades </w:t>
      </w:r>
      <w:r w:rsidR="00B97090">
        <w:t>sanmartinenses</w:t>
      </w:r>
      <w:r w:rsidR="00316DE1" w:rsidRPr="00316DE1">
        <w:t>. La metodología</w:t>
      </w:r>
      <w:r w:rsidR="000F7A10">
        <w:t xml:space="preserve"> </w:t>
      </w:r>
      <w:r w:rsidR="00316DE1" w:rsidRPr="00316DE1">
        <w:t>correspondió a</w:t>
      </w:r>
      <w:r w:rsidR="00B8209B">
        <w:t xml:space="preserve"> un enfoque cuantitativo, </w:t>
      </w:r>
      <w:r w:rsidR="000F7A10">
        <w:t xml:space="preserve">con un </w:t>
      </w:r>
      <w:r w:rsidR="00316DE1" w:rsidRPr="00316DE1">
        <w:t xml:space="preserve">diseño </w:t>
      </w:r>
      <w:r w:rsidR="00B8209B">
        <w:t>descriptivo, correlacional y explicativo</w:t>
      </w:r>
      <w:r w:rsidR="0006235B">
        <w:t>, con un</w:t>
      </w:r>
      <w:r w:rsidR="0091239C">
        <w:t>a</w:t>
      </w:r>
      <w:r w:rsidR="0006235B">
        <w:t xml:space="preserve"> muestra de </w:t>
      </w:r>
      <w:r w:rsidR="00316DE1" w:rsidRPr="00316DE1">
        <w:t>76 estudiantes universitarios entre 18 y 56 años</w:t>
      </w:r>
      <w:r w:rsidR="0006235B">
        <w:t xml:space="preserve"> </w:t>
      </w:r>
      <w:r w:rsidR="00C26C93">
        <w:t xml:space="preserve">con matrícula </w:t>
      </w:r>
      <w:r w:rsidR="00316DE1" w:rsidRPr="00316DE1">
        <w:t>en universidades privadas</w:t>
      </w:r>
      <w:r w:rsidR="00C972AB">
        <w:t xml:space="preserve"> y s</w:t>
      </w:r>
      <w:r w:rsidR="00316DE1" w:rsidRPr="00316DE1">
        <w:t xml:space="preserve">e </w:t>
      </w:r>
      <w:r w:rsidR="00935BD4">
        <w:t xml:space="preserve">utilizaron </w:t>
      </w:r>
      <w:r w:rsidR="00C972AB">
        <w:t xml:space="preserve">escalas validadas </w:t>
      </w:r>
      <w:r w:rsidR="00C972AB">
        <w:lastRenderedPageBreak/>
        <w:t xml:space="preserve">y adaptadas al contexto. </w:t>
      </w:r>
      <w:r w:rsidR="00316DE1" w:rsidRPr="00316DE1">
        <w:t xml:space="preserve">Los resultados demuestran que </w:t>
      </w:r>
      <w:r w:rsidR="00935BD4">
        <w:t xml:space="preserve">hay </w:t>
      </w:r>
      <w:r w:rsidR="00316DE1" w:rsidRPr="00316DE1">
        <w:t xml:space="preserve">relación </w:t>
      </w:r>
      <w:r w:rsidR="00935BD4">
        <w:t xml:space="preserve">relevante </w:t>
      </w:r>
      <w:r w:rsidR="00316DE1" w:rsidRPr="00316DE1">
        <w:t xml:space="preserve">entre cansancio y regulación emocional; </w:t>
      </w:r>
      <w:r w:rsidR="00935BD4">
        <w:t>pero</w:t>
      </w:r>
      <w:r w:rsidR="00316DE1" w:rsidRPr="00316DE1">
        <w:t xml:space="preserve">, </w:t>
      </w:r>
      <w:r w:rsidR="0047687F">
        <w:t xml:space="preserve">no se encontró </w:t>
      </w:r>
      <w:r w:rsidR="0047687F" w:rsidRPr="0047687F">
        <w:t>relación entre la fatiga emocional y el compromiso académico, ni entre la regulación emocional y el compromiso</w:t>
      </w:r>
      <w:r w:rsidR="0047687F">
        <w:t xml:space="preserve">. </w:t>
      </w:r>
      <w:r w:rsidR="000F7A10">
        <w:t>Asimismo</w:t>
      </w:r>
      <w:r w:rsidR="00DC1F71">
        <w:t xml:space="preserve">, </w:t>
      </w:r>
      <w:r w:rsidR="00316DE1" w:rsidRPr="00316DE1">
        <w:t xml:space="preserve">se </w:t>
      </w:r>
      <w:r w:rsidR="000F7A10">
        <w:t>observ</w:t>
      </w:r>
      <w:r w:rsidR="0047687F">
        <w:t>ó</w:t>
      </w:r>
      <w:r w:rsidR="000F7A10">
        <w:t xml:space="preserve"> una relación significativa</w:t>
      </w:r>
      <w:r w:rsidR="00935BD4">
        <w:t xml:space="preserve"> </w:t>
      </w:r>
      <w:proofErr w:type="spellStart"/>
      <w:r w:rsidR="00316DE1" w:rsidRPr="00316DE1">
        <w:t>entre</w:t>
      </w:r>
      <w:r w:rsidR="004F3EC4">
        <w:t>la</w:t>
      </w:r>
      <w:proofErr w:type="spellEnd"/>
      <w:r w:rsidR="004F3EC4">
        <w:t xml:space="preserve"> fatiga</w:t>
      </w:r>
      <w:r w:rsidR="00E97241">
        <w:t xml:space="preserve"> emocional</w:t>
      </w:r>
      <w:r w:rsidR="00316DE1" w:rsidRPr="00316DE1">
        <w:t xml:space="preserve"> y </w:t>
      </w:r>
      <w:r w:rsidR="004F3EC4">
        <w:t xml:space="preserve">la </w:t>
      </w:r>
      <w:r w:rsidR="00316DE1" w:rsidRPr="00316DE1">
        <w:t>supresión</w:t>
      </w:r>
      <w:r w:rsidR="004F3EC4">
        <w:t xml:space="preserve"> como dimensión de la fatiga emocional</w:t>
      </w:r>
      <w:r w:rsidR="00E67707">
        <w:t>; además</w:t>
      </w:r>
      <w:r w:rsidR="0006235B">
        <w:t xml:space="preserve">, el </w:t>
      </w:r>
      <w:r w:rsidR="00935BD4">
        <w:t xml:space="preserve">estudio </w:t>
      </w:r>
      <w:r w:rsidR="0006235B">
        <w:t xml:space="preserve">de regresión lineal múltiple evidenció que el cansancio y regulación no </w:t>
      </w:r>
      <w:r w:rsidR="00935BD4">
        <w:t xml:space="preserve">son predictores de </w:t>
      </w:r>
      <w:r w:rsidR="0006235B">
        <w:t>la variabilidad del compromiso académico</w:t>
      </w:r>
      <w:r w:rsidR="00316DE1" w:rsidRPr="00316DE1">
        <w:t xml:space="preserve">. </w:t>
      </w:r>
      <w:r w:rsidR="006D53DD" w:rsidRPr="006D53DD">
        <w:t>Estos hallazgos ofrecen una base para futuras investigaciones que profundicen en las interacciones complejas entre la fatiga emocional, la regulación emocional y el compromiso académico, con el objetivo de mejorar la satisfacción y el rendimiento en estudiantes universitarios</w:t>
      </w:r>
      <w:r w:rsidR="00935BD4">
        <w:t>.</w:t>
      </w:r>
    </w:p>
    <w:p w14:paraId="7D6486F1" w14:textId="48A6D9A5" w:rsidR="00316DE1" w:rsidRDefault="00316DE1" w:rsidP="00316DE1">
      <w:r w:rsidRPr="00F671A4">
        <w:rPr>
          <w:rFonts w:asciiTheme="minorHAnsi" w:hAnsiTheme="minorHAnsi" w:cstheme="minorHAnsi"/>
          <w:b/>
          <w:bCs/>
          <w:sz w:val="28"/>
          <w:szCs w:val="24"/>
          <w:lang w:val="es-ES"/>
        </w:rPr>
        <w:t>Palabras clave:</w:t>
      </w:r>
      <w:r w:rsidRPr="00316DE1">
        <w:rPr>
          <w:b/>
          <w:bCs/>
          <w:lang w:val="es-ES"/>
        </w:rPr>
        <w:t xml:space="preserve"> </w:t>
      </w:r>
      <w:r w:rsidR="00C972AB">
        <w:t xml:space="preserve">compromiso </w:t>
      </w:r>
      <w:r w:rsidR="00C90919">
        <w:t>académico</w:t>
      </w:r>
      <w:r w:rsidR="00C972AB">
        <w:t>, cansancio, gestión emocional, estudiantes</w:t>
      </w:r>
      <w:r w:rsidRPr="00316DE1">
        <w:t>.</w:t>
      </w:r>
    </w:p>
    <w:p w14:paraId="5F1D253A" w14:textId="77777777" w:rsidR="006D53DD" w:rsidRDefault="006D53DD" w:rsidP="00316DE1"/>
    <w:p w14:paraId="696CF0D4" w14:textId="33D830C2" w:rsidR="00316DE1" w:rsidRPr="00225112" w:rsidRDefault="00316DE1" w:rsidP="00316DE1">
      <w:pPr>
        <w:rPr>
          <w:rFonts w:asciiTheme="minorHAnsi" w:hAnsiTheme="minorHAnsi" w:cstheme="minorHAnsi"/>
          <w:b/>
          <w:bCs/>
          <w:sz w:val="28"/>
          <w:szCs w:val="24"/>
          <w:lang w:val="en-US"/>
        </w:rPr>
      </w:pPr>
      <w:r w:rsidRPr="00225112">
        <w:rPr>
          <w:rFonts w:asciiTheme="minorHAnsi" w:hAnsiTheme="minorHAnsi" w:cstheme="minorHAnsi"/>
          <w:b/>
          <w:bCs/>
          <w:sz w:val="28"/>
          <w:szCs w:val="24"/>
          <w:lang w:val="en-US"/>
        </w:rPr>
        <w:t>Abstract</w:t>
      </w:r>
    </w:p>
    <w:p w14:paraId="52141932" w14:textId="77777777" w:rsidR="006D53DD" w:rsidRDefault="006D53DD" w:rsidP="008E2A3B">
      <w:pPr>
        <w:rPr>
          <w:lang w:val="en-US"/>
        </w:rPr>
      </w:pPr>
      <w:r w:rsidRPr="006D53DD">
        <w:rPr>
          <w:lang w:val="en-US"/>
        </w:rPr>
        <w:t>University students are prone to experience emotional fatigue, and the observation of regulation and commitment in the execution and assistance in their academic tasks is extremely important. The objective of the study was to analyze whether emotional fatigue and emotional regulation predict academic engagement in students from San Martín universities. The methodology corresponded to a quantitative approach, with a descriptive, correlational and explanatory design, with a sample of 76 university students between 18 and 56 years old enrolled in private universities and validated scales adapted to the context were used. The results show that there is a relevant relationship between fatigue and emotional regulation; however, no relationship was found between emotional fatigue and academic commitment, nor between emotional regulation and commitment. Likewise, a significant relationship was observed between emotional fatigue and suppression as a dimension of emotional fatigue; In addition, the multiple linear regression study showed that fatigue and regulation are not predictors of variability in academic engagement. These findings provide a foundation for future research that delves into the complex interactions between emotional fatigue, emotional regulation, and academic engagement, with the goal of improving satisfaction and achievement in college students.</w:t>
      </w:r>
    </w:p>
    <w:p w14:paraId="07D351D4" w14:textId="34879981" w:rsidR="0091239C" w:rsidRDefault="008E2A3B" w:rsidP="008E2A3B">
      <w:pPr>
        <w:rPr>
          <w:lang w:val="en-US"/>
        </w:rPr>
      </w:pPr>
      <w:r w:rsidRPr="00225112">
        <w:rPr>
          <w:rFonts w:asciiTheme="minorHAnsi" w:hAnsiTheme="minorHAnsi" w:cstheme="minorHAnsi"/>
          <w:b/>
          <w:bCs/>
          <w:sz w:val="28"/>
          <w:szCs w:val="24"/>
          <w:lang w:val="en-US"/>
        </w:rPr>
        <w:t>Keywords:</w:t>
      </w:r>
      <w:r w:rsidRPr="008E2A3B">
        <w:rPr>
          <w:lang w:val="en-US"/>
        </w:rPr>
        <w:t xml:space="preserve"> </w:t>
      </w:r>
      <w:r w:rsidR="00C972AB" w:rsidRPr="00C972AB">
        <w:rPr>
          <w:lang w:val="en-US"/>
        </w:rPr>
        <w:t>educational engagement, tiredness, emotional management, students</w:t>
      </w:r>
      <w:r w:rsidRPr="008E2A3B">
        <w:rPr>
          <w:lang w:val="en-US"/>
        </w:rPr>
        <w:t>.</w:t>
      </w:r>
    </w:p>
    <w:p w14:paraId="01D454C2" w14:textId="77777777" w:rsidR="00F671A4" w:rsidRDefault="00F671A4" w:rsidP="008E2A3B">
      <w:pPr>
        <w:rPr>
          <w:lang w:val="en-US"/>
        </w:rPr>
      </w:pPr>
    </w:p>
    <w:p w14:paraId="697E5F90" w14:textId="77777777" w:rsidR="00FE48E5" w:rsidRDefault="00FE48E5" w:rsidP="008E2A3B">
      <w:pPr>
        <w:rPr>
          <w:lang w:val="en-US"/>
        </w:rPr>
      </w:pPr>
    </w:p>
    <w:p w14:paraId="0C69AF65" w14:textId="18D87D38" w:rsidR="00F671A4" w:rsidRPr="00F671A4" w:rsidRDefault="00F671A4" w:rsidP="008E2A3B">
      <w:pPr>
        <w:rPr>
          <w:rFonts w:asciiTheme="minorHAnsi" w:hAnsiTheme="minorHAnsi" w:cstheme="minorHAnsi"/>
          <w:b/>
          <w:bCs/>
          <w:sz w:val="28"/>
          <w:szCs w:val="24"/>
          <w:lang w:val="es-ES"/>
        </w:rPr>
      </w:pPr>
      <w:r w:rsidRPr="00F671A4">
        <w:rPr>
          <w:rFonts w:asciiTheme="minorHAnsi" w:hAnsiTheme="minorHAnsi" w:cstheme="minorHAnsi"/>
          <w:b/>
          <w:bCs/>
          <w:sz w:val="28"/>
          <w:szCs w:val="24"/>
          <w:lang w:val="es-ES"/>
        </w:rPr>
        <w:lastRenderedPageBreak/>
        <w:t>Resumo</w:t>
      </w:r>
    </w:p>
    <w:p w14:paraId="4CFDD9FF" w14:textId="77777777" w:rsidR="00F671A4" w:rsidRPr="00225112" w:rsidRDefault="00F671A4" w:rsidP="00F671A4">
      <w:pPr>
        <w:rPr>
          <w:lang w:val="es-ES"/>
        </w:rPr>
      </w:pPr>
      <w:proofErr w:type="spellStart"/>
      <w:r w:rsidRPr="00225112">
        <w:rPr>
          <w:lang w:val="es-ES"/>
        </w:rPr>
        <w:t>Estudantes</w:t>
      </w:r>
      <w:proofErr w:type="spellEnd"/>
      <w:r w:rsidRPr="00225112">
        <w:rPr>
          <w:lang w:val="es-ES"/>
        </w:rPr>
        <w:t xml:space="preserve"> </w:t>
      </w:r>
      <w:proofErr w:type="spellStart"/>
      <w:r w:rsidRPr="00225112">
        <w:rPr>
          <w:lang w:val="es-ES"/>
        </w:rPr>
        <w:t>universitários</w:t>
      </w:r>
      <w:proofErr w:type="spellEnd"/>
      <w:r w:rsidRPr="00225112">
        <w:rPr>
          <w:lang w:val="es-ES"/>
        </w:rPr>
        <w:t xml:space="preserve"> </w:t>
      </w:r>
      <w:proofErr w:type="spellStart"/>
      <w:r w:rsidRPr="00225112">
        <w:rPr>
          <w:lang w:val="es-ES"/>
        </w:rPr>
        <w:t>são</w:t>
      </w:r>
      <w:proofErr w:type="spellEnd"/>
      <w:r w:rsidRPr="00225112">
        <w:rPr>
          <w:lang w:val="es-ES"/>
        </w:rPr>
        <w:t xml:space="preserve"> propensos à fadiga emocional, e observar </w:t>
      </w:r>
      <w:proofErr w:type="spellStart"/>
      <w:r w:rsidRPr="00225112">
        <w:rPr>
          <w:lang w:val="es-ES"/>
        </w:rPr>
        <w:t>sua</w:t>
      </w:r>
      <w:proofErr w:type="spellEnd"/>
      <w:r w:rsidRPr="00225112">
        <w:rPr>
          <w:lang w:val="es-ES"/>
        </w:rPr>
        <w:t xml:space="preserve"> </w:t>
      </w:r>
      <w:proofErr w:type="spellStart"/>
      <w:r w:rsidRPr="00225112">
        <w:rPr>
          <w:lang w:val="es-ES"/>
        </w:rPr>
        <w:t>regulação</w:t>
      </w:r>
      <w:proofErr w:type="spellEnd"/>
      <w:r w:rsidRPr="00225112">
        <w:rPr>
          <w:lang w:val="es-ES"/>
        </w:rPr>
        <w:t xml:space="preserve"> e </w:t>
      </w:r>
      <w:proofErr w:type="spellStart"/>
      <w:r w:rsidRPr="00225112">
        <w:rPr>
          <w:lang w:val="es-ES"/>
        </w:rPr>
        <w:t>engajamento</w:t>
      </w:r>
      <w:proofErr w:type="spellEnd"/>
      <w:r w:rsidRPr="00225112">
        <w:rPr>
          <w:lang w:val="es-ES"/>
        </w:rPr>
        <w:t xml:space="preserve"> </w:t>
      </w:r>
      <w:proofErr w:type="spellStart"/>
      <w:r w:rsidRPr="00225112">
        <w:rPr>
          <w:lang w:val="es-ES"/>
        </w:rPr>
        <w:t>na</w:t>
      </w:r>
      <w:proofErr w:type="spellEnd"/>
      <w:r w:rsidRPr="00225112">
        <w:rPr>
          <w:lang w:val="es-ES"/>
        </w:rPr>
        <w:t xml:space="preserve"> </w:t>
      </w:r>
      <w:proofErr w:type="spellStart"/>
      <w:r w:rsidRPr="00225112">
        <w:rPr>
          <w:lang w:val="es-ES"/>
        </w:rPr>
        <w:t>execução</w:t>
      </w:r>
      <w:proofErr w:type="spellEnd"/>
      <w:r w:rsidRPr="00225112">
        <w:rPr>
          <w:lang w:val="es-ES"/>
        </w:rPr>
        <w:t xml:space="preserve"> e no </w:t>
      </w:r>
      <w:proofErr w:type="spellStart"/>
      <w:r w:rsidRPr="00225112">
        <w:rPr>
          <w:lang w:val="es-ES"/>
        </w:rPr>
        <w:t>cumprimento</w:t>
      </w:r>
      <w:proofErr w:type="spellEnd"/>
      <w:r w:rsidRPr="00225112">
        <w:rPr>
          <w:lang w:val="es-ES"/>
        </w:rPr>
        <w:t xml:space="preserve"> de </w:t>
      </w:r>
      <w:proofErr w:type="spellStart"/>
      <w:r w:rsidRPr="00225112">
        <w:rPr>
          <w:lang w:val="es-ES"/>
        </w:rPr>
        <w:t>suas</w:t>
      </w:r>
      <w:proofErr w:type="spellEnd"/>
      <w:r w:rsidRPr="00225112">
        <w:rPr>
          <w:lang w:val="es-ES"/>
        </w:rPr>
        <w:t xml:space="preserve"> tarefas </w:t>
      </w:r>
      <w:proofErr w:type="spellStart"/>
      <w:r w:rsidRPr="00225112">
        <w:rPr>
          <w:lang w:val="es-ES"/>
        </w:rPr>
        <w:t>acadêmicas</w:t>
      </w:r>
      <w:proofErr w:type="spellEnd"/>
      <w:r w:rsidRPr="00225112">
        <w:rPr>
          <w:lang w:val="es-ES"/>
        </w:rPr>
        <w:t xml:space="preserve"> é extremamente importante. O objetivo </w:t>
      </w:r>
      <w:proofErr w:type="spellStart"/>
      <w:r w:rsidRPr="00225112">
        <w:rPr>
          <w:lang w:val="es-ES"/>
        </w:rPr>
        <w:t>deste</w:t>
      </w:r>
      <w:proofErr w:type="spellEnd"/>
      <w:r w:rsidRPr="00225112">
        <w:rPr>
          <w:lang w:val="es-ES"/>
        </w:rPr>
        <w:t xml:space="preserve"> </w:t>
      </w:r>
      <w:proofErr w:type="spellStart"/>
      <w:r w:rsidRPr="00225112">
        <w:rPr>
          <w:lang w:val="es-ES"/>
        </w:rPr>
        <w:t>estudo</w:t>
      </w:r>
      <w:proofErr w:type="spellEnd"/>
      <w:r w:rsidRPr="00225112">
        <w:rPr>
          <w:lang w:val="es-ES"/>
        </w:rPr>
        <w:t xml:space="preserve"> </w:t>
      </w:r>
      <w:proofErr w:type="spellStart"/>
      <w:r w:rsidRPr="00225112">
        <w:rPr>
          <w:lang w:val="es-ES"/>
        </w:rPr>
        <w:t>foi</w:t>
      </w:r>
      <w:proofErr w:type="spellEnd"/>
      <w:r w:rsidRPr="00225112">
        <w:rPr>
          <w:lang w:val="es-ES"/>
        </w:rPr>
        <w:t xml:space="preserve"> </w:t>
      </w:r>
      <w:proofErr w:type="spellStart"/>
      <w:r w:rsidRPr="00225112">
        <w:rPr>
          <w:lang w:val="es-ES"/>
        </w:rPr>
        <w:t>analisar</w:t>
      </w:r>
      <w:proofErr w:type="spellEnd"/>
      <w:r w:rsidRPr="00225112">
        <w:rPr>
          <w:lang w:val="es-ES"/>
        </w:rPr>
        <w:t xml:space="preserve"> se </w:t>
      </w:r>
      <w:proofErr w:type="spellStart"/>
      <w:r w:rsidRPr="00225112">
        <w:rPr>
          <w:lang w:val="es-ES"/>
        </w:rPr>
        <w:t>a</w:t>
      </w:r>
      <w:proofErr w:type="spellEnd"/>
      <w:r w:rsidRPr="00225112">
        <w:rPr>
          <w:lang w:val="es-ES"/>
        </w:rPr>
        <w:t xml:space="preserve"> fadiga emocional e a </w:t>
      </w:r>
      <w:proofErr w:type="spellStart"/>
      <w:r w:rsidRPr="00225112">
        <w:rPr>
          <w:lang w:val="es-ES"/>
        </w:rPr>
        <w:t>regulação</w:t>
      </w:r>
      <w:proofErr w:type="spellEnd"/>
      <w:r w:rsidRPr="00225112">
        <w:rPr>
          <w:lang w:val="es-ES"/>
        </w:rPr>
        <w:t xml:space="preserve"> emocional </w:t>
      </w:r>
      <w:proofErr w:type="spellStart"/>
      <w:r w:rsidRPr="00225112">
        <w:rPr>
          <w:lang w:val="es-ES"/>
        </w:rPr>
        <w:t>predizem</w:t>
      </w:r>
      <w:proofErr w:type="spellEnd"/>
      <w:r w:rsidRPr="00225112">
        <w:rPr>
          <w:lang w:val="es-ES"/>
        </w:rPr>
        <w:t xml:space="preserve"> o </w:t>
      </w:r>
      <w:proofErr w:type="spellStart"/>
      <w:r w:rsidRPr="00225112">
        <w:rPr>
          <w:lang w:val="es-ES"/>
        </w:rPr>
        <w:t>engajamento</w:t>
      </w:r>
      <w:proofErr w:type="spellEnd"/>
      <w:r w:rsidRPr="00225112">
        <w:rPr>
          <w:lang w:val="es-ES"/>
        </w:rPr>
        <w:t xml:space="preserve"> </w:t>
      </w:r>
      <w:proofErr w:type="spellStart"/>
      <w:r w:rsidRPr="00225112">
        <w:rPr>
          <w:lang w:val="es-ES"/>
        </w:rPr>
        <w:t>acadêmico</w:t>
      </w:r>
      <w:proofErr w:type="spellEnd"/>
      <w:r w:rsidRPr="00225112">
        <w:rPr>
          <w:lang w:val="es-ES"/>
        </w:rPr>
        <w:t xml:space="preserve"> em </w:t>
      </w:r>
      <w:proofErr w:type="spellStart"/>
      <w:r w:rsidRPr="00225112">
        <w:rPr>
          <w:lang w:val="es-ES"/>
        </w:rPr>
        <w:t>estudantes</w:t>
      </w:r>
      <w:proofErr w:type="spellEnd"/>
      <w:r w:rsidRPr="00225112">
        <w:rPr>
          <w:lang w:val="es-ES"/>
        </w:rPr>
        <w:t xml:space="preserve"> de universidades de San Martín. A </w:t>
      </w:r>
      <w:proofErr w:type="spellStart"/>
      <w:r w:rsidRPr="00225112">
        <w:rPr>
          <w:lang w:val="es-ES"/>
        </w:rPr>
        <w:t>metodologia</w:t>
      </w:r>
      <w:proofErr w:type="spellEnd"/>
      <w:r w:rsidRPr="00225112">
        <w:rPr>
          <w:lang w:val="es-ES"/>
        </w:rPr>
        <w:t xml:space="preserve"> </w:t>
      </w:r>
      <w:proofErr w:type="spellStart"/>
      <w:r w:rsidRPr="00225112">
        <w:rPr>
          <w:lang w:val="es-ES"/>
        </w:rPr>
        <w:t>correspondeu</w:t>
      </w:r>
      <w:proofErr w:type="spellEnd"/>
      <w:r w:rsidRPr="00225112">
        <w:rPr>
          <w:lang w:val="es-ES"/>
        </w:rPr>
        <w:t xml:space="preserve"> a </w:t>
      </w:r>
      <w:proofErr w:type="spellStart"/>
      <w:r w:rsidRPr="00225112">
        <w:rPr>
          <w:lang w:val="es-ES"/>
        </w:rPr>
        <w:t>uma</w:t>
      </w:r>
      <w:proofErr w:type="spellEnd"/>
      <w:r w:rsidRPr="00225112">
        <w:rPr>
          <w:lang w:val="es-ES"/>
        </w:rPr>
        <w:t xml:space="preserve"> </w:t>
      </w:r>
      <w:proofErr w:type="spellStart"/>
      <w:r w:rsidRPr="00225112">
        <w:rPr>
          <w:lang w:val="es-ES"/>
        </w:rPr>
        <w:t>abordagem</w:t>
      </w:r>
      <w:proofErr w:type="spellEnd"/>
      <w:r w:rsidRPr="00225112">
        <w:rPr>
          <w:lang w:val="es-ES"/>
        </w:rPr>
        <w:t xml:space="preserve"> </w:t>
      </w:r>
      <w:proofErr w:type="spellStart"/>
      <w:r w:rsidRPr="00225112">
        <w:rPr>
          <w:lang w:val="es-ES"/>
        </w:rPr>
        <w:t>quantitativa</w:t>
      </w:r>
      <w:proofErr w:type="spellEnd"/>
      <w:r w:rsidRPr="00225112">
        <w:rPr>
          <w:lang w:val="es-ES"/>
        </w:rPr>
        <w:t xml:space="preserve">, </w:t>
      </w:r>
      <w:proofErr w:type="spellStart"/>
      <w:r w:rsidRPr="00225112">
        <w:rPr>
          <w:lang w:val="es-ES"/>
        </w:rPr>
        <w:t>com</w:t>
      </w:r>
      <w:proofErr w:type="spellEnd"/>
      <w:r w:rsidRPr="00225112">
        <w:rPr>
          <w:lang w:val="es-ES"/>
        </w:rPr>
        <w:t xml:space="preserve"> delineamento </w:t>
      </w:r>
      <w:proofErr w:type="spellStart"/>
      <w:r w:rsidRPr="00225112">
        <w:rPr>
          <w:lang w:val="es-ES"/>
        </w:rPr>
        <w:t>descritivo</w:t>
      </w:r>
      <w:proofErr w:type="spellEnd"/>
      <w:r w:rsidRPr="00225112">
        <w:rPr>
          <w:lang w:val="es-ES"/>
        </w:rPr>
        <w:t xml:space="preserve">, correlacional </w:t>
      </w:r>
      <w:proofErr w:type="gramStart"/>
      <w:r w:rsidRPr="00225112">
        <w:rPr>
          <w:lang w:val="es-ES"/>
        </w:rPr>
        <w:t>e</w:t>
      </w:r>
      <w:proofErr w:type="gramEnd"/>
      <w:r w:rsidRPr="00225112">
        <w:rPr>
          <w:lang w:val="es-ES"/>
        </w:rPr>
        <w:t xml:space="preserve"> explicativo, </w:t>
      </w:r>
      <w:proofErr w:type="spellStart"/>
      <w:r w:rsidRPr="00225112">
        <w:rPr>
          <w:lang w:val="es-ES"/>
        </w:rPr>
        <w:t>com</w:t>
      </w:r>
      <w:proofErr w:type="spellEnd"/>
      <w:r w:rsidRPr="00225112">
        <w:rPr>
          <w:lang w:val="es-ES"/>
        </w:rPr>
        <w:t xml:space="preserve"> </w:t>
      </w:r>
      <w:proofErr w:type="spellStart"/>
      <w:r w:rsidRPr="00225112">
        <w:rPr>
          <w:lang w:val="es-ES"/>
        </w:rPr>
        <w:t>uma</w:t>
      </w:r>
      <w:proofErr w:type="spellEnd"/>
      <w:r w:rsidRPr="00225112">
        <w:rPr>
          <w:lang w:val="es-ES"/>
        </w:rPr>
        <w:t xml:space="preserve"> </w:t>
      </w:r>
      <w:proofErr w:type="spellStart"/>
      <w:r w:rsidRPr="00225112">
        <w:rPr>
          <w:lang w:val="es-ES"/>
        </w:rPr>
        <w:t>amostra</w:t>
      </w:r>
      <w:proofErr w:type="spellEnd"/>
      <w:r w:rsidRPr="00225112">
        <w:rPr>
          <w:lang w:val="es-ES"/>
        </w:rPr>
        <w:t xml:space="preserve"> de 76 </w:t>
      </w:r>
      <w:proofErr w:type="spellStart"/>
      <w:r w:rsidRPr="00225112">
        <w:rPr>
          <w:lang w:val="es-ES"/>
        </w:rPr>
        <w:t>estudantes</w:t>
      </w:r>
      <w:proofErr w:type="spellEnd"/>
      <w:r w:rsidRPr="00225112">
        <w:rPr>
          <w:lang w:val="es-ES"/>
        </w:rPr>
        <w:t xml:space="preserve"> </w:t>
      </w:r>
      <w:proofErr w:type="spellStart"/>
      <w:r w:rsidRPr="00225112">
        <w:rPr>
          <w:lang w:val="es-ES"/>
        </w:rPr>
        <w:t>universitários</w:t>
      </w:r>
      <w:proofErr w:type="spellEnd"/>
      <w:r w:rsidRPr="00225112">
        <w:rPr>
          <w:lang w:val="es-ES"/>
        </w:rPr>
        <w:t xml:space="preserve"> entre 18 e 56 </w:t>
      </w:r>
      <w:proofErr w:type="spellStart"/>
      <w:r w:rsidRPr="00225112">
        <w:rPr>
          <w:lang w:val="es-ES"/>
        </w:rPr>
        <w:t>anos</w:t>
      </w:r>
      <w:proofErr w:type="spellEnd"/>
      <w:r w:rsidRPr="00225112">
        <w:rPr>
          <w:lang w:val="es-ES"/>
        </w:rPr>
        <w:t xml:space="preserve"> matriculados em universidades privadas e </w:t>
      </w:r>
      <w:proofErr w:type="spellStart"/>
      <w:r w:rsidRPr="00225112">
        <w:rPr>
          <w:lang w:val="es-ES"/>
        </w:rPr>
        <w:t>foram</w:t>
      </w:r>
      <w:proofErr w:type="spellEnd"/>
      <w:r w:rsidRPr="00225112">
        <w:rPr>
          <w:lang w:val="es-ES"/>
        </w:rPr>
        <w:t xml:space="preserve"> utilizadas escalas validadas e adaptadas </w:t>
      </w:r>
      <w:proofErr w:type="spellStart"/>
      <w:r w:rsidRPr="00225112">
        <w:rPr>
          <w:lang w:val="es-ES"/>
        </w:rPr>
        <w:t>ao</w:t>
      </w:r>
      <w:proofErr w:type="spellEnd"/>
      <w:r w:rsidRPr="00225112">
        <w:rPr>
          <w:lang w:val="es-ES"/>
        </w:rPr>
        <w:t xml:space="preserve"> contexto. Os resultados </w:t>
      </w:r>
      <w:proofErr w:type="spellStart"/>
      <w:r w:rsidRPr="00225112">
        <w:rPr>
          <w:lang w:val="es-ES"/>
        </w:rPr>
        <w:t>mostram</w:t>
      </w:r>
      <w:proofErr w:type="spellEnd"/>
      <w:r w:rsidRPr="00225112">
        <w:rPr>
          <w:lang w:val="es-ES"/>
        </w:rPr>
        <w:t xml:space="preserve"> que existe </w:t>
      </w:r>
      <w:proofErr w:type="spellStart"/>
      <w:r w:rsidRPr="00225112">
        <w:rPr>
          <w:lang w:val="es-ES"/>
        </w:rPr>
        <w:t>uma</w:t>
      </w:r>
      <w:proofErr w:type="spellEnd"/>
      <w:r w:rsidRPr="00225112">
        <w:rPr>
          <w:lang w:val="es-ES"/>
        </w:rPr>
        <w:t xml:space="preserve"> </w:t>
      </w:r>
      <w:proofErr w:type="spellStart"/>
      <w:r w:rsidRPr="00225112">
        <w:rPr>
          <w:lang w:val="es-ES"/>
        </w:rPr>
        <w:t>relação</w:t>
      </w:r>
      <w:proofErr w:type="spellEnd"/>
      <w:r w:rsidRPr="00225112">
        <w:rPr>
          <w:lang w:val="es-ES"/>
        </w:rPr>
        <w:t xml:space="preserve"> relevante entre fadiga e </w:t>
      </w:r>
      <w:proofErr w:type="spellStart"/>
      <w:r w:rsidRPr="00225112">
        <w:rPr>
          <w:lang w:val="es-ES"/>
        </w:rPr>
        <w:t>regulação</w:t>
      </w:r>
      <w:proofErr w:type="spellEnd"/>
      <w:r w:rsidRPr="00225112">
        <w:rPr>
          <w:lang w:val="es-ES"/>
        </w:rPr>
        <w:t xml:space="preserve"> emocional; Entretanto, </w:t>
      </w:r>
      <w:proofErr w:type="spellStart"/>
      <w:r w:rsidRPr="00225112">
        <w:rPr>
          <w:lang w:val="es-ES"/>
        </w:rPr>
        <w:t>não</w:t>
      </w:r>
      <w:proofErr w:type="spellEnd"/>
      <w:r w:rsidRPr="00225112">
        <w:rPr>
          <w:lang w:val="es-ES"/>
        </w:rPr>
        <w:t xml:space="preserve"> </w:t>
      </w:r>
      <w:proofErr w:type="spellStart"/>
      <w:r w:rsidRPr="00225112">
        <w:rPr>
          <w:lang w:val="es-ES"/>
        </w:rPr>
        <w:t>foi</w:t>
      </w:r>
      <w:proofErr w:type="spellEnd"/>
      <w:r w:rsidRPr="00225112">
        <w:rPr>
          <w:lang w:val="es-ES"/>
        </w:rPr>
        <w:t xml:space="preserve"> encontrada </w:t>
      </w:r>
      <w:proofErr w:type="spellStart"/>
      <w:r w:rsidRPr="00225112">
        <w:rPr>
          <w:lang w:val="es-ES"/>
        </w:rPr>
        <w:t>nenhuma</w:t>
      </w:r>
      <w:proofErr w:type="spellEnd"/>
      <w:r w:rsidRPr="00225112">
        <w:rPr>
          <w:lang w:val="es-ES"/>
        </w:rPr>
        <w:t xml:space="preserve"> </w:t>
      </w:r>
      <w:proofErr w:type="spellStart"/>
      <w:r w:rsidRPr="00225112">
        <w:rPr>
          <w:lang w:val="es-ES"/>
        </w:rPr>
        <w:t>relação</w:t>
      </w:r>
      <w:proofErr w:type="spellEnd"/>
      <w:r w:rsidRPr="00225112">
        <w:rPr>
          <w:lang w:val="es-ES"/>
        </w:rPr>
        <w:t xml:space="preserve"> entre fadiga emocional e </w:t>
      </w:r>
      <w:proofErr w:type="spellStart"/>
      <w:r w:rsidRPr="00225112">
        <w:rPr>
          <w:lang w:val="es-ES"/>
        </w:rPr>
        <w:t>engajamento</w:t>
      </w:r>
      <w:proofErr w:type="spellEnd"/>
      <w:r w:rsidRPr="00225112">
        <w:rPr>
          <w:lang w:val="es-ES"/>
        </w:rPr>
        <w:t xml:space="preserve"> </w:t>
      </w:r>
      <w:proofErr w:type="spellStart"/>
      <w:r w:rsidRPr="00225112">
        <w:rPr>
          <w:lang w:val="es-ES"/>
        </w:rPr>
        <w:t>acadêmico</w:t>
      </w:r>
      <w:proofErr w:type="spellEnd"/>
      <w:r w:rsidRPr="00225112">
        <w:rPr>
          <w:lang w:val="es-ES"/>
        </w:rPr>
        <w:t xml:space="preserve">, </w:t>
      </w:r>
      <w:proofErr w:type="spellStart"/>
      <w:r w:rsidRPr="00225112">
        <w:rPr>
          <w:lang w:val="es-ES"/>
        </w:rPr>
        <w:t>nem</w:t>
      </w:r>
      <w:proofErr w:type="spellEnd"/>
      <w:r w:rsidRPr="00225112">
        <w:rPr>
          <w:lang w:val="es-ES"/>
        </w:rPr>
        <w:t xml:space="preserve"> entre </w:t>
      </w:r>
      <w:proofErr w:type="spellStart"/>
      <w:r w:rsidRPr="00225112">
        <w:rPr>
          <w:lang w:val="es-ES"/>
        </w:rPr>
        <w:t>regulação</w:t>
      </w:r>
      <w:proofErr w:type="spellEnd"/>
      <w:r w:rsidRPr="00225112">
        <w:rPr>
          <w:lang w:val="es-ES"/>
        </w:rPr>
        <w:t xml:space="preserve"> emocional e </w:t>
      </w:r>
      <w:proofErr w:type="spellStart"/>
      <w:r w:rsidRPr="00225112">
        <w:rPr>
          <w:lang w:val="es-ES"/>
        </w:rPr>
        <w:t>engajamento</w:t>
      </w:r>
      <w:proofErr w:type="spellEnd"/>
      <w:r w:rsidRPr="00225112">
        <w:rPr>
          <w:lang w:val="es-ES"/>
        </w:rPr>
        <w:t xml:space="preserve">. Da mesma forma, </w:t>
      </w:r>
      <w:proofErr w:type="spellStart"/>
      <w:r w:rsidRPr="00225112">
        <w:rPr>
          <w:lang w:val="es-ES"/>
        </w:rPr>
        <w:t>foi</w:t>
      </w:r>
      <w:proofErr w:type="spellEnd"/>
      <w:r w:rsidRPr="00225112">
        <w:rPr>
          <w:lang w:val="es-ES"/>
        </w:rPr>
        <w:t xml:space="preserve"> observada </w:t>
      </w:r>
      <w:proofErr w:type="spellStart"/>
      <w:r w:rsidRPr="00225112">
        <w:rPr>
          <w:lang w:val="es-ES"/>
        </w:rPr>
        <w:t>uma</w:t>
      </w:r>
      <w:proofErr w:type="spellEnd"/>
      <w:r w:rsidRPr="00225112">
        <w:rPr>
          <w:lang w:val="es-ES"/>
        </w:rPr>
        <w:t xml:space="preserve"> </w:t>
      </w:r>
      <w:proofErr w:type="spellStart"/>
      <w:r w:rsidRPr="00225112">
        <w:rPr>
          <w:lang w:val="es-ES"/>
        </w:rPr>
        <w:t>relação</w:t>
      </w:r>
      <w:proofErr w:type="spellEnd"/>
      <w:r w:rsidRPr="00225112">
        <w:rPr>
          <w:lang w:val="es-ES"/>
        </w:rPr>
        <w:t xml:space="preserve"> significativa entre fadiga emocional e </w:t>
      </w:r>
      <w:proofErr w:type="spellStart"/>
      <w:r w:rsidRPr="00225112">
        <w:rPr>
          <w:lang w:val="es-ES"/>
        </w:rPr>
        <w:t>supressão</w:t>
      </w:r>
      <w:proofErr w:type="spellEnd"/>
      <w:r w:rsidRPr="00225112">
        <w:rPr>
          <w:lang w:val="es-ES"/>
        </w:rPr>
        <w:t xml:space="preserve"> como </w:t>
      </w:r>
      <w:proofErr w:type="spellStart"/>
      <w:r w:rsidRPr="00225112">
        <w:rPr>
          <w:lang w:val="es-ES"/>
        </w:rPr>
        <w:t>uma</w:t>
      </w:r>
      <w:proofErr w:type="spellEnd"/>
      <w:r w:rsidRPr="00225112">
        <w:rPr>
          <w:lang w:val="es-ES"/>
        </w:rPr>
        <w:t xml:space="preserve"> </w:t>
      </w:r>
      <w:proofErr w:type="spellStart"/>
      <w:r w:rsidRPr="00225112">
        <w:rPr>
          <w:lang w:val="es-ES"/>
        </w:rPr>
        <w:t>dimensão</w:t>
      </w:r>
      <w:proofErr w:type="spellEnd"/>
      <w:r w:rsidRPr="00225112">
        <w:rPr>
          <w:lang w:val="es-ES"/>
        </w:rPr>
        <w:t xml:space="preserve"> da fadiga emocional; </w:t>
      </w:r>
      <w:proofErr w:type="spellStart"/>
      <w:r w:rsidRPr="00225112">
        <w:rPr>
          <w:lang w:val="es-ES"/>
        </w:rPr>
        <w:t>Além</w:t>
      </w:r>
      <w:proofErr w:type="spellEnd"/>
      <w:r w:rsidRPr="00225112">
        <w:rPr>
          <w:lang w:val="es-ES"/>
        </w:rPr>
        <w:t xml:space="preserve"> </w:t>
      </w:r>
      <w:proofErr w:type="spellStart"/>
      <w:r w:rsidRPr="00225112">
        <w:rPr>
          <w:lang w:val="es-ES"/>
        </w:rPr>
        <w:t>disso</w:t>
      </w:r>
      <w:proofErr w:type="spellEnd"/>
      <w:r w:rsidRPr="00225112">
        <w:rPr>
          <w:lang w:val="es-ES"/>
        </w:rPr>
        <w:t xml:space="preserve">, o </w:t>
      </w:r>
      <w:proofErr w:type="spellStart"/>
      <w:r w:rsidRPr="00225112">
        <w:rPr>
          <w:lang w:val="es-ES"/>
        </w:rPr>
        <w:t>estudo</w:t>
      </w:r>
      <w:proofErr w:type="spellEnd"/>
      <w:r w:rsidRPr="00225112">
        <w:rPr>
          <w:lang w:val="es-ES"/>
        </w:rPr>
        <w:t xml:space="preserve"> de </w:t>
      </w:r>
      <w:proofErr w:type="spellStart"/>
      <w:r w:rsidRPr="00225112">
        <w:rPr>
          <w:lang w:val="es-ES"/>
        </w:rPr>
        <w:t>regressão</w:t>
      </w:r>
      <w:proofErr w:type="spellEnd"/>
      <w:r w:rsidRPr="00225112">
        <w:rPr>
          <w:lang w:val="es-ES"/>
        </w:rPr>
        <w:t xml:space="preserve"> linear </w:t>
      </w:r>
      <w:proofErr w:type="spellStart"/>
      <w:r w:rsidRPr="00225112">
        <w:rPr>
          <w:lang w:val="es-ES"/>
        </w:rPr>
        <w:t>múltipla</w:t>
      </w:r>
      <w:proofErr w:type="spellEnd"/>
      <w:r w:rsidRPr="00225112">
        <w:rPr>
          <w:lang w:val="es-ES"/>
        </w:rPr>
        <w:t xml:space="preserve"> </w:t>
      </w:r>
      <w:proofErr w:type="spellStart"/>
      <w:r w:rsidRPr="00225112">
        <w:rPr>
          <w:lang w:val="es-ES"/>
        </w:rPr>
        <w:t>mostrou</w:t>
      </w:r>
      <w:proofErr w:type="spellEnd"/>
      <w:r w:rsidRPr="00225112">
        <w:rPr>
          <w:lang w:val="es-ES"/>
        </w:rPr>
        <w:t xml:space="preserve"> que fadiga e </w:t>
      </w:r>
      <w:proofErr w:type="spellStart"/>
      <w:r w:rsidRPr="00225112">
        <w:rPr>
          <w:lang w:val="es-ES"/>
        </w:rPr>
        <w:t>regulação</w:t>
      </w:r>
      <w:proofErr w:type="spellEnd"/>
      <w:r w:rsidRPr="00225112">
        <w:rPr>
          <w:lang w:val="es-ES"/>
        </w:rPr>
        <w:t xml:space="preserve"> </w:t>
      </w:r>
      <w:proofErr w:type="spellStart"/>
      <w:r w:rsidRPr="00225112">
        <w:rPr>
          <w:lang w:val="es-ES"/>
        </w:rPr>
        <w:t>não</w:t>
      </w:r>
      <w:proofErr w:type="spellEnd"/>
      <w:r w:rsidRPr="00225112">
        <w:rPr>
          <w:lang w:val="es-ES"/>
        </w:rPr>
        <w:t xml:space="preserve"> </w:t>
      </w:r>
      <w:proofErr w:type="spellStart"/>
      <w:r w:rsidRPr="00225112">
        <w:rPr>
          <w:lang w:val="es-ES"/>
        </w:rPr>
        <w:t>são</w:t>
      </w:r>
      <w:proofErr w:type="spellEnd"/>
      <w:r w:rsidRPr="00225112">
        <w:rPr>
          <w:lang w:val="es-ES"/>
        </w:rPr>
        <w:t xml:space="preserve"> </w:t>
      </w:r>
      <w:proofErr w:type="spellStart"/>
      <w:r w:rsidRPr="00225112">
        <w:rPr>
          <w:lang w:val="es-ES"/>
        </w:rPr>
        <w:t>preditores</w:t>
      </w:r>
      <w:proofErr w:type="spellEnd"/>
      <w:r w:rsidRPr="00225112">
        <w:rPr>
          <w:lang w:val="es-ES"/>
        </w:rPr>
        <w:t xml:space="preserve"> de </w:t>
      </w:r>
      <w:proofErr w:type="spellStart"/>
      <w:r w:rsidRPr="00225112">
        <w:rPr>
          <w:lang w:val="es-ES"/>
        </w:rPr>
        <w:t>variabilidade</w:t>
      </w:r>
      <w:proofErr w:type="spellEnd"/>
      <w:r w:rsidRPr="00225112">
        <w:rPr>
          <w:lang w:val="es-ES"/>
        </w:rPr>
        <w:t xml:space="preserve"> no </w:t>
      </w:r>
      <w:proofErr w:type="spellStart"/>
      <w:r w:rsidRPr="00225112">
        <w:rPr>
          <w:lang w:val="es-ES"/>
        </w:rPr>
        <w:t>comprometimento</w:t>
      </w:r>
      <w:proofErr w:type="spellEnd"/>
      <w:r w:rsidRPr="00225112">
        <w:rPr>
          <w:lang w:val="es-ES"/>
        </w:rPr>
        <w:t xml:space="preserve"> </w:t>
      </w:r>
      <w:proofErr w:type="spellStart"/>
      <w:r w:rsidRPr="00225112">
        <w:rPr>
          <w:lang w:val="es-ES"/>
        </w:rPr>
        <w:t>acadêmico</w:t>
      </w:r>
      <w:proofErr w:type="spellEnd"/>
      <w:r w:rsidRPr="00225112">
        <w:rPr>
          <w:lang w:val="es-ES"/>
        </w:rPr>
        <w:t xml:space="preserve">. </w:t>
      </w:r>
      <w:proofErr w:type="spellStart"/>
      <w:r w:rsidRPr="00225112">
        <w:rPr>
          <w:lang w:val="es-ES"/>
        </w:rPr>
        <w:t>Essas</w:t>
      </w:r>
      <w:proofErr w:type="spellEnd"/>
      <w:r w:rsidRPr="00225112">
        <w:rPr>
          <w:lang w:val="es-ES"/>
        </w:rPr>
        <w:t xml:space="preserve"> </w:t>
      </w:r>
      <w:proofErr w:type="spellStart"/>
      <w:r w:rsidRPr="00225112">
        <w:rPr>
          <w:lang w:val="es-ES"/>
        </w:rPr>
        <w:t>descobertas</w:t>
      </w:r>
      <w:proofErr w:type="spellEnd"/>
      <w:r w:rsidRPr="00225112">
        <w:rPr>
          <w:lang w:val="es-ES"/>
        </w:rPr>
        <w:t xml:space="preserve"> </w:t>
      </w:r>
      <w:proofErr w:type="spellStart"/>
      <w:r w:rsidRPr="00225112">
        <w:rPr>
          <w:lang w:val="es-ES"/>
        </w:rPr>
        <w:t>fornecem</w:t>
      </w:r>
      <w:proofErr w:type="spellEnd"/>
      <w:r w:rsidRPr="00225112">
        <w:rPr>
          <w:lang w:val="es-ES"/>
        </w:rPr>
        <w:t xml:space="preserve"> </w:t>
      </w:r>
      <w:proofErr w:type="spellStart"/>
      <w:r w:rsidRPr="00225112">
        <w:rPr>
          <w:lang w:val="es-ES"/>
        </w:rPr>
        <w:t>uma</w:t>
      </w:r>
      <w:proofErr w:type="spellEnd"/>
      <w:r w:rsidRPr="00225112">
        <w:rPr>
          <w:lang w:val="es-ES"/>
        </w:rPr>
        <w:t xml:space="preserve"> base para pesquisas futuras que se </w:t>
      </w:r>
      <w:proofErr w:type="spellStart"/>
      <w:r w:rsidRPr="00225112">
        <w:rPr>
          <w:lang w:val="es-ES"/>
        </w:rPr>
        <w:t>aprofundem</w:t>
      </w:r>
      <w:proofErr w:type="spellEnd"/>
      <w:r w:rsidRPr="00225112">
        <w:rPr>
          <w:lang w:val="es-ES"/>
        </w:rPr>
        <w:t xml:space="preserve"> </w:t>
      </w:r>
      <w:proofErr w:type="spellStart"/>
      <w:r w:rsidRPr="00225112">
        <w:rPr>
          <w:lang w:val="es-ES"/>
        </w:rPr>
        <w:t>nas</w:t>
      </w:r>
      <w:proofErr w:type="spellEnd"/>
      <w:r w:rsidRPr="00225112">
        <w:rPr>
          <w:lang w:val="es-ES"/>
        </w:rPr>
        <w:t xml:space="preserve"> </w:t>
      </w:r>
      <w:proofErr w:type="spellStart"/>
      <w:r w:rsidRPr="00225112">
        <w:rPr>
          <w:lang w:val="es-ES"/>
        </w:rPr>
        <w:t>interações</w:t>
      </w:r>
      <w:proofErr w:type="spellEnd"/>
      <w:r w:rsidRPr="00225112">
        <w:rPr>
          <w:lang w:val="es-ES"/>
        </w:rPr>
        <w:t xml:space="preserve"> complexas entre fadiga emocional, </w:t>
      </w:r>
      <w:proofErr w:type="spellStart"/>
      <w:r w:rsidRPr="00225112">
        <w:rPr>
          <w:lang w:val="es-ES"/>
        </w:rPr>
        <w:t>regulação</w:t>
      </w:r>
      <w:proofErr w:type="spellEnd"/>
      <w:r w:rsidRPr="00225112">
        <w:rPr>
          <w:lang w:val="es-ES"/>
        </w:rPr>
        <w:t xml:space="preserve"> emocional e </w:t>
      </w:r>
      <w:proofErr w:type="spellStart"/>
      <w:r w:rsidRPr="00225112">
        <w:rPr>
          <w:lang w:val="es-ES"/>
        </w:rPr>
        <w:t>engajamento</w:t>
      </w:r>
      <w:proofErr w:type="spellEnd"/>
      <w:r w:rsidRPr="00225112">
        <w:rPr>
          <w:lang w:val="es-ES"/>
        </w:rPr>
        <w:t xml:space="preserve"> </w:t>
      </w:r>
      <w:proofErr w:type="spellStart"/>
      <w:r w:rsidRPr="00225112">
        <w:rPr>
          <w:lang w:val="es-ES"/>
        </w:rPr>
        <w:t>acadêmico</w:t>
      </w:r>
      <w:proofErr w:type="spellEnd"/>
      <w:r w:rsidRPr="00225112">
        <w:rPr>
          <w:lang w:val="es-ES"/>
        </w:rPr>
        <w:t xml:space="preserve">, </w:t>
      </w:r>
      <w:proofErr w:type="spellStart"/>
      <w:r w:rsidRPr="00225112">
        <w:rPr>
          <w:lang w:val="es-ES"/>
        </w:rPr>
        <w:t>com</w:t>
      </w:r>
      <w:proofErr w:type="spellEnd"/>
      <w:r w:rsidRPr="00225112">
        <w:rPr>
          <w:lang w:val="es-ES"/>
        </w:rPr>
        <w:t xml:space="preserve"> </w:t>
      </w:r>
      <w:proofErr w:type="spellStart"/>
      <w:r w:rsidRPr="00225112">
        <w:rPr>
          <w:lang w:val="es-ES"/>
        </w:rPr>
        <w:t>o</w:t>
      </w:r>
      <w:proofErr w:type="spellEnd"/>
      <w:r w:rsidRPr="00225112">
        <w:rPr>
          <w:lang w:val="es-ES"/>
        </w:rPr>
        <w:t xml:space="preserve"> objetivo de </w:t>
      </w:r>
      <w:proofErr w:type="spellStart"/>
      <w:r w:rsidRPr="00225112">
        <w:rPr>
          <w:lang w:val="es-ES"/>
        </w:rPr>
        <w:t>melhorar</w:t>
      </w:r>
      <w:proofErr w:type="spellEnd"/>
      <w:r w:rsidRPr="00225112">
        <w:rPr>
          <w:lang w:val="es-ES"/>
        </w:rPr>
        <w:t xml:space="preserve"> a </w:t>
      </w:r>
      <w:proofErr w:type="spellStart"/>
      <w:r w:rsidRPr="00225112">
        <w:rPr>
          <w:lang w:val="es-ES"/>
        </w:rPr>
        <w:t>satisfação</w:t>
      </w:r>
      <w:proofErr w:type="spellEnd"/>
      <w:r w:rsidRPr="00225112">
        <w:rPr>
          <w:lang w:val="es-ES"/>
        </w:rPr>
        <w:t xml:space="preserve"> e o </w:t>
      </w:r>
      <w:proofErr w:type="spellStart"/>
      <w:r w:rsidRPr="00225112">
        <w:rPr>
          <w:lang w:val="es-ES"/>
        </w:rPr>
        <w:t>desempenho</w:t>
      </w:r>
      <w:proofErr w:type="spellEnd"/>
      <w:r w:rsidRPr="00225112">
        <w:rPr>
          <w:lang w:val="es-ES"/>
        </w:rPr>
        <w:t xml:space="preserve"> de </w:t>
      </w:r>
      <w:proofErr w:type="spellStart"/>
      <w:r w:rsidRPr="00225112">
        <w:rPr>
          <w:lang w:val="es-ES"/>
        </w:rPr>
        <w:t>estudantes</w:t>
      </w:r>
      <w:proofErr w:type="spellEnd"/>
      <w:r w:rsidRPr="00225112">
        <w:rPr>
          <w:lang w:val="es-ES"/>
        </w:rPr>
        <w:t xml:space="preserve"> </w:t>
      </w:r>
      <w:proofErr w:type="spellStart"/>
      <w:r w:rsidRPr="00225112">
        <w:rPr>
          <w:lang w:val="es-ES"/>
        </w:rPr>
        <w:t>universitários</w:t>
      </w:r>
      <w:proofErr w:type="spellEnd"/>
      <w:r w:rsidRPr="00225112">
        <w:rPr>
          <w:lang w:val="es-ES"/>
        </w:rPr>
        <w:t>.</w:t>
      </w:r>
    </w:p>
    <w:p w14:paraId="03100118" w14:textId="41A0EC38" w:rsidR="00F671A4" w:rsidRPr="00225112" w:rsidRDefault="00F671A4" w:rsidP="00F671A4">
      <w:pPr>
        <w:rPr>
          <w:lang w:val="es-ES"/>
        </w:rPr>
      </w:pPr>
      <w:proofErr w:type="spellStart"/>
      <w:r w:rsidRPr="00F671A4">
        <w:rPr>
          <w:rFonts w:asciiTheme="minorHAnsi" w:hAnsiTheme="minorHAnsi" w:cstheme="minorHAnsi"/>
          <w:b/>
          <w:bCs/>
          <w:sz w:val="28"/>
          <w:szCs w:val="24"/>
          <w:lang w:val="es-ES"/>
        </w:rPr>
        <w:t>Palavras</w:t>
      </w:r>
      <w:proofErr w:type="spellEnd"/>
      <w:r w:rsidRPr="00F671A4">
        <w:rPr>
          <w:rFonts w:asciiTheme="minorHAnsi" w:hAnsiTheme="minorHAnsi" w:cstheme="minorHAnsi"/>
          <w:b/>
          <w:bCs/>
          <w:sz w:val="28"/>
          <w:szCs w:val="24"/>
          <w:lang w:val="es-ES"/>
        </w:rPr>
        <w:t xml:space="preserve">-chave: </w:t>
      </w:r>
      <w:proofErr w:type="spellStart"/>
      <w:r w:rsidRPr="00225112">
        <w:rPr>
          <w:lang w:val="es-ES"/>
        </w:rPr>
        <w:t>comprometimento</w:t>
      </w:r>
      <w:proofErr w:type="spellEnd"/>
      <w:r w:rsidRPr="00225112">
        <w:rPr>
          <w:lang w:val="es-ES"/>
        </w:rPr>
        <w:t xml:space="preserve"> </w:t>
      </w:r>
      <w:proofErr w:type="spellStart"/>
      <w:r w:rsidRPr="00225112">
        <w:rPr>
          <w:lang w:val="es-ES"/>
        </w:rPr>
        <w:t>acadêmico</w:t>
      </w:r>
      <w:proofErr w:type="spellEnd"/>
      <w:r w:rsidRPr="00225112">
        <w:rPr>
          <w:lang w:val="es-ES"/>
        </w:rPr>
        <w:t xml:space="preserve">, fadiga, </w:t>
      </w:r>
      <w:proofErr w:type="spellStart"/>
      <w:r w:rsidRPr="00225112">
        <w:rPr>
          <w:lang w:val="es-ES"/>
        </w:rPr>
        <w:t>gestão</w:t>
      </w:r>
      <w:proofErr w:type="spellEnd"/>
      <w:r w:rsidRPr="00225112">
        <w:rPr>
          <w:lang w:val="es-ES"/>
        </w:rPr>
        <w:t xml:space="preserve"> emocional, </w:t>
      </w:r>
      <w:proofErr w:type="spellStart"/>
      <w:r w:rsidRPr="00225112">
        <w:rPr>
          <w:lang w:val="es-ES"/>
        </w:rPr>
        <w:t>alunos</w:t>
      </w:r>
      <w:proofErr w:type="spellEnd"/>
      <w:r w:rsidRPr="00225112">
        <w:rPr>
          <w:lang w:val="es-ES"/>
        </w:rPr>
        <w:t>.</w:t>
      </w:r>
    </w:p>
    <w:p w14:paraId="1C5BEEBF" w14:textId="77777777" w:rsidR="00F671A4" w:rsidRPr="004334EF" w:rsidRDefault="00F671A4" w:rsidP="00F671A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0DE2DB4C" w14:textId="77777777" w:rsidR="00F671A4" w:rsidRPr="00F210AD" w:rsidRDefault="00000000" w:rsidP="00F671A4">
      <w:pPr>
        <w:rPr>
          <w:b/>
          <w:bCs/>
        </w:rPr>
      </w:pPr>
      <w:r>
        <w:rPr>
          <w:noProof/>
          <w14:ligatures w14:val="standardContextual"/>
        </w:rPr>
        <w:pict w14:anchorId="0CEA8779">
          <v:rect id="_x0000_i1025" alt="" style="width:425.2pt;height:.05pt;mso-width-percent:0;mso-height-percent:0;mso-width-percent:0;mso-height-percent:0" o:hralign="center" o:hrstd="t" o:hr="t" fillcolor="#a0a0a0" stroked="f"/>
        </w:pict>
      </w:r>
    </w:p>
    <w:p w14:paraId="46196627" w14:textId="77777777" w:rsidR="00316DE1" w:rsidRPr="00F671A4" w:rsidRDefault="00316DE1" w:rsidP="00F671A4">
      <w:pPr>
        <w:jc w:val="center"/>
        <w:rPr>
          <w:b/>
          <w:sz w:val="32"/>
          <w:szCs w:val="28"/>
          <w:lang w:val="es-ES"/>
        </w:rPr>
      </w:pPr>
      <w:r w:rsidRPr="00F671A4">
        <w:rPr>
          <w:b/>
          <w:sz w:val="32"/>
          <w:szCs w:val="28"/>
          <w:lang w:val="es-ES"/>
        </w:rPr>
        <w:t>Introducción</w:t>
      </w:r>
    </w:p>
    <w:p w14:paraId="13958506" w14:textId="052BDCE6" w:rsidR="00316DE1" w:rsidRPr="00316DE1" w:rsidRDefault="00BB0679" w:rsidP="00F671A4">
      <w:pPr>
        <w:ind w:firstLine="709"/>
      </w:pPr>
      <w:r>
        <w:t>En la actualidad,</w:t>
      </w:r>
      <w:r w:rsidR="00D616CA">
        <w:t xml:space="preserve"> </w:t>
      </w:r>
      <w:r>
        <w:t>la educación en</w:t>
      </w:r>
      <w:r w:rsidR="00316DE1" w:rsidRPr="00316DE1">
        <w:t xml:space="preserve"> las universidades</w:t>
      </w:r>
      <w:r w:rsidR="006A34D6">
        <w:t xml:space="preserve"> </w:t>
      </w:r>
      <w:r>
        <w:t xml:space="preserve">requiere </w:t>
      </w:r>
      <w:r w:rsidR="00316DE1" w:rsidRPr="00316DE1">
        <w:t xml:space="preserve">a los estudiantes </w:t>
      </w:r>
      <w:r>
        <w:t xml:space="preserve">el ajuste </w:t>
      </w:r>
      <w:r w:rsidR="00316DE1" w:rsidRPr="00316DE1">
        <w:t xml:space="preserve">a los </w:t>
      </w:r>
      <w:r w:rsidR="00D616CA">
        <w:t>sistemas</w:t>
      </w:r>
      <w:r w:rsidR="00316DE1" w:rsidRPr="00316DE1">
        <w:t xml:space="preserve"> </w:t>
      </w:r>
      <w:r w:rsidR="00D616CA">
        <w:t xml:space="preserve">pertinentes, con la consecuencia de </w:t>
      </w:r>
      <w:r w:rsidR="00316DE1" w:rsidRPr="00316DE1">
        <w:t xml:space="preserve">ser </w:t>
      </w:r>
      <w:r w:rsidR="006A34D6">
        <w:t xml:space="preserve">susceptibles </w:t>
      </w:r>
      <w:r w:rsidR="00316DE1" w:rsidRPr="00316DE1">
        <w:t xml:space="preserve">de </w:t>
      </w:r>
      <w:r w:rsidR="00E97241">
        <w:t>fatiga emocional</w:t>
      </w:r>
      <w:r w:rsidR="00316DE1" w:rsidRPr="00316DE1">
        <w:t xml:space="preserve">, y, por lo tanto, proclives a </w:t>
      </w:r>
      <w:r w:rsidR="00D616CA">
        <w:t xml:space="preserve">la </w:t>
      </w:r>
      <w:proofErr w:type="spellStart"/>
      <w:r w:rsidR="006A34D6" w:rsidRPr="006A34D6">
        <w:t>la</w:t>
      </w:r>
      <w:proofErr w:type="spellEnd"/>
      <w:r w:rsidR="006A34D6" w:rsidRPr="006A34D6">
        <w:t xml:space="preserve"> disminución del interés y la motivación en los estudios</w:t>
      </w:r>
      <w:r w:rsidR="00316DE1" w:rsidRPr="00316DE1">
        <w:t xml:space="preserve">, pudiendo llegar al </w:t>
      </w:r>
      <w:r w:rsidR="00D616CA">
        <w:t>desamparo en los quehaceres universitarios</w:t>
      </w:r>
      <w:r w:rsidR="00316DE1" w:rsidRPr="00316DE1">
        <w:t xml:space="preserve">. Según Tasayco y </w:t>
      </w:r>
      <w:proofErr w:type="spellStart"/>
      <w:r w:rsidR="00316DE1" w:rsidRPr="00316DE1">
        <w:t>Pachao</w:t>
      </w:r>
      <w:proofErr w:type="spellEnd"/>
      <w:r w:rsidR="00316DE1" w:rsidRPr="00316DE1">
        <w:t xml:space="preserve"> (2018), en el Perú el abandono universitario alcanza el 25%, a consecuencia de los factores económicos, </w:t>
      </w:r>
      <w:r w:rsidR="005D0670">
        <w:t xml:space="preserve">incertidumbre </w:t>
      </w:r>
      <w:r w:rsidR="00316DE1" w:rsidRPr="00316DE1">
        <w:t xml:space="preserve">vocacional y </w:t>
      </w:r>
      <w:r w:rsidR="005D0670">
        <w:t>las</w:t>
      </w:r>
      <w:r w:rsidR="00316DE1" w:rsidRPr="00316DE1">
        <w:t xml:space="preserve"> </w:t>
      </w:r>
      <w:r w:rsidR="005D0670">
        <w:t xml:space="preserve">dificultades en las emociones, </w:t>
      </w:r>
      <w:r w:rsidR="00316DE1" w:rsidRPr="00316DE1">
        <w:t>derivados de</w:t>
      </w:r>
      <w:r w:rsidR="005D0670">
        <w:t xml:space="preserve"> la fatiga y demás</w:t>
      </w:r>
      <w:r w:rsidR="00316DE1" w:rsidRPr="00316DE1">
        <w:t xml:space="preserve">. </w:t>
      </w:r>
      <w:r w:rsidR="005D0670">
        <w:t xml:space="preserve">Dada la </w:t>
      </w:r>
      <w:r w:rsidR="00294BA6">
        <w:t xml:space="preserve">presencia </w:t>
      </w:r>
      <w:r w:rsidR="005D0670">
        <w:t xml:space="preserve">de </w:t>
      </w:r>
      <w:r w:rsidR="00316DE1" w:rsidRPr="00316DE1">
        <w:t>est</w:t>
      </w:r>
      <w:r w:rsidR="00772F60">
        <w:t xml:space="preserve">a fatiga </w:t>
      </w:r>
      <w:r w:rsidR="00294BA6">
        <w:t>emocional</w:t>
      </w:r>
      <w:r w:rsidR="00316DE1" w:rsidRPr="00316DE1">
        <w:t xml:space="preserve">, </w:t>
      </w:r>
      <w:r w:rsidR="00C73EDC" w:rsidRPr="00C73EDC">
        <w:t>es relevante analizar la regulación emocional, ya que ayuda a los estudiantes a reinterpretar de forma más positiva los contextos adversos</w:t>
      </w:r>
      <w:r w:rsidR="00316DE1" w:rsidRPr="00316DE1">
        <w:t xml:space="preserve">. La </w:t>
      </w:r>
      <w:r w:rsidR="005D0670">
        <w:t xml:space="preserve">importancia de </w:t>
      </w:r>
      <w:r w:rsidR="00C73EDC">
        <w:t>investigar</w:t>
      </w:r>
      <w:r w:rsidR="005D0670">
        <w:t xml:space="preserve"> la </w:t>
      </w:r>
      <w:r w:rsidR="00316DE1" w:rsidRPr="00316DE1">
        <w:t>regulación</w:t>
      </w:r>
      <w:r w:rsidR="00C73EDC">
        <w:t xml:space="preserve"> emocional</w:t>
      </w:r>
      <w:r w:rsidR="005D0670">
        <w:t>,</w:t>
      </w:r>
      <w:r w:rsidR="00316DE1" w:rsidRPr="00316DE1">
        <w:t xml:space="preserve"> </w:t>
      </w:r>
      <w:r w:rsidR="005D0670">
        <w:t xml:space="preserve">aporta </w:t>
      </w:r>
      <w:r w:rsidR="00316DE1" w:rsidRPr="00316DE1">
        <w:t>a</w:t>
      </w:r>
      <w:r w:rsidR="005D0670">
        <w:t xml:space="preserve"> la definición de medidas </w:t>
      </w:r>
      <w:r w:rsidR="00316DE1" w:rsidRPr="00316DE1">
        <w:t xml:space="preserve">por parte de las </w:t>
      </w:r>
      <w:r w:rsidR="005D0670">
        <w:t>instituciones superiores</w:t>
      </w:r>
      <w:r w:rsidR="00316DE1" w:rsidRPr="00316DE1">
        <w:t xml:space="preserve">, en aras de la disminución </w:t>
      </w:r>
      <w:r w:rsidR="004F3EC4">
        <w:t>de la fatiga</w:t>
      </w:r>
      <w:r w:rsidR="00E97241">
        <w:t xml:space="preserve"> emocional</w:t>
      </w:r>
      <w:r w:rsidR="00316DE1" w:rsidRPr="00316DE1">
        <w:t xml:space="preserve">. Así también, </w:t>
      </w:r>
      <w:r w:rsidR="00316DE1" w:rsidRPr="00316DE1">
        <w:lastRenderedPageBreak/>
        <w:t xml:space="preserve">entender sus maneras de afrontamiento como la </w:t>
      </w:r>
      <w:r w:rsidR="00316DE1" w:rsidRPr="008466B6">
        <w:rPr>
          <w:i/>
          <w:iCs/>
        </w:rPr>
        <w:t>reevaluación cognitiva</w:t>
      </w:r>
      <w:r w:rsidR="00316DE1" w:rsidRPr="00316DE1">
        <w:t xml:space="preserve"> y la </w:t>
      </w:r>
      <w:r w:rsidR="00316DE1" w:rsidRPr="008466B6">
        <w:rPr>
          <w:i/>
          <w:iCs/>
        </w:rPr>
        <w:t>supresión</w:t>
      </w:r>
      <w:r w:rsidR="00316DE1" w:rsidRPr="00316DE1">
        <w:t>, son relevantes, debido a que puede facilitar la comprensión del manejo de los estudiantes frente a las demandas académicas (Gross y Jo</w:t>
      </w:r>
      <w:r w:rsidR="00397075">
        <w:t>h</w:t>
      </w:r>
      <w:r w:rsidR="00316DE1" w:rsidRPr="00316DE1">
        <w:t xml:space="preserve">n, 2003). Por otro lado, hurgar en la implicancia del compromiso, en la ejecución y </w:t>
      </w:r>
      <w:r w:rsidR="007D55B2">
        <w:t xml:space="preserve">asistencia de </w:t>
      </w:r>
      <w:r w:rsidR="00316DE1" w:rsidRPr="00316DE1">
        <w:t xml:space="preserve">la agenda académica es </w:t>
      </w:r>
      <w:r w:rsidR="007D55B2">
        <w:t>importante</w:t>
      </w:r>
      <w:r w:rsidR="00316DE1" w:rsidRPr="00316DE1">
        <w:t>. Según Dávila (2021</w:t>
      </w:r>
      <w:r w:rsidR="00316DE1" w:rsidRPr="00B8209B">
        <w:t xml:space="preserve">) existe relación </w:t>
      </w:r>
      <w:r w:rsidR="00B041C2" w:rsidRPr="00B8209B">
        <w:t xml:space="preserve">relevante </w:t>
      </w:r>
      <w:r w:rsidR="00316DE1" w:rsidRPr="00B8209B">
        <w:t>entre cansancio y compromiso académico</w:t>
      </w:r>
      <w:r w:rsidR="00BD5A8B">
        <w:t>; en ese sentido</w:t>
      </w:r>
      <w:r w:rsidR="00316DE1" w:rsidRPr="00B8209B">
        <w:t>, la</w:t>
      </w:r>
      <w:r w:rsidR="007D55B2" w:rsidRPr="00B8209B">
        <w:t xml:space="preserve"> manera en la cual se regulan las emociones, </w:t>
      </w:r>
      <w:r w:rsidR="00911B7C" w:rsidRPr="00B8209B">
        <w:t>influye</w:t>
      </w:r>
      <w:r w:rsidR="00316DE1" w:rsidRPr="00B8209B">
        <w:t xml:space="preserve"> </w:t>
      </w:r>
      <w:proofErr w:type="spellStart"/>
      <w:r w:rsidR="00316DE1" w:rsidRPr="00B8209B">
        <w:t>en</w:t>
      </w:r>
      <w:r w:rsidR="004F3EC4">
        <w:t>la</w:t>
      </w:r>
      <w:proofErr w:type="spellEnd"/>
      <w:r w:rsidR="004F3EC4">
        <w:t xml:space="preserve"> fatiga</w:t>
      </w:r>
      <w:r w:rsidR="00E97241">
        <w:t xml:space="preserve"> emocional</w:t>
      </w:r>
      <w:r w:rsidR="00316DE1" w:rsidRPr="00B8209B">
        <w:t xml:space="preserve"> de los </w:t>
      </w:r>
      <w:r w:rsidR="007D55B2" w:rsidRPr="00B8209B">
        <w:t>educandos</w:t>
      </w:r>
      <w:r w:rsidR="00911B7C" w:rsidRPr="00B8209B">
        <w:t xml:space="preserve"> </w:t>
      </w:r>
      <w:r w:rsidR="00316DE1" w:rsidRPr="00B8209B">
        <w:t>(Domínguez-Lara</w:t>
      </w:r>
      <w:r w:rsidR="008466B6">
        <w:t>,</w:t>
      </w:r>
      <w:r w:rsidR="00316DE1" w:rsidRPr="00B8209B">
        <w:t xml:space="preserve"> 2018). Bajo esta realidad, la importancia de favorecer</w:t>
      </w:r>
      <w:r w:rsidR="0036267E" w:rsidRPr="00B8209B">
        <w:t xml:space="preserve"> los recursos </w:t>
      </w:r>
      <w:r w:rsidR="00316DE1" w:rsidRPr="00B8209B">
        <w:t xml:space="preserve">emocionales en los </w:t>
      </w:r>
      <w:r w:rsidR="0036267E" w:rsidRPr="00B8209B">
        <w:t>educandos</w:t>
      </w:r>
      <w:r w:rsidR="0036267E">
        <w:t xml:space="preserve">, </w:t>
      </w:r>
      <w:r w:rsidR="00316DE1" w:rsidRPr="00316DE1">
        <w:t xml:space="preserve">facilita un </w:t>
      </w:r>
      <w:r w:rsidR="0036267E">
        <w:t xml:space="preserve">reductor </w:t>
      </w:r>
      <w:r w:rsidR="00316DE1" w:rsidRPr="00316DE1">
        <w:t>frente a</w:t>
      </w:r>
      <w:r w:rsidR="0036267E">
        <w:t xml:space="preserve"> las diversas tensiones </w:t>
      </w:r>
      <w:r w:rsidR="00316DE1" w:rsidRPr="00316DE1">
        <w:t>(Extremera et al., 2007).</w:t>
      </w:r>
    </w:p>
    <w:p w14:paraId="1B889E24" w14:textId="64AE4290" w:rsidR="00316DE1" w:rsidRDefault="004F3EC4" w:rsidP="00F671A4">
      <w:pPr>
        <w:ind w:firstLine="709"/>
      </w:pPr>
      <w:r>
        <w:t>La</w:t>
      </w:r>
      <w:r w:rsidR="00316DE1" w:rsidRPr="00316DE1">
        <w:t xml:space="preserve"> </w:t>
      </w:r>
      <w:r w:rsidR="00E97241">
        <w:t>fatiga emocional</w:t>
      </w:r>
      <w:r w:rsidR="00316DE1" w:rsidRPr="00316DE1">
        <w:t xml:space="preserve"> se refiere </w:t>
      </w:r>
      <w:r w:rsidR="00AC3438">
        <w:t xml:space="preserve">a la disminución de </w:t>
      </w:r>
      <w:r w:rsidR="00316DE1" w:rsidRPr="00316DE1">
        <w:t xml:space="preserve">capacidades, a la </w:t>
      </w:r>
      <w:r w:rsidR="00AC3438">
        <w:t xml:space="preserve">reacción </w:t>
      </w:r>
      <w:r w:rsidR="00316DE1" w:rsidRPr="00316DE1">
        <w:t>de u</w:t>
      </w:r>
      <w:r w:rsidR="00AC3438">
        <w:t xml:space="preserve">na persona a las tensiones vinculadas con las labores y sus </w:t>
      </w:r>
      <w:r w:rsidR="00316DE1" w:rsidRPr="00316DE1">
        <w:t xml:space="preserve">respectivas demandas, de </w:t>
      </w:r>
      <w:r w:rsidR="009A27F5" w:rsidRPr="00316DE1">
        <w:t>diversa naturaleza</w:t>
      </w:r>
      <w:r w:rsidR="00316DE1" w:rsidRPr="00316DE1">
        <w:t>, entre ellas la académica, que puede conllevar a exageraciones en las reacciones o comportamientos (</w:t>
      </w:r>
      <w:proofErr w:type="spellStart"/>
      <w:r w:rsidR="00316DE1" w:rsidRPr="00316DE1">
        <w:t>Demerouti</w:t>
      </w:r>
      <w:proofErr w:type="spellEnd"/>
      <w:r w:rsidR="00316DE1" w:rsidRPr="00316DE1">
        <w:t xml:space="preserve"> et al., 2001). De similar manera, </w:t>
      </w:r>
      <w:r w:rsidR="00AC3438">
        <w:t xml:space="preserve">implica </w:t>
      </w:r>
      <w:r w:rsidR="00316DE1" w:rsidRPr="00316DE1">
        <w:t xml:space="preserve">la </w:t>
      </w:r>
      <w:r w:rsidR="00AC3438">
        <w:t xml:space="preserve">reacción principal </w:t>
      </w:r>
      <w:r w:rsidR="00316DE1" w:rsidRPr="00316DE1">
        <w:t>en la</w:t>
      </w:r>
      <w:r w:rsidR="00AC3438">
        <w:t xml:space="preserve"> variedad de condiciones y coyunturas</w:t>
      </w:r>
      <w:r w:rsidR="00316DE1" w:rsidRPr="00316DE1">
        <w:t>, el cual puede exacerbar las actitudes y conductas, requiriendo la atención respectiva</w:t>
      </w:r>
      <w:r w:rsidR="008466B6">
        <w:t xml:space="preserve">, </w:t>
      </w:r>
      <w:r w:rsidR="008466B6" w:rsidRPr="008466B6">
        <w:t>el cual interrumpe en el desempeño de la persona</w:t>
      </w:r>
      <w:r w:rsidR="00316DE1" w:rsidRPr="00316DE1">
        <w:t xml:space="preserve"> (Maslach, 2003</w:t>
      </w:r>
      <w:r w:rsidR="008466B6">
        <w:t xml:space="preserve">; </w:t>
      </w:r>
      <w:r w:rsidR="008466B6" w:rsidRPr="008466B6">
        <w:t>Ramos et al., 2005</w:t>
      </w:r>
      <w:r w:rsidR="00316DE1" w:rsidRPr="00316DE1">
        <w:t xml:space="preserve">). La realidad </w:t>
      </w:r>
      <w:r>
        <w:t>de la fatiga</w:t>
      </w:r>
      <w:r w:rsidR="00E97241">
        <w:t xml:space="preserve"> emocional</w:t>
      </w:r>
      <w:r w:rsidR="00316DE1" w:rsidRPr="00316DE1">
        <w:t xml:space="preserve"> es muy </w:t>
      </w:r>
      <w:r w:rsidR="00AC3438">
        <w:t>importante</w:t>
      </w:r>
      <w:r w:rsidR="00316DE1" w:rsidRPr="00316DE1">
        <w:t xml:space="preserve">, </w:t>
      </w:r>
      <w:r w:rsidR="00AC3438">
        <w:t xml:space="preserve">porque manifiesta </w:t>
      </w:r>
      <w:r w:rsidR="00316DE1" w:rsidRPr="00316DE1">
        <w:t xml:space="preserve">relación con </w:t>
      </w:r>
      <w:r w:rsidR="00AC3438">
        <w:t xml:space="preserve">la variedad de dificultades </w:t>
      </w:r>
      <w:r w:rsidR="00316DE1" w:rsidRPr="00316DE1">
        <w:t xml:space="preserve">psicológicas como el neuroticismo, la </w:t>
      </w:r>
      <w:r w:rsidR="00AC3438">
        <w:t xml:space="preserve">salubridad y </w:t>
      </w:r>
      <w:r w:rsidR="00316DE1" w:rsidRPr="00316DE1">
        <w:t xml:space="preserve">otros. Por ello, puede </w:t>
      </w:r>
      <w:r w:rsidR="008C3677">
        <w:t xml:space="preserve">señalarse como la causa </w:t>
      </w:r>
      <w:r w:rsidR="00316DE1" w:rsidRPr="00316DE1">
        <w:t xml:space="preserve">que </w:t>
      </w:r>
      <w:r w:rsidR="008C3677">
        <w:t xml:space="preserve">condiciona </w:t>
      </w:r>
      <w:r w:rsidR="00316DE1" w:rsidRPr="00316DE1">
        <w:t xml:space="preserve">en </w:t>
      </w:r>
      <w:r w:rsidR="008C3677">
        <w:t xml:space="preserve">conductas </w:t>
      </w:r>
      <w:r w:rsidR="00316DE1" w:rsidRPr="00316DE1">
        <w:t xml:space="preserve">de </w:t>
      </w:r>
      <w:r w:rsidR="008C3677">
        <w:t>enojo</w:t>
      </w:r>
      <w:r w:rsidR="00316DE1" w:rsidRPr="00316DE1">
        <w:t xml:space="preserve">, </w:t>
      </w:r>
      <w:r w:rsidR="008C3677">
        <w:t>poca tolerancia</w:t>
      </w:r>
      <w:r w:rsidR="00316DE1" w:rsidRPr="00316DE1">
        <w:t xml:space="preserve">, </w:t>
      </w:r>
      <w:r w:rsidR="008C3677">
        <w:t>incertidumbre</w:t>
      </w:r>
      <w:r w:rsidR="00316DE1" w:rsidRPr="00316DE1">
        <w:t xml:space="preserve">, </w:t>
      </w:r>
      <w:r w:rsidR="00142412">
        <w:t>falta y</w:t>
      </w:r>
      <w:r w:rsidR="00316DE1" w:rsidRPr="00316DE1">
        <w:t xml:space="preserve"> </w:t>
      </w:r>
      <w:r w:rsidR="00E93551">
        <w:t xml:space="preserve">demás </w:t>
      </w:r>
      <w:r w:rsidR="00821DD1">
        <w:t>reacciones</w:t>
      </w:r>
      <w:r w:rsidR="003311D6">
        <w:t xml:space="preserve"> </w:t>
      </w:r>
      <w:r w:rsidR="003311D6" w:rsidRPr="003311D6">
        <w:t>(Moses et al., 2023)</w:t>
      </w:r>
      <w:r w:rsidR="00316DE1" w:rsidRPr="00316DE1">
        <w:t xml:space="preserve">. Se </w:t>
      </w:r>
      <w:r w:rsidR="009B3FCC">
        <w:t xml:space="preserve">genera </w:t>
      </w:r>
      <w:r w:rsidR="00316DE1" w:rsidRPr="00316DE1">
        <w:t>por la</w:t>
      </w:r>
      <w:r w:rsidR="009B3FCC">
        <w:t xml:space="preserve">s </w:t>
      </w:r>
      <w:r w:rsidR="00316DE1" w:rsidRPr="00316DE1">
        <w:t>frecuente</w:t>
      </w:r>
      <w:r w:rsidR="009B3FCC">
        <w:t xml:space="preserve">s coyunturas </w:t>
      </w:r>
      <w:r w:rsidR="00316DE1" w:rsidRPr="00316DE1">
        <w:t>de presión (Fontana, 2011). Frente a esta realidad, es necesario considerar que el ingreso al mundo universitario implica un</w:t>
      </w:r>
      <w:r w:rsidR="0038791D">
        <w:t xml:space="preserve"> gran esfuerzo</w:t>
      </w:r>
      <w:r w:rsidR="00316DE1" w:rsidRPr="00316DE1">
        <w:t xml:space="preserve">, por lo tanto, los estudiantes deben </w:t>
      </w:r>
      <w:r w:rsidR="0038791D">
        <w:t xml:space="preserve">expresar </w:t>
      </w:r>
      <w:r w:rsidR="00316DE1" w:rsidRPr="00316DE1">
        <w:t xml:space="preserve">sus </w:t>
      </w:r>
      <w:r w:rsidR="0038791D">
        <w:t xml:space="preserve">recursos </w:t>
      </w:r>
      <w:r w:rsidR="00316DE1" w:rsidRPr="00316DE1">
        <w:t xml:space="preserve">al respecto y así lograr un éxito; sin embargo, puede ser proclive a la fatiga y cansancio en el afrontamiento de las diversas exigencias (Lara et al., 2013). Es relevante tener en cuenta </w:t>
      </w:r>
      <w:proofErr w:type="spellStart"/>
      <w:r w:rsidR="00316DE1" w:rsidRPr="00316DE1">
        <w:t>que</w:t>
      </w:r>
      <w:r>
        <w:t>la</w:t>
      </w:r>
      <w:proofErr w:type="spellEnd"/>
      <w:r>
        <w:t xml:space="preserve"> fatiga</w:t>
      </w:r>
      <w:r w:rsidR="00E97241">
        <w:t xml:space="preserve"> emocional</w:t>
      </w:r>
      <w:r w:rsidR="00316DE1" w:rsidRPr="00316DE1">
        <w:t xml:space="preserve"> puede desbordar en complicaciones mayores (Domínguez et al., 2018), dado que experimentan el mismo por las diversas tareas académicas y por la necesidad de cumplir con las respectivas metas (</w:t>
      </w:r>
      <w:proofErr w:type="spellStart"/>
      <w:r w:rsidR="00316DE1" w:rsidRPr="00316DE1">
        <w:t>Schaufeli</w:t>
      </w:r>
      <w:proofErr w:type="spellEnd"/>
      <w:r w:rsidR="00316DE1" w:rsidRPr="00316DE1">
        <w:t xml:space="preserve"> et al., 2002); así también, por percibir una amenaza de </w:t>
      </w:r>
      <w:r w:rsidR="0038791D">
        <w:t>carencia</w:t>
      </w:r>
      <w:r w:rsidR="00316DE1" w:rsidRPr="00316DE1">
        <w:t xml:space="preserve"> de lo </w:t>
      </w:r>
      <w:r w:rsidR="0038791D">
        <w:t xml:space="preserve">conseguido </w:t>
      </w:r>
      <w:r w:rsidR="00316DE1" w:rsidRPr="00316DE1">
        <w:t xml:space="preserve">o </w:t>
      </w:r>
      <w:r w:rsidR="0038791D">
        <w:t>irrupción d</w:t>
      </w:r>
      <w:r w:rsidR="00316DE1" w:rsidRPr="00316DE1">
        <w:t>e la planificación (</w:t>
      </w:r>
      <w:proofErr w:type="spellStart"/>
      <w:r w:rsidR="00316DE1" w:rsidRPr="00316DE1">
        <w:t>Hobfoll</w:t>
      </w:r>
      <w:proofErr w:type="spellEnd"/>
      <w:r w:rsidR="00316DE1" w:rsidRPr="00316DE1">
        <w:t xml:space="preserve"> et al., 2003). De manera similar, la preocupación genera estrés en los estudiantes universitarios (Caballero et al., 2007) </w:t>
      </w:r>
      <w:r w:rsidR="006762D3">
        <w:t>y condiciona</w:t>
      </w:r>
      <w:r w:rsidR="00316DE1" w:rsidRPr="00316DE1">
        <w:t xml:space="preserve"> de </w:t>
      </w:r>
      <w:r w:rsidR="006762D3">
        <w:t xml:space="preserve">manera aversiva </w:t>
      </w:r>
      <w:r w:rsidR="00316DE1" w:rsidRPr="00316DE1">
        <w:t xml:space="preserve">en las </w:t>
      </w:r>
      <w:r w:rsidR="006762D3">
        <w:t xml:space="preserve">expectativas </w:t>
      </w:r>
      <w:r w:rsidR="00316DE1" w:rsidRPr="00316DE1">
        <w:t xml:space="preserve">hacia </w:t>
      </w:r>
      <w:r w:rsidR="006762D3">
        <w:t xml:space="preserve">las metas </w:t>
      </w:r>
      <w:r w:rsidR="00316DE1" w:rsidRPr="00316DE1">
        <w:t xml:space="preserve">y puede </w:t>
      </w:r>
      <w:r w:rsidR="006762D3">
        <w:t xml:space="preserve">deteriorar </w:t>
      </w:r>
      <w:r w:rsidR="00316DE1" w:rsidRPr="00316DE1">
        <w:t xml:space="preserve">la madurez </w:t>
      </w:r>
      <w:r w:rsidR="006762D3">
        <w:t>en la profesión</w:t>
      </w:r>
      <w:r w:rsidR="00316DE1" w:rsidRPr="00316DE1">
        <w:t xml:space="preserve"> (González y Landero, 2007), reducir la persistencia en los estudios, con el consecuente abandono de las tareas académicas (Garrosa et al., 2017).</w:t>
      </w:r>
    </w:p>
    <w:p w14:paraId="7343369D" w14:textId="77777777" w:rsidR="00316DE1" w:rsidRPr="00316DE1" w:rsidRDefault="00316DE1" w:rsidP="00F671A4">
      <w:pPr>
        <w:ind w:firstLine="709"/>
      </w:pPr>
    </w:p>
    <w:p w14:paraId="0623AF93" w14:textId="009F6494" w:rsidR="004049C2" w:rsidRDefault="00316DE1" w:rsidP="00F671A4">
      <w:pPr>
        <w:ind w:firstLine="709"/>
      </w:pPr>
      <w:r w:rsidRPr="00316DE1">
        <w:lastRenderedPageBreak/>
        <w:t xml:space="preserve">La regulación emocional implica el proceso de </w:t>
      </w:r>
      <w:r w:rsidR="003E57FC">
        <w:t xml:space="preserve">atención y de gestión de </w:t>
      </w:r>
      <w:r w:rsidRPr="00316DE1">
        <w:t xml:space="preserve">una </w:t>
      </w:r>
      <w:r w:rsidR="003E57FC">
        <w:t xml:space="preserve">reacción </w:t>
      </w:r>
      <w:r w:rsidRPr="00316DE1">
        <w:t xml:space="preserve">a una </w:t>
      </w:r>
      <w:r w:rsidR="003E57FC">
        <w:t xml:space="preserve">coyuntura </w:t>
      </w:r>
      <w:r w:rsidRPr="00316DE1">
        <w:t>determinada (Gross y Jo</w:t>
      </w:r>
      <w:r w:rsidR="00397075">
        <w:t>h</w:t>
      </w:r>
      <w:r w:rsidRPr="00316DE1">
        <w:t xml:space="preserve">n, 2003), su control es importante dado que </w:t>
      </w:r>
      <w:r w:rsidR="00C73EDC" w:rsidRPr="00C73EDC">
        <w:t>las emociones forman parte de la vida cotidiana</w:t>
      </w:r>
      <w:r w:rsidR="008C568D">
        <w:t xml:space="preserve"> </w:t>
      </w:r>
      <w:r w:rsidRPr="00316DE1">
        <w:t>(</w:t>
      </w:r>
      <w:proofErr w:type="spellStart"/>
      <w:r w:rsidRPr="00316DE1">
        <w:t>Gargurevich</w:t>
      </w:r>
      <w:proofErr w:type="spellEnd"/>
      <w:r w:rsidRPr="00316DE1">
        <w:t xml:space="preserve"> y Matos, 2010), y frente </w:t>
      </w:r>
      <w:r w:rsidR="00E96FF4">
        <w:t xml:space="preserve">al cansancio </w:t>
      </w:r>
      <w:r w:rsidRPr="00316DE1">
        <w:t xml:space="preserve">y </w:t>
      </w:r>
      <w:r w:rsidR="00E96FF4">
        <w:t>la agenda a realizar</w:t>
      </w:r>
      <w:r w:rsidRPr="00316DE1">
        <w:t xml:space="preserve">, se puede </w:t>
      </w:r>
      <w:r w:rsidR="00E96FF4">
        <w:t>elegir maneras de cumplir</w:t>
      </w:r>
      <w:r w:rsidRPr="00316DE1">
        <w:t xml:space="preserve">, ya sea con la </w:t>
      </w:r>
      <w:r w:rsidRPr="008466B6">
        <w:rPr>
          <w:i/>
          <w:iCs/>
        </w:rPr>
        <w:t>reevaluación cognitiva</w:t>
      </w:r>
      <w:r w:rsidRPr="00316DE1">
        <w:t xml:space="preserve"> o la </w:t>
      </w:r>
      <w:r w:rsidRPr="008466B6">
        <w:rPr>
          <w:i/>
          <w:iCs/>
        </w:rPr>
        <w:t xml:space="preserve">supresión </w:t>
      </w:r>
      <w:r w:rsidRPr="00316DE1">
        <w:t xml:space="preserve">(McRae &amp; Gross, 2020). </w:t>
      </w:r>
      <w:r w:rsidR="00712FD8">
        <w:t>En la primera</w:t>
      </w:r>
      <w:r w:rsidRPr="00316DE1">
        <w:t>, la generación de la</w:t>
      </w:r>
      <w:r w:rsidR="00B504D9">
        <w:t>s emociones</w:t>
      </w:r>
      <w:r w:rsidRPr="00316DE1">
        <w:t>,</w:t>
      </w:r>
      <w:r w:rsidR="00B504D9">
        <w:t xml:space="preserve"> </w:t>
      </w:r>
      <w:r w:rsidRPr="00316DE1">
        <w:t xml:space="preserve">consiste en la </w:t>
      </w:r>
      <w:r w:rsidR="00B504D9">
        <w:t xml:space="preserve">modulación </w:t>
      </w:r>
      <w:r w:rsidRPr="00316DE1">
        <w:t xml:space="preserve">de los </w:t>
      </w:r>
      <w:r w:rsidR="00B504D9">
        <w:t>antecesores de la emoción</w:t>
      </w:r>
      <w:r w:rsidRPr="00316DE1">
        <w:t xml:space="preserve">, e implica una reevaluación </w:t>
      </w:r>
      <w:r w:rsidR="00BA3E13">
        <w:t xml:space="preserve">de las cogniciones </w:t>
      </w:r>
      <w:r w:rsidRPr="00316DE1">
        <w:t>de una</w:t>
      </w:r>
      <w:r w:rsidR="00BA3E13">
        <w:t xml:space="preserve"> coyuntura</w:t>
      </w:r>
      <w:r w:rsidRPr="00316DE1">
        <w:t>, aun así,</w:t>
      </w:r>
      <w:r w:rsidR="00D86343">
        <w:t xml:space="preserve"> </w:t>
      </w:r>
      <w:r w:rsidRPr="00316DE1">
        <w:t xml:space="preserve">no es la única </w:t>
      </w:r>
      <w:r w:rsidR="00BA3E13">
        <w:t xml:space="preserve">manera de control </w:t>
      </w:r>
      <w:r w:rsidRPr="00316DE1">
        <w:t xml:space="preserve">emocional. La segunda, </w:t>
      </w:r>
      <w:r w:rsidR="00AF2230">
        <w:t xml:space="preserve">implica </w:t>
      </w:r>
      <w:r w:rsidRPr="00316DE1">
        <w:t xml:space="preserve">la </w:t>
      </w:r>
      <w:r w:rsidR="00AF2230">
        <w:t xml:space="preserve">variación </w:t>
      </w:r>
      <w:r w:rsidRPr="00316DE1">
        <w:t xml:space="preserve">de la </w:t>
      </w:r>
      <w:r w:rsidR="00AF2230">
        <w:t>reacción</w:t>
      </w:r>
      <w:r w:rsidRPr="00316DE1">
        <w:t xml:space="preserve"> en </w:t>
      </w:r>
      <w:r w:rsidRPr="004049C2">
        <w:t xml:space="preserve">reducir </w:t>
      </w:r>
      <w:proofErr w:type="gramStart"/>
      <w:r w:rsidRPr="004049C2">
        <w:t>la</w:t>
      </w:r>
      <w:r w:rsidR="004049C2" w:rsidRPr="004049C2">
        <w:t xml:space="preserve"> </w:t>
      </w:r>
      <w:r w:rsidR="00AF2230" w:rsidRPr="004049C2">
        <w:t>matiz</w:t>
      </w:r>
      <w:proofErr w:type="gramEnd"/>
      <w:r w:rsidR="00AF2230" w:rsidRPr="004049C2">
        <w:t xml:space="preserve"> </w:t>
      </w:r>
      <w:r w:rsidRPr="004049C2">
        <w:t>de</w:t>
      </w:r>
      <w:r w:rsidRPr="00316DE1">
        <w:t xml:space="preserve"> las emociones negativas, en </w:t>
      </w:r>
      <w:r w:rsidR="00E0783B">
        <w:t xml:space="preserve">irrumpir </w:t>
      </w:r>
      <w:r w:rsidRPr="00316DE1">
        <w:t xml:space="preserve">lo </w:t>
      </w:r>
      <w:r w:rsidR="00E0783B">
        <w:t xml:space="preserve">aversivo </w:t>
      </w:r>
      <w:r w:rsidRPr="00316DE1">
        <w:t xml:space="preserve">con tal de </w:t>
      </w:r>
      <w:r w:rsidR="00E0783B">
        <w:t>proseguir</w:t>
      </w:r>
      <w:r w:rsidRPr="00316DE1">
        <w:t xml:space="preserve"> </w:t>
      </w:r>
      <w:r w:rsidR="00E0783B">
        <w:t>rescatando las mejores vivencias</w:t>
      </w:r>
      <w:r w:rsidRPr="00316DE1">
        <w:t xml:space="preserve">. Ambas vías, permiten una integración en la regulación, la cual no solo reflejará un control en </w:t>
      </w:r>
      <w:r w:rsidR="0071293C">
        <w:t>el comportamiento</w:t>
      </w:r>
      <w:r w:rsidRPr="00316DE1">
        <w:t>, sino también una</w:t>
      </w:r>
      <w:r w:rsidR="0071293C">
        <w:t xml:space="preserve"> real </w:t>
      </w:r>
      <w:r w:rsidRPr="00316DE1">
        <w:t xml:space="preserve">reflexión, </w:t>
      </w:r>
      <w:r w:rsidR="0071293C">
        <w:t xml:space="preserve">apreciando </w:t>
      </w:r>
      <w:r w:rsidRPr="00316DE1">
        <w:t xml:space="preserve">la </w:t>
      </w:r>
      <w:r w:rsidR="0071293C">
        <w:t xml:space="preserve">esencia </w:t>
      </w:r>
      <w:r w:rsidRPr="00316DE1">
        <w:t xml:space="preserve">de lo que </w:t>
      </w:r>
      <w:r w:rsidR="0071293C">
        <w:t>aconteció</w:t>
      </w:r>
      <w:r w:rsidRPr="00316DE1">
        <w:t xml:space="preserve">. </w:t>
      </w:r>
      <w:r w:rsidR="0071293C">
        <w:t>F</w:t>
      </w:r>
      <w:r w:rsidRPr="00316DE1">
        <w:t xml:space="preserve">rente a </w:t>
      </w:r>
      <w:r w:rsidR="0071293C">
        <w:t xml:space="preserve">oportunidades </w:t>
      </w:r>
      <w:r w:rsidRPr="00316DE1">
        <w:t xml:space="preserve">posteriores, </w:t>
      </w:r>
      <w:r w:rsidR="0071293C">
        <w:t xml:space="preserve">la persona </w:t>
      </w:r>
      <w:r w:rsidRPr="00316DE1">
        <w:t xml:space="preserve">tendrá un </w:t>
      </w:r>
      <w:r w:rsidR="0026746C" w:rsidRPr="00316DE1">
        <w:t>mejor desempeño</w:t>
      </w:r>
      <w:r w:rsidRPr="00316DE1">
        <w:t xml:space="preserve"> en el proceso de </w:t>
      </w:r>
      <w:r w:rsidR="0071293C">
        <w:t xml:space="preserve">atención y gestión de </w:t>
      </w:r>
      <w:r w:rsidRPr="00316DE1">
        <w:t>una</w:t>
      </w:r>
      <w:r w:rsidR="0071293C">
        <w:t xml:space="preserve"> reacción </w:t>
      </w:r>
      <w:r w:rsidRPr="00316DE1">
        <w:t>(Gross &amp; Jo</w:t>
      </w:r>
      <w:r w:rsidR="00397075">
        <w:t>h</w:t>
      </w:r>
      <w:r w:rsidRPr="00316DE1">
        <w:t>n, 2003), la cual es parte de la vida cotidiana, y por ello implica el manejo respectivo (</w:t>
      </w:r>
      <w:proofErr w:type="spellStart"/>
      <w:r w:rsidRPr="00316DE1">
        <w:t>Gargurevich</w:t>
      </w:r>
      <w:proofErr w:type="spellEnd"/>
      <w:r w:rsidRPr="00316DE1">
        <w:t xml:space="preserve"> &amp; Matos, 2010).</w:t>
      </w:r>
    </w:p>
    <w:p w14:paraId="49C980C6" w14:textId="69D400B4" w:rsidR="00316DE1" w:rsidRPr="00316DE1" w:rsidRDefault="004049C2" w:rsidP="00F671A4">
      <w:pPr>
        <w:ind w:firstLine="709"/>
      </w:pPr>
      <w:r>
        <w:t>Es importante reconocer que las personas pueden ajustar sus emociones para cumplir con las expectativas de una organización enfocada en alcanzar metas. Sin embargo, más allá de la introspección, es esencial promover en los estudiantes un enfoque equilibrado en la asunción de roles y responsabilidades</w:t>
      </w:r>
      <w:r w:rsidR="00316DE1" w:rsidRPr="00316DE1">
        <w:t xml:space="preserve"> (</w:t>
      </w:r>
      <w:proofErr w:type="spellStart"/>
      <w:r w:rsidR="00316DE1" w:rsidRPr="00316DE1">
        <w:t>Grandey</w:t>
      </w:r>
      <w:proofErr w:type="spellEnd"/>
      <w:r w:rsidR="00316DE1" w:rsidRPr="00316DE1">
        <w:t xml:space="preserve"> &amp; </w:t>
      </w:r>
      <w:proofErr w:type="spellStart"/>
      <w:r w:rsidR="00316DE1" w:rsidRPr="00316DE1">
        <w:t>Sayre</w:t>
      </w:r>
      <w:proofErr w:type="spellEnd"/>
      <w:r w:rsidR="00316DE1" w:rsidRPr="00316DE1">
        <w:t xml:space="preserve">, 2019). Por otro lado, es importante mencionar que las relaciones tempranas son </w:t>
      </w:r>
      <w:r w:rsidR="002E465D">
        <w:t xml:space="preserve">fundamentales </w:t>
      </w:r>
      <w:r w:rsidR="00316DE1" w:rsidRPr="00316DE1">
        <w:t xml:space="preserve">para que un niño opte la </w:t>
      </w:r>
      <w:r w:rsidR="002E465D">
        <w:t xml:space="preserve">forma </w:t>
      </w:r>
      <w:r w:rsidR="00316DE1" w:rsidRPr="00316DE1">
        <w:t xml:space="preserve">de </w:t>
      </w:r>
      <w:r w:rsidR="002E465D">
        <w:t xml:space="preserve">reacción </w:t>
      </w:r>
      <w:r w:rsidR="00316DE1" w:rsidRPr="00316DE1">
        <w:t xml:space="preserve">frente a </w:t>
      </w:r>
      <w:r w:rsidR="002E465D">
        <w:t xml:space="preserve">dificultades </w:t>
      </w:r>
      <w:r w:rsidR="00316DE1" w:rsidRPr="00316DE1">
        <w:t xml:space="preserve">y cómo </w:t>
      </w:r>
      <w:r w:rsidR="002E465D">
        <w:t xml:space="preserve">apaciguarse </w:t>
      </w:r>
      <w:r w:rsidR="00316DE1" w:rsidRPr="00316DE1">
        <w:t>(</w:t>
      </w:r>
      <w:proofErr w:type="spellStart"/>
      <w:r w:rsidR="00316DE1" w:rsidRPr="00316DE1">
        <w:t>Mikulincer</w:t>
      </w:r>
      <w:proofErr w:type="spellEnd"/>
      <w:r w:rsidR="00316DE1" w:rsidRPr="00316DE1">
        <w:t xml:space="preserve"> et al., 2003). Las consecuencias de la regulación emocional tienen una </w:t>
      </w:r>
      <w:r w:rsidR="002C5127">
        <w:t xml:space="preserve">mucha </w:t>
      </w:r>
      <w:r w:rsidR="00316DE1" w:rsidRPr="00316DE1">
        <w:t xml:space="preserve">importancia sobre </w:t>
      </w:r>
      <w:r w:rsidR="002C5127">
        <w:t>la armonía</w:t>
      </w:r>
      <w:r w:rsidR="00316DE1" w:rsidRPr="00316DE1">
        <w:t xml:space="preserve"> psicológic</w:t>
      </w:r>
      <w:r w:rsidR="002C5127">
        <w:t>a</w:t>
      </w:r>
      <w:r w:rsidR="00316DE1" w:rsidRPr="00316DE1">
        <w:t xml:space="preserve"> (Fischer et al., 2007) y en el afecto del individuo (</w:t>
      </w:r>
      <w:proofErr w:type="spellStart"/>
      <w:r w:rsidR="00316DE1" w:rsidRPr="00316DE1">
        <w:t>Hülsheger</w:t>
      </w:r>
      <w:proofErr w:type="spellEnd"/>
      <w:r w:rsidR="00316DE1" w:rsidRPr="00316DE1">
        <w:t xml:space="preserve"> et al., 2015); </w:t>
      </w:r>
      <w:r w:rsidR="00BD5A8B">
        <w:t xml:space="preserve">junto con </w:t>
      </w:r>
      <w:r w:rsidR="00316DE1" w:rsidRPr="00316DE1">
        <w:t>en el control de la agresividad y violencia (</w:t>
      </w:r>
      <w:proofErr w:type="spellStart"/>
      <w:r w:rsidR="00316DE1" w:rsidRPr="00316DE1">
        <w:t>Esbec</w:t>
      </w:r>
      <w:proofErr w:type="spellEnd"/>
      <w:r w:rsidR="00316DE1" w:rsidRPr="00316DE1">
        <w:t xml:space="preserve"> y Echeburúa, 2014).</w:t>
      </w:r>
    </w:p>
    <w:p w14:paraId="4FA59385" w14:textId="515FF8AE" w:rsidR="00A76423" w:rsidRDefault="00316DE1" w:rsidP="00F671A4">
      <w:pPr>
        <w:ind w:firstLine="709"/>
      </w:pPr>
      <w:r w:rsidRPr="00316DE1">
        <w:t xml:space="preserve">El compromiso académico es un </w:t>
      </w:r>
      <w:r w:rsidR="004F39DB">
        <w:t xml:space="preserve">rasgo </w:t>
      </w:r>
      <w:r w:rsidR="009379FE">
        <w:t xml:space="preserve">correspondiente </w:t>
      </w:r>
      <w:r w:rsidRPr="00316DE1">
        <w:t xml:space="preserve">con </w:t>
      </w:r>
      <w:r w:rsidR="004F39DB">
        <w:t xml:space="preserve">las tareas </w:t>
      </w:r>
      <w:r w:rsidR="009379FE">
        <w:t xml:space="preserve">e integrado </w:t>
      </w:r>
      <w:r w:rsidRPr="00316DE1">
        <w:t xml:space="preserve">por el vigor que consiste en </w:t>
      </w:r>
      <w:r w:rsidR="004F39DB">
        <w:t xml:space="preserve">la alta </w:t>
      </w:r>
      <w:r w:rsidRPr="00316DE1">
        <w:t xml:space="preserve">energía y </w:t>
      </w:r>
      <w:r w:rsidR="004F39DB">
        <w:t xml:space="preserve">dureza </w:t>
      </w:r>
      <w:r w:rsidRPr="00316DE1">
        <w:t xml:space="preserve">mental; dedicación, una </w:t>
      </w:r>
      <w:r w:rsidR="004F39DB">
        <w:t xml:space="preserve">gran </w:t>
      </w:r>
      <w:r w:rsidR="00DD596E">
        <w:t xml:space="preserve">asunción en las labores </w:t>
      </w:r>
      <w:r w:rsidRPr="00316DE1">
        <w:t xml:space="preserve">y </w:t>
      </w:r>
      <w:r w:rsidR="00C12764" w:rsidRPr="00C12764">
        <w:t>supresión, entendida como una forma de atención relacionada con estados emocionales y cognitivos</w:t>
      </w:r>
      <w:r w:rsidR="00756DA2">
        <w:t>, frecuente</w:t>
      </w:r>
      <w:r w:rsidRPr="00316DE1">
        <w:t xml:space="preserve">, provenientes de </w:t>
      </w:r>
      <w:r w:rsidR="00756DA2">
        <w:t xml:space="preserve">una elevada </w:t>
      </w:r>
      <w:r w:rsidRPr="00316DE1">
        <w:t xml:space="preserve">autoeficacia, la que </w:t>
      </w:r>
      <w:r w:rsidR="00756DA2">
        <w:t xml:space="preserve">implica seguridad en uno mismo y </w:t>
      </w:r>
      <w:r w:rsidRPr="00316DE1">
        <w:t xml:space="preserve">facilita un compromiso </w:t>
      </w:r>
      <w:r w:rsidR="00756DA2">
        <w:t xml:space="preserve">en la variedad de objetivos </w:t>
      </w:r>
      <w:r w:rsidRPr="00316DE1">
        <w:t>ya sea en los estudios u otras</w:t>
      </w:r>
      <w:r w:rsidR="00756DA2">
        <w:t xml:space="preserve"> actividades</w:t>
      </w:r>
      <w:r w:rsidRPr="00316DE1">
        <w:t>,</w:t>
      </w:r>
      <w:r w:rsidR="00756DA2">
        <w:t xml:space="preserve"> </w:t>
      </w:r>
      <w:r w:rsidRPr="00316DE1">
        <w:t xml:space="preserve">y requiere la </w:t>
      </w:r>
      <w:r w:rsidR="00714B2B">
        <w:t xml:space="preserve">armonía de </w:t>
      </w:r>
      <w:r w:rsidRPr="00316DE1">
        <w:t>dichas características, y que permiten</w:t>
      </w:r>
      <w:r w:rsidR="00714B2B">
        <w:t xml:space="preserve"> a la persona, alcanzar metas determinadas </w:t>
      </w:r>
      <w:r w:rsidRPr="00316DE1">
        <w:t>(</w:t>
      </w:r>
      <w:r w:rsidRPr="003B2C30">
        <w:rPr>
          <w:color w:val="FFFF00"/>
        </w:rPr>
        <w:t xml:space="preserve"> </w:t>
      </w:r>
      <w:r w:rsidRPr="00316DE1">
        <w:t xml:space="preserve">Caballero, 2006; </w:t>
      </w:r>
      <w:proofErr w:type="spellStart"/>
      <w:r w:rsidRPr="00316DE1">
        <w:t>Salanova</w:t>
      </w:r>
      <w:proofErr w:type="spellEnd"/>
      <w:r w:rsidRPr="00316DE1">
        <w:t xml:space="preserve"> et al., 2000). El compromiso es </w:t>
      </w:r>
      <w:r w:rsidR="004A5250">
        <w:t xml:space="preserve">fundamental </w:t>
      </w:r>
      <w:r w:rsidRPr="00316DE1">
        <w:t xml:space="preserve">para </w:t>
      </w:r>
      <w:r w:rsidR="00573E31">
        <w:t xml:space="preserve">la consecución normativa </w:t>
      </w:r>
      <w:r w:rsidRPr="00316DE1">
        <w:t xml:space="preserve">a largo plazo y para </w:t>
      </w:r>
      <w:r w:rsidR="004A5250">
        <w:t xml:space="preserve">la satisfacción de los educandos </w:t>
      </w:r>
      <w:r w:rsidRPr="00316DE1">
        <w:t>(</w:t>
      </w:r>
      <w:proofErr w:type="spellStart"/>
      <w:r w:rsidRPr="00316DE1">
        <w:t>Alrashidi</w:t>
      </w:r>
      <w:proofErr w:type="spellEnd"/>
      <w:r w:rsidRPr="00316DE1">
        <w:t xml:space="preserve"> et al., 2016), involucra </w:t>
      </w:r>
      <w:r w:rsidR="007E6E90">
        <w:t>el</w:t>
      </w:r>
      <w:r w:rsidRPr="00316DE1">
        <w:t xml:space="preserve"> buen </w:t>
      </w:r>
      <w:r w:rsidR="007E6E90">
        <w:t xml:space="preserve">desenvolvimiento en el rubro </w:t>
      </w:r>
      <w:r w:rsidRPr="00316DE1">
        <w:t>universitario (</w:t>
      </w:r>
      <w:proofErr w:type="spellStart"/>
      <w:r w:rsidRPr="00316DE1">
        <w:t>Horstmanshof</w:t>
      </w:r>
      <w:proofErr w:type="spellEnd"/>
      <w:r w:rsidRPr="00316DE1">
        <w:t xml:space="preserve"> y </w:t>
      </w:r>
      <w:proofErr w:type="spellStart"/>
      <w:r w:rsidRPr="00316DE1">
        <w:t>Zimitat</w:t>
      </w:r>
      <w:proofErr w:type="spellEnd"/>
      <w:r w:rsidRPr="00316DE1">
        <w:t xml:space="preserve">, 2007) y se refleja en la forma de su </w:t>
      </w:r>
      <w:r w:rsidR="000D6C8D">
        <w:lastRenderedPageBreak/>
        <w:t xml:space="preserve">involucramiento </w:t>
      </w:r>
      <w:r w:rsidRPr="00316DE1">
        <w:t xml:space="preserve">y compromiso en </w:t>
      </w:r>
      <w:r w:rsidR="000D6C8D">
        <w:t xml:space="preserve">el proceso respectivo </w:t>
      </w:r>
      <w:r w:rsidRPr="00316DE1">
        <w:t>(</w:t>
      </w:r>
      <w:proofErr w:type="spellStart"/>
      <w:r w:rsidRPr="00316DE1">
        <w:t>Hu</w:t>
      </w:r>
      <w:proofErr w:type="spellEnd"/>
      <w:r w:rsidRPr="00316DE1">
        <w:t xml:space="preserve"> et al., 2011). El compromiso de la persona involucra la </w:t>
      </w:r>
      <w:r w:rsidR="00857374">
        <w:t>determinación</w:t>
      </w:r>
      <w:r w:rsidRPr="00316DE1">
        <w:t xml:space="preserve">, </w:t>
      </w:r>
      <w:r w:rsidR="00857374">
        <w:t>fuerza</w:t>
      </w:r>
      <w:r w:rsidRPr="00316DE1">
        <w:t xml:space="preserve">, </w:t>
      </w:r>
      <w:r w:rsidR="00857374">
        <w:t>motivación</w:t>
      </w:r>
      <w:r w:rsidRPr="00316DE1">
        <w:t xml:space="preserve">, </w:t>
      </w:r>
      <w:r w:rsidR="00A85BF8">
        <w:t xml:space="preserve">enmarcados en sus respectivos componentes </w:t>
      </w:r>
      <w:r w:rsidRPr="00316DE1">
        <w:t xml:space="preserve">(Caballero et al., 2007; </w:t>
      </w:r>
      <w:proofErr w:type="spellStart"/>
      <w:r w:rsidRPr="00316DE1">
        <w:t>Schaufeli</w:t>
      </w:r>
      <w:proofErr w:type="spellEnd"/>
      <w:r w:rsidRPr="00316DE1">
        <w:t xml:space="preserve"> et al., 2006). El manejo del compromiso es importante para así evitar</w:t>
      </w:r>
      <w:r w:rsidR="00857374">
        <w:t xml:space="preserve"> demora </w:t>
      </w:r>
      <w:r w:rsidRPr="00316DE1">
        <w:t>en las</w:t>
      </w:r>
      <w:r w:rsidR="00857374">
        <w:t xml:space="preserve"> actividades </w:t>
      </w:r>
      <w:r w:rsidRPr="00316DE1">
        <w:t xml:space="preserve">y el </w:t>
      </w:r>
      <w:r w:rsidR="00857374">
        <w:t xml:space="preserve">desgano </w:t>
      </w:r>
      <w:r w:rsidRPr="00316DE1">
        <w:t>(Domínguez-Lara et al., 2020). La</w:t>
      </w:r>
      <w:r w:rsidR="00F541A4">
        <w:t xml:space="preserve">s experiencias de </w:t>
      </w:r>
      <w:r w:rsidRPr="00316DE1">
        <w:t xml:space="preserve">vida, el hogar y las </w:t>
      </w:r>
      <w:r w:rsidR="00F541A4">
        <w:t>expectativas</w:t>
      </w:r>
      <w:r w:rsidRPr="00316DE1">
        <w:t>, son</w:t>
      </w:r>
      <w:r w:rsidR="005321E6">
        <w:t xml:space="preserve"> </w:t>
      </w:r>
      <w:r w:rsidR="007D5041">
        <w:t xml:space="preserve">factores </w:t>
      </w:r>
      <w:r w:rsidRPr="00316DE1">
        <w:t>importantes del</w:t>
      </w:r>
      <w:r w:rsidR="005321E6">
        <w:t xml:space="preserve"> deber</w:t>
      </w:r>
      <w:r w:rsidRPr="00316DE1">
        <w:t xml:space="preserve"> </w:t>
      </w:r>
      <w:r w:rsidR="005321E6">
        <w:t xml:space="preserve">en la academia </w:t>
      </w:r>
      <w:r w:rsidRPr="00316DE1">
        <w:t>(</w:t>
      </w:r>
      <w:proofErr w:type="spellStart"/>
      <w:r w:rsidRPr="00316DE1">
        <w:t>Astin</w:t>
      </w:r>
      <w:proofErr w:type="spellEnd"/>
      <w:r w:rsidRPr="00316DE1">
        <w:t xml:space="preserve"> &amp; Lee, 2003). Este es el punto </w:t>
      </w:r>
      <w:r w:rsidR="00A95683">
        <w:t xml:space="preserve">relevante </w:t>
      </w:r>
      <w:r w:rsidRPr="00316DE1">
        <w:t xml:space="preserve">para mejorar las </w:t>
      </w:r>
      <w:r w:rsidR="00A95683">
        <w:t xml:space="preserve">coyunturas </w:t>
      </w:r>
      <w:r w:rsidRPr="00316DE1">
        <w:t xml:space="preserve">educativas de los </w:t>
      </w:r>
      <w:r w:rsidR="00A95683">
        <w:t xml:space="preserve">educandos </w:t>
      </w:r>
      <w:r w:rsidRPr="00316DE1">
        <w:t xml:space="preserve">(Tucker et al., 2002), juega un papel </w:t>
      </w:r>
      <w:r w:rsidR="006A513A">
        <w:t>muy importante e</w:t>
      </w:r>
      <w:r w:rsidRPr="00316DE1">
        <w:t xml:space="preserve">n la </w:t>
      </w:r>
      <w:r w:rsidR="006A513A">
        <w:t xml:space="preserve">predisposición y bienestar </w:t>
      </w:r>
      <w:r w:rsidRPr="00316DE1">
        <w:t>(Martin, 2008) y evidencia un compromiso activo en el aprendizaje (</w:t>
      </w:r>
      <w:proofErr w:type="spellStart"/>
      <w:r w:rsidRPr="00316DE1">
        <w:t>Mih</w:t>
      </w:r>
      <w:proofErr w:type="spellEnd"/>
      <w:r w:rsidRPr="00316DE1">
        <w:t xml:space="preserve"> y </w:t>
      </w:r>
      <w:proofErr w:type="spellStart"/>
      <w:r w:rsidRPr="00316DE1">
        <w:t>Mih</w:t>
      </w:r>
      <w:proofErr w:type="spellEnd"/>
      <w:r w:rsidRPr="00316DE1">
        <w:t>, 2013), llegando incluso a reducir cualquier sensación de fatiga (Chen et al., 2020).</w:t>
      </w:r>
    </w:p>
    <w:p w14:paraId="01A12C0D" w14:textId="50A2326F" w:rsidR="00316DE1" w:rsidRPr="00316DE1" w:rsidRDefault="00316DE1" w:rsidP="00F671A4">
      <w:pPr>
        <w:ind w:firstLine="709"/>
      </w:pPr>
      <w:r w:rsidRPr="00316DE1">
        <w:t>El estudio puede proporcionar información valiosa para mejorar la experiencia de los estudiantes universitarios, reducir el abandono académico y promover estrategias efectivas de autorregulación emocional en el ámbito académico. Además, puede tener un</w:t>
      </w:r>
      <w:r w:rsidR="00E121B4">
        <w:t>a incidencia relevante</w:t>
      </w:r>
      <w:r w:rsidRPr="00316DE1">
        <w:t xml:space="preserve"> en </w:t>
      </w:r>
      <w:r w:rsidR="00E121B4">
        <w:t xml:space="preserve">la satisfacción </w:t>
      </w:r>
      <w:r w:rsidRPr="00316DE1">
        <w:t xml:space="preserve">y el éxito de los estudiantes en su trayectoria educativa. </w:t>
      </w:r>
      <w:r w:rsidR="003906EE" w:rsidRPr="003906EE">
        <w:t>El objetivo de este estudio fue analizar si la fatiga emocional y la regulación emocional predicen el compromiso académico en estudiantes de la Región San Martín, así como evaluar diferencias según variables sociodemográficas</w:t>
      </w:r>
      <w:r w:rsidR="003906EE">
        <w:t>.</w:t>
      </w:r>
    </w:p>
    <w:p w14:paraId="1F238D12" w14:textId="77777777" w:rsidR="00316DE1" w:rsidRDefault="00316DE1" w:rsidP="00F671A4">
      <w:pPr>
        <w:jc w:val="center"/>
      </w:pPr>
    </w:p>
    <w:p w14:paraId="31E7B4AC" w14:textId="77777777" w:rsidR="00316DE1" w:rsidRPr="00F671A4" w:rsidRDefault="00316DE1" w:rsidP="00F671A4">
      <w:pPr>
        <w:jc w:val="center"/>
        <w:rPr>
          <w:b/>
          <w:sz w:val="32"/>
          <w:szCs w:val="28"/>
          <w:lang w:val="es-ES"/>
        </w:rPr>
      </w:pPr>
      <w:r w:rsidRPr="00F671A4">
        <w:rPr>
          <w:b/>
          <w:sz w:val="32"/>
          <w:szCs w:val="28"/>
          <w:lang w:val="es-ES"/>
        </w:rPr>
        <w:t>Materiales y métodos</w:t>
      </w:r>
    </w:p>
    <w:p w14:paraId="210AF441" w14:textId="77777777" w:rsidR="00316DE1" w:rsidRPr="00F671A4" w:rsidRDefault="00316DE1" w:rsidP="00F671A4">
      <w:pPr>
        <w:jc w:val="center"/>
        <w:rPr>
          <w:b/>
          <w:bCs/>
          <w:sz w:val="28"/>
          <w:szCs w:val="24"/>
        </w:rPr>
      </w:pPr>
      <w:r w:rsidRPr="00F671A4">
        <w:rPr>
          <w:b/>
          <w:bCs/>
          <w:sz w:val="28"/>
          <w:szCs w:val="24"/>
        </w:rPr>
        <w:t>Tipo y diseño</w:t>
      </w:r>
    </w:p>
    <w:p w14:paraId="3C492191" w14:textId="318E0919" w:rsidR="00316DE1" w:rsidRPr="00707591" w:rsidRDefault="00316DE1" w:rsidP="00F671A4">
      <w:pPr>
        <w:ind w:firstLine="709"/>
      </w:pPr>
      <w:r w:rsidRPr="00A76423">
        <w:t xml:space="preserve">El </w:t>
      </w:r>
      <w:r w:rsidR="003906EE">
        <w:t xml:space="preserve">trabajo se enmarcó </w:t>
      </w:r>
      <w:r w:rsidR="0038084A">
        <w:t xml:space="preserve">en un enfoque </w:t>
      </w:r>
      <w:r w:rsidRPr="00A76423">
        <w:t xml:space="preserve">cuantitativo, de diseño descriptivo, correlacional </w:t>
      </w:r>
      <w:r w:rsidR="00AF4533" w:rsidRPr="00A76423">
        <w:t xml:space="preserve">y </w:t>
      </w:r>
      <w:r w:rsidR="00B8209B">
        <w:t>explicativo</w:t>
      </w:r>
      <w:r w:rsidR="00AF4533" w:rsidRPr="00A76423">
        <w:t xml:space="preserve"> </w:t>
      </w:r>
      <w:r w:rsidRPr="00A76423">
        <w:t>(Hernández et al. 201</w:t>
      </w:r>
      <w:r w:rsidR="00C0678E">
        <w:t>4</w:t>
      </w:r>
      <w:r w:rsidRPr="00A76423">
        <w:t xml:space="preserve">) </w:t>
      </w:r>
      <w:r w:rsidR="0038084A" w:rsidRPr="0038084A">
        <w:t>porque analizó las relaciones entre las variables con una muestra única de participantes, utilizando instrumentos válidos y disponibles</w:t>
      </w:r>
      <w:r w:rsidRPr="00A76423">
        <w:t xml:space="preserve">. </w:t>
      </w:r>
      <w:r w:rsidR="0038084A" w:rsidRPr="0038084A">
        <w:t xml:space="preserve">Además, fue un estudio transversal (Ato et al., 2013), ya que la recolección de datos se realizó en un único momento. Asimismo, tuvo un enfoque predictivo </w:t>
      </w:r>
      <w:r w:rsidR="00C0678E">
        <w:t>que buscó estimar</w:t>
      </w:r>
      <w:r w:rsidR="0038084A" w:rsidRPr="0038084A">
        <w:t xml:space="preserve"> en qué medida las variables independientes influyen en la variabilidad de la dependiente</w:t>
      </w:r>
      <w:r w:rsidR="00D3352E" w:rsidRPr="00707591">
        <w:t>.</w:t>
      </w:r>
    </w:p>
    <w:p w14:paraId="6CB23C18" w14:textId="77777777" w:rsidR="00C972AB" w:rsidRPr="00707591" w:rsidRDefault="00C972AB" w:rsidP="00316DE1"/>
    <w:p w14:paraId="5C997F7E" w14:textId="77777777" w:rsidR="00316DE1" w:rsidRPr="00707591" w:rsidRDefault="00316DE1" w:rsidP="00F671A4">
      <w:pPr>
        <w:jc w:val="center"/>
        <w:rPr>
          <w:b/>
          <w:bCs/>
        </w:rPr>
      </w:pPr>
      <w:r w:rsidRPr="00707591">
        <w:rPr>
          <w:b/>
          <w:bCs/>
        </w:rPr>
        <w:t>Participantes</w:t>
      </w:r>
    </w:p>
    <w:p w14:paraId="05990086" w14:textId="14D5F28E" w:rsidR="0011187B" w:rsidRDefault="00316DE1" w:rsidP="00F671A4">
      <w:pPr>
        <w:ind w:firstLine="709"/>
      </w:pPr>
      <w:r w:rsidRPr="00707591">
        <w:t xml:space="preserve">La población </w:t>
      </w:r>
      <w:r w:rsidR="000A4E07">
        <w:t>del estudio estuvo compuesta</w:t>
      </w:r>
      <w:r w:rsidRPr="00707591">
        <w:t xml:space="preserve"> </w:t>
      </w:r>
      <w:r w:rsidR="000A4E07">
        <w:t xml:space="preserve">por </w:t>
      </w:r>
      <w:r w:rsidR="00C972AB" w:rsidRPr="00707591">
        <w:t>11</w:t>
      </w:r>
      <w:r w:rsidR="000A4E07">
        <w:t>,</w:t>
      </w:r>
      <w:r w:rsidR="00C972AB" w:rsidRPr="00707591">
        <w:t xml:space="preserve">656 estudiantes pertenecientes al nivel universitario de universidades </w:t>
      </w:r>
      <w:r w:rsidR="0011187B" w:rsidRPr="00707591">
        <w:t>privadas en la provincia de San Martín</w:t>
      </w:r>
      <w:r w:rsidR="006175BB" w:rsidRPr="006175BB">
        <w:t>–</w:t>
      </w:r>
      <w:r w:rsidR="0011187B" w:rsidRPr="00707591">
        <w:t>P</w:t>
      </w:r>
      <w:r w:rsidR="00A76423" w:rsidRPr="00707591">
        <w:t>e</w:t>
      </w:r>
      <w:r w:rsidR="0011187B" w:rsidRPr="00707591">
        <w:t>r</w:t>
      </w:r>
      <w:r w:rsidR="00A76423" w:rsidRPr="00707591">
        <w:t>ú</w:t>
      </w:r>
      <w:r w:rsidR="0011187B" w:rsidRPr="00707591">
        <w:t xml:space="preserve">. Se aplicó un muestreo no probabilístico para calcular la muestra finita, </w:t>
      </w:r>
      <w:r w:rsidR="0038084A">
        <w:t xml:space="preserve">ya </w:t>
      </w:r>
      <w:r w:rsidR="0011187B" w:rsidRPr="00707591">
        <w:t>que permite establecer parámetros para la medición</w:t>
      </w:r>
      <w:r w:rsidR="00A76423" w:rsidRPr="00707591">
        <w:t xml:space="preserve"> </w:t>
      </w:r>
      <w:r w:rsidRPr="00707591">
        <w:t xml:space="preserve">(Hernández et al., 2014). </w:t>
      </w:r>
      <w:r w:rsidR="00E76BD1" w:rsidRPr="00E76BD1">
        <w:t xml:space="preserve">La muestra </w:t>
      </w:r>
      <w:r w:rsidR="00E76BD1">
        <w:t>se conformó</w:t>
      </w:r>
      <w:r w:rsidR="00E76BD1" w:rsidRPr="00E76BD1">
        <w:t xml:space="preserve"> por 76 </w:t>
      </w:r>
      <w:r w:rsidR="00E76BD1" w:rsidRPr="00E76BD1">
        <w:lastRenderedPageBreak/>
        <w:t>estudiantes: 23 de la Universidad A, 20 de la Universidad B y 33 de la Universidad C</w:t>
      </w:r>
      <w:r w:rsidR="00E76BD1">
        <w:t xml:space="preserve">; </w:t>
      </w:r>
      <w:r w:rsidR="0011187B" w:rsidRPr="00707591">
        <w:t xml:space="preserve">de las cuales el 76.3% fueron mujeres y la edad promedio </w:t>
      </w:r>
      <w:r w:rsidR="00E76BD1">
        <w:t xml:space="preserve">fue </w:t>
      </w:r>
      <w:r w:rsidR="0011187B" w:rsidRPr="00707591">
        <w:t xml:space="preserve">entre </w:t>
      </w:r>
      <w:r w:rsidRPr="00707591">
        <w:t>18 y 56 años (M</w:t>
      </w:r>
      <w:r w:rsidR="006175BB">
        <w:t xml:space="preserve"> </w:t>
      </w:r>
      <w:r w:rsidRPr="00707591">
        <w:t>= 23.23)</w:t>
      </w:r>
      <w:r w:rsidR="0011187B" w:rsidRPr="00707591">
        <w:t>. Los criterios de inclusión consideraron un ra</w:t>
      </w:r>
      <w:r w:rsidR="00A76423" w:rsidRPr="00707591">
        <w:t>n</w:t>
      </w:r>
      <w:r w:rsidR="0011187B" w:rsidRPr="00707591">
        <w:t>go eta</w:t>
      </w:r>
      <w:r w:rsidR="00A76423" w:rsidRPr="00707591">
        <w:t>r</w:t>
      </w:r>
      <w:r w:rsidR="0011187B" w:rsidRPr="00707591">
        <w:t xml:space="preserve">io entre 18 y 56 años, </w:t>
      </w:r>
      <w:r w:rsidR="00E76BD1">
        <w:t xml:space="preserve">cursar al menos el </w:t>
      </w:r>
      <w:r w:rsidR="0011187B" w:rsidRPr="00707591">
        <w:t>quinto ciclo y pose</w:t>
      </w:r>
      <w:r w:rsidR="00707591" w:rsidRPr="00707591">
        <w:t>e</w:t>
      </w:r>
      <w:r w:rsidR="0011187B" w:rsidRPr="00707591">
        <w:t>r nacionalidad peruana.</w:t>
      </w:r>
      <w:r w:rsidR="00707591" w:rsidRPr="00707591">
        <w:t xml:space="preserve"> </w:t>
      </w:r>
      <w:r w:rsidR="0011187B" w:rsidRPr="00707591">
        <w:t>Respecto a los criterios de exclusi</w:t>
      </w:r>
      <w:r w:rsidR="00707591" w:rsidRPr="00707591">
        <w:t>ó</w:t>
      </w:r>
      <w:r w:rsidR="0011187B" w:rsidRPr="00707591">
        <w:t xml:space="preserve">n </w:t>
      </w:r>
      <w:r w:rsidR="006175BB" w:rsidRPr="006175BB">
        <w:t>se determinó por la ausencia de información al momento del registro, como edad u otras características</w:t>
      </w:r>
      <w:r w:rsidR="0011187B" w:rsidRPr="00707591">
        <w:t xml:space="preserve">, estudiantes </w:t>
      </w:r>
      <w:r w:rsidR="00E76BD1">
        <w:t>en</w:t>
      </w:r>
      <w:r w:rsidR="0011187B" w:rsidRPr="00707591">
        <w:t xml:space="preserve"> pasant</w:t>
      </w:r>
      <w:r w:rsidR="00707591" w:rsidRPr="00707591">
        <w:t>í</w:t>
      </w:r>
      <w:r w:rsidR="0011187B" w:rsidRPr="00707591">
        <w:t xml:space="preserve">as internacionales </w:t>
      </w:r>
      <w:r w:rsidR="00E76BD1">
        <w:t>o</w:t>
      </w:r>
      <w:r w:rsidR="0011187B" w:rsidRPr="00707591">
        <w:t xml:space="preserve"> académica</w:t>
      </w:r>
      <w:r w:rsidR="00E76BD1">
        <w:t>s</w:t>
      </w:r>
      <w:r w:rsidR="0011187B" w:rsidRPr="00707591">
        <w:t>.</w:t>
      </w:r>
    </w:p>
    <w:p w14:paraId="1F6D1CD7" w14:textId="77777777" w:rsidR="00316DE1" w:rsidRPr="00316DE1" w:rsidRDefault="00316DE1" w:rsidP="00316DE1"/>
    <w:p w14:paraId="772D36BE" w14:textId="5348B243" w:rsidR="00316DE1" w:rsidRPr="00316DE1" w:rsidRDefault="00316DE1" w:rsidP="00F671A4">
      <w:pPr>
        <w:jc w:val="center"/>
      </w:pPr>
      <w:r>
        <w:rPr>
          <w:b/>
          <w:bCs/>
        </w:rPr>
        <w:t>Diseño de i</w:t>
      </w:r>
      <w:r w:rsidRPr="00316DE1">
        <w:rPr>
          <w:b/>
          <w:bCs/>
        </w:rPr>
        <w:t>nstrumentos</w:t>
      </w:r>
    </w:p>
    <w:p w14:paraId="5D4C0B78" w14:textId="139CED05" w:rsidR="00316DE1" w:rsidRPr="00952D69" w:rsidRDefault="0011187B" w:rsidP="00F671A4">
      <w:pPr>
        <w:ind w:firstLine="709"/>
      </w:pPr>
      <w:r>
        <w:t xml:space="preserve">Para la evaluación </w:t>
      </w:r>
      <w:r w:rsidR="004F3EC4">
        <w:t>de la fatiga</w:t>
      </w:r>
      <w:r w:rsidR="00E97241">
        <w:t xml:space="preserve"> emocional</w:t>
      </w:r>
      <w:r w:rsidR="004E5E9D">
        <w:t xml:space="preserve"> se empleó </w:t>
      </w:r>
      <w:r w:rsidR="00E76BD1">
        <w:t xml:space="preserve">la </w:t>
      </w:r>
      <w:r w:rsidR="004E5E9D">
        <w:t>ECE plantead</w:t>
      </w:r>
      <w:r w:rsidR="00E76BD1">
        <w:t>a</w:t>
      </w:r>
      <w:r w:rsidR="004E5E9D">
        <w:t xml:space="preserve"> por </w:t>
      </w:r>
      <w:r w:rsidR="00316DE1" w:rsidRPr="00316DE1">
        <w:t>Fontana</w:t>
      </w:r>
      <w:r w:rsidR="004E5E9D">
        <w:t xml:space="preserve"> (</w:t>
      </w:r>
      <w:r w:rsidR="00316DE1" w:rsidRPr="00316DE1">
        <w:t xml:space="preserve">2011). </w:t>
      </w:r>
      <w:r w:rsidR="00A33457" w:rsidRPr="00A33457">
        <w:t>Esta fue adaptada al contexto peruano y evaluada por Domínguez-Lara et al. (2018)</w:t>
      </w:r>
      <w:r w:rsidR="004E5E9D">
        <w:t xml:space="preserve">, </w:t>
      </w:r>
      <w:r w:rsidR="00A33457" w:rsidRPr="00A33457">
        <w:t>corresponde a una escala de autorreporte unidimensional compuesta por 10 ítems con opciones de respuesta de tipo Likert</w:t>
      </w:r>
      <w:r w:rsidR="00707591" w:rsidRPr="00924B5C">
        <w:t xml:space="preserve"> desde 1 = totalmente en desacuerdo, a 5 = totalmente de acuerdo</w:t>
      </w:r>
      <w:r w:rsidR="004E5E9D" w:rsidRPr="00924B5C">
        <w:t>. Las propiedades psicom</w:t>
      </w:r>
      <w:r w:rsidR="00707591" w:rsidRPr="00924B5C">
        <w:t>é</w:t>
      </w:r>
      <w:r w:rsidR="004E5E9D" w:rsidRPr="00924B5C">
        <w:t xml:space="preserve">tricas </w:t>
      </w:r>
      <w:r w:rsidR="004E5E9D" w:rsidRPr="00952D69">
        <w:t>presentadas evidencian que son adecuadas a nivel de estruct</w:t>
      </w:r>
      <w:r w:rsidR="00707591" w:rsidRPr="00952D69">
        <w:t>u</w:t>
      </w:r>
      <w:r w:rsidR="004E5E9D" w:rsidRPr="00952D69">
        <w:t>ra interna y consistencia [</w:t>
      </w:r>
      <w:r w:rsidR="00316DE1" w:rsidRPr="00952D69">
        <w:t>α = .881</w:t>
      </w:r>
      <w:r w:rsidR="004E5E9D" w:rsidRPr="00952D69">
        <w:t xml:space="preserve">; </w:t>
      </w:r>
      <w:r w:rsidR="00707591" w:rsidRPr="00952D69">
        <w:sym w:font="Symbol" w:char="F063"/>
      </w:r>
      <w:r w:rsidR="00316DE1" w:rsidRPr="00952D69">
        <w:t>2 = 266.038; CFI = .980; RMSEA = .077; SRMR = .046</w:t>
      </w:r>
      <w:r w:rsidR="004E5E9D" w:rsidRPr="00952D69">
        <w:t>]</w:t>
      </w:r>
      <w:r w:rsidR="00316DE1" w:rsidRPr="00952D69">
        <w:t>.</w:t>
      </w:r>
      <w:r w:rsidR="004E5E9D" w:rsidRPr="00952D69">
        <w:t xml:space="preserve"> </w:t>
      </w:r>
      <w:r w:rsidR="00A33457" w:rsidRPr="00A33457">
        <w:t xml:space="preserve">La regulación emocional fue evaluada con el cuestionario planteado por Gross y John (2003), adaptado al contexto peruano por </w:t>
      </w:r>
      <w:proofErr w:type="spellStart"/>
      <w:r w:rsidR="00A33457" w:rsidRPr="00A33457">
        <w:t>Gargurevich</w:t>
      </w:r>
      <w:proofErr w:type="spellEnd"/>
      <w:r w:rsidR="00A33457" w:rsidRPr="00A33457">
        <w:t xml:space="preserve"> y Matos (2010). Este instrumento consta de una escala de 10 ítems</w:t>
      </w:r>
      <w:r w:rsidR="00A33457">
        <w:t xml:space="preserve"> </w:t>
      </w:r>
      <w:r w:rsidR="004E5E9D" w:rsidRPr="00952D69">
        <w:t xml:space="preserve">con dos factores o dimensiones, </w:t>
      </w:r>
      <w:r w:rsidR="00A33457" w:rsidRPr="00A33457">
        <w:t>las opciones de respuesta consistieron en siete niveles, desde 1 = totalmente de acuerdo hasta 7 = totalmente en desacuerdo</w:t>
      </w:r>
      <w:r w:rsidR="004E5E9D" w:rsidRPr="00952D69">
        <w:t>. El in</w:t>
      </w:r>
      <w:r w:rsidR="00924B5C" w:rsidRPr="00952D69">
        <w:t>s</w:t>
      </w:r>
      <w:r w:rsidR="004E5E9D" w:rsidRPr="00952D69">
        <w:t>tr</w:t>
      </w:r>
      <w:r w:rsidR="00A33457">
        <w:t>u</w:t>
      </w:r>
      <w:r w:rsidR="004E5E9D" w:rsidRPr="00952D69">
        <w:t xml:space="preserve">mento posee adecuados </w:t>
      </w:r>
      <w:r w:rsidR="00924B5C" w:rsidRPr="00952D69">
        <w:t>í</w:t>
      </w:r>
      <w:r w:rsidR="004E5E9D" w:rsidRPr="00952D69">
        <w:t>ndices de consistencia interna y estructura [</w:t>
      </w:r>
      <w:r w:rsidR="00316DE1" w:rsidRPr="00952D69">
        <w:t>α = .73</w:t>
      </w:r>
      <w:r w:rsidR="004E5E9D" w:rsidRPr="00952D69">
        <w:t xml:space="preserve">; </w:t>
      </w:r>
      <w:r w:rsidR="00316DE1" w:rsidRPr="00952D69">
        <w:t>RMSEA = .073; CFI = .90</w:t>
      </w:r>
      <w:r w:rsidR="004E5E9D" w:rsidRPr="00952D69">
        <w:t>]</w:t>
      </w:r>
      <w:r w:rsidR="00316DE1" w:rsidRPr="00952D69">
        <w:t xml:space="preserve">. </w:t>
      </w:r>
    </w:p>
    <w:p w14:paraId="4960ECA2" w14:textId="4DB54F5E" w:rsidR="00316DE1" w:rsidRDefault="00900AC7" w:rsidP="00F671A4">
      <w:pPr>
        <w:ind w:firstLine="709"/>
      </w:pPr>
      <w:r w:rsidRPr="00952D69">
        <w:t>De igual manera</w:t>
      </w:r>
      <w:r w:rsidR="00924B5C" w:rsidRPr="00952D69">
        <w:t>,</w:t>
      </w:r>
      <w:r w:rsidRPr="00952D69">
        <w:t xml:space="preserve"> el compromiso se evaluó con la escala presentada por </w:t>
      </w:r>
      <w:proofErr w:type="spellStart"/>
      <w:r w:rsidR="00316DE1" w:rsidRPr="00952D69">
        <w:t>Schaufeli</w:t>
      </w:r>
      <w:proofErr w:type="spellEnd"/>
      <w:r w:rsidR="00316DE1" w:rsidRPr="00952D69">
        <w:t xml:space="preserve"> et al</w:t>
      </w:r>
      <w:r w:rsidRPr="00952D69">
        <w:t>. (</w:t>
      </w:r>
      <w:r w:rsidR="00316DE1" w:rsidRPr="00952D69">
        <w:t>2006)</w:t>
      </w:r>
      <w:r w:rsidRPr="00952D69">
        <w:t xml:space="preserve">, </w:t>
      </w:r>
      <w:r w:rsidR="00AD6543">
        <w:t xml:space="preserve">que </w:t>
      </w:r>
      <w:r w:rsidRPr="00952D69">
        <w:t xml:space="preserve">fue adaptada al contexto peruano por </w:t>
      </w:r>
      <w:r w:rsidR="00316DE1" w:rsidRPr="00952D69">
        <w:t>Domínguez-Lara et al</w:t>
      </w:r>
      <w:r w:rsidRPr="00952D69">
        <w:t>. (</w:t>
      </w:r>
      <w:r w:rsidR="00316DE1" w:rsidRPr="00952D69">
        <w:t xml:space="preserve">2020). </w:t>
      </w:r>
      <w:r w:rsidRPr="00952D69">
        <w:t xml:space="preserve">Se compone de nueve </w:t>
      </w:r>
      <w:r w:rsidR="00924B5C" w:rsidRPr="00952D69">
        <w:t>í</w:t>
      </w:r>
      <w:r w:rsidRPr="00952D69">
        <w:t>tems con tres dimen</w:t>
      </w:r>
      <w:r w:rsidR="00924B5C" w:rsidRPr="00952D69">
        <w:t>s</w:t>
      </w:r>
      <w:r w:rsidRPr="00952D69">
        <w:t xml:space="preserve">iones, las opciones de respuesta son de tipo </w:t>
      </w:r>
      <w:proofErr w:type="spellStart"/>
      <w:r w:rsidRPr="00952D69">
        <w:t>likert</w:t>
      </w:r>
      <w:proofErr w:type="spellEnd"/>
      <w:r w:rsidR="00924B5C" w:rsidRPr="00952D69">
        <w:t xml:space="preserve"> desde 1 = totalmente en desacuerdo, a 5 = totalmente de acuerdo</w:t>
      </w:r>
      <w:r w:rsidRPr="00952D69">
        <w:t xml:space="preserve">. La consistencia interna del instrumento fue </w:t>
      </w:r>
      <w:r w:rsidR="00316DE1" w:rsidRPr="00952D69">
        <w:t>Ω</w:t>
      </w:r>
      <w:r w:rsidR="00A33457">
        <w:t xml:space="preserve"> </w:t>
      </w:r>
      <w:r w:rsidR="00316DE1" w:rsidRPr="00952D69">
        <w:t>= .9</w:t>
      </w:r>
      <w:r w:rsidR="00A33457">
        <w:t>0</w:t>
      </w:r>
      <w:r w:rsidRPr="00952D69">
        <w:t xml:space="preserve">, además de disponer </w:t>
      </w:r>
      <w:r w:rsidR="00952D69" w:rsidRPr="00952D69">
        <w:t>í</w:t>
      </w:r>
      <w:r w:rsidRPr="00952D69">
        <w:t>ndices de ajuste</w:t>
      </w:r>
      <w:r w:rsidR="00316DE1" w:rsidRPr="00952D69">
        <w:t xml:space="preserve"> </w:t>
      </w:r>
      <w:r w:rsidR="00AD6543">
        <w:t xml:space="preserve">adecuados </w:t>
      </w:r>
      <w:r w:rsidR="00316DE1" w:rsidRPr="00952D69">
        <w:t>(CFI = .992; RMSEA = .085; IC 90%)</w:t>
      </w:r>
      <w:r w:rsidRPr="00952D69">
        <w:t xml:space="preserve"> </w:t>
      </w:r>
      <w:r w:rsidR="00AD6543" w:rsidRPr="00AD6543">
        <w:t>lo que asegura una recolección de datos objetiva</w:t>
      </w:r>
      <w:r w:rsidRPr="00952D69">
        <w:t>.</w:t>
      </w:r>
    </w:p>
    <w:p w14:paraId="4D68FA30" w14:textId="77777777" w:rsidR="00316DE1" w:rsidRPr="00316DE1" w:rsidRDefault="00316DE1" w:rsidP="00316DE1"/>
    <w:p w14:paraId="2662EE3A" w14:textId="77777777" w:rsidR="00316DE1" w:rsidRPr="00F671A4" w:rsidRDefault="00316DE1" w:rsidP="00F671A4">
      <w:pPr>
        <w:jc w:val="center"/>
        <w:rPr>
          <w:b/>
          <w:bCs/>
          <w:sz w:val="28"/>
          <w:szCs w:val="24"/>
        </w:rPr>
      </w:pPr>
      <w:r w:rsidRPr="00F671A4">
        <w:rPr>
          <w:b/>
          <w:bCs/>
          <w:sz w:val="28"/>
          <w:szCs w:val="24"/>
        </w:rPr>
        <w:t>Análisis de datos</w:t>
      </w:r>
    </w:p>
    <w:p w14:paraId="3C59E5B6" w14:textId="1D9CE635" w:rsidR="00316DE1" w:rsidRPr="00316DE1" w:rsidRDefault="00316DE1" w:rsidP="00F671A4">
      <w:pPr>
        <w:ind w:firstLine="709"/>
      </w:pPr>
      <w:r w:rsidRPr="00316DE1">
        <w:t xml:space="preserve">Se </w:t>
      </w:r>
      <w:r w:rsidR="009D6C21">
        <w:t xml:space="preserve">contactó a </w:t>
      </w:r>
      <w:r w:rsidRPr="00316DE1">
        <w:t xml:space="preserve">las autoridades de las instituciones para </w:t>
      </w:r>
      <w:r w:rsidR="009D6C21">
        <w:t xml:space="preserve">pedir </w:t>
      </w:r>
      <w:r w:rsidRPr="00316DE1">
        <w:t>autorización</w:t>
      </w:r>
      <w:r w:rsidR="009D6C21">
        <w:t xml:space="preserve">, </w:t>
      </w:r>
      <w:r w:rsidR="0090215F" w:rsidRPr="0090215F">
        <w:t>con el propósito de realizar el estudio</w:t>
      </w:r>
      <w:r w:rsidRPr="00316DE1">
        <w:t xml:space="preserve">. </w:t>
      </w:r>
      <w:r w:rsidR="0090215F" w:rsidRPr="0090215F">
        <w:t>Tras obtener la autorización correspondiente, se entregó el consentimiento informado</w:t>
      </w:r>
      <w:r w:rsidR="00624C3A">
        <w:t xml:space="preserve">. </w:t>
      </w:r>
      <w:r w:rsidRPr="00316DE1">
        <w:t xml:space="preserve">La información recolectada se analizó con el SPSS® </w:t>
      </w:r>
      <w:r w:rsidR="00370AF1">
        <w:t xml:space="preserve">versión </w:t>
      </w:r>
      <w:r w:rsidRPr="00316DE1">
        <w:t>29</w:t>
      </w:r>
      <w:r w:rsidR="00370AF1">
        <w:t xml:space="preserve"> (IBM Corp.)</w:t>
      </w:r>
      <w:r w:rsidRPr="00316DE1">
        <w:t xml:space="preserve">. </w:t>
      </w:r>
      <w:r w:rsidR="00370AF1">
        <w:t>En primer lugar, s</w:t>
      </w:r>
      <w:r w:rsidRPr="00316DE1">
        <w:t xml:space="preserve">e </w:t>
      </w:r>
      <w:r w:rsidRPr="00E7142D">
        <w:t xml:space="preserve">realizó un análisis de la distribución de normalidad, </w:t>
      </w:r>
      <w:r w:rsidR="00900AC7" w:rsidRPr="00E7142D">
        <w:t>para ello se puso a prueba mediante</w:t>
      </w:r>
      <w:r w:rsidRPr="00E7142D">
        <w:t xml:space="preserve"> </w:t>
      </w:r>
      <w:proofErr w:type="spellStart"/>
      <w:r w:rsidRPr="00E7142D">
        <w:t>Kolmogorov</w:t>
      </w:r>
      <w:r w:rsidR="0090215F">
        <w:t>-</w:t>
      </w:r>
      <w:r w:rsidRPr="00E7142D">
        <w:t>Smirnov</w:t>
      </w:r>
      <w:proofErr w:type="spellEnd"/>
      <w:r w:rsidRPr="00E7142D">
        <w:t xml:space="preserve">, </w:t>
      </w:r>
      <w:r w:rsidR="0090215F" w:rsidRPr="0090215F">
        <w:t xml:space="preserve">cuyos resultados indicaron una </w:t>
      </w:r>
      <w:r w:rsidR="0090215F" w:rsidRPr="0090215F">
        <w:lastRenderedPageBreak/>
        <w:t>distribución no normal en una de las variables. Por esta razón, se empleó una prueba no paramétrica</w:t>
      </w:r>
      <w:r w:rsidR="00900AC7" w:rsidRPr="00E7142D">
        <w:t xml:space="preserve">. </w:t>
      </w:r>
      <w:r w:rsidR="00370AF1">
        <w:t xml:space="preserve">En segundo lugar, </w:t>
      </w:r>
      <w:r w:rsidRPr="00E7142D">
        <w:t xml:space="preserve">se midieron los niveles de acuerdo con los puntos de corte y </w:t>
      </w:r>
      <w:r w:rsidR="0090215F" w:rsidRPr="0090215F">
        <w:t>se realizaron comparaciones entre grupos utilizando las pruebas U de Mann-Whitney y Kruskal-Wallis</w:t>
      </w:r>
      <w:r w:rsidRPr="00316DE1">
        <w:t>.</w:t>
      </w:r>
      <w:r w:rsidR="00D3352E">
        <w:t xml:space="preserve"> Para dar respuesta al objetivo general </w:t>
      </w:r>
      <w:r w:rsidR="0090215F" w:rsidRPr="0090215F">
        <w:t xml:space="preserve">se utilizó una regresión lineal múltiple, complementada con el coeficiente de correlación </w:t>
      </w:r>
      <w:r w:rsidR="0090215F" w:rsidRPr="0090215F">
        <w:rPr>
          <w:i/>
          <w:iCs/>
        </w:rPr>
        <w:t>r</w:t>
      </w:r>
      <w:r w:rsidR="0090215F" w:rsidRPr="0090215F">
        <w:t xml:space="preserve"> de Pearson</w:t>
      </w:r>
      <w:r w:rsidR="00D3352E">
        <w:t>.</w:t>
      </w:r>
    </w:p>
    <w:p w14:paraId="5FCE4B43" w14:textId="77777777" w:rsidR="00316DE1" w:rsidRPr="00316DE1" w:rsidRDefault="00316DE1" w:rsidP="00316DE1"/>
    <w:p w14:paraId="082A2282" w14:textId="77777777" w:rsidR="00316DE1" w:rsidRPr="00F671A4" w:rsidRDefault="00316DE1" w:rsidP="00F671A4">
      <w:pPr>
        <w:jc w:val="center"/>
        <w:rPr>
          <w:b/>
          <w:sz w:val="32"/>
          <w:szCs w:val="28"/>
          <w:lang w:val="es-ES"/>
        </w:rPr>
      </w:pPr>
      <w:r w:rsidRPr="00F671A4">
        <w:rPr>
          <w:b/>
          <w:sz w:val="32"/>
          <w:szCs w:val="28"/>
          <w:lang w:val="es-ES"/>
        </w:rPr>
        <w:t>Resultados</w:t>
      </w:r>
    </w:p>
    <w:p w14:paraId="537A8E8C" w14:textId="77777777" w:rsidR="00316DE1" w:rsidRPr="00F671A4" w:rsidRDefault="00316DE1" w:rsidP="00F671A4">
      <w:pPr>
        <w:jc w:val="center"/>
        <w:rPr>
          <w:b/>
          <w:sz w:val="28"/>
          <w:szCs w:val="24"/>
          <w:lang w:val="es-ES"/>
        </w:rPr>
      </w:pPr>
      <w:r w:rsidRPr="00F671A4">
        <w:rPr>
          <w:b/>
          <w:sz w:val="28"/>
          <w:szCs w:val="24"/>
          <w:lang w:val="es-ES"/>
        </w:rPr>
        <w:t>Análisis de fiabilidad de los instrumentos</w:t>
      </w:r>
    </w:p>
    <w:p w14:paraId="1FBB68FA" w14:textId="56265D1A" w:rsidR="00316DE1" w:rsidRPr="00316DE1" w:rsidRDefault="00316DE1" w:rsidP="00F671A4">
      <w:pPr>
        <w:ind w:firstLine="709"/>
      </w:pPr>
      <w:r w:rsidRPr="00316DE1">
        <w:t>Para el desarrollo del estudio</w:t>
      </w:r>
      <w:r w:rsidR="00370AF1">
        <w:t>,</w:t>
      </w:r>
      <w:r w:rsidRPr="00316DE1">
        <w:t xml:space="preserve"> inicialmente se efectuó la evaluación de la consistencia interna mediante alfa y omega</w:t>
      </w:r>
      <w:r w:rsidR="00E7142D">
        <w:t xml:space="preserve"> con 30 participantes</w:t>
      </w:r>
      <w:r w:rsidRPr="00316DE1">
        <w:t>,</w:t>
      </w:r>
      <w:r w:rsidR="004B1ABF">
        <w:t xml:space="preserve"> </w:t>
      </w:r>
      <w:r w:rsidRPr="00316DE1">
        <w:t>se obtuv</w:t>
      </w:r>
      <w:r w:rsidR="00370AF1">
        <w:t>iero</w:t>
      </w:r>
      <w:r w:rsidR="004B1ABF">
        <w:t>n</w:t>
      </w:r>
      <w:r w:rsidRPr="00316DE1">
        <w:t xml:space="preserve"> valores </w:t>
      </w:r>
      <w:r w:rsidR="004B1ABF">
        <w:t>en un rango de</w:t>
      </w:r>
      <w:r w:rsidRPr="00316DE1">
        <w:t xml:space="preserve"> </w:t>
      </w:r>
      <w:r w:rsidR="004B1ABF">
        <w:t>0</w:t>
      </w:r>
      <w:r w:rsidRPr="00316DE1">
        <w:t xml:space="preserve">.75 y </w:t>
      </w:r>
      <w:r w:rsidR="004B1ABF">
        <w:t>0</w:t>
      </w:r>
      <w:r w:rsidRPr="00316DE1">
        <w:t xml:space="preserve">.95 </w:t>
      </w:r>
      <w:r w:rsidR="00370AF1">
        <w:t>lo que</w:t>
      </w:r>
      <w:r w:rsidRPr="00316DE1">
        <w:t xml:space="preserve"> permitió establecer que los instrumentos pos</w:t>
      </w:r>
      <w:r w:rsidR="004B1ABF">
        <w:t>eían</w:t>
      </w:r>
      <w:r w:rsidRPr="00316DE1">
        <w:t xml:space="preserve"> consistencia y </w:t>
      </w:r>
      <w:r w:rsidR="004B1ABF">
        <w:t>medía</w:t>
      </w:r>
      <w:r w:rsidRPr="00316DE1">
        <w:t>n el constructo adecuadamente para la recolección de los datos</w:t>
      </w:r>
      <w:r w:rsidR="004B1ABF">
        <w:t xml:space="preserve">, como se muestra en la </w:t>
      </w:r>
      <w:r w:rsidRPr="00316DE1">
        <w:t>Tabla 1.</w:t>
      </w:r>
    </w:p>
    <w:p w14:paraId="16B6C00C" w14:textId="77777777" w:rsidR="00F671A4" w:rsidRDefault="00F671A4" w:rsidP="00316DE1">
      <w:pPr>
        <w:jc w:val="left"/>
        <w:rPr>
          <w:b/>
          <w:bCs/>
        </w:rPr>
      </w:pPr>
    </w:p>
    <w:p w14:paraId="73B709AC" w14:textId="7EE7A88E" w:rsidR="00316DE1" w:rsidRPr="00F671A4" w:rsidRDefault="00316DE1" w:rsidP="00F671A4">
      <w:pPr>
        <w:jc w:val="center"/>
      </w:pPr>
      <w:r w:rsidRPr="00316DE1">
        <w:rPr>
          <w:b/>
          <w:bCs/>
        </w:rPr>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1</w:t>
      </w:r>
      <w:r w:rsidRPr="00316DE1">
        <w:fldChar w:fldCharType="end"/>
      </w:r>
      <w:r w:rsidR="00F671A4">
        <w:t xml:space="preserve">. </w:t>
      </w:r>
      <w:r w:rsidRPr="00F671A4">
        <w:t>Consistencia interna de las escalas aplicadas</w:t>
      </w:r>
    </w:p>
    <w:tbl>
      <w:tblPr>
        <w:tblStyle w:val="Tablaconcuadrcula"/>
        <w:tblW w:w="5000" w:type="pct"/>
        <w:tblLook w:val="04A0" w:firstRow="1" w:lastRow="0" w:firstColumn="1" w:lastColumn="0" w:noHBand="0" w:noVBand="1"/>
      </w:tblPr>
      <w:tblGrid>
        <w:gridCol w:w="4300"/>
        <w:gridCol w:w="2658"/>
        <w:gridCol w:w="1872"/>
      </w:tblGrid>
      <w:tr w:rsidR="00316DE1" w:rsidRPr="00F671A4" w14:paraId="344001A7" w14:textId="77777777" w:rsidTr="00F671A4">
        <w:trPr>
          <w:trHeight w:val="20"/>
        </w:trPr>
        <w:tc>
          <w:tcPr>
            <w:tcW w:w="2435" w:type="pct"/>
            <w:vAlign w:val="center"/>
            <w:hideMark/>
          </w:tcPr>
          <w:p w14:paraId="4FFAF6EE" w14:textId="77777777" w:rsidR="00316DE1" w:rsidRPr="00F671A4" w:rsidRDefault="00316DE1" w:rsidP="00316DE1">
            <w:pPr>
              <w:rPr>
                <w:szCs w:val="24"/>
              </w:rPr>
            </w:pPr>
            <w:r w:rsidRPr="00F671A4">
              <w:rPr>
                <w:szCs w:val="24"/>
              </w:rPr>
              <w:t>Variables</w:t>
            </w:r>
          </w:p>
        </w:tc>
        <w:tc>
          <w:tcPr>
            <w:tcW w:w="1505" w:type="pct"/>
            <w:vAlign w:val="center"/>
            <w:hideMark/>
          </w:tcPr>
          <w:p w14:paraId="69DFF495" w14:textId="77777777" w:rsidR="00316DE1" w:rsidRPr="00F671A4" w:rsidRDefault="00316DE1" w:rsidP="00527858">
            <w:pPr>
              <w:jc w:val="center"/>
              <w:rPr>
                <w:szCs w:val="24"/>
              </w:rPr>
            </w:pPr>
            <w:r w:rsidRPr="00F671A4">
              <w:rPr>
                <w:szCs w:val="24"/>
              </w:rPr>
              <w:t>α de Cronbach</w:t>
            </w:r>
          </w:p>
        </w:tc>
        <w:tc>
          <w:tcPr>
            <w:tcW w:w="1060" w:type="pct"/>
            <w:vAlign w:val="center"/>
            <w:hideMark/>
          </w:tcPr>
          <w:p w14:paraId="4FB6D617" w14:textId="77777777" w:rsidR="00316DE1" w:rsidRPr="00F671A4" w:rsidRDefault="00316DE1" w:rsidP="00527858">
            <w:pPr>
              <w:jc w:val="center"/>
              <w:rPr>
                <w:szCs w:val="24"/>
              </w:rPr>
            </w:pPr>
            <w:r w:rsidRPr="00F671A4">
              <w:rPr>
                <w:szCs w:val="24"/>
              </w:rPr>
              <w:t>ω de McDonald</w:t>
            </w:r>
          </w:p>
        </w:tc>
      </w:tr>
      <w:tr w:rsidR="00316DE1" w:rsidRPr="00F671A4" w14:paraId="2856D774" w14:textId="77777777" w:rsidTr="00F671A4">
        <w:trPr>
          <w:trHeight w:val="20"/>
        </w:trPr>
        <w:tc>
          <w:tcPr>
            <w:tcW w:w="2435" w:type="pct"/>
            <w:vAlign w:val="center"/>
            <w:hideMark/>
          </w:tcPr>
          <w:p w14:paraId="168C4095" w14:textId="22B60864" w:rsidR="00316DE1" w:rsidRPr="00F671A4" w:rsidRDefault="00E97241" w:rsidP="00316DE1">
            <w:pPr>
              <w:rPr>
                <w:szCs w:val="24"/>
              </w:rPr>
            </w:pPr>
            <w:r w:rsidRPr="00F671A4">
              <w:rPr>
                <w:szCs w:val="24"/>
              </w:rPr>
              <w:t>Fatiga emocional</w:t>
            </w:r>
          </w:p>
        </w:tc>
        <w:tc>
          <w:tcPr>
            <w:tcW w:w="1505" w:type="pct"/>
            <w:vAlign w:val="center"/>
            <w:hideMark/>
          </w:tcPr>
          <w:p w14:paraId="1D965099" w14:textId="77777777" w:rsidR="00316DE1" w:rsidRPr="00F671A4" w:rsidRDefault="00316DE1" w:rsidP="00527858">
            <w:pPr>
              <w:jc w:val="center"/>
              <w:rPr>
                <w:szCs w:val="24"/>
              </w:rPr>
            </w:pPr>
            <w:r w:rsidRPr="00F671A4">
              <w:rPr>
                <w:szCs w:val="24"/>
              </w:rPr>
              <w:t>.911</w:t>
            </w:r>
          </w:p>
        </w:tc>
        <w:tc>
          <w:tcPr>
            <w:tcW w:w="1060" w:type="pct"/>
            <w:vAlign w:val="center"/>
            <w:hideMark/>
          </w:tcPr>
          <w:p w14:paraId="2A9EC777" w14:textId="77777777" w:rsidR="00316DE1" w:rsidRPr="00F671A4" w:rsidRDefault="00316DE1" w:rsidP="00527858">
            <w:pPr>
              <w:jc w:val="center"/>
              <w:rPr>
                <w:szCs w:val="24"/>
              </w:rPr>
            </w:pPr>
            <w:r w:rsidRPr="00F671A4">
              <w:rPr>
                <w:szCs w:val="24"/>
              </w:rPr>
              <w:t>.914</w:t>
            </w:r>
          </w:p>
        </w:tc>
      </w:tr>
      <w:tr w:rsidR="00316DE1" w:rsidRPr="00F671A4" w14:paraId="12EF08EC" w14:textId="77777777" w:rsidTr="00F671A4">
        <w:trPr>
          <w:trHeight w:val="20"/>
        </w:trPr>
        <w:tc>
          <w:tcPr>
            <w:tcW w:w="2435" w:type="pct"/>
            <w:noWrap/>
            <w:vAlign w:val="center"/>
          </w:tcPr>
          <w:p w14:paraId="269451F6" w14:textId="77777777" w:rsidR="00316DE1" w:rsidRPr="00F671A4" w:rsidRDefault="00316DE1" w:rsidP="00316DE1">
            <w:pPr>
              <w:rPr>
                <w:szCs w:val="24"/>
              </w:rPr>
            </w:pPr>
            <w:r w:rsidRPr="00F671A4">
              <w:rPr>
                <w:szCs w:val="24"/>
              </w:rPr>
              <w:t>Regulación emocional</w:t>
            </w:r>
          </w:p>
        </w:tc>
        <w:tc>
          <w:tcPr>
            <w:tcW w:w="1505" w:type="pct"/>
            <w:noWrap/>
            <w:vAlign w:val="center"/>
          </w:tcPr>
          <w:p w14:paraId="23191586" w14:textId="77777777" w:rsidR="00316DE1" w:rsidRPr="00F671A4" w:rsidRDefault="00316DE1" w:rsidP="00527858">
            <w:pPr>
              <w:jc w:val="center"/>
              <w:rPr>
                <w:szCs w:val="24"/>
              </w:rPr>
            </w:pPr>
            <w:r w:rsidRPr="00F671A4">
              <w:rPr>
                <w:szCs w:val="24"/>
              </w:rPr>
              <w:t>.885</w:t>
            </w:r>
          </w:p>
        </w:tc>
        <w:tc>
          <w:tcPr>
            <w:tcW w:w="1060" w:type="pct"/>
            <w:noWrap/>
            <w:vAlign w:val="center"/>
          </w:tcPr>
          <w:p w14:paraId="145B7047" w14:textId="77777777" w:rsidR="00316DE1" w:rsidRPr="00F671A4" w:rsidRDefault="00316DE1" w:rsidP="00527858">
            <w:pPr>
              <w:jc w:val="center"/>
              <w:rPr>
                <w:szCs w:val="24"/>
              </w:rPr>
            </w:pPr>
            <w:r w:rsidRPr="00F671A4">
              <w:rPr>
                <w:szCs w:val="24"/>
              </w:rPr>
              <w:t>.888</w:t>
            </w:r>
          </w:p>
        </w:tc>
      </w:tr>
      <w:tr w:rsidR="00316DE1" w:rsidRPr="00F671A4" w14:paraId="565B6318" w14:textId="77777777" w:rsidTr="00F671A4">
        <w:trPr>
          <w:trHeight w:val="20"/>
        </w:trPr>
        <w:tc>
          <w:tcPr>
            <w:tcW w:w="2435" w:type="pct"/>
            <w:noWrap/>
            <w:vAlign w:val="center"/>
            <w:hideMark/>
          </w:tcPr>
          <w:p w14:paraId="7735F0E4" w14:textId="28F3CA1E" w:rsidR="00316DE1" w:rsidRPr="00F671A4" w:rsidRDefault="00316DE1" w:rsidP="00316DE1">
            <w:pPr>
              <w:rPr>
                <w:szCs w:val="24"/>
              </w:rPr>
            </w:pPr>
            <w:proofErr w:type="spellStart"/>
            <w:r w:rsidRPr="00F671A4">
              <w:rPr>
                <w:szCs w:val="24"/>
              </w:rPr>
              <w:t>Reev</w:t>
            </w:r>
            <w:proofErr w:type="spellEnd"/>
            <w:r w:rsidRPr="00F671A4">
              <w:rPr>
                <w:szCs w:val="24"/>
              </w:rPr>
              <w:t>. Cognitiva</w:t>
            </w:r>
          </w:p>
        </w:tc>
        <w:tc>
          <w:tcPr>
            <w:tcW w:w="1505" w:type="pct"/>
            <w:noWrap/>
            <w:vAlign w:val="center"/>
            <w:hideMark/>
          </w:tcPr>
          <w:p w14:paraId="6B674CA4" w14:textId="77777777" w:rsidR="00316DE1" w:rsidRPr="00F671A4" w:rsidRDefault="00316DE1" w:rsidP="00527858">
            <w:pPr>
              <w:jc w:val="center"/>
              <w:rPr>
                <w:szCs w:val="24"/>
              </w:rPr>
            </w:pPr>
            <w:r w:rsidRPr="00F671A4">
              <w:rPr>
                <w:szCs w:val="24"/>
              </w:rPr>
              <w:t>.841</w:t>
            </w:r>
          </w:p>
        </w:tc>
        <w:tc>
          <w:tcPr>
            <w:tcW w:w="1060" w:type="pct"/>
            <w:noWrap/>
            <w:vAlign w:val="center"/>
            <w:hideMark/>
          </w:tcPr>
          <w:p w14:paraId="74F42C7B" w14:textId="77777777" w:rsidR="00316DE1" w:rsidRPr="00F671A4" w:rsidRDefault="00316DE1" w:rsidP="00527858">
            <w:pPr>
              <w:jc w:val="center"/>
              <w:rPr>
                <w:szCs w:val="24"/>
              </w:rPr>
            </w:pPr>
            <w:r w:rsidRPr="00F671A4">
              <w:rPr>
                <w:szCs w:val="24"/>
              </w:rPr>
              <w:t>.847</w:t>
            </w:r>
          </w:p>
        </w:tc>
      </w:tr>
      <w:tr w:rsidR="00316DE1" w:rsidRPr="00F671A4" w14:paraId="50CCB8DA" w14:textId="77777777" w:rsidTr="00F671A4">
        <w:trPr>
          <w:trHeight w:val="20"/>
        </w:trPr>
        <w:tc>
          <w:tcPr>
            <w:tcW w:w="2435" w:type="pct"/>
            <w:noWrap/>
            <w:vAlign w:val="center"/>
            <w:hideMark/>
          </w:tcPr>
          <w:p w14:paraId="0AF565AA" w14:textId="77777777" w:rsidR="00316DE1" w:rsidRPr="00F671A4" w:rsidRDefault="00316DE1" w:rsidP="00316DE1">
            <w:pPr>
              <w:rPr>
                <w:szCs w:val="24"/>
              </w:rPr>
            </w:pPr>
            <w:r w:rsidRPr="00F671A4">
              <w:rPr>
                <w:szCs w:val="24"/>
              </w:rPr>
              <w:t>Supresión</w:t>
            </w:r>
          </w:p>
        </w:tc>
        <w:tc>
          <w:tcPr>
            <w:tcW w:w="1505" w:type="pct"/>
            <w:noWrap/>
            <w:vAlign w:val="center"/>
            <w:hideMark/>
          </w:tcPr>
          <w:p w14:paraId="0349EB5A" w14:textId="77777777" w:rsidR="00316DE1" w:rsidRPr="00F671A4" w:rsidRDefault="00316DE1" w:rsidP="00527858">
            <w:pPr>
              <w:jc w:val="center"/>
              <w:rPr>
                <w:szCs w:val="24"/>
              </w:rPr>
            </w:pPr>
            <w:r w:rsidRPr="00F671A4">
              <w:rPr>
                <w:szCs w:val="24"/>
              </w:rPr>
              <w:t>.801</w:t>
            </w:r>
          </w:p>
        </w:tc>
        <w:tc>
          <w:tcPr>
            <w:tcW w:w="1060" w:type="pct"/>
            <w:noWrap/>
            <w:vAlign w:val="center"/>
            <w:hideMark/>
          </w:tcPr>
          <w:p w14:paraId="45D67ED6" w14:textId="77777777" w:rsidR="00316DE1" w:rsidRPr="00F671A4" w:rsidRDefault="00316DE1" w:rsidP="00527858">
            <w:pPr>
              <w:jc w:val="center"/>
              <w:rPr>
                <w:szCs w:val="24"/>
              </w:rPr>
            </w:pPr>
            <w:r w:rsidRPr="00F671A4">
              <w:rPr>
                <w:szCs w:val="24"/>
              </w:rPr>
              <w:t>.803</w:t>
            </w:r>
          </w:p>
        </w:tc>
      </w:tr>
      <w:tr w:rsidR="00316DE1" w:rsidRPr="00F671A4" w14:paraId="5F7A0562" w14:textId="77777777" w:rsidTr="00F671A4">
        <w:trPr>
          <w:trHeight w:val="20"/>
        </w:trPr>
        <w:tc>
          <w:tcPr>
            <w:tcW w:w="2435" w:type="pct"/>
            <w:noWrap/>
            <w:vAlign w:val="center"/>
          </w:tcPr>
          <w:p w14:paraId="58DC5D42" w14:textId="77777777" w:rsidR="00316DE1" w:rsidRPr="00F671A4" w:rsidRDefault="00316DE1" w:rsidP="00316DE1">
            <w:pPr>
              <w:rPr>
                <w:szCs w:val="24"/>
              </w:rPr>
            </w:pPr>
            <w:r w:rsidRPr="00F671A4">
              <w:rPr>
                <w:szCs w:val="24"/>
              </w:rPr>
              <w:t>Compromiso académico</w:t>
            </w:r>
          </w:p>
        </w:tc>
        <w:tc>
          <w:tcPr>
            <w:tcW w:w="1505" w:type="pct"/>
            <w:noWrap/>
            <w:vAlign w:val="center"/>
          </w:tcPr>
          <w:p w14:paraId="18F2938E" w14:textId="77777777" w:rsidR="00316DE1" w:rsidRPr="00F671A4" w:rsidRDefault="00316DE1" w:rsidP="00527858">
            <w:pPr>
              <w:jc w:val="center"/>
              <w:rPr>
                <w:szCs w:val="24"/>
              </w:rPr>
            </w:pPr>
            <w:r w:rsidRPr="00F671A4">
              <w:rPr>
                <w:szCs w:val="24"/>
              </w:rPr>
              <w:t>.931</w:t>
            </w:r>
          </w:p>
        </w:tc>
        <w:tc>
          <w:tcPr>
            <w:tcW w:w="1060" w:type="pct"/>
            <w:noWrap/>
            <w:vAlign w:val="center"/>
          </w:tcPr>
          <w:p w14:paraId="2D137B9D" w14:textId="77777777" w:rsidR="00316DE1" w:rsidRPr="00F671A4" w:rsidRDefault="00316DE1" w:rsidP="00527858">
            <w:pPr>
              <w:jc w:val="center"/>
              <w:rPr>
                <w:szCs w:val="24"/>
              </w:rPr>
            </w:pPr>
            <w:r w:rsidRPr="00F671A4">
              <w:rPr>
                <w:szCs w:val="24"/>
              </w:rPr>
              <w:t>.935</w:t>
            </w:r>
          </w:p>
        </w:tc>
      </w:tr>
      <w:tr w:rsidR="00316DE1" w:rsidRPr="00F671A4" w14:paraId="7B689CE9" w14:textId="77777777" w:rsidTr="00F671A4">
        <w:trPr>
          <w:trHeight w:val="20"/>
        </w:trPr>
        <w:tc>
          <w:tcPr>
            <w:tcW w:w="2435" w:type="pct"/>
            <w:noWrap/>
            <w:vAlign w:val="center"/>
            <w:hideMark/>
          </w:tcPr>
          <w:p w14:paraId="672D6827" w14:textId="77777777" w:rsidR="00316DE1" w:rsidRPr="00F671A4" w:rsidRDefault="00316DE1" w:rsidP="00316DE1">
            <w:pPr>
              <w:rPr>
                <w:szCs w:val="24"/>
              </w:rPr>
            </w:pPr>
            <w:r w:rsidRPr="00F671A4">
              <w:rPr>
                <w:szCs w:val="24"/>
              </w:rPr>
              <w:t>Vigor</w:t>
            </w:r>
          </w:p>
        </w:tc>
        <w:tc>
          <w:tcPr>
            <w:tcW w:w="1505" w:type="pct"/>
            <w:noWrap/>
            <w:vAlign w:val="center"/>
            <w:hideMark/>
          </w:tcPr>
          <w:p w14:paraId="54017B0E" w14:textId="77777777" w:rsidR="00316DE1" w:rsidRPr="00F671A4" w:rsidRDefault="00316DE1" w:rsidP="00527858">
            <w:pPr>
              <w:jc w:val="center"/>
              <w:rPr>
                <w:szCs w:val="24"/>
              </w:rPr>
            </w:pPr>
            <w:r w:rsidRPr="00F671A4">
              <w:rPr>
                <w:szCs w:val="24"/>
              </w:rPr>
              <w:t>.794</w:t>
            </w:r>
          </w:p>
        </w:tc>
        <w:tc>
          <w:tcPr>
            <w:tcW w:w="1060" w:type="pct"/>
            <w:noWrap/>
            <w:vAlign w:val="center"/>
            <w:hideMark/>
          </w:tcPr>
          <w:p w14:paraId="57DAAE96" w14:textId="77777777" w:rsidR="00316DE1" w:rsidRPr="00F671A4" w:rsidRDefault="00316DE1" w:rsidP="00527858">
            <w:pPr>
              <w:jc w:val="center"/>
              <w:rPr>
                <w:szCs w:val="24"/>
              </w:rPr>
            </w:pPr>
            <w:r w:rsidRPr="00F671A4">
              <w:rPr>
                <w:szCs w:val="24"/>
              </w:rPr>
              <w:t>.798</w:t>
            </w:r>
          </w:p>
        </w:tc>
      </w:tr>
      <w:tr w:rsidR="00316DE1" w:rsidRPr="00F671A4" w14:paraId="25D5C842" w14:textId="77777777" w:rsidTr="00F671A4">
        <w:trPr>
          <w:trHeight w:val="20"/>
        </w:trPr>
        <w:tc>
          <w:tcPr>
            <w:tcW w:w="2435" w:type="pct"/>
            <w:noWrap/>
            <w:vAlign w:val="center"/>
            <w:hideMark/>
          </w:tcPr>
          <w:p w14:paraId="7758907A" w14:textId="77777777" w:rsidR="00316DE1" w:rsidRPr="00F671A4" w:rsidRDefault="00316DE1" w:rsidP="00316DE1">
            <w:pPr>
              <w:rPr>
                <w:szCs w:val="24"/>
              </w:rPr>
            </w:pPr>
            <w:r w:rsidRPr="00F671A4">
              <w:rPr>
                <w:szCs w:val="24"/>
              </w:rPr>
              <w:t>Dedicación</w:t>
            </w:r>
          </w:p>
        </w:tc>
        <w:tc>
          <w:tcPr>
            <w:tcW w:w="1505" w:type="pct"/>
            <w:noWrap/>
            <w:vAlign w:val="center"/>
            <w:hideMark/>
          </w:tcPr>
          <w:p w14:paraId="1BAB7FA6" w14:textId="77777777" w:rsidR="00316DE1" w:rsidRPr="00F671A4" w:rsidRDefault="00316DE1" w:rsidP="00527858">
            <w:pPr>
              <w:jc w:val="center"/>
              <w:rPr>
                <w:szCs w:val="24"/>
              </w:rPr>
            </w:pPr>
            <w:r w:rsidRPr="00F671A4">
              <w:rPr>
                <w:szCs w:val="24"/>
              </w:rPr>
              <w:t>.856</w:t>
            </w:r>
          </w:p>
        </w:tc>
        <w:tc>
          <w:tcPr>
            <w:tcW w:w="1060" w:type="pct"/>
            <w:noWrap/>
            <w:vAlign w:val="center"/>
            <w:hideMark/>
          </w:tcPr>
          <w:p w14:paraId="1D4CC95D" w14:textId="77777777" w:rsidR="00316DE1" w:rsidRPr="00F671A4" w:rsidRDefault="00316DE1" w:rsidP="00527858">
            <w:pPr>
              <w:jc w:val="center"/>
              <w:rPr>
                <w:szCs w:val="24"/>
              </w:rPr>
            </w:pPr>
            <w:r w:rsidRPr="00F671A4">
              <w:rPr>
                <w:szCs w:val="24"/>
              </w:rPr>
              <w:t>.863</w:t>
            </w:r>
          </w:p>
        </w:tc>
      </w:tr>
      <w:tr w:rsidR="00316DE1" w:rsidRPr="00F671A4" w14:paraId="7A9CDCF4" w14:textId="77777777" w:rsidTr="00F671A4">
        <w:trPr>
          <w:trHeight w:val="20"/>
        </w:trPr>
        <w:tc>
          <w:tcPr>
            <w:tcW w:w="2435" w:type="pct"/>
            <w:noWrap/>
            <w:vAlign w:val="center"/>
            <w:hideMark/>
          </w:tcPr>
          <w:p w14:paraId="15704CCB" w14:textId="77777777" w:rsidR="00316DE1" w:rsidRPr="00F671A4" w:rsidRDefault="00316DE1" w:rsidP="00316DE1">
            <w:pPr>
              <w:rPr>
                <w:szCs w:val="24"/>
              </w:rPr>
            </w:pPr>
            <w:r w:rsidRPr="00F671A4">
              <w:rPr>
                <w:szCs w:val="24"/>
              </w:rPr>
              <w:t>Absorción</w:t>
            </w:r>
          </w:p>
        </w:tc>
        <w:tc>
          <w:tcPr>
            <w:tcW w:w="1505" w:type="pct"/>
            <w:noWrap/>
            <w:vAlign w:val="center"/>
            <w:hideMark/>
          </w:tcPr>
          <w:p w14:paraId="103EBFCC" w14:textId="77777777" w:rsidR="00316DE1" w:rsidRPr="00F671A4" w:rsidRDefault="00316DE1" w:rsidP="00527858">
            <w:pPr>
              <w:jc w:val="center"/>
              <w:rPr>
                <w:szCs w:val="24"/>
              </w:rPr>
            </w:pPr>
            <w:r w:rsidRPr="00F671A4">
              <w:rPr>
                <w:szCs w:val="24"/>
              </w:rPr>
              <w:t>.804</w:t>
            </w:r>
          </w:p>
        </w:tc>
        <w:tc>
          <w:tcPr>
            <w:tcW w:w="1060" w:type="pct"/>
            <w:noWrap/>
            <w:vAlign w:val="center"/>
            <w:hideMark/>
          </w:tcPr>
          <w:p w14:paraId="5250A37D" w14:textId="77777777" w:rsidR="00316DE1" w:rsidRPr="00F671A4" w:rsidRDefault="00316DE1" w:rsidP="00527858">
            <w:pPr>
              <w:jc w:val="center"/>
              <w:rPr>
                <w:szCs w:val="24"/>
              </w:rPr>
            </w:pPr>
            <w:r w:rsidRPr="00F671A4">
              <w:rPr>
                <w:szCs w:val="24"/>
              </w:rPr>
              <w:t>.810</w:t>
            </w:r>
          </w:p>
        </w:tc>
      </w:tr>
    </w:tbl>
    <w:p w14:paraId="6ED58814" w14:textId="77777777" w:rsidR="00316DE1" w:rsidRPr="00F671A4" w:rsidRDefault="00316DE1" w:rsidP="00F671A4">
      <w:pPr>
        <w:jc w:val="center"/>
        <w:rPr>
          <w:sz w:val="32"/>
          <w:szCs w:val="28"/>
          <w:lang w:val="es-ES"/>
        </w:rPr>
      </w:pPr>
      <w:r w:rsidRPr="00F671A4">
        <w:rPr>
          <w:i/>
          <w:iCs/>
          <w:szCs w:val="24"/>
          <w:lang w:val="es-ES"/>
        </w:rPr>
        <w:t>Nota</w:t>
      </w:r>
      <w:r w:rsidRPr="00F671A4">
        <w:rPr>
          <w:szCs w:val="24"/>
          <w:lang w:val="es-ES"/>
        </w:rPr>
        <w:t>: Análisis de consistencia interna SPSS29</w:t>
      </w:r>
    </w:p>
    <w:p w14:paraId="79A5540D" w14:textId="77777777" w:rsidR="00900AC7" w:rsidRDefault="00900AC7" w:rsidP="00316DE1">
      <w:pPr>
        <w:rPr>
          <w:b/>
          <w:lang w:val="es-ES"/>
        </w:rPr>
      </w:pPr>
    </w:p>
    <w:p w14:paraId="10D268D2" w14:textId="4F52E777" w:rsidR="00316DE1" w:rsidRPr="00316DE1" w:rsidRDefault="00316DE1" w:rsidP="00F671A4">
      <w:pPr>
        <w:jc w:val="center"/>
        <w:rPr>
          <w:b/>
          <w:lang w:val="es-ES"/>
        </w:rPr>
      </w:pPr>
      <w:r w:rsidRPr="00316DE1">
        <w:rPr>
          <w:b/>
          <w:lang w:val="es-ES"/>
        </w:rPr>
        <w:t>Nivel de cansancio, regulación y compromiso académico</w:t>
      </w:r>
    </w:p>
    <w:p w14:paraId="730BF603" w14:textId="3F1A6171" w:rsidR="00316DE1" w:rsidRDefault="00316DE1" w:rsidP="00F671A4">
      <w:pPr>
        <w:ind w:firstLine="709"/>
      </w:pPr>
      <w:r w:rsidRPr="00316DE1">
        <w:t xml:space="preserve">De acuerdo con el análisis de la Tabla 2 se </w:t>
      </w:r>
      <w:r w:rsidR="004B1ABF">
        <w:t>enc</w:t>
      </w:r>
      <w:r w:rsidR="00570AF6">
        <w:t>o</w:t>
      </w:r>
      <w:r w:rsidR="004B1ABF">
        <w:t>n</w:t>
      </w:r>
      <w:r w:rsidR="00570AF6">
        <w:t>t</w:t>
      </w:r>
      <w:r w:rsidR="004B1ABF">
        <w:t>ró</w:t>
      </w:r>
      <w:r w:rsidRPr="00316DE1">
        <w:t xml:space="preserve"> que los niveles de </w:t>
      </w:r>
      <w:r w:rsidR="00E97241">
        <w:t>fatiga emocional</w:t>
      </w:r>
      <w:r w:rsidR="00570AF6">
        <w:t xml:space="preserve"> fueron </w:t>
      </w:r>
      <w:r w:rsidRPr="00316DE1">
        <w:t xml:space="preserve">61.8% de nivel bajo, mientras que </w:t>
      </w:r>
      <w:r w:rsidR="00570AF6" w:rsidRPr="00570AF6">
        <w:t>la regulación emocional presentó un 38.2% de nivel alto, mientras que el 51.3% de los participantes consideraron que poseen un nivel medio de compromiso académico</w:t>
      </w:r>
      <w:r w:rsidRPr="00316DE1">
        <w:t>.</w:t>
      </w:r>
    </w:p>
    <w:p w14:paraId="7BB267DF" w14:textId="77777777" w:rsidR="00F671A4" w:rsidRDefault="00F671A4" w:rsidP="00F671A4">
      <w:pPr>
        <w:ind w:firstLine="709"/>
      </w:pPr>
    </w:p>
    <w:p w14:paraId="2CE9B3FF" w14:textId="454987B8" w:rsidR="00316DE1" w:rsidRPr="00316DE1" w:rsidRDefault="00316DE1" w:rsidP="00F671A4">
      <w:pPr>
        <w:jc w:val="center"/>
        <w:rPr>
          <w:i/>
          <w:iCs/>
        </w:rPr>
      </w:pPr>
      <w:r w:rsidRPr="00316DE1">
        <w:rPr>
          <w:b/>
          <w:bCs/>
        </w:rPr>
        <w:lastRenderedPageBreak/>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2</w:t>
      </w:r>
      <w:r w:rsidRPr="00316DE1">
        <w:fldChar w:fldCharType="end"/>
      </w:r>
      <w:r w:rsidR="00F671A4">
        <w:t xml:space="preserve">. </w:t>
      </w:r>
      <w:r w:rsidR="009450C7" w:rsidRPr="00F671A4">
        <w:t>Distribución de niveles de cansancio emocional, regulación emocional y compromiso académico</w:t>
      </w:r>
    </w:p>
    <w:tbl>
      <w:tblPr>
        <w:tblStyle w:val="Tablaconcuadrcula"/>
        <w:tblW w:w="5000" w:type="pct"/>
        <w:tblLook w:val="04A0" w:firstRow="1" w:lastRow="0" w:firstColumn="1" w:lastColumn="0" w:noHBand="0" w:noVBand="1"/>
      </w:tblPr>
      <w:tblGrid>
        <w:gridCol w:w="1610"/>
        <w:gridCol w:w="1429"/>
        <w:gridCol w:w="1687"/>
        <w:gridCol w:w="1026"/>
        <w:gridCol w:w="1026"/>
        <w:gridCol w:w="1026"/>
        <w:gridCol w:w="1026"/>
      </w:tblGrid>
      <w:tr w:rsidR="00316DE1" w:rsidRPr="00F671A4" w14:paraId="5F4F9B05" w14:textId="77777777" w:rsidTr="00F671A4">
        <w:trPr>
          <w:trHeight w:val="20"/>
        </w:trPr>
        <w:tc>
          <w:tcPr>
            <w:tcW w:w="912" w:type="pct"/>
            <w:vMerge w:val="restart"/>
            <w:vAlign w:val="center"/>
            <w:hideMark/>
          </w:tcPr>
          <w:p w14:paraId="1CAB0E7D" w14:textId="372F48CA" w:rsidR="00316DE1" w:rsidRPr="00F671A4" w:rsidRDefault="00316DE1" w:rsidP="00527858">
            <w:pPr>
              <w:jc w:val="center"/>
              <w:rPr>
                <w:szCs w:val="24"/>
              </w:rPr>
            </w:pPr>
            <w:r w:rsidRPr="00F671A4">
              <w:rPr>
                <w:szCs w:val="24"/>
              </w:rPr>
              <w:t>Nivel</w:t>
            </w:r>
          </w:p>
        </w:tc>
        <w:tc>
          <w:tcPr>
            <w:tcW w:w="1764" w:type="pct"/>
            <w:gridSpan w:val="2"/>
            <w:vAlign w:val="center"/>
            <w:hideMark/>
          </w:tcPr>
          <w:p w14:paraId="69578482" w14:textId="224F5A89" w:rsidR="00316DE1" w:rsidRPr="00F671A4" w:rsidRDefault="00E97241" w:rsidP="00527858">
            <w:pPr>
              <w:jc w:val="center"/>
              <w:rPr>
                <w:szCs w:val="24"/>
              </w:rPr>
            </w:pPr>
            <w:r w:rsidRPr="00F671A4">
              <w:rPr>
                <w:szCs w:val="24"/>
              </w:rPr>
              <w:t>Fatiga emocional</w:t>
            </w:r>
          </w:p>
        </w:tc>
        <w:tc>
          <w:tcPr>
            <w:tcW w:w="1162" w:type="pct"/>
            <w:gridSpan w:val="2"/>
            <w:vAlign w:val="center"/>
            <w:hideMark/>
          </w:tcPr>
          <w:p w14:paraId="5D836AC8" w14:textId="77777777" w:rsidR="00316DE1" w:rsidRPr="00F671A4" w:rsidRDefault="00316DE1" w:rsidP="00527858">
            <w:pPr>
              <w:jc w:val="center"/>
              <w:rPr>
                <w:szCs w:val="24"/>
              </w:rPr>
            </w:pPr>
            <w:r w:rsidRPr="00F671A4">
              <w:rPr>
                <w:szCs w:val="24"/>
              </w:rPr>
              <w:t>Regulación emocional</w:t>
            </w:r>
          </w:p>
        </w:tc>
        <w:tc>
          <w:tcPr>
            <w:tcW w:w="1162" w:type="pct"/>
            <w:gridSpan w:val="2"/>
            <w:vAlign w:val="center"/>
            <w:hideMark/>
          </w:tcPr>
          <w:p w14:paraId="15A468A7" w14:textId="77777777" w:rsidR="00316DE1" w:rsidRPr="00F671A4" w:rsidRDefault="00316DE1" w:rsidP="00527858">
            <w:pPr>
              <w:jc w:val="center"/>
              <w:rPr>
                <w:szCs w:val="24"/>
              </w:rPr>
            </w:pPr>
            <w:r w:rsidRPr="00F671A4">
              <w:rPr>
                <w:szCs w:val="24"/>
              </w:rPr>
              <w:t>Compromiso académico</w:t>
            </w:r>
          </w:p>
        </w:tc>
      </w:tr>
      <w:tr w:rsidR="00316DE1" w:rsidRPr="00F671A4" w14:paraId="4731DA93" w14:textId="77777777" w:rsidTr="00F671A4">
        <w:trPr>
          <w:trHeight w:val="20"/>
        </w:trPr>
        <w:tc>
          <w:tcPr>
            <w:tcW w:w="912" w:type="pct"/>
            <w:vMerge/>
            <w:vAlign w:val="center"/>
            <w:hideMark/>
          </w:tcPr>
          <w:p w14:paraId="0BFAEC2E" w14:textId="77777777" w:rsidR="00316DE1" w:rsidRPr="00F671A4" w:rsidRDefault="00316DE1" w:rsidP="00527858">
            <w:pPr>
              <w:jc w:val="center"/>
              <w:rPr>
                <w:szCs w:val="24"/>
              </w:rPr>
            </w:pPr>
          </w:p>
        </w:tc>
        <w:tc>
          <w:tcPr>
            <w:tcW w:w="809" w:type="pct"/>
            <w:vAlign w:val="center"/>
            <w:hideMark/>
          </w:tcPr>
          <w:p w14:paraId="344360A0" w14:textId="77777777" w:rsidR="00316DE1" w:rsidRPr="00F671A4" w:rsidRDefault="00316DE1" w:rsidP="00527858">
            <w:pPr>
              <w:jc w:val="center"/>
              <w:rPr>
                <w:szCs w:val="24"/>
              </w:rPr>
            </w:pPr>
            <w:r w:rsidRPr="00F671A4">
              <w:rPr>
                <w:szCs w:val="24"/>
              </w:rPr>
              <w:t>N</w:t>
            </w:r>
          </w:p>
        </w:tc>
        <w:tc>
          <w:tcPr>
            <w:tcW w:w="955" w:type="pct"/>
            <w:vAlign w:val="center"/>
            <w:hideMark/>
          </w:tcPr>
          <w:p w14:paraId="17DEB1A5" w14:textId="77777777" w:rsidR="00316DE1" w:rsidRPr="00F671A4" w:rsidRDefault="00316DE1" w:rsidP="00527858">
            <w:pPr>
              <w:jc w:val="center"/>
              <w:rPr>
                <w:szCs w:val="24"/>
              </w:rPr>
            </w:pPr>
            <w:r w:rsidRPr="00F671A4">
              <w:rPr>
                <w:szCs w:val="24"/>
              </w:rPr>
              <w:t>%</w:t>
            </w:r>
          </w:p>
        </w:tc>
        <w:tc>
          <w:tcPr>
            <w:tcW w:w="581" w:type="pct"/>
            <w:vAlign w:val="center"/>
            <w:hideMark/>
          </w:tcPr>
          <w:p w14:paraId="5551C069" w14:textId="77777777" w:rsidR="00316DE1" w:rsidRPr="00F671A4" w:rsidRDefault="00316DE1" w:rsidP="00527858">
            <w:pPr>
              <w:jc w:val="center"/>
              <w:rPr>
                <w:szCs w:val="24"/>
              </w:rPr>
            </w:pPr>
            <w:r w:rsidRPr="00F671A4">
              <w:rPr>
                <w:szCs w:val="24"/>
              </w:rPr>
              <w:t>N</w:t>
            </w:r>
          </w:p>
        </w:tc>
        <w:tc>
          <w:tcPr>
            <w:tcW w:w="581" w:type="pct"/>
            <w:vAlign w:val="center"/>
            <w:hideMark/>
          </w:tcPr>
          <w:p w14:paraId="3C4F6233" w14:textId="77777777" w:rsidR="00316DE1" w:rsidRPr="00F671A4" w:rsidRDefault="00316DE1" w:rsidP="00527858">
            <w:pPr>
              <w:jc w:val="center"/>
              <w:rPr>
                <w:szCs w:val="24"/>
              </w:rPr>
            </w:pPr>
            <w:r w:rsidRPr="00F671A4">
              <w:rPr>
                <w:szCs w:val="24"/>
              </w:rPr>
              <w:t>%</w:t>
            </w:r>
          </w:p>
        </w:tc>
        <w:tc>
          <w:tcPr>
            <w:tcW w:w="581" w:type="pct"/>
            <w:vAlign w:val="center"/>
            <w:hideMark/>
          </w:tcPr>
          <w:p w14:paraId="4C770123" w14:textId="77777777" w:rsidR="00316DE1" w:rsidRPr="00F671A4" w:rsidRDefault="00316DE1" w:rsidP="00527858">
            <w:pPr>
              <w:jc w:val="center"/>
              <w:rPr>
                <w:szCs w:val="24"/>
              </w:rPr>
            </w:pPr>
            <w:r w:rsidRPr="00F671A4">
              <w:rPr>
                <w:szCs w:val="24"/>
              </w:rPr>
              <w:t>N</w:t>
            </w:r>
          </w:p>
        </w:tc>
        <w:tc>
          <w:tcPr>
            <w:tcW w:w="581" w:type="pct"/>
            <w:vAlign w:val="center"/>
            <w:hideMark/>
          </w:tcPr>
          <w:p w14:paraId="0C7387EA" w14:textId="77777777" w:rsidR="00316DE1" w:rsidRPr="00F671A4" w:rsidRDefault="00316DE1" w:rsidP="00527858">
            <w:pPr>
              <w:jc w:val="center"/>
              <w:rPr>
                <w:szCs w:val="24"/>
              </w:rPr>
            </w:pPr>
            <w:r w:rsidRPr="00F671A4">
              <w:rPr>
                <w:szCs w:val="24"/>
              </w:rPr>
              <w:t>%</w:t>
            </w:r>
          </w:p>
        </w:tc>
      </w:tr>
      <w:tr w:rsidR="00316DE1" w:rsidRPr="00F671A4" w14:paraId="53CC8F45" w14:textId="77777777" w:rsidTr="00F671A4">
        <w:trPr>
          <w:trHeight w:val="20"/>
        </w:trPr>
        <w:tc>
          <w:tcPr>
            <w:tcW w:w="912" w:type="pct"/>
            <w:vAlign w:val="center"/>
            <w:hideMark/>
          </w:tcPr>
          <w:p w14:paraId="5E9B0694" w14:textId="77777777" w:rsidR="00316DE1" w:rsidRPr="00F671A4" w:rsidRDefault="00316DE1" w:rsidP="00316DE1">
            <w:pPr>
              <w:rPr>
                <w:szCs w:val="24"/>
              </w:rPr>
            </w:pPr>
            <w:r w:rsidRPr="00F671A4">
              <w:rPr>
                <w:szCs w:val="24"/>
              </w:rPr>
              <w:t>Bajo</w:t>
            </w:r>
          </w:p>
        </w:tc>
        <w:tc>
          <w:tcPr>
            <w:tcW w:w="809" w:type="pct"/>
            <w:noWrap/>
            <w:vAlign w:val="center"/>
            <w:hideMark/>
          </w:tcPr>
          <w:p w14:paraId="7C58390C" w14:textId="77777777" w:rsidR="00316DE1" w:rsidRPr="00F671A4" w:rsidRDefault="00316DE1" w:rsidP="00527858">
            <w:pPr>
              <w:jc w:val="center"/>
              <w:rPr>
                <w:szCs w:val="24"/>
              </w:rPr>
            </w:pPr>
            <w:r w:rsidRPr="00F671A4">
              <w:rPr>
                <w:szCs w:val="24"/>
              </w:rPr>
              <w:t>47</w:t>
            </w:r>
          </w:p>
        </w:tc>
        <w:tc>
          <w:tcPr>
            <w:tcW w:w="955" w:type="pct"/>
            <w:noWrap/>
            <w:vAlign w:val="center"/>
            <w:hideMark/>
          </w:tcPr>
          <w:p w14:paraId="5F918708" w14:textId="77777777" w:rsidR="00316DE1" w:rsidRPr="00F671A4" w:rsidRDefault="00316DE1" w:rsidP="00527858">
            <w:pPr>
              <w:jc w:val="center"/>
              <w:rPr>
                <w:szCs w:val="24"/>
              </w:rPr>
            </w:pPr>
            <w:r w:rsidRPr="00F671A4">
              <w:rPr>
                <w:szCs w:val="24"/>
              </w:rPr>
              <w:t>61.8</w:t>
            </w:r>
          </w:p>
        </w:tc>
        <w:tc>
          <w:tcPr>
            <w:tcW w:w="581" w:type="pct"/>
            <w:noWrap/>
            <w:vAlign w:val="center"/>
            <w:hideMark/>
          </w:tcPr>
          <w:p w14:paraId="6CF6198B" w14:textId="77777777" w:rsidR="00316DE1" w:rsidRPr="00F671A4" w:rsidRDefault="00316DE1" w:rsidP="00527858">
            <w:pPr>
              <w:jc w:val="center"/>
              <w:rPr>
                <w:szCs w:val="24"/>
              </w:rPr>
            </w:pPr>
            <w:r w:rsidRPr="00F671A4">
              <w:rPr>
                <w:szCs w:val="24"/>
              </w:rPr>
              <w:t>22</w:t>
            </w:r>
          </w:p>
        </w:tc>
        <w:tc>
          <w:tcPr>
            <w:tcW w:w="581" w:type="pct"/>
            <w:noWrap/>
            <w:vAlign w:val="center"/>
            <w:hideMark/>
          </w:tcPr>
          <w:p w14:paraId="383EC8F5" w14:textId="77777777" w:rsidR="00316DE1" w:rsidRPr="00F671A4" w:rsidRDefault="00316DE1" w:rsidP="00527858">
            <w:pPr>
              <w:jc w:val="center"/>
              <w:rPr>
                <w:szCs w:val="24"/>
              </w:rPr>
            </w:pPr>
            <w:r w:rsidRPr="00F671A4">
              <w:rPr>
                <w:szCs w:val="24"/>
              </w:rPr>
              <w:t>28.9</w:t>
            </w:r>
          </w:p>
        </w:tc>
        <w:tc>
          <w:tcPr>
            <w:tcW w:w="581" w:type="pct"/>
            <w:noWrap/>
            <w:vAlign w:val="center"/>
            <w:hideMark/>
          </w:tcPr>
          <w:p w14:paraId="5BB0225D" w14:textId="77777777" w:rsidR="00316DE1" w:rsidRPr="00F671A4" w:rsidRDefault="00316DE1" w:rsidP="00527858">
            <w:pPr>
              <w:jc w:val="center"/>
              <w:rPr>
                <w:szCs w:val="24"/>
              </w:rPr>
            </w:pPr>
            <w:r w:rsidRPr="00F671A4">
              <w:rPr>
                <w:szCs w:val="24"/>
              </w:rPr>
              <w:t>13</w:t>
            </w:r>
          </w:p>
        </w:tc>
        <w:tc>
          <w:tcPr>
            <w:tcW w:w="581" w:type="pct"/>
            <w:noWrap/>
            <w:vAlign w:val="center"/>
            <w:hideMark/>
          </w:tcPr>
          <w:p w14:paraId="0F232EF1" w14:textId="77777777" w:rsidR="00316DE1" w:rsidRPr="00F671A4" w:rsidRDefault="00316DE1" w:rsidP="00527858">
            <w:pPr>
              <w:jc w:val="center"/>
              <w:rPr>
                <w:szCs w:val="24"/>
              </w:rPr>
            </w:pPr>
            <w:r w:rsidRPr="00F671A4">
              <w:rPr>
                <w:szCs w:val="24"/>
              </w:rPr>
              <w:t>17.1</w:t>
            </w:r>
          </w:p>
        </w:tc>
      </w:tr>
      <w:tr w:rsidR="00316DE1" w:rsidRPr="00F671A4" w14:paraId="75F35596" w14:textId="77777777" w:rsidTr="00F671A4">
        <w:trPr>
          <w:trHeight w:val="20"/>
        </w:trPr>
        <w:tc>
          <w:tcPr>
            <w:tcW w:w="912" w:type="pct"/>
            <w:vAlign w:val="center"/>
            <w:hideMark/>
          </w:tcPr>
          <w:p w14:paraId="69A11AFD" w14:textId="77777777" w:rsidR="00316DE1" w:rsidRPr="00F671A4" w:rsidRDefault="00316DE1" w:rsidP="00316DE1">
            <w:pPr>
              <w:rPr>
                <w:szCs w:val="24"/>
              </w:rPr>
            </w:pPr>
            <w:r w:rsidRPr="00F671A4">
              <w:rPr>
                <w:szCs w:val="24"/>
              </w:rPr>
              <w:t>Medio</w:t>
            </w:r>
          </w:p>
        </w:tc>
        <w:tc>
          <w:tcPr>
            <w:tcW w:w="809" w:type="pct"/>
            <w:noWrap/>
            <w:vAlign w:val="center"/>
            <w:hideMark/>
          </w:tcPr>
          <w:p w14:paraId="64953C57" w14:textId="77777777" w:rsidR="00316DE1" w:rsidRPr="00F671A4" w:rsidRDefault="00316DE1" w:rsidP="00527858">
            <w:pPr>
              <w:jc w:val="center"/>
              <w:rPr>
                <w:szCs w:val="24"/>
              </w:rPr>
            </w:pPr>
            <w:r w:rsidRPr="00F671A4">
              <w:rPr>
                <w:szCs w:val="24"/>
              </w:rPr>
              <w:t>18</w:t>
            </w:r>
          </w:p>
        </w:tc>
        <w:tc>
          <w:tcPr>
            <w:tcW w:w="955" w:type="pct"/>
            <w:noWrap/>
            <w:vAlign w:val="center"/>
            <w:hideMark/>
          </w:tcPr>
          <w:p w14:paraId="4C38CD0A" w14:textId="77777777" w:rsidR="00316DE1" w:rsidRPr="00F671A4" w:rsidRDefault="00316DE1" w:rsidP="00527858">
            <w:pPr>
              <w:jc w:val="center"/>
              <w:rPr>
                <w:szCs w:val="24"/>
              </w:rPr>
            </w:pPr>
            <w:r w:rsidRPr="00F671A4">
              <w:rPr>
                <w:szCs w:val="24"/>
              </w:rPr>
              <w:t>23.7</w:t>
            </w:r>
          </w:p>
        </w:tc>
        <w:tc>
          <w:tcPr>
            <w:tcW w:w="581" w:type="pct"/>
            <w:noWrap/>
            <w:vAlign w:val="center"/>
            <w:hideMark/>
          </w:tcPr>
          <w:p w14:paraId="3A1EE701" w14:textId="77777777" w:rsidR="00316DE1" w:rsidRPr="00F671A4" w:rsidRDefault="00316DE1" w:rsidP="00527858">
            <w:pPr>
              <w:jc w:val="center"/>
              <w:rPr>
                <w:szCs w:val="24"/>
              </w:rPr>
            </w:pPr>
            <w:r w:rsidRPr="00F671A4">
              <w:rPr>
                <w:szCs w:val="24"/>
              </w:rPr>
              <w:t>25</w:t>
            </w:r>
          </w:p>
        </w:tc>
        <w:tc>
          <w:tcPr>
            <w:tcW w:w="581" w:type="pct"/>
            <w:noWrap/>
            <w:vAlign w:val="center"/>
            <w:hideMark/>
          </w:tcPr>
          <w:p w14:paraId="4E90DA31" w14:textId="77777777" w:rsidR="00316DE1" w:rsidRPr="00F671A4" w:rsidRDefault="00316DE1" w:rsidP="00527858">
            <w:pPr>
              <w:jc w:val="center"/>
              <w:rPr>
                <w:szCs w:val="24"/>
              </w:rPr>
            </w:pPr>
            <w:r w:rsidRPr="00F671A4">
              <w:rPr>
                <w:szCs w:val="24"/>
              </w:rPr>
              <w:t>32.9</w:t>
            </w:r>
          </w:p>
        </w:tc>
        <w:tc>
          <w:tcPr>
            <w:tcW w:w="581" w:type="pct"/>
            <w:noWrap/>
            <w:vAlign w:val="center"/>
            <w:hideMark/>
          </w:tcPr>
          <w:p w14:paraId="260F78EC" w14:textId="77777777" w:rsidR="00316DE1" w:rsidRPr="00F671A4" w:rsidRDefault="00316DE1" w:rsidP="00527858">
            <w:pPr>
              <w:jc w:val="center"/>
              <w:rPr>
                <w:szCs w:val="24"/>
              </w:rPr>
            </w:pPr>
            <w:r w:rsidRPr="00F671A4">
              <w:rPr>
                <w:szCs w:val="24"/>
              </w:rPr>
              <w:t>39</w:t>
            </w:r>
          </w:p>
        </w:tc>
        <w:tc>
          <w:tcPr>
            <w:tcW w:w="581" w:type="pct"/>
            <w:noWrap/>
            <w:vAlign w:val="center"/>
            <w:hideMark/>
          </w:tcPr>
          <w:p w14:paraId="3A9EB786" w14:textId="77777777" w:rsidR="00316DE1" w:rsidRPr="00F671A4" w:rsidRDefault="00316DE1" w:rsidP="00527858">
            <w:pPr>
              <w:jc w:val="center"/>
              <w:rPr>
                <w:szCs w:val="24"/>
              </w:rPr>
            </w:pPr>
            <w:r w:rsidRPr="00F671A4">
              <w:rPr>
                <w:szCs w:val="24"/>
              </w:rPr>
              <w:t>51.3</w:t>
            </w:r>
          </w:p>
        </w:tc>
      </w:tr>
      <w:tr w:rsidR="00316DE1" w:rsidRPr="00F671A4" w14:paraId="76DE92D8" w14:textId="77777777" w:rsidTr="00F671A4">
        <w:trPr>
          <w:trHeight w:val="20"/>
        </w:trPr>
        <w:tc>
          <w:tcPr>
            <w:tcW w:w="912" w:type="pct"/>
            <w:vAlign w:val="center"/>
            <w:hideMark/>
          </w:tcPr>
          <w:p w14:paraId="13274764" w14:textId="77777777" w:rsidR="00316DE1" w:rsidRPr="00F671A4" w:rsidRDefault="00316DE1" w:rsidP="00316DE1">
            <w:pPr>
              <w:rPr>
                <w:szCs w:val="24"/>
              </w:rPr>
            </w:pPr>
            <w:r w:rsidRPr="00F671A4">
              <w:rPr>
                <w:szCs w:val="24"/>
              </w:rPr>
              <w:t>Alto</w:t>
            </w:r>
          </w:p>
        </w:tc>
        <w:tc>
          <w:tcPr>
            <w:tcW w:w="809" w:type="pct"/>
            <w:noWrap/>
            <w:vAlign w:val="center"/>
            <w:hideMark/>
          </w:tcPr>
          <w:p w14:paraId="64EA9062" w14:textId="77777777" w:rsidR="00316DE1" w:rsidRPr="00F671A4" w:rsidRDefault="00316DE1" w:rsidP="00527858">
            <w:pPr>
              <w:jc w:val="center"/>
              <w:rPr>
                <w:szCs w:val="24"/>
              </w:rPr>
            </w:pPr>
            <w:r w:rsidRPr="00F671A4">
              <w:rPr>
                <w:szCs w:val="24"/>
              </w:rPr>
              <w:t>11</w:t>
            </w:r>
          </w:p>
        </w:tc>
        <w:tc>
          <w:tcPr>
            <w:tcW w:w="955" w:type="pct"/>
            <w:noWrap/>
            <w:vAlign w:val="center"/>
            <w:hideMark/>
          </w:tcPr>
          <w:p w14:paraId="15B1DD44" w14:textId="77777777" w:rsidR="00316DE1" w:rsidRPr="00F671A4" w:rsidRDefault="00316DE1" w:rsidP="00527858">
            <w:pPr>
              <w:jc w:val="center"/>
              <w:rPr>
                <w:szCs w:val="24"/>
              </w:rPr>
            </w:pPr>
            <w:r w:rsidRPr="00F671A4">
              <w:rPr>
                <w:szCs w:val="24"/>
              </w:rPr>
              <w:t>14.5</w:t>
            </w:r>
          </w:p>
        </w:tc>
        <w:tc>
          <w:tcPr>
            <w:tcW w:w="581" w:type="pct"/>
            <w:noWrap/>
            <w:vAlign w:val="center"/>
            <w:hideMark/>
          </w:tcPr>
          <w:p w14:paraId="63822F20" w14:textId="77777777" w:rsidR="00316DE1" w:rsidRPr="00F671A4" w:rsidRDefault="00316DE1" w:rsidP="00527858">
            <w:pPr>
              <w:jc w:val="center"/>
              <w:rPr>
                <w:szCs w:val="24"/>
              </w:rPr>
            </w:pPr>
            <w:r w:rsidRPr="00F671A4">
              <w:rPr>
                <w:szCs w:val="24"/>
              </w:rPr>
              <w:t>29</w:t>
            </w:r>
          </w:p>
        </w:tc>
        <w:tc>
          <w:tcPr>
            <w:tcW w:w="581" w:type="pct"/>
            <w:noWrap/>
            <w:vAlign w:val="center"/>
            <w:hideMark/>
          </w:tcPr>
          <w:p w14:paraId="1456CC06" w14:textId="77777777" w:rsidR="00316DE1" w:rsidRPr="00F671A4" w:rsidRDefault="00316DE1" w:rsidP="00527858">
            <w:pPr>
              <w:jc w:val="center"/>
              <w:rPr>
                <w:szCs w:val="24"/>
              </w:rPr>
            </w:pPr>
            <w:r w:rsidRPr="00F671A4">
              <w:rPr>
                <w:szCs w:val="24"/>
              </w:rPr>
              <w:t>38.2</w:t>
            </w:r>
          </w:p>
        </w:tc>
        <w:tc>
          <w:tcPr>
            <w:tcW w:w="581" w:type="pct"/>
            <w:noWrap/>
            <w:vAlign w:val="center"/>
            <w:hideMark/>
          </w:tcPr>
          <w:p w14:paraId="60DDBD26" w14:textId="77777777" w:rsidR="00316DE1" w:rsidRPr="00F671A4" w:rsidRDefault="00316DE1" w:rsidP="00527858">
            <w:pPr>
              <w:jc w:val="center"/>
              <w:rPr>
                <w:szCs w:val="24"/>
              </w:rPr>
            </w:pPr>
            <w:r w:rsidRPr="00F671A4">
              <w:rPr>
                <w:szCs w:val="24"/>
              </w:rPr>
              <w:t>24</w:t>
            </w:r>
          </w:p>
        </w:tc>
        <w:tc>
          <w:tcPr>
            <w:tcW w:w="581" w:type="pct"/>
            <w:noWrap/>
            <w:vAlign w:val="center"/>
            <w:hideMark/>
          </w:tcPr>
          <w:p w14:paraId="35AE32C5" w14:textId="77777777" w:rsidR="00316DE1" w:rsidRPr="00F671A4" w:rsidRDefault="00316DE1" w:rsidP="00527858">
            <w:pPr>
              <w:jc w:val="center"/>
              <w:rPr>
                <w:szCs w:val="24"/>
              </w:rPr>
            </w:pPr>
            <w:r w:rsidRPr="00F671A4">
              <w:rPr>
                <w:szCs w:val="24"/>
              </w:rPr>
              <w:t>31.6</w:t>
            </w:r>
          </w:p>
        </w:tc>
      </w:tr>
      <w:tr w:rsidR="00316DE1" w:rsidRPr="00F671A4" w14:paraId="4ED00982" w14:textId="77777777" w:rsidTr="00F671A4">
        <w:trPr>
          <w:trHeight w:val="20"/>
        </w:trPr>
        <w:tc>
          <w:tcPr>
            <w:tcW w:w="912" w:type="pct"/>
            <w:vAlign w:val="center"/>
            <w:hideMark/>
          </w:tcPr>
          <w:p w14:paraId="53B45C28" w14:textId="77777777" w:rsidR="00316DE1" w:rsidRPr="00F671A4" w:rsidRDefault="00316DE1" w:rsidP="00316DE1">
            <w:pPr>
              <w:rPr>
                <w:szCs w:val="24"/>
              </w:rPr>
            </w:pPr>
            <w:r w:rsidRPr="00F671A4">
              <w:rPr>
                <w:szCs w:val="24"/>
              </w:rPr>
              <w:t>Total</w:t>
            </w:r>
          </w:p>
        </w:tc>
        <w:tc>
          <w:tcPr>
            <w:tcW w:w="809" w:type="pct"/>
            <w:noWrap/>
            <w:vAlign w:val="center"/>
            <w:hideMark/>
          </w:tcPr>
          <w:p w14:paraId="494055C1" w14:textId="77777777" w:rsidR="00316DE1" w:rsidRPr="00F671A4" w:rsidRDefault="00316DE1" w:rsidP="00527858">
            <w:pPr>
              <w:jc w:val="center"/>
              <w:rPr>
                <w:szCs w:val="24"/>
              </w:rPr>
            </w:pPr>
            <w:r w:rsidRPr="00F671A4">
              <w:rPr>
                <w:szCs w:val="24"/>
              </w:rPr>
              <w:t>76</w:t>
            </w:r>
          </w:p>
        </w:tc>
        <w:tc>
          <w:tcPr>
            <w:tcW w:w="955" w:type="pct"/>
            <w:noWrap/>
            <w:vAlign w:val="center"/>
            <w:hideMark/>
          </w:tcPr>
          <w:p w14:paraId="4426A42E" w14:textId="77777777" w:rsidR="00316DE1" w:rsidRPr="00F671A4" w:rsidRDefault="00316DE1" w:rsidP="00527858">
            <w:pPr>
              <w:jc w:val="center"/>
              <w:rPr>
                <w:szCs w:val="24"/>
              </w:rPr>
            </w:pPr>
            <w:r w:rsidRPr="00F671A4">
              <w:rPr>
                <w:szCs w:val="24"/>
              </w:rPr>
              <w:t>100.0</w:t>
            </w:r>
          </w:p>
        </w:tc>
        <w:tc>
          <w:tcPr>
            <w:tcW w:w="581" w:type="pct"/>
            <w:noWrap/>
            <w:vAlign w:val="center"/>
            <w:hideMark/>
          </w:tcPr>
          <w:p w14:paraId="1975551A" w14:textId="77777777" w:rsidR="00316DE1" w:rsidRPr="00F671A4" w:rsidRDefault="00316DE1" w:rsidP="00527858">
            <w:pPr>
              <w:jc w:val="center"/>
              <w:rPr>
                <w:szCs w:val="24"/>
              </w:rPr>
            </w:pPr>
            <w:r w:rsidRPr="00F671A4">
              <w:rPr>
                <w:szCs w:val="24"/>
              </w:rPr>
              <w:t>76</w:t>
            </w:r>
          </w:p>
        </w:tc>
        <w:tc>
          <w:tcPr>
            <w:tcW w:w="581" w:type="pct"/>
            <w:noWrap/>
            <w:vAlign w:val="center"/>
            <w:hideMark/>
          </w:tcPr>
          <w:p w14:paraId="454E787F" w14:textId="77777777" w:rsidR="00316DE1" w:rsidRPr="00F671A4" w:rsidRDefault="00316DE1" w:rsidP="00527858">
            <w:pPr>
              <w:jc w:val="center"/>
              <w:rPr>
                <w:szCs w:val="24"/>
              </w:rPr>
            </w:pPr>
            <w:r w:rsidRPr="00F671A4">
              <w:rPr>
                <w:szCs w:val="24"/>
              </w:rPr>
              <w:t>100.0</w:t>
            </w:r>
          </w:p>
        </w:tc>
        <w:tc>
          <w:tcPr>
            <w:tcW w:w="581" w:type="pct"/>
            <w:noWrap/>
            <w:vAlign w:val="center"/>
            <w:hideMark/>
          </w:tcPr>
          <w:p w14:paraId="6E7186DC" w14:textId="77777777" w:rsidR="00316DE1" w:rsidRPr="00F671A4" w:rsidRDefault="00316DE1" w:rsidP="00527858">
            <w:pPr>
              <w:jc w:val="center"/>
              <w:rPr>
                <w:szCs w:val="24"/>
              </w:rPr>
            </w:pPr>
            <w:r w:rsidRPr="00F671A4">
              <w:rPr>
                <w:szCs w:val="24"/>
              </w:rPr>
              <w:t>76</w:t>
            </w:r>
          </w:p>
        </w:tc>
        <w:tc>
          <w:tcPr>
            <w:tcW w:w="581" w:type="pct"/>
            <w:noWrap/>
            <w:vAlign w:val="center"/>
            <w:hideMark/>
          </w:tcPr>
          <w:p w14:paraId="144FA740" w14:textId="77777777" w:rsidR="00316DE1" w:rsidRPr="00F671A4" w:rsidRDefault="00316DE1" w:rsidP="00527858">
            <w:pPr>
              <w:jc w:val="center"/>
              <w:rPr>
                <w:szCs w:val="24"/>
              </w:rPr>
            </w:pPr>
            <w:r w:rsidRPr="00F671A4">
              <w:rPr>
                <w:szCs w:val="24"/>
              </w:rPr>
              <w:t>100.0</w:t>
            </w:r>
          </w:p>
        </w:tc>
      </w:tr>
    </w:tbl>
    <w:p w14:paraId="1E09901A" w14:textId="77777777" w:rsidR="00316DE1" w:rsidRPr="00F671A4" w:rsidRDefault="00316DE1" w:rsidP="00F671A4">
      <w:pPr>
        <w:jc w:val="center"/>
        <w:rPr>
          <w:lang w:val="es-ES"/>
        </w:rPr>
      </w:pPr>
      <w:r w:rsidRPr="00F671A4">
        <w:rPr>
          <w:i/>
          <w:iCs/>
          <w:lang w:val="es-ES"/>
        </w:rPr>
        <w:t>Nota</w:t>
      </w:r>
      <w:r w:rsidRPr="00F671A4">
        <w:rPr>
          <w:lang w:val="es-ES"/>
        </w:rPr>
        <w:t>: Análisis de datos de cuestionarios aplicados</w:t>
      </w:r>
    </w:p>
    <w:p w14:paraId="6FEA010C" w14:textId="23426844" w:rsidR="00316DE1" w:rsidRDefault="00316DE1" w:rsidP="00F671A4">
      <w:pPr>
        <w:ind w:firstLine="709"/>
      </w:pPr>
      <w:r w:rsidRPr="00316DE1">
        <w:t xml:space="preserve">Conforme a la </w:t>
      </w:r>
      <w:r w:rsidR="004F2A8B" w:rsidRPr="00316DE1">
        <w:t xml:space="preserve">Tabla </w:t>
      </w:r>
      <w:r w:rsidRPr="00316DE1">
        <w:t xml:space="preserve">3, se ha encontrado que </w:t>
      </w:r>
      <w:r w:rsidR="00570AF6" w:rsidRPr="00570AF6">
        <w:t>según el análisis de U de Mann-Whitney, el cansancio emocional, la regulación y el compromiso académico se presentan de manera similar entre hombres y mujeres</w:t>
      </w:r>
      <w:r w:rsidRPr="00316DE1">
        <w:t xml:space="preserve">, </w:t>
      </w:r>
      <w:r w:rsidR="00570AF6" w:rsidRPr="00570AF6">
        <w:t>lo que implica que las manifestaciones no difieren y repercuten en el ámbito académico</w:t>
      </w:r>
      <w:r w:rsidRPr="00316DE1">
        <w:t>.</w:t>
      </w:r>
    </w:p>
    <w:p w14:paraId="6281A875" w14:textId="77777777" w:rsidR="00316DE1" w:rsidRPr="00316DE1" w:rsidRDefault="00316DE1" w:rsidP="00316DE1"/>
    <w:p w14:paraId="7F370DC2" w14:textId="141457C1" w:rsidR="00316DE1" w:rsidRPr="00F671A4" w:rsidRDefault="00316DE1" w:rsidP="00F671A4">
      <w:pPr>
        <w:jc w:val="center"/>
      </w:pPr>
      <w:r w:rsidRPr="00316DE1">
        <w:rPr>
          <w:b/>
          <w:bCs/>
        </w:rPr>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3</w:t>
      </w:r>
      <w:r w:rsidRPr="00316DE1">
        <w:fldChar w:fldCharType="end"/>
      </w:r>
      <w:r w:rsidR="00F671A4">
        <w:t xml:space="preserve">. </w:t>
      </w:r>
      <w:r w:rsidR="009450C7" w:rsidRPr="00F671A4">
        <w:t>Análisis comparativo según sexo de las variables: cansancio emocional, regulación emocional y compromiso académico</w:t>
      </w:r>
    </w:p>
    <w:tbl>
      <w:tblPr>
        <w:tblStyle w:val="Tablaconcuadrcula"/>
        <w:tblW w:w="5000" w:type="pct"/>
        <w:tblLook w:val="04A0" w:firstRow="1" w:lastRow="0" w:firstColumn="1" w:lastColumn="0" w:noHBand="0" w:noVBand="1"/>
      </w:tblPr>
      <w:tblGrid>
        <w:gridCol w:w="2662"/>
        <w:gridCol w:w="1800"/>
        <w:gridCol w:w="2165"/>
        <w:gridCol w:w="2203"/>
      </w:tblGrid>
      <w:tr w:rsidR="00316DE1" w:rsidRPr="003E72AC" w14:paraId="7B35D2FD" w14:textId="77777777" w:rsidTr="00F671A4">
        <w:trPr>
          <w:trHeight w:val="57"/>
        </w:trPr>
        <w:tc>
          <w:tcPr>
            <w:tcW w:w="1570" w:type="pct"/>
            <w:vMerge w:val="restart"/>
            <w:noWrap/>
            <w:vAlign w:val="center"/>
            <w:hideMark/>
          </w:tcPr>
          <w:p w14:paraId="7E17DAF6" w14:textId="77777777" w:rsidR="00316DE1" w:rsidRPr="003E72AC" w:rsidRDefault="00316DE1" w:rsidP="00527858">
            <w:pPr>
              <w:jc w:val="center"/>
              <w:rPr>
                <w:szCs w:val="24"/>
              </w:rPr>
            </w:pPr>
            <w:r w:rsidRPr="003E72AC">
              <w:rPr>
                <w:szCs w:val="24"/>
              </w:rPr>
              <w:t>Variables</w:t>
            </w:r>
          </w:p>
        </w:tc>
        <w:tc>
          <w:tcPr>
            <w:tcW w:w="1082" w:type="pct"/>
            <w:vMerge w:val="restart"/>
            <w:noWrap/>
            <w:vAlign w:val="center"/>
            <w:hideMark/>
          </w:tcPr>
          <w:p w14:paraId="74380993" w14:textId="77777777" w:rsidR="00316DE1" w:rsidRPr="003E72AC" w:rsidRDefault="00316DE1" w:rsidP="00527858">
            <w:pPr>
              <w:jc w:val="center"/>
              <w:rPr>
                <w:szCs w:val="24"/>
              </w:rPr>
            </w:pPr>
            <w:r w:rsidRPr="003E72AC">
              <w:rPr>
                <w:szCs w:val="24"/>
              </w:rPr>
              <w:t>Sexo</w:t>
            </w:r>
          </w:p>
        </w:tc>
        <w:tc>
          <w:tcPr>
            <w:tcW w:w="1289" w:type="pct"/>
            <w:vMerge w:val="restart"/>
            <w:noWrap/>
            <w:vAlign w:val="center"/>
            <w:hideMark/>
          </w:tcPr>
          <w:p w14:paraId="24D43022" w14:textId="77777777" w:rsidR="00316DE1" w:rsidRPr="003E72AC" w:rsidRDefault="00316DE1" w:rsidP="00527858">
            <w:pPr>
              <w:jc w:val="center"/>
              <w:rPr>
                <w:szCs w:val="24"/>
              </w:rPr>
            </w:pPr>
            <w:r w:rsidRPr="003E72AC">
              <w:rPr>
                <w:szCs w:val="24"/>
              </w:rPr>
              <w:t>Rango promedio</w:t>
            </w:r>
          </w:p>
        </w:tc>
        <w:tc>
          <w:tcPr>
            <w:tcW w:w="1059" w:type="pct"/>
            <w:noWrap/>
            <w:vAlign w:val="center"/>
            <w:hideMark/>
          </w:tcPr>
          <w:p w14:paraId="7B475932" w14:textId="77777777" w:rsidR="00316DE1" w:rsidRPr="003E72AC" w:rsidRDefault="00316DE1" w:rsidP="00527858">
            <w:pPr>
              <w:jc w:val="center"/>
              <w:rPr>
                <w:szCs w:val="24"/>
              </w:rPr>
            </w:pPr>
            <w:r w:rsidRPr="003E72AC">
              <w:rPr>
                <w:szCs w:val="24"/>
              </w:rPr>
              <w:t>U de Mann-Whitney</w:t>
            </w:r>
          </w:p>
        </w:tc>
      </w:tr>
      <w:tr w:rsidR="00316DE1" w:rsidRPr="003E72AC" w14:paraId="23DC5B70" w14:textId="77777777" w:rsidTr="00F671A4">
        <w:trPr>
          <w:trHeight w:val="57"/>
        </w:trPr>
        <w:tc>
          <w:tcPr>
            <w:tcW w:w="1570" w:type="pct"/>
            <w:vMerge/>
            <w:vAlign w:val="center"/>
            <w:hideMark/>
          </w:tcPr>
          <w:p w14:paraId="5AEC2F9E" w14:textId="77777777" w:rsidR="00316DE1" w:rsidRPr="003E72AC" w:rsidRDefault="00316DE1" w:rsidP="00527858">
            <w:pPr>
              <w:jc w:val="center"/>
              <w:rPr>
                <w:szCs w:val="24"/>
              </w:rPr>
            </w:pPr>
          </w:p>
        </w:tc>
        <w:tc>
          <w:tcPr>
            <w:tcW w:w="1082" w:type="pct"/>
            <w:vMerge/>
            <w:vAlign w:val="center"/>
            <w:hideMark/>
          </w:tcPr>
          <w:p w14:paraId="31EB960B" w14:textId="77777777" w:rsidR="00316DE1" w:rsidRPr="003E72AC" w:rsidRDefault="00316DE1" w:rsidP="00527858">
            <w:pPr>
              <w:jc w:val="center"/>
              <w:rPr>
                <w:szCs w:val="24"/>
              </w:rPr>
            </w:pPr>
          </w:p>
        </w:tc>
        <w:tc>
          <w:tcPr>
            <w:tcW w:w="1289" w:type="pct"/>
            <w:vMerge/>
            <w:vAlign w:val="center"/>
            <w:hideMark/>
          </w:tcPr>
          <w:p w14:paraId="35E7EF13" w14:textId="77777777" w:rsidR="00316DE1" w:rsidRPr="003E72AC" w:rsidRDefault="00316DE1" w:rsidP="00527858">
            <w:pPr>
              <w:jc w:val="center"/>
              <w:rPr>
                <w:szCs w:val="24"/>
              </w:rPr>
            </w:pPr>
          </w:p>
        </w:tc>
        <w:tc>
          <w:tcPr>
            <w:tcW w:w="1059" w:type="pct"/>
            <w:noWrap/>
            <w:vAlign w:val="center"/>
            <w:hideMark/>
          </w:tcPr>
          <w:p w14:paraId="1DCB85E5" w14:textId="77777777" w:rsidR="00316DE1" w:rsidRPr="003E72AC" w:rsidRDefault="00316DE1" w:rsidP="00527858">
            <w:pPr>
              <w:jc w:val="center"/>
              <w:rPr>
                <w:szCs w:val="24"/>
              </w:rPr>
            </w:pPr>
            <w:r w:rsidRPr="003E72AC">
              <w:rPr>
                <w:szCs w:val="24"/>
              </w:rPr>
              <w:t>P</w:t>
            </w:r>
          </w:p>
        </w:tc>
      </w:tr>
      <w:tr w:rsidR="00316DE1" w:rsidRPr="003E72AC" w14:paraId="4B3CF81C" w14:textId="77777777" w:rsidTr="00F671A4">
        <w:trPr>
          <w:trHeight w:val="57"/>
        </w:trPr>
        <w:tc>
          <w:tcPr>
            <w:tcW w:w="1570" w:type="pct"/>
            <w:vMerge w:val="restart"/>
            <w:noWrap/>
            <w:vAlign w:val="center"/>
            <w:hideMark/>
          </w:tcPr>
          <w:p w14:paraId="57ACA8D5" w14:textId="10F7F812" w:rsidR="00316DE1" w:rsidRPr="003E72AC" w:rsidRDefault="00E97241" w:rsidP="00316DE1">
            <w:pPr>
              <w:rPr>
                <w:szCs w:val="24"/>
              </w:rPr>
            </w:pPr>
            <w:r>
              <w:rPr>
                <w:szCs w:val="24"/>
              </w:rPr>
              <w:t>Fatiga emocional</w:t>
            </w:r>
          </w:p>
        </w:tc>
        <w:tc>
          <w:tcPr>
            <w:tcW w:w="1082" w:type="pct"/>
            <w:noWrap/>
            <w:vAlign w:val="center"/>
            <w:hideMark/>
          </w:tcPr>
          <w:p w14:paraId="15D5E8B8" w14:textId="77777777" w:rsidR="00316DE1" w:rsidRPr="003E72AC" w:rsidRDefault="00316DE1" w:rsidP="00316DE1">
            <w:pPr>
              <w:rPr>
                <w:szCs w:val="24"/>
              </w:rPr>
            </w:pPr>
            <w:r w:rsidRPr="003E72AC">
              <w:rPr>
                <w:szCs w:val="24"/>
              </w:rPr>
              <w:t>Mujer</w:t>
            </w:r>
          </w:p>
        </w:tc>
        <w:tc>
          <w:tcPr>
            <w:tcW w:w="1289" w:type="pct"/>
            <w:noWrap/>
            <w:vAlign w:val="center"/>
            <w:hideMark/>
          </w:tcPr>
          <w:p w14:paraId="4A4D9F8D" w14:textId="77777777" w:rsidR="00316DE1" w:rsidRPr="003E72AC" w:rsidRDefault="00316DE1" w:rsidP="00316DE1">
            <w:pPr>
              <w:rPr>
                <w:szCs w:val="24"/>
              </w:rPr>
            </w:pPr>
            <w:r w:rsidRPr="003E72AC">
              <w:rPr>
                <w:szCs w:val="24"/>
              </w:rPr>
              <w:t>40.72</w:t>
            </w:r>
          </w:p>
        </w:tc>
        <w:tc>
          <w:tcPr>
            <w:tcW w:w="1059" w:type="pct"/>
            <w:vMerge w:val="restart"/>
            <w:noWrap/>
            <w:vAlign w:val="center"/>
            <w:hideMark/>
          </w:tcPr>
          <w:p w14:paraId="1EEED3B8" w14:textId="0AACDF90" w:rsidR="00316DE1" w:rsidRPr="003E72AC" w:rsidRDefault="00570AF6" w:rsidP="00527858">
            <w:pPr>
              <w:jc w:val="center"/>
              <w:rPr>
                <w:szCs w:val="24"/>
              </w:rPr>
            </w:pPr>
            <w:r>
              <w:rPr>
                <w:szCs w:val="24"/>
              </w:rPr>
              <w:t>0</w:t>
            </w:r>
            <w:r w:rsidR="00316DE1" w:rsidRPr="003E72AC">
              <w:rPr>
                <w:szCs w:val="24"/>
              </w:rPr>
              <w:t>.116</w:t>
            </w:r>
          </w:p>
        </w:tc>
      </w:tr>
      <w:tr w:rsidR="00316DE1" w:rsidRPr="003E72AC" w14:paraId="0A93EE57" w14:textId="77777777" w:rsidTr="00F671A4">
        <w:trPr>
          <w:trHeight w:val="57"/>
        </w:trPr>
        <w:tc>
          <w:tcPr>
            <w:tcW w:w="1570" w:type="pct"/>
            <w:vMerge/>
            <w:vAlign w:val="center"/>
            <w:hideMark/>
          </w:tcPr>
          <w:p w14:paraId="7D0721D6" w14:textId="77777777" w:rsidR="00316DE1" w:rsidRPr="003E72AC" w:rsidRDefault="00316DE1" w:rsidP="00316DE1">
            <w:pPr>
              <w:rPr>
                <w:szCs w:val="24"/>
              </w:rPr>
            </w:pPr>
          </w:p>
        </w:tc>
        <w:tc>
          <w:tcPr>
            <w:tcW w:w="1082" w:type="pct"/>
            <w:noWrap/>
            <w:vAlign w:val="center"/>
            <w:hideMark/>
          </w:tcPr>
          <w:p w14:paraId="15A9FC84" w14:textId="77777777" w:rsidR="00316DE1" w:rsidRPr="003E72AC" w:rsidRDefault="00316DE1" w:rsidP="00316DE1">
            <w:pPr>
              <w:rPr>
                <w:szCs w:val="24"/>
              </w:rPr>
            </w:pPr>
            <w:r w:rsidRPr="003E72AC">
              <w:rPr>
                <w:szCs w:val="24"/>
              </w:rPr>
              <w:t>Varón</w:t>
            </w:r>
          </w:p>
        </w:tc>
        <w:tc>
          <w:tcPr>
            <w:tcW w:w="1289" w:type="pct"/>
            <w:noWrap/>
            <w:vAlign w:val="center"/>
            <w:hideMark/>
          </w:tcPr>
          <w:p w14:paraId="35490B7A" w14:textId="77777777" w:rsidR="00316DE1" w:rsidRPr="003E72AC" w:rsidRDefault="00316DE1" w:rsidP="00316DE1">
            <w:pPr>
              <w:rPr>
                <w:szCs w:val="24"/>
              </w:rPr>
            </w:pPr>
            <w:r w:rsidRPr="003E72AC">
              <w:rPr>
                <w:szCs w:val="24"/>
              </w:rPr>
              <w:t>31.36</w:t>
            </w:r>
          </w:p>
        </w:tc>
        <w:tc>
          <w:tcPr>
            <w:tcW w:w="1059" w:type="pct"/>
            <w:vMerge/>
            <w:vAlign w:val="center"/>
            <w:hideMark/>
          </w:tcPr>
          <w:p w14:paraId="4E4A11A6" w14:textId="77777777" w:rsidR="00316DE1" w:rsidRPr="003E72AC" w:rsidRDefault="00316DE1" w:rsidP="00527858">
            <w:pPr>
              <w:jc w:val="center"/>
              <w:rPr>
                <w:szCs w:val="24"/>
              </w:rPr>
            </w:pPr>
          </w:p>
        </w:tc>
      </w:tr>
      <w:tr w:rsidR="00316DE1" w:rsidRPr="003E72AC" w14:paraId="1A13B9B0" w14:textId="77777777" w:rsidTr="00F671A4">
        <w:trPr>
          <w:trHeight w:val="57"/>
        </w:trPr>
        <w:tc>
          <w:tcPr>
            <w:tcW w:w="1570" w:type="pct"/>
            <w:vMerge w:val="restart"/>
            <w:noWrap/>
            <w:vAlign w:val="center"/>
            <w:hideMark/>
          </w:tcPr>
          <w:p w14:paraId="682B3BB2" w14:textId="77777777" w:rsidR="00316DE1" w:rsidRPr="003E72AC" w:rsidRDefault="00316DE1" w:rsidP="00316DE1">
            <w:pPr>
              <w:rPr>
                <w:szCs w:val="24"/>
              </w:rPr>
            </w:pPr>
            <w:r w:rsidRPr="003E72AC">
              <w:rPr>
                <w:szCs w:val="24"/>
              </w:rPr>
              <w:t>Regulación emocional</w:t>
            </w:r>
          </w:p>
          <w:p w14:paraId="5D9E0F6D" w14:textId="77777777" w:rsidR="00316DE1" w:rsidRPr="003E72AC" w:rsidRDefault="00316DE1" w:rsidP="00316DE1">
            <w:pPr>
              <w:rPr>
                <w:szCs w:val="24"/>
              </w:rPr>
            </w:pPr>
          </w:p>
        </w:tc>
        <w:tc>
          <w:tcPr>
            <w:tcW w:w="1082" w:type="pct"/>
            <w:noWrap/>
            <w:vAlign w:val="center"/>
            <w:hideMark/>
          </w:tcPr>
          <w:p w14:paraId="13C2BACB" w14:textId="77777777" w:rsidR="00316DE1" w:rsidRPr="003E72AC" w:rsidRDefault="00316DE1" w:rsidP="00316DE1">
            <w:pPr>
              <w:rPr>
                <w:szCs w:val="24"/>
              </w:rPr>
            </w:pPr>
            <w:r w:rsidRPr="003E72AC">
              <w:rPr>
                <w:szCs w:val="24"/>
              </w:rPr>
              <w:t>Mujer</w:t>
            </w:r>
          </w:p>
        </w:tc>
        <w:tc>
          <w:tcPr>
            <w:tcW w:w="1289" w:type="pct"/>
            <w:noWrap/>
            <w:vAlign w:val="center"/>
            <w:hideMark/>
          </w:tcPr>
          <w:p w14:paraId="3084AA54" w14:textId="77777777" w:rsidR="00316DE1" w:rsidRPr="003E72AC" w:rsidRDefault="00316DE1" w:rsidP="00316DE1">
            <w:pPr>
              <w:rPr>
                <w:szCs w:val="24"/>
              </w:rPr>
            </w:pPr>
            <w:r w:rsidRPr="003E72AC">
              <w:rPr>
                <w:szCs w:val="24"/>
              </w:rPr>
              <w:t>36.48</w:t>
            </w:r>
          </w:p>
        </w:tc>
        <w:tc>
          <w:tcPr>
            <w:tcW w:w="1059" w:type="pct"/>
            <w:vMerge w:val="restart"/>
            <w:noWrap/>
            <w:vAlign w:val="center"/>
            <w:hideMark/>
          </w:tcPr>
          <w:p w14:paraId="6C873546" w14:textId="25095308" w:rsidR="00316DE1" w:rsidRPr="003E72AC" w:rsidRDefault="00570AF6" w:rsidP="00527858">
            <w:pPr>
              <w:jc w:val="center"/>
              <w:rPr>
                <w:szCs w:val="24"/>
              </w:rPr>
            </w:pPr>
            <w:r>
              <w:rPr>
                <w:szCs w:val="24"/>
              </w:rPr>
              <w:t>0</w:t>
            </w:r>
            <w:r w:rsidR="00316DE1" w:rsidRPr="003E72AC">
              <w:rPr>
                <w:szCs w:val="24"/>
              </w:rPr>
              <w:t>.152</w:t>
            </w:r>
          </w:p>
        </w:tc>
      </w:tr>
      <w:tr w:rsidR="00316DE1" w:rsidRPr="003E72AC" w14:paraId="157478D3" w14:textId="77777777" w:rsidTr="00F671A4">
        <w:trPr>
          <w:trHeight w:val="57"/>
        </w:trPr>
        <w:tc>
          <w:tcPr>
            <w:tcW w:w="1570" w:type="pct"/>
            <w:vMerge/>
            <w:vAlign w:val="center"/>
            <w:hideMark/>
          </w:tcPr>
          <w:p w14:paraId="01C76723" w14:textId="77777777" w:rsidR="00316DE1" w:rsidRPr="003E72AC" w:rsidRDefault="00316DE1" w:rsidP="00316DE1">
            <w:pPr>
              <w:rPr>
                <w:szCs w:val="24"/>
              </w:rPr>
            </w:pPr>
          </w:p>
        </w:tc>
        <w:tc>
          <w:tcPr>
            <w:tcW w:w="1082" w:type="pct"/>
            <w:noWrap/>
            <w:vAlign w:val="center"/>
            <w:hideMark/>
          </w:tcPr>
          <w:p w14:paraId="59CC6728" w14:textId="77777777" w:rsidR="00316DE1" w:rsidRPr="003E72AC" w:rsidRDefault="00316DE1" w:rsidP="00316DE1">
            <w:pPr>
              <w:rPr>
                <w:szCs w:val="24"/>
              </w:rPr>
            </w:pPr>
            <w:r w:rsidRPr="003E72AC">
              <w:rPr>
                <w:szCs w:val="24"/>
              </w:rPr>
              <w:t>Varón</w:t>
            </w:r>
          </w:p>
        </w:tc>
        <w:tc>
          <w:tcPr>
            <w:tcW w:w="1289" w:type="pct"/>
            <w:noWrap/>
            <w:vAlign w:val="center"/>
            <w:hideMark/>
          </w:tcPr>
          <w:p w14:paraId="119E4147" w14:textId="77777777" w:rsidR="00316DE1" w:rsidRPr="003E72AC" w:rsidRDefault="00316DE1" w:rsidP="00316DE1">
            <w:pPr>
              <w:rPr>
                <w:szCs w:val="24"/>
              </w:rPr>
            </w:pPr>
            <w:r w:rsidRPr="003E72AC">
              <w:rPr>
                <w:szCs w:val="24"/>
              </w:rPr>
              <w:t>45</w:t>
            </w:r>
          </w:p>
        </w:tc>
        <w:tc>
          <w:tcPr>
            <w:tcW w:w="1059" w:type="pct"/>
            <w:vMerge/>
            <w:vAlign w:val="center"/>
            <w:hideMark/>
          </w:tcPr>
          <w:p w14:paraId="7F3AFFCE" w14:textId="77777777" w:rsidR="00316DE1" w:rsidRPr="003E72AC" w:rsidRDefault="00316DE1" w:rsidP="00527858">
            <w:pPr>
              <w:jc w:val="center"/>
              <w:rPr>
                <w:szCs w:val="24"/>
              </w:rPr>
            </w:pPr>
          </w:p>
        </w:tc>
      </w:tr>
      <w:tr w:rsidR="00316DE1" w:rsidRPr="003E72AC" w14:paraId="6D646AA3" w14:textId="77777777" w:rsidTr="00F671A4">
        <w:trPr>
          <w:trHeight w:val="57"/>
        </w:trPr>
        <w:tc>
          <w:tcPr>
            <w:tcW w:w="1570" w:type="pct"/>
            <w:vMerge w:val="restart"/>
            <w:noWrap/>
            <w:vAlign w:val="center"/>
            <w:hideMark/>
          </w:tcPr>
          <w:p w14:paraId="304BFB37" w14:textId="77777777" w:rsidR="00316DE1" w:rsidRPr="003E72AC" w:rsidRDefault="00316DE1" w:rsidP="00316DE1">
            <w:pPr>
              <w:rPr>
                <w:szCs w:val="24"/>
              </w:rPr>
            </w:pPr>
            <w:r w:rsidRPr="003E72AC">
              <w:rPr>
                <w:szCs w:val="24"/>
              </w:rPr>
              <w:t>Compromiso académico</w:t>
            </w:r>
          </w:p>
        </w:tc>
        <w:tc>
          <w:tcPr>
            <w:tcW w:w="1082" w:type="pct"/>
            <w:noWrap/>
            <w:vAlign w:val="center"/>
            <w:hideMark/>
          </w:tcPr>
          <w:p w14:paraId="6DF1282C" w14:textId="77777777" w:rsidR="00316DE1" w:rsidRPr="003E72AC" w:rsidRDefault="00316DE1" w:rsidP="00316DE1">
            <w:pPr>
              <w:rPr>
                <w:szCs w:val="24"/>
              </w:rPr>
            </w:pPr>
            <w:r w:rsidRPr="003E72AC">
              <w:rPr>
                <w:szCs w:val="24"/>
              </w:rPr>
              <w:t>Mujer</w:t>
            </w:r>
          </w:p>
        </w:tc>
        <w:tc>
          <w:tcPr>
            <w:tcW w:w="1289" w:type="pct"/>
            <w:noWrap/>
            <w:vAlign w:val="center"/>
            <w:hideMark/>
          </w:tcPr>
          <w:p w14:paraId="579F0CDB" w14:textId="674EE772" w:rsidR="00316DE1" w:rsidRPr="003E72AC" w:rsidRDefault="00316DE1" w:rsidP="00316DE1">
            <w:pPr>
              <w:rPr>
                <w:szCs w:val="24"/>
              </w:rPr>
            </w:pPr>
            <w:r w:rsidRPr="003E72AC">
              <w:rPr>
                <w:szCs w:val="24"/>
              </w:rPr>
              <w:t>40.39</w:t>
            </w:r>
          </w:p>
        </w:tc>
        <w:tc>
          <w:tcPr>
            <w:tcW w:w="1059" w:type="pct"/>
            <w:vMerge w:val="restart"/>
            <w:noWrap/>
            <w:vAlign w:val="center"/>
            <w:hideMark/>
          </w:tcPr>
          <w:p w14:paraId="0BBD048E" w14:textId="5911F7EC" w:rsidR="00316DE1" w:rsidRPr="003E72AC" w:rsidRDefault="00570AF6" w:rsidP="00527858">
            <w:pPr>
              <w:jc w:val="center"/>
              <w:rPr>
                <w:szCs w:val="24"/>
              </w:rPr>
            </w:pPr>
            <w:r>
              <w:rPr>
                <w:szCs w:val="24"/>
              </w:rPr>
              <w:t>0</w:t>
            </w:r>
            <w:r w:rsidR="00316DE1" w:rsidRPr="003E72AC">
              <w:rPr>
                <w:szCs w:val="24"/>
              </w:rPr>
              <w:t>.18</w:t>
            </w:r>
          </w:p>
        </w:tc>
      </w:tr>
      <w:tr w:rsidR="00316DE1" w:rsidRPr="003E72AC" w14:paraId="45816B9D" w14:textId="77777777" w:rsidTr="00F671A4">
        <w:trPr>
          <w:trHeight w:val="57"/>
        </w:trPr>
        <w:tc>
          <w:tcPr>
            <w:tcW w:w="1570" w:type="pct"/>
            <w:vMerge/>
            <w:vAlign w:val="center"/>
            <w:hideMark/>
          </w:tcPr>
          <w:p w14:paraId="405BF21D" w14:textId="77777777" w:rsidR="00316DE1" w:rsidRPr="003E72AC" w:rsidRDefault="00316DE1" w:rsidP="00316DE1">
            <w:pPr>
              <w:rPr>
                <w:szCs w:val="24"/>
              </w:rPr>
            </w:pPr>
          </w:p>
        </w:tc>
        <w:tc>
          <w:tcPr>
            <w:tcW w:w="1082" w:type="pct"/>
            <w:noWrap/>
            <w:vAlign w:val="center"/>
            <w:hideMark/>
          </w:tcPr>
          <w:p w14:paraId="226428F7" w14:textId="77777777" w:rsidR="00316DE1" w:rsidRPr="003E72AC" w:rsidRDefault="00316DE1" w:rsidP="00316DE1">
            <w:pPr>
              <w:rPr>
                <w:szCs w:val="24"/>
              </w:rPr>
            </w:pPr>
            <w:r w:rsidRPr="003E72AC">
              <w:rPr>
                <w:szCs w:val="24"/>
              </w:rPr>
              <w:t>Varón</w:t>
            </w:r>
          </w:p>
        </w:tc>
        <w:tc>
          <w:tcPr>
            <w:tcW w:w="1289" w:type="pct"/>
            <w:noWrap/>
            <w:vAlign w:val="center"/>
            <w:hideMark/>
          </w:tcPr>
          <w:p w14:paraId="77844AD1" w14:textId="77777777" w:rsidR="00316DE1" w:rsidRPr="003E72AC" w:rsidRDefault="00316DE1" w:rsidP="00316DE1">
            <w:pPr>
              <w:rPr>
                <w:szCs w:val="24"/>
              </w:rPr>
            </w:pPr>
            <w:r w:rsidRPr="003E72AC">
              <w:rPr>
                <w:szCs w:val="24"/>
              </w:rPr>
              <w:t>32.42</w:t>
            </w:r>
          </w:p>
        </w:tc>
        <w:tc>
          <w:tcPr>
            <w:tcW w:w="1059" w:type="pct"/>
            <w:vMerge/>
            <w:vAlign w:val="center"/>
            <w:hideMark/>
          </w:tcPr>
          <w:p w14:paraId="293731E2" w14:textId="77777777" w:rsidR="00316DE1" w:rsidRPr="003E72AC" w:rsidRDefault="00316DE1" w:rsidP="00316DE1">
            <w:pPr>
              <w:rPr>
                <w:szCs w:val="24"/>
              </w:rPr>
            </w:pPr>
          </w:p>
        </w:tc>
      </w:tr>
    </w:tbl>
    <w:p w14:paraId="110A4EF0" w14:textId="77777777" w:rsidR="00316DE1" w:rsidRPr="00F671A4" w:rsidRDefault="00316DE1" w:rsidP="00F671A4">
      <w:pPr>
        <w:jc w:val="center"/>
        <w:rPr>
          <w:lang w:val="es-ES"/>
        </w:rPr>
      </w:pPr>
      <w:r w:rsidRPr="00F671A4">
        <w:rPr>
          <w:i/>
          <w:iCs/>
          <w:lang w:val="es-ES"/>
        </w:rPr>
        <w:t>Nota</w:t>
      </w:r>
      <w:r w:rsidRPr="00F671A4">
        <w:rPr>
          <w:lang w:val="es-ES"/>
        </w:rPr>
        <w:t>: Análisis SPSS29</w:t>
      </w:r>
    </w:p>
    <w:p w14:paraId="53830C0D" w14:textId="389D6EB5" w:rsidR="00316DE1" w:rsidRDefault="00316DE1" w:rsidP="00F671A4">
      <w:pPr>
        <w:ind w:firstLine="709"/>
      </w:pPr>
      <w:r w:rsidRPr="00316DE1">
        <w:t xml:space="preserve">La tabla 4 </w:t>
      </w:r>
      <w:r w:rsidR="0074376D">
        <w:t>muestra</w:t>
      </w:r>
      <w:r w:rsidRPr="00316DE1">
        <w:t xml:space="preserve"> que independiente de la universidad de procedencia el cansancio, la regulación y el compromiso académico alcanzan similares valores, </w:t>
      </w:r>
      <w:r w:rsidR="00570AF6" w:rsidRPr="00570AF6">
        <w:t>lo cual indica que no se encontraron diferencias estadísticamente significativas (p &gt; 0.001)</w:t>
      </w:r>
      <w:r w:rsidRPr="00316DE1">
        <w:t xml:space="preserve">. </w:t>
      </w:r>
      <w:r w:rsidR="00570AF6" w:rsidRPr="00570AF6">
        <w:t>Esto sugiere que factores comunes, como el estrés académico, las demandas universitarias o las características individuales de los estudiantes, podrían influir en estas variables de manera similar</w:t>
      </w:r>
      <w:r w:rsidRPr="00316DE1">
        <w:t>.</w:t>
      </w:r>
    </w:p>
    <w:p w14:paraId="1F495DE2" w14:textId="77777777" w:rsidR="009450C7" w:rsidRDefault="009450C7" w:rsidP="00316DE1"/>
    <w:p w14:paraId="657237C5" w14:textId="6B1AB7A0" w:rsidR="00316DE1" w:rsidRPr="00316DE1" w:rsidRDefault="00316DE1" w:rsidP="00F671A4">
      <w:pPr>
        <w:jc w:val="center"/>
        <w:rPr>
          <w:i/>
          <w:iCs/>
        </w:rPr>
      </w:pPr>
      <w:r w:rsidRPr="00316DE1">
        <w:rPr>
          <w:b/>
          <w:bCs/>
        </w:rPr>
        <w:lastRenderedPageBreak/>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4</w:t>
      </w:r>
      <w:r w:rsidRPr="00316DE1">
        <w:fldChar w:fldCharType="end"/>
      </w:r>
      <w:r w:rsidR="00F671A4">
        <w:t xml:space="preserve">. </w:t>
      </w:r>
      <w:r w:rsidR="009450C7" w:rsidRPr="00F671A4">
        <w:t>Análisis comparativo según universidad de las variables: cansancio emocional, regulación emocional y compromiso académico</w:t>
      </w:r>
    </w:p>
    <w:tbl>
      <w:tblPr>
        <w:tblStyle w:val="Tablaconcuadrcula"/>
        <w:tblW w:w="5000" w:type="pct"/>
        <w:tblLook w:val="04A0" w:firstRow="1" w:lastRow="0" w:firstColumn="1" w:lastColumn="0" w:noHBand="0" w:noVBand="1"/>
      </w:tblPr>
      <w:tblGrid>
        <w:gridCol w:w="2892"/>
        <w:gridCol w:w="2063"/>
        <w:gridCol w:w="2052"/>
        <w:gridCol w:w="1823"/>
      </w:tblGrid>
      <w:tr w:rsidR="00316DE1" w:rsidRPr="003E72AC" w14:paraId="28CC5054" w14:textId="77777777" w:rsidTr="00F671A4">
        <w:trPr>
          <w:trHeight w:val="20"/>
        </w:trPr>
        <w:tc>
          <w:tcPr>
            <w:tcW w:w="1638" w:type="pct"/>
            <w:vMerge w:val="restart"/>
            <w:noWrap/>
            <w:vAlign w:val="center"/>
            <w:hideMark/>
          </w:tcPr>
          <w:p w14:paraId="69D273BB" w14:textId="77777777" w:rsidR="00316DE1" w:rsidRPr="003E72AC" w:rsidRDefault="00316DE1" w:rsidP="00316DE1">
            <w:pPr>
              <w:rPr>
                <w:szCs w:val="24"/>
              </w:rPr>
            </w:pPr>
            <w:r w:rsidRPr="003E72AC">
              <w:rPr>
                <w:szCs w:val="24"/>
                <w:lang w:val="en-US"/>
              </w:rPr>
              <w:t>Variables</w:t>
            </w:r>
          </w:p>
        </w:tc>
        <w:tc>
          <w:tcPr>
            <w:tcW w:w="1168" w:type="pct"/>
            <w:vMerge w:val="restart"/>
            <w:noWrap/>
            <w:vAlign w:val="center"/>
            <w:hideMark/>
          </w:tcPr>
          <w:p w14:paraId="49AEADBE" w14:textId="77777777" w:rsidR="00316DE1" w:rsidRPr="003E72AC" w:rsidRDefault="00316DE1" w:rsidP="00316DE1">
            <w:pPr>
              <w:rPr>
                <w:szCs w:val="24"/>
                <w:lang w:val="en-US"/>
              </w:rPr>
            </w:pPr>
            <w:r w:rsidRPr="003E72AC">
              <w:rPr>
                <w:szCs w:val="24"/>
                <w:lang w:val="en-US"/>
              </w:rPr>
              <w:t>Universidad</w:t>
            </w:r>
          </w:p>
        </w:tc>
        <w:tc>
          <w:tcPr>
            <w:tcW w:w="1162" w:type="pct"/>
            <w:vMerge w:val="restart"/>
            <w:noWrap/>
            <w:vAlign w:val="center"/>
            <w:hideMark/>
          </w:tcPr>
          <w:p w14:paraId="4D4C1F93" w14:textId="77777777" w:rsidR="00316DE1" w:rsidRPr="003E72AC" w:rsidRDefault="00316DE1" w:rsidP="00316DE1">
            <w:pPr>
              <w:rPr>
                <w:szCs w:val="24"/>
                <w:lang w:val="en-US"/>
              </w:rPr>
            </w:pPr>
            <w:r w:rsidRPr="003E72AC">
              <w:rPr>
                <w:szCs w:val="24"/>
                <w:lang w:val="en-US"/>
              </w:rPr>
              <w:t xml:space="preserve">Rango </w:t>
            </w:r>
            <w:proofErr w:type="spellStart"/>
            <w:r w:rsidRPr="003E72AC">
              <w:rPr>
                <w:szCs w:val="24"/>
                <w:lang w:val="en-US"/>
              </w:rPr>
              <w:t>promedio</w:t>
            </w:r>
            <w:proofErr w:type="spellEnd"/>
          </w:p>
        </w:tc>
        <w:tc>
          <w:tcPr>
            <w:tcW w:w="1032" w:type="pct"/>
            <w:noWrap/>
            <w:vAlign w:val="center"/>
            <w:hideMark/>
          </w:tcPr>
          <w:p w14:paraId="7C64242A" w14:textId="77777777" w:rsidR="00316DE1" w:rsidRPr="003E72AC" w:rsidRDefault="00316DE1" w:rsidP="00316DE1">
            <w:pPr>
              <w:jc w:val="center"/>
              <w:rPr>
                <w:szCs w:val="24"/>
                <w:lang w:val="en-US"/>
              </w:rPr>
            </w:pPr>
            <w:r w:rsidRPr="003E72AC">
              <w:rPr>
                <w:szCs w:val="24"/>
                <w:lang w:val="en-US"/>
              </w:rPr>
              <w:t>Kruskal-Wallis</w:t>
            </w:r>
          </w:p>
        </w:tc>
      </w:tr>
      <w:tr w:rsidR="00316DE1" w:rsidRPr="003E72AC" w14:paraId="76CF0983" w14:textId="77777777" w:rsidTr="00F671A4">
        <w:trPr>
          <w:trHeight w:val="20"/>
        </w:trPr>
        <w:tc>
          <w:tcPr>
            <w:tcW w:w="1638" w:type="pct"/>
            <w:vMerge/>
            <w:vAlign w:val="center"/>
            <w:hideMark/>
          </w:tcPr>
          <w:p w14:paraId="41325DBD" w14:textId="77777777" w:rsidR="00316DE1" w:rsidRPr="003E72AC" w:rsidRDefault="00316DE1" w:rsidP="00316DE1">
            <w:pPr>
              <w:rPr>
                <w:szCs w:val="24"/>
                <w:lang w:val="en-US"/>
              </w:rPr>
            </w:pPr>
          </w:p>
        </w:tc>
        <w:tc>
          <w:tcPr>
            <w:tcW w:w="1168" w:type="pct"/>
            <w:vMerge/>
            <w:vAlign w:val="center"/>
            <w:hideMark/>
          </w:tcPr>
          <w:p w14:paraId="4442F07B" w14:textId="77777777" w:rsidR="00316DE1" w:rsidRPr="003E72AC" w:rsidRDefault="00316DE1" w:rsidP="00316DE1">
            <w:pPr>
              <w:rPr>
                <w:szCs w:val="24"/>
                <w:lang w:val="en-US"/>
              </w:rPr>
            </w:pPr>
          </w:p>
        </w:tc>
        <w:tc>
          <w:tcPr>
            <w:tcW w:w="1162" w:type="pct"/>
            <w:vMerge/>
            <w:vAlign w:val="center"/>
            <w:hideMark/>
          </w:tcPr>
          <w:p w14:paraId="571069D6" w14:textId="77777777" w:rsidR="00316DE1" w:rsidRPr="003E72AC" w:rsidRDefault="00316DE1" w:rsidP="00316DE1">
            <w:pPr>
              <w:rPr>
                <w:szCs w:val="24"/>
                <w:lang w:val="en-US"/>
              </w:rPr>
            </w:pPr>
          </w:p>
        </w:tc>
        <w:tc>
          <w:tcPr>
            <w:tcW w:w="1032" w:type="pct"/>
            <w:noWrap/>
            <w:vAlign w:val="center"/>
            <w:hideMark/>
          </w:tcPr>
          <w:p w14:paraId="2BB917B3" w14:textId="77777777" w:rsidR="00316DE1" w:rsidRPr="003E72AC" w:rsidRDefault="00316DE1" w:rsidP="00316DE1">
            <w:pPr>
              <w:jc w:val="center"/>
              <w:rPr>
                <w:szCs w:val="24"/>
                <w:lang w:val="en-US"/>
              </w:rPr>
            </w:pPr>
            <w:r w:rsidRPr="003E72AC">
              <w:rPr>
                <w:szCs w:val="24"/>
                <w:lang w:val="en-US"/>
              </w:rPr>
              <w:t>P</w:t>
            </w:r>
          </w:p>
        </w:tc>
      </w:tr>
      <w:tr w:rsidR="00316DE1" w:rsidRPr="003E72AC" w14:paraId="42C16F5C" w14:textId="77777777" w:rsidTr="00F671A4">
        <w:trPr>
          <w:trHeight w:val="20"/>
        </w:trPr>
        <w:tc>
          <w:tcPr>
            <w:tcW w:w="1638" w:type="pct"/>
            <w:vMerge w:val="restart"/>
            <w:noWrap/>
            <w:vAlign w:val="center"/>
            <w:hideMark/>
          </w:tcPr>
          <w:p w14:paraId="7FACDE79" w14:textId="26148B4F" w:rsidR="00316DE1" w:rsidRPr="003E72AC" w:rsidRDefault="00E97241" w:rsidP="00316DE1">
            <w:pPr>
              <w:rPr>
                <w:szCs w:val="24"/>
                <w:lang w:val="en-US"/>
              </w:rPr>
            </w:pPr>
            <w:r>
              <w:rPr>
                <w:szCs w:val="24"/>
                <w:lang w:val="en-US"/>
              </w:rPr>
              <w:t xml:space="preserve">Fatiga </w:t>
            </w:r>
            <w:proofErr w:type="spellStart"/>
            <w:r>
              <w:rPr>
                <w:szCs w:val="24"/>
                <w:lang w:val="en-US"/>
              </w:rPr>
              <w:t>emocional</w:t>
            </w:r>
            <w:proofErr w:type="spellEnd"/>
          </w:p>
        </w:tc>
        <w:tc>
          <w:tcPr>
            <w:tcW w:w="1168" w:type="pct"/>
            <w:noWrap/>
            <w:vAlign w:val="center"/>
          </w:tcPr>
          <w:p w14:paraId="25DFB9C6" w14:textId="5A3FCFE6" w:rsidR="00316DE1" w:rsidRPr="003E72AC" w:rsidRDefault="00A94527" w:rsidP="00316DE1">
            <w:pPr>
              <w:rPr>
                <w:szCs w:val="24"/>
                <w:lang w:val="en-US"/>
              </w:rPr>
            </w:pPr>
            <w:r>
              <w:rPr>
                <w:szCs w:val="24"/>
                <w:lang w:val="en-US"/>
              </w:rPr>
              <w:t>A</w:t>
            </w:r>
          </w:p>
        </w:tc>
        <w:tc>
          <w:tcPr>
            <w:tcW w:w="1162" w:type="pct"/>
            <w:noWrap/>
            <w:vAlign w:val="center"/>
            <w:hideMark/>
          </w:tcPr>
          <w:p w14:paraId="12E6B77A" w14:textId="77777777" w:rsidR="00316DE1" w:rsidRPr="003E72AC" w:rsidRDefault="00316DE1" w:rsidP="00316DE1">
            <w:pPr>
              <w:jc w:val="center"/>
              <w:rPr>
                <w:szCs w:val="24"/>
                <w:lang w:val="en-US"/>
              </w:rPr>
            </w:pPr>
            <w:r w:rsidRPr="003E72AC">
              <w:rPr>
                <w:szCs w:val="24"/>
                <w:lang w:val="en-US"/>
              </w:rPr>
              <w:t>31.87</w:t>
            </w:r>
          </w:p>
        </w:tc>
        <w:tc>
          <w:tcPr>
            <w:tcW w:w="1032" w:type="pct"/>
            <w:vMerge w:val="restart"/>
            <w:noWrap/>
            <w:vAlign w:val="center"/>
            <w:hideMark/>
          </w:tcPr>
          <w:p w14:paraId="38196EEE" w14:textId="437AC7F3" w:rsidR="00316DE1" w:rsidRPr="003E72AC" w:rsidRDefault="00BB5316" w:rsidP="00316DE1">
            <w:pPr>
              <w:jc w:val="center"/>
              <w:rPr>
                <w:szCs w:val="24"/>
                <w:lang w:val="en-US"/>
              </w:rPr>
            </w:pPr>
            <w:r>
              <w:rPr>
                <w:szCs w:val="24"/>
                <w:lang w:val="en-US"/>
              </w:rPr>
              <w:t>0</w:t>
            </w:r>
            <w:r w:rsidR="00316DE1" w:rsidRPr="003E72AC">
              <w:rPr>
                <w:szCs w:val="24"/>
                <w:lang w:val="en-US"/>
              </w:rPr>
              <w:t>.154</w:t>
            </w:r>
          </w:p>
        </w:tc>
      </w:tr>
      <w:tr w:rsidR="00316DE1" w:rsidRPr="003E72AC" w14:paraId="235451B1" w14:textId="77777777" w:rsidTr="00F671A4">
        <w:trPr>
          <w:trHeight w:val="20"/>
        </w:trPr>
        <w:tc>
          <w:tcPr>
            <w:tcW w:w="1638" w:type="pct"/>
            <w:vMerge/>
            <w:vAlign w:val="center"/>
            <w:hideMark/>
          </w:tcPr>
          <w:p w14:paraId="11DA0087" w14:textId="77777777" w:rsidR="00316DE1" w:rsidRPr="003E72AC" w:rsidRDefault="00316DE1" w:rsidP="00316DE1">
            <w:pPr>
              <w:rPr>
                <w:szCs w:val="24"/>
                <w:lang w:val="en-US"/>
              </w:rPr>
            </w:pPr>
          </w:p>
        </w:tc>
        <w:tc>
          <w:tcPr>
            <w:tcW w:w="1168" w:type="pct"/>
            <w:noWrap/>
            <w:vAlign w:val="center"/>
          </w:tcPr>
          <w:p w14:paraId="7353084B" w14:textId="3D8BD255" w:rsidR="00316DE1" w:rsidRPr="003E72AC" w:rsidRDefault="00A94527" w:rsidP="00316DE1">
            <w:pPr>
              <w:rPr>
                <w:szCs w:val="24"/>
                <w:lang w:val="en-US"/>
              </w:rPr>
            </w:pPr>
            <w:r>
              <w:rPr>
                <w:szCs w:val="24"/>
                <w:lang w:val="en-US"/>
              </w:rPr>
              <w:t>B</w:t>
            </w:r>
          </w:p>
        </w:tc>
        <w:tc>
          <w:tcPr>
            <w:tcW w:w="1162" w:type="pct"/>
            <w:noWrap/>
            <w:vAlign w:val="center"/>
            <w:hideMark/>
          </w:tcPr>
          <w:p w14:paraId="53720980" w14:textId="77777777" w:rsidR="00316DE1" w:rsidRPr="003E72AC" w:rsidRDefault="00316DE1" w:rsidP="00316DE1">
            <w:pPr>
              <w:jc w:val="center"/>
              <w:rPr>
                <w:szCs w:val="24"/>
                <w:lang w:val="en-US"/>
              </w:rPr>
            </w:pPr>
            <w:r w:rsidRPr="003E72AC">
              <w:rPr>
                <w:szCs w:val="24"/>
                <w:lang w:val="en-US"/>
              </w:rPr>
              <w:t>35.38</w:t>
            </w:r>
          </w:p>
        </w:tc>
        <w:tc>
          <w:tcPr>
            <w:tcW w:w="1032" w:type="pct"/>
            <w:vMerge/>
            <w:vAlign w:val="center"/>
            <w:hideMark/>
          </w:tcPr>
          <w:p w14:paraId="58E34ED6" w14:textId="77777777" w:rsidR="00316DE1" w:rsidRPr="003E72AC" w:rsidRDefault="00316DE1" w:rsidP="00316DE1">
            <w:pPr>
              <w:jc w:val="center"/>
              <w:rPr>
                <w:szCs w:val="24"/>
                <w:lang w:val="en-US"/>
              </w:rPr>
            </w:pPr>
          </w:p>
        </w:tc>
      </w:tr>
      <w:tr w:rsidR="00316DE1" w:rsidRPr="003E72AC" w14:paraId="28AE48D5" w14:textId="77777777" w:rsidTr="00F671A4">
        <w:trPr>
          <w:trHeight w:val="20"/>
        </w:trPr>
        <w:tc>
          <w:tcPr>
            <w:tcW w:w="1638" w:type="pct"/>
            <w:vMerge/>
            <w:vAlign w:val="center"/>
            <w:hideMark/>
          </w:tcPr>
          <w:p w14:paraId="74CEC6FE" w14:textId="77777777" w:rsidR="00316DE1" w:rsidRPr="003E72AC" w:rsidRDefault="00316DE1" w:rsidP="00316DE1">
            <w:pPr>
              <w:rPr>
                <w:szCs w:val="24"/>
                <w:lang w:val="en-US"/>
              </w:rPr>
            </w:pPr>
          </w:p>
        </w:tc>
        <w:tc>
          <w:tcPr>
            <w:tcW w:w="1168" w:type="pct"/>
            <w:noWrap/>
            <w:vAlign w:val="center"/>
          </w:tcPr>
          <w:p w14:paraId="3BB4FA5B" w14:textId="4D647E13" w:rsidR="00316DE1" w:rsidRPr="003E72AC" w:rsidRDefault="00A94527" w:rsidP="00316DE1">
            <w:pPr>
              <w:rPr>
                <w:szCs w:val="24"/>
                <w:lang w:val="en-US"/>
              </w:rPr>
            </w:pPr>
            <w:r>
              <w:rPr>
                <w:szCs w:val="24"/>
                <w:lang w:val="en-US"/>
              </w:rPr>
              <w:t>C</w:t>
            </w:r>
          </w:p>
        </w:tc>
        <w:tc>
          <w:tcPr>
            <w:tcW w:w="1162" w:type="pct"/>
            <w:noWrap/>
            <w:vAlign w:val="center"/>
            <w:hideMark/>
          </w:tcPr>
          <w:p w14:paraId="28F5471B" w14:textId="77777777" w:rsidR="00316DE1" w:rsidRPr="003E72AC" w:rsidRDefault="00316DE1" w:rsidP="00316DE1">
            <w:pPr>
              <w:jc w:val="center"/>
              <w:rPr>
                <w:szCs w:val="24"/>
                <w:lang w:val="en-US"/>
              </w:rPr>
            </w:pPr>
            <w:r w:rsidRPr="003E72AC">
              <w:rPr>
                <w:szCs w:val="24"/>
                <w:lang w:val="en-US"/>
              </w:rPr>
              <w:t>46.54</w:t>
            </w:r>
          </w:p>
        </w:tc>
        <w:tc>
          <w:tcPr>
            <w:tcW w:w="1032" w:type="pct"/>
            <w:vMerge/>
            <w:vAlign w:val="center"/>
            <w:hideMark/>
          </w:tcPr>
          <w:p w14:paraId="64B5ACAD" w14:textId="77777777" w:rsidR="00316DE1" w:rsidRPr="003E72AC" w:rsidRDefault="00316DE1" w:rsidP="00316DE1">
            <w:pPr>
              <w:jc w:val="center"/>
              <w:rPr>
                <w:szCs w:val="24"/>
                <w:lang w:val="en-US"/>
              </w:rPr>
            </w:pPr>
          </w:p>
        </w:tc>
      </w:tr>
      <w:tr w:rsidR="00316DE1" w:rsidRPr="003E72AC" w14:paraId="34102003" w14:textId="77777777" w:rsidTr="00F671A4">
        <w:trPr>
          <w:trHeight w:val="20"/>
        </w:trPr>
        <w:tc>
          <w:tcPr>
            <w:tcW w:w="1638" w:type="pct"/>
            <w:vMerge/>
            <w:vAlign w:val="center"/>
            <w:hideMark/>
          </w:tcPr>
          <w:p w14:paraId="412CE101" w14:textId="77777777" w:rsidR="00316DE1" w:rsidRPr="003E72AC" w:rsidRDefault="00316DE1" w:rsidP="00316DE1">
            <w:pPr>
              <w:rPr>
                <w:szCs w:val="24"/>
                <w:lang w:val="en-US"/>
              </w:rPr>
            </w:pPr>
          </w:p>
        </w:tc>
        <w:tc>
          <w:tcPr>
            <w:tcW w:w="1168" w:type="pct"/>
            <w:noWrap/>
            <w:vAlign w:val="center"/>
          </w:tcPr>
          <w:p w14:paraId="71C0C418" w14:textId="0D1696B1" w:rsidR="00316DE1" w:rsidRPr="003E72AC" w:rsidRDefault="00A94527" w:rsidP="00316DE1">
            <w:pPr>
              <w:rPr>
                <w:szCs w:val="24"/>
                <w:lang w:val="en-US"/>
              </w:rPr>
            </w:pPr>
            <w:r>
              <w:rPr>
                <w:szCs w:val="24"/>
                <w:lang w:val="en-US"/>
              </w:rPr>
              <w:t>D</w:t>
            </w:r>
          </w:p>
        </w:tc>
        <w:tc>
          <w:tcPr>
            <w:tcW w:w="1162" w:type="pct"/>
            <w:noWrap/>
            <w:vAlign w:val="center"/>
            <w:hideMark/>
          </w:tcPr>
          <w:p w14:paraId="0B2FB9AB" w14:textId="77777777" w:rsidR="00316DE1" w:rsidRPr="003E72AC" w:rsidRDefault="00316DE1" w:rsidP="00316DE1">
            <w:pPr>
              <w:jc w:val="center"/>
              <w:rPr>
                <w:szCs w:val="24"/>
                <w:lang w:val="en-US"/>
              </w:rPr>
            </w:pPr>
            <w:r w:rsidRPr="003E72AC">
              <w:rPr>
                <w:szCs w:val="24"/>
                <w:lang w:val="en-US"/>
              </w:rPr>
              <w:t>45.77</w:t>
            </w:r>
          </w:p>
        </w:tc>
        <w:tc>
          <w:tcPr>
            <w:tcW w:w="1032" w:type="pct"/>
            <w:vMerge/>
            <w:vAlign w:val="center"/>
            <w:hideMark/>
          </w:tcPr>
          <w:p w14:paraId="40F28CCB" w14:textId="77777777" w:rsidR="00316DE1" w:rsidRPr="003E72AC" w:rsidRDefault="00316DE1" w:rsidP="00316DE1">
            <w:pPr>
              <w:jc w:val="center"/>
              <w:rPr>
                <w:szCs w:val="24"/>
                <w:lang w:val="en-US"/>
              </w:rPr>
            </w:pPr>
          </w:p>
        </w:tc>
      </w:tr>
      <w:tr w:rsidR="00A94527" w:rsidRPr="003E72AC" w14:paraId="6285B7D6" w14:textId="77777777" w:rsidTr="00F671A4">
        <w:trPr>
          <w:trHeight w:val="20"/>
        </w:trPr>
        <w:tc>
          <w:tcPr>
            <w:tcW w:w="1638" w:type="pct"/>
            <w:vMerge w:val="restart"/>
            <w:noWrap/>
            <w:vAlign w:val="center"/>
            <w:hideMark/>
          </w:tcPr>
          <w:p w14:paraId="69A8EBE1" w14:textId="77777777" w:rsidR="00A94527" w:rsidRPr="003E72AC" w:rsidRDefault="00A94527" w:rsidP="00A94527">
            <w:pPr>
              <w:rPr>
                <w:szCs w:val="24"/>
                <w:lang w:val="en-US"/>
              </w:rPr>
            </w:pPr>
            <w:proofErr w:type="spellStart"/>
            <w:r w:rsidRPr="003E72AC">
              <w:rPr>
                <w:szCs w:val="24"/>
                <w:lang w:val="en-US"/>
              </w:rPr>
              <w:t>Regulación</w:t>
            </w:r>
            <w:proofErr w:type="spellEnd"/>
            <w:r w:rsidRPr="003E72AC">
              <w:rPr>
                <w:szCs w:val="24"/>
                <w:lang w:val="en-US"/>
              </w:rPr>
              <w:t xml:space="preserve"> </w:t>
            </w:r>
            <w:proofErr w:type="spellStart"/>
            <w:r w:rsidRPr="003E72AC">
              <w:rPr>
                <w:szCs w:val="24"/>
                <w:lang w:val="en-US"/>
              </w:rPr>
              <w:t>emocional</w:t>
            </w:r>
            <w:proofErr w:type="spellEnd"/>
          </w:p>
        </w:tc>
        <w:tc>
          <w:tcPr>
            <w:tcW w:w="1168" w:type="pct"/>
            <w:noWrap/>
            <w:vAlign w:val="center"/>
          </w:tcPr>
          <w:p w14:paraId="106DF9F2" w14:textId="15E301BF" w:rsidR="00A94527" w:rsidRPr="003E72AC" w:rsidRDefault="00A94527" w:rsidP="00A94527">
            <w:pPr>
              <w:rPr>
                <w:szCs w:val="24"/>
                <w:lang w:val="en-US"/>
              </w:rPr>
            </w:pPr>
            <w:r>
              <w:rPr>
                <w:szCs w:val="24"/>
                <w:lang w:val="en-US"/>
              </w:rPr>
              <w:t>A</w:t>
            </w:r>
          </w:p>
        </w:tc>
        <w:tc>
          <w:tcPr>
            <w:tcW w:w="1162" w:type="pct"/>
            <w:noWrap/>
            <w:vAlign w:val="center"/>
            <w:hideMark/>
          </w:tcPr>
          <w:p w14:paraId="661A7F45" w14:textId="77777777" w:rsidR="00A94527" w:rsidRPr="003E72AC" w:rsidRDefault="00A94527" w:rsidP="00A94527">
            <w:pPr>
              <w:jc w:val="center"/>
              <w:rPr>
                <w:szCs w:val="24"/>
                <w:lang w:val="en-US"/>
              </w:rPr>
            </w:pPr>
            <w:r w:rsidRPr="003E72AC">
              <w:rPr>
                <w:szCs w:val="24"/>
                <w:lang w:val="en-US"/>
              </w:rPr>
              <w:t>44</w:t>
            </w:r>
          </w:p>
        </w:tc>
        <w:tc>
          <w:tcPr>
            <w:tcW w:w="1032" w:type="pct"/>
            <w:vMerge w:val="restart"/>
            <w:noWrap/>
            <w:vAlign w:val="center"/>
            <w:hideMark/>
          </w:tcPr>
          <w:p w14:paraId="21916969" w14:textId="58559FF9" w:rsidR="00A94527" w:rsidRPr="003E72AC" w:rsidRDefault="00BB5316" w:rsidP="00A94527">
            <w:pPr>
              <w:jc w:val="center"/>
              <w:rPr>
                <w:szCs w:val="24"/>
                <w:lang w:val="en-US"/>
              </w:rPr>
            </w:pPr>
            <w:r>
              <w:rPr>
                <w:szCs w:val="24"/>
                <w:lang w:val="en-US"/>
              </w:rPr>
              <w:t>0</w:t>
            </w:r>
            <w:r w:rsidR="00A94527" w:rsidRPr="003E72AC">
              <w:rPr>
                <w:szCs w:val="24"/>
                <w:lang w:val="en-US"/>
              </w:rPr>
              <w:t>.11</w:t>
            </w:r>
          </w:p>
        </w:tc>
      </w:tr>
      <w:tr w:rsidR="00A94527" w:rsidRPr="003E72AC" w14:paraId="7AFC263A" w14:textId="77777777" w:rsidTr="00F671A4">
        <w:trPr>
          <w:trHeight w:val="20"/>
        </w:trPr>
        <w:tc>
          <w:tcPr>
            <w:tcW w:w="1638" w:type="pct"/>
            <w:vMerge/>
            <w:vAlign w:val="center"/>
            <w:hideMark/>
          </w:tcPr>
          <w:p w14:paraId="3EEA6CA7" w14:textId="77777777" w:rsidR="00A94527" w:rsidRPr="003E72AC" w:rsidRDefault="00A94527" w:rsidP="00A94527">
            <w:pPr>
              <w:rPr>
                <w:szCs w:val="24"/>
                <w:lang w:val="en-US"/>
              </w:rPr>
            </w:pPr>
          </w:p>
        </w:tc>
        <w:tc>
          <w:tcPr>
            <w:tcW w:w="1168" w:type="pct"/>
            <w:noWrap/>
            <w:vAlign w:val="center"/>
          </w:tcPr>
          <w:p w14:paraId="42570953" w14:textId="40C6C7D7" w:rsidR="00A94527" w:rsidRPr="003E72AC" w:rsidRDefault="00A94527" w:rsidP="00A94527">
            <w:pPr>
              <w:rPr>
                <w:szCs w:val="24"/>
                <w:lang w:val="en-US"/>
              </w:rPr>
            </w:pPr>
            <w:r>
              <w:rPr>
                <w:szCs w:val="24"/>
                <w:lang w:val="en-US"/>
              </w:rPr>
              <w:t>B</w:t>
            </w:r>
          </w:p>
        </w:tc>
        <w:tc>
          <w:tcPr>
            <w:tcW w:w="1162" w:type="pct"/>
            <w:noWrap/>
            <w:vAlign w:val="center"/>
            <w:hideMark/>
          </w:tcPr>
          <w:p w14:paraId="200D9A02" w14:textId="77777777" w:rsidR="00A94527" w:rsidRPr="003E72AC" w:rsidRDefault="00A94527" w:rsidP="00A94527">
            <w:pPr>
              <w:jc w:val="center"/>
              <w:rPr>
                <w:szCs w:val="24"/>
                <w:lang w:val="en-US"/>
              </w:rPr>
            </w:pPr>
            <w:r w:rsidRPr="003E72AC">
              <w:rPr>
                <w:szCs w:val="24"/>
                <w:lang w:val="en-US"/>
              </w:rPr>
              <w:t>31.76</w:t>
            </w:r>
          </w:p>
        </w:tc>
        <w:tc>
          <w:tcPr>
            <w:tcW w:w="1032" w:type="pct"/>
            <w:vMerge/>
            <w:vAlign w:val="center"/>
            <w:hideMark/>
          </w:tcPr>
          <w:p w14:paraId="44DA04EF" w14:textId="77777777" w:rsidR="00A94527" w:rsidRPr="003E72AC" w:rsidRDefault="00A94527" w:rsidP="00A94527">
            <w:pPr>
              <w:jc w:val="center"/>
              <w:rPr>
                <w:szCs w:val="24"/>
                <w:lang w:val="en-US"/>
              </w:rPr>
            </w:pPr>
          </w:p>
        </w:tc>
      </w:tr>
      <w:tr w:rsidR="00A94527" w:rsidRPr="003E72AC" w14:paraId="7479E623" w14:textId="77777777" w:rsidTr="00F671A4">
        <w:trPr>
          <w:trHeight w:val="20"/>
        </w:trPr>
        <w:tc>
          <w:tcPr>
            <w:tcW w:w="1638" w:type="pct"/>
            <w:vMerge/>
            <w:vAlign w:val="center"/>
            <w:hideMark/>
          </w:tcPr>
          <w:p w14:paraId="3653845E" w14:textId="77777777" w:rsidR="00A94527" w:rsidRPr="003E72AC" w:rsidRDefault="00A94527" w:rsidP="00A94527">
            <w:pPr>
              <w:rPr>
                <w:szCs w:val="24"/>
                <w:lang w:val="en-US"/>
              </w:rPr>
            </w:pPr>
          </w:p>
        </w:tc>
        <w:tc>
          <w:tcPr>
            <w:tcW w:w="1168" w:type="pct"/>
            <w:noWrap/>
            <w:vAlign w:val="center"/>
          </w:tcPr>
          <w:p w14:paraId="3D09E962" w14:textId="24ED5993" w:rsidR="00A94527" w:rsidRPr="003E72AC" w:rsidRDefault="00A94527" w:rsidP="00A94527">
            <w:pPr>
              <w:rPr>
                <w:szCs w:val="24"/>
                <w:lang w:val="en-US"/>
              </w:rPr>
            </w:pPr>
            <w:r>
              <w:rPr>
                <w:szCs w:val="24"/>
                <w:lang w:val="en-US"/>
              </w:rPr>
              <w:t>C</w:t>
            </w:r>
          </w:p>
        </w:tc>
        <w:tc>
          <w:tcPr>
            <w:tcW w:w="1162" w:type="pct"/>
            <w:noWrap/>
            <w:vAlign w:val="center"/>
            <w:hideMark/>
          </w:tcPr>
          <w:p w14:paraId="404B2945" w14:textId="77777777" w:rsidR="00A94527" w:rsidRPr="003E72AC" w:rsidRDefault="00A94527" w:rsidP="00A94527">
            <w:pPr>
              <w:jc w:val="center"/>
              <w:rPr>
                <w:szCs w:val="24"/>
                <w:lang w:val="en-US"/>
              </w:rPr>
            </w:pPr>
            <w:r w:rsidRPr="003E72AC">
              <w:rPr>
                <w:szCs w:val="24"/>
                <w:lang w:val="en-US"/>
              </w:rPr>
              <w:t>46.5</w:t>
            </w:r>
          </w:p>
        </w:tc>
        <w:tc>
          <w:tcPr>
            <w:tcW w:w="1032" w:type="pct"/>
            <w:vMerge/>
            <w:vAlign w:val="center"/>
            <w:hideMark/>
          </w:tcPr>
          <w:p w14:paraId="1E7B1FA6" w14:textId="77777777" w:rsidR="00A94527" w:rsidRPr="003E72AC" w:rsidRDefault="00A94527" w:rsidP="00A94527">
            <w:pPr>
              <w:jc w:val="center"/>
              <w:rPr>
                <w:szCs w:val="24"/>
                <w:lang w:val="en-US"/>
              </w:rPr>
            </w:pPr>
          </w:p>
        </w:tc>
      </w:tr>
      <w:tr w:rsidR="00A94527" w:rsidRPr="003E72AC" w14:paraId="6D02902E" w14:textId="77777777" w:rsidTr="00F671A4">
        <w:trPr>
          <w:trHeight w:val="20"/>
        </w:trPr>
        <w:tc>
          <w:tcPr>
            <w:tcW w:w="1638" w:type="pct"/>
            <w:vMerge/>
            <w:vAlign w:val="center"/>
            <w:hideMark/>
          </w:tcPr>
          <w:p w14:paraId="037ECDD2" w14:textId="77777777" w:rsidR="00A94527" w:rsidRPr="003E72AC" w:rsidRDefault="00A94527" w:rsidP="00A94527">
            <w:pPr>
              <w:rPr>
                <w:szCs w:val="24"/>
                <w:lang w:val="en-US"/>
              </w:rPr>
            </w:pPr>
          </w:p>
        </w:tc>
        <w:tc>
          <w:tcPr>
            <w:tcW w:w="1168" w:type="pct"/>
            <w:noWrap/>
            <w:vAlign w:val="center"/>
          </w:tcPr>
          <w:p w14:paraId="32AAA391" w14:textId="40922768" w:rsidR="00A94527" w:rsidRPr="003E72AC" w:rsidRDefault="00A94527" w:rsidP="00A94527">
            <w:pPr>
              <w:rPr>
                <w:szCs w:val="24"/>
                <w:lang w:val="en-US"/>
              </w:rPr>
            </w:pPr>
            <w:r>
              <w:rPr>
                <w:szCs w:val="24"/>
                <w:lang w:val="en-US"/>
              </w:rPr>
              <w:t>D</w:t>
            </w:r>
          </w:p>
        </w:tc>
        <w:tc>
          <w:tcPr>
            <w:tcW w:w="1162" w:type="pct"/>
            <w:noWrap/>
            <w:vAlign w:val="center"/>
            <w:hideMark/>
          </w:tcPr>
          <w:p w14:paraId="5751C6F1" w14:textId="77777777" w:rsidR="00A94527" w:rsidRPr="003E72AC" w:rsidRDefault="00A94527" w:rsidP="00A94527">
            <w:pPr>
              <w:jc w:val="center"/>
              <w:rPr>
                <w:szCs w:val="24"/>
                <w:lang w:val="en-US"/>
              </w:rPr>
            </w:pPr>
            <w:r w:rsidRPr="003E72AC">
              <w:rPr>
                <w:szCs w:val="24"/>
                <w:lang w:val="en-US"/>
              </w:rPr>
              <w:t>41.87</w:t>
            </w:r>
          </w:p>
        </w:tc>
        <w:tc>
          <w:tcPr>
            <w:tcW w:w="1032" w:type="pct"/>
            <w:vMerge/>
            <w:vAlign w:val="center"/>
            <w:hideMark/>
          </w:tcPr>
          <w:p w14:paraId="774A0083" w14:textId="77777777" w:rsidR="00A94527" w:rsidRPr="003E72AC" w:rsidRDefault="00A94527" w:rsidP="00A94527">
            <w:pPr>
              <w:jc w:val="center"/>
              <w:rPr>
                <w:szCs w:val="24"/>
                <w:lang w:val="en-US"/>
              </w:rPr>
            </w:pPr>
          </w:p>
        </w:tc>
      </w:tr>
      <w:tr w:rsidR="00A94527" w:rsidRPr="003E72AC" w14:paraId="4803B721" w14:textId="77777777" w:rsidTr="00F671A4">
        <w:trPr>
          <w:trHeight w:val="20"/>
        </w:trPr>
        <w:tc>
          <w:tcPr>
            <w:tcW w:w="1638" w:type="pct"/>
            <w:vMerge w:val="restart"/>
            <w:noWrap/>
            <w:vAlign w:val="center"/>
            <w:hideMark/>
          </w:tcPr>
          <w:p w14:paraId="166238D0" w14:textId="77777777" w:rsidR="00A94527" w:rsidRPr="003E72AC" w:rsidRDefault="00A94527" w:rsidP="00A94527">
            <w:pPr>
              <w:rPr>
                <w:szCs w:val="24"/>
                <w:lang w:val="en-US"/>
              </w:rPr>
            </w:pPr>
            <w:proofErr w:type="spellStart"/>
            <w:r w:rsidRPr="003E72AC">
              <w:rPr>
                <w:szCs w:val="24"/>
                <w:lang w:val="en-US"/>
              </w:rPr>
              <w:t>Compromiso</w:t>
            </w:r>
            <w:proofErr w:type="spellEnd"/>
            <w:r w:rsidRPr="003E72AC">
              <w:rPr>
                <w:szCs w:val="24"/>
                <w:lang w:val="en-US"/>
              </w:rPr>
              <w:t xml:space="preserve"> </w:t>
            </w:r>
            <w:proofErr w:type="spellStart"/>
            <w:r w:rsidRPr="003E72AC">
              <w:rPr>
                <w:szCs w:val="24"/>
                <w:lang w:val="en-US"/>
              </w:rPr>
              <w:t>académico</w:t>
            </w:r>
            <w:proofErr w:type="spellEnd"/>
          </w:p>
        </w:tc>
        <w:tc>
          <w:tcPr>
            <w:tcW w:w="1168" w:type="pct"/>
            <w:noWrap/>
            <w:vAlign w:val="center"/>
          </w:tcPr>
          <w:p w14:paraId="512A4007" w14:textId="41FE93CD" w:rsidR="00A94527" w:rsidRPr="003E72AC" w:rsidRDefault="00A94527" w:rsidP="00A94527">
            <w:pPr>
              <w:rPr>
                <w:szCs w:val="24"/>
                <w:lang w:val="en-US"/>
              </w:rPr>
            </w:pPr>
            <w:r>
              <w:rPr>
                <w:szCs w:val="24"/>
                <w:lang w:val="en-US"/>
              </w:rPr>
              <w:t>A</w:t>
            </w:r>
          </w:p>
        </w:tc>
        <w:tc>
          <w:tcPr>
            <w:tcW w:w="1162" w:type="pct"/>
            <w:noWrap/>
            <w:vAlign w:val="center"/>
            <w:hideMark/>
          </w:tcPr>
          <w:p w14:paraId="5CE73CC9" w14:textId="77777777" w:rsidR="00A94527" w:rsidRPr="003E72AC" w:rsidRDefault="00A94527" w:rsidP="00A94527">
            <w:pPr>
              <w:jc w:val="center"/>
              <w:rPr>
                <w:szCs w:val="24"/>
                <w:lang w:val="en-US"/>
              </w:rPr>
            </w:pPr>
            <w:r w:rsidRPr="003E72AC">
              <w:rPr>
                <w:szCs w:val="24"/>
                <w:lang w:val="en-US"/>
              </w:rPr>
              <w:t>42.93</w:t>
            </w:r>
          </w:p>
        </w:tc>
        <w:tc>
          <w:tcPr>
            <w:tcW w:w="1032" w:type="pct"/>
            <w:vMerge w:val="restart"/>
            <w:noWrap/>
            <w:vAlign w:val="center"/>
            <w:hideMark/>
          </w:tcPr>
          <w:p w14:paraId="2E13C89B" w14:textId="67E70678" w:rsidR="00A94527" w:rsidRPr="003E72AC" w:rsidRDefault="00BB5316" w:rsidP="00A94527">
            <w:pPr>
              <w:jc w:val="center"/>
              <w:rPr>
                <w:szCs w:val="24"/>
                <w:lang w:val="en-US"/>
              </w:rPr>
            </w:pPr>
            <w:r>
              <w:rPr>
                <w:szCs w:val="24"/>
                <w:lang w:val="en-US"/>
              </w:rPr>
              <w:t>0</w:t>
            </w:r>
            <w:r w:rsidR="00A94527" w:rsidRPr="003E72AC">
              <w:rPr>
                <w:szCs w:val="24"/>
                <w:lang w:val="en-US"/>
              </w:rPr>
              <w:t>.351</w:t>
            </w:r>
          </w:p>
        </w:tc>
      </w:tr>
      <w:tr w:rsidR="00A94527" w:rsidRPr="003E72AC" w14:paraId="5C0D8974" w14:textId="77777777" w:rsidTr="00F671A4">
        <w:trPr>
          <w:trHeight w:val="20"/>
        </w:trPr>
        <w:tc>
          <w:tcPr>
            <w:tcW w:w="1638" w:type="pct"/>
            <w:vMerge/>
            <w:noWrap/>
            <w:vAlign w:val="center"/>
            <w:hideMark/>
          </w:tcPr>
          <w:p w14:paraId="51953824" w14:textId="77777777" w:rsidR="00A94527" w:rsidRPr="003E72AC" w:rsidRDefault="00A94527" w:rsidP="00A94527">
            <w:pPr>
              <w:rPr>
                <w:szCs w:val="24"/>
                <w:lang w:val="en-US"/>
              </w:rPr>
            </w:pPr>
          </w:p>
        </w:tc>
        <w:tc>
          <w:tcPr>
            <w:tcW w:w="1168" w:type="pct"/>
            <w:noWrap/>
            <w:vAlign w:val="center"/>
          </w:tcPr>
          <w:p w14:paraId="64979E09" w14:textId="5E790333" w:rsidR="00A94527" w:rsidRPr="003E72AC" w:rsidRDefault="00A94527" w:rsidP="00A94527">
            <w:pPr>
              <w:rPr>
                <w:szCs w:val="24"/>
                <w:lang w:val="en-US"/>
              </w:rPr>
            </w:pPr>
            <w:r>
              <w:rPr>
                <w:szCs w:val="24"/>
                <w:lang w:val="en-US"/>
              </w:rPr>
              <w:t>B</w:t>
            </w:r>
          </w:p>
        </w:tc>
        <w:tc>
          <w:tcPr>
            <w:tcW w:w="1162" w:type="pct"/>
            <w:noWrap/>
            <w:vAlign w:val="center"/>
            <w:hideMark/>
          </w:tcPr>
          <w:p w14:paraId="27969AC2" w14:textId="77777777" w:rsidR="00A94527" w:rsidRPr="003E72AC" w:rsidRDefault="00A94527" w:rsidP="00A94527">
            <w:pPr>
              <w:jc w:val="center"/>
              <w:rPr>
                <w:szCs w:val="24"/>
                <w:lang w:val="en-US"/>
              </w:rPr>
            </w:pPr>
            <w:r w:rsidRPr="003E72AC">
              <w:rPr>
                <w:szCs w:val="24"/>
                <w:lang w:val="en-US"/>
              </w:rPr>
              <w:t>40.1</w:t>
            </w:r>
          </w:p>
        </w:tc>
        <w:tc>
          <w:tcPr>
            <w:tcW w:w="1032" w:type="pct"/>
            <w:vMerge/>
            <w:vAlign w:val="center"/>
            <w:hideMark/>
          </w:tcPr>
          <w:p w14:paraId="57BBD5FF" w14:textId="77777777" w:rsidR="00A94527" w:rsidRPr="003E72AC" w:rsidRDefault="00A94527" w:rsidP="00A94527">
            <w:pPr>
              <w:rPr>
                <w:szCs w:val="24"/>
                <w:lang w:val="en-US"/>
              </w:rPr>
            </w:pPr>
          </w:p>
        </w:tc>
      </w:tr>
      <w:tr w:rsidR="00A94527" w:rsidRPr="003E72AC" w14:paraId="0FE33D04" w14:textId="77777777" w:rsidTr="00F671A4">
        <w:trPr>
          <w:trHeight w:val="20"/>
        </w:trPr>
        <w:tc>
          <w:tcPr>
            <w:tcW w:w="1638" w:type="pct"/>
            <w:vMerge/>
            <w:noWrap/>
            <w:vAlign w:val="center"/>
            <w:hideMark/>
          </w:tcPr>
          <w:p w14:paraId="0E5EFD9C" w14:textId="77777777" w:rsidR="00A94527" w:rsidRPr="003E72AC" w:rsidRDefault="00A94527" w:rsidP="00A94527">
            <w:pPr>
              <w:rPr>
                <w:szCs w:val="24"/>
                <w:lang w:val="en-US"/>
              </w:rPr>
            </w:pPr>
          </w:p>
        </w:tc>
        <w:tc>
          <w:tcPr>
            <w:tcW w:w="1168" w:type="pct"/>
            <w:noWrap/>
            <w:vAlign w:val="center"/>
          </w:tcPr>
          <w:p w14:paraId="6D3414AC" w14:textId="637CB2A9" w:rsidR="00A94527" w:rsidRPr="003E72AC" w:rsidRDefault="00A94527" w:rsidP="00A94527">
            <w:pPr>
              <w:rPr>
                <w:szCs w:val="24"/>
                <w:lang w:val="en-US"/>
              </w:rPr>
            </w:pPr>
            <w:r>
              <w:rPr>
                <w:szCs w:val="24"/>
                <w:lang w:val="en-US"/>
              </w:rPr>
              <w:t>C</w:t>
            </w:r>
          </w:p>
        </w:tc>
        <w:tc>
          <w:tcPr>
            <w:tcW w:w="1162" w:type="pct"/>
            <w:noWrap/>
            <w:vAlign w:val="center"/>
            <w:hideMark/>
          </w:tcPr>
          <w:p w14:paraId="020A03DF" w14:textId="77777777" w:rsidR="00A94527" w:rsidRPr="003E72AC" w:rsidRDefault="00A94527" w:rsidP="00A94527">
            <w:pPr>
              <w:jc w:val="center"/>
              <w:rPr>
                <w:szCs w:val="24"/>
                <w:lang w:val="en-US"/>
              </w:rPr>
            </w:pPr>
            <w:r w:rsidRPr="003E72AC">
              <w:rPr>
                <w:szCs w:val="24"/>
                <w:lang w:val="en-US"/>
              </w:rPr>
              <w:t>28.46</w:t>
            </w:r>
          </w:p>
        </w:tc>
        <w:tc>
          <w:tcPr>
            <w:tcW w:w="1032" w:type="pct"/>
            <w:vMerge/>
            <w:vAlign w:val="center"/>
            <w:hideMark/>
          </w:tcPr>
          <w:p w14:paraId="55433F61" w14:textId="77777777" w:rsidR="00A94527" w:rsidRPr="003E72AC" w:rsidRDefault="00A94527" w:rsidP="00A94527">
            <w:pPr>
              <w:rPr>
                <w:szCs w:val="24"/>
                <w:lang w:val="en-US"/>
              </w:rPr>
            </w:pPr>
          </w:p>
        </w:tc>
      </w:tr>
      <w:tr w:rsidR="00A94527" w:rsidRPr="003E72AC" w14:paraId="6A5F2C1F" w14:textId="77777777" w:rsidTr="00F671A4">
        <w:trPr>
          <w:trHeight w:val="20"/>
        </w:trPr>
        <w:tc>
          <w:tcPr>
            <w:tcW w:w="1638" w:type="pct"/>
            <w:vMerge/>
            <w:noWrap/>
            <w:vAlign w:val="center"/>
            <w:hideMark/>
          </w:tcPr>
          <w:p w14:paraId="1BA88597" w14:textId="77777777" w:rsidR="00A94527" w:rsidRPr="003E72AC" w:rsidRDefault="00A94527" w:rsidP="00A94527">
            <w:pPr>
              <w:rPr>
                <w:szCs w:val="24"/>
                <w:lang w:val="en-US"/>
              </w:rPr>
            </w:pPr>
          </w:p>
        </w:tc>
        <w:tc>
          <w:tcPr>
            <w:tcW w:w="1168" w:type="pct"/>
            <w:noWrap/>
            <w:vAlign w:val="center"/>
          </w:tcPr>
          <w:p w14:paraId="2B19C21B" w14:textId="41DEF641" w:rsidR="00A94527" w:rsidRPr="003E72AC" w:rsidRDefault="00A94527" w:rsidP="00A94527">
            <w:pPr>
              <w:rPr>
                <w:szCs w:val="24"/>
                <w:lang w:val="en-US"/>
              </w:rPr>
            </w:pPr>
            <w:r>
              <w:rPr>
                <w:szCs w:val="24"/>
                <w:lang w:val="en-US"/>
              </w:rPr>
              <w:t>D</w:t>
            </w:r>
          </w:p>
        </w:tc>
        <w:tc>
          <w:tcPr>
            <w:tcW w:w="1162" w:type="pct"/>
            <w:noWrap/>
            <w:vAlign w:val="center"/>
            <w:hideMark/>
          </w:tcPr>
          <w:p w14:paraId="16384DE4" w14:textId="77777777" w:rsidR="00A94527" w:rsidRPr="003E72AC" w:rsidRDefault="00A94527" w:rsidP="00A94527">
            <w:pPr>
              <w:jc w:val="center"/>
              <w:rPr>
                <w:szCs w:val="24"/>
                <w:lang w:val="en-US"/>
              </w:rPr>
            </w:pPr>
            <w:r w:rsidRPr="003E72AC">
              <w:rPr>
                <w:szCs w:val="24"/>
                <w:lang w:val="en-US"/>
              </w:rPr>
              <w:t>38.47</w:t>
            </w:r>
          </w:p>
        </w:tc>
        <w:tc>
          <w:tcPr>
            <w:tcW w:w="1032" w:type="pct"/>
            <w:vMerge/>
            <w:vAlign w:val="center"/>
            <w:hideMark/>
          </w:tcPr>
          <w:p w14:paraId="0910F3A1" w14:textId="77777777" w:rsidR="00A94527" w:rsidRPr="003E72AC" w:rsidRDefault="00A94527" w:rsidP="00A94527">
            <w:pPr>
              <w:rPr>
                <w:szCs w:val="24"/>
                <w:lang w:val="en-US"/>
              </w:rPr>
            </w:pPr>
          </w:p>
        </w:tc>
      </w:tr>
    </w:tbl>
    <w:p w14:paraId="602C89C9" w14:textId="77777777" w:rsidR="00316DE1" w:rsidRPr="00F671A4" w:rsidRDefault="00316DE1" w:rsidP="00F671A4">
      <w:pPr>
        <w:jc w:val="center"/>
        <w:rPr>
          <w:sz w:val="32"/>
          <w:szCs w:val="28"/>
          <w:lang w:val="es-ES"/>
        </w:rPr>
      </w:pPr>
      <w:r w:rsidRPr="00F671A4">
        <w:rPr>
          <w:i/>
          <w:iCs/>
          <w:szCs w:val="24"/>
          <w:lang w:val="es-ES"/>
        </w:rPr>
        <w:t>Nota</w:t>
      </w:r>
      <w:r w:rsidRPr="00F671A4">
        <w:rPr>
          <w:szCs w:val="24"/>
          <w:lang w:val="es-ES"/>
        </w:rPr>
        <w:t>: Análisis SPSS29</w:t>
      </w:r>
    </w:p>
    <w:p w14:paraId="7FC80330" w14:textId="77777777" w:rsidR="00527858" w:rsidRDefault="00527858" w:rsidP="00316DE1"/>
    <w:p w14:paraId="27AECCC5" w14:textId="77777777" w:rsidR="00316DE1" w:rsidRPr="00316DE1" w:rsidRDefault="00316DE1" w:rsidP="00F671A4">
      <w:pPr>
        <w:jc w:val="center"/>
        <w:rPr>
          <w:b/>
          <w:lang w:val="es-ES"/>
        </w:rPr>
      </w:pPr>
      <w:r w:rsidRPr="00316DE1">
        <w:rPr>
          <w:b/>
          <w:lang w:val="es-ES"/>
        </w:rPr>
        <w:t>Análisis de correlación</w:t>
      </w:r>
    </w:p>
    <w:p w14:paraId="77F278DB" w14:textId="0EAC058B" w:rsidR="00316DE1" w:rsidRDefault="00316DE1" w:rsidP="00F671A4">
      <w:pPr>
        <w:ind w:firstLine="709"/>
        <w:rPr>
          <w:lang w:val="es-ES"/>
        </w:rPr>
      </w:pPr>
      <w:r w:rsidRPr="00316DE1">
        <w:rPr>
          <w:lang w:val="es-ES"/>
        </w:rPr>
        <w:t xml:space="preserve">De acuerdo con la </w:t>
      </w:r>
      <w:r w:rsidR="009450C7">
        <w:rPr>
          <w:lang w:val="es-ES"/>
        </w:rPr>
        <w:t>T</w:t>
      </w:r>
      <w:r w:rsidRPr="00316DE1">
        <w:rPr>
          <w:lang w:val="es-ES"/>
        </w:rPr>
        <w:t xml:space="preserve">abla 5, para realizar el proceso de correlación entre las variables se consideró la prueba inicial de normalidad de </w:t>
      </w:r>
      <w:r w:rsidRPr="00316DE1">
        <w:t>los</w:t>
      </w:r>
      <w:r w:rsidRPr="00316DE1">
        <w:rPr>
          <w:lang w:val="es-ES"/>
        </w:rPr>
        <w:t xml:space="preserve"> datos, donde las variables registraron un valor por debajo de .050, exceptuando a la reevaluación, la supresión y el compromiso académico con valores de </w:t>
      </w:r>
      <w:r w:rsidR="00BB5316">
        <w:rPr>
          <w:lang w:val="es-ES"/>
        </w:rPr>
        <w:t>0</w:t>
      </w:r>
      <w:r w:rsidRPr="00316DE1">
        <w:rPr>
          <w:lang w:val="es-ES"/>
        </w:rPr>
        <w:t xml:space="preserve">.200. Sin embargo, debido a que no todas las variables presentaron estas características de normalidad (p &gt; </w:t>
      </w:r>
      <w:r w:rsidR="00BB5316">
        <w:rPr>
          <w:lang w:val="es-ES"/>
        </w:rPr>
        <w:t>0</w:t>
      </w:r>
      <w:r w:rsidRPr="00316DE1">
        <w:rPr>
          <w:lang w:val="es-ES"/>
        </w:rPr>
        <w:t xml:space="preserve">.050) </w:t>
      </w:r>
      <w:r w:rsidR="009450C7" w:rsidRPr="009450C7">
        <w:rPr>
          <w:lang w:val="es-ES"/>
        </w:rPr>
        <w:t xml:space="preserve">se </w:t>
      </w:r>
      <w:r w:rsidR="00856B46">
        <w:rPr>
          <w:lang w:val="es-ES"/>
        </w:rPr>
        <w:t>aplicó</w:t>
      </w:r>
      <w:r w:rsidR="009450C7" w:rsidRPr="009450C7">
        <w:rPr>
          <w:lang w:val="es-ES"/>
        </w:rPr>
        <w:t xml:space="preserve"> una prueba no paramétrica para las correlaciones respectivas</w:t>
      </w:r>
      <w:r w:rsidRPr="00316DE1">
        <w:rPr>
          <w:lang w:val="es-ES"/>
        </w:rPr>
        <w:t>.</w:t>
      </w:r>
    </w:p>
    <w:p w14:paraId="4E20EF1C" w14:textId="77777777" w:rsidR="009450C7" w:rsidRDefault="009450C7" w:rsidP="00316DE1">
      <w:pPr>
        <w:rPr>
          <w:lang w:val="es-ES"/>
        </w:rPr>
      </w:pPr>
    </w:p>
    <w:p w14:paraId="1501EE4F" w14:textId="77777777" w:rsidR="00FE48E5" w:rsidRDefault="00FE48E5" w:rsidP="00316DE1">
      <w:pPr>
        <w:rPr>
          <w:lang w:val="es-ES"/>
        </w:rPr>
      </w:pPr>
    </w:p>
    <w:p w14:paraId="141E16BF" w14:textId="77777777" w:rsidR="00FE48E5" w:rsidRDefault="00FE48E5" w:rsidP="00316DE1">
      <w:pPr>
        <w:rPr>
          <w:lang w:val="es-ES"/>
        </w:rPr>
      </w:pPr>
    </w:p>
    <w:p w14:paraId="0A8719F0" w14:textId="77777777" w:rsidR="00FE48E5" w:rsidRDefault="00FE48E5" w:rsidP="00316DE1">
      <w:pPr>
        <w:rPr>
          <w:lang w:val="es-ES"/>
        </w:rPr>
      </w:pPr>
    </w:p>
    <w:p w14:paraId="5FED9387" w14:textId="77777777" w:rsidR="00FE48E5" w:rsidRDefault="00FE48E5" w:rsidP="00316DE1">
      <w:pPr>
        <w:rPr>
          <w:lang w:val="es-ES"/>
        </w:rPr>
      </w:pPr>
    </w:p>
    <w:p w14:paraId="46F4B3D6" w14:textId="77777777" w:rsidR="00FE48E5" w:rsidRDefault="00FE48E5" w:rsidP="00316DE1">
      <w:pPr>
        <w:rPr>
          <w:lang w:val="es-ES"/>
        </w:rPr>
      </w:pPr>
    </w:p>
    <w:p w14:paraId="127B3A56" w14:textId="77777777" w:rsidR="00FE48E5" w:rsidRDefault="00FE48E5" w:rsidP="00316DE1">
      <w:pPr>
        <w:rPr>
          <w:lang w:val="es-ES"/>
        </w:rPr>
      </w:pPr>
    </w:p>
    <w:p w14:paraId="7004F6E4" w14:textId="77777777" w:rsidR="009450C7" w:rsidRDefault="009450C7" w:rsidP="00316DE1">
      <w:pPr>
        <w:rPr>
          <w:lang w:val="es-ES"/>
        </w:rPr>
      </w:pPr>
    </w:p>
    <w:p w14:paraId="2C135ADA" w14:textId="2493CAB2" w:rsidR="00316DE1" w:rsidRPr="00316DE1" w:rsidRDefault="00316DE1" w:rsidP="00F671A4">
      <w:pPr>
        <w:jc w:val="center"/>
        <w:rPr>
          <w:i/>
          <w:iCs/>
        </w:rPr>
      </w:pPr>
      <w:r w:rsidRPr="00316DE1">
        <w:rPr>
          <w:b/>
          <w:bCs/>
        </w:rPr>
        <w:lastRenderedPageBreak/>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5</w:t>
      </w:r>
      <w:r w:rsidRPr="00316DE1">
        <w:fldChar w:fldCharType="end"/>
      </w:r>
      <w:r w:rsidR="00F671A4">
        <w:t xml:space="preserve">. </w:t>
      </w:r>
      <w:r w:rsidRPr="00F671A4">
        <w:t>Prueba de normalidad de las variables</w:t>
      </w:r>
    </w:p>
    <w:tbl>
      <w:tblPr>
        <w:tblStyle w:val="Tablaconcuadrcula"/>
        <w:tblW w:w="5000" w:type="pct"/>
        <w:tblLook w:val="04A0" w:firstRow="1" w:lastRow="0" w:firstColumn="1" w:lastColumn="0" w:noHBand="0" w:noVBand="1"/>
      </w:tblPr>
      <w:tblGrid>
        <w:gridCol w:w="2873"/>
        <w:gridCol w:w="3327"/>
        <w:gridCol w:w="860"/>
        <w:gridCol w:w="1770"/>
      </w:tblGrid>
      <w:tr w:rsidR="00316DE1" w:rsidRPr="004F2A8B" w14:paraId="1C954C36" w14:textId="77777777" w:rsidTr="00F671A4">
        <w:trPr>
          <w:trHeight w:val="20"/>
        </w:trPr>
        <w:tc>
          <w:tcPr>
            <w:tcW w:w="1627" w:type="pct"/>
            <w:vMerge w:val="restart"/>
            <w:noWrap/>
            <w:vAlign w:val="center"/>
            <w:hideMark/>
          </w:tcPr>
          <w:p w14:paraId="7D91293E" w14:textId="77777777" w:rsidR="00316DE1" w:rsidRPr="004F2A8B" w:rsidRDefault="00316DE1" w:rsidP="00316DE1">
            <w:pPr>
              <w:rPr>
                <w:szCs w:val="24"/>
              </w:rPr>
            </w:pPr>
            <w:r w:rsidRPr="004F2A8B">
              <w:rPr>
                <w:szCs w:val="24"/>
              </w:rPr>
              <w:t>Escala</w:t>
            </w:r>
          </w:p>
        </w:tc>
        <w:tc>
          <w:tcPr>
            <w:tcW w:w="3373" w:type="pct"/>
            <w:gridSpan w:val="3"/>
            <w:noWrap/>
            <w:vAlign w:val="center"/>
            <w:hideMark/>
          </w:tcPr>
          <w:p w14:paraId="44E83DBD" w14:textId="77777777" w:rsidR="00316DE1" w:rsidRPr="004F2A8B" w:rsidRDefault="00316DE1" w:rsidP="00316DE1">
            <w:pPr>
              <w:jc w:val="center"/>
              <w:rPr>
                <w:szCs w:val="24"/>
              </w:rPr>
            </w:pPr>
            <w:proofErr w:type="spellStart"/>
            <w:r w:rsidRPr="004F2A8B">
              <w:rPr>
                <w:szCs w:val="24"/>
              </w:rPr>
              <w:t>Kolmogorov-Smirnov</w:t>
            </w:r>
            <w:r w:rsidRPr="004F2A8B">
              <w:rPr>
                <w:szCs w:val="24"/>
                <w:vertAlign w:val="superscript"/>
              </w:rPr>
              <w:t>a</w:t>
            </w:r>
            <w:proofErr w:type="spellEnd"/>
          </w:p>
        </w:tc>
      </w:tr>
      <w:tr w:rsidR="00316DE1" w:rsidRPr="004F2A8B" w14:paraId="09DDB42F" w14:textId="77777777" w:rsidTr="00F671A4">
        <w:trPr>
          <w:trHeight w:val="20"/>
        </w:trPr>
        <w:tc>
          <w:tcPr>
            <w:tcW w:w="1627" w:type="pct"/>
            <w:vMerge/>
            <w:vAlign w:val="center"/>
            <w:hideMark/>
          </w:tcPr>
          <w:p w14:paraId="26997136" w14:textId="77777777" w:rsidR="00316DE1" w:rsidRPr="004F2A8B" w:rsidRDefault="00316DE1" w:rsidP="00316DE1">
            <w:pPr>
              <w:rPr>
                <w:szCs w:val="24"/>
              </w:rPr>
            </w:pPr>
          </w:p>
        </w:tc>
        <w:tc>
          <w:tcPr>
            <w:tcW w:w="1884" w:type="pct"/>
            <w:noWrap/>
            <w:vAlign w:val="center"/>
            <w:hideMark/>
          </w:tcPr>
          <w:p w14:paraId="6798E3EE" w14:textId="77777777" w:rsidR="00316DE1" w:rsidRPr="004F2A8B" w:rsidRDefault="00316DE1" w:rsidP="00316DE1">
            <w:pPr>
              <w:jc w:val="center"/>
              <w:rPr>
                <w:szCs w:val="24"/>
              </w:rPr>
            </w:pPr>
            <w:r w:rsidRPr="004F2A8B">
              <w:rPr>
                <w:szCs w:val="24"/>
              </w:rPr>
              <w:t>Estadístico</w:t>
            </w:r>
          </w:p>
        </w:tc>
        <w:tc>
          <w:tcPr>
            <w:tcW w:w="487" w:type="pct"/>
            <w:noWrap/>
            <w:vAlign w:val="center"/>
            <w:hideMark/>
          </w:tcPr>
          <w:p w14:paraId="6F6D0DF4" w14:textId="77777777" w:rsidR="00316DE1" w:rsidRPr="004F2A8B" w:rsidRDefault="00316DE1" w:rsidP="00316DE1">
            <w:pPr>
              <w:jc w:val="center"/>
              <w:rPr>
                <w:szCs w:val="24"/>
              </w:rPr>
            </w:pPr>
            <w:proofErr w:type="spellStart"/>
            <w:r w:rsidRPr="004F2A8B">
              <w:rPr>
                <w:szCs w:val="24"/>
              </w:rPr>
              <w:t>gl</w:t>
            </w:r>
            <w:proofErr w:type="spellEnd"/>
          </w:p>
        </w:tc>
        <w:tc>
          <w:tcPr>
            <w:tcW w:w="1002" w:type="pct"/>
            <w:noWrap/>
            <w:vAlign w:val="center"/>
            <w:hideMark/>
          </w:tcPr>
          <w:p w14:paraId="45BD4A71" w14:textId="77777777" w:rsidR="00316DE1" w:rsidRPr="004F2A8B" w:rsidRDefault="00316DE1" w:rsidP="00316DE1">
            <w:pPr>
              <w:jc w:val="center"/>
              <w:rPr>
                <w:szCs w:val="24"/>
              </w:rPr>
            </w:pPr>
            <w:r w:rsidRPr="004F2A8B">
              <w:rPr>
                <w:szCs w:val="24"/>
              </w:rPr>
              <w:t>Sig.</w:t>
            </w:r>
          </w:p>
        </w:tc>
      </w:tr>
      <w:tr w:rsidR="00316DE1" w:rsidRPr="004F2A8B" w14:paraId="6593027B" w14:textId="77777777" w:rsidTr="00F671A4">
        <w:trPr>
          <w:trHeight w:val="20"/>
        </w:trPr>
        <w:tc>
          <w:tcPr>
            <w:tcW w:w="1627" w:type="pct"/>
            <w:noWrap/>
            <w:vAlign w:val="center"/>
            <w:hideMark/>
          </w:tcPr>
          <w:p w14:paraId="19562E77" w14:textId="5E1CEACD" w:rsidR="00316DE1" w:rsidRPr="004F2A8B" w:rsidRDefault="00E97241" w:rsidP="00316DE1">
            <w:pPr>
              <w:rPr>
                <w:szCs w:val="24"/>
              </w:rPr>
            </w:pPr>
            <w:r>
              <w:rPr>
                <w:szCs w:val="24"/>
              </w:rPr>
              <w:t>Fatiga emocional</w:t>
            </w:r>
          </w:p>
        </w:tc>
        <w:tc>
          <w:tcPr>
            <w:tcW w:w="1884" w:type="pct"/>
            <w:noWrap/>
            <w:vAlign w:val="center"/>
            <w:hideMark/>
          </w:tcPr>
          <w:p w14:paraId="1A415856" w14:textId="2B9DBCC3" w:rsidR="00316DE1" w:rsidRPr="004F2A8B" w:rsidRDefault="00316DE1" w:rsidP="00316DE1">
            <w:pPr>
              <w:jc w:val="center"/>
              <w:rPr>
                <w:szCs w:val="24"/>
              </w:rPr>
            </w:pPr>
            <w:r w:rsidRPr="004F2A8B">
              <w:rPr>
                <w:szCs w:val="24"/>
              </w:rPr>
              <w:t>.094</w:t>
            </w:r>
          </w:p>
        </w:tc>
        <w:tc>
          <w:tcPr>
            <w:tcW w:w="487" w:type="pct"/>
            <w:noWrap/>
            <w:vAlign w:val="center"/>
            <w:hideMark/>
          </w:tcPr>
          <w:p w14:paraId="57E68B32"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4276E098" w14:textId="77777777" w:rsidR="00316DE1" w:rsidRPr="004F2A8B" w:rsidRDefault="00316DE1" w:rsidP="00316DE1">
            <w:pPr>
              <w:jc w:val="center"/>
              <w:rPr>
                <w:szCs w:val="24"/>
              </w:rPr>
            </w:pPr>
            <w:r w:rsidRPr="004F2A8B">
              <w:rPr>
                <w:szCs w:val="24"/>
              </w:rPr>
              <w:t>.093</w:t>
            </w:r>
          </w:p>
        </w:tc>
      </w:tr>
      <w:tr w:rsidR="00316DE1" w:rsidRPr="004F2A8B" w14:paraId="4203EB44" w14:textId="77777777" w:rsidTr="00F671A4">
        <w:trPr>
          <w:trHeight w:val="20"/>
        </w:trPr>
        <w:tc>
          <w:tcPr>
            <w:tcW w:w="1627" w:type="pct"/>
            <w:noWrap/>
            <w:vAlign w:val="center"/>
            <w:hideMark/>
          </w:tcPr>
          <w:p w14:paraId="53D30BAA" w14:textId="77777777" w:rsidR="00316DE1" w:rsidRPr="004F2A8B" w:rsidRDefault="00316DE1" w:rsidP="00316DE1">
            <w:pPr>
              <w:rPr>
                <w:szCs w:val="24"/>
              </w:rPr>
            </w:pPr>
            <w:r w:rsidRPr="004F2A8B">
              <w:rPr>
                <w:szCs w:val="24"/>
              </w:rPr>
              <w:t>Regulación emocional</w:t>
            </w:r>
          </w:p>
        </w:tc>
        <w:tc>
          <w:tcPr>
            <w:tcW w:w="1884" w:type="pct"/>
            <w:noWrap/>
            <w:vAlign w:val="center"/>
            <w:hideMark/>
          </w:tcPr>
          <w:p w14:paraId="62735092" w14:textId="5D5F52D7" w:rsidR="00316DE1" w:rsidRPr="004F2A8B" w:rsidRDefault="00316DE1" w:rsidP="00316DE1">
            <w:pPr>
              <w:jc w:val="center"/>
              <w:rPr>
                <w:szCs w:val="24"/>
              </w:rPr>
            </w:pPr>
            <w:r w:rsidRPr="004F2A8B">
              <w:rPr>
                <w:szCs w:val="24"/>
              </w:rPr>
              <w:t>.105</w:t>
            </w:r>
          </w:p>
        </w:tc>
        <w:tc>
          <w:tcPr>
            <w:tcW w:w="487" w:type="pct"/>
            <w:noWrap/>
            <w:vAlign w:val="center"/>
            <w:hideMark/>
          </w:tcPr>
          <w:p w14:paraId="7CE6ECBE"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421530F4" w14:textId="77777777" w:rsidR="00316DE1" w:rsidRPr="004F2A8B" w:rsidRDefault="00316DE1" w:rsidP="00316DE1">
            <w:pPr>
              <w:jc w:val="center"/>
              <w:rPr>
                <w:szCs w:val="24"/>
              </w:rPr>
            </w:pPr>
            <w:r w:rsidRPr="004F2A8B">
              <w:rPr>
                <w:szCs w:val="24"/>
              </w:rPr>
              <w:t>.037</w:t>
            </w:r>
          </w:p>
        </w:tc>
      </w:tr>
      <w:tr w:rsidR="00316DE1" w:rsidRPr="004F2A8B" w14:paraId="637417EB" w14:textId="77777777" w:rsidTr="00F671A4">
        <w:trPr>
          <w:trHeight w:val="20"/>
        </w:trPr>
        <w:tc>
          <w:tcPr>
            <w:tcW w:w="1627" w:type="pct"/>
            <w:noWrap/>
            <w:vAlign w:val="center"/>
            <w:hideMark/>
          </w:tcPr>
          <w:p w14:paraId="2B655563" w14:textId="77777777" w:rsidR="00316DE1" w:rsidRPr="004F2A8B" w:rsidRDefault="00316DE1" w:rsidP="00316DE1">
            <w:pPr>
              <w:rPr>
                <w:szCs w:val="24"/>
              </w:rPr>
            </w:pPr>
            <w:r w:rsidRPr="004F2A8B">
              <w:rPr>
                <w:szCs w:val="24"/>
              </w:rPr>
              <w:t>Reevaluación cognitiva</w:t>
            </w:r>
          </w:p>
        </w:tc>
        <w:tc>
          <w:tcPr>
            <w:tcW w:w="1884" w:type="pct"/>
            <w:noWrap/>
            <w:vAlign w:val="center"/>
            <w:hideMark/>
          </w:tcPr>
          <w:p w14:paraId="69898DF4" w14:textId="2CF9DF51" w:rsidR="00316DE1" w:rsidRPr="004F2A8B" w:rsidRDefault="00316DE1" w:rsidP="00316DE1">
            <w:pPr>
              <w:jc w:val="center"/>
              <w:rPr>
                <w:szCs w:val="24"/>
              </w:rPr>
            </w:pPr>
            <w:r w:rsidRPr="004F2A8B">
              <w:rPr>
                <w:szCs w:val="24"/>
              </w:rPr>
              <w:t>.086</w:t>
            </w:r>
          </w:p>
        </w:tc>
        <w:tc>
          <w:tcPr>
            <w:tcW w:w="487" w:type="pct"/>
            <w:noWrap/>
            <w:vAlign w:val="center"/>
            <w:hideMark/>
          </w:tcPr>
          <w:p w14:paraId="5D17C56C"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73FD9CC5" w14:textId="77777777" w:rsidR="00316DE1" w:rsidRPr="004F2A8B" w:rsidRDefault="00316DE1" w:rsidP="00316DE1">
            <w:pPr>
              <w:jc w:val="center"/>
              <w:rPr>
                <w:szCs w:val="24"/>
              </w:rPr>
            </w:pPr>
            <w:r w:rsidRPr="004F2A8B">
              <w:rPr>
                <w:szCs w:val="24"/>
              </w:rPr>
              <w:t>.200*</w:t>
            </w:r>
          </w:p>
        </w:tc>
      </w:tr>
      <w:tr w:rsidR="00316DE1" w:rsidRPr="004F2A8B" w14:paraId="755F0C2E" w14:textId="77777777" w:rsidTr="00F671A4">
        <w:trPr>
          <w:trHeight w:val="20"/>
        </w:trPr>
        <w:tc>
          <w:tcPr>
            <w:tcW w:w="1627" w:type="pct"/>
            <w:noWrap/>
            <w:vAlign w:val="center"/>
            <w:hideMark/>
          </w:tcPr>
          <w:p w14:paraId="77C67101" w14:textId="77777777" w:rsidR="00316DE1" w:rsidRPr="004F2A8B" w:rsidRDefault="00316DE1" w:rsidP="00316DE1">
            <w:pPr>
              <w:rPr>
                <w:szCs w:val="24"/>
              </w:rPr>
            </w:pPr>
            <w:r w:rsidRPr="004F2A8B">
              <w:rPr>
                <w:szCs w:val="24"/>
              </w:rPr>
              <w:t>Supresión</w:t>
            </w:r>
          </w:p>
        </w:tc>
        <w:tc>
          <w:tcPr>
            <w:tcW w:w="1884" w:type="pct"/>
            <w:noWrap/>
            <w:vAlign w:val="center"/>
            <w:hideMark/>
          </w:tcPr>
          <w:p w14:paraId="12EA1D04" w14:textId="08F8FEC5" w:rsidR="00316DE1" w:rsidRPr="004F2A8B" w:rsidRDefault="00316DE1" w:rsidP="00316DE1">
            <w:pPr>
              <w:jc w:val="center"/>
              <w:rPr>
                <w:szCs w:val="24"/>
              </w:rPr>
            </w:pPr>
            <w:r w:rsidRPr="004F2A8B">
              <w:rPr>
                <w:szCs w:val="24"/>
              </w:rPr>
              <w:t>.064</w:t>
            </w:r>
          </w:p>
        </w:tc>
        <w:tc>
          <w:tcPr>
            <w:tcW w:w="487" w:type="pct"/>
            <w:noWrap/>
            <w:vAlign w:val="center"/>
            <w:hideMark/>
          </w:tcPr>
          <w:p w14:paraId="3A67DA6D"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3D335560" w14:textId="77777777" w:rsidR="00316DE1" w:rsidRPr="004F2A8B" w:rsidRDefault="00316DE1" w:rsidP="00316DE1">
            <w:pPr>
              <w:jc w:val="center"/>
              <w:rPr>
                <w:szCs w:val="24"/>
              </w:rPr>
            </w:pPr>
            <w:r w:rsidRPr="004F2A8B">
              <w:rPr>
                <w:szCs w:val="24"/>
              </w:rPr>
              <w:t>.200*</w:t>
            </w:r>
          </w:p>
        </w:tc>
      </w:tr>
      <w:tr w:rsidR="00316DE1" w:rsidRPr="004F2A8B" w14:paraId="5C25B364" w14:textId="77777777" w:rsidTr="00F671A4">
        <w:trPr>
          <w:trHeight w:val="20"/>
        </w:trPr>
        <w:tc>
          <w:tcPr>
            <w:tcW w:w="1627" w:type="pct"/>
            <w:noWrap/>
            <w:vAlign w:val="center"/>
            <w:hideMark/>
          </w:tcPr>
          <w:p w14:paraId="5A63256A" w14:textId="77777777" w:rsidR="00316DE1" w:rsidRPr="004F2A8B" w:rsidRDefault="00316DE1" w:rsidP="00316DE1">
            <w:pPr>
              <w:rPr>
                <w:szCs w:val="24"/>
              </w:rPr>
            </w:pPr>
            <w:r w:rsidRPr="004F2A8B">
              <w:rPr>
                <w:szCs w:val="24"/>
              </w:rPr>
              <w:t>Compromiso académico</w:t>
            </w:r>
          </w:p>
        </w:tc>
        <w:tc>
          <w:tcPr>
            <w:tcW w:w="1884" w:type="pct"/>
            <w:noWrap/>
            <w:vAlign w:val="center"/>
            <w:hideMark/>
          </w:tcPr>
          <w:p w14:paraId="289F3225" w14:textId="524DE9D4" w:rsidR="00316DE1" w:rsidRPr="004F2A8B" w:rsidRDefault="00316DE1" w:rsidP="00316DE1">
            <w:pPr>
              <w:jc w:val="center"/>
              <w:rPr>
                <w:szCs w:val="24"/>
              </w:rPr>
            </w:pPr>
            <w:r w:rsidRPr="004F2A8B">
              <w:rPr>
                <w:szCs w:val="24"/>
              </w:rPr>
              <w:t>.083</w:t>
            </w:r>
          </w:p>
        </w:tc>
        <w:tc>
          <w:tcPr>
            <w:tcW w:w="487" w:type="pct"/>
            <w:noWrap/>
            <w:vAlign w:val="center"/>
            <w:hideMark/>
          </w:tcPr>
          <w:p w14:paraId="7E5378B9"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634B55C1" w14:textId="77777777" w:rsidR="00316DE1" w:rsidRPr="004F2A8B" w:rsidRDefault="00316DE1" w:rsidP="00316DE1">
            <w:pPr>
              <w:jc w:val="center"/>
              <w:rPr>
                <w:szCs w:val="24"/>
              </w:rPr>
            </w:pPr>
            <w:r w:rsidRPr="004F2A8B">
              <w:rPr>
                <w:szCs w:val="24"/>
              </w:rPr>
              <w:t>.200*</w:t>
            </w:r>
          </w:p>
        </w:tc>
      </w:tr>
      <w:tr w:rsidR="00316DE1" w:rsidRPr="004F2A8B" w14:paraId="32FA175E" w14:textId="77777777" w:rsidTr="00F671A4">
        <w:trPr>
          <w:trHeight w:val="20"/>
        </w:trPr>
        <w:tc>
          <w:tcPr>
            <w:tcW w:w="1627" w:type="pct"/>
            <w:noWrap/>
            <w:vAlign w:val="center"/>
            <w:hideMark/>
          </w:tcPr>
          <w:p w14:paraId="2D5FDAD9" w14:textId="77777777" w:rsidR="00316DE1" w:rsidRPr="004F2A8B" w:rsidRDefault="00316DE1" w:rsidP="00316DE1">
            <w:pPr>
              <w:rPr>
                <w:szCs w:val="24"/>
              </w:rPr>
            </w:pPr>
            <w:r w:rsidRPr="004F2A8B">
              <w:rPr>
                <w:szCs w:val="24"/>
              </w:rPr>
              <w:t>Vigor</w:t>
            </w:r>
          </w:p>
        </w:tc>
        <w:tc>
          <w:tcPr>
            <w:tcW w:w="1884" w:type="pct"/>
            <w:noWrap/>
            <w:vAlign w:val="center"/>
            <w:hideMark/>
          </w:tcPr>
          <w:p w14:paraId="515B704D" w14:textId="12104BCD" w:rsidR="00316DE1" w:rsidRPr="004F2A8B" w:rsidRDefault="00316DE1" w:rsidP="00316DE1">
            <w:pPr>
              <w:jc w:val="center"/>
              <w:rPr>
                <w:szCs w:val="24"/>
              </w:rPr>
            </w:pPr>
            <w:r w:rsidRPr="004F2A8B">
              <w:rPr>
                <w:szCs w:val="24"/>
              </w:rPr>
              <w:t>.101</w:t>
            </w:r>
          </w:p>
        </w:tc>
        <w:tc>
          <w:tcPr>
            <w:tcW w:w="487" w:type="pct"/>
            <w:noWrap/>
            <w:vAlign w:val="center"/>
            <w:hideMark/>
          </w:tcPr>
          <w:p w14:paraId="3BF02007"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06096F28" w14:textId="77777777" w:rsidR="00316DE1" w:rsidRPr="004F2A8B" w:rsidRDefault="00316DE1" w:rsidP="00316DE1">
            <w:pPr>
              <w:jc w:val="center"/>
              <w:rPr>
                <w:szCs w:val="24"/>
              </w:rPr>
            </w:pPr>
            <w:r w:rsidRPr="004F2A8B">
              <w:rPr>
                <w:szCs w:val="24"/>
              </w:rPr>
              <w:t>.054</w:t>
            </w:r>
          </w:p>
        </w:tc>
      </w:tr>
      <w:tr w:rsidR="00316DE1" w:rsidRPr="004F2A8B" w14:paraId="5DBA17EF" w14:textId="77777777" w:rsidTr="00F671A4">
        <w:trPr>
          <w:trHeight w:val="20"/>
        </w:trPr>
        <w:tc>
          <w:tcPr>
            <w:tcW w:w="1627" w:type="pct"/>
            <w:noWrap/>
            <w:vAlign w:val="center"/>
            <w:hideMark/>
          </w:tcPr>
          <w:p w14:paraId="3F5F2FB7" w14:textId="77777777" w:rsidR="00316DE1" w:rsidRPr="004F2A8B" w:rsidRDefault="00316DE1" w:rsidP="00316DE1">
            <w:pPr>
              <w:rPr>
                <w:szCs w:val="24"/>
              </w:rPr>
            </w:pPr>
            <w:r w:rsidRPr="004F2A8B">
              <w:rPr>
                <w:szCs w:val="24"/>
              </w:rPr>
              <w:t>Dedicación</w:t>
            </w:r>
          </w:p>
        </w:tc>
        <w:tc>
          <w:tcPr>
            <w:tcW w:w="1884" w:type="pct"/>
            <w:noWrap/>
            <w:vAlign w:val="center"/>
            <w:hideMark/>
          </w:tcPr>
          <w:p w14:paraId="41B64CA8" w14:textId="1638AC86" w:rsidR="00316DE1" w:rsidRPr="004F2A8B" w:rsidRDefault="00316DE1" w:rsidP="00316DE1">
            <w:pPr>
              <w:jc w:val="center"/>
              <w:rPr>
                <w:szCs w:val="24"/>
              </w:rPr>
            </w:pPr>
            <w:r w:rsidRPr="004F2A8B">
              <w:rPr>
                <w:szCs w:val="24"/>
              </w:rPr>
              <w:t>.128</w:t>
            </w:r>
          </w:p>
        </w:tc>
        <w:tc>
          <w:tcPr>
            <w:tcW w:w="487" w:type="pct"/>
            <w:noWrap/>
            <w:vAlign w:val="center"/>
            <w:hideMark/>
          </w:tcPr>
          <w:p w14:paraId="09A7A652"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7FA450BB" w14:textId="77777777" w:rsidR="00316DE1" w:rsidRPr="004F2A8B" w:rsidRDefault="00316DE1" w:rsidP="00316DE1">
            <w:pPr>
              <w:jc w:val="center"/>
              <w:rPr>
                <w:szCs w:val="24"/>
              </w:rPr>
            </w:pPr>
            <w:r w:rsidRPr="004F2A8B">
              <w:rPr>
                <w:szCs w:val="24"/>
              </w:rPr>
              <w:t>.004</w:t>
            </w:r>
          </w:p>
        </w:tc>
      </w:tr>
      <w:tr w:rsidR="00316DE1" w:rsidRPr="004F2A8B" w14:paraId="09E54489" w14:textId="77777777" w:rsidTr="00F671A4">
        <w:trPr>
          <w:trHeight w:val="20"/>
        </w:trPr>
        <w:tc>
          <w:tcPr>
            <w:tcW w:w="1627" w:type="pct"/>
            <w:noWrap/>
            <w:vAlign w:val="center"/>
            <w:hideMark/>
          </w:tcPr>
          <w:p w14:paraId="47350B5C" w14:textId="77777777" w:rsidR="00316DE1" w:rsidRPr="004F2A8B" w:rsidRDefault="00316DE1" w:rsidP="00316DE1">
            <w:pPr>
              <w:rPr>
                <w:szCs w:val="24"/>
              </w:rPr>
            </w:pPr>
            <w:r w:rsidRPr="004F2A8B">
              <w:rPr>
                <w:szCs w:val="24"/>
              </w:rPr>
              <w:t>Absorción</w:t>
            </w:r>
          </w:p>
        </w:tc>
        <w:tc>
          <w:tcPr>
            <w:tcW w:w="1884" w:type="pct"/>
            <w:noWrap/>
            <w:vAlign w:val="center"/>
            <w:hideMark/>
          </w:tcPr>
          <w:p w14:paraId="5901929A" w14:textId="173F5B3C" w:rsidR="00316DE1" w:rsidRPr="004F2A8B" w:rsidRDefault="00316DE1" w:rsidP="00316DE1">
            <w:pPr>
              <w:jc w:val="center"/>
              <w:rPr>
                <w:szCs w:val="24"/>
              </w:rPr>
            </w:pPr>
            <w:r w:rsidRPr="004F2A8B">
              <w:rPr>
                <w:szCs w:val="24"/>
              </w:rPr>
              <w:t>.131</w:t>
            </w:r>
          </w:p>
        </w:tc>
        <w:tc>
          <w:tcPr>
            <w:tcW w:w="487" w:type="pct"/>
            <w:noWrap/>
            <w:vAlign w:val="center"/>
            <w:hideMark/>
          </w:tcPr>
          <w:p w14:paraId="2C61F10B" w14:textId="77777777" w:rsidR="00316DE1" w:rsidRPr="004F2A8B" w:rsidRDefault="00316DE1" w:rsidP="00316DE1">
            <w:pPr>
              <w:jc w:val="center"/>
              <w:rPr>
                <w:szCs w:val="24"/>
              </w:rPr>
            </w:pPr>
            <w:r w:rsidRPr="004F2A8B">
              <w:rPr>
                <w:szCs w:val="24"/>
              </w:rPr>
              <w:t>76</w:t>
            </w:r>
          </w:p>
        </w:tc>
        <w:tc>
          <w:tcPr>
            <w:tcW w:w="1002" w:type="pct"/>
            <w:noWrap/>
            <w:vAlign w:val="center"/>
            <w:hideMark/>
          </w:tcPr>
          <w:p w14:paraId="4468F755" w14:textId="77777777" w:rsidR="00316DE1" w:rsidRPr="004F2A8B" w:rsidRDefault="00316DE1" w:rsidP="00316DE1">
            <w:pPr>
              <w:jc w:val="center"/>
              <w:rPr>
                <w:szCs w:val="24"/>
              </w:rPr>
            </w:pPr>
            <w:r w:rsidRPr="004F2A8B">
              <w:rPr>
                <w:szCs w:val="24"/>
              </w:rPr>
              <w:t>.003</w:t>
            </w:r>
          </w:p>
        </w:tc>
      </w:tr>
    </w:tbl>
    <w:p w14:paraId="3B82E847" w14:textId="77777777" w:rsidR="00316DE1" w:rsidRPr="00F671A4" w:rsidRDefault="00316DE1" w:rsidP="00F671A4">
      <w:pPr>
        <w:jc w:val="center"/>
        <w:rPr>
          <w:lang w:val="es-ES"/>
        </w:rPr>
      </w:pPr>
      <w:r w:rsidRPr="00F671A4">
        <w:rPr>
          <w:lang w:val="es-ES"/>
        </w:rPr>
        <w:t>* Esto es un límite inferior de la significación verdadera.</w:t>
      </w:r>
    </w:p>
    <w:p w14:paraId="2815C196" w14:textId="77777777" w:rsidR="00316DE1" w:rsidRDefault="00316DE1" w:rsidP="00F671A4">
      <w:pPr>
        <w:jc w:val="center"/>
        <w:rPr>
          <w:lang w:val="es-ES"/>
        </w:rPr>
      </w:pPr>
      <w:r w:rsidRPr="00F671A4">
        <w:rPr>
          <w:vertAlign w:val="superscript"/>
          <w:lang w:val="es-ES"/>
        </w:rPr>
        <w:t>a</w:t>
      </w:r>
      <w:r w:rsidRPr="00F671A4">
        <w:rPr>
          <w:lang w:val="es-ES"/>
        </w:rPr>
        <w:t xml:space="preserve"> Corrección de significación de </w:t>
      </w:r>
      <w:proofErr w:type="spellStart"/>
      <w:r w:rsidRPr="00F671A4">
        <w:rPr>
          <w:lang w:val="es-ES"/>
        </w:rPr>
        <w:t>Lilliefors</w:t>
      </w:r>
      <w:proofErr w:type="spellEnd"/>
    </w:p>
    <w:p w14:paraId="60F49BC9" w14:textId="77777777" w:rsidR="00225112" w:rsidRPr="00F671A4" w:rsidRDefault="00225112" w:rsidP="00225112">
      <w:pPr>
        <w:jc w:val="center"/>
        <w:rPr>
          <w:sz w:val="32"/>
          <w:szCs w:val="28"/>
          <w:lang w:val="es-ES"/>
        </w:rPr>
      </w:pPr>
      <w:r w:rsidRPr="00225112">
        <w:rPr>
          <w:i/>
          <w:iCs/>
          <w:lang w:val="es-ES"/>
        </w:rPr>
        <w:t>Nota</w:t>
      </w:r>
      <w:r>
        <w:rPr>
          <w:lang w:val="es-ES"/>
        </w:rPr>
        <w:t xml:space="preserve">: </w:t>
      </w:r>
      <w:r w:rsidRPr="00F671A4">
        <w:rPr>
          <w:szCs w:val="24"/>
          <w:lang w:val="es-ES"/>
        </w:rPr>
        <w:t>Análisis SPSS29</w:t>
      </w:r>
    </w:p>
    <w:p w14:paraId="65B07081" w14:textId="3D8C012F" w:rsidR="00316DE1" w:rsidRDefault="00316DE1" w:rsidP="00F671A4">
      <w:pPr>
        <w:ind w:firstLine="709"/>
        <w:rPr>
          <w:lang w:val="es-ES"/>
        </w:rPr>
      </w:pPr>
      <w:r w:rsidRPr="00316DE1">
        <w:rPr>
          <w:lang w:val="es-ES"/>
        </w:rPr>
        <w:t xml:space="preserve">La </w:t>
      </w:r>
      <w:r w:rsidR="004F2A8B" w:rsidRPr="00316DE1">
        <w:rPr>
          <w:lang w:val="es-ES"/>
        </w:rPr>
        <w:t xml:space="preserve">Tabla </w:t>
      </w:r>
      <w:r w:rsidRPr="00316DE1">
        <w:rPr>
          <w:lang w:val="es-ES"/>
        </w:rPr>
        <w:t xml:space="preserve">6 </w:t>
      </w:r>
      <w:r w:rsidR="009450C7" w:rsidRPr="009450C7">
        <w:rPr>
          <w:lang w:val="es-ES"/>
        </w:rPr>
        <w:t>muestra las medias y desviaciones estándar encontradas para cada variable</w:t>
      </w:r>
      <w:r w:rsidR="009450C7">
        <w:rPr>
          <w:lang w:val="es-ES"/>
        </w:rPr>
        <w:t xml:space="preserve">. </w:t>
      </w:r>
      <w:r w:rsidR="009450C7" w:rsidRPr="009450C7">
        <w:rPr>
          <w:lang w:val="es-ES"/>
        </w:rPr>
        <w:t>Además, se encontró una relación significativa entre el cansancio y la regulación emocionales</w:t>
      </w:r>
      <w:r w:rsidRPr="00316DE1">
        <w:rPr>
          <w:lang w:val="es-ES"/>
        </w:rPr>
        <w:t xml:space="preserve">, </w:t>
      </w:r>
      <w:r w:rsidR="009450C7" w:rsidRPr="009450C7">
        <w:rPr>
          <w:lang w:val="es-ES"/>
        </w:rPr>
        <w:t>lo que sugiere que estos resultados podrían ser aplicables al contexto estudiado</w:t>
      </w:r>
      <w:r w:rsidR="009450C7">
        <w:rPr>
          <w:lang w:val="es-ES"/>
        </w:rPr>
        <w:t>. D</w:t>
      </w:r>
      <w:r w:rsidR="0074376D">
        <w:rPr>
          <w:lang w:val="es-ES"/>
        </w:rPr>
        <w:t xml:space="preserve">e igual manera, </w:t>
      </w:r>
      <w:r w:rsidR="003969E8">
        <w:rPr>
          <w:lang w:val="es-ES"/>
        </w:rPr>
        <w:t xml:space="preserve">se ha registrado correlaciones entre la dimensión supresión. </w:t>
      </w:r>
      <w:r w:rsidR="00FE3B51" w:rsidRPr="00FE3B51">
        <w:rPr>
          <w:lang w:val="es-ES"/>
        </w:rPr>
        <w:t>Por otro lado, la regulación emocional mostró una correlación significativa con la reevaluación cognitiva y la supresión</w:t>
      </w:r>
      <w:r w:rsidR="003969E8">
        <w:rPr>
          <w:lang w:val="es-ES"/>
        </w:rPr>
        <w:t>.</w:t>
      </w:r>
    </w:p>
    <w:p w14:paraId="6E7C4EF6" w14:textId="77777777" w:rsidR="009450C7" w:rsidRDefault="009450C7" w:rsidP="00316DE1">
      <w:pPr>
        <w:rPr>
          <w:lang w:val="es-ES"/>
        </w:rPr>
      </w:pPr>
    </w:p>
    <w:p w14:paraId="0330622C" w14:textId="77777777" w:rsidR="00FE48E5" w:rsidRDefault="00FE48E5" w:rsidP="00316DE1">
      <w:pPr>
        <w:rPr>
          <w:lang w:val="es-ES"/>
        </w:rPr>
      </w:pPr>
    </w:p>
    <w:p w14:paraId="27DE576B" w14:textId="77777777" w:rsidR="00FE48E5" w:rsidRDefault="00FE48E5" w:rsidP="00316DE1">
      <w:pPr>
        <w:rPr>
          <w:lang w:val="es-ES"/>
        </w:rPr>
      </w:pPr>
    </w:p>
    <w:p w14:paraId="1A5E8809" w14:textId="77777777" w:rsidR="00FE48E5" w:rsidRDefault="00FE48E5" w:rsidP="00316DE1">
      <w:pPr>
        <w:rPr>
          <w:lang w:val="es-ES"/>
        </w:rPr>
      </w:pPr>
    </w:p>
    <w:p w14:paraId="7BB254CC" w14:textId="77777777" w:rsidR="00FE48E5" w:rsidRDefault="00FE48E5" w:rsidP="00316DE1">
      <w:pPr>
        <w:rPr>
          <w:lang w:val="es-ES"/>
        </w:rPr>
      </w:pPr>
    </w:p>
    <w:p w14:paraId="63535BCF" w14:textId="77777777" w:rsidR="00FE48E5" w:rsidRDefault="00FE48E5" w:rsidP="00316DE1">
      <w:pPr>
        <w:rPr>
          <w:lang w:val="es-ES"/>
        </w:rPr>
      </w:pPr>
    </w:p>
    <w:p w14:paraId="6C5A3D88" w14:textId="77777777" w:rsidR="00FE48E5" w:rsidRDefault="00FE48E5" w:rsidP="00316DE1">
      <w:pPr>
        <w:rPr>
          <w:lang w:val="es-ES"/>
        </w:rPr>
      </w:pPr>
    </w:p>
    <w:p w14:paraId="1B79E34B" w14:textId="77777777" w:rsidR="00FE48E5" w:rsidRDefault="00FE48E5" w:rsidP="00316DE1">
      <w:pPr>
        <w:rPr>
          <w:lang w:val="es-ES"/>
        </w:rPr>
      </w:pPr>
    </w:p>
    <w:p w14:paraId="6CAB170A" w14:textId="77777777" w:rsidR="00FE48E5" w:rsidRDefault="00FE48E5" w:rsidP="00316DE1">
      <w:pPr>
        <w:rPr>
          <w:lang w:val="es-ES"/>
        </w:rPr>
      </w:pPr>
    </w:p>
    <w:p w14:paraId="6158F863" w14:textId="77777777" w:rsidR="00FE48E5" w:rsidRDefault="00FE48E5" w:rsidP="00316DE1">
      <w:pPr>
        <w:rPr>
          <w:lang w:val="es-ES"/>
        </w:rPr>
      </w:pPr>
    </w:p>
    <w:p w14:paraId="38CD5CFD" w14:textId="77777777" w:rsidR="00FE48E5" w:rsidRDefault="00FE48E5" w:rsidP="00316DE1">
      <w:pPr>
        <w:rPr>
          <w:lang w:val="es-ES"/>
        </w:rPr>
      </w:pPr>
    </w:p>
    <w:p w14:paraId="5D9F027A" w14:textId="77777777" w:rsidR="00FE48E5" w:rsidRDefault="00FE48E5" w:rsidP="00316DE1">
      <w:pPr>
        <w:rPr>
          <w:lang w:val="es-ES"/>
        </w:rPr>
      </w:pPr>
    </w:p>
    <w:p w14:paraId="3F2C1E5A" w14:textId="77777777" w:rsidR="00FE48E5" w:rsidRDefault="00FE48E5" w:rsidP="00316DE1">
      <w:pPr>
        <w:rPr>
          <w:lang w:val="es-ES"/>
        </w:rPr>
      </w:pPr>
    </w:p>
    <w:p w14:paraId="3CD8FCF9" w14:textId="70A47281" w:rsidR="00316DE1" w:rsidRPr="00F671A4" w:rsidRDefault="00316DE1" w:rsidP="00F671A4">
      <w:pPr>
        <w:jc w:val="center"/>
      </w:pPr>
      <w:r w:rsidRPr="00316DE1">
        <w:rPr>
          <w:b/>
          <w:bCs/>
        </w:rPr>
        <w:lastRenderedPageBreak/>
        <w:t xml:space="preserve">Tabla </w:t>
      </w:r>
      <w:r w:rsidRPr="00316DE1">
        <w:rPr>
          <w:b/>
          <w:bCs/>
          <w:lang w:val="en-US"/>
        </w:rPr>
        <w:fldChar w:fldCharType="begin"/>
      </w:r>
      <w:r w:rsidRPr="00316DE1">
        <w:rPr>
          <w:b/>
          <w:bCs/>
        </w:rPr>
        <w:instrText xml:space="preserve"> SEQ Tabla \* ARABIC </w:instrText>
      </w:r>
      <w:r w:rsidRPr="00316DE1">
        <w:rPr>
          <w:b/>
          <w:bCs/>
          <w:lang w:val="en-US"/>
        </w:rPr>
        <w:fldChar w:fldCharType="separate"/>
      </w:r>
      <w:r w:rsidR="004A4B6C">
        <w:rPr>
          <w:b/>
          <w:bCs/>
          <w:noProof/>
        </w:rPr>
        <w:t>6</w:t>
      </w:r>
      <w:r w:rsidRPr="00316DE1">
        <w:fldChar w:fldCharType="end"/>
      </w:r>
      <w:r w:rsidR="00F671A4">
        <w:t xml:space="preserve">. </w:t>
      </w:r>
      <w:r w:rsidRPr="00F671A4">
        <w:t>Análisis de correlación de las variables</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680"/>
        <w:gridCol w:w="560"/>
        <w:gridCol w:w="260"/>
        <w:gridCol w:w="720"/>
        <w:gridCol w:w="720"/>
        <w:gridCol w:w="721"/>
        <w:gridCol w:w="640"/>
        <w:gridCol w:w="721"/>
        <w:gridCol w:w="721"/>
        <w:gridCol w:w="720"/>
      </w:tblGrid>
      <w:tr w:rsidR="00225112" w:rsidRPr="00F671A4" w14:paraId="2722756A" w14:textId="77777777" w:rsidTr="00225112">
        <w:trPr>
          <w:trHeight w:val="20"/>
        </w:trPr>
        <w:tc>
          <w:tcPr>
            <w:tcW w:w="1297" w:type="pct"/>
            <w:shd w:val="clear" w:color="auto" w:fill="auto"/>
            <w:vAlign w:val="center"/>
            <w:hideMark/>
          </w:tcPr>
          <w:p w14:paraId="6B6DBCD0" w14:textId="77777777" w:rsidR="00316DE1" w:rsidRPr="00F671A4" w:rsidRDefault="00316DE1" w:rsidP="00316DE1">
            <w:pPr>
              <w:rPr>
                <w:rFonts w:cs="Times New Roman"/>
                <w:szCs w:val="24"/>
              </w:rPr>
            </w:pPr>
            <w:r w:rsidRPr="00F671A4">
              <w:rPr>
                <w:rFonts w:cs="Times New Roman"/>
                <w:szCs w:val="24"/>
              </w:rPr>
              <w:t>Variables</w:t>
            </w:r>
          </w:p>
        </w:tc>
        <w:tc>
          <w:tcPr>
            <w:tcW w:w="390" w:type="pct"/>
            <w:shd w:val="clear" w:color="auto" w:fill="auto"/>
            <w:noWrap/>
            <w:vAlign w:val="center"/>
            <w:hideMark/>
          </w:tcPr>
          <w:p w14:paraId="6BF16807" w14:textId="77777777" w:rsidR="00316DE1" w:rsidRPr="00F671A4" w:rsidRDefault="00316DE1" w:rsidP="00527858">
            <w:pPr>
              <w:jc w:val="center"/>
              <w:rPr>
                <w:rFonts w:cs="Times New Roman"/>
                <w:szCs w:val="24"/>
              </w:rPr>
            </w:pPr>
            <w:r w:rsidRPr="00F671A4">
              <w:rPr>
                <w:rFonts w:cs="Times New Roman"/>
                <w:szCs w:val="24"/>
              </w:rPr>
              <w:t>M</w:t>
            </w:r>
          </w:p>
        </w:tc>
        <w:tc>
          <w:tcPr>
            <w:tcW w:w="321" w:type="pct"/>
            <w:shd w:val="clear" w:color="auto" w:fill="auto"/>
            <w:noWrap/>
            <w:vAlign w:val="center"/>
            <w:hideMark/>
          </w:tcPr>
          <w:p w14:paraId="2730C71C" w14:textId="77777777" w:rsidR="00316DE1" w:rsidRPr="00F671A4" w:rsidRDefault="00316DE1" w:rsidP="00527858">
            <w:pPr>
              <w:jc w:val="center"/>
              <w:rPr>
                <w:rFonts w:cs="Times New Roman"/>
                <w:szCs w:val="24"/>
              </w:rPr>
            </w:pPr>
            <w:r w:rsidRPr="00F671A4">
              <w:rPr>
                <w:rFonts w:cs="Times New Roman"/>
                <w:szCs w:val="24"/>
              </w:rPr>
              <w:t>DE</w:t>
            </w:r>
          </w:p>
        </w:tc>
        <w:tc>
          <w:tcPr>
            <w:tcW w:w="149" w:type="pct"/>
            <w:shd w:val="clear" w:color="auto" w:fill="auto"/>
            <w:vAlign w:val="center"/>
            <w:hideMark/>
          </w:tcPr>
          <w:p w14:paraId="15534CAC" w14:textId="77777777" w:rsidR="00316DE1" w:rsidRPr="00F671A4" w:rsidRDefault="00316DE1" w:rsidP="00527858">
            <w:pPr>
              <w:jc w:val="center"/>
              <w:rPr>
                <w:rFonts w:cs="Times New Roman"/>
                <w:szCs w:val="24"/>
              </w:rPr>
            </w:pPr>
            <w:r w:rsidRPr="00F671A4">
              <w:rPr>
                <w:rFonts w:cs="Times New Roman"/>
                <w:szCs w:val="24"/>
              </w:rPr>
              <w:t>1</w:t>
            </w:r>
          </w:p>
        </w:tc>
        <w:tc>
          <w:tcPr>
            <w:tcW w:w="413" w:type="pct"/>
            <w:shd w:val="clear" w:color="auto" w:fill="auto"/>
            <w:vAlign w:val="center"/>
            <w:hideMark/>
          </w:tcPr>
          <w:p w14:paraId="37B1319C" w14:textId="77777777" w:rsidR="00316DE1" w:rsidRPr="00F671A4" w:rsidRDefault="00316DE1" w:rsidP="00527858">
            <w:pPr>
              <w:jc w:val="center"/>
              <w:rPr>
                <w:rFonts w:cs="Times New Roman"/>
                <w:szCs w:val="24"/>
              </w:rPr>
            </w:pPr>
            <w:r w:rsidRPr="00F671A4">
              <w:rPr>
                <w:rFonts w:cs="Times New Roman"/>
                <w:szCs w:val="24"/>
              </w:rPr>
              <w:t>2</w:t>
            </w:r>
          </w:p>
        </w:tc>
        <w:tc>
          <w:tcPr>
            <w:tcW w:w="413" w:type="pct"/>
            <w:shd w:val="clear" w:color="auto" w:fill="auto"/>
            <w:vAlign w:val="center"/>
            <w:hideMark/>
          </w:tcPr>
          <w:p w14:paraId="23C90052" w14:textId="77777777" w:rsidR="00316DE1" w:rsidRPr="00F671A4" w:rsidRDefault="00316DE1" w:rsidP="00527858">
            <w:pPr>
              <w:jc w:val="center"/>
              <w:rPr>
                <w:rFonts w:cs="Times New Roman"/>
                <w:szCs w:val="24"/>
              </w:rPr>
            </w:pPr>
            <w:r w:rsidRPr="00F671A4">
              <w:rPr>
                <w:rFonts w:cs="Times New Roman"/>
                <w:szCs w:val="24"/>
              </w:rPr>
              <w:t>3</w:t>
            </w:r>
          </w:p>
        </w:tc>
        <w:tc>
          <w:tcPr>
            <w:tcW w:w="413" w:type="pct"/>
            <w:shd w:val="clear" w:color="auto" w:fill="auto"/>
            <w:vAlign w:val="center"/>
            <w:hideMark/>
          </w:tcPr>
          <w:p w14:paraId="711E0AAD" w14:textId="77777777" w:rsidR="00316DE1" w:rsidRPr="00F671A4" w:rsidRDefault="00316DE1" w:rsidP="00527858">
            <w:pPr>
              <w:jc w:val="center"/>
              <w:rPr>
                <w:rFonts w:cs="Times New Roman"/>
                <w:szCs w:val="24"/>
              </w:rPr>
            </w:pPr>
            <w:r w:rsidRPr="00F671A4">
              <w:rPr>
                <w:rFonts w:cs="Times New Roman"/>
                <w:szCs w:val="24"/>
              </w:rPr>
              <w:t>4</w:t>
            </w:r>
          </w:p>
        </w:tc>
        <w:tc>
          <w:tcPr>
            <w:tcW w:w="367" w:type="pct"/>
            <w:shd w:val="clear" w:color="auto" w:fill="auto"/>
            <w:vAlign w:val="center"/>
            <w:hideMark/>
          </w:tcPr>
          <w:p w14:paraId="288C743A" w14:textId="77777777" w:rsidR="00316DE1" w:rsidRPr="00F671A4" w:rsidRDefault="00316DE1" w:rsidP="00527858">
            <w:pPr>
              <w:jc w:val="center"/>
              <w:rPr>
                <w:rFonts w:cs="Times New Roman"/>
                <w:szCs w:val="24"/>
              </w:rPr>
            </w:pPr>
            <w:r w:rsidRPr="00F671A4">
              <w:rPr>
                <w:rFonts w:cs="Times New Roman"/>
                <w:szCs w:val="24"/>
              </w:rPr>
              <w:t>5</w:t>
            </w:r>
          </w:p>
        </w:tc>
        <w:tc>
          <w:tcPr>
            <w:tcW w:w="413" w:type="pct"/>
            <w:shd w:val="clear" w:color="auto" w:fill="auto"/>
            <w:vAlign w:val="center"/>
            <w:hideMark/>
          </w:tcPr>
          <w:p w14:paraId="2F53A5C5" w14:textId="77777777" w:rsidR="00316DE1" w:rsidRPr="00F671A4" w:rsidRDefault="00316DE1" w:rsidP="00527858">
            <w:pPr>
              <w:jc w:val="center"/>
              <w:rPr>
                <w:rFonts w:cs="Times New Roman"/>
                <w:szCs w:val="24"/>
              </w:rPr>
            </w:pPr>
            <w:r w:rsidRPr="00F671A4">
              <w:rPr>
                <w:rFonts w:cs="Times New Roman"/>
                <w:szCs w:val="24"/>
              </w:rPr>
              <w:t>6</w:t>
            </w:r>
          </w:p>
        </w:tc>
        <w:tc>
          <w:tcPr>
            <w:tcW w:w="413" w:type="pct"/>
            <w:shd w:val="clear" w:color="auto" w:fill="auto"/>
            <w:vAlign w:val="center"/>
            <w:hideMark/>
          </w:tcPr>
          <w:p w14:paraId="370B4218" w14:textId="77777777" w:rsidR="00316DE1" w:rsidRPr="00F671A4" w:rsidRDefault="00316DE1" w:rsidP="00527858">
            <w:pPr>
              <w:jc w:val="center"/>
              <w:rPr>
                <w:rFonts w:cs="Times New Roman"/>
                <w:szCs w:val="24"/>
              </w:rPr>
            </w:pPr>
            <w:r w:rsidRPr="00F671A4">
              <w:rPr>
                <w:rFonts w:cs="Times New Roman"/>
                <w:szCs w:val="24"/>
              </w:rPr>
              <w:t>7</w:t>
            </w:r>
          </w:p>
        </w:tc>
        <w:tc>
          <w:tcPr>
            <w:tcW w:w="413" w:type="pct"/>
            <w:shd w:val="clear" w:color="auto" w:fill="auto"/>
            <w:vAlign w:val="center"/>
            <w:hideMark/>
          </w:tcPr>
          <w:p w14:paraId="45F37027" w14:textId="77777777" w:rsidR="00316DE1" w:rsidRPr="00F671A4" w:rsidRDefault="00316DE1" w:rsidP="00527858">
            <w:pPr>
              <w:jc w:val="center"/>
              <w:rPr>
                <w:rFonts w:cs="Times New Roman"/>
                <w:szCs w:val="24"/>
              </w:rPr>
            </w:pPr>
            <w:r w:rsidRPr="00F671A4">
              <w:rPr>
                <w:rFonts w:cs="Times New Roman"/>
                <w:szCs w:val="24"/>
              </w:rPr>
              <w:t>8</w:t>
            </w:r>
          </w:p>
        </w:tc>
      </w:tr>
      <w:tr w:rsidR="00225112" w:rsidRPr="00F671A4" w14:paraId="22771281" w14:textId="77777777" w:rsidTr="00225112">
        <w:trPr>
          <w:trHeight w:val="20"/>
        </w:trPr>
        <w:tc>
          <w:tcPr>
            <w:tcW w:w="1297" w:type="pct"/>
            <w:shd w:val="clear" w:color="auto" w:fill="auto"/>
            <w:vAlign w:val="center"/>
            <w:hideMark/>
          </w:tcPr>
          <w:p w14:paraId="6FFF36E7" w14:textId="47F4315E" w:rsidR="00316DE1" w:rsidRPr="00F671A4" w:rsidRDefault="00316DE1" w:rsidP="00316DE1">
            <w:pPr>
              <w:jc w:val="left"/>
              <w:rPr>
                <w:rFonts w:cs="Times New Roman"/>
                <w:szCs w:val="24"/>
              </w:rPr>
            </w:pPr>
            <w:r w:rsidRPr="00F671A4">
              <w:rPr>
                <w:rFonts w:cs="Times New Roman"/>
                <w:szCs w:val="24"/>
              </w:rPr>
              <w:t xml:space="preserve">(1) </w:t>
            </w:r>
            <w:r w:rsidR="00E97241" w:rsidRPr="00F671A4">
              <w:rPr>
                <w:rFonts w:cs="Times New Roman"/>
                <w:szCs w:val="24"/>
              </w:rPr>
              <w:t>Fatiga emocional</w:t>
            </w:r>
          </w:p>
        </w:tc>
        <w:tc>
          <w:tcPr>
            <w:tcW w:w="390" w:type="pct"/>
            <w:shd w:val="clear" w:color="auto" w:fill="auto"/>
            <w:noWrap/>
            <w:vAlign w:val="center"/>
            <w:hideMark/>
          </w:tcPr>
          <w:p w14:paraId="2CEA1C21" w14:textId="77777777" w:rsidR="00316DE1" w:rsidRPr="00F671A4" w:rsidRDefault="00316DE1" w:rsidP="00527858">
            <w:pPr>
              <w:jc w:val="center"/>
              <w:rPr>
                <w:rFonts w:cs="Times New Roman"/>
                <w:szCs w:val="24"/>
              </w:rPr>
            </w:pPr>
            <w:r w:rsidRPr="00F671A4">
              <w:rPr>
                <w:rFonts w:cs="Times New Roman"/>
                <w:szCs w:val="24"/>
              </w:rPr>
              <w:t>25.28</w:t>
            </w:r>
          </w:p>
        </w:tc>
        <w:tc>
          <w:tcPr>
            <w:tcW w:w="321" w:type="pct"/>
            <w:shd w:val="clear" w:color="auto" w:fill="auto"/>
            <w:noWrap/>
            <w:vAlign w:val="center"/>
            <w:hideMark/>
          </w:tcPr>
          <w:p w14:paraId="2C45DA28" w14:textId="77777777" w:rsidR="00316DE1" w:rsidRPr="00F671A4" w:rsidRDefault="00316DE1" w:rsidP="00527858">
            <w:pPr>
              <w:jc w:val="center"/>
              <w:rPr>
                <w:rFonts w:cs="Times New Roman"/>
                <w:szCs w:val="24"/>
              </w:rPr>
            </w:pPr>
            <w:r w:rsidRPr="00F671A4">
              <w:rPr>
                <w:rFonts w:cs="Times New Roman"/>
                <w:szCs w:val="24"/>
              </w:rPr>
              <w:t>7.43</w:t>
            </w:r>
          </w:p>
        </w:tc>
        <w:tc>
          <w:tcPr>
            <w:tcW w:w="149" w:type="pct"/>
            <w:shd w:val="clear" w:color="auto" w:fill="auto"/>
            <w:noWrap/>
            <w:vAlign w:val="center"/>
            <w:hideMark/>
          </w:tcPr>
          <w:p w14:paraId="0ECF04E7"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36FBD9A0" w14:textId="77777777" w:rsidR="00316DE1" w:rsidRPr="00F671A4" w:rsidRDefault="00316DE1" w:rsidP="00527858">
            <w:pPr>
              <w:jc w:val="center"/>
              <w:rPr>
                <w:rFonts w:cs="Times New Roman"/>
                <w:szCs w:val="24"/>
              </w:rPr>
            </w:pPr>
            <w:r w:rsidRPr="00F671A4">
              <w:rPr>
                <w:rFonts w:cs="Times New Roman"/>
                <w:szCs w:val="24"/>
              </w:rPr>
              <w:t>.327</w:t>
            </w:r>
            <w:r w:rsidRPr="00F671A4">
              <w:rPr>
                <w:rFonts w:cs="Times New Roman"/>
                <w:szCs w:val="24"/>
                <w:vertAlign w:val="superscript"/>
              </w:rPr>
              <w:t>**</w:t>
            </w:r>
          </w:p>
        </w:tc>
        <w:tc>
          <w:tcPr>
            <w:tcW w:w="413" w:type="pct"/>
            <w:shd w:val="clear" w:color="auto" w:fill="auto"/>
            <w:noWrap/>
            <w:vAlign w:val="center"/>
            <w:hideMark/>
          </w:tcPr>
          <w:p w14:paraId="76D8A271" w14:textId="77777777" w:rsidR="00316DE1" w:rsidRPr="00F671A4" w:rsidRDefault="00316DE1" w:rsidP="00527858">
            <w:pPr>
              <w:jc w:val="center"/>
              <w:rPr>
                <w:rFonts w:cs="Times New Roman"/>
                <w:szCs w:val="24"/>
              </w:rPr>
            </w:pPr>
            <w:r w:rsidRPr="00F671A4">
              <w:rPr>
                <w:rFonts w:cs="Times New Roman"/>
                <w:szCs w:val="24"/>
              </w:rPr>
              <w:t>.183</w:t>
            </w:r>
          </w:p>
        </w:tc>
        <w:tc>
          <w:tcPr>
            <w:tcW w:w="413" w:type="pct"/>
            <w:shd w:val="clear" w:color="auto" w:fill="auto"/>
            <w:noWrap/>
            <w:vAlign w:val="center"/>
            <w:hideMark/>
          </w:tcPr>
          <w:p w14:paraId="6FDCC8A7" w14:textId="77777777" w:rsidR="00316DE1" w:rsidRPr="00F671A4" w:rsidRDefault="00316DE1" w:rsidP="00527858">
            <w:pPr>
              <w:jc w:val="center"/>
              <w:rPr>
                <w:rFonts w:cs="Times New Roman"/>
                <w:szCs w:val="24"/>
              </w:rPr>
            </w:pPr>
            <w:r w:rsidRPr="00F671A4">
              <w:rPr>
                <w:rFonts w:cs="Times New Roman"/>
                <w:szCs w:val="24"/>
              </w:rPr>
              <w:t>.345</w:t>
            </w:r>
            <w:r w:rsidRPr="00F671A4">
              <w:rPr>
                <w:rFonts w:cs="Times New Roman"/>
                <w:szCs w:val="24"/>
                <w:vertAlign w:val="superscript"/>
              </w:rPr>
              <w:t>**</w:t>
            </w:r>
          </w:p>
        </w:tc>
        <w:tc>
          <w:tcPr>
            <w:tcW w:w="367" w:type="pct"/>
            <w:shd w:val="clear" w:color="auto" w:fill="auto"/>
            <w:noWrap/>
            <w:vAlign w:val="center"/>
            <w:hideMark/>
          </w:tcPr>
          <w:p w14:paraId="040A9566" w14:textId="77777777" w:rsidR="00316DE1" w:rsidRPr="00F671A4" w:rsidRDefault="00316DE1" w:rsidP="00527858">
            <w:pPr>
              <w:jc w:val="center"/>
              <w:rPr>
                <w:rFonts w:cs="Times New Roman"/>
                <w:szCs w:val="24"/>
              </w:rPr>
            </w:pPr>
            <w:r w:rsidRPr="00F671A4">
              <w:rPr>
                <w:rFonts w:cs="Times New Roman"/>
                <w:szCs w:val="24"/>
              </w:rPr>
              <w:t>-.084</w:t>
            </w:r>
          </w:p>
        </w:tc>
        <w:tc>
          <w:tcPr>
            <w:tcW w:w="413" w:type="pct"/>
            <w:shd w:val="clear" w:color="auto" w:fill="auto"/>
            <w:noWrap/>
            <w:vAlign w:val="center"/>
            <w:hideMark/>
          </w:tcPr>
          <w:p w14:paraId="25121EBB" w14:textId="77777777" w:rsidR="00316DE1" w:rsidRPr="00F671A4" w:rsidRDefault="00316DE1" w:rsidP="00527858">
            <w:pPr>
              <w:jc w:val="center"/>
              <w:rPr>
                <w:rFonts w:cs="Times New Roman"/>
                <w:szCs w:val="24"/>
              </w:rPr>
            </w:pPr>
            <w:r w:rsidRPr="00F671A4">
              <w:rPr>
                <w:rFonts w:cs="Times New Roman"/>
                <w:szCs w:val="24"/>
              </w:rPr>
              <w:t>-.022</w:t>
            </w:r>
          </w:p>
        </w:tc>
        <w:tc>
          <w:tcPr>
            <w:tcW w:w="413" w:type="pct"/>
            <w:shd w:val="clear" w:color="auto" w:fill="auto"/>
            <w:noWrap/>
            <w:vAlign w:val="center"/>
            <w:hideMark/>
          </w:tcPr>
          <w:p w14:paraId="4331BA02" w14:textId="77777777" w:rsidR="00316DE1" w:rsidRPr="00F671A4" w:rsidRDefault="00316DE1" w:rsidP="00527858">
            <w:pPr>
              <w:jc w:val="center"/>
              <w:rPr>
                <w:rFonts w:cs="Times New Roman"/>
                <w:szCs w:val="24"/>
              </w:rPr>
            </w:pPr>
            <w:r w:rsidRPr="00F671A4">
              <w:rPr>
                <w:rFonts w:cs="Times New Roman"/>
                <w:szCs w:val="24"/>
              </w:rPr>
              <w:t>-.067</w:t>
            </w:r>
          </w:p>
        </w:tc>
        <w:tc>
          <w:tcPr>
            <w:tcW w:w="413" w:type="pct"/>
            <w:shd w:val="clear" w:color="auto" w:fill="auto"/>
            <w:noWrap/>
            <w:vAlign w:val="center"/>
            <w:hideMark/>
          </w:tcPr>
          <w:p w14:paraId="65B9C2E7" w14:textId="77777777" w:rsidR="00316DE1" w:rsidRPr="00F671A4" w:rsidRDefault="00316DE1" w:rsidP="00527858">
            <w:pPr>
              <w:jc w:val="center"/>
              <w:rPr>
                <w:rFonts w:cs="Times New Roman"/>
                <w:szCs w:val="24"/>
              </w:rPr>
            </w:pPr>
            <w:r w:rsidRPr="00F671A4">
              <w:rPr>
                <w:rFonts w:cs="Times New Roman"/>
                <w:szCs w:val="24"/>
              </w:rPr>
              <w:t>-.130</w:t>
            </w:r>
          </w:p>
        </w:tc>
      </w:tr>
      <w:tr w:rsidR="00225112" w:rsidRPr="00F671A4" w14:paraId="3846D539" w14:textId="77777777" w:rsidTr="00225112">
        <w:trPr>
          <w:trHeight w:val="20"/>
        </w:trPr>
        <w:tc>
          <w:tcPr>
            <w:tcW w:w="1297" w:type="pct"/>
            <w:shd w:val="clear" w:color="auto" w:fill="auto"/>
            <w:vAlign w:val="center"/>
            <w:hideMark/>
          </w:tcPr>
          <w:p w14:paraId="4D0D98A2" w14:textId="77777777" w:rsidR="00316DE1" w:rsidRPr="00F671A4" w:rsidRDefault="00316DE1" w:rsidP="00316DE1">
            <w:pPr>
              <w:jc w:val="left"/>
              <w:rPr>
                <w:rFonts w:cs="Times New Roman"/>
                <w:szCs w:val="24"/>
              </w:rPr>
            </w:pPr>
            <w:r w:rsidRPr="00F671A4">
              <w:rPr>
                <w:rFonts w:cs="Times New Roman"/>
                <w:szCs w:val="24"/>
              </w:rPr>
              <w:t>(2) Regulación emocional</w:t>
            </w:r>
          </w:p>
        </w:tc>
        <w:tc>
          <w:tcPr>
            <w:tcW w:w="390" w:type="pct"/>
            <w:shd w:val="clear" w:color="auto" w:fill="auto"/>
            <w:noWrap/>
            <w:vAlign w:val="center"/>
            <w:hideMark/>
          </w:tcPr>
          <w:p w14:paraId="1DA55A6B" w14:textId="77777777" w:rsidR="00316DE1" w:rsidRPr="00F671A4" w:rsidRDefault="00316DE1" w:rsidP="00527858">
            <w:pPr>
              <w:jc w:val="center"/>
              <w:rPr>
                <w:rFonts w:cs="Times New Roman"/>
                <w:szCs w:val="24"/>
              </w:rPr>
            </w:pPr>
            <w:r w:rsidRPr="00F671A4">
              <w:rPr>
                <w:rFonts w:cs="Times New Roman"/>
                <w:szCs w:val="24"/>
              </w:rPr>
              <w:t>42.68</w:t>
            </w:r>
          </w:p>
        </w:tc>
        <w:tc>
          <w:tcPr>
            <w:tcW w:w="321" w:type="pct"/>
            <w:shd w:val="clear" w:color="auto" w:fill="auto"/>
            <w:noWrap/>
            <w:vAlign w:val="center"/>
            <w:hideMark/>
          </w:tcPr>
          <w:p w14:paraId="6B8A6CFF" w14:textId="77777777" w:rsidR="00316DE1" w:rsidRPr="00F671A4" w:rsidRDefault="00316DE1" w:rsidP="00527858">
            <w:pPr>
              <w:jc w:val="center"/>
              <w:rPr>
                <w:rFonts w:cs="Times New Roman"/>
                <w:szCs w:val="24"/>
              </w:rPr>
            </w:pPr>
            <w:r w:rsidRPr="00F671A4">
              <w:rPr>
                <w:rFonts w:cs="Times New Roman"/>
                <w:szCs w:val="24"/>
              </w:rPr>
              <w:t>9.63</w:t>
            </w:r>
          </w:p>
        </w:tc>
        <w:tc>
          <w:tcPr>
            <w:tcW w:w="149" w:type="pct"/>
            <w:shd w:val="clear" w:color="auto" w:fill="auto"/>
            <w:noWrap/>
            <w:vAlign w:val="center"/>
            <w:hideMark/>
          </w:tcPr>
          <w:p w14:paraId="38846055"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97073B8"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7A1447AF" w14:textId="77777777" w:rsidR="00316DE1" w:rsidRPr="00F671A4" w:rsidRDefault="00316DE1" w:rsidP="00527858">
            <w:pPr>
              <w:jc w:val="center"/>
              <w:rPr>
                <w:rFonts w:cs="Times New Roman"/>
                <w:szCs w:val="24"/>
              </w:rPr>
            </w:pPr>
            <w:r w:rsidRPr="00F671A4">
              <w:rPr>
                <w:rFonts w:cs="Times New Roman"/>
                <w:szCs w:val="24"/>
              </w:rPr>
              <w:t>.849</w:t>
            </w:r>
            <w:r w:rsidRPr="00F671A4">
              <w:rPr>
                <w:rFonts w:cs="Times New Roman"/>
                <w:szCs w:val="24"/>
                <w:vertAlign w:val="superscript"/>
              </w:rPr>
              <w:t>**</w:t>
            </w:r>
          </w:p>
        </w:tc>
        <w:tc>
          <w:tcPr>
            <w:tcW w:w="413" w:type="pct"/>
            <w:shd w:val="clear" w:color="auto" w:fill="auto"/>
            <w:noWrap/>
            <w:vAlign w:val="center"/>
            <w:hideMark/>
          </w:tcPr>
          <w:p w14:paraId="770F0FB7" w14:textId="77777777" w:rsidR="00316DE1" w:rsidRPr="00F671A4" w:rsidRDefault="00316DE1" w:rsidP="00527858">
            <w:pPr>
              <w:jc w:val="center"/>
              <w:rPr>
                <w:rFonts w:cs="Times New Roman"/>
                <w:szCs w:val="24"/>
              </w:rPr>
            </w:pPr>
            <w:r w:rsidRPr="00F671A4">
              <w:rPr>
                <w:rFonts w:cs="Times New Roman"/>
                <w:szCs w:val="24"/>
              </w:rPr>
              <w:t>.656</w:t>
            </w:r>
            <w:r w:rsidRPr="00F671A4">
              <w:rPr>
                <w:rFonts w:cs="Times New Roman"/>
                <w:szCs w:val="24"/>
                <w:vertAlign w:val="superscript"/>
              </w:rPr>
              <w:t>**</w:t>
            </w:r>
          </w:p>
        </w:tc>
        <w:tc>
          <w:tcPr>
            <w:tcW w:w="367" w:type="pct"/>
            <w:shd w:val="clear" w:color="auto" w:fill="auto"/>
            <w:noWrap/>
            <w:vAlign w:val="center"/>
            <w:hideMark/>
          </w:tcPr>
          <w:p w14:paraId="17DAC529" w14:textId="77777777" w:rsidR="00316DE1" w:rsidRPr="00F671A4" w:rsidRDefault="00316DE1" w:rsidP="00527858">
            <w:pPr>
              <w:jc w:val="center"/>
              <w:rPr>
                <w:rFonts w:cs="Times New Roman"/>
                <w:szCs w:val="24"/>
              </w:rPr>
            </w:pPr>
            <w:r w:rsidRPr="00F671A4">
              <w:rPr>
                <w:rFonts w:cs="Times New Roman"/>
                <w:szCs w:val="24"/>
              </w:rPr>
              <w:t>.030</w:t>
            </w:r>
          </w:p>
        </w:tc>
        <w:tc>
          <w:tcPr>
            <w:tcW w:w="413" w:type="pct"/>
            <w:shd w:val="clear" w:color="auto" w:fill="auto"/>
            <w:noWrap/>
            <w:vAlign w:val="center"/>
            <w:hideMark/>
          </w:tcPr>
          <w:p w14:paraId="3ECA7C1A" w14:textId="77777777" w:rsidR="00316DE1" w:rsidRPr="00F671A4" w:rsidRDefault="00316DE1" w:rsidP="00527858">
            <w:pPr>
              <w:jc w:val="center"/>
              <w:rPr>
                <w:rFonts w:cs="Times New Roman"/>
                <w:szCs w:val="24"/>
              </w:rPr>
            </w:pPr>
            <w:r w:rsidRPr="00F671A4">
              <w:rPr>
                <w:rFonts w:cs="Times New Roman"/>
                <w:szCs w:val="24"/>
              </w:rPr>
              <w:t>.090</w:t>
            </w:r>
          </w:p>
        </w:tc>
        <w:tc>
          <w:tcPr>
            <w:tcW w:w="413" w:type="pct"/>
            <w:shd w:val="clear" w:color="auto" w:fill="auto"/>
            <w:noWrap/>
            <w:vAlign w:val="center"/>
            <w:hideMark/>
          </w:tcPr>
          <w:p w14:paraId="7907D2D9" w14:textId="77777777" w:rsidR="00316DE1" w:rsidRPr="00F671A4" w:rsidRDefault="00316DE1" w:rsidP="00527858">
            <w:pPr>
              <w:jc w:val="center"/>
              <w:rPr>
                <w:rFonts w:cs="Times New Roman"/>
                <w:szCs w:val="24"/>
              </w:rPr>
            </w:pPr>
            <w:r w:rsidRPr="00F671A4">
              <w:rPr>
                <w:rFonts w:cs="Times New Roman"/>
                <w:szCs w:val="24"/>
              </w:rPr>
              <w:t>-.012</w:t>
            </w:r>
          </w:p>
        </w:tc>
        <w:tc>
          <w:tcPr>
            <w:tcW w:w="413" w:type="pct"/>
            <w:shd w:val="clear" w:color="auto" w:fill="auto"/>
            <w:noWrap/>
            <w:vAlign w:val="center"/>
            <w:hideMark/>
          </w:tcPr>
          <w:p w14:paraId="3C30D421" w14:textId="77777777" w:rsidR="00316DE1" w:rsidRPr="00F671A4" w:rsidRDefault="00316DE1" w:rsidP="00527858">
            <w:pPr>
              <w:jc w:val="center"/>
              <w:rPr>
                <w:rFonts w:cs="Times New Roman"/>
                <w:szCs w:val="24"/>
              </w:rPr>
            </w:pPr>
            <w:r w:rsidRPr="00F671A4">
              <w:rPr>
                <w:rFonts w:cs="Times New Roman"/>
                <w:szCs w:val="24"/>
              </w:rPr>
              <w:t>.017</w:t>
            </w:r>
          </w:p>
        </w:tc>
      </w:tr>
      <w:tr w:rsidR="00225112" w:rsidRPr="00F671A4" w14:paraId="127D869F" w14:textId="77777777" w:rsidTr="00225112">
        <w:trPr>
          <w:trHeight w:val="20"/>
        </w:trPr>
        <w:tc>
          <w:tcPr>
            <w:tcW w:w="1297" w:type="pct"/>
            <w:shd w:val="clear" w:color="auto" w:fill="auto"/>
            <w:vAlign w:val="center"/>
            <w:hideMark/>
          </w:tcPr>
          <w:p w14:paraId="106EC061" w14:textId="77777777" w:rsidR="00316DE1" w:rsidRPr="00F671A4" w:rsidRDefault="00316DE1" w:rsidP="00316DE1">
            <w:pPr>
              <w:jc w:val="left"/>
              <w:rPr>
                <w:rFonts w:cs="Times New Roman"/>
                <w:szCs w:val="24"/>
              </w:rPr>
            </w:pPr>
            <w:r w:rsidRPr="00F671A4">
              <w:rPr>
                <w:rFonts w:cs="Times New Roman"/>
                <w:szCs w:val="24"/>
              </w:rPr>
              <w:t>(3) Reevaluación cognitiva</w:t>
            </w:r>
          </w:p>
        </w:tc>
        <w:tc>
          <w:tcPr>
            <w:tcW w:w="390" w:type="pct"/>
            <w:shd w:val="clear" w:color="auto" w:fill="auto"/>
            <w:noWrap/>
            <w:vAlign w:val="center"/>
            <w:hideMark/>
          </w:tcPr>
          <w:p w14:paraId="03D70675" w14:textId="77777777" w:rsidR="00316DE1" w:rsidRPr="00F671A4" w:rsidRDefault="00316DE1" w:rsidP="00527858">
            <w:pPr>
              <w:jc w:val="center"/>
              <w:rPr>
                <w:rFonts w:cs="Times New Roman"/>
                <w:szCs w:val="24"/>
              </w:rPr>
            </w:pPr>
            <w:r w:rsidRPr="00F671A4">
              <w:rPr>
                <w:rFonts w:cs="Times New Roman"/>
                <w:szCs w:val="24"/>
              </w:rPr>
              <w:t>28.45</w:t>
            </w:r>
          </w:p>
        </w:tc>
        <w:tc>
          <w:tcPr>
            <w:tcW w:w="321" w:type="pct"/>
            <w:shd w:val="clear" w:color="auto" w:fill="auto"/>
            <w:noWrap/>
            <w:vAlign w:val="center"/>
            <w:hideMark/>
          </w:tcPr>
          <w:p w14:paraId="6B1F7956" w14:textId="77777777" w:rsidR="00316DE1" w:rsidRPr="00F671A4" w:rsidRDefault="00316DE1" w:rsidP="00527858">
            <w:pPr>
              <w:jc w:val="center"/>
              <w:rPr>
                <w:rFonts w:cs="Times New Roman"/>
                <w:szCs w:val="24"/>
              </w:rPr>
            </w:pPr>
            <w:r w:rsidRPr="00F671A4">
              <w:rPr>
                <w:rFonts w:cs="Times New Roman"/>
                <w:szCs w:val="24"/>
              </w:rPr>
              <w:t>7.18</w:t>
            </w:r>
          </w:p>
        </w:tc>
        <w:tc>
          <w:tcPr>
            <w:tcW w:w="149" w:type="pct"/>
            <w:shd w:val="clear" w:color="auto" w:fill="auto"/>
            <w:noWrap/>
            <w:vAlign w:val="center"/>
            <w:hideMark/>
          </w:tcPr>
          <w:p w14:paraId="317ED958"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6A64DD9B"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3A967EF1"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3A90B227" w14:textId="77777777" w:rsidR="00316DE1" w:rsidRPr="00F671A4" w:rsidRDefault="00316DE1" w:rsidP="00527858">
            <w:pPr>
              <w:jc w:val="center"/>
              <w:rPr>
                <w:rFonts w:cs="Times New Roman"/>
                <w:szCs w:val="24"/>
              </w:rPr>
            </w:pPr>
            <w:r w:rsidRPr="00F671A4">
              <w:rPr>
                <w:rFonts w:cs="Times New Roman"/>
                <w:szCs w:val="24"/>
              </w:rPr>
              <w:t>.214</w:t>
            </w:r>
          </w:p>
        </w:tc>
        <w:tc>
          <w:tcPr>
            <w:tcW w:w="367" w:type="pct"/>
            <w:shd w:val="clear" w:color="auto" w:fill="auto"/>
            <w:noWrap/>
            <w:vAlign w:val="center"/>
            <w:hideMark/>
          </w:tcPr>
          <w:p w14:paraId="5C0F4A66" w14:textId="77777777" w:rsidR="00316DE1" w:rsidRPr="00F671A4" w:rsidRDefault="00316DE1" w:rsidP="00527858">
            <w:pPr>
              <w:jc w:val="center"/>
              <w:rPr>
                <w:rFonts w:cs="Times New Roman"/>
                <w:szCs w:val="24"/>
              </w:rPr>
            </w:pPr>
            <w:r w:rsidRPr="00F671A4">
              <w:rPr>
                <w:rFonts w:cs="Times New Roman"/>
                <w:szCs w:val="24"/>
              </w:rPr>
              <w:t>.165</w:t>
            </w:r>
          </w:p>
        </w:tc>
        <w:tc>
          <w:tcPr>
            <w:tcW w:w="413" w:type="pct"/>
            <w:shd w:val="clear" w:color="auto" w:fill="auto"/>
            <w:noWrap/>
            <w:vAlign w:val="center"/>
            <w:hideMark/>
          </w:tcPr>
          <w:p w14:paraId="51A608CA" w14:textId="77777777" w:rsidR="00316DE1" w:rsidRPr="00F671A4" w:rsidRDefault="00316DE1" w:rsidP="00527858">
            <w:pPr>
              <w:jc w:val="center"/>
              <w:rPr>
                <w:rFonts w:cs="Times New Roman"/>
                <w:szCs w:val="24"/>
              </w:rPr>
            </w:pPr>
            <w:r w:rsidRPr="00F671A4">
              <w:rPr>
                <w:rFonts w:cs="Times New Roman"/>
                <w:szCs w:val="24"/>
              </w:rPr>
              <w:t>.188</w:t>
            </w:r>
          </w:p>
        </w:tc>
        <w:tc>
          <w:tcPr>
            <w:tcW w:w="413" w:type="pct"/>
            <w:shd w:val="clear" w:color="auto" w:fill="auto"/>
            <w:noWrap/>
            <w:vAlign w:val="center"/>
            <w:hideMark/>
          </w:tcPr>
          <w:p w14:paraId="69AC1023" w14:textId="77777777" w:rsidR="00316DE1" w:rsidRPr="00F671A4" w:rsidRDefault="00316DE1" w:rsidP="00527858">
            <w:pPr>
              <w:jc w:val="center"/>
              <w:rPr>
                <w:rFonts w:cs="Times New Roman"/>
                <w:szCs w:val="24"/>
              </w:rPr>
            </w:pPr>
            <w:r w:rsidRPr="00F671A4">
              <w:rPr>
                <w:rFonts w:cs="Times New Roman"/>
                <w:szCs w:val="24"/>
              </w:rPr>
              <w:t>.113</w:t>
            </w:r>
          </w:p>
        </w:tc>
        <w:tc>
          <w:tcPr>
            <w:tcW w:w="413" w:type="pct"/>
            <w:shd w:val="clear" w:color="auto" w:fill="auto"/>
            <w:noWrap/>
            <w:vAlign w:val="center"/>
            <w:hideMark/>
          </w:tcPr>
          <w:p w14:paraId="08F3F7FE" w14:textId="77777777" w:rsidR="00316DE1" w:rsidRPr="00F671A4" w:rsidRDefault="00316DE1" w:rsidP="00527858">
            <w:pPr>
              <w:jc w:val="center"/>
              <w:rPr>
                <w:rFonts w:cs="Times New Roman"/>
                <w:szCs w:val="24"/>
              </w:rPr>
            </w:pPr>
            <w:r w:rsidRPr="00F671A4">
              <w:rPr>
                <w:rFonts w:cs="Times New Roman"/>
                <w:szCs w:val="24"/>
              </w:rPr>
              <w:t>.126</w:t>
            </w:r>
          </w:p>
        </w:tc>
      </w:tr>
      <w:tr w:rsidR="00225112" w:rsidRPr="00F671A4" w14:paraId="3D5CF646" w14:textId="77777777" w:rsidTr="00225112">
        <w:trPr>
          <w:trHeight w:val="20"/>
        </w:trPr>
        <w:tc>
          <w:tcPr>
            <w:tcW w:w="1297" w:type="pct"/>
            <w:shd w:val="clear" w:color="auto" w:fill="auto"/>
            <w:vAlign w:val="center"/>
            <w:hideMark/>
          </w:tcPr>
          <w:p w14:paraId="74A22FD7" w14:textId="77777777" w:rsidR="00316DE1" w:rsidRPr="00F671A4" w:rsidRDefault="00316DE1" w:rsidP="00316DE1">
            <w:pPr>
              <w:jc w:val="left"/>
              <w:rPr>
                <w:rFonts w:cs="Times New Roman"/>
                <w:szCs w:val="24"/>
              </w:rPr>
            </w:pPr>
            <w:r w:rsidRPr="00F671A4">
              <w:rPr>
                <w:rFonts w:cs="Times New Roman"/>
                <w:szCs w:val="24"/>
              </w:rPr>
              <w:t>(4) Supresión</w:t>
            </w:r>
          </w:p>
        </w:tc>
        <w:tc>
          <w:tcPr>
            <w:tcW w:w="390" w:type="pct"/>
            <w:shd w:val="clear" w:color="auto" w:fill="auto"/>
            <w:noWrap/>
            <w:vAlign w:val="center"/>
            <w:hideMark/>
          </w:tcPr>
          <w:p w14:paraId="0D124026" w14:textId="77777777" w:rsidR="00316DE1" w:rsidRPr="00F671A4" w:rsidRDefault="00316DE1" w:rsidP="00527858">
            <w:pPr>
              <w:jc w:val="center"/>
              <w:rPr>
                <w:rFonts w:cs="Times New Roman"/>
                <w:szCs w:val="24"/>
              </w:rPr>
            </w:pPr>
            <w:r w:rsidRPr="00F671A4">
              <w:rPr>
                <w:rFonts w:cs="Times New Roman"/>
                <w:szCs w:val="24"/>
              </w:rPr>
              <w:t>14.24</w:t>
            </w:r>
          </w:p>
        </w:tc>
        <w:tc>
          <w:tcPr>
            <w:tcW w:w="321" w:type="pct"/>
            <w:shd w:val="clear" w:color="auto" w:fill="auto"/>
            <w:noWrap/>
            <w:vAlign w:val="center"/>
            <w:hideMark/>
          </w:tcPr>
          <w:p w14:paraId="10339ACB" w14:textId="77777777" w:rsidR="00316DE1" w:rsidRPr="00F671A4" w:rsidRDefault="00316DE1" w:rsidP="00527858">
            <w:pPr>
              <w:jc w:val="center"/>
              <w:rPr>
                <w:rFonts w:cs="Times New Roman"/>
                <w:szCs w:val="24"/>
              </w:rPr>
            </w:pPr>
            <w:r w:rsidRPr="00F671A4">
              <w:rPr>
                <w:rFonts w:cs="Times New Roman"/>
                <w:szCs w:val="24"/>
              </w:rPr>
              <w:t>5.04</w:t>
            </w:r>
          </w:p>
        </w:tc>
        <w:tc>
          <w:tcPr>
            <w:tcW w:w="149" w:type="pct"/>
            <w:shd w:val="clear" w:color="auto" w:fill="auto"/>
            <w:noWrap/>
            <w:vAlign w:val="center"/>
            <w:hideMark/>
          </w:tcPr>
          <w:p w14:paraId="26C61EF0"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199D91B7"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CEBD99E"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0F086ED3" w14:textId="77777777" w:rsidR="00316DE1" w:rsidRPr="00F671A4" w:rsidRDefault="00316DE1" w:rsidP="00527858">
            <w:pPr>
              <w:jc w:val="center"/>
              <w:rPr>
                <w:rFonts w:cs="Times New Roman"/>
                <w:szCs w:val="24"/>
              </w:rPr>
            </w:pPr>
            <w:r w:rsidRPr="00F671A4">
              <w:rPr>
                <w:rFonts w:cs="Times New Roman"/>
                <w:szCs w:val="24"/>
              </w:rPr>
              <w:t>-</w:t>
            </w:r>
          </w:p>
        </w:tc>
        <w:tc>
          <w:tcPr>
            <w:tcW w:w="367" w:type="pct"/>
            <w:shd w:val="clear" w:color="auto" w:fill="auto"/>
            <w:noWrap/>
            <w:vAlign w:val="center"/>
            <w:hideMark/>
          </w:tcPr>
          <w:p w14:paraId="519041C2" w14:textId="77777777" w:rsidR="00316DE1" w:rsidRPr="00F671A4" w:rsidRDefault="00316DE1" w:rsidP="00527858">
            <w:pPr>
              <w:jc w:val="center"/>
              <w:rPr>
                <w:rFonts w:cs="Times New Roman"/>
                <w:szCs w:val="24"/>
              </w:rPr>
            </w:pPr>
            <w:r w:rsidRPr="00F671A4">
              <w:rPr>
                <w:rFonts w:cs="Times New Roman"/>
                <w:szCs w:val="24"/>
              </w:rPr>
              <w:t>-.191</w:t>
            </w:r>
          </w:p>
        </w:tc>
        <w:tc>
          <w:tcPr>
            <w:tcW w:w="413" w:type="pct"/>
            <w:shd w:val="clear" w:color="auto" w:fill="auto"/>
            <w:noWrap/>
            <w:vAlign w:val="center"/>
            <w:hideMark/>
          </w:tcPr>
          <w:p w14:paraId="263796A8" w14:textId="77777777" w:rsidR="00316DE1" w:rsidRPr="00F671A4" w:rsidRDefault="00316DE1" w:rsidP="00527858">
            <w:pPr>
              <w:jc w:val="center"/>
              <w:rPr>
                <w:rFonts w:cs="Times New Roman"/>
                <w:szCs w:val="24"/>
              </w:rPr>
            </w:pPr>
            <w:r w:rsidRPr="00F671A4">
              <w:rPr>
                <w:rFonts w:cs="Times New Roman"/>
                <w:szCs w:val="24"/>
              </w:rPr>
              <w:t>-.111</w:t>
            </w:r>
          </w:p>
        </w:tc>
        <w:tc>
          <w:tcPr>
            <w:tcW w:w="413" w:type="pct"/>
            <w:shd w:val="clear" w:color="auto" w:fill="auto"/>
            <w:noWrap/>
            <w:vAlign w:val="center"/>
            <w:hideMark/>
          </w:tcPr>
          <w:p w14:paraId="3D9B6314" w14:textId="77777777" w:rsidR="00316DE1" w:rsidRPr="00F671A4" w:rsidRDefault="00316DE1" w:rsidP="00527858">
            <w:pPr>
              <w:jc w:val="center"/>
              <w:rPr>
                <w:rFonts w:cs="Times New Roman"/>
                <w:szCs w:val="24"/>
              </w:rPr>
            </w:pPr>
            <w:r w:rsidRPr="00F671A4">
              <w:rPr>
                <w:rFonts w:cs="Times New Roman"/>
                <w:szCs w:val="24"/>
              </w:rPr>
              <w:t>-.212</w:t>
            </w:r>
          </w:p>
        </w:tc>
        <w:tc>
          <w:tcPr>
            <w:tcW w:w="413" w:type="pct"/>
            <w:shd w:val="clear" w:color="auto" w:fill="auto"/>
            <w:noWrap/>
            <w:vAlign w:val="center"/>
            <w:hideMark/>
          </w:tcPr>
          <w:p w14:paraId="0D34CB03" w14:textId="77777777" w:rsidR="00316DE1" w:rsidRPr="00F671A4" w:rsidRDefault="00316DE1" w:rsidP="00527858">
            <w:pPr>
              <w:jc w:val="center"/>
              <w:rPr>
                <w:rFonts w:cs="Times New Roman"/>
                <w:szCs w:val="24"/>
              </w:rPr>
            </w:pPr>
            <w:r w:rsidRPr="00F671A4">
              <w:rPr>
                <w:rFonts w:cs="Times New Roman"/>
                <w:szCs w:val="24"/>
              </w:rPr>
              <w:t>-.172</w:t>
            </w:r>
          </w:p>
        </w:tc>
      </w:tr>
      <w:tr w:rsidR="00225112" w:rsidRPr="00F671A4" w14:paraId="6C98F4C8" w14:textId="77777777" w:rsidTr="00225112">
        <w:trPr>
          <w:trHeight w:val="20"/>
        </w:trPr>
        <w:tc>
          <w:tcPr>
            <w:tcW w:w="1297" w:type="pct"/>
            <w:shd w:val="clear" w:color="auto" w:fill="auto"/>
            <w:vAlign w:val="center"/>
            <w:hideMark/>
          </w:tcPr>
          <w:p w14:paraId="3260C082" w14:textId="77777777" w:rsidR="00316DE1" w:rsidRPr="00F671A4" w:rsidRDefault="00316DE1" w:rsidP="00316DE1">
            <w:pPr>
              <w:jc w:val="left"/>
              <w:rPr>
                <w:rFonts w:cs="Times New Roman"/>
                <w:szCs w:val="24"/>
              </w:rPr>
            </w:pPr>
            <w:r w:rsidRPr="00F671A4">
              <w:rPr>
                <w:rFonts w:cs="Times New Roman"/>
                <w:szCs w:val="24"/>
              </w:rPr>
              <w:t>(5) Compromiso académico</w:t>
            </w:r>
          </w:p>
        </w:tc>
        <w:tc>
          <w:tcPr>
            <w:tcW w:w="390" w:type="pct"/>
            <w:shd w:val="clear" w:color="auto" w:fill="auto"/>
            <w:noWrap/>
            <w:vAlign w:val="center"/>
            <w:hideMark/>
          </w:tcPr>
          <w:p w14:paraId="44C61657" w14:textId="77777777" w:rsidR="00316DE1" w:rsidRPr="00F671A4" w:rsidRDefault="00316DE1" w:rsidP="00527858">
            <w:pPr>
              <w:jc w:val="center"/>
              <w:rPr>
                <w:rFonts w:cs="Times New Roman"/>
                <w:szCs w:val="24"/>
              </w:rPr>
            </w:pPr>
            <w:r w:rsidRPr="00F671A4">
              <w:rPr>
                <w:rFonts w:cs="Times New Roman"/>
                <w:szCs w:val="24"/>
              </w:rPr>
              <w:t>47.83</w:t>
            </w:r>
          </w:p>
        </w:tc>
        <w:tc>
          <w:tcPr>
            <w:tcW w:w="321" w:type="pct"/>
            <w:shd w:val="clear" w:color="auto" w:fill="auto"/>
            <w:noWrap/>
            <w:vAlign w:val="center"/>
            <w:hideMark/>
          </w:tcPr>
          <w:p w14:paraId="7E53DCA5" w14:textId="77777777" w:rsidR="00316DE1" w:rsidRPr="00F671A4" w:rsidRDefault="00316DE1" w:rsidP="00527858">
            <w:pPr>
              <w:jc w:val="center"/>
              <w:rPr>
                <w:rFonts w:cs="Times New Roman"/>
                <w:szCs w:val="24"/>
              </w:rPr>
            </w:pPr>
            <w:r w:rsidRPr="00F671A4">
              <w:rPr>
                <w:rFonts w:cs="Times New Roman"/>
                <w:szCs w:val="24"/>
              </w:rPr>
              <w:t>8.5</w:t>
            </w:r>
          </w:p>
        </w:tc>
        <w:tc>
          <w:tcPr>
            <w:tcW w:w="149" w:type="pct"/>
            <w:shd w:val="clear" w:color="auto" w:fill="auto"/>
            <w:noWrap/>
            <w:vAlign w:val="center"/>
            <w:hideMark/>
          </w:tcPr>
          <w:p w14:paraId="7244AC5C"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F954087"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2BD965AB"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E1E16CE" w14:textId="77777777" w:rsidR="00316DE1" w:rsidRPr="00F671A4" w:rsidRDefault="00316DE1" w:rsidP="00527858">
            <w:pPr>
              <w:jc w:val="center"/>
              <w:rPr>
                <w:rFonts w:cs="Times New Roman"/>
                <w:szCs w:val="24"/>
              </w:rPr>
            </w:pPr>
          </w:p>
        </w:tc>
        <w:tc>
          <w:tcPr>
            <w:tcW w:w="367" w:type="pct"/>
            <w:shd w:val="clear" w:color="auto" w:fill="auto"/>
            <w:noWrap/>
            <w:vAlign w:val="center"/>
            <w:hideMark/>
          </w:tcPr>
          <w:p w14:paraId="735DB3D3"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6CC8A16E" w14:textId="77777777" w:rsidR="00316DE1" w:rsidRPr="00F671A4" w:rsidRDefault="00316DE1" w:rsidP="00527858">
            <w:pPr>
              <w:jc w:val="center"/>
              <w:rPr>
                <w:rFonts w:cs="Times New Roman"/>
                <w:szCs w:val="24"/>
              </w:rPr>
            </w:pPr>
            <w:r w:rsidRPr="00F671A4">
              <w:rPr>
                <w:rFonts w:cs="Times New Roman"/>
                <w:szCs w:val="24"/>
              </w:rPr>
              <w:t>.889</w:t>
            </w:r>
            <w:r w:rsidRPr="00F671A4">
              <w:rPr>
                <w:rFonts w:cs="Times New Roman"/>
                <w:szCs w:val="24"/>
                <w:vertAlign w:val="superscript"/>
              </w:rPr>
              <w:t>**</w:t>
            </w:r>
          </w:p>
        </w:tc>
        <w:tc>
          <w:tcPr>
            <w:tcW w:w="413" w:type="pct"/>
            <w:shd w:val="clear" w:color="auto" w:fill="auto"/>
            <w:noWrap/>
            <w:vAlign w:val="center"/>
            <w:hideMark/>
          </w:tcPr>
          <w:p w14:paraId="67E5FBDC" w14:textId="77777777" w:rsidR="00316DE1" w:rsidRPr="00F671A4" w:rsidRDefault="00316DE1" w:rsidP="00527858">
            <w:pPr>
              <w:jc w:val="center"/>
              <w:rPr>
                <w:rFonts w:cs="Times New Roman"/>
                <w:szCs w:val="24"/>
              </w:rPr>
            </w:pPr>
            <w:r w:rsidRPr="00F671A4">
              <w:rPr>
                <w:rFonts w:cs="Times New Roman"/>
                <w:szCs w:val="24"/>
              </w:rPr>
              <w:t>.912</w:t>
            </w:r>
            <w:r w:rsidRPr="00F671A4">
              <w:rPr>
                <w:rFonts w:cs="Times New Roman"/>
                <w:szCs w:val="24"/>
                <w:vertAlign w:val="superscript"/>
              </w:rPr>
              <w:t>**</w:t>
            </w:r>
          </w:p>
        </w:tc>
        <w:tc>
          <w:tcPr>
            <w:tcW w:w="413" w:type="pct"/>
            <w:shd w:val="clear" w:color="auto" w:fill="auto"/>
            <w:noWrap/>
            <w:vAlign w:val="center"/>
            <w:hideMark/>
          </w:tcPr>
          <w:p w14:paraId="7CFC0D58" w14:textId="77777777" w:rsidR="00316DE1" w:rsidRPr="00F671A4" w:rsidRDefault="00316DE1" w:rsidP="00527858">
            <w:pPr>
              <w:jc w:val="center"/>
              <w:rPr>
                <w:rFonts w:cs="Times New Roman"/>
                <w:szCs w:val="24"/>
              </w:rPr>
            </w:pPr>
            <w:r w:rsidRPr="00F671A4">
              <w:rPr>
                <w:rFonts w:cs="Times New Roman"/>
                <w:szCs w:val="24"/>
              </w:rPr>
              <w:t>.865</w:t>
            </w:r>
            <w:r w:rsidRPr="00F671A4">
              <w:rPr>
                <w:rFonts w:cs="Times New Roman"/>
                <w:szCs w:val="24"/>
                <w:vertAlign w:val="superscript"/>
              </w:rPr>
              <w:t>**</w:t>
            </w:r>
          </w:p>
        </w:tc>
      </w:tr>
      <w:tr w:rsidR="00225112" w:rsidRPr="00F671A4" w14:paraId="3F768745" w14:textId="77777777" w:rsidTr="00225112">
        <w:trPr>
          <w:trHeight w:val="20"/>
        </w:trPr>
        <w:tc>
          <w:tcPr>
            <w:tcW w:w="1297" w:type="pct"/>
            <w:shd w:val="clear" w:color="auto" w:fill="auto"/>
            <w:vAlign w:val="center"/>
            <w:hideMark/>
          </w:tcPr>
          <w:p w14:paraId="42F39AC3" w14:textId="77777777" w:rsidR="00316DE1" w:rsidRPr="00F671A4" w:rsidRDefault="00316DE1" w:rsidP="00316DE1">
            <w:pPr>
              <w:jc w:val="left"/>
              <w:rPr>
                <w:rFonts w:cs="Times New Roman"/>
                <w:szCs w:val="24"/>
              </w:rPr>
            </w:pPr>
            <w:r w:rsidRPr="00F671A4">
              <w:rPr>
                <w:rFonts w:cs="Times New Roman"/>
                <w:szCs w:val="24"/>
              </w:rPr>
              <w:t>(6) Vigor</w:t>
            </w:r>
          </w:p>
        </w:tc>
        <w:tc>
          <w:tcPr>
            <w:tcW w:w="390" w:type="pct"/>
            <w:shd w:val="clear" w:color="auto" w:fill="auto"/>
            <w:noWrap/>
            <w:vAlign w:val="center"/>
            <w:hideMark/>
          </w:tcPr>
          <w:p w14:paraId="1684F94B" w14:textId="77777777" w:rsidR="00316DE1" w:rsidRPr="00F671A4" w:rsidRDefault="00316DE1" w:rsidP="00527858">
            <w:pPr>
              <w:jc w:val="center"/>
              <w:rPr>
                <w:rFonts w:cs="Times New Roman"/>
                <w:szCs w:val="24"/>
              </w:rPr>
            </w:pPr>
            <w:r w:rsidRPr="00F671A4">
              <w:rPr>
                <w:rFonts w:cs="Times New Roman"/>
                <w:szCs w:val="24"/>
              </w:rPr>
              <w:t>14.55</w:t>
            </w:r>
          </w:p>
        </w:tc>
        <w:tc>
          <w:tcPr>
            <w:tcW w:w="321" w:type="pct"/>
            <w:shd w:val="clear" w:color="auto" w:fill="auto"/>
            <w:noWrap/>
            <w:vAlign w:val="center"/>
            <w:hideMark/>
          </w:tcPr>
          <w:p w14:paraId="065C6C8B" w14:textId="77777777" w:rsidR="00316DE1" w:rsidRPr="00F671A4" w:rsidRDefault="00316DE1" w:rsidP="00527858">
            <w:pPr>
              <w:jc w:val="center"/>
              <w:rPr>
                <w:rFonts w:cs="Times New Roman"/>
                <w:szCs w:val="24"/>
              </w:rPr>
            </w:pPr>
            <w:r w:rsidRPr="00F671A4">
              <w:rPr>
                <w:rFonts w:cs="Times New Roman"/>
                <w:szCs w:val="24"/>
              </w:rPr>
              <w:t>3.11</w:t>
            </w:r>
          </w:p>
        </w:tc>
        <w:tc>
          <w:tcPr>
            <w:tcW w:w="149" w:type="pct"/>
            <w:shd w:val="clear" w:color="auto" w:fill="auto"/>
            <w:noWrap/>
            <w:vAlign w:val="center"/>
            <w:hideMark/>
          </w:tcPr>
          <w:p w14:paraId="22BCD01D"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088A42E"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550F42AA"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457D5850" w14:textId="77777777" w:rsidR="00316DE1" w:rsidRPr="00F671A4" w:rsidRDefault="00316DE1" w:rsidP="00527858">
            <w:pPr>
              <w:jc w:val="center"/>
              <w:rPr>
                <w:rFonts w:cs="Times New Roman"/>
                <w:szCs w:val="24"/>
              </w:rPr>
            </w:pPr>
          </w:p>
        </w:tc>
        <w:tc>
          <w:tcPr>
            <w:tcW w:w="367" w:type="pct"/>
            <w:shd w:val="clear" w:color="auto" w:fill="auto"/>
            <w:noWrap/>
            <w:vAlign w:val="center"/>
            <w:hideMark/>
          </w:tcPr>
          <w:p w14:paraId="74B1C5C2"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62FC955E"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0EFB1496" w14:textId="77777777" w:rsidR="00316DE1" w:rsidRPr="00F671A4" w:rsidRDefault="00316DE1" w:rsidP="00527858">
            <w:pPr>
              <w:jc w:val="center"/>
              <w:rPr>
                <w:rFonts w:cs="Times New Roman"/>
                <w:szCs w:val="24"/>
              </w:rPr>
            </w:pPr>
            <w:r w:rsidRPr="00F671A4">
              <w:rPr>
                <w:rFonts w:cs="Times New Roman"/>
                <w:szCs w:val="24"/>
              </w:rPr>
              <w:t>.773</w:t>
            </w:r>
            <w:r w:rsidRPr="00F671A4">
              <w:rPr>
                <w:rFonts w:cs="Times New Roman"/>
                <w:szCs w:val="24"/>
                <w:vertAlign w:val="superscript"/>
              </w:rPr>
              <w:t>**</w:t>
            </w:r>
          </w:p>
        </w:tc>
        <w:tc>
          <w:tcPr>
            <w:tcW w:w="413" w:type="pct"/>
            <w:shd w:val="clear" w:color="auto" w:fill="auto"/>
            <w:noWrap/>
            <w:vAlign w:val="center"/>
            <w:hideMark/>
          </w:tcPr>
          <w:p w14:paraId="51518560" w14:textId="77777777" w:rsidR="00316DE1" w:rsidRPr="00F671A4" w:rsidRDefault="00316DE1" w:rsidP="00527858">
            <w:pPr>
              <w:jc w:val="center"/>
              <w:rPr>
                <w:rFonts w:cs="Times New Roman"/>
                <w:szCs w:val="24"/>
              </w:rPr>
            </w:pPr>
            <w:r w:rsidRPr="00F671A4">
              <w:rPr>
                <w:rFonts w:cs="Times New Roman"/>
                <w:szCs w:val="24"/>
              </w:rPr>
              <w:t>.627</w:t>
            </w:r>
            <w:r w:rsidRPr="00F671A4">
              <w:rPr>
                <w:rFonts w:cs="Times New Roman"/>
                <w:szCs w:val="24"/>
                <w:vertAlign w:val="superscript"/>
              </w:rPr>
              <w:t>**</w:t>
            </w:r>
          </w:p>
        </w:tc>
      </w:tr>
      <w:tr w:rsidR="00225112" w:rsidRPr="00F671A4" w14:paraId="64D1EC71" w14:textId="77777777" w:rsidTr="00225112">
        <w:trPr>
          <w:trHeight w:val="20"/>
        </w:trPr>
        <w:tc>
          <w:tcPr>
            <w:tcW w:w="1297" w:type="pct"/>
            <w:shd w:val="clear" w:color="auto" w:fill="auto"/>
            <w:vAlign w:val="center"/>
            <w:hideMark/>
          </w:tcPr>
          <w:p w14:paraId="41304246" w14:textId="77777777" w:rsidR="00316DE1" w:rsidRPr="00F671A4" w:rsidRDefault="00316DE1" w:rsidP="00316DE1">
            <w:pPr>
              <w:jc w:val="left"/>
              <w:rPr>
                <w:rFonts w:cs="Times New Roman"/>
                <w:szCs w:val="24"/>
              </w:rPr>
            </w:pPr>
            <w:r w:rsidRPr="00F671A4">
              <w:rPr>
                <w:rFonts w:cs="Times New Roman"/>
                <w:szCs w:val="24"/>
              </w:rPr>
              <w:t>(7) Dedicación</w:t>
            </w:r>
          </w:p>
        </w:tc>
        <w:tc>
          <w:tcPr>
            <w:tcW w:w="390" w:type="pct"/>
            <w:shd w:val="clear" w:color="auto" w:fill="auto"/>
            <w:noWrap/>
            <w:vAlign w:val="center"/>
            <w:hideMark/>
          </w:tcPr>
          <w:p w14:paraId="736B59F5" w14:textId="77777777" w:rsidR="00316DE1" w:rsidRPr="00F671A4" w:rsidRDefault="00316DE1" w:rsidP="00527858">
            <w:pPr>
              <w:jc w:val="center"/>
              <w:rPr>
                <w:rFonts w:cs="Times New Roman"/>
                <w:szCs w:val="24"/>
              </w:rPr>
            </w:pPr>
            <w:r w:rsidRPr="00F671A4">
              <w:rPr>
                <w:rFonts w:cs="Times New Roman"/>
                <w:szCs w:val="24"/>
              </w:rPr>
              <w:t>16.2</w:t>
            </w:r>
          </w:p>
        </w:tc>
        <w:tc>
          <w:tcPr>
            <w:tcW w:w="321" w:type="pct"/>
            <w:shd w:val="clear" w:color="auto" w:fill="auto"/>
            <w:noWrap/>
            <w:vAlign w:val="center"/>
            <w:hideMark/>
          </w:tcPr>
          <w:p w14:paraId="786706BC" w14:textId="77777777" w:rsidR="00316DE1" w:rsidRPr="00F671A4" w:rsidRDefault="00316DE1" w:rsidP="00527858">
            <w:pPr>
              <w:jc w:val="center"/>
              <w:rPr>
                <w:rFonts w:cs="Times New Roman"/>
                <w:szCs w:val="24"/>
              </w:rPr>
            </w:pPr>
            <w:r w:rsidRPr="00F671A4">
              <w:rPr>
                <w:rFonts w:cs="Times New Roman"/>
                <w:szCs w:val="24"/>
              </w:rPr>
              <w:t>3.13</w:t>
            </w:r>
          </w:p>
        </w:tc>
        <w:tc>
          <w:tcPr>
            <w:tcW w:w="149" w:type="pct"/>
            <w:shd w:val="clear" w:color="auto" w:fill="auto"/>
            <w:noWrap/>
            <w:vAlign w:val="center"/>
            <w:hideMark/>
          </w:tcPr>
          <w:p w14:paraId="237A4885"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253CD149"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2935B57D"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0C803955" w14:textId="77777777" w:rsidR="00316DE1" w:rsidRPr="00F671A4" w:rsidRDefault="00316DE1" w:rsidP="00527858">
            <w:pPr>
              <w:jc w:val="center"/>
              <w:rPr>
                <w:rFonts w:cs="Times New Roman"/>
                <w:szCs w:val="24"/>
              </w:rPr>
            </w:pPr>
          </w:p>
        </w:tc>
        <w:tc>
          <w:tcPr>
            <w:tcW w:w="367" w:type="pct"/>
            <w:shd w:val="clear" w:color="auto" w:fill="auto"/>
            <w:noWrap/>
            <w:vAlign w:val="center"/>
            <w:hideMark/>
          </w:tcPr>
          <w:p w14:paraId="2E2418D8"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39D9DB54"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75BFFC94" w14:textId="77777777" w:rsidR="00316DE1" w:rsidRPr="00F671A4" w:rsidRDefault="00316DE1" w:rsidP="00527858">
            <w:pPr>
              <w:jc w:val="center"/>
              <w:rPr>
                <w:rFonts w:cs="Times New Roman"/>
                <w:szCs w:val="24"/>
              </w:rPr>
            </w:pPr>
            <w:r w:rsidRPr="00F671A4">
              <w:rPr>
                <w:rFonts w:cs="Times New Roman"/>
                <w:szCs w:val="24"/>
              </w:rPr>
              <w:t>-</w:t>
            </w:r>
          </w:p>
        </w:tc>
        <w:tc>
          <w:tcPr>
            <w:tcW w:w="413" w:type="pct"/>
            <w:shd w:val="clear" w:color="auto" w:fill="auto"/>
            <w:noWrap/>
            <w:vAlign w:val="center"/>
            <w:hideMark/>
          </w:tcPr>
          <w:p w14:paraId="6149BC84" w14:textId="77777777" w:rsidR="00316DE1" w:rsidRPr="00F671A4" w:rsidRDefault="00316DE1" w:rsidP="00527858">
            <w:pPr>
              <w:jc w:val="center"/>
              <w:rPr>
                <w:rFonts w:cs="Times New Roman"/>
                <w:szCs w:val="24"/>
              </w:rPr>
            </w:pPr>
            <w:r w:rsidRPr="00F671A4">
              <w:rPr>
                <w:rFonts w:cs="Times New Roman"/>
                <w:szCs w:val="24"/>
              </w:rPr>
              <w:t>.684</w:t>
            </w:r>
            <w:r w:rsidRPr="00F671A4">
              <w:rPr>
                <w:rFonts w:cs="Times New Roman"/>
                <w:szCs w:val="24"/>
                <w:vertAlign w:val="superscript"/>
              </w:rPr>
              <w:t>**</w:t>
            </w:r>
          </w:p>
        </w:tc>
      </w:tr>
      <w:tr w:rsidR="00225112" w:rsidRPr="00F671A4" w14:paraId="6626307F" w14:textId="77777777" w:rsidTr="00225112">
        <w:trPr>
          <w:trHeight w:val="20"/>
        </w:trPr>
        <w:tc>
          <w:tcPr>
            <w:tcW w:w="1297" w:type="pct"/>
            <w:shd w:val="clear" w:color="auto" w:fill="auto"/>
            <w:vAlign w:val="center"/>
            <w:hideMark/>
          </w:tcPr>
          <w:p w14:paraId="646898BE" w14:textId="77777777" w:rsidR="00316DE1" w:rsidRPr="00F671A4" w:rsidRDefault="00316DE1" w:rsidP="00316DE1">
            <w:pPr>
              <w:jc w:val="left"/>
              <w:rPr>
                <w:rFonts w:cs="Times New Roman"/>
                <w:szCs w:val="24"/>
              </w:rPr>
            </w:pPr>
            <w:r w:rsidRPr="00F671A4">
              <w:rPr>
                <w:rFonts w:cs="Times New Roman"/>
                <w:szCs w:val="24"/>
              </w:rPr>
              <w:t>(8) Absorción</w:t>
            </w:r>
          </w:p>
        </w:tc>
        <w:tc>
          <w:tcPr>
            <w:tcW w:w="390" w:type="pct"/>
            <w:shd w:val="clear" w:color="auto" w:fill="auto"/>
            <w:noWrap/>
            <w:vAlign w:val="center"/>
            <w:hideMark/>
          </w:tcPr>
          <w:p w14:paraId="1BB8AE3B" w14:textId="77777777" w:rsidR="00316DE1" w:rsidRPr="00F671A4" w:rsidRDefault="00316DE1" w:rsidP="00527858">
            <w:pPr>
              <w:jc w:val="center"/>
              <w:rPr>
                <w:rFonts w:cs="Times New Roman"/>
                <w:szCs w:val="24"/>
              </w:rPr>
            </w:pPr>
            <w:r w:rsidRPr="00F671A4">
              <w:rPr>
                <w:rFonts w:cs="Times New Roman"/>
                <w:szCs w:val="24"/>
              </w:rPr>
              <w:t>17.08</w:t>
            </w:r>
          </w:p>
        </w:tc>
        <w:tc>
          <w:tcPr>
            <w:tcW w:w="321" w:type="pct"/>
            <w:shd w:val="clear" w:color="auto" w:fill="auto"/>
            <w:noWrap/>
            <w:vAlign w:val="center"/>
            <w:hideMark/>
          </w:tcPr>
          <w:p w14:paraId="1700D4EB" w14:textId="77777777" w:rsidR="00316DE1" w:rsidRPr="00F671A4" w:rsidRDefault="00316DE1" w:rsidP="00527858">
            <w:pPr>
              <w:jc w:val="center"/>
              <w:rPr>
                <w:rFonts w:cs="Times New Roman"/>
                <w:szCs w:val="24"/>
              </w:rPr>
            </w:pPr>
            <w:r w:rsidRPr="00F671A4">
              <w:rPr>
                <w:rFonts w:cs="Times New Roman"/>
                <w:szCs w:val="24"/>
              </w:rPr>
              <w:t>3.07</w:t>
            </w:r>
          </w:p>
        </w:tc>
        <w:tc>
          <w:tcPr>
            <w:tcW w:w="149" w:type="pct"/>
            <w:shd w:val="clear" w:color="auto" w:fill="auto"/>
            <w:noWrap/>
            <w:vAlign w:val="center"/>
            <w:hideMark/>
          </w:tcPr>
          <w:p w14:paraId="15F4F9CA"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721F799F"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3C89AE4A"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08F02B85" w14:textId="77777777" w:rsidR="00316DE1" w:rsidRPr="00F671A4" w:rsidRDefault="00316DE1" w:rsidP="00527858">
            <w:pPr>
              <w:jc w:val="center"/>
              <w:rPr>
                <w:rFonts w:cs="Times New Roman"/>
                <w:szCs w:val="24"/>
              </w:rPr>
            </w:pPr>
          </w:p>
        </w:tc>
        <w:tc>
          <w:tcPr>
            <w:tcW w:w="367" w:type="pct"/>
            <w:shd w:val="clear" w:color="auto" w:fill="auto"/>
            <w:noWrap/>
            <w:vAlign w:val="center"/>
            <w:hideMark/>
          </w:tcPr>
          <w:p w14:paraId="00C2509B"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399B0222"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0AAD9232" w14:textId="77777777" w:rsidR="00316DE1" w:rsidRPr="00F671A4" w:rsidRDefault="00316DE1" w:rsidP="00527858">
            <w:pPr>
              <w:jc w:val="center"/>
              <w:rPr>
                <w:rFonts w:cs="Times New Roman"/>
                <w:szCs w:val="24"/>
              </w:rPr>
            </w:pPr>
          </w:p>
        </w:tc>
        <w:tc>
          <w:tcPr>
            <w:tcW w:w="413" w:type="pct"/>
            <w:shd w:val="clear" w:color="auto" w:fill="auto"/>
            <w:noWrap/>
            <w:vAlign w:val="center"/>
            <w:hideMark/>
          </w:tcPr>
          <w:p w14:paraId="3FCE3DD0" w14:textId="77777777" w:rsidR="00316DE1" w:rsidRPr="00F671A4" w:rsidRDefault="00316DE1" w:rsidP="00527858">
            <w:pPr>
              <w:jc w:val="center"/>
              <w:rPr>
                <w:rFonts w:cs="Times New Roman"/>
                <w:szCs w:val="24"/>
              </w:rPr>
            </w:pPr>
            <w:r w:rsidRPr="00F671A4">
              <w:rPr>
                <w:rFonts w:cs="Times New Roman"/>
                <w:szCs w:val="24"/>
              </w:rPr>
              <w:t>-</w:t>
            </w:r>
          </w:p>
        </w:tc>
      </w:tr>
    </w:tbl>
    <w:p w14:paraId="621F7378" w14:textId="01FFA973" w:rsidR="00316DE1" w:rsidRDefault="00316DE1" w:rsidP="00F671A4">
      <w:pPr>
        <w:jc w:val="center"/>
        <w:rPr>
          <w:szCs w:val="24"/>
          <w:lang w:val="es-ES"/>
        </w:rPr>
      </w:pPr>
      <w:r w:rsidRPr="00F671A4">
        <w:rPr>
          <w:szCs w:val="24"/>
          <w:lang w:val="es-ES"/>
        </w:rPr>
        <w:t>**. La correlación es significativa en el nivel .01 (bilateral).</w:t>
      </w:r>
    </w:p>
    <w:p w14:paraId="1602FD96" w14:textId="77777777" w:rsidR="00225112" w:rsidRPr="00F671A4" w:rsidRDefault="00225112" w:rsidP="00225112">
      <w:pPr>
        <w:jc w:val="center"/>
        <w:rPr>
          <w:sz w:val="32"/>
          <w:szCs w:val="28"/>
          <w:lang w:val="es-ES"/>
        </w:rPr>
      </w:pPr>
      <w:r w:rsidRPr="00225112">
        <w:rPr>
          <w:i/>
          <w:iCs/>
          <w:lang w:val="es-ES"/>
        </w:rPr>
        <w:t>Nota</w:t>
      </w:r>
      <w:r>
        <w:rPr>
          <w:lang w:val="es-ES"/>
        </w:rPr>
        <w:t xml:space="preserve">: </w:t>
      </w:r>
      <w:r w:rsidRPr="00F671A4">
        <w:rPr>
          <w:szCs w:val="24"/>
          <w:lang w:val="es-ES"/>
        </w:rPr>
        <w:t>Análisis SPSS29</w:t>
      </w:r>
    </w:p>
    <w:p w14:paraId="0BCE1A49" w14:textId="675A32C2" w:rsidR="008942F6" w:rsidRPr="008942F6" w:rsidRDefault="008942F6" w:rsidP="00F671A4">
      <w:pPr>
        <w:ind w:firstLine="709"/>
      </w:pPr>
      <w:r w:rsidRPr="008942F6">
        <w:t xml:space="preserve">Se llevó a cabo un modelo de regresión lineal múltiple con el método de entrada para determinar si el cansancio y la regulación emocionales pueden predecir el compromiso académico en estudiantes universitarios de la Región San Martín. La ecuación de la regresión resultante no fue estadísticamente significativa, F (2,73) = </w:t>
      </w:r>
      <w:r w:rsidR="00BB5316">
        <w:t>0</w:t>
      </w:r>
      <w:r w:rsidRPr="008942F6">
        <w:t xml:space="preserve">.964, </w:t>
      </w:r>
      <w:r w:rsidRPr="00BB5316">
        <w:rPr>
          <w:i/>
          <w:iCs/>
        </w:rPr>
        <w:t>p</w:t>
      </w:r>
      <w:r w:rsidRPr="008942F6">
        <w:t xml:space="preserve"> = </w:t>
      </w:r>
      <w:r w:rsidR="00BB5316">
        <w:t>0</w:t>
      </w:r>
      <w:r w:rsidRPr="008942F6">
        <w:t xml:space="preserve">.386, lo que indica que no se encontró una relación predictiva fuerte. </w:t>
      </w:r>
      <w:r w:rsidR="00BB5316">
        <w:t xml:space="preserve">El </w:t>
      </w:r>
      <w:r w:rsidR="00BB5316" w:rsidRPr="00BB5316">
        <w:t>valor de R² = 0.026 indica que solo el 2.6% de la variabilidad en el compromiso académico puede explicarse por el cansancio y la regulación emocionales, lo cual es insuficiente para establecer una relación significativa</w:t>
      </w:r>
      <w:r w:rsidRPr="008942F6">
        <w:t xml:space="preserve">. </w:t>
      </w:r>
      <w:r w:rsidR="00FE3B51" w:rsidRPr="00FE3B51">
        <w:t>Esto indica que el cansancio y la regulación emocionales no son predictores significativos del compromiso académico en esta muestra</w:t>
      </w:r>
      <w:r w:rsidRPr="008942F6">
        <w:t>.</w:t>
      </w:r>
      <w:r>
        <w:t xml:space="preserve"> </w:t>
      </w:r>
      <w:r w:rsidRPr="008942F6">
        <w:t>Aunque no se lograron valores óptimos de predicción, la ecuación de regresión obtenida fue</w:t>
      </w:r>
      <w:r w:rsidR="00BB5316">
        <w:t>: “</w:t>
      </w:r>
      <w:r w:rsidR="00BB5316" w:rsidRPr="00BB5316">
        <w:t xml:space="preserve">Y=51.42+0.19(cansancio </w:t>
      </w:r>
      <w:proofErr w:type="gramStart"/>
      <w:r w:rsidR="00BB5316" w:rsidRPr="00BB5316">
        <w:t>emocional)+</w:t>
      </w:r>
      <w:proofErr w:type="gramEnd"/>
      <w:r w:rsidR="00BB5316" w:rsidRPr="00BB5316">
        <w:t>0.03(regulaci</w:t>
      </w:r>
      <w:r w:rsidR="00BB5316">
        <w:t>ó</w:t>
      </w:r>
      <w:r w:rsidR="00BB5316" w:rsidRPr="00BB5316">
        <w:t>n emocional)</w:t>
      </w:r>
      <w:r w:rsidR="00BB5316">
        <w:t xml:space="preserve"> </w:t>
      </w:r>
      <w:r w:rsidR="00BB5316" w:rsidRPr="00BB5316">
        <w:t>Y = 51.42 + 0.19(\</w:t>
      </w:r>
      <w:proofErr w:type="spellStart"/>
      <w:r w:rsidR="00BB5316" w:rsidRPr="00BB5316">
        <w:t>text</w:t>
      </w:r>
      <w:proofErr w:type="spellEnd"/>
      <w:r w:rsidR="00BB5316" w:rsidRPr="00BB5316">
        <w:t>{cansancio emocional}) + 0.03(\</w:t>
      </w:r>
      <w:proofErr w:type="spellStart"/>
      <w:r w:rsidR="00BB5316" w:rsidRPr="00BB5316">
        <w:t>text</w:t>
      </w:r>
      <w:proofErr w:type="spellEnd"/>
      <w:r w:rsidR="00BB5316" w:rsidRPr="00BB5316">
        <w:t>{regulación emocional})"</w:t>
      </w:r>
      <w:r w:rsidR="00BB5316">
        <w:t xml:space="preserve">. </w:t>
      </w:r>
      <w:r w:rsidRPr="008942F6">
        <w:t xml:space="preserve">Sin embargo, los coeficientes asociados </w:t>
      </w:r>
      <w:proofErr w:type="gramStart"/>
      <w:r w:rsidRPr="008942F6">
        <w:t xml:space="preserve">al </w:t>
      </w:r>
      <w:r w:rsidR="00E97241">
        <w:t>fatiga emocional</w:t>
      </w:r>
      <w:proofErr w:type="gramEnd"/>
      <w:r w:rsidRPr="008942F6">
        <w:t xml:space="preserve"> y a la regulación emocional no mostraron incrementos significativos en las puntuaciones del compromiso académic</w:t>
      </w:r>
      <w:r>
        <w:t>o (Tabla 7)</w:t>
      </w:r>
      <w:r w:rsidRPr="008942F6">
        <w:t>.</w:t>
      </w:r>
    </w:p>
    <w:p w14:paraId="2C35A632" w14:textId="77777777" w:rsidR="00F671A4" w:rsidRDefault="00F671A4" w:rsidP="00D3352E">
      <w:pPr>
        <w:jc w:val="left"/>
        <w:rPr>
          <w:b/>
          <w:bCs/>
        </w:rPr>
      </w:pPr>
    </w:p>
    <w:p w14:paraId="66DEEC5E" w14:textId="77777777" w:rsidR="00FE48E5" w:rsidRDefault="00FE48E5" w:rsidP="00D3352E">
      <w:pPr>
        <w:jc w:val="left"/>
        <w:rPr>
          <w:b/>
          <w:bCs/>
        </w:rPr>
      </w:pPr>
    </w:p>
    <w:p w14:paraId="6293253E" w14:textId="77777777" w:rsidR="00FE48E5" w:rsidRDefault="00FE48E5" w:rsidP="00D3352E">
      <w:pPr>
        <w:jc w:val="left"/>
        <w:rPr>
          <w:b/>
          <w:bCs/>
        </w:rPr>
      </w:pPr>
    </w:p>
    <w:p w14:paraId="7A1ECA36" w14:textId="57DAC15B" w:rsidR="00D3352E" w:rsidRPr="00D3352E" w:rsidRDefault="00D3352E" w:rsidP="00F671A4">
      <w:pPr>
        <w:jc w:val="center"/>
        <w:rPr>
          <w:bCs/>
          <w:i/>
          <w:iCs/>
        </w:rPr>
      </w:pPr>
      <w:r w:rsidRPr="00D3352E">
        <w:rPr>
          <w:b/>
          <w:bCs/>
        </w:rPr>
        <w:lastRenderedPageBreak/>
        <w:t xml:space="preserve">Tabla </w:t>
      </w:r>
      <w:r w:rsidRPr="00D3352E">
        <w:rPr>
          <w:b/>
          <w:bCs/>
        </w:rPr>
        <w:fldChar w:fldCharType="begin"/>
      </w:r>
      <w:r w:rsidRPr="00D3352E">
        <w:rPr>
          <w:b/>
          <w:bCs/>
        </w:rPr>
        <w:instrText xml:space="preserve"> SEQ Tabla \* ARABIC </w:instrText>
      </w:r>
      <w:r w:rsidRPr="00D3352E">
        <w:rPr>
          <w:b/>
          <w:bCs/>
        </w:rPr>
        <w:fldChar w:fldCharType="separate"/>
      </w:r>
      <w:r w:rsidR="004A4B6C">
        <w:rPr>
          <w:b/>
          <w:bCs/>
          <w:noProof/>
        </w:rPr>
        <w:t>7</w:t>
      </w:r>
      <w:r w:rsidRPr="00D3352E">
        <w:rPr>
          <w:b/>
          <w:lang w:val="es-ES"/>
        </w:rPr>
        <w:fldChar w:fldCharType="end"/>
      </w:r>
      <w:bookmarkStart w:id="1" w:name="_Toc8960"/>
      <w:bookmarkStart w:id="2" w:name="_Toc3368"/>
      <w:bookmarkStart w:id="3" w:name="_Toc24761"/>
      <w:bookmarkStart w:id="4" w:name="_Toc13407"/>
      <w:r w:rsidR="00F671A4">
        <w:rPr>
          <w:b/>
          <w:lang w:val="es-ES"/>
        </w:rPr>
        <w:t xml:space="preserve">. </w:t>
      </w:r>
      <w:r w:rsidRPr="00F671A4">
        <w:rPr>
          <w:bCs/>
        </w:rPr>
        <w:t>Análisis de regresión lineal de cansancio y regulación emocional sobre el compromiso académico</w:t>
      </w:r>
      <w:bookmarkEnd w:id="1"/>
      <w:bookmarkEnd w:id="2"/>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7"/>
        <w:gridCol w:w="1293"/>
        <w:gridCol w:w="1302"/>
        <w:gridCol w:w="1298"/>
        <w:gridCol w:w="1300"/>
      </w:tblGrid>
      <w:tr w:rsidR="00D3352E" w:rsidRPr="00D3352E" w14:paraId="79C99AD8" w14:textId="77777777" w:rsidTr="00225112">
        <w:trPr>
          <w:trHeight w:val="90"/>
        </w:trPr>
        <w:tc>
          <w:tcPr>
            <w:tcW w:w="2059" w:type="pct"/>
            <w:shd w:val="clear" w:color="auto" w:fill="FFFFFF"/>
            <w:noWrap/>
            <w:vAlign w:val="center"/>
          </w:tcPr>
          <w:p w14:paraId="0A406E0F" w14:textId="77777777" w:rsidR="00D3352E" w:rsidRPr="00D3352E" w:rsidRDefault="00D3352E" w:rsidP="00D3352E">
            <w:r w:rsidRPr="00D3352E">
              <w:t>Variables predictoras:</w:t>
            </w:r>
          </w:p>
        </w:tc>
        <w:tc>
          <w:tcPr>
            <w:tcW w:w="732" w:type="pct"/>
            <w:shd w:val="clear" w:color="auto" w:fill="FFFFFF"/>
            <w:noWrap/>
            <w:vAlign w:val="center"/>
          </w:tcPr>
          <w:p w14:paraId="64CAF36A" w14:textId="77777777" w:rsidR="00D3352E" w:rsidRPr="00D3352E" w:rsidRDefault="00D3352E" w:rsidP="00D3352E">
            <w:r w:rsidRPr="00D3352E">
              <w:t>R</w:t>
            </w:r>
            <w:r w:rsidRPr="00D3352E">
              <w:rPr>
                <w:vertAlign w:val="superscript"/>
              </w:rPr>
              <w:t>2</w:t>
            </w:r>
          </w:p>
        </w:tc>
        <w:tc>
          <w:tcPr>
            <w:tcW w:w="737" w:type="pct"/>
            <w:shd w:val="clear" w:color="auto" w:fill="FFFFFF"/>
            <w:noWrap/>
            <w:vAlign w:val="center"/>
          </w:tcPr>
          <w:p w14:paraId="58E90BAA" w14:textId="4B469026" w:rsidR="00D3352E" w:rsidRPr="00D3352E" w:rsidRDefault="008942F6" w:rsidP="00D3352E">
            <w:r>
              <w:rPr>
                <w:rFonts w:cs="Times New Roman"/>
              </w:rPr>
              <w:t>β</w:t>
            </w:r>
          </w:p>
        </w:tc>
        <w:tc>
          <w:tcPr>
            <w:tcW w:w="735" w:type="pct"/>
            <w:shd w:val="clear" w:color="auto" w:fill="FFFFFF"/>
            <w:vAlign w:val="center"/>
          </w:tcPr>
          <w:p w14:paraId="7F7150A5" w14:textId="77777777" w:rsidR="00D3352E" w:rsidRPr="00D3352E" w:rsidRDefault="00D3352E" w:rsidP="00D3352E">
            <w:proofErr w:type="spellStart"/>
            <w:r w:rsidRPr="00D3352E">
              <w:t>SE</w:t>
            </w:r>
            <w:r w:rsidRPr="00D3352E">
              <w:rPr>
                <w:vertAlign w:val="superscript"/>
              </w:rPr>
              <w:t>a</w:t>
            </w:r>
            <w:proofErr w:type="spellEnd"/>
          </w:p>
        </w:tc>
        <w:tc>
          <w:tcPr>
            <w:tcW w:w="736" w:type="pct"/>
            <w:shd w:val="clear" w:color="auto" w:fill="FFFFFF"/>
            <w:noWrap/>
            <w:vAlign w:val="center"/>
          </w:tcPr>
          <w:p w14:paraId="392FCC9E" w14:textId="3506A80C" w:rsidR="00D3352E" w:rsidRPr="00D3352E" w:rsidRDefault="00D3352E" w:rsidP="00D3352E">
            <w:r>
              <w:rPr>
                <w:rFonts w:cs="Times New Roman"/>
              </w:rPr>
              <w:t>Ρ</w:t>
            </w:r>
            <w:r>
              <w:t>-</w:t>
            </w:r>
            <w:proofErr w:type="spellStart"/>
            <w:r>
              <w:t>value</w:t>
            </w:r>
            <w:proofErr w:type="spellEnd"/>
          </w:p>
        </w:tc>
      </w:tr>
      <w:tr w:rsidR="00D3352E" w:rsidRPr="00D3352E" w14:paraId="040426A5" w14:textId="77777777" w:rsidTr="00225112">
        <w:trPr>
          <w:trHeight w:val="270"/>
        </w:trPr>
        <w:tc>
          <w:tcPr>
            <w:tcW w:w="2059" w:type="pct"/>
            <w:shd w:val="clear" w:color="auto" w:fill="FFFFFF"/>
            <w:noWrap/>
            <w:vAlign w:val="center"/>
          </w:tcPr>
          <w:p w14:paraId="46463B51" w14:textId="77777777" w:rsidR="00D3352E" w:rsidRPr="00D3352E" w:rsidRDefault="00D3352E" w:rsidP="00D3352E">
            <w:r w:rsidRPr="00D3352E">
              <w:t>Modelo 1</w:t>
            </w:r>
          </w:p>
        </w:tc>
        <w:tc>
          <w:tcPr>
            <w:tcW w:w="732" w:type="pct"/>
            <w:vMerge w:val="restart"/>
            <w:shd w:val="clear" w:color="auto" w:fill="FFFFFF"/>
            <w:noWrap/>
            <w:vAlign w:val="center"/>
          </w:tcPr>
          <w:p w14:paraId="0F5E6D2B" w14:textId="2E85B299" w:rsidR="00D3352E" w:rsidRPr="00D3352E" w:rsidRDefault="00BB5316" w:rsidP="00D3352E">
            <w:r>
              <w:t>0</w:t>
            </w:r>
            <w:r w:rsidR="00D3352E" w:rsidRPr="00D3352E">
              <w:t>.026</w:t>
            </w:r>
          </w:p>
        </w:tc>
        <w:tc>
          <w:tcPr>
            <w:tcW w:w="737" w:type="pct"/>
            <w:shd w:val="clear" w:color="auto" w:fill="FFFFFF"/>
            <w:noWrap/>
            <w:vAlign w:val="center"/>
          </w:tcPr>
          <w:p w14:paraId="348EBCD3" w14:textId="77777777" w:rsidR="00D3352E" w:rsidRPr="00D3352E" w:rsidRDefault="00D3352E" w:rsidP="00D3352E">
            <w:r w:rsidRPr="00D3352E">
              <w:t>51.42</w:t>
            </w:r>
          </w:p>
        </w:tc>
        <w:tc>
          <w:tcPr>
            <w:tcW w:w="735" w:type="pct"/>
            <w:shd w:val="clear" w:color="auto" w:fill="FFFFFF"/>
          </w:tcPr>
          <w:p w14:paraId="62EEB8F3" w14:textId="77777777" w:rsidR="00D3352E" w:rsidRPr="00D3352E" w:rsidRDefault="00D3352E" w:rsidP="00D3352E">
            <w:r w:rsidRPr="00D3352E">
              <w:t>4.876</w:t>
            </w:r>
          </w:p>
        </w:tc>
        <w:tc>
          <w:tcPr>
            <w:tcW w:w="736" w:type="pct"/>
            <w:vMerge w:val="restart"/>
            <w:shd w:val="clear" w:color="auto" w:fill="FFFFFF"/>
            <w:noWrap/>
            <w:vAlign w:val="center"/>
          </w:tcPr>
          <w:p w14:paraId="7B3A3B5C" w14:textId="4BD7BD4B" w:rsidR="00D3352E" w:rsidRPr="00D3352E" w:rsidRDefault="00BB5316" w:rsidP="00D3352E">
            <w:r>
              <w:t>0</w:t>
            </w:r>
            <w:r w:rsidR="00D3352E" w:rsidRPr="00D3352E">
              <w:t>.386</w:t>
            </w:r>
            <w:r w:rsidR="00D3352E" w:rsidRPr="00D3352E">
              <w:rPr>
                <w:vertAlign w:val="superscript"/>
              </w:rPr>
              <w:t>b</w:t>
            </w:r>
          </w:p>
        </w:tc>
      </w:tr>
      <w:tr w:rsidR="00D3352E" w:rsidRPr="00D3352E" w14:paraId="4E50ADB5" w14:textId="77777777" w:rsidTr="00225112">
        <w:trPr>
          <w:trHeight w:val="270"/>
        </w:trPr>
        <w:tc>
          <w:tcPr>
            <w:tcW w:w="2059" w:type="pct"/>
            <w:shd w:val="clear" w:color="auto" w:fill="FFFFFF"/>
            <w:noWrap/>
            <w:vAlign w:val="center"/>
          </w:tcPr>
          <w:p w14:paraId="2E4B42E9" w14:textId="14154E35" w:rsidR="00D3352E" w:rsidRPr="00D3352E" w:rsidRDefault="00E97241" w:rsidP="00D3352E">
            <w:r>
              <w:t>Fatiga emocional</w:t>
            </w:r>
          </w:p>
        </w:tc>
        <w:tc>
          <w:tcPr>
            <w:tcW w:w="732" w:type="pct"/>
            <w:vMerge/>
            <w:shd w:val="clear" w:color="auto" w:fill="FFFFFF"/>
            <w:vAlign w:val="center"/>
          </w:tcPr>
          <w:p w14:paraId="1852BC9D" w14:textId="77777777" w:rsidR="00D3352E" w:rsidRPr="00D3352E" w:rsidRDefault="00D3352E" w:rsidP="00D3352E"/>
        </w:tc>
        <w:tc>
          <w:tcPr>
            <w:tcW w:w="737" w:type="pct"/>
            <w:shd w:val="clear" w:color="auto" w:fill="FFFFFF"/>
            <w:noWrap/>
            <w:vAlign w:val="center"/>
          </w:tcPr>
          <w:p w14:paraId="391A8FF4" w14:textId="77777777" w:rsidR="00D3352E" w:rsidRPr="00D3352E" w:rsidRDefault="00D3352E" w:rsidP="00D3352E">
            <w:r w:rsidRPr="00D3352E">
              <w:t>-0.193</w:t>
            </w:r>
          </w:p>
        </w:tc>
        <w:tc>
          <w:tcPr>
            <w:tcW w:w="735" w:type="pct"/>
            <w:shd w:val="clear" w:color="auto" w:fill="FFFFFF"/>
          </w:tcPr>
          <w:p w14:paraId="4B1150F7" w14:textId="5A2174F1" w:rsidR="00D3352E" w:rsidRPr="00D3352E" w:rsidRDefault="00BB5316" w:rsidP="00D3352E">
            <w:r>
              <w:t>0</w:t>
            </w:r>
            <w:r w:rsidR="00D3352E" w:rsidRPr="00D3352E">
              <w:t>.141</w:t>
            </w:r>
          </w:p>
        </w:tc>
        <w:tc>
          <w:tcPr>
            <w:tcW w:w="736" w:type="pct"/>
            <w:vMerge/>
            <w:shd w:val="clear" w:color="auto" w:fill="FFFFFF"/>
            <w:vAlign w:val="center"/>
          </w:tcPr>
          <w:p w14:paraId="725BFEF3" w14:textId="77777777" w:rsidR="00D3352E" w:rsidRPr="00D3352E" w:rsidRDefault="00D3352E" w:rsidP="00D3352E"/>
        </w:tc>
      </w:tr>
      <w:tr w:rsidR="00D3352E" w:rsidRPr="00D3352E" w14:paraId="5BCBF46E" w14:textId="77777777" w:rsidTr="00225112">
        <w:trPr>
          <w:cantSplit/>
          <w:trHeight w:val="270"/>
        </w:trPr>
        <w:tc>
          <w:tcPr>
            <w:tcW w:w="2059" w:type="pct"/>
            <w:shd w:val="clear" w:color="auto" w:fill="FFFFFF"/>
            <w:noWrap/>
            <w:vAlign w:val="center"/>
          </w:tcPr>
          <w:p w14:paraId="0824D54B" w14:textId="77777777" w:rsidR="00D3352E" w:rsidRPr="00D3352E" w:rsidRDefault="00D3352E" w:rsidP="00D3352E">
            <w:r w:rsidRPr="00D3352E">
              <w:t>Regulación emocional</w:t>
            </w:r>
          </w:p>
        </w:tc>
        <w:tc>
          <w:tcPr>
            <w:tcW w:w="732" w:type="pct"/>
            <w:vMerge/>
            <w:shd w:val="clear" w:color="auto" w:fill="FFFFFF"/>
            <w:vAlign w:val="center"/>
          </w:tcPr>
          <w:p w14:paraId="08175E3D" w14:textId="77777777" w:rsidR="00D3352E" w:rsidRPr="00D3352E" w:rsidRDefault="00D3352E" w:rsidP="00D3352E"/>
        </w:tc>
        <w:tc>
          <w:tcPr>
            <w:tcW w:w="737" w:type="pct"/>
            <w:shd w:val="clear" w:color="auto" w:fill="FFFFFF"/>
            <w:noWrap/>
            <w:vAlign w:val="center"/>
          </w:tcPr>
          <w:p w14:paraId="03870249" w14:textId="4554C788" w:rsidR="00D3352E" w:rsidRPr="00D3352E" w:rsidRDefault="00BB5316" w:rsidP="00D3352E">
            <w:r>
              <w:t>0</w:t>
            </w:r>
            <w:r w:rsidR="00D3352E" w:rsidRPr="00D3352E">
              <w:t>.03</w:t>
            </w:r>
          </w:p>
        </w:tc>
        <w:tc>
          <w:tcPr>
            <w:tcW w:w="735" w:type="pct"/>
            <w:shd w:val="clear" w:color="auto" w:fill="FFFFFF"/>
          </w:tcPr>
          <w:p w14:paraId="6D6F5FDE" w14:textId="509027D4" w:rsidR="00D3352E" w:rsidRPr="00D3352E" w:rsidRDefault="00BB5316" w:rsidP="00D3352E">
            <w:r>
              <w:t>0</w:t>
            </w:r>
            <w:r w:rsidR="00D3352E" w:rsidRPr="00D3352E">
              <w:t>.109</w:t>
            </w:r>
          </w:p>
        </w:tc>
        <w:tc>
          <w:tcPr>
            <w:tcW w:w="736" w:type="pct"/>
            <w:vMerge/>
            <w:shd w:val="clear" w:color="auto" w:fill="FFFFFF"/>
            <w:vAlign w:val="center"/>
          </w:tcPr>
          <w:p w14:paraId="64BDAE13" w14:textId="77777777" w:rsidR="00D3352E" w:rsidRPr="00D3352E" w:rsidRDefault="00D3352E" w:rsidP="00D3352E"/>
        </w:tc>
      </w:tr>
    </w:tbl>
    <w:p w14:paraId="0BC72EF3" w14:textId="6E594973" w:rsidR="00225112" w:rsidRPr="00F671A4" w:rsidRDefault="00225112" w:rsidP="00225112">
      <w:pPr>
        <w:jc w:val="center"/>
        <w:rPr>
          <w:sz w:val="32"/>
          <w:szCs w:val="28"/>
          <w:lang w:val="es-ES"/>
        </w:rPr>
      </w:pPr>
      <w:r w:rsidRPr="00225112">
        <w:rPr>
          <w:i/>
          <w:iCs/>
          <w:lang w:val="es-ES"/>
        </w:rPr>
        <w:t>Nota</w:t>
      </w:r>
      <w:r>
        <w:rPr>
          <w:lang w:val="es-ES"/>
        </w:rPr>
        <w:t xml:space="preserve">: </w:t>
      </w:r>
      <w:r>
        <w:rPr>
          <w:szCs w:val="24"/>
          <w:lang w:val="es-ES"/>
        </w:rPr>
        <w:t xml:space="preserve">Datos extraídos del </w:t>
      </w:r>
      <w:r w:rsidRPr="00F671A4">
        <w:rPr>
          <w:szCs w:val="24"/>
          <w:lang w:val="es-ES"/>
        </w:rPr>
        <w:t>SPSS29</w:t>
      </w:r>
    </w:p>
    <w:p w14:paraId="23A69C55" w14:textId="77777777" w:rsidR="00D3352E" w:rsidRPr="00D3352E" w:rsidRDefault="00D3352E" w:rsidP="00D3352E"/>
    <w:p w14:paraId="6B9D9BAE" w14:textId="1F9F0974" w:rsidR="00316DE1" w:rsidRPr="00F671A4" w:rsidRDefault="00316DE1" w:rsidP="00F671A4">
      <w:pPr>
        <w:jc w:val="center"/>
        <w:rPr>
          <w:b/>
          <w:sz w:val="32"/>
          <w:szCs w:val="28"/>
          <w:lang w:val="es-ES"/>
        </w:rPr>
      </w:pPr>
      <w:r w:rsidRPr="00F671A4">
        <w:rPr>
          <w:b/>
          <w:sz w:val="32"/>
          <w:szCs w:val="28"/>
          <w:lang w:val="es-ES"/>
        </w:rPr>
        <w:t>Discusión</w:t>
      </w:r>
    </w:p>
    <w:p w14:paraId="5F9801B4" w14:textId="045878D8" w:rsidR="00605B08" w:rsidRPr="00605B08" w:rsidRDefault="00605B08" w:rsidP="00F16176">
      <w:pPr>
        <w:ind w:firstLine="709"/>
      </w:pPr>
      <w:r w:rsidRPr="00605B08">
        <w:t>En esta investigación, se evaluó si el cansancio y la regulación emocionales predicen el compromiso académico en universitarios de la región San Martín mediante un modelo de regresión lineal múltiple con método de entrada. Los resultados mostraron que la ecuación de regresión no fue estadísticamente significativa (F (2</w:t>
      </w:r>
      <w:r w:rsidR="006C19A5">
        <w:t>.</w:t>
      </w:r>
      <w:r w:rsidRPr="00605B08">
        <w:t xml:space="preserve">73) = </w:t>
      </w:r>
      <w:r w:rsidR="00BB5316">
        <w:t>0</w:t>
      </w:r>
      <w:r w:rsidRPr="00605B08">
        <w:t xml:space="preserve">.964, </w:t>
      </w:r>
      <w:r w:rsidRPr="00BB5316">
        <w:rPr>
          <w:i/>
          <w:iCs/>
        </w:rPr>
        <w:t>p</w:t>
      </w:r>
      <w:r w:rsidRPr="00605B08">
        <w:t xml:space="preserve"> = </w:t>
      </w:r>
      <w:r w:rsidR="00BB5316">
        <w:t>0</w:t>
      </w:r>
      <w:r w:rsidRPr="00605B08">
        <w:t xml:space="preserve">.386), con un valor de R² de </w:t>
      </w:r>
      <w:r w:rsidR="00BB5316">
        <w:t>0</w:t>
      </w:r>
      <w:r w:rsidRPr="00605B08">
        <w:t xml:space="preserve">.026, lo cual también es insignificante. Por lo tanto, se concluye que el </w:t>
      </w:r>
      <w:r w:rsidRPr="003E72AC">
        <w:t>cansancio y la regulación emocionales</w:t>
      </w:r>
      <w:r w:rsidRPr="00605B08">
        <w:t xml:space="preserve"> no predicen el compromiso académico, rechazándose la hipótesis alterna. La ecuación resultante fue 51.42 + </w:t>
      </w:r>
      <w:r w:rsidR="00BB5316">
        <w:t>0</w:t>
      </w:r>
      <w:r w:rsidRPr="00605B08">
        <w:t>.19*(</w:t>
      </w:r>
      <w:r w:rsidR="00E97241">
        <w:t>fatiga emocional</w:t>
      </w:r>
      <w:r w:rsidRPr="00605B08">
        <w:t xml:space="preserve">) + </w:t>
      </w:r>
      <w:r w:rsidR="00BB5316">
        <w:t>0</w:t>
      </w:r>
      <w:r w:rsidRPr="00605B08">
        <w:t>.03*(regulación emocional), donde los coeficientes no mostraron un aumento significativo en las puntuaciones.</w:t>
      </w:r>
      <w:r w:rsidRPr="003E72AC">
        <w:t xml:space="preserve"> </w:t>
      </w:r>
      <w:r w:rsidRPr="00605B08">
        <w:t>Estos hallazgos coinciden con investigaciones previas</w:t>
      </w:r>
      <w:r w:rsidRPr="003E72AC">
        <w:t xml:space="preserve"> de </w:t>
      </w:r>
      <w:r w:rsidRPr="00605B08">
        <w:t>Domínguez</w:t>
      </w:r>
      <w:r w:rsidR="006C19A5">
        <w:t>-</w:t>
      </w:r>
      <w:r w:rsidRPr="00605B08">
        <w:t xml:space="preserve">Lara et al. (2023) encontraron que el cansancio no es un predictor del compromiso académico. </w:t>
      </w:r>
      <w:proofErr w:type="spellStart"/>
      <w:r w:rsidRPr="00605B08">
        <w:t>Ata</w:t>
      </w:r>
      <w:r w:rsidR="00B55DDC">
        <w:t>u</w:t>
      </w:r>
      <w:r w:rsidRPr="00605B08">
        <w:t>je</w:t>
      </w:r>
      <w:proofErr w:type="spellEnd"/>
      <w:r w:rsidRPr="00605B08">
        <w:t xml:space="preserve"> (2021) concluyó que la regulación emocional influye más en la satisfacción de necesidades psicológicas que en el compromiso académico</w:t>
      </w:r>
      <w:r w:rsidR="003E72AC" w:rsidRPr="003E72AC">
        <w:t>, mientras que P</w:t>
      </w:r>
      <w:r w:rsidRPr="00605B08">
        <w:t>rada-Chapoñan et al. (2020) también determinaron que el cansancio no tiene una fuerza predictora relevante en comparación con otras variables como las características de personalidad.</w:t>
      </w:r>
      <w:r w:rsidR="003E72AC" w:rsidRPr="003E72AC">
        <w:t xml:space="preserve"> </w:t>
      </w:r>
      <w:r w:rsidRPr="00605B08">
        <w:t xml:space="preserve">Adicionalmente, Skinner y </w:t>
      </w:r>
      <w:proofErr w:type="spellStart"/>
      <w:r w:rsidRPr="00605B08">
        <w:t>Pitzer</w:t>
      </w:r>
      <w:proofErr w:type="spellEnd"/>
      <w:r w:rsidRPr="00605B08">
        <w:t xml:space="preserve"> (2012) señalaron que el compromiso académico es multifacético y depende de varios factores, no solo del control emocional. Elliott y </w:t>
      </w:r>
      <w:proofErr w:type="spellStart"/>
      <w:r w:rsidRPr="00605B08">
        <w:t>Tudge</w:t>
      </w:r>
      <w:proofErr w:type="spellEnd"/>
      <w:r w:rsidRPr="00605B08">
        <w:t xml:space="preserve"> (2012) destacaron que el compromiso se basa en la motivación intrínseca, que se desarrolla con el tiempo y </w:t>
      </w:r>
      <w:r w:rsidR="006E65C9">
        <w:t>la coyuntura académica</w:t>
      </w:r>
      <w:r w:rsidRPr="00605B08">
        <w:t xml:space="preserve">, siendo más influyente que la regulación emocional. </w:t>
      </w:r>
      <w:proofErr w:type="spellStart"/>
      <w:r w:rsidRPr="00605B08">
        <w:t>Astin</w:t>
      </w:r>
      <w:proofErr w:type="spellEnd"/>
      <w:r w:rsidRPr="00605B08">
        <w:t xml:space="preserve"> y Lee (2003) enfatizaron la importancia de considerar la historia de vida y las </w:t>
      </w:r>
      <w:r w:rsidR="00ED5552">
        <w:t xml:space="preserve">predisposiciones </w:t>
      </w:r>
      <w:r w:rsidRPr="00605B08">
        <w:t xml:space="preserve">individuales como predictores del compromiso académico. Cole y </w:t>
      </w:r>
      <w:proofErr w:type="spellStart"/>
      <w:r w:rsidRPr="00605B08">
        <w:t>Korkmaz</w:t>
      </w:r>
      <w:proofErr w:type="spellEnd"/>
      <w:r w:rsidRPr="00605B08">
        <w:t xml:space="preserve"> (2013) subrayaron la relevancia de l</w:t>
      </w:r>
      <w:r w:rsidR="006E65C9">
        <w:t>a historia de vida</w:t>
      </w:r>
      <w:r w:rsidRPr="00605B08">
        <w:t>,</w:t>
      </w:r>
      <w:r w:rsidR="006E65C9">
        <w:t xml:space="preserve"> experiencias</w:t>
      </w:r>
      <w:r w:rsidRPr="00605B08">
        <w:t xml:space="preserve"> y </w:t>
      </w:r>
      <w:r w:rsidR="000B5A6C">
        <w:t xml:space="preserve">expectativas </w:t>
      </w:r>
      <w:r w:rsidRPr="00605B08">
        <w:t>de los estudiantes en la predicción del compromiso.</w:t>
      </w:r>
      <w:r w:rsidRPr="003E72AC">
        <w:t xml:space="preserve"> </w:t>
      </w:r>
      <w:r w:rsidRPr="00605B08">
        <w:t xml:space="preserve">Es esencial reflexionar sobre diversos aspectos del compromiso académico, como la voluntad, la resiliencia y el esfuerzo, que pueden motivar a los estudiantes a continuar a pesar de desafíos personales, </w:t>
      </w:r>
      <w:r w:rsidRPr="00605B08">
        <w:lastRenderedPageBreak/>
        <w:t xml:space="preserve">familiares o económicos. Además, factores como la </w:t>
      </w:r>
      <w:r w:rsidR="006E65C9">
        <w:t xml:space="preserve">importancia de conservar </w:t>
      </w:r>
      <w:r w:rsidRPr="00605B08">
        <w:t xml:space="preserve">una imagen social pueden influir en el compromiso de los estudiantes. En el contexto post pandemia, es probable que los individuos estén utilizando diferentes mecanismos de resolución de adversidades, donde la </w:t>
      </w:r>
      <w:r w:rsidR="006E65C9">
        <w:t xml:space="preserve">resistencia </w:t>
      </w:r>
      <w:r w:rsidRPr="00605B08">
        <w:t xml:space="preserve">y </w:t>
      </w:r>
      <w:r w:rsidR="006E65C9">
        <w:t xml:space="preserve">el comportamiento </w:t>
      </w:r>
      <w:r w:rsidRPr="00605B08">
        <w:t xml:space="preserve">cobran mayor </w:t>
      </w:r>
      <w:r w:rsidR="006E65C9">
        <w:t xml:space="preserve">relevancia </w:t>
      </w:r>
      <w:r w:rsidRPr="00605B08">
        <w:t xml:space="preserve">frente a otros </w:t>
      </w:r>
      <w:r w:rsidR="006E65C9">
        <w:t>aspectos.</w:t>
      </w:r>
    </w:p>
    <w:p w14:paraId="2A736439" w14:textId="5120B016" w:rsidR="00316DE1" w:rsidRPr="00316DE1" w:rsidRDefault="00605B08" w:rsidP="00F16176">
      <w:pPr>
        <w:ind w:firstLine="709"/>
      </w:pPr>
      <w:r w:rsidRPr="00605B08">
        <w:t>L</w:t>
      </w:r>
      <w:r w:rsidR="00316DE1" w:rsidRPr="00605B08">
        <w:t xml:space="preserve">a regulación emocional y el compromiso académico en estudiantes universitarios peruanos. Los resultados resaltan la importancia de considerar factores emocionales </w:t>
      </w:r>
      <w:r w:rsidR="00316DE1" w:rsidRPr="00316DE1">
        <w:t xml:space="preserve">en la experiencia académica de los estudiantes y sugieren que la resiliencia y la motivación intrínseca pueden desempeñar un papel fundamental en su compromiso académico a pesar de las tensiones emocionales. Dentro de los resultados importantes se ha encontrado que el nivel de </w:t>
      </w:r>
      <w:r w:rsidR="00E97241">
        <w:t>fatiga emocional</w:t>
      </w:r>
      <w:r w:rsidR="00316DE1" w:rsidRPr="00316DE1">
        <w:t xml:space="preserve"> fue bajo en 61.8%, esto representa que los estudiantes se sienten capaces de manejar eficazmente sus emociones y el estrés asociado con sus estudios; estos muy contrario a los datos referenciados por Barreto y Salazar (202</w:t>
      </w:r>
      <w:r w:rsidR="000B7BD3">
        <w:t>1</w:t>
      </w:r>
      <w:r w:rsidR="00316DE1" w:rsidRPr="00316DE1">
        <w:t>); Gustavo (2021) quienes encontraron índices por encima del 30% y refieren el impacto en el desempeño académico y la afectación de las relaciones con su entorno cercano. De igual manera, la regulación emocional present</w:t>
      </w:r>
      <w:r w:rsidR="00856B46">
        <w:t>ó</w:t>
      </w:r>
      <w:r w:rsidR="00316DE1" w:rsidRPr="00316DE1">
        <w:t xml:space="preserve"> índices altos, similares a los datos presentados por Ponce </w:t>
      </w:r>
      <w:r w:rsidR="0060725B">
        <w:t xml:space="preserve">y </w:t>
      </w:r>
      <w:proofErr w:type="spellStart"/>
      <w:r w:rsidR="0060725B" w:rsidRPr="0060725B">
        <w:t>Telenchana</w:t>
      </w:r>
      <w:proofErr w:type="spellEnd"/>
      <w:r w:rsidR="0060725B" w:rsidRPr="0060725B">
        <w:t xml:space="preserve"> </w:t>
      </w:r>
      <w:r w:rsidR="00316DE1" w:rsidRPr="00316DE1">
        <w:t xml:space="preserve">(2023) </w:t>
      </w:r>
      <w:r w:rsidR="0038084A">
        <w:t>ya</w:t>
      </w:r>
      <w:r w:rsidR="00316DE1" w:rsidRPr="00316DE1">
        <w:t xml:space="preserve"> que implica que estos estudiantes son capaces de identificar y comprender sus emociones, controlar reacciones impulsivas, y emplear estrategias saludables. Mientras que en compromiso académico present</w:t>
      </w:r>
      <w:r w:rsidR="00856B46">
        <w:t>ó</w:t>
      </w:r>
      <w:r w:rsidR="00316DE1" w:rsidRPr="00316DE1">
        <w:t xml:space="preserve"> niveles medios o moderados al igual que los resultados obtenidos por Estrada </w:t>
      </w:r>
      <w:r w:rsidR="0058051A">
        <w:t>&amp;</w:t>
      </w:r>
      <w:r w:rsidR="00316DE1" w:rsidRPr="00316DE1">
        <w:t xml:space="preserve"> </w:t>
      </w:r>
      <w:proofErr w:type="spellStart"/>
      <w:r w:rsidR="00316DE1" w:rsidRPr="00316DE1">
        <w:t>Paricahua</w:t>
      </w:r>
      <w:proofErr w:type="spellEnd"/>
      <w:r w:rsidR="00316DE1" w:rsidRPr="00316DE1">
        <w:t xml:space="preserve"> (2023) esta relación se fundamenta bajo las circunstancias de espacios geográfico respectivamente.</w:t>
      </w:r>
    </w:p>
    <w:p w14:paraId="3F3B2F65" w14:textId="6E102FFB" w:rsidR="00316DE1" w:rsidRPr="00316DE1" w:rsidRDefault="00316DE1" w:rsidP="00F16176">
      <w:pPr>
        <w:ind w:firstLine="709"/>
      </w:pPr>
      <w:r w:rsidRPr="00316DE1">
        <w:t xml:space="preserve">Se ha encontrado relación significativa entre cansancio y regulación emocionales, este resultado está en línea con evidencia de que las formas de </w:t>
      </w:r>
      <w:r w:rsidR="000B5A6C">
        <w:t xml:space="preserve">pensamiento </w:t>
      </w:r>
      <w:r w:rsidRPr="00316DE1">
        <w:t xml:space="preserve">de regulación se relacionan con la fatiga emocional, debido a que la exigencia a la que es expuesta el estudiante puede </w:t>
      </w:r>
      <w:r w:rsidR="000B5A6C">
        <w:t xml:space="preserve">conllevar a la pérdida de control </w:t>
      </w:r>
      <w:r w:rsidRPr="00316DE1">
        <w:t xml:space="preserve">si no existe </w:t>
      </w:r>
      <w:r w:rsidR="000B5A6C">
        <w:t xml:space="preserve">la adecuada regulación </w:t>
      </w:r>
      <w:r w:rsidRPr="00316DE1">
        <w:t xml:space="preserve">o una buena predisposición y características de personalidad (Prada-Chapoñan et al., 2020; </w:t>
      </w:r>
      <w:proofErr w:type="spellStart"/>
      <w:r w:rsidRPr="00316DE1">
        <w:t>Dominguez</w:t>
      </w:r>
      <w:proofErr w:type="spellEnd"/>
      <w:r w:rsidRPr="00316DE1">
        <w:t xml:space="preserve">-Lara, 2018; </w:t>
      </w:r>
      <w:proofErr w:type="spellStart"/>
      <w:r w:rsidRPr="00316DE1">
        <w:t>Dominguez</w:t>
      </w:r>
      <w:proofErr w:type="spellEnd"/>
      <w:r w:rsidRPr="00316DE1">
        <w:t xml:space="preserve"> et al., 2018).</w:t>
      </w:r>
    </w:p>
    <w:p w14:paraId="14F9DFBE" w14:textId="2D1E81BE" w:rsidR="00316DE1" w:rsidRDefault="006C19A5" w:rsidP="00F671A4">
      <w:pPr>
        <w:ind w:firstLine="709"/>
      </w:pPr>
      <w:r>
        <w:t xml:space="preserve">La </w:t>
      </w:r>
      <w:r w:rsidR="00E97241">
        <w:t>fatiga emocional</w:t>
      </w:r>
      <w:r w:rsidR="00316DE1" w:rsidRPr="00316DE1">
        <w:t xml:space="preserve"> no se relaciona con el compromiso académico. Este resultado está en orden con el sentido de que</w:t>
      </w:r>
      <w:r w:rsidR="00AB43E0">
        <w:t xml:space="preserve"> </w:t>
      </w:r>
      <w:r w:rsidR="009A4076">
        <w:t xml:space="preserve">el empeño </w:t>
      </w:r>
      <w:r w:rsidR="009A4076" w:rsidRPr="00316DE1">
        <w:t>en las actividades académicas puede</w:t>
      </w:r>
      <w:r w:rsidR="00316DE1" w:rsidRPr="00316DE1">
        <w:t xml:space="preserve"> ser tan relevantes aun frente a </w:t>
      </w:r>
      <w:r w:rsidR="00AB43E0">
        <w:t xml:space="preserve">situaciones </w:t>
      </w:r>
      <w:r w:rsidR="00316DE1" w:rsidRPr="00316DE1">
        <w:t>como el cansancio, y de manera similar aspectos como la resiliencia, explican la asunción del compromiso académico en la adversidad (</w:t>
      </w:r>
      <w:proofErr w:type="spellStart"/>
      <w:r w:rsidR="00316DE1" w:rsidRPr="00316DE1">
        <w:t>Alrashidi</w:t>
      </w:r>
      <w:proofErr w:type="spellEnd"/>
      <w:r w:rsidR="00316DE1" w:rsidRPr="00316DE1">
        <w:t xml:space="preserve"> et al., 2016; Caballero et al., 2007), </w:t>
      </w:r>
      <w:r w:rsidR="00BD5A8B">
        <w:t>en tanto</w:t>
      </w:r>
      <w:r w:rsidR="00316DE1" w:rsidRPr="00316DE1">
        <w:t xml:space="preserve"> los comportamientos de gran voluntad son poderosos (</w:t>
      </w:r>
      <w:proofErr w:type="spellStart"/>
      <w:r w:rsidR="00316DE1" w:rsidRPr="00316DE1">
        <w:t>Mih</w:t>
      </w:r>
      <w:proofErr w:type="spellEnd"/>
      <w:r w:rsidR="00316DE1" w:rsidRPr="00316DE1">
        <w:t xml:space="preserve"> &amp; </w:t>
      </w:r>
      <w:proofErr w:type="spellStart"/>
      <w:r w:rsidR="00316DE1" w:rsidRPr="00316DE1">
        <w:t>Mih</w:t>
      </w:r>
      <w:proofErr w:type="spellEnd"/>
      <w:r w:rsidR="00316DE1" w:rsidRPr="00316DE1">
        <w:t xml:space="preserve">, 2013) llegando a disminuir el agotamiento (Chen et al., 2020). La </w:t>
      </w:r>
      <w:r w:rsidR="00316DE1" w:rsidRPr="00316DE1">
        <w:lastRenderedPageBreak/>
        <w:t xml:space="preserve">regulación emocional no se relaciona con el compromiso académico, lo que conlleva a la reflexión de que el compromiso </w:t>
      </w:r>
      <w:r w:rsidR="009A4076">
        <w:t xml:space="preserve">está relacionado con </w:t>
      </w:r>
      <w:r w:rsidR="00316DE1" w:rsidRPr="00316DE1">
        <w:t xml:space="preserve">la autoeficacia, en la creencia de las propias capacidades y no necesariamente del control de emociones (Caballero, 2006). </w:t>
      </w:r>
      <w:r w:rsidR="00BD5A8B">
        <w:t>En tanto</w:t>
      </w:r>
      <w:r w:rsidR="00316DE1" w:rsidRPr="00316DE1">
        <w:t>, un</w:t>
      </w:r>
      <w:r w:rsidR="00AB43E0">
        <w:t xml:space="preserve"> individuo </w:t>
      </w:r>
      <w:r w:rsidR="00316DE1" w:rsidRPr="00316DE1">
        <w:t xml:space="preserve">puede estar </w:t>
      </w:r>
      <w:r w:rsidR="00AB43E0">
        <w:t xml:space="preserve">indispuesto </w:t>
      </w:r>
      <w:r w:rsidR="00316DE1" w:rsidRPr="00316DE1">
        <w:t xml:space="preserve">emocionalmente; pero por </w:t>
      </w:r>
      <w:r w:rsidR="00AB43E0">
        <w:t xml:space="preserve">referencia </w:t>
      </w:r>
      <w:r w:rsidR="00316DE1" w:rsidRPr="00316DE1">
        <w:t xml:space="preserve">social, puede comprometerse con tal de </w:t>
      </w:r>
      <w:r w:rsidR="00E5694B">
        <w:t>conseguir resultados</w:t>
      </w:r>
      <w:r w:rsidR="00316DE1" w:rsidRPr="00316DE1">
        <w:t xml:space="preserve"> (</w:t>
      </w:r>
      <w:proofErr w:type="spellStart"/>
      <w:r w:rsidR="00316DE1" w:rsidRPr="00316DE1">
        <w:t>Oga</w:t>
      </w:r>
      <w:proofErr w:type="spellEnd"/>
      <w:r w:rsidR="00316DE1" w:rsidRPr="00316DE1">
        <w:t>-Baldwin, 2019). La predisposición y las expectativas también juegan un papel importante (Cole &amp;</w:t>
      </w:r>
      <w:proofErr w:type="spellStart"/>
      <w:r w:rsidR="00316DE1" w:rsidRPr="00316DE1">
        <w:t>Korkmaz</w:t>
      </w:r>
      <w:proofErr w:type="spellEnd"/>
      <w:r w:rsidR="00316DE1" w:rsidRPr="00316DE1">
        <w:t xml:space="preserve">, 2013; </w:t>
      </w:r>
      <w:proofErr w:type="spellStart"/>
      <w:r w:rsidR="00316DE1" w:rsidRPr="00316DE1">
        <w:t>Astin</w:t>
      </w:r>
      <w:proofErr w:type="spellEnd"/>
      <w:r w:rsidR="00316DE1" w:rsidRPr="00316DE1">
        <w:t xml:space="preserve"> y Lee (2003)</w:t>
      </w:r>
      <w:r>
        <w:t xml:space="preserve"> indican que </w:t>
      </w:r>
      <w:r w:rsidR="004F3EC4">
        <w:t>la fatiga</w:t>
      </w:r>
      <w:r w:rsidR="00E97241">
        <w:t xml:space="preserve"> emocional</w:t>
      </w:r>
      <w:r w:rsidR="00316DE1" w:rsidRPr="00316DE1">
        <w:t xml:space="preserve"> se relaciona con la supresión. El resultado está en orden con la consideración de que una vía importante, un mecanismo de cumplimiento y una manera de gestionar la respuesta emocional es la supresión, disminuyendo</w:t>
      </w:r>
      <w:r w:rsidR="00760D0C">
        <w:t xml:space="preserve"> </w:t>
      </w:r>
      <w:r w:rsidR="00316DE1" w:rsidRPr="00316DE1">
        <w:t xml:space="preserve">de </w:t>
      </w:r>
      <w:r w:rsidR="00760D0C">
        <w:t xml:space="preserve">forma significativa </w:t>
      </w:r>
      <w:r w:rsidR="00316DE1" w:rsidRPr="00316DE1">
        <w:t xml:space="preserve">las emociones </w:t>
      </w:r>
      <w:r w:rsidR="00760D0C">
        <w:t xml:space="preserve">inadecuadas </w:t>
      </w:r>
      <w:r w:rsidR="00316DE1" w:rsidRPr="00316DE1">
        <w:t xml:space="preserve">en </w:t>
      </w:r>
      <w:r w:rsidR="00760D0C">
        <w:t>pro</w:t>
      </w:r>
      <w:r w:rsidR="00316DE1" w:rsidRPr="00316DE1">
        <w:t xml:space="preserve"> de </w:t>
      </w:r>
      <w:r w:rsidR="00760D0C">
        <w:t xml:space="preserve">alcanzar la meta anhelada </w:t>
      </w:r>
      <w:r w:rsidR="00316DE1" w:rsidRPr="00316DE1">
        <w:t>(Gross y Jo</w:t>
      </w:r>
      <w:r w:rsidR="00397075">
        <w:t>h</w:t>
      </w:r>
      <w:r w:rsidR="00316DE1" w:rsidRPr="00316DE1">
        <w:t xml:space="preserve">n, 2003; McRae &amp; Gross, 2020). El cansancio y la regulación emocionales no presentan relación con las dimensiones del compromiso académico, por ello es </w:t>
      </w:r>
      <w:r w:rsidR="00450DC4">
        <w:t xml:space="preserve">importante </w:t>
      </w:r>
      <w:r w:rsidR="00316DE1" w:rsidRPr="00316DE1">
        <w:t xml:space="preserve">reflexionar sobre </w:t>
      </w:r>
      <w:r w:rsidR="00450DC4">
        <w:t>los diversos</w:t>
      </w:r>
      <w:r w:rsidR="00316DE1" w:rsidRPr="00316DE1">
        <w:t xml:space="preserve"> aspectos en el compromiso de los</w:t>
      </w:r>
      <w:r w:rsidR="00450DC4">
        <w:t xml:space="preserve"> </w:t>
      </w:r>
      <w:r w:rsidR="000F1286">
        <w:t>estudiantes</w:t>
      </w:r>
      <w:r w:rsidR="00316DE1" w:rsidRPr="00316DE1">
        <w:t xml:space="preserve">, como, por ejemplo, la </w:t>
      </w:r>
      <w:r w:rsidR="00450DC4">
        <w:t>volición</w:t>
      </w:r>
      <w:r w:rsidR="00316DE1" w:rsidRPr="00316DE1">
        <w:t xml:space="preserve">, la </w:t>
      </w:r>
      <w:r w:rsidR="00450DC4">
        <w:t>tolerancia</w:t>
      </w:r>
      <w:r w:rsidR="00316DE1" w:rsidRPr="00316DE1">
        <w:t xml:space="preserve">, </w:t>
      </w:r>
      <w:r w:rsidR="00450DC4">
        <w:t xml:space="preserve">el empeño, el </w:t>
      </w:r>
      <w:r w:rsidR="00316DE1" w:rsidRPr="00316DE1">
        <w:t xml:space="preserve">esfuerzo pueden </w:t>
      </w:r>
      <w:r w:rsidR="00450DC4">
        <w:t xml:space="preserve">dinamizar </w:t>
      </w:r>
      <w:r w:rsidR="00316DE1" w:rsidRPr="00316DE1">
        <w:t xml:space="preserve">a un </w:t>
      </w:r>
      <w:r w:rsidR="000F1286">
        <w:t>alumno</w:t>
      </w:r>
      <w:r w:rsidR="00316DE1" w:rsidRPr="00316DE1">
        <w:t>, a pesar de su</w:t>
      </w:r>
      <w:r w:rsidR="00450DC4">
        <w:t xml:space="preserve"> fatiga</w:t>
      </w:r>
      <w:r w:rsidR="00316DE1" w:rsidRPr="00316DE1">
        <w:t xml:space="preserve"> o </w:t>
      </w:r>
      <w:r w:rsidR="00450DC4">
        <w:t xml:space="preserve">problemas </w:t>
      </w:r>
      <w:r w:rsidR="00316DE1" w:rsidRPr="00316DE1">
        <w:t>familiares, personales, económic</w:t>
      </w:r>
      <w:r w:rsidR="009F46EF">
        <w:t>o</w:t>
      </w:r>
      <w:r w:rsidR="00316DE1" w:rsidRPr="00316DE1">
        <w:t xml:space="preserve">s o de otra </w:t>
      </w:r>
      <w:r w:rsidR="00450DC4">
        <w:t>condición</w:t>
      </w:r>
      <w:r w:rsidR="00316DE1" w:rsidRPr="00316DE1">
        <w:t xml:space="preserve">. </w:t>
      </w:r>
      <w:r w:rsidR="00BD5A8B">
        <w:t>De igual forma</w:t>
      </w:r>
      <w:r w:rsidR="00316DE1" w:rsidRPr="00316DE1">
        <w:t xml:space="preserve">, </w:t>
      </w:r>
      <w:r w:rsidR="00450DC4">
        <w:t xml:space="preserve">aspectos </w:t>
      </w:r>
      <w:r w:rsidR="00316DE1" w:rsidRPr="00316DE1">
        <w:t xml:space="preserve">como la necesidad de </w:t>
      </w:r>
      <w:r w:rsidR="00450DC4">
        <w:t>conservar</w:t>
      </w:r>
      <w:r w:rsidR="00316DE1" w:rsidRPr="00316DE1">
        <w:t xml:space="preserve"> una imagen en el grupo o la </w:t>
      </w:r>
      <w:r w:rsidR="009F46EF">
        <w:t>comunidad</w:t>
      </w:r>
      <w:r w:rsidR="00316DE1" w:rsidRPr="00316DE1">
        <w:t xml:space="preserve">, con tal de </w:t>
      </w:r>
      <w:r w:rsidR="00450DC4">
        <w:t xml:space="preserve">mantener </w:t>
      </w:r>
      <w:r w:rsidR="00316DE1" w:rsidRPr="00316DE1">
        <w:t xml:space="preserve">el </w:t>
      </w:r>
      <w:r w:rsidR="00A5399C">
        <w:t>nivel o rigor</w:t>
      </w:r>
      <w:r w:rsidR="00316DE1" w:rsidRPr="00316DE1">
        <w:t xml:space="preserve">, así haya un </w:t>
      </w:r>
      <w:r w:rsidR="00A5399C">
        <w:t xml:space="preserve">gran </w:t>
      </w:r>
      <w:r w:rsidR="00450DC4">
        <w:t>padecimiento</w:t>
      </w:r>
      <w:r w:rsidR="00316DE1" w:rsidRPr="00316DE1">
        <w:t xml:space="preserve">, </w:t>
      </w:r>
      <w:r w:rsidR="00A5399C">
        <w:t xml:space="preserve">conllevan a que </w:t>
      </w:r>
      <w:r w:rsidR="00316DE1" w:rsidRPr="00316DE1">
        <w:t>el estudiante pued</w:t>
      </w:r>
      <w:r w:rsidR="00450DC4">
        <w:t xml:space="preserve">a continuar </w:t>
      </w:r>
      <w:r w:rsidR="00316DE1" w:rsidRPr="00316DE1">
        <w:t xml:space="preserve">con tal de </w:t>
      </w:r>
      <w:r w:rsidR="00A5399C">
        <w:t xml:space="preserve">alcanzar </w:t>
      </w:r>
      <w:r w:rsidR="00316DE1" w:rsidRPr="00316DE1">
        <w:t xml:space="preserve">sus </w:t>
      </w:r>
      <w:r w:rsidR="00A5399C">
        <w:t>objetivos</w:t>
      </w:r>
      <w:r w:rsidR="00316DE1" w:rsidRPr="00316DE1">
        <w:t xml:space="preserve"> </w:t>
      </w:r>
      <w:r w:rsidR="00450DC4">
        <w:t>determinad</w:t>
      </w:r>
      <w:r w:rsidR="00A5399C">
        <w:t>os</w:t>
      </w:r>
      <w:r w:rsidR="00316DE1" w:rsidRPr="00316DE1">
        <w:t xml:space="preserve">. En una </w:t>
      </w:r>
      <w:r w:rsidR="00A5399C">
        <w:t xml:space="preserve">etapa de </w:t>
      </w:r>
      <w:r w:rsidR="00316DE1" w:rsidRPr="00316DE1">
        <w:t xml:space="preserve">post pandemia, es </w:t>
      </w:r>
      <w:r w:rsidR="00A5399C">
        <w:t xml:space="preserve">posible </w:t>
      </w:r>
      <w:r w:rsidR="00316DE1" w:rsidRPr="00316DE1">
        <w:t xml:space="preserve">que </w:t>
      </w:r>
      <w:r w:rsidR="00450DC4">
        <w:t xml:space="preserve">el individuo </w:t>
      </w:r>
      <w:r w:rsidR="00316DE1" w:rsidRPr="00316DE1">
        <w:t>esté optando por divers</w:t>
      </w:r>
      <w:r w:rsidR="00A5399C">
        <w:t>a</w:t>
      </w:r>
      <w:r w:rsidR="00316DE1" w:rsidRPr="00316DE1">
        <w:t xml:space="preserve">s </w:t>
      </w:r>
      <w:r w:rsidR="00A5399C">
        <w:t xml:space="preserve">maneras </w:t>
      </w:r>
      <w:r w:rsidR="00316DE1" w:rsidRPr="00316DE1">
        <w:t xml:space="preserve">de </w:t>
      </w:r>
      <w:r w:rsidR="00450DC4">
        <w:t xml:space="preserve">afrontamiento </w:t>
      </w:r>
      <w:r w:rsidR="00316DE1" w:rsidRPr="00316DE1">
        <w:t>frente</w:t>
      </w:r>
      <w:r w:rsidR="008556DF">
        <w:t xml:space="preserve"> al infortunio. E</w:t>
      </w:r>
      <w:r w:rsidR="00316DE1" w:rsidRPr="00316DE1">
        <w:t xml:space="preserve">l </w:t>
      </w:r>
      <w:r w:rsidR="008556DF">
        <w:t xml:space="preserve">apalancamiento </w:t>
      </w:r>
      <w:r w:rsidR="00316DE1" w:rsidRPr="00316DE1">
        <w:t xml:space="preserve">de la </w:t>
      </w:r>
      <w:r w:rsidR="00450DC4">
        <w:t xml:space="preserve">resistencia </w:t>
      </w:r>
      <w:r w:rsidR="00316DE1" w:rsidRPr="00316DE1">
        <w:t xml:space="preserve">y </w:t>
      </w:r>
      <w:r w:rsidR="008556DF">
        <w:t xml:space="preserve">el comportamiento es de gran </w:t>
      </w:r>
      <w:r w:rsidR="00450DC4">
        <w:t xml:space="preserve">relevancia </w:t>
      </w:r>
      <w:r w:rsidR="00316DE1" w:rsidRPr="00316DE1">
        <w:t>frente a otr</w:t>
      </w:r>
      <w:r w:rsidR="008556DF">
        <w:t>as condiciones</w:t>
      </w:r>
      <w:r w:rsidR="00316DE1" w:rsidRPr="00316DE1">
        <w:t xml:space="preserve">. El presente estudio ha abordado un tema de relevancia, el cual no desestima los resultados, sin embargo, es importante recalcar las principales limitaciones, como fundamental radica en el tamaño de la muestra, que, si bien fue calculado mediante procesos estadísticos, estos no fueron significativas, </w:t>
      </w:r>
      <w:r w:rsidR="0038084A">
        <w:t>ya que</w:t>
      </w:r>
      <w:r w:rsidR="00316DE1" w:rsidRPr="00316DE1">
        <w:t xml:space="preserve"> para estudios correlacionales se requiero muestras cada vez más grandes, además, podría ser necesario el uso de calculadoras más robustas.</w:t>
      </w:r>
    </w:p>
    <w:p w14:paraId="6D074BEC" w14:textId="77777777" w:rsidR="008942F6" w:rsidRDefault="008942F6" w:rsidP="00316DE1"/>
    <w:p w14:paraId="7451E576" w14:textId="7844A5D6" w:rsidR="008942F6" w:rsidRPr="00F671A4" w:rsidRDefault="008942F6" w:rsidP="00F671A4">
      <w:pPr>
        <w:jc w:val="center"/>
        <w:rPr>
          <w:sz w:val="32"/>
          <w:szCs w:val="28"/>
        </w:rPr>
      </w:pPr>
      <w:r w:rsidRPr="00F671A4">
        <w:rPr>
          <w:b/>
          <w:bCs/>
          <w:sz w:val="32"/>
          <w:szCs w:val="28"/>
        </w:rPr>
        <w:t>Conclusiones</w:t>
      </w:r>
    </w:p>
    <w:p w14:paraId="19F3BB3A" w14:textId="42478716" w:rsidR="00605B08" w:rsidRDefault="00316DE1" w:rsidP="00F671A4">
      <w:pPr>
        <w:ind w:firstLine="709"/>
      </w:pPr>
      <w:r w:rsidRPr="00316DE1">
        <w:t xml:space="preserve">En síntesis, los hallazgos de la presente investigación indican </w:t>
      </w:r>
      <w:proofErr w:type="spellStart"/>
      <w:r w:rsidRPr="00316DE1">
        <w:t>que</w:t>
      </w:r>
      <w:r w:rsidR="004F3EC4">
        <w:t>la</w:t>
      </w:r>
      <w:proofErr w:type="spellEnd"/>
      <w:r w:rsidR="004F3EC4">
        <w:t xml:space="preserve"> fatiga</w:t>
      </w:r>
      <w:r w:rsidR="00E97241">
        <w:t xml:space="preserve"> emocional</w:t>
      </w:r>
      <w:r w:rsidRPr="00316DE1">
        <w:t xml:space="preserve"> se relaciona con la capacidad de modificar, controlar o frenar las propias reacciones. Sin embargo, la fatiga y cansancio respectivos no se relacionan con el compromiso frente a las actividades académicas. El compromiso puede disminuir la sensación de cansancio. Por otro lado, no hay relación entre regulación emocional y compromiso académico. Otros aspectos </w:t>
      </w:r>
      <w:r w:rsidRPr="00316DE1">
        <w:lastRenderedPageBreak/>
        <w:t xml:space="preserve">como la autoeficacia, la creencia en las propias acciones y cumplir metas por comparación social, pueden ser fuertes para el cumplimiento de metas. </w:t>
      </w:r>
      <w:proofErr w:type="spellStart"/>
      <w:proofErr w:type="gramStart"/>
      <w:r w:rsidRPr="00316DE1">
        <w:t>Y,</w:t>
      </w:r>
      <w:r w:rsidR="004F3EC4">
        <w:t>la</w:t>
      </w:r>
      <w:proofErr w:type="spellEnd"/>
      <w:proofErr w:type="gramEnd"/>
      <w:r w:rsidR="004F3EC4">
        <w:t xml:space="preserve"> fatiga</w:t>
      </w:r>
      <w:r w:rsidR="00E97241">
        <w:t xml:space="preserve"> emocional</w:t>
      </w:r>
      <w:r w:rsidRPr="00316DE1">
        <w:t xml:space="preserve"> se relaciona con la supresión, lo que implica que no necesariamente es necesario reflexionar, si no, interrumpir los pensamientos o el malestar con tal de proseguir hacia la meta.</w:t>
      </w:r>
      <w:r w:rsidR="00605B08">
        <w:t xml:space="preserve"> Finalmente, se evidenció que e</w:t>
      </w:r>
      <w:r w:rsidR="00605B08" w:rsidRPr="00605B08">
        <w:t>l cansancio y la regulación emocional no predicen el compromiso académico en universitarios</w:t>
      </w:r>
      <w:r w:rsidR="00856B46">
        <w:t>.</w:t>
      </w:r>
    </w:p>
    <w:p w14:paraId="78876CDC" w14:textId="77777777" w:rsidR="00605B08" w:rsidRDefault="00605B08" w:rsidP="00316DE1"/>
    <w:p w14:paraId="7DE3E9F5" w14:textId="7B491940" w:rsidR="00605B08" w:rsidRPr="00F671A4" w:rsidRDefault="00605B08" w:rsidP="00F671A4">
      <w:pPr>
        <w:jc w:val="center"/>
        <w:rPr>
          <w:b/>
          <w:bCs/>
          <w:sz w:val="28"/>
          <w:szCs w:val="24"/>
        </w:rPr>
      </w:pPr>
      <w:r w:rsidRPr="00F671A4">
        <w:rPr>
          <w:b/>
          <w:bCs/>
          <w:sz w:val="28"/>
          <w:szCs w:val="24"/>
        </w:rPr>
        <w:t>Futuras líneas de investigación</w:t>
      </w:r>
    </w:p>
    <w:p w14:paraId="1648E570" w14:textId="1A396E86" w:rsidR="00A94527" w:rsidRPr="00A94527" w:rsidRDefault="00316DE1" w:rsidP="00F671A4">
      <w:pPr>
        <w:ind w:firstLine="709"/>
      </w:pPr>
      <w:r w:rsidRPr="00316DE1">
        <w:t xml:space="preserve">Es importante mencionar que es recomendable profundizar estudios sobre aspectos de la relación entre cansancio y regulación emocionales, </w:t>
      </w:r>
      <w:r w:rsidR="00FE3B51" w:rsidRPr="00FE3B51">
        <w:t>como, por ejemplo, el rendimiento académico, y explorar detalles de la relación entre el cansancio emocional y la supresión, considerando experiencias afectivas positivas y negativas, la ansiedad y la depresión, entre otros aspectos, los cuales permitirán una mejor comprensión de las variables</w:t>
      </w:r>
      <w:r w:rsidRPr="00316DE1">
        <w:t xml:space="preserve">. </w:t>
      </w:r>
      <w:r w:rsidR="000B7BD3" w:rsidRPr="000B7BD3">
        <w:t>Además, los resultados proporcionan una base para investigar las complejas interacciones entre el cansancio emocional, la regulación emocional y el compromiso académico en estudiantes universitarios</w:t>
      </w:r>
      <w:r w:rsidRPr="00316DE1">
        <w:t xml:space="preserve">. Abordar estas áreas de investigación puede contribuir al desarrollo de estrategias más efectivas para promover </w:t>
      </w:r>
      <w:r w:rsidR="00D93A55">
        <w:t xml:space="preserve">la satisfacción </w:t>
      </w:r>
      <w:r w:rsidRPr="00316DE1">
        <w:t xml:space="preserve">y el </w:t>
      </w:r>
      <w:r w:rsidR="00D93A55">
        <w:t xml:space="preserve">logro </w:t>
      </w:r>
      <w:r w:rsidRPr="00316DE1">
        <w:t>académico de los estudiantes en entornos universitarios.</w:t>
      </w:r>
      <w:r w:rsidR="00A94527" w:rsidRPr="00A94527">
        <w:t xml:space="preserve"> </w:t>
      </w:r>
      <w:r w:rsidR="00856B46" w:rsidRPr="00856B46">
        <w:t>Futuras investigaciones podrían incluir análisis comparativos entre diferentes grupos de estudiantes. Estas podrían considerar variables como el nivel de estudio (pregrado versus posgrado), las disciplinas académicas (carreras técnicas versus humanísticas) o variables sociodemográficas, como el género y el nivel socioeconómico. Esto permitiría evaluar si las relaciones entre el cansancio emocional, la regulación emocional y el compromiso académico son consistentes o varían según el perfil del estudiante</w:t>
      </w:r>
      <w:r w:rsidR="00A94527" w:rsidRPr="00A94527">
        <w:t xml:space="preserve">. </w:t>
      </w:r>
      <w:r w:rsidR="00856B46" w:rsidRPr="00856B46">
        <w:t>Explorar estas cuestiones facilitará el desarrollo de estrategias de intervención específicas y efectivas para promover el bienestar académico de los estudiantes universitarios</w:t>
      </w:r>
      <w:r w:rsidR="00A94527" w:rsidRPr="00A94527">
        <w:t>.</w:t>
      </w:r>
    </w:p>
    <w:p w14:paraId="1085C75A" w14:textId="0596AB72" w:rsidR="00316DE1" w:rsidRDefault="00316DE1" w:rsidP="00316DE1"/>
    <w:p w14:paraId="5FDAF0FF" w14:textId="77777777" w:rsidR="00FE48E5" w:rsidRDefault="00FE48E5" w:rsidP="00316DE1"/>
    <w:p w14:paraId="09EE19CB" w14:textId="77777777" w:rsidR="00FE48E5" w:rsidRDefault="00FE48E5" w:rsidP="00316DE1"/>
    <w:p w14:paraId="1D24B058" w14:textId="77777777" w:rsidR="00FE48E5" w:rsidRDefault="00FE48E5" w:rsidP="00316DE1"/>
    <w:p w14:paraId="16CCA1DC" w14:textId="77777777" w:rsidR="00FE48E5" w:rsidRDefault="00FE48E5" w:rsidP="00316DE1"/>
    <w:p w14:paraId="5C0C922C" w14:textId="77777777" w:rsidR="00FE48E5" w:rsidRDefault="00FE48E5" w:rsidP="00316DE1"/>
    <w:p w14:paraId="5109CF8C" w14:textId="77777777" w:rsidR="00FE48E5" w:rsidRDefault="00FE48E5" w:rsidP="00316DE1"/>
    <w:p w14:paraId="05326D07" w14:textId="77777777" w:rsidR="00316DE1" w:rsidRPr="00F671A4" w:rsidRDefault="00316DE1" w:rsidP="00316DE1">
      <w:pPr>
        <w:rPr>
          <w:rFonts w:asciiTheme="minorHAnsi" w:hAnsiTheme="minorHAnsi" w:cstheme="minorHAnsi"/>
          <w:b/>
          <w:sz w:val="28"/>
          <w:szCs w:val="24"/>
          <w:lang w:val="es-ES"/>
        </w:rPr>
      </w:pPr>
      <w:r w:rsidRPr="00F671A4">
        <w:rPr>
          <w:rFonts w:asciiTheme="minorHAnsi" w:hAnsiTheme="minorHAnsi" w:cstheme="minorHAnsi"/>
          <w:b/>
          <w:sz w:val="28"/>
          <w:szCs w:val="24"/>
          <w:lang w:val="es-ES"/>
        </w:rPr>
        <w:lastRenderedPageBreak/>
        <w:t>Referencias</w:t>
      </w:r>
    </w:p>
    <w:p w14:paraId="68EAAD0B" w14:textId="77777777" w:rsidR="009D7705" w:rsidRPr="00316DE1" w:rsidRDefault="009D7705" w:rsidP="00316DE1">
      <w:pPr>
        <w:ind w:left="720" w:hanging="720"/>
        <w:rPr>
          <w:lang w:val="en-US"/>
        </w:rPr>
      </w:pPr>
      <w:proofErr w:type="spellStart"/>
      <w:r w:rsidRPr="00C972AB">
        <w:rPr>
          <w:lang w:val="es-ES"/>
        </w:rPr>
        <w:t>Alrashidi</w:t>
      </w:r>
      <w:proofErr w:type="spellEnd"/>
      <w:r w:rsidRPr="00C972AB">
        <w:rPr>
          <w:lang w:val="es-ES"/>
        </w:rPr>
        <w:t xml:space="preserve">, O., </w:t>
      </w:r>
      <w:proofErr w:type="spellStart"/>
      <w:r w:rsidRPr="00C972AB">
        <w:rPr>
          <w:lang w:val="es-ES"/>
        </w:rPr>
        <w:t>Phan</w:t>
      </w:r>
      <w:proofErr w:type="spellEnd"/>
      <w:r w:rsidRPr="00C972AB">
        <w:rPr>
          <w:lang w:val="es-ES"/>
        </w:rPr>
        <w:t xml:space="preserve">, H. P., &amp; </w:t>
      </w:r>
      <w:proofErr w:type="spellStart"/>
      <w:r w:rsidRPr="00C972AB">
        <w:rPr>
          <w:lang w:val="es-ES"/>
        </w:rPr>
        <w:t>Ngu</w:t>
      </w:r>
      <w:proofErr w:type="spellEnd"/>
      <w:r w:rsidRPr="00C972AB">
        <w:rPr>
          <w:lang w:val="es-ES"/>
        </w:rPr>
        <w:t xml:space="preserve">, B. H. (2016). </w:t>
      </w:r>
      <w:r w:rsidRPr="00316DE1">
        <w:rPr>
          <w:lang w:val="en-US"/>
        </w:rPr>
        <w:t xml:space="preserve">Academic Engagement: An Overview of Its Definitions, Dimensions, and Major </w:t>
      </w:r>
      <w:proofErr w:type="spellStart"/>
      <w:r w:rsidRPr="00316DE1">
        <w:rPr>
          <w:lang w:val="en-US"/>
        </w:rPr>
        <w:t>Conceptualisations</w:t>
      </w:r>
      <w:proofErr w:type="spellEnd"/>
      <w:r w:rsidRPr="00316DE1">
        <w:rPr>
          <w:lang w:val="en-US"/>
        </w:rPr>
        <w:t xml:space="preserve">. </w:t>
      </w:r>
      <w:r w:rsidRPr="00316DE1">
        <w:rPr>
          <w:i/>
          <w:iCs/>
          <w:lang w:val="en-US"/>
        </w:rPr>
        <w:t>International Education Studies, 9</w:t>
      </w:r>
      <w:r w:rsidRPr="00316DE1">
        <w:rPr>
          <w:lang w:val="en-US"/>
        </w:rPr>
        <w:t xml:space="preserve">(12), 41. </w:t>
      </w:r>
      <w:hyperlink r:id="rId8" w:history="1">
        <w:r w:rsidRPr="00316DE1">
          <w:rPr>
            <w:rStyle w:val="Hipervnculo"/>
            <w:lang w:val="en-US"/>
          </w:rPr>
          <w:t>https://doi.org/10.5539/ies.v9n12p41</w:t>
        </w:r>
      </w:hyperlink>
    </w:p>
    <w:p w14:paraId="4D6AE2B6" w14:textId="77777777" w:rsidR="009D7705" w:rsidRPr="00316DE1" w:rsidRDefault="009D7705" w:rsidP="00316DE1">
      <w:pPr>
        <w:ind w:left="720" w:hanging="720"/>
        <w:rPr>
          <w:lang w:val="en-US"/>
        </w:rPr>
      </w:pPr>
      <w:proofErr w:type="spellStart"/>
      <w:r w:rsidRPr="00316DE1">
        <w:t>Astin</w:t>
      </w:r>
      <w:proofErr w:type="spellEnd"/>
      <w:r w:rsidRPr="00316DE1">
        <w:t xml:space="preserve">, A. W., &amp; Lee, J. J. (2003). </w:t>
      </w:r>
      <w:r w:rsidRPr="00316DE1">
        <w:rPr>
          <w:lang w:val="en-US"/>
        </w:rPr>
        <w:t xml:space="preserve">How risky are one-shot cross-sectional assessments of undergraduate students? </w:t>
      </w:r>
      <w:r w:rsidRPr="00316DE1">
        <w:rPr>
          <w:i/>
          <w:iCs/>
          <w:lang w:val="en-US"/>
        </w:rPr>
        <w:t>Research in Higher Education, 44</w:t>
      </w:r>
      <w:r w:rsidRPr="00316DE1">
        <w:rPr>
          <w:lang w:val="en-US"/>
        </w:rPr>
        <w:t xml:space="preserve">(6), 657–672. </w:t>
      </w:r>
      <w:hyperlink r:id="rId9" w:history="1">
        <w:r w:rsidRPr="00316DE1">
          <w:rPr>
            <w:rStyle w:val="Hipervnculo"/>
            <w:lang w:val="en-US"/>
          </w:rPr>
          <w:t>https://doi.org/10.1023/A:1026175525173</w:t>
        </w:r>
      </w:hyperlink>
    </w:p>
    <w:p w14:paraId="18884C04" w14:textId="23F14673" w:rsidR="009D7705" w:rsidRDefault="009D7705" w:rsidP="00316DE1">
      <w:pPr>
        <w:ind w:left="720" w:hanging="720"/>
      </w:pPr>
      <w:proofErr w:type="spellStart"/>
      <w:r w:rsidRPr="00C972AB">
        <w:rPr>
          <w:lang w:val="en-US"/>
        </w:rPr>
        <w:t>Atauje</w:t>
      </w:r>
      <w:proofErr w:type="spellEnd"/>
      <w:r w:rsidRPr="00C972AB">
        <w:rPr>
          <w:lang w:val="en-US"/>
        </w:rPr>
        <w:t xml:space="preserve">, C. (2021). </w:t>
      </w:r>
      <w:r w:rsidRPr="003E72AC">
        <w:rPr>
          <w:lang w:val="es-ES"/>
        </w:rPr>
        <w:t xml:space="preserve">Regulación emocional, agotamiento emocional y </w:t>
      </w:r>
      <w:proofErr w:type="spellStart"/>
      <w:r w:rsidRPr="003E72AC">
        <w:rPr>
          <w:lang w:val="es-ES"/>
        </w:rPr>
        <w:t>engagement</w:t>
      </w:r>
      <w:proofErr w:type="spellEnd"/>
      <w:r w:rsidRPr="003E72AC">
        <w:rPr>
          <w:lang w:val="es-ES"/>
        </w:rPr>
        <w:t xml:space="preserve"> a través de la satisfacción o frustración de las necesidades psicológicas básicas en trabajadores de empresas del sector financiero [Pontificia Universidad Católica del Perú]. </w:t>
      </w:r>
      <w:hyperlink r:id="rId10" w:history="1">
        <w:r w:rsidR="000A4E07" w:rsidRPr="00EC6FFA">
          <w:rPr>
            <w:rStyle w:val="Hipervnculo"/>
          </w:rPr>
          <w:t>https://tesis.pucp.edu.pe/repositorio/handle/20.500.12404/19117</w:t>
        </w:r>
      </w:hyperlink>
    </w:p>
    <w:p w14:paraId="3FD8FE82" w14:textId="77777777" w:rsidR="009D7705" w:rsidRPr="00316DE1" w:rsidRDefault="009D7705" w:rsidP="00316DE1">
      <w:pPr>
        <w:ind w:left="720" w:hanging="720"/>
        <w:rPr>
          <w:lang w:val="es-ES"/>
        </w:rPr>
      </w:pPr>
      <w:r w:rsidRPr="00C972AB">
        <w:rPr>
          <w:lang w:val="es-ES"/>
        </w:rPr>
        <w:t xml:space="preserve">Ato, M., López-García, J. J., &amp; Benavente, A. (2013). </w:t>
      </w:r>
      <w:r w:rsidRPr="00316DE1">
        <w:rPr>
          <w:lang w:val="es-ES"/>
        </w:rPr>
        <w:t xml:space="preserve">Un sistema de clasificación de los diseños de investigación en psicología. </w:t>
      </w:r>
      <w:r w:rsidRPr="00316DE1">
        <w:rPr>
          <w:i/>
          <w:iCs/>
          <w:lang w:val="es-ES"/>
        </w:rPr>
        <w:t>Anales de Psicología, 29</w:t>
      </w:r>
      <w:r w:rsidRPr="00316DE1">
        <w:rPr>
          <w:lang w:val="es-ES"/>
        </w:rPr>
        <w:t xml:space="preserve">(3), 1038–1059. </w:t>
      </w:r>
      <w:hyperlink r:id="rId11" w:history="1">
        <w:r w:rsidRPr="00316DE1">
          <w:rPr>
            <w:rStyle w:val="Hipervnculo"/>
            <w:lang w:val="es-ES"/>
          </w:rPr>
          <w:t>https://doi.org/10.6018/analesps.29.3.178511</w:t>
        </w:r>
      </w:hyperlink>
    </w:p>
    <w:p w14:paraId="02A89EE4" w14:textId="77777777" w:rsidR="009D7705" w:rsidRPr="00316DE1" w:rsidRDefault="009D7705" w:rsidP="00316DE1">
      <w:pPr>
        <w:ind w:left="720" w:hanging="720"/>
        <w:rPr>
          <w:lang w:val="es-ES"/>
        </w:rPr>
      </w:pPr>
      <w:r w:rsidRPr="00316DE1">
        <w:rPr>
          <w:lang w:val="es-ES"/>
        </w:rPr>
        <w:t xml:space="preserve">Barreto-Osama, D., &amp; Salazar-Blanco, H. A. (2021). </w:t>
      </w:r>
      <w:r w:rsidRPr="007B7194">
        <w:rPr>
          <w:lang w:val="en-US"/>
        </w:rPr>
        <w:t xml:space="preserve">Emotional exhaustion in university students in the health area. </w:t>
      </w:r>
      <w:r w:rsidRPr="00316DE1">
        <w:rPr>
          <w:i/>
          <w:iCs/>
          <w:lang w:val="es-ES"/>
        </w:rPr>
        <w:t>Universidad y Salud, 23</w:t>
      </w:r>
      <w:r w:rsidRPr="00316DE1">
        <w:rPr>
          <w:lang w:val="es-ES"/>
        </w:rPr>
        <w:t>(1)</w:t>
      </w:r>
      <w:r>
        <w:rPr>
          <w:lang w:val="es-ES"/>
        </w:rPr>
        <w:t>, 30-39.</w:t>
      </w:r>
      <w:r w:rsidRPr="00316DE1">
        <w:rPr>
          <w:lang w:val="es-ES"/>
        </w:rPr>
        <w:t xml:space="preserve"> </w:t>
      </w:r>
      <w:hyperlink r:id="rId12" w:history="1">
        <w:r w:rsidRPr="00316DE1">
          <w:rPr>
            <w:rStyle w:val="Hipervnculo"/>
            <w:lang w:val="es-ES"/>
          </w:rPr>
          <w:t>https://doi.org/10.22267/rus.212301.211</w:t>
        </w:r>
      </w:hyperlink>
    </w:p>
    <w:p w14:paraId="19E44641" w14:textId="77777777" w:rsidR="009D7705" w:rsidRPr="00316DE1" w:rsidRDefault="009D7705" w:rsidP="00316DE1">
      <w:pPr>
        <w:ind w:left="720" w:hanging="720"/>
        <w:rPr>
          <w:lang w:val="es-ES"/>
        </w:rPr>
      </w:pPr>
      <w:r w:rsidRPr="00316DE1">
        <w:rPr>
          <w:lang w:val="es-ES"/>
        </w:rPr>
        <w:t xml:space="preserve">Caballero C, Abello, R. y Palacios J. (2006) Burnout, </w:t>
      </w:r>
      <w:proofErr w:type="spellStart"/>
      <w:r w:rsidRPr="00316DE1">
        <w:rPr>
          <w:lang w:val="es-ES"/>
        </w:rPr>
        <w:t>Engagement</w:t>
      </w:r>
      <w:proofErr w:type="spellEnd"/>
      <w:r w:rsidRPr="00316DE1">
        <w:rPr>
          <w:lang w:val="es-ES"/>
        </w:rPr>
        <w:t xml:space="preserve"> y Rendimiento académico entre estudiantes universitarios que trabajan y aquellos que no trabajan. </w:t>
      </w:r>
      <w:r w:rsidRPr="00316DE1">
        <w:rPr>
          <w:i/>
          <w:iCs/>
          <w:lang w:val="es-ES"/>
        </w:rPr>
        <w:t xml:space="preserve">Revista </w:t>
      </w:r>
      <w:proofErr w:type="spellStart"/>
      <w:r w:rsidRPr="00316DE1">
        <w:rPr>
          <w:i/>
          <w:iCs/>
          <w:lang w:val="es-ES"/>
        </w:rPr>
        <w:t>Psicogente</w:t>
      </w:r>
      <w:proofErr w:type="spellEnd"/>
      <w:r w:rsidRPr="00316DE1">
        <w:rPr>
          <w:i/>
          <w:iCs/>
          <w:lang w:val="es-ES"/>
        </w:rPr>
        <w:t>; 9</w:t>
      </w:r>
      <w:r w:rsidRPr="00316DE1">
        <w:rPr>
          <w:lang w:val="es-ES"/>
        </w:rPr>
        <w:t>(16)</w:t>
      </w:r>
      <w:r>
        <w:rPr>
          <w:lang w:val="es-ES"/>
        </w:rPr>
        <w:t xml:space="preserve">, </w:t>
      </w:r>
      <w:r w:rsidRPr="00316DE1">
        <w:rPr>
          <w:lang w:val="es-ES"/>
        </w:rPr>
        <w:t xml:space="preserve">11-27. </w:t>
      </w:r>
      <w:hyperlink r:id="rId13" w:history="1">
        <w:r w:rsidRPr="00316DE1">
          <w:rPr>
            <w:rStyle w:val="Hipervnculo"/>
            <w:lang w:val="es-ES"/>
          </w:rPr>
          <w:t>http://revistas.unisimon.edu.co/index.php/psicogente/article/view/2678/2705</w:t>
        </w:r>
      </w:hyperlink>
    </w:p>
    <w:p w14:paraId="6567F2A5" w14:textId="77777777" w:rsidR="009D7705" w:rsidRPr="00316DE1" w:rsidRDefault="009D7705" w:rsidP="00316DE1">
      <w:pPr>
        <w:ind w:left="720" w:hanging="720"/>
      </w:pPr>
      <w:r w:rsidRPr="00316DE1">
        <w:rPr>
          <w:lang w:val="es-ES"/>
        </w:rPr>
        <w:t xml:space="preserve">Caballero, C., Abello, R.  </w:t>
      </w:r>
      <w:r>
        <w:rPr>
          <w:lang w:val="es-ES"/>
        </w:rPr>
        <w:t xml:space="preserve">&amp; </w:t>
      </w:r>
      <w:r w:rsidRPr="00316DE1">
        <w:rPr>
          <w:lang w:val="es-ES"/>
        </w:rPr>
        <w:t xml:space="preserve">Palacios, J.  </w:t>
      </w:r>
      <w:r w:rsidRPr="00E239C0">
        <w:rPr>
          <w:lang w:val="en-US"/>
        </w:rPr>
        <w:t xml:space="preserve">(2007).  </w:t>
      </w:r>
      <w:r w:rsidRPr="007B7194">
        <w:rPr>
          <w:lang w:val="en-US"/>
        </w:rPr>
        <w:t xml:space="preserve">Relationship between burnout and academic performance and satisfaction with studies in university students. </w:t>
      </w:r>
      <w:r w:rsidRPr="00316DE1">
        <w:rPr>
          <w:i/>
          <w:iCs/>
          <w:lang w:val="es-ES"/>
        </w:rPr>
        <w:t>Avances en Psicología Latinoamericana, 25</w:t>
      </w:r>
      <w:r w:rsidRPr="00316DE1">
        <w:rPr>
          <w:lang w:val="es-ES"/>
        </w:rPr>
        <w:t xml:space="preserve">(2), 98-111. </w:t>
      </w:r>
      <w:hyperlink r:id="rId14" w:history="1">
        <w:r w:rsidRPr="00316DE1">
          <w:rPr>
            <w:rStyle w:val="Hipervnculo"/>
          </w:rPr>
          <w:t>http://www.scielo.org.co/pdf/apl/v25n2/v25n2a7.pdf</w:t>
        </w:r>
      </w:hyperlink>
    </w:p>
    <w:p w14:paraId="5FD49C46" w14:textId="77777777" w:rsidR="009D7705" w:rsidRPr="00316DE1" w:rsidRDefault="009D7705" w:rsidP="00316DE1">
      <w:pPr>
        <w:ind w:left="720" w:hanging="720"/>
        <w:rPr>
          <w:lang w:val="en-US"/>
        </w:rPr>
      </w:pPr>
      <w:r w:rsidRPr="00316DE1">
        <w:rPr>
          <w:lang w:val="en-US"/>
        </w:rPr>
        <w:t xml:space="preserve">Chen, H., Richard, O. C., Dorian, O., &amp; Ford, D. L. (2020). Work engagement, emotional exhaustion, and counterproductive work behavior. </w:t>
      </w:r>
      <w:r w:rsidRPr="00316DE1">
        <w:rPr>
          <w:i/>
          <w:iCs/>
          <w:lang w:val="en-US"/>
        </w:rPr>
        <w:t>Journal of Business Research, 114</w:t>
      </w:r>
      <w:r w:rsidRPr="00316DE1">
        <w:rPr>
          <w:lang w:val="en-US"/>
        </w:rPr>
        <w:t xml:space="preserve">(April), 30–41. </w:t>
      </w:r>
      <w:hyperlink r:id="rId15" w:history="1">
        <w:r w:rsidRPr="00316DE1">
          <w:rPr>
            <w:rStyle w:val="Hipervnculo"/>
            <w:lang w:val="en-US"/>
          </w:rPr>
          <w:t>https://doi.org/10.1016/j.jbusres.2020.03.025</w:t>
        </w:r>
      </w:hyperlink>
    </w:p>
    <w:p w14:paraId="7A7C1EB0" w14:textId="77777777" w:rsidR="009D7705" w:rsidRPr="00316DE1" w:rsidRDefault="009D7705" w:rsidP="00316DE1">
      <w:pPr>
        <w:ind w:left="720" w:hanging="720"/>
        <w:rPr>
          <w:lang w:val="en-US"/>
        </w:rPr>
      </w:pPr>
      <w:r w:rsidRPr="00225112">
        <w:rPr>
          <w:lang w:val="es-ES"/>
        </w:rPr>
        <w:t xml:space="preserve">Cole, J. S., &amp; </w:t>
      </w:r>
      <w:proofErr w:type="spellStart"/>
      <w:r w:rsidRPr="00225112">
        <w:rPr>
          <w:lang w:val="es-ES"/>
        </w:rPr>
        <w:t>Korkmaz</w:t>
      </w:r>
      <w:proofErr w:type="spellEnd"/>
      <w:r w:rsidRPr="00225112">
        <w:rPr>
          <w:lang w:val="es-ES"/>
        </w:rPr>
        <w:t xml:space="preserve">, A. (2013). </w:t>
      </w:r>
      <w:r w:rsidRPr="00316DE1">
        <w:rPr>
          <w:lang w:val="en-US"/>
        </w:rPr>
        <w:t xml:space="preserve">First-Year Students’ Psychological Well-Being and Need for Cognition: Are They Important Predictors of Academic Engagement? </w:t>
      </w:r>
      <w:r w:rsidRPr="00316DE1">
        <w:rPr>
          <w:i/>
          <w:iCs/>
          <w:lang w:val="en-US"/>
        </w:rPr>
        <w:t>Journal of College Student Development, 54</w:t>
      </w:r>
      <w:r w:rsidRPr="00316DE1">
        <w:rPr>
          <w:lang w:val="en-US"/>
        </w:rPr>
        <w:t xml:space="preserve">(6), 557–569. </w:t>
      </w:r>
      <w:hyperlink r:id="rId16" w:history="1">
        <w:r w:rsidRPr="00316DE1">
          <w:rPr>
            <w:rStyle w:val="Hipervnculo"/>
            <w:lang w:val="en-US"/>
          </w:rPr>
          <w:t>https://doi.org/10.1353/csd.2013.0082</w:t>
        </w:r>
      </w:hyperlink>
    </w:p>
    <w:p w14:paraId="06B25069" w14:textId="09FFF169" w:rsidR="009D7705" w:rsidRPr="00316DE1" w:rsidRDefault="009D7705" w:rsidP="00316DE1">
      <w:pPr>
        <w:ind w:left="720" w:hanging="720"/>
        <w:rPr>
          <w:lang w:val="en-US"/>
        </w:rPr>
      </w:pPr>
      <w:r w:rsidRPr="00316DE1">
        <w:rPr>
          <w:lang w:val="en-US"/>
        </w:rPr>
        <w:lastRenderedPageBreak/>
        <w:t xml:space="preserve">Dávila, U. R. (2021). </w:t>
      </w:r>
      <w:r w:rsidR="00E97241">
        <w:rPr>
          <w:i/>
          <w:iCs/>
          <w:lang w:val="es-ES"/>
        </w:rPr>
        <w:t>Fatiga emocional</w:t>
      </w:r>
      <w:r w:rsidRPr="00316DE1">
        <w:rPr>
          <w:i/>
          <w:iCs/>
          <w:lang w:val="es-ES"/>
        </w:rPr>
        <w:t xml:space="preserve"> y </w:t>
      </w:r>
      <w:proofErr w:type="spellStart"/>
      <w:r w:rsidRPr="00316DE1">
        <w:rPr>
          <w:i/>
          <w:iCs/>
          <w:lang w:val="es-ES"/>
        </w:rPr>
        <w:t>engagement</w:t>
      </w:r>
      <w:proofErr w:type="spellEnd"/>
      <w:r w:rsidRPr="00316DE1">
        <w:rPr>
          <w:i/>
          <w:iCs/>
          <w:lang w:val="es-ES"/>
        </w:rPr>
        <w:t xml:space="preserve"> académico en universitarios de la Región San Martín, 2021</w:t>
      </w:r>
      <w:r w:rsidRPr="00316DE1">
        <w:rPr>
          <w:lang w:val="es-ES"/>
        </w:rPr>
        <w:t xml:space="preserve">. </w:t>
      </w:r>
      <w:hyperlink r:id="rId17" w:history="1">
        <w:r w:rsidRPr="00316DE1">
          <w:rPr>
            <w:rStyle w:val="Hipervnculo"/>
            <w:lang w:val="en-US"/>
          </w:rPr>
          <w:t>https://repositorio.upeu.edu.pe/handle/20.500.12840/5026</w:t>
        </w:r>
      </w:hyperlink>
    </w:p>
    <w:p w14:paraId="01C37309" w14:textId="77777777" w:rsidR="009D7705" w:rsidRPr="00E239C0" w:rsidRDefault="009D7705" w:rsidP="00316DE1">
      <w:pPr>
        <w:ind w:left="720" w:hanging="720"/>
        <w:rPr>
          <w:lang w:val="en-US"/>
        </w:rPr>
      </w:pPr>
      <w:r w:rsidRPr="00316DE1">
        <w:rPr>
          <w:lang w:val="en-US"/>
        </w:rPr>
        <w:t xml:space="preserve">Demerouti, E., Bakker, A. B., Nachreiner, F., &amp; Schaufeli, W. B. (2001). The job demands-resources model of burnout. </w:t>
      </w:r>
      <w:r w:rsidRPr="00316DE1">
        <w:rPr>
          <w:i/>
          <w:iCs/>
          <w:lang w:val="en-US"/>
        </w:rPr>
        <w:t>Journal of Applied Psychology, 86</w:t>
      </w:r>
      <w:r w:rsidRPr="00316DE1">
        <w:rPr>
          <w:lang w:val="en-US"/>
        </w:rPr>
        <w:t xml:space="preserve">(3), 499–512. </w:t>
      </w:r>
      <w:hyperlink r:id="rId18" w:history="1">
        <w:r w:rsidRPr="00E239C0">
          <w:rPr>
            <w:rStyle w:val="Hipervnculo"/>
            <w:lang w:val="en-US"/>
          </w:rPr>
          <w:t>https://doi.org/10.1037/0021-9010.86.3.499</w:t>
        </w:r>
      </w:hyperlink>
    </w:p>
    <w:p w14:paraId="4220DE29" w14:textId="1121378E" w:rsidR="009D7705" w:rsidRPr="00316DE1" w:rsidRDefault="009D7705" w:rsidP="00316DE1">
      <w:pPr>
        <w:ind w:left="720" w:hanging="720"/>
        <w:rPr>
          <w:lang w:val="es-ES"/>
        </w:rPr>
      </w:pPr>
      <w:r w:rsidRPr="00E239C0">
        <w:rPr>
          <w:lang w:val="en-US"/>
        </w:rPr>
        <w:t xml:space="preserve">Domínguez-Lara, S.A. (2018). </w:t>
      </w:r>
      <w:r w:rsidRPr="007B7194">
        <w:rPr>
          <w:lang w:val="en-US"/>
        </w:rPr>
        <w:t xml:space="preserve">Academic Emotional Exhaustion in College Students: How Much Do Cognitive Strategies for Emotional Regulation Influence? </w:t>
      </w:r>
      <w:r w:rsidRPr="00316DE1">
        <w:rPr>
          <w:i/>
          <w:iCs/>
          <w:lang w:val="es-ES"/>
        </w:rPr>
        <w:t>Educación Médica, 19</w:t>
      </w:r>
      <w:r w:rsidRPr="00316DE1">
        <w:rPr>
          <w:lang w:val="es-ES"/>
        </w:rPr>
        <w:t xml:space="preserve">(2), 96-103. </w:t>
      </w:r>
      <w:hyperlink r:id="rId19" w:history="1">
        <w:r w:rsidRPr="00316DE1">
          <w:rPr>
            <w:rStyle w:val="Hipervnculo"/>
            <w:lang w:val="es-ES"/>
          </w:rPr>
          <w:t>https://doi.org/10.1016/j.edumed.2016.11.010</w:t>
        </w:r>
      </w:hyperlink>
    </w:p>
    <w:p w14:paraId="01F7A617" w14:textId="0629EACC" w:rsidR="009D7705" w:rsidRPr="00316DE1" w:rsidRDefault="009D7705" w:rsidP="00316DE1">
      <w:pPr>
        <w:ind w:left="720" w:hanging="720"/>
        <w:rPr>
          <w:lang w:val="es-ES"/>
        </w:rPr>
      </w:pPr>
      <w:r w:rsidRPr="00316DE1">
        <w:rPr>
          <w:lang w:val="es-ES"/>
        </w:rPr>
        <w:t xml:space="preserve">Domínguez-Lara, S.A., Fernández-Arata, M., Manrique-Millones, D., Alarcón-Parco, D., &amp; Díaz-Peñaloza, M. (2018). </w:t>
      </w:r>
      <w:r w:rsidRPr="007B7194">
        <w:rPr>
          <w:lang w:val="en-US"/>
        </w:rPr>
        <w:t xml:space="preserve">Normative data of a scale of academic emotional exhaustion in university psychology students in Lima (Peru). </w:t>
      </w:r>
      <w:r w:rsidRPr="00316DE1">
        <w:rPr>
          <w:i/>
          <w:iCs/>
          <w:lang w:val="es-ES"/>
        </w:rPr>
        <w:t>Educación Médica,</w:t>
      </w:r>
      <w:r w:rsidRPr="00316DE1">
        <w:rPr>
          <w:lang w:val="es-ES"/>
        </w:rPr>
        <w:t xml:space="preserve"> 19, 246-255. </w:t>
      </w:r>
      <w:hyperlink r:id="rId20" w:history="1">
        <w:r w:rsidRPr="00316DE1">
          <w:rPr>
            <w:rStyle w:val="Hipervnculo"/>
            <w:lang w:val="es-ES"/>
          </w:rPr>
          <w:t>https://doi.org/10.1016/j.edumed.2017.09.002</w:t>
        </w:r>
      </w:hyperlink>
    </w:p>
    <w:p w14:paraId="14AB66A6" w14:textId="02DCFB0D" w:rsidR="009D7705" w:rsidRDefault="009D7705" w:rsidP="00316DE1">
      <w:pPr>
        <w:ind w:left="720" w:hanging="720"/>
        <w:rPr>
          <w:lang w:val="es-ES"/>
        </w:rPr>
      </w:pPr>
      <w:proofErr w:type="spellStart"/>
      <w:r w:rsidRPr="003E72AC">
        <w:rPr>
          <w:lang w:val="es-ES"/>
        </w:rPr>
        <w:t>Dominguez</w:t>
      </w:r>
      <w:proofErr w:type="spellEnd"/>
      <w:r w:rsidRPr="003E72AC">
        <w:rPr>
          <w:lang w:val="es-ES"/>
        </w:rPr>
        <w:t>-Lara, S.</w:t>
      </w:r>
      <w:r w:rsidR="00397075">
        <w:rPr>
          <w:lang w:val="es-ES"/>
        </w:rPr>
        <w:t>A.</w:t>
      </w:r>
      <w:r w:rsidRPr="003E72AC">
        <w:rPr>
          <w:lang w:val="es-ES"/>
        </w:rPr>
        <w:t xml:space="preserve">, </w:t>
      </w:r>
      <w:proofErr w:type="spellStart"/>
      <w:r w:rsidRPr="003E72AC">
        <w:rPr>
          <w:lang w:val="es-ES"/>
        </w:rPr>
        <w:t>Gravini</w:t>
      </w:r>
      <w:proofErr w:type="spellEnd"/>
      <w:r w:rsidRPr="003E72AC">
        <w:rPr>
          <w:lang w:val="es-ES"/>
        </w:rPr>
        <w:t xml:space="preserve">-Donado, M., Moreta-Herrera, R., &amp; León, S. R. (2023). </w:t>
      </w:r>
      <w:r w:rsidRPr="007B7194">
        <w:rPr>
          <w:lang w:val="en-US"/>
        </w:rPr>
        <w:t xml:space="preserve">Influence of academic self-efficacy on adaptation to university: mediating role of academic emotional exhaustion and academic engagement. </w:t>
      </w:r>
      <w:r w:rsidRPr="003E72AC">
        <w:rPr>
          <w:i/>
          <w:iCs/>
          <w:lang w:val="es-ES"/>
        </w:rPr>
        <w:t>Campus Virtuales, 12</w:t>
      </w:r>
      <w:r w:rsidRPr="003E72AC">
        <w:rPr>
          <w:lang w:val="es-ES"/>
        </w:rPr>
        <w:t>(2), 99-112.</w:t>
      </w:r>
      <w:r>
        <w:rPr>
          <w:lang w:val="es-ES"/>
        </w:rPr>
        <w:t xml:space="preserve"> </w:t>
      </w:r>
      <w:hyperlink r:id="rId21" w:history="1">
        <w:r w:rsidRPr="00E41F62">
          <w:rPr>
            <w:rStyle w:val="Hipervnculo"/>
            <w:lang w:val="es-ES"/>
          </w:rPr>
          <w:t>http://uajournals.com/ojs/index.php/campusvirtuales/article/view/1213/625</w:t>
        </w:r>
      </w:hyperlink>
    </w:p>
    <w:p w14:paraId="0E8D9AD1" w14:textId="30B40B80" w:rsidR="009D7705" w:rsidRPr="00B50781" w:rsidRDefault="009D7705" w:rsidP="00316DE1">
      <w:pPr>
        <w:ind w:left="720" w:hanging="720"/>
        <w:rPr>
          <w:lang w:val="it-IT"/>
        </w:rPr>
      </w:pPr>
      <w:r w:rsidRPr="00316DE1">
        <w:rPr>
          <w:lang w:val="es-ES"/>
        </w:rPr>
        <w:t>Domínguez-Lara, S.</w:t>
      </w:r>
      <w:r w:rsidR="00397075">
        <w:rPr>
          <w:lang w:val="es-ES"/>
        </w:rPr>
        <w:t>A</w:t>
      </w:r>
      <w:r w:rsidRPr="00316DE1">
        <w:rPr>
          <w:lang w:val="es-ES"/>
        </w:rPr>
        <w:t xml:space="preserve">, Sánchez-Villena, A. R., y Fernández-Arata, M. (2020). </w:t>
      </w:r>
      <w:r w:rsidRPr="007B7194">
        <w:rPr>
          <w:lang w:val="en-US"/>
        </w:rPr>
        <w:t xml:space="preserve">Psychometric properties of the UWES-9S in Peruvian university students. </w:t>
      </w:r>
      <w:r w:rsidRPr="00316DE1">
        <w:rPr>
          <w:i/>
          <w:iCs/>
          <w:lang w:val="es-ES"/>
        </w:rPr>
        <w:t>Acta Colombiana de Psicología, 23</w:t>
      </w:r>
      <w:r w:rsidRPr="00316DE1">
        <w:rPr>
          <w:lang w:val="es-ES"/>
        </w:rPr>
        <w:t xml:space="preserve">(2), 7-23. </w:t>
      </w:r>
      <w:hyperlink r:id="rId22" w:history="1">
        <w:r w:rsidRPr="00B50781">
          <w:rPr>
            <w:rStyle w:val="Hipervnculo"/>
            <w:lang w:val="it-IT"/>
          </w:rPr>
          <w:t>https://doi.org/10.14718/acp.2020.23.2.2</w:t>
        </w:r>
      </w:hyperlink>
    </w:p>
    <w:p w14:paraId="69790A5B" w14:textId="77777777" w:rsidR="009D7705" w:rsidRPr="003E72AC" w:rsidRDefault="009D7705" w:rsidP="003E72AC">
      <w:pPr>
        <w:ind w:left="720" w:hanging="720"/>
        <w:rPr>
          <w:u w:val="single"/>
          <w:lang w:val="en-US"/>
        </w:rPr>
      </w:pPr>
      <w:r w:rsidRPr="00B50781">
        <w:rPr>
          <w:lang w:val="it-IT"/>
        </w:rPr>
        <w:t xml:space="preserve">Elliott, J. G., &amp; Tudge, J. (2012). </w:t>
      </w:r>
      <w:r w:rsidRPr="003E72AC">
        <w:rPr>
          <w:lang w:val="en-US"/>
        </w:rPr>
        <w:t xml:space="preserve">Multiple contexts, motivation and student engagement in the USA and Russia. </w:t>
      </w:r>
      <w:r w:rsidRPr="003E72AC">
        <w:rPr>
          <w:i/>
          <w:lang w:val="en-US"/>
        </w:rPr>
        <w:t>European Journal of Psychology of Education</w:t>
      </w:r>
      <w:r w:rsidRPr="003E72AC">
        <w:rPr>
          <w:lang w:val="en-US"/>
        </w:rPr>
        <w:t xml:space="preserve">, </w:t>
      </w:r>
      <w:r w:rsidRPr="003E72AC">
        <w:rPr>
          <w:i/>
          <w:lang w:val="en-US"/>
        </w:rPr>
        <w:t>27</w:t>
      </w:r>
      <w:r w:rsidRPr="003E72AC">
        <w:rPr>
          <w:lang w:val="en-US"/>
        </w:rPr>
        <w:t xml:space="preserve">(2), 161–175. </w:t>
      </w:r>
      <w:hyperlink r:id="rId23">
        <w:r w:rsidRPr="003E72AC">
          <w:rPr>
            <w:rStyle w:val="Hipervnculo"/>
            <w:lang w:val="en-US"/>
          </w:rPr>
          <w:t>https://doi.org/10.1007/s10212-011-0080-7</w:t>
        </w:r>
      </w:hyperlink>
    </w:p>
    <w:p w14:paraId="638F3B5E" w14:textId="77777777" w:rsidR="009D7705" w:rsidRPr="0011540C" w:rsidRDefault="009D7705" w:rsidP="00316DE1">
      <w:pPr>
        <w:ind w:left="720" w:hanging="720"/>
        <w:rPr>
          <w:lang w:val="es-ES"/>
        </w:rPr>
      </w:pPr>
      <w:proofErr w:type="spellStart"/>
      <w:r w:rsidRPr="00B50781">
        <w:rPr>
          <w:lang w:val="en-US"/>
        </w:rPr>
        <w:t>Esbec</w:t>
      </w:r>
      <w:proofErr w:type="spellEnd"/>
      <w:r w:rsidRPr="00B50781">
        <w:rPr>
          <w:lang w:val="en-US"/>
        </w:rPr>
        <w:t xml:space="preserve">, E., &amp; </w:t>
      </w:r>
      <w:proofErr w:type="spellStart"/>
      <w:r w:rsidRPr="00B50781">
        <w:rPr>
          <w:lang w:val="en-US"/>
        </w:rPr>
        <w:t>Echeburúa</w:t>
      </w:r>
      <w:proofErr w:type="spellEnd"/>
      <w:r w:rsidRPr="00B50781">
        <w:rPr>
          <w:lang w:val="en-US"/>
        </w:rPr>
        <w:t xml:space="preserve">, E. (2014). </w:t>
      </w:r>
      <w:r w:rsidRPr="007B7194">
        <w:rPr>
          <w:lang w:val="en-US"/>
        </w:rPr>
        <w:t xml:space="preserve">The evaluation of personality disorders according to the DSM-5: resources and limitations. </w:t>
      </w:r>
      <w:r w:rsidRPr="0011540C">
        <w:rPr>
          <w:i/>
          <w:iCs/>
          <w:lang w:val="es-ES"/>
        </w:rPr>
        <w:t>Terapia psicológica, 32</w:t>
      </w:r>
      <w:r w:rsidRPr="0011540C">
        <w:rPr>
          <w:lang w:val="es-ES"/>
        </w:rPr>
        <w:t xml:space="preserve">(3), 255-264. </w:t>
      </w:r>
      <w:hyperlink r:id="rId24" w:history="1">
        <w:r w:rsidRPr="0011540C">
          <w:rPr>
            <w:rStyle w:val="Hipervnculo"/>
            <w:lang w:val="es-ES"/>
          </w:rPr>
          <w:t>https://doi.org/10.4067/s0718-48082014000300008</w:t>
        </w:r>
      </w:hyperlink>
    </w:p>
    <w:p w14:paraId="08E57E16" w14:textId="6171C953" w:rsidR="009D7705" w:rsidRPr="00B50781" w:rsidRDefault="009D7705" w:rsidP="00316DE1">
      <w:pPr>
        <w:ind w:left="720" w:hanging="720"/>
        <w:rPr>
          <w:lang w:val="it-IT"/>
        </w:rPr>
      </w:pPr>
      <w:r w:rsidRPr="0011540C">
        <w:rPr>
          <w:lang w:val="es-ES"/>
        </w:rPr>
        <w:t xml:space="preserve">Estrada, E. G., </w:t>
      </w:r>
      <w:proofErr w:type="spellStart"/>
      <w:r w:rsidRPr="0011540C">
        <w:rPr>
          <w:lang w:val="es-ES"/>
        </w:rPr>
        <w:t>Paricahua</w:t>
      </w:r>
      <w:proofErr w:type="spellEnd"/>
      <w:r w:rsidRPr="0011540C">
        <w:rPr>
          <w:lang w:val="es-ES"/>
        </w:rPr>
        <w:t xml:space="preserve">, </w:t>
      </w:r>
      <w:r w:rsidR="0058051A">
        <w:rPr>
          <w:lang w:val="es-ES"/>
        </w:rPr>
        <w:t xml:space="preserve">&amp; </w:t>
      </w:r>
      <w:r w:rsidRPr="0011540C">
        <w:rPr>
          <w:lang w:val="es-ES"/>
        </w:rPr>
        <w:t>J. N.</w:t>
      </w:r>
      <w:r w:rsidR="0058051A">
        <w:rPr>
          <w:lang w:val="es-ES"/>
        </w:rPr>
        <w:t xml:space="preserve"> </w:t>
      </w:r>
      <w:r w:rsidRPr="0011540C">
        <w:rPr>
          <w:lang w:val="es-ES"/>
        </w:rPr>
        <w:t xml:space="preserve">(2023). </w:t>
      </w:r>
      <w:r w:rsidRPr="007B7194">
        <w:rPr>
          <w:lang w:val="en-US"/>
        </w:rPr>
        <w:t xml:space="preserve">Academic Engagement in University Students in the Peruvian Amazon During the Post-Pandemic Context. </w:t>
      </w:r>
      <w:r w:rsidRPr="00316DE1">
        <w:rPr>
          <w:i/>
          <w:iCs/>
          <w:lang w:val="es-ES"/>
        </w:rPr>
        <w:t>Revista Digital de Investigación en Docencia Universitaria, 17</w:t>
      </w:r>
      <w:r w:rsidRPr="00316DE1">
        <w:rPr>
          <w:lang w:val="es-ES"/>
        </w:rPr>
        <w:t>(1)</w:t>
      </w:r>
      <w:r>
        <w:rPr>
          <w:lang w:val="es-ES"/>
        </w:rPr>
        <w:t>, 1-7.</w:t>
      </w:r>
      <w:r w:rsidRPr="00316DE1">
        <w:rPr>
          <w:lang w:val="es-ES"/>
        </w:rPr>
        <w:t xml:space="preserve"> </w:t>
      </w:r>
      <w:hyperlink r:id="rId25" w:history="1">
        <w:r w:rsidRPr="00B50781">
          <w:rPr>
            <w:rStyle w:val="Hipervnculo"/>
            <w:lang w:val="it-IT"/>
          </w:rPr>
          <w:t>https://doi.org/10.19083/ridu.2023.1664</w:t>
        </w:r>
      </w:hyperlink>
    </w:p>
    <w:p w14:paraId="6722CBE9" w14:textId="77777777" w:rsidR="009D7705" w:rsidRPr="00316DE1" w:rsidRDefault="009D7705" w:rsidP="00316DE1">
      <w:pPr>
        <w:ind w:left="720" w:hanging="720"/>
        <w:rPr>
          <w:lang w:val="en-US"/>
        </w:rPr>
      </w:pPr>
      <w:r w:rsidRPr="00316DE1">
        <w:rPr>
          <w:lang w:val="en-US"/>
        </w:rPr>
        <w:t xml:space="preserve">Fischer, J. L., Forthun, L. F., Pidcock, B. W., &amp; Dowd, D. A. (2007). Parent relationships, emotion regulation, psychosocial maturity and college student alcohol use problems. </w:t>
      </w:r>
      <w:r w:rsidRPr="00316DE1">
        <w:rPr>
          <w:i/>
          <w:iCs/>
          <w:lang w:val="en-US"/>
        </w:rPr>
        <w:t>Journal of Youth and Adolescence, 36</w:t>
      </w:r>
      <w:r w:rsidRPr="00316DE1">
        <w:rPr>
          <w:lang w:val="en-US"/>
        </w:rPr>
        <w:t xml:space="preserve">(7), 912-926. </w:t>
      </w:r>
      <w:hyperlink r:id="rId26" w:history="1">
        <w:r w:rsidRPr="00316DE1">
          <w:rPr>
            <w:rStyle w:val="Hipervnculo"/>
            <w:lang w:val="en-US"/>
          </w:rPr>
          <w:t>https://doi.org/10.1007/s10964-006-9126-6</w:t>
        </w:r>
      </w:hyperlink>
    </w:p>
    <w:p w14:paraId="3CF59325" w14:textId="77777777" w:rsidR="009D7705" w:rsidRPr="00316DE1" w:rsidRDefault="009D7705" w:rsidP="00316DE1">
      <w:pPr>
        <w:ind w:left="720" w:hanging="720"/>
        <w:rPr>
          <w:lang w:val="es-ES"/>
        </w:rPr>
      </w:pPr>
      <w:r w:rsidRPr="00316DE1">
        <w:rPr>
          <w:lang w:val="en-US"/>
        </w:rPr>
        <w:lastRenderedPageBreak/>
        <w:t xml:space="preserve">Fontana, S. A. (2011). </w:t>
      </w:r>
      <w:r w:rsidRPr="007B7194">
        <w:rPr>
          <w:lang w:val="en-US"/>
        </w:rPr>
        <w:t xml:space="preserve">Preliminary study of the psychometric properties of the emotional exhaustion scale for university students. </w:t>
      </w:r>
      <w:r w:rsidRPr="00225112">
        <w:rPr>
          <w:i/>
          <w:iCs/>
          <w:lang w:val="es-ES"/>
        </w:rPr>
        <w:t>Revista Argentina de Ciencias del Comportamiento, 3</w:t>
      </w:r>
      <w:r w:rsidRPr="00225112">
        <w:rPr>
          <w:lang w:val="es-ES"/>
        </w:rPr>
        <w:t xml:space="preserve">(2), 44-48. </w:t>
      </w:r>
      <w:hyperlink r:id="rId27" w:history="1">
        <w:r w:rsidRPr="00316DE1">
          <w:rPr>
            <w:rStyle w:val="Hipervnculo"/>
            <w:lang w:val="es-ES"/>
          </w:rPr>
          <w:t>https://www.redalyc.org/pdf/3334/333427073006.pdf</w:t>
        </w:r>
      </w:hyperlink>
    </w:p>
    <w:p w14:paraId="341AC2B1" w14:textId="77777777" w:rsidR="009D7705" w:rsidRPr="00316DE1" w:rsidRDefault="009D7705" w:rsidP="00316DE1">
      <w:pPr>
        <w:ind w:left="720" w:hanging="720"/>
        <w:rPr>
          <w:lang w:val="es-ES"/>
        </w:rPr>
      </w:pPr>
      <w:proofErr w:type="spellStart"/>
      <w:r w:rsidRPr="00316DE1">
        <w:rPr>
          <w:lang w:val="es-ES"/>
        </w:rPr>
        <w:t>Gargurevich</w:t>
      </w:r>
      <w:proofErr w:type="spellEnd"/>
      <w:r w:rsidRPr="00316DE1">
        <w:rPr>
          <w:lang w:val="es-ES"/>
        </w:rPr>
        <w:t xml:space="preserve">, R., &amp; Matos, L. (2010). Propiedades psicométricas del cuestionario de autorregulación emocional adaptado para el Perú. </w:t>
      </w:r>
      <w:r w:rsidRPr="00316DE1">
        <w:rPr>
          <w:i/>
          <w:iCs/>
          <w:lang w:val="es-ES"/>
        </w:rPr>
        <w:t>Revista de Psicología (Trujillo),</w:t>
      </w:r>
      <w:r w:rsidRPr="00316DE1">
        <w:rPr>
          <w:lang w:val="es-ES"/>
        </w:rPr>
        <w:t xml:space="preserve"> 12, 192-215. </w:t>
      </w:r>
      <w:hyperlink r:id="rId28" w:history="1">
        <w:r w:rsidRPr="00316DE1">
          <w:rPr>
            <w:rStyle w:val="Hipervnculo"/>
            <w:lang w:val="es-ES"/>
          </w:rPr>
          <w:t>http://revistas.ucv.edu.pe/index.php/revpsi/article/view/628</w:t>
        </w:r>
      </w:hyperlink>
    </w:p>
    <w:p w14:paraId="01ABC863" w14:textId="77777777" w:rsidR="009D7705" w:rsidRPr="00316DE1" w:rsidRDefault="009D7705" w:rsidP="00316DE1">
      <w:pPr>
        <w:ind w:left="720" w:hanging="720"/>
        <w:rPr>
          <w:lang w:val="en-US"/>
        </w:rPr>
      </w:pPr>
      <w:r w:rsidRPr="00C972AB">
        <w:rPr>
          <w:lang w:val="es-ES"/>
        </w:rPr>
        <w:t xml:space="preserve">Garrosa, E., Blanco-Donoso, L. M., Carmona-Cobo, I., &amp; Moreno-Jiménez, B. (2017). </w:t>
      </w:r>
      <w:r w:rsidRPr="00316DE1">
        <w:rPr>
          <w:lang w:val="en-US"/>
        </w:rPr>
        <w:t xml:space="preserve">How do Curiosity, Meaning in Life, and Search for Meaning Predict College Students’ Daily Emotional Exhaustion and Engagement? </w:t>
      </w:r>
      <w:r w:rsidRPr="00316DE1">
        <w:rPr>
          <w:i/>
          <w:iCs/>
          <w:lang w:val="en-US"/>
        </w:rPr>
        <w:t>Journal of Happiness Studies, 18</w:t>
      </w:r>
      <w:r w:rsidRPr="00316DE1">
        <w:rPr>
          <w:lang w:val="en-US"/>
        </w:rPr>
        <w:t xml:space="preserve">(1), 17–40. </w:t>
      </w:r>
      <w:hyperlink r:id="rId29" w:history="1">
        <w:r w:rsidRPr="00316DE1">
          <w:rPr>
            <w:rStyle w:val="Hipervnculo"/>
            <w:lang w:val="en-US"/>
          </w:rPr>
          <w:t>https://doi.org/10.1007/s10902-016-9715-3</w:t>
        </w:r>
      </w:hyperlink>
    </w:p>
    <w:p w14:paraId="36332767" w14:textId="1FCE58CA" w:rsidR="009D7705" w:rsidRPr="00316DE1" w:rsidRDefault="009D7705" w:rsidP="00316DE1">
      <w:pPr>
        <w:ind w:left="720" w:hanging="720"/>
        <w:rPr>
          <w:lang w:val="en-US"/>
        </w:rPr>
      </w:pPr>
      <w:r w:rsidRPr="0058051A">
        <w:rPr>
          <w:lang w:val="en-US"/>
        </w:rPr>
        <w:t xml:space="preserve">González, M. T., &amp; Landero, R. (2007). </w:t>
      </w:r>
      <w:r w:rsidRPr="007B7194">
        <w:rPr>
          <w:lang w:val="en-US"/>
        </w:rPr>
        <w:t xml:space="preserve">Emotional Fatigue Scale (ECE) for University Students: Psychometric Properties in a Sample from Mexico. </w:t>
      </w:r>
      <w:proofErr w:type="spellStart"/>
      <w:r w:rsidRPr="00316DE1">
        <w:rPr>
          <w:i/>
          <w:iCs/>
          <w:lang w:val="en-US"/>
        </w:rPr>
        <w:t>Anales</w:t>
      </w:r>
      <w:proofErr w:type="spellEnd"/>
      <w:r w:rsidRPr="00316DE1">
        <w:rPr>
          <w:i/>
          <w:iCs/>
          <w:lang w:val="en-US"/>
        </w:rPr>
        <w:t xml:space="preserve"> de </w:t>
      </w:r>
      <w:proofErr w:type="spellStart"/>
      <w:r w:rsidRPr="00316DE1">
        <w:rPr>
          <w:i/>
          <w:iCs/>
          <w:lang w:val="en-US"/>
        </w:rPr>
        <w:t>Psicología</w:t>
      </w:r>
      <w:proofErr w:type="spellEnd"/>
      <w:r w:rsidRPr="00316DE1">
        <w:rPr>
          <w:i/>
          <w:iCs/>
          <w:lang w:val="en-US"/>
        </w:rPr>
        <w:t xml:space="preserve"> / Annals of Psychology, 23</w:t>
      </w:r>
      <w:r w:rsidRPr="00316DE1">
        <w:rPr>
          <w:lang w:val="en-US"/>
        </w:rPr>
        <w:t xml:space="preserve">(2), 253–257. </w:t>
      </w:r>
      <w:hyperlink r:id="rId30" w:history="1">
        <w:r w:rsidRPr="00316DE1">
          <w:rPr>
            <w:rStyle w:val="Hipervnculo"/>
            <w:lang w:val="en-US"/>
          </w:rPr>
          <w:t>https://revistas.um.es/analesps/article/view/22321</w:t>
        </w:r>
      </w:hyperlink>
    </w:p>
    <w:p w14:paraId="637B5F0E" w14:textId="77777777" w:rsidR="009D7705" w:rsidRPr="00316DE1" w:rsidRDefault="009D7705" w:rsidP="00316DE1">
      <w:pPr>
        <w:ind w:left="720" w:hanging="720"/>
        <w:rPr>
          <w:lang w:val="en-US"/>
        </w:rPr>
      </w:pPr>
      <w:r w:rsidRPr="00316DE1">
        <w:rPr>
          <w:lang w:val="en-US"/>
        </w:rPr>
        <w:t xml:space="preserve">Grandey, A. A., &amp; Sayre, G. M. (2019). Emotional Labor: Regulating Emotions for a Wage. </w:t>
      </w:r>
      <w:r w:rsidRPr="00316DE1">
        <w:rPr>
          <w:i/>
          <w:iCs/>
          <w:lang w:val="en-US"/>
        </w:rPr>
        <w:t>Current Directions in Psychological Science, 28</w:t>
      </w:r>
      <w:r w:rsidRPr="00316DE1">
        <w:rPr>
          <w:lang w:val="en-US"/>
        </w:rPr>
        <w:t xml:space="preserve">(2), 131–137. </w:t>
      </w:r>
      <w:hyperlink r:id="rId31" w:history="1">
        <w:r w:rsidRPr="00316DE1">
          <w:rPr>
            <w:rStyle w:val="Hipervnculo"/>
            <w:lang w:val="en-US"/>
          </w:rPr>
          <w:t>https://doi.org/10.1177/0963721418812771</w:t>
        </w:r>
      </w:hyperlink>
    </w:p>
    <w:p w14:paraId="0EFA7541" w14:textId="77777777" w:rsidR="009D7705" w:rsidRPr="00316DE1" w:rsidRDefault="009D7705" w:rsidP="00316DE1">
      <w:pPr>
        <w:ind w:left="720" w:hanging="720"/>
        <w:rPr>
          <w:lang w:val="en-US"/>
        </w:rPr>
      </w:pPr>
      <w:r w:rsidRPr="00316DE1">
        <w:rPr>
          <w:lang w:val="en-US"/>
        </w:rPr>
        <w:t xml:space="preserve">Gross, J. J., &amp; John, O. P. (2003). Individual differences in two emotion regulation processes: implications for affect, relationships, and well-being. </w:t>
      </w:r>
      <w:r w:rsidRPr="00316DE1">
        <w:rPr>
          <w:i/>
          <w:iCs/>
          <w:lang w:val="en-US"/>
        </w:rPr>
        <w:t>Journal of personality and social psychology, 85</w:t>
      </w:r>
      <w:r w:rsidRPr="00316DE1">
        <w:rPr>
          <w:lang w:val="en-US"/>
        </w:rPr>
        <w:t xml:space="preserve">(2), 348-362. </w:t>
      </w:r>
      <w:hyperlink r:id="rId32" w:history="1">
        <w:r w:rsidRPr="00316DE1">
          <w:rPr>
            <w:rStyle w:val="Hipervnculo"/>
            <w:lang w:val="en-US"/>
          </w:rPr>
          <w:t>https://doi.org/10.1037/0022-3514.85.2.348</w:t>
        </w:r>
      </w:hyperlink>
    </w:p>
    <w:p w14:paraId="3970F7EF" w14:textId="77777777" w:rsidR="009D7705" w:rsidRPr="0011540C" w:rsidRDefault="009D7705" w:rsidP="00316DE1">
      <w:pPr>
        <w:ind w:left="720" w:hanging="720"/>
        <w:rPr>
          <w:lang w:val="es-ES"/>
        </w:rPr>
      </w:pPr>
      <w:r w:rsidRPr="00225112">
        <w:rPr>
          <w:lang w:val="en-US"/>
        </w:rPr>
        <w:t xml:space="preserve">Hernández-Sampieri, R., Fernández-Collado, R., &amp; Baptista-Lucio, P. (2014). </w:t>
      </w:r>
      <w:r w:rsidRPr="00316DE1">
        <w:rPr>
          <w:i/>
          <w:iCs/>
          <w:lang w:val="es-ES"/>
        </w:rPr>
        <w:t>Selección de la muestra</w:t>
      </w:r>
      <w:r w:rsidRPr="00316DE1">
        <w:rPr>
          <w:lang w:val="es-ES"/>
        </w:rPr>
        <w:t xml:space="preserve">. </w:t>
      </w:r>
      <w:hyperlink r:id="rId33" w:history="1">
        <w:r w:rsidRPr="0011540C">
          <w:rPr>
            <w:rStyle w:val="Hipervnculo"/>
            <w:lang w:val="es-ES"/>
          </w:rPr>
          <w:t>http://metabase.uaem.mx/xmlui/bitstream/handle/123456789/2776/506_6.pdf</w:t>
        </w:r>
      </w:hyperlink>
    </w:p>
    <w:p w14:paraId="3DE463F1" w14:textId="77777777" w:rsidR="009D7705" w:rsidRPr="00316DE1" w:rsidRDefault="009D7705" w:rsidP="00316DE1">
      <w:pPr>
        <w:ind w:left="720" w:hanging="720"/>
        <w:rPr>
          <w:lang w:val="en-US"/>
        </w:rPr>
      </w:pPr>
      <w:proofErr w:type="spellStart"/>
      <w:r w:rsidRPr="00316DE1">
        <w:rPr>
          <w:lang w:val="en-US"/>
        </w:rPr>
        <w:t>Hobfoll</w:t>
      </w:r>
      <w:proofErr w:type="spellEnd"/>
      <w:r w:rsidRPr="00316DE1">
        <w:rPr>
          <w:lang w:val="en-US"/>
        </w:rPr>
        <w:t xml:space="preserve">, S. E., Johnson, R. J., Ennis, N., &amp; Jackson, A. P. (2003). Resource Loss, Resource Gain, and Emotional Outcomes Among Inner City Women. </w:t>
      </w:r>
      <w:r w:rsidRPr="00316DE1">
        <w:rPr>
          <w:i/>
          <w:iCs/>
          <w:lang w:val="en-US"/>
        </w:rPr>
        <w:t>Journal of Personality and Social Psychology, 84</w:t>
      </w:r>
      <w:r w:rsidRPr="00316DE1">
        <w:rPr>
          <w:lang w:val="en-US"/>
        </w:rPr>
        <w:t xml:space="preserve">(3), 632–643. </w:t>
      </w:r>
      <w:hyperlink r:id="rId34" w:history="1">
        <w:r w:rsidRPr="00316DE1">
          <w:rPr>
            <w:rStyle w:val="Hipervnculo"/>
            <w:lang w:val="en-US"/>
          </w:rPr>
          <w:t>https://doi.org/10.1037/0022-3514.84.3.632</w:t>
        </w:r>
      </w:hyperlink>
    </w:p>
    <w:p w14:paraId="7DDADF67" w14:textId="77777777" w:rsidR="009D7705" w:rsidRPr="00316DE1" w:rsidRDefault="009D7705" w:rsidP="00316DE1">
      <w:pPr>
        <w:ind w:left="720" w:hanging="720"/>
        <w:rPr>
          <w:lang w:val="en-US"/>
        </w:rPr>
      </w:pPr>
      <w:proofErr w:type="spellStart"/>
      <w:r w:rsidRPr="00316DE1">
        <w:rPr>
          <w:lang w:val="en-US"/>
        </w:rPr>
        <w:t>Horstmanshof</w:t>
      </w:r>
      <w:proofErr w:type="spellEnd"/>
      <w:r w:rsidRPr="00316DE1">
        <w:rPr>
          <w:lang w:val="en-US"/>
        </w:rPr>
        <w:t xml:space="preserve">, L., &amp; </w:t>
      </w:r>
      <w:proofErr w:type="spellStart"/>
      <w:r w:rsidRPr="00316DE1">
        <w:rPr>
          <w:lang w:val="en-US"/>
        </w:rPr>
        <w:t>Zimitat</w:t>
      </w:r>
      <w:proofErr w:type="spellEnd"/>
      <w:r w:rsidRPr="00316DE1">
        <w:rPr>
          <w:lang w:val="en-US"/>
        </w:rPr>
        <w:t xml:space="preserve">, C. (2007). Future time orientation predicts academic engagement among first-year university students. </w:t>
      </w:r>
      <w:r w:rsidRPr="00316DE1">
        <w:rPr>
          <w:i/>
          <w:iCs/>
          <w:lang w:val="en-US"/>
        </w:rPr>
        <w:t>British Journal of Educational Psychology 77</w:t>
      </w:r>
      <w:r w:rsidRPr="00316DE1">
        <w:rPr>
          <w:lang w:val="en-US"/>
        </w:rPr>
        <w:t xml:space="preserve">(3), 703-718. </w:t>
      </w:r>
      <w:hyperlink r:id="rId35" w:history="1">
        <w:r w:rsidRPr="00316DE1">
          <w:rPr>
            <w:rStyle w:val="Hipervnculo"/>
            <w:lang w:val="en-US"/>
          </w:rPr>
          <w:t>https://doi.org/10.1348/000709906x160778</w:t>
        </w:r>
      </w:hyperlink>
    </w:p>
    <w:p w14:paraId="50B95DDD" w14:textId="77777777" w:rsidR="009D7705" w:rsidRPr="00316DE1" w:rsidRDefault="009D7705" w:rsidP="00316DE1">
      <w:pPr>
        <w:ind w:left="720" w:hanging="720"/>
        <w:rPr>
          <w:lang w:val="en-US"/>
        </w:rPr>
      </w:pPr>
      <w:r w:rsidRPr="00316DE1">
        <w:rPr>
          <w:lang w:val="en-US"/>
        </w:rPr>
        <w:t xml:space="preserve">Hu, Y. L., Ching, G. S., &amp; Chao, P. C. (2011). Taiwan student engagement model: Conceptual framework and overview of psychometric properties. </w:t>
      </w:r>
      <w:r w:rsidRPr="00316DE1">
        <w:rPr>
          <w:i/>
          <w:iCs/>
          <w:lang w:val="en-US"/>
        </w:rPr>
        <w:t>International Journal of Research Studies in Education, 1</w:t>
      </w:r>
      <w:r w:rsidRPr="00316DE1">
        <w:rPr>
          <w:lang w:val="en-US"/>
        </w:rPr>
        <w:t xml:space="preserve">(1). </w:t>
      </w:r>
      <w:hyperlink r:id="rId36" w:history="1">
        <w:r w:rsidRPr="00316DE1">
          <w:rPr>
            <w:rStyle w:val="Hipervnculo"/>
            <w:lang w:val="en-US"/>
          </w:rPr>
          <w:t>https://doi.org/10.5861/ijrse.2012.v1i1.19</w:t>
        </w:r>
      </w:hyperlink>
    </w:p>
    <w:p w14:paraId="7252D341" w14:textId="77777777" w:rsidR="009D7705" w:rsidRPr="00316DE1" w:rsidRDefault="009D7705" w:rsidP="00316DE1">
      <w:pPr>
        <w:ind w:left="720" w:hanging="720"/>
        <w:rPr>
          <w:lang w:val="en-US"/>
        </w:rPr>
      </w:pPr>
      <w:proofErr w:type="spellStart"/>
      <w:r w:rsidRPr="00316DE1">
        <w:rPr>
          <w:lang w:val="en-US"/>
        </w:rPr>
        <w:lastRenderedPageBreak/>
        <w:t>Hülsheger</w:t>
      </w:r>
      <w:proofErr w:type="spellEnd"/>
      <w:r w:rsidRPr="00316DE1">
        <w:rPr>
          <w:lang w:val="en-US"/>
        </w:rPr>
        <w:t xml:space="preserve">, U. R., Lang, J. W. B., Schewe, A. F., &amp; Zijlstra, F. R. H. (2015). When regulating emotions at work pays off: A diary and an intervention study on emotion regulation and customer tips in service jobs. </w:t>
      </w:r>
      <w:r w:rsidRPr="00316DE1">
        <w:rPr>
          <w:i/>
          <w:iCs/>
          <w:lang w:val="en-US"/>
        </w:rPr>
        <w:t>Journal of Applied Psychology, 100</w:t>
      </w:r>
      <w:r w:rsidRPr="00316DE1">
        <w:rPr>
          <w:lang w:val="en-US"/>
        </w:rPr>
        <w:t xml:space="preserve">(2), 263–277. </w:t>
      </w:r>
      <w:hyperlink r:id="rId37" w:history="1">
        <w:r w:rsidRPr="00316DE1">
          <w:rPr>
            <w:rStyle w:val="Hipervnculo"/>
            <w:lang w:val="en-US"/>
          </w:rPr>
          <w:t>https://doi.org/10.1037/a0038229</w:t>
        </w:r>
      </w:hyperlink>
    </w:p>
    <w:p w14:paraId="6E7F5AFF" w14:textId="77777777" w:rsidR="009D7705" w:rsidRPr="00316DE1" w:rsidRDefault="009D7705" w:rsidP="00316DE1">
      <w:pPr>
        <w:ind w:left="720" w:hanging="720"/>
        <w:rPr>
          <w:lang w:val="es-ES"/>
        </w:rPr>
      </w:pPr>
      <w:r w:rsidRPr="00316DE1">
        <w:rPr>
          <w:lang w:val="en-US"/>
        </w:rPr>
        <w:t xml:space="preserve">Lara, S. A. D. (2013). </w:t>
      </w:r>
      <w:r w:rsidRPr="007B7194">
        <w:rPr>
          <w:lang w:val="en-US"/>
        </w:rPr>
        <w:t xml:space="preserve">Psychometric analysis of the Emotional Exhaustion Scale in students of a private university. </w:t>
      </w:r>
      <w:r w:rsidRPr="00316DE1">
        <w:rPr>
          <w:i/>
          <w:iCs/>
          <w:lang w:val="es-ES"/>
        </w:rPr>
        <w:t>Revista Digital de Investigación en Docencia Universitaria</w:t>
      </w:r>
      <w:r w:rsidRPr="00316DE1">
        <w:rPr>
          <w:lang w:val="es-ES"/>
        </w:rPr>
        <w:t xml:space="preserve">, 45-55. </w:t>
      </w:r>
      <w:hyperlink r:id="rId38" w:history="1">
        <w:r w:rsidRPr="00316DE1">
          <w:rPr>
            <w:rStyle w:val="Hipervnculo"/>
            <w:lang w:val="es-ES"/>
          </w:rPr>
          <w:t>https://doi.org/10.19083/ridu.7.186</w:t>
        </w:r>
      </w:hyperlink>
    </w:p>
    <w:p w14:paraId="26D2E88B" w14:textId="77777777" w:rsidR="009D7705" w:rsidRPr="00316DE1" w:rsidRDefault="009D7705" w:rsidP="00316DE1">
      <w:pPr>
        <w:ind w:left="720" w:hanging="720"/>
        <w:rPr>
          <w:lang w:val="en-US"/>
        </w:rPr>
      </w:pPr>
      <w:r w:rsidRPr="00316DE1">
        <w:rPr>
          <w:lang w:val="en-US"/>
        </w:rPr>
        <w:t xml:space="preserve">Martin, A.J. (2008). Enhancing student motivation and engagement: The effects of a multidimensional intervention. </w:t>
      </w:r>
      <w:r w:rsidRPr="00316DE1">
        <w:rPr>
          <w:i/>
          <w:iCs/>
          <w:lang w:val="en-US"/>
        </w:rPr>
        <w:t>Contemporary Educational Psychology</w:t>
      </w:r>
      <w:r w:rsidRPr="00316DE1">
        <w:rPr>
          <w:lang w:val="en-US"/>
        </w:rPr>
        <w:t xml:space="preserve">, 33, 239-269. </w:t>
      </w:r>
      <w:hyperlink r:id="rId39" w:history="1">
        <w:r w:rsidRPr="00316DE1">
          <w:rPr>
            <w:rStyle w:val="Hipervnculo"/>
            <w:lang w:val="en-US"/>
          </w:rPr>
          <w:t>https://doi.org/10.1016/j.cedpsych.2006.11.003</w:t>
        </w:r>
      </w:hyperlink>
    </w:p>
    <w:p w14:paraId="042FD260" w14:textId="77777777" w:rsidR="009D7705" w:rsidRPr="00316DE1" w:rsidRDefault="009D7705" w:rsidP="00316DE1">
      <w:pPr>
        <w:ind w:left="720" w:hanging="720"/>
        <w:rPr>
          <w:lang w:val="en-US"/>
        </w:rPr>
      </w:pPr>
      <w:r w:rsidRPr="00316DE1">
        <w:rPr>
          <w:lang w:val="en-US"/>
        </w:rPr>
        <w:t xml:space="preserve">Maslach, C. (2003). Job burnout: New directions in research and intervention. </w:t>
      </w:r>
      <w:r w:rsidRPr="00316DE1">
        <w:rPr>
          <w:i/>
          <w:iCs/>
          <w:lang w:val="en-US"/>
        </w:rPr>
        <w:t>Current Directions in Psychological Science, 12</w:t>
      </w:r>
      <w:r w:rsidRPr="00316DE1">
        <w:rPr>
          <w:lang w:val="en-US"/>
        </w:rPr>
        <w:t xml:space="preserve">(5), 189-192. </w:t>
      </w:r>
      <w:hyperlink r:id="rId40" w:history="1">
        <w:r w:rsidRPr="00316DE1">
          <w:rPr>
            <w:rStyle w:val="Hipervnculo"/>
            <w:lang w:val="en-US"/>
          </w:rPr>
          <w:t>https://doi.org/10.1111/1467-8721.01258</w:t>
        </w:r>
      </w:hyperlink>
    </w:p>
    <w:p w14:paraId="39A650FE" w14:textId="77777777" w:rsidR="009D7705" w:rsidRPr="00316DE1" w:rsidRDefault="009D7705" w:rsidP="00316DE1">
      <w:pPr>
        <w:ind w:left="720" w:hanging="720"/>
        <w:rPr>
          <w:lang w:val="en-US"/>
        </w:rPr>
      </w:pPr>
      <w:bookmarkStart w:id="5" w:name="_Hlk107056223"/>
      <w:r w:rsidRPr="00316DE1">
        <w:rPr>
          <w:lang w:val="en-US"/>
        </w:rPr>
        <w:t xml:space="preserve">McRae, K., &amp; Gross, J. J. (2020). Emotion regulation. </w:t>
      </w:r>
      <w:r w:rsidRPr="00316DE1">
        <w:rPr>
          <w:i/>
          <w:iCs/>
          <w:lang w:val="en-US"/>
        </w:rPr>
        <w:t>Emotion, 20</w:t>
      </w:r>
      <w:r w:rsidRPr="00316DE1">
        <w:rPr>
          <w:lang w:val="en-US"/>
        </w:rPr>
        <w:t xml:space="preserve">(1), 1–9. </w:t>
      </w:r>
      <w:hyperlink r:id="rId41" w:history="1">
        <w:r w:rsidRPr="00316DE1">
          <w:rPr>
            <w:rStyle w:val="Hipervnculo"/>
            <w:lang w:val="en-US"/>
          </w:rPr>
          <w:t>https://doi.org/10.1037/emo0000703</w:t>
        </w:r>
      </w:hyperlink>
    </w:p>
    <w:p w14:paraId="3C7DE8E1" w14:textId="77777777" w:rsidR="009D7705" w:rsidRPr="002B2440" w:rsidRDefault="009D7705" w:rsidP="00316DE1">
      <w:pPr>
        <w:ind w:left="720" w:hanging="720"/>
        <w:rPr>
          <w:lang w:val="it-IT"/>
        </w:rPr>
      </w:pPr>
      <w:proofErr w:type="spellStart"/>
      <w:r w:rsidRPr="00316DE1">
        <w:rPr>
          <w:lang w:val="en-US"/>
        </w:rPr>
        <w:t>Mih</w:t>
      </w:r>
      <w:proofErr w:type="spellEnd"/>
      <w:r w:rsidRPr="00316DE1">
        <w:rPr>
          <w:lang w:val="en-US"/>
        </w:rPr>
        <w:t xml:space="preserve">, V., &amp; </w:t>
      </w:r>
      <w:proofErr w:type="spellStart"/>
      <w:r w:rsidRPr="00316DE1">
        <w:rPr>
          <w:lang w:val="en-US"/>
        </w:rPr>
        <w:t>Mih</w:t>
      </w:r>
      <w:proofErr w:type="spellEnd"/>
      <w:r w:rsidRPr="00316DE1">
        <w:rPr>
          <w:lang w:val="en-US"/>
        </w:rPr>
        <w:t xml:space="preserve">, C. (2013). Perceived autonomy-supportive teaching, academic self-perceptions and engagement in learning: Toward a process model of academic achievement. </w:t>
      </w:r>
      <w:r w:rsidRPr="00316DE1">
        <w:rPr>
          <w:i/>
          <w:iCs/>
          <w:lang w:val="en-US"/>
        </w:rPr>
        <w:t>Cognition, Brain, Behavior, 17</w:t>
      </w:r>
      <w:r w:rsidRPr="00316DE1">
        <w:rPr>
          <w:lang w:val="en-US"/>
        </w:rPr>
        <w:t xml:space="preserve">(4), 289–313. </w:t>
      </w:r>
      <w:hyperlink r:id="rId42" w:history="1">
        <w:r w:rsidRPr="002B2440">
          <w:rPr>
            <w:rStyle w:val="Hipervnculo"/>
            <w:lang w:val="it-IT"/>
          </w:rPr>
          <w:t>https://cbbjournal.ro/index.php/en/2013/78-17-4/530-perceived-autonomy-supportive-teaching-academic-self-perceptions-and-engagement-in-learning-toward-a-process-model-of-academic-achievement</w:t>
        </w:r>
      </w:hyperlink>
    </w:p>
    <w:bookmarkEnd w:id="5"/>
    <w:p w14:paraId="455BD9F4" w14:textId="77777777" w:rsidR="009D7705" w:rsidRPr="00316DE1" w:rsidRDefault="009D7705" w:rsidP="00316DE1">
      <w:pPr>
        <w:ind w:left="720" w:hanging="720"/>
        <w:rPr>
          <w:lang w:val="en-US"/>
        </w:rPr>
      </w:pPr>
      <w:proofErr w:type="spellStart"/>
      <w:r w:rsidRPr="00316DE1">
        <w:rPr>
          <w:lang w:val="en-US"/>
        </w:rPr>
        <w:t>Mikulincer</w:t>
      </w:r>
      <w:proofErr w:type="spellEnd"/>
      <w:r w:rsidRPr="00316DE1">
        <w:rPr>
          <w:lang w:val="en-US"/>
        </w:rPr>
        <w:t xml:space="preserve">, M., Shaver, P. R., &amp; Pereg, D. (2003). Attachment Theory and Affect Regulation: The Dynamics, Development, and Cognitive Consequences of Attachment-Related Strategies. </w:t>
      </w:r>
      <w:r w:rsidRPr="00316DE1">
        <w:rPr>
          <w:i/>
          <w:iCs/>
          <w:lang w:val="en-US"/>
        </w:rPr>
        <w:t>Motivation and Emotion, 27</w:t>
      </w:r>
      <w:r w:rsidRPr="00316DE1">
        <w:rPr>
          <w:lang w:val="en-US"/>
        </w:rPr>
        <w:t xml:space="preserve">(2), 77–102. </w:t>
      </w:r>
      <w:hyperlink r:id="rId43" w:history="1">
        <w:r w:rsidRPr="00316DE1">
          <w:rPr>
            <w:rStyle w:val="Hipervnculo"/>
            <w:lang w:val="en-US"/>
          </w:rPr>
          <w:t>https://doi.org/10.1023/A:1024515519160</w:t>
        </w:r>
      </w:hyperlink>
    </w:p>
    <w:p w14:paraId="6FC533CA" w14:textId="77777777" w:rsidR="009D7705" w:rsidRDefault="009D7705" w:rsidP="00316DE1">
      <w:pPr>
        <w:ind w:left="720" w:hanging="720"/>
        <w:rPr>
          <w:lang w:val="en-US"/>
        </w:rPr>
      </w:pPr>
      <w:r w:rsidRPr="009D7705">
        <w:rPr>
          <w:lang w:val="en-US"/>
        </w:rPr>
        <w:t xml:space="preserve">Moses, T. E. H., Gray, E., Mischel, N., &amp; Greenwald, M. K. (2023). Effects of neuromodulation on cognitive and emotional responses to psychosocial stressors in healthy humans. </w:t>
      </w:r>
      <w:r w:rsidRPr="009D7705">
        <w:rPr>
          <w:i/>
          <w:iCs/>
          <w:lang w:val="en-US"/>
        </w:rPr>
        <w:t>Neurobiology of Stress,</w:t>
      </w:r>
      <w:r w:rsidRPr="009D7705">
        <w:rPr>
          <w:lang w:val="en-US"/>
        </w:rPr>
        <w:t xml:space="preserve"> 22, </w:t>
      </w:r>
      <w:r>
        <w:rPr>
          <w:lang w:val="en-US"/>
        </w:rPr>
        <w:t>e</w:t>
      </w:r>
      <w:r w:rsidRPr="009D7705">
        <w:rPr>
          <w:lang w:val="en-US"/>
        </w:rPr>
        <w:t xml:space="preserve">100515. </w:t>
      </w:r>
      <w:hyperlink r:id="rId44" w:history="1">
        <w:r w:rsidRPr="00B60DDC">
          <w:rPr>
            <w:rStyle w:val="Hipervnculo"/>
            <w:lang w:val="en-US"/>
          </w:rPr>
          <w:t>https://doi.org/10.1016/J.YNSTR.2023.100515</w:t>
        </w:r>
      </w:hyperlink>
    </w:p>
    <w:p w14:paraId="7B60B787" w14:textId="77777777" w:rsidR="009D7705" w:rsidRPr="00316DE1" w:rsidRDefault="009D7705" w:rsidP="00316DE1">
      <w:pPr>
        <w:ind w:left="720" w:hanging="720"/>
        <w:rPr>
          <w:lang w:val="en-US"/>
        </w:rPr>
      </w:pPr>
      <w:r w:rsidRPr="0011540C">
        <w:rPr>
          <w:lang w:val="en-US"/>
        </w:rPr>
        <w:t xml:space="preserve">Oga-Baldwin, W. L. Q. (2019). </w:t>
      </w:r>
      <w:r w:rsidRPr="00316DE1">
        <w:rPr>
          <w:lang w:val="en-US"/>
        </w:rPr>
        <w:t xml:space="preserve">Acting, thinking, feeling, making, collaborating: </w:t>
      </w:r>
      <w:r w:rsidRPr="00316DE1">
        <w:rPr>
          <w:i/>
          <w:iCs/>
          <w:lang w:val="en-US"/>
        </w:rPr>
        <w:t>The engagement process in foreign language learning. System</w:t>
      </w:r>
      <w:r w:rsidRPr="00316DE1">
        <w:rPr>
          <w:lang w:val="en-US"/>
        </w:rPr>
        <w:t xml:space="preserve">, 86, </w:t>
      </w:r>
      <w:r>
        <w:rPr>
          <w:lang w:val="en-US"/>
        </w:rPr>
        <w:t>e</w:t>
      </w:r>
      <w:r w:rsidRPr="00316DE1">
        <w:rPr>
          <w:lang w:val="en-US"/>
        </w:rPr>
        <w:t xml:space="preserve">102128. </w:t>
      </w:r>
      <w:hyperlink r:id="rId45" w:history="1">
        <w:r w:rsidRPr="00316DE1">
          <w:rPr>
            <w:rStyle w:val="Hipervnculo"/>
            <w:lang w:val="en-US"/>
          </w:rPr>
          <w:t>https://doi.org/10.1016/j.system.2019.102128</w:t>
        </w:r>
      </w:hyperlink>
    </w:p>
    <w:p w14:paraId="486DAC81" w14:textId="77777777" w:rsidR="009D7705" w:rsidRPr="00316DE1" w:rsidRDefault="009D7705" w:rsidP="00316DE1">
      <w:pPr>
        <w:ind w:left="720" w:hanging="720"/>
        <w:rPr>
          <w:lang w:val="es-ES"/>
        </w:rPr>
      </w:pPr>
      <w:r w:rsidRPr="00316DE1">
        <w:rPr>
          <w:lang w:val="en-US"/>
        </w:rPr>
        <w:lastRenderedPageBreak/>
        <w:t xml:space="preserve">Ponce, R., &amp; </w:t>
      </w:r>
      <w:proofErr w:type="spellStart"/>
      <w:r w:rsidRPr="00316DE1">
        <w:rPr>
          <w:lang w:val="en-US"/>
        </w:rPr>
        <w:t>Telenchana</w:t>
      </w:r>
      <w:proofErr w:type="spellEnd"/>
      <w:r w:rsidRPr="00316DE1">
        <w:rPr>
          <w:lang w:val="en-US"/>
        </w:rPr>
        <w:t xml:space="preserve">, L. M. C. (2023). </w:t>
      </w:r>
      <w:proofErr w:type="spellStart"/>
      <w:r w:rsidRPr="009D7705">
        <w:rPr>
          <w:lang w:val="en-US"/>
        </w:rPr>
        <w:t>Regulación</w:t>
      </w:r>
      <w:proofErr w:type="spellEnd"/>
      <w:r w:rsidRPr="009D7705">
        <w:rPr>
          <w:lang w:val="en-US"/>
        </w:rPr>
        <w:t xml:space="preserve"> </w:t>
      </w:r>
      <w:proofErr w:type="spellStart"/>
      <w:r w:rsidRPr="009D7705">
        <w:rPr>
          <w:lang w:val="en-US"/>
        </w:rPr>
        <w:t>emocional</w:t>
      </w:r>
      <w:proofErr w:type="spellEnd"/>
      <w:r w:rsidRPr="009D7705">
        <w:rPr>
          <w:lang w:val="en-US"/>
        </w:rPr>
        <w:t xml:space="preserve"> y </w:t>
      </w:r>
      <w:proofErr w:type="spellStart"/>
      <w:r w:rsidRPr="009D7705">
        <w:rPr>
          <w:lang w:val="en-US"/>
        </w:rPr>
        <w:t>bienestar</w:t>
      </w:r>
      <w:proofErr w:type="spellEnd"/>
      <w:r w:rsidRPr="009D7705">
        <w:rPr>
          <w:lang w:val="en-US"/>
        </w:rPr>
        <w:t xml:space="preserve"> </w:t>
      </w:r>
      <w:proofErr w:type="spellStart"/>
      <w:r w:rsidRPr="009D7705">
        <w:rPr>
          <w:lang w:val="en-US"/>
        </w:rPr>
        <w:t>psicológico</w:t>
      </w:r>
      <w:proofErr w:type="spellEnd"/>
      <w:r w:rsidRPr="009D7705">
        <w:rPr>
          <w:lang w:val="en-US"/>
        </w:rPr>
        <w:t xml:space="preserve"> </w:t>
      </w:r>
      <w:proofErr w:type="spellStart"/>
      <w:r w:rsidRPr="009D7705">
        <w:rPr>
          <w:lang w:val="en-US"/>
        </w:rPr>
        <w:t>en</w:t>
      </w:r>
      <w:proofErr w:type="spellEnd"/>
      <w:r w:rsidRPr="009D7705">
        <w:rPr>
          <w:lang w:val="en-US"/>
        </w:rPr>
        <w:t xml:space="preserve"> </w:t>
      </w:r>
      <w:proofErr w:type="spellStart"/>
      <w:r w:rsidRPr="009D7705">
        <w:rPr>
          <w:lang w:val="en-US"/>
        </w:rPr>
        <w:t>estudiantes</w:t>
      </w:r>
      <w:proofErr w:type="spellEnd"/>
      <w:r w:rsidRPr="009D7705">
        <w:rPr>
          <w:lang w:val="en-US"/>
        </w:rPr>
        <w:t xml:space="preserve"> </w:t>
      </w:r>
      <w:proofErr w:type="spellStart"/>
      <w:r w:rsidRPr="009D7705">
        <w:rPr>
          <w:lang w:val="en-US"/>
        </w:rPr>
        <w:t>universitarios</w:t>
      </w:r>
      <w:proofErr w:type="spellEnd"/>
      <w:r w:rsidRPr="009D7705">
        <w:rPr>
          <w:lang w:val="en-US"/>
        </w:rPr>
        <w:t xml:space="preserve">: Emotional Regulation and Psychological Well-Being in College Students. </w:t>
      </w:r>
      <w:r w:rsidRPr="00316DE1">
        <w:rPr>
          <w:lang w:val="es-ES"/>
        </w:rPr>
        <w:t xml:space="preserve">LATAM </w:t>
      </w:r>
      <w:r w:rsidRPr="00316DE1">
        <w:rPr>
          <w:i/>
          <w:iCs/>
          <w:lang w:val="es-ES"/>
        </w:rPr>
        <w:t>Revista Latinoamericana de Ciencias Sociales y Humanidades, 4</w:t>
      </w:r>
      <w:r w:rsidRPr="00316DE1">
        <w:rPr>
          <w:lang w:val="es-ES"/>
        </w:rPr>
        <w:t xml:space="preserve">(1), 587–597. </w:t>
      </w:r>
      <w:hyperlink r:id="rId46" w:history="1">
        <w:r w:rsidRPr="00316DE1">
          <w:rPr>
            <w:rStyle w:val="Hipervnculo"/>
            <w:lang w:val="es-ES"/>
          </w:rPr>
          <w:t>https://doi.org/10.56712/latam.v4i1.275</w:t>
        </w:r>
      </w:hyperlink>
    </w:p>
    <w:p w14:paraId="327FB172" w14:textId="77777777" w:rsidR="009D7705" w:rsidRPr="00316DE1" w:rsidRDefault="009D7705" w:rsidP="00316DE1">
      <w:pPr>
        <w:ind w:left="720" w:hanging="720"/>
        <w:rPr>
          <w:lang w:val="es-ES"/>
        </w:rPr>
      </w:pPr>
      <w:r w:rsidRPr="00316DE1">
        <w:rPr>
          <w:lang w:val="es-ES"/>
        </w:rPr>
        <w:t xml:space="preserve">Prada-Chapoñan, R., Navarro-Loli, J. S., &amp; </w:t>
      </w:r>
      <w:proofErr w:type="spellStart"/>
      <w:r w:rsidRPr="00316DE1">
        <w:rPr>
          <w:lang w:val="es-ES"/>
        </w:rPr>
        <w:t>Dominguez</w:t>
      </w:r>
      <w:proofErr w:type="spellEnd"/>
      <w:r w:rsidRPr="00316DE1">
        <w:rPr>
          <w:lang w:val="es-ES"/>
        </w:rPr>
        <w:t xml:space="preserve">-Lara, S. (2020). Personalidad y agotamiento emocional académico en estudiantes universitarios peruanos: un estudio predictivo. </w:t>
      </w:r>
      <w:r w:rsidRPr="00316DE1">
        <w:rPr>
          <w:i/>
          <w:iCs/>
          <w:lang w:val="es-ES"/>
        </w:rPr>
        <w:t>Revista Digital de Investigación en Docencia Universitaria, 14</w:t>
      </w:r>
      <w:r w:rsidRPr="00316DE1">
        <w:rPr>
          <w:lang w:val="es-ES"/>
        </w:rPr>
        <w:t xml:space="preserve">(2). </w:t>
      </w:r>
      <w:hyperlink r:id="rId47" w:history="1">
        <w:r w:rsidRPr="00316DE1">
          <w:rPr>
            <w:rStyle w:val="Hipervnculo"/>
            <w:lang w:val="es-ES"/>
          </w:rPr>
          <w:t>https://doi.org/10.19083/ridu.2020.1227</w:t>
        </w:r>
      </w:hyperlink>
    </w:p>
    <w:p w14:paraId="67C7416C" w14:textId="4B1C0E33" w:rsidR="009D7705" w:rsidRPr="00527858" w:rsidRDefault="009D7705" w:rsidP="00316DE1">
      <w:pPr>
        <w:ind w:left="720" w:hanging="720"/>
      </w:pPr>
      <w:r w:rsidRPr="00316DE1">
        <w:rPr>
          <w:lang w:val="es-ES"/>
        </w:rPr>
        <w:t xml:space="preserve">Ramos, F., Manga, D. y Morán, C. (2005). Escala de </w:t>
      </w:r>
      <w:r w:rsidR="00E97241">
        <w:rPr>
          <w:lang w:val="es-ES"/>
        </w:rPr>
        <w:t>fatiga emocional</w:t>
      </w:r>
      <w:r w:rsidRPr="00316DE1">
        <w:rPr>
          <w:lang w:val="es-ES"/>
        </w:rPr>
        <w:t xml:space="preserve"> (ECE) para estudiantes universitarios: Propiedades psicométricas y asociación. </w:t>
      </w:r>
      <w:hyperlink r:id="rId48" w:history="1">
        <w:r w:rsidRPr="00527858">
          <w:rPr>
            <w:rStyle w:val="Hipervnculo"/>
          </w:rPr>
          <w:t>https://www.researchgate.net/profile/Maria-Consuelo-Astorga/publication/271846180_Escala_de_cansancio_emocional_ECE_para_estudiantes_universitarios/links/5888d718a6fdcc9a35c13ff1/Escala-de-cansancio-emocional-ECE-para-estudiantes-universitarios.pdf</w:t>
        </w:r>
      </w:hyperlink>
    </w:p>
    <w:p w14:paraId="6225B25C" w14:textId="77777777" w:rsidR="009D7705" w:rsidRPr="00316DE1" w:rsidRDefault="009D7705" w:rsidP="00316DE1">
      <w:pPr>
        <w:ind w:left="720" w:hanging="720"/>
      </w:pPr>
      <w:proofErr w:type="spellStart"/>
      <w:r w:rsidRPr="00316DE1">
        <w:rPr>
          <w:lang w:val="es-ES"/>
        </w:rPr>
        <w:t>Salanova</w:t>
      </w:r>
      <w:proofErr w:type="spellEnd"/>
      <w:r w:rsidRPr="00316DE1">
        <w:rPr>
          <w:lang w:val="es-ES"/>
        </w:rPr>
        <w:t xml:space="preserve"> M, </w:t>
      </w:r>
      <w:proofErr w:type="spellStart"/>
      <w:r w:rsidRPr="00316DE1">
        <w:rPr>
          <w:lang w:val="es-ES"/>
        </w:rPr>
        <w:t>Schaufeli</w:t>
      </w:r>
      <w:proofErr w:type="spellEnd"/>
      <w:r w:rsidRPr="00316DE1">
        <w:rPr>
          <w:lang w:val="es-ES"/>
        </w:rPr>
        <w:t xml:space="preserve"> W, Llorens S, </w:t>
      </w:r>
      <w:proofErr w:type="spellStart"/>
      <w:r w:rsidRPr="00316DE1">
        <w:rPr>
          <w:lang w:val="es-ES"/>
        </w:rPr>
        <w:t>Peiro</w:t>
      </w:r>
      <w:proofErr w:type="spellEnd"/>
      <w:r w:rsidRPr="00316DE1">
        <w:rPr>
          <w:lang w:val="es-ES"/>
        </w:rPr>
        <w:t xml:space="preserve"> J. Desde el Burnout al </w:t>
      </w:r>
      <w:proofErr w:type="spellStart"/>
      <w:r w:rsidRPr="00316DE1">
        <w:rPr>
          <w:lang w:val="es-ES"/>
        </w:rPr>
        <w:t>Engagement</w:t>
      </w:r>
      <w:proofErr w:type="spellEnd"/>
      <w:r w:rsidRPr="00316DE1">
        <w:rPr>
          <w:lang w:val="es-ES"/>
        </w:rPr>
        <w:t xml:space="preserve">. ¿Una nueva perspectiva? Revista de psicología del trabajo y las organizaciones. </w:t>
      </w:r>
      <w:r w:rsidRPr="00316DE1">
        <w:rPr>
          <w:i/>
          <w:iCs/>
          <w:lang w:val="es-ES"/>
        </w:rPr>
        <w:t>2000; 16</w:t>
      </w:r>
      <w:r w:rsidRPr="00316DE1">
        <w:rPr>
          <w:lang w:val="es-ES"/>
        </w:rPr>
        <w:t>(2)</w:t>
      </w:r>
      <w:r>
        <w:rPr>
          <w:lang w:val="es-ES"/>
        </w:rPr>
        <w:t xml:space="preserve">, </w:t>
      </w:r>
      <w:r w:rsidRPr="00316DE1">
        <w:rPr>
          <w:lang w:val="es-ES"/>
        </w:rPr>
        <w:t xml:space="preserve">117-134.  </w:t>
      </w:r>
      <w:hyperlink r:id="rId49" w:history="1">
        <w:r w:rsidRPr="00316DE1">
          <w:rPr>
            <w:rStyle w:val="Hipervnculo"/>
          </w:rPr>
          <w:t>https://journals.copmadrid.org/jwop/art/7c590f01490190db0ed02a5070e20f01</w:t>
        </w:r>
      </w:hyperlink>
    </w:p>
    <w:p w14:paraId="5B38635D" w14:textId="77777777" w:rsidR="009D7705" w:rsidRPr="00316DE1" w:rsidRDefault="009D7705" w:rsidP="00316DE1">
      <w:pPr>
        <w:ind w:left="720" w:hanging="720"/>
        <w:rPr>
          <w:lang w:val="en-US"/>
        </w:rPr>
      </w:pPr>
      <w:r w:rsidRPr="00316DE1">
        <w:rPr>
          <w:lang w:val="it-IT"/>
        </w:rPr>
        <w:t xml:space="preserve">Schaufeli, W. B., Bakker, A. B., &amp; Salanova, M. (2006). </w:t>
      </w:r>
      <w:r w:rsidRPr="00316DE1">
        <w:rPr>
          <w:lang w:val="en-US"/>
        </w:rPr>
        <w:t xml:space="preserve">The measurement of work engagement with a short questionnaire: A cross-national study. </w:t>
      </w:r>
      <w:r w:rsidRPr="00316DE1">
        <w:rPr>
          <w:i/>
          <w:iCs/>
          <w:lang w:val="en-US"/>
        </w:rPr>
        <w:t>Educational and psychological measurement, 66</w:t>
      </w:r>
      <w:r w:rsidRPr="00316DE1">
        <w:rPr>
          <w:lang w:val="en-US"/>
        </w:rPr>
        <w:t xml:space="preserve">(4), 701-716. </w:t>
      </w:r>
      <w:hyperlink r:id="rId50" w:history="1">
        <w:r w:rsidRPr="00316DE1">
          <w:rPr>
            <w:rStyle w:val="Hipervnculo"/>
            <w:lang w:val="en-US"/>
          </w:rPr>
          <w:t>https://doi.org/10.1177/0013164405282471</w:t>
        </w:r>
      </w:hyperlink>
    </w:p>
    <w:p w14:paraId="1D48CEDD" w14:textId="77777777" w:rsidR="009D7705" w:rsidRPr="00C972AB" w:rsidRDefault="009D7705" w:rsidP="00316DE1">
      <w:pPr>
        <w:ind w:left="720" w:hanging="720"/>
        <w:rPr>
          <w:lang w:val="en-US"/>
        </w:rPr>
      </w:pPr>
      <w:r w:rsidRPr="00225112">
        <w:rPr>
          <w:lang w:val="en-US"/>
        </w:rPr>
        <w:t xml:space="preserve">Schaufeli, W. B., Martínez, I. M., Pinto, A. M., </w:t>
      </w:r>
      <w:proofErr w:type="spellStart"/>
      <w:r w:rsidRPr="00225112">
        <w:rPr>
          <w:lang w:val="en-US"/>
        </w:rPr>
        <w:t>Salanova</w:t>
      </w:r>
      <w:proofErr w:type="spellEnd"/>
      <w:r w:rsidRPr="00225112">
        <w:rPr>
          <w:lang w:val="en-US"/>
        </w:rPr>
        <w:t xml:space="preserve">, M., &amp; Bakker, A. B. (2002). </w:t>
      </w:r>
      <w:r w:rsidRPr="00316DE1">
        <w:rPr>
          <w:lang w:val="en-US"/>
        </w:rPr>
        <w:t xml:space="preserve">Burnout and Engagement in University Students. </w:t>
      </w:r>
      <w:r w:rsidRPr="00316DE1">
        <w:rPr>
          <w:i/>
          <w:iCs/>
          <w:lang w:val="en-US"/>
        </w:rPr>
        <w:t>Journal of Cross-Cultural Psychology, 33</w:t>
      </w:r>
      <w:r w:rsidRPr="00316DE1">
        <w:rPr>
          <w:lang w:val="en-US"/>
        </w:rPr>
        <w:t xml:space="preserve">(5), 464–481. </w:t>
      </w:r>
      <w:hyperlink r:id="rId51" w:history="1">
        <w:r w:rsidRPr="00C972AB">
          <w:rPr>
            <w:rStyle w:val="Hipervnculo"/>
            <w:lang w:val="en-US"/>
          </w:rPr>
          <w:t>https://doi.org/10.1177/0022022102033005003</w:t>
        </w:r>
      </w:hyperlink>
    </w:p>
    <w:p w14:paraId="0D34B33A" w14:textId="77777777" w:rsidR="009D7705" w:rsidRPr="003E72AC" w:rsidRDefault="009D7705" w:rsidP="003E72AC">
      <w:pPr>
        <w:ind w:left="720" w:hanging="720"/>
        <w:rPr>
          <w:u w:val="single"/>
        </w:rPr>
      </w:pPr>
      <w:r w:rsidRPr="003E72AC">
        <w:rPr>
          <w:lang w:val="en-US"/>
        </w:rPr>
        <w:t xml:space="preserve">Skinner, E. A., &amp; Pitzer, J. R. (2012). Developmental Dynamics of Student Engagement, Coping, and Everyday Resilience. In </w:t>
      </w:r>
      <w:r w:rsidRPr="003E72AC">
        <w:rPr>
          <w:i/>
          <w:lang w:val="en-US"/>
        </w:rPr>
        <w:t>Handbook of Research on Student Engagement</w:t>
      </w:r>
      <w:r w:rsidRPr="003E72AC">
        <w:rPr>
          <w:lang w:val="en-US"/>
        </w:rPr>
        <w:t xml:space="preserve"> (pp. 21–44). Springer US. </w:t>
      </w:r>
      <w:hyperlink r:id="rId52">
        <w:r w:rsidRPr="003E72AC">
          <w:rPr>
            <w:rStyle w:val="Hipervnculo"/>
          </w:rPr>
          <w:t>https://doi.org/10.1007/978-1-4614-2018-7_2</w:t>
        </w:r>
      </w:hyperlink>
    </w:p>
    <w:p w14:paraId="39CC81BA" w14:textId="77777777" w:rsidR="009D7705" w:rsidRPr="00316DE1" w:rsidRDefault="009D7705" w:rsidP="00316DE1">
      <w:pPr>
        <w:ind w:left="720" w:hanging="720"/>
        <w:rPr>
          <w:lang w:val="es-ES"/>
        </w:rPr>
      </w:pPr>
      <w:r w:rsidRPr="00316DE1">
        <w:rPr>
          <w:lang w:val="es-ES"/>
        </w:rPr>
        <w:t xml:space="preserve">Tasayco </w:t>
      </w:r>
      <w:proofErr w:type="spellStart"/>
      <w:r w:rsidRPr="00316DE1">
        <w:rPr>
          <w:lang w:val="es-ES"/>
        </w:rPr>
        <w:t>Llata</w:t>
      </w:r>
      <w:proofErr w:type="spellEnd"/>
      <w:r w:rsidRPr="00316DE1">
        <w:rPr>
          <w:lang w:val="es-ES"/>
        </w:rPr>
        <w:t xml:space="preserve">, E. M., &amp; </w:t>
      </w:r>
      <w:proofErr w:type="spellStart"/>
      <w:r w:rsidRPr="00316DE1">
        <w:rPr>
          <w:lang w:val="es-ES"/>
        </w:rPr>
        <w:t>Pachao</w:t>
      </w:r>
      <w:proofErr w:type="spellEnd"/>
      <w:r w:rsidRPr="00316DE1">
        <w:rPr>
          <w:lang w:val="es-ES"/>
        </w:rPr>
        <w:t xml:space="preserve"> Díaz, S. M. (2018). </w:t>
      </w:r>
      <w:r w:rsidRPr="00316DE1">
        <w:rPr>
          <w:i/>
          <w:iCs/>
          <w:lang w:val="es-ES"/>
        </w:rPr>
        <w:t>Rendimiento Académico y Factores de Abandono Universitario en Estudiantes de Enfermería de una Universidad Privada, 2018</w:t>
      </w:r>
      <w:r w:rsidRPr="00316DE1">
        <w:rPr>
          <w:lang w:val="es-ES"/>
        </w:rPr>
        <w:t>.</w:t>
      </w:r>
      <w:r>
        <w:rPr>
          <w:lang w:val="es-ES"/>
        </w:rPr>
        <w:t xml:space="preserve"> [Tesis de pregrado, Universidad Norbert Wiener]</w:t>
      </w:r>
      <w:r w:rsidRPr="00316DE1">
        <w:rPr>
          <w:lang w:val="es-ES"/>
        </w:rPr>
        <w:t xml:space="preserve"> </w:t>
      </w:r>
      <w:hyperlink r:id="rId53" w:history="1">
        <w:r w:rsidRPr="00316DE1">
          <w:rPr>
            <w:rStyle w:val="Hipervnculo"/>
            <w:lang w:val="es-ES"/>
          </w:rPr>
          <w:t>http://repositorio.uwiener.edu.pe/handle/123456789/2574</w:t>
        </w:r>
      </w:hyperlink>
    </w:p>
    <w:p w14:paraId="1D99C96F" w14:textId="77777777" w:rsidR="009D7705" w:rsidRDefault="009D7705" w:rsidP="00316DE1">
      <w:pPr>
        <w:ind w:left="720" w:hanging="720"/>
        <w:rPr>
          <w:lang w:val="es-ES"/>
        </w:rPr>
      </w:pPr>
      <w:r w:rsidRPr="0058051A">
        <w:rPr>
          <w:lang w:val="en-US"/>
        </w:rPr>
        <w:t xml:space="preserve">Tucker, C. M., </w:t>
      </w:r>
      <w:proofErr w:type="spellStart"/>
      <w:r w:rsidRPr="0058051A">
        <w:rPr>
          <w:lang w:val="en-US"/>
        </w:rPr>
        <w:t>Zayco</w:t>
      </w:r>
      <w:proofErr w:type="spellEnd"/>
      <w:r w:rsidRPr="0058051A">
        <w:rPr>
          <w:lang w:val="en-US"/>
        </w:rPr>
        <w:t xml:space="preserve">, R. A., Herman, K. C., Reinke, W. M., Trujillo, M., Carraway, K., Wallack, C., &amp; Ivery, P. D. (2002). </w:t>
      </w:r>
      <w:r w:rsidRPr="00316DE1">
        <w:rPr>
          <w:lang w:val="en-US"/>
        </w:rPr>
        <w:t xml:space="preserve">Teacher and child variables as predictors of </w:t>
      </w:r>
      <w:r w:rsidRPr="00316DE1">
        <w:rPr>
          <w:lang w:val="en-US"/>
        </w:rPr>
        <w:lastRenderedPageBreak/>
        <w:t xml:space="preserve">academic engagement among low-income African American children. </w:t>
      </w:r>
      <w:proofErr w:type="spellStart"/>
      <w:r w:rsidRPr="00316DE1">
        <w:rPr>
          <w:i/>
          <w:iCs/>
          <w:lang w:val="es-ES"/>
        </w:rPr>
        <w:t>Psychology</w:t>
      </w:r>
      <w:proofErr w:type="spellEnd"/>
      <w:r w:rsidRPr="00316DE1">
        <w:rPr>
          <w:i/>
          <w:iCs/>
          <w:lang w:val="es-ES"/>
        </w:rPr>
        <w:t xml:space="preserve"> in </w:t>
      </w:r>
      <w:proofErr w:type="spellStart"/>
      <w:r w:rsidRPr="00316DE1">
        <w:rPr>
          <w:i/>
          <w:iCs/>
          <w:lang w:val="es-ES"/>
        </w:rPr>
        <w:t>the</w:t>
      </w:r>
      <w:proofErr w:type="spellEnd"/>
      <w:r w:rsidRPr="00316DE1">
        <w:rPr>
          <w:i/>
          <w:iCs/>
          <w:lang w:val="es-ES"/>
        </w:rPr>
        <w:t xml:space="preserve"> </w:t>
      </w:r>
      <w:proofErr w:type="spellStart"/>
      <w:r w:rsidRPr="00316DE1">
        <w:rPr>
          <w:i/>
          <w:iCs/>
          <w:lang w:val="es-ES"/>
        </w:rPr>
        <w:t>Schools</w:t>
      </w:r>
      <w:proofErr w:type="spellEnd"/>
      <w:r w:rsidRPr="00316DE1">
        <w:rPr>
          <w:i/>
          <w:iCs/>
          <w:lang w:val="es-ES"/>
        </w:rPr>
        <w:t>, 39</w:t>
      </w:r>
      <w:r w:rsidRPr="00316DE1">
        <w:rPr>
          <w:lang w:val="es-ES"/>
        </w:rPr>
        <w:t xml:space="preserve">(4), 477–488. </w:t>
      </w:r>
      <w:hyperlink r:id="rId54" w:history="1">
        <w:r w:rsidRPr="00316DE1">
          <w:rPr>
            <w:rStyle w:val="Hipervnculo"/>
            <w:lang w:val="es-ES"/>
          </w:rPr>
          <w:t>https://doi.org/10.1002/pits.10038</w:t>
        </w:r>
      </w:hyperlink>
    </w:p>
    <w:p w14:paraId="29C5264C" w14:textId="77777777" w:rsidR="00994D33" w:rsidRPr="00994D33" w:rsidRDefault="00994D33" w:rsidP="00994D33">
      <w:pPr>
        <w:rPr>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94D33" w:rsidRPr="00994D33" w14:paraId="622D1CB5" w14:textId="77777777" w:rsidTr="00994D33">
        <w:trPr>
          <w:jc w:val="center"/>
        </w:trPr>
        <w:tc>
          <w:tcPr>
            <w:tcW w:w="3045" w:type="dxa"/>
            <w:shd w:val="clear" w:color="auto" w:fill="auto"/>
            <w:tcMar>
              <w:top w:w="100" w:type="dxa"/>
              <w:left w:w="100" w:type="dxa"/>
              <w:bottom w:w="100" w:type="dxa"/>
              <w:right w:w="100" w:type="dxa"/>
            </w:tcMar>
          </w:tcPr>
          <w:p w14:paraId="3687A6A6" w14:textId="77777777" w:rsidR="00994D33" w:rsidRPr="00994D33" w:rsidRDefault="00994D33" w:rsidP="009B0913">
            <w:pPr>
              <w:pStyle w:val="Ttulo3"/>
              <w:widowControl w:val="0"/>
              <w:spacing w:before="0" w:line="240" w:lineRule="auto"/>
              <w:rPr>
                <w:rFonts w:ascii="Times New Roman" w:hAnsi="Times New Roman" w:cs="Times New Roman"/>
                <w:color w:val="auto"/>
                <w:sz w:val="24"/>
                <w:szCs w:val="24"/>
                <w:lang w:val="es-MX"/>
              </w:rPr>
            </w:pPr>
            <w:r w:rsidRPr="00994D33">
              <w:rPr>
                <w:rFonts w:ascii="Times New Roman" w:hAnsi="Times New Roman" w:cs="Times New Roman"/>
                <w:color w:val="auto"/>
                <w:sz w:val="24"/>
                <w:szCs w:val="24"/>
                <w:lang w:val="es-MX"/>
              </w:rPr>
              <w:t>Rol de Contribución</w:t>
            </w:r>
          </w:p>
        </w:tc>
        <w:tc>
          <w:tcPr>
            <w:tcW w:w="6315" w:type="dxa"/>
            <w:shd w:val="clear" w:color="auto" w:fill="auto"/>
            <w:tcMar>
              <w:top w:w="100" w:type="dxa"/>
              <w:left w:w="100" w:type="dxa"/>
              <w:bottom w:w="100" w:type="dxa"/>
              <w:right w:w="100" w:type="dxa"/>
            </w:tcMar>
          </w:tcPr>
          <w:p w14:paraId="0D110D04" w14:textId="51EA2BCC" w:rsidR="00994D33" w:rsidRPr="00994D33" w:rsidRDefault="00994D33" w:rsidP="009B0913">
            <w:pPr>
              <w:pStyle w:val="Ttulo3"/>
              <w:widowControl w:val="0"/>
              <w:spacing w:before="0" w:line="240" w:lineRule="auto"/>
              <w:rPr>
                <w:rFonts w:ascii="Times New Roman" w:hAnsi="Times New Roman" w:cs="Times New Roman"/>
                <w:color w:val="auto"/>
                <w:sz w:val="24"/>
                <w:szCs w:val="24"/>
                <w:lang w:val="es-MX"/>
              </w:rPr>
            </w:pPr>
            <w:bookmarkStart w:id="6" w:name="_btsjgdfgjwkr" w:colFirst="0" w:colLast="0"/>
            <w:bookmarkEnd w:id="6"/>
            <w:r>
              <w:rPr>
                <w:rFonts w:ascii="Times New Roman" w:hAnsi="Times New Roman" w:cs="Times New Roman"/>
                <w:color w:val="auto"/>
                <w:sz w:val="24"/>
                <w:szCs w:val="24"/>
                <w:lang w:val="es-MX"/>
              </w:rPr>
              <w:t>Autor (es)</w:t>
            </w:r>
          </w:p>
        </w:tc>
      </w:tr>
      <w:tr w:rsidR="00994D33" w:rsidRPr="00994D33" w14:paraId="637986F6" w14:textId="77777777" w:rsidTr="00994D33">
        <w:trPr>
          <w:jc w:val="center"/>
        </w:trPr>
        <w:tc>
          <w:tcPr>
            <w:tcW w:w="3045" w:type="dxa"/>
            <w:shd w:val="clear" w:color="auto" w:fill="auto"/>
            <w:tcMar>
              <w:top w:w="100" w:type="dxa"/>
              <w:left w:w="100" w:type="dxa"/>
              <w:bottom w:w="100" w:type="dxa"/>
              <w:right w:w="100" w:type="dxa"/>
            </w:tcMar>
          </w:tcPr>
          <w:p w14:paraId="77B325D1"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Conceptualización</w:t>
            </w:r>
          </w:p>
        </w:tc>
        <w:tc>
          <w:tcPr>
            <w:tcW w:w="6315" w:type="dxa"/>
            <w:shd w:val="clear" w:color="auto" w:fill="auto"/>
            <w:tcMar>
              <w:top w:w="100" w:type="dxa"/>
              <w:left w:w="100" w:type="dxa"/>
              <w:bottom w:w="100" w:type="dxa"/>
              <w:right w:w="100" w:type="dxa"/>
            </w:tcMar>
          </w:tcPr>
          <w:p w14:paraId="2EBEA981"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3FA07BA5" w14:textId="77777777" w:rsidTr="00994D33">
        <w:trPr>
          <w:jc w:val="center"/>
        </w:trPr>
        <w:tc>
          <w:tcPr>
            <w:tcW w:w="3045" w:type="dxa"/>
            <w:shd w:val="clear" w:color="auto" w:fill="auto"/>
            <w:tcMar>
              <w:top w:w="100" w:type="dxa"/>
              <w:left w:w="100" w:type="dxa"/>
              <w:bottom w:w="100" w:type="dxa"/>
              <w:right w:w="100" w:type="dxa"/>
            </w:tcMar>
          </w:tcPr>
          <w:p w14:paraId="483B880C"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Metodología</w:t>
            </w:r>
          </w:p>
        </w:tc>
        <w:tc>
          <w:tcPr>
            <w:tcW w:w="6315" w:type="dxa"/>
            <w:shd w:val="clear" w:color="auto" w:fill="auto"/>
            <w:tcMar>
              <w:top w:w="100" w:type="dxa"/>
              <w:left w:w="100" w:type="dxa"/>
              <w:bottom w:w="100" w:type="dxa"/>
              <w:right w:w="100" w:type="dxa"/>
            </w:tcMar>
          </w:tcPr>
          <w:p w14:paraId="2EDF17CA"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 </w:t>
            </w:r>
            <w:proofErr w:type="spellStart"/>
            <w:r w:rsidRPr="00994D33">
              <w:rPr>
                <w:rFonts w:cs="Times New Roman"/>
                <w:szCs w:val="24"/>
                <w:lang w:val="es-MX"/>
              </w:rPr>
              <w:t>Militza</w:t>
            </w:r>
            <w:proofErr w:type="spellEnd"/>
            <w:r w:rsidRPr="00994D33">
              <w:rPr>
                <w:rFonts w:cs="Times New Roman"/>
                <w:szCs w:val="24"/>
                <w:lang w:val="es-MX"/>
              </w:rPr>
              <w:t xml:space="preserve"> Carmen Virginia </w:t>
            </w:r>
            <w:proofErr w:type="spellStart"/>
            <w:r w:rsidRPr="00994D33">
              <w:rPr>
                <w:rFonts w:cs="Times New Roman"/>
                <w:szCs w:val="24"/>
                <w:lang w:val="es-MX"/>
              </w:rPr>
              <w:t>Alvarez</w:t>
            </w:r>
            <w:proofErr w:type="spellEnd"/>
            <w:r w:rsidRPr="00994D33">
              <w:rPr>
                <w:rFonts w:cs="Times New Roman"/>
                <w:szCs w:val="24"/>
                <w:lang w:val="es-MX"/>
              </w:rPr>
              <w:t xml:space="preserve"> Machuca (igual)</w:t>
            </w:r>
          </w:p>
        </w:tc>
      </w:tr>
      <w:tr w:rsidR="00994D33" w:rsidRPr="00994D33" w14:paraId="1B711A92" w14:textId="77777777" w:rsidTr="00994D33">
        <w:trPr>
          <w:jc w:val="center"/>
        </w:trPr>
        <w:tc>
          <w:tcPr>
            <w:tcW w:w="3045" w:type="dxa"/>
            <w:shd w:val="clear" w:color="auto" w:fill="auto"/>
            <w:tcMar>
              <w:top w:w="100" w:type="dxa"/>
              <w:left w:w="100" w:type="dxa"/>
              <w:bottom w:w="100" w:type="dxa"/>
              <w:right w:w="100" w:type="dxa"/>
            </w:tcMar>
          </w:tcPr>
          <w:p w14:paraId="0AB44BED"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Software</w:t>
            </w:r>
          </w:p>
        </w:tc>
        <w:tc>
          <w:tcPr>
            <w:tcW w:w="6315" w:type="dxa"/>
            <w:shd w:val="clear" w:color="auto" w:fill="auto"/>
            <w:tcMar>
              <w:top w:w="100" w:type="dxa"/>
              <w:left w:w="100" w:type="dxa"/>
              <w:bottom w:w="100" w:type="dxa"/>
              <w:right w:w="100" w:type="dxa"/>
            </w:tcMar>
          </w:tcPr>
          <w:p w14:paraId="41D1748D"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NO APLICA</w:t>
            </w:r>
          </w:p>
        </w:tc>
      </w:tr>
      <w:tr w:rsidR="00994D33" w:rsidRPr="00994D33" w14:paraId="53F48ABF" w14:textId="77777777" w:rsidTr="00994D33">
        <w:trPr>
          <w:jc w:val="center"/>
        </w:trPr>
        <w:tc>
          <w:tcPr>
            <w:tcW w:w="3045" w:type="dxa"/>
            <w:shd w:val="clear" w:color="auto" w:fill="auto"/>
            <w:tcMar>
              <w:top w:w="100" w:type="dxa"/>
              <w:left w:w="100" w:type="dxa"/>
              <w:bottom w:w="100" w:type="dxa"/>
              <w:right w:w="100" w:type="dxa"/>
            </w:tcMar>
          </w:tcPr>
          <w:p w14:paraId="5D15023E"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Validación</w:t>
            </w:r>
          </w:p>
        </w:tc>
        <w:tc>
          <w:tcPr>
            <w:tcW w:w="6315" w:type="dxa"/>
            <w:shd w:val="clear" w:color="auto" w:fill="auto"/>
            <w:tcMar>
              <w:top w:w="100" w:type="dxa"/>
              <w:left w:w="100" w:type="dxa"/>
              <w:bottom w:w="100" w:type="dxa"/>
              <w:right w:w="100" w:type="dxa"/>
            </w:tcMar>
          </w:tcPr>
          <w:p w14:paraId="0A03EF00"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4D8F078A" w14:textId="77777777" w:rsidTr="00994D33">
        <w:trPr>
          <w:jc w:val="center"/>
        </w:trPr>
        <w:tc>
          <w:tcPr>
            <w:tcW w:w="3045" w:type="dxa"/>
            <w:shd w:val="clear" w:color="auto" w:fill="auto"/>
            <w:tcMar>
              <w:top w:w="100" w:type="dxa"/>
              <w:left w:w="100" w:type="dxa"/>
              <w:bottom w:w="100" w:type="dxa"/>
              <w:right w:w="100" w:type="dxa"/>
            </w:tcMar>
          </w:tcPr>
          <w:p w14:paraId="677BA09E"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Análisis Formal</w:t>
            </w:r>
          </w:p>
        </w:tc>
        <w:tc>
          <w:tcPr>
            <w:tcW w:w="6315" w:type="dxa"/>
            <w:shd w:val="clear" w:color="auto" w:fill="auto"/>
            <w:tcMar>
              <w:top w:w="100" w:type="dxa"/>
              <w:left w:w="100" w:type="dxa"/>
              <w:bottom w:w="100" w:type="dxa"/>
              <w:right w:w="100" w:type="dxa"/>
            </w:tcMar>
          </w:tcPr>
          <w:p w14:paraId="0CCDC86F"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08F812F8" w14:textId="77777777" w:rsidTr="00994D33">
        <w:trPr>
          <w:jc w:val="center"/>
        </w:trPr>
        <w:tc>
          <w:tcPr>
            <w:tcW w:w="3045" w:type="dxa"/>
            <w:shd w:val="clear" w:color="auto" w:fill="auto"/>
            <w:tcMar>
              <w:top w:w="100" w:type="dxa"/>
              <w:left w:w="100" w:type="dxa"/>
              <w:bottom w:w="100" w:type="dxa"/>
              <w:right w:w="100" w:type="dxa"/>
            </w:tcMar>
          </w:tcPr>
          <w:p w14:paraId="03212256"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Investigación</w:t>
            </w:r>
          </w:p>
        </w:tc>
        <w:tc>
          <w:tcPr>
            <w:tcW w:w="6315" w:type="dxa"/>
            <w:shd w:val="clear" w:color="auto" w:fill="auto"/>
            <w:tcMar>
              <w:top w:w="100" w:type="dxa"/>
              <w:left w:w="100" w:type="dxa"/>
              <w:bottom w:w="100" w:type="dxa"/>
              <w:right w:w="100" w:type="dxa"/>
            </w:tcMar>
          </w:tcPr>
          <w:p w14:paraId="292EF19E"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637BF1C7" w14:textId="77777777" w:rsidTr="00994D33">
        <w:trPr>
          <w:jc w:val="center"/>
        </w:trPr>
        <w:tc>
          <w:tcPr>
            <w:tcW w:w="3045" w:type="dxa"/>
            <w:shd w:val="clear" w:color="auto" w:fill="auto"/>
            <w:tcMar>
              <w:top w:w="100" w:type="dxa"/>
              <w:left w:w="100" w:type="dxa"/>
              <w:bottom w:w="100" w:type="dxa"/>
              <w:right w:w="100" w:type="dxa"/>
            </w:tcMar>
          </w:tcPr>
          <w:p w14:paraId="2FFC7309"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Recursos</w:t>
            </w:r>
          </w:p>
        </w:tc>
        <w:tc>
          <w:tcPr>
            <w:tcW w:w="6315" w:type="dxa"/>
            <w:shd w:val="clear" w:color="auto" w:fill="auto"/>
            <w:tcMar>
              <w:top w:w="100" w:type="dxa"/>
              <w:left w:w="100" w:type="dxa"/>
              <w:bottom w:w="100" w:type="dxa"/>
              <w:right w:w="100" w:type="dxa"/>
            </w:tcMar>
          </w:tcPr>
          <w:p w14:paraId="02D5E9EE"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 (principal), </w:t>
            </w:r>
            <w:proofErr w:type="spellStart"/>
            <w:r w:rsidRPr="00994D33">
              <w:rPr>
                <w:rFonts w:cs="Times New Roman"/>
                <w:szCs w:val="24"/>
                <w:lang w:val="es-MX"/>
              </w:rPr>
              <w:t>Militza</w:t>
            </w:r>
            <w:proofErr w:type="spellEnd"/>
            <w:r w:rsidRPr="00994D33">
              <w:rPr>
                <w:rFonts w:cs="Times New Roman"/>
                <w:szCs w:val="24"/>
                <w:lang w:val="es-MX"/>
              </w:rPr>
              <w:t xml:space="preserve"> Carmen Virginia </w:t>
            </w:r>
            <w:proofErr w:type="spellStart"/>
            <w:r w:rsidRPr="00994D33">
              <w:rPr>
                <w:rFonts w:cs="Times New Roman"/>
                <w:szCs w:val="24"/>
                <w:lang w:val="es-MX"/>
              </w:rPr>
              <w:t>Alvarez</w:t>
            </w:r>
            <w:proofErr w:type="spellEnd"/>
            <w:r w:rsidRPr="00994D33">
              <w:rPr>
                <w:rFonts w:cs="Times New Roman"/>
                <w:szCs w:val="24"/>
                <w:lang w:val="es-MX"/>
              </w:rPr>
              <w:t xml:space="preserve"> Machuca y Elizabeth Dany Araujo-Robles (apoyan)</w:t>
            </w:r>
          </w:p>
        </w:tc>
      </w:tr>
      <w:tr w:rsidR="00994D33" w:rsidRPr="00994D33" w14:paraId="65E38426" w14:textId="77777777" w:rsidTr="00994D33">
        <w:trPr>
          <w:jc w:val="center"/>
        </w:trPr>
        <w:tc>
          <w:tcPr>
            <w:tcW w:w="3045" w:type="dxa"/>
            <w:shd w:val="clear" w:color="auto" w:fill="auto"/>
            <w:tcMar>
              <w:top w:w="100" w:type="dxa"/>
              <w:left w:w="100" w:type="dxa"/>
              <w:bottom w:w="100" w:type="dxa"/>
              <w:right w:w="100" w:type="dxa"/>
            </w:tcMar>
          </w:tcPr>
          <w:p w14:paraId="24F7407B"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Curación de datos</w:t>
            </w:r>
          </w:p>
        </w:tc>
        <w:tc>
          <w:tcPr>
            <w:tcW w:w="6315" w:type="dxa"/>
            <w:shd w:val="clear" w:color="auto" w:fill="auto"/>
            <w:tcMar>
              <w:top w:w="100" w:type="dxa"/>
              <w:left w:w="100" w:type="dxa"/>
              <w:bottom w:w="100" w:type="dxa"/>
              <w:right w:w="100" w:type="dxa"/>
            </w:tcMar>
          </w:tcPr>
          <w:p w14:paraId="3C71695A"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4554B498" w14:textId="77777777" w:rsidTr="00994D33">
        <w:trPr>
          <w:jc w:val="center"/>
        </w:trPr>
        <w:tc>
          <w:tcPr>
            <w:tcW w:w="3045" w:type="dxa"/>
            <w:shd w:val="clear" w:color="auto" w:fill="auto"/>
            <w:tcMar>
              <w:top w:w="100" w:type="dxa"/>
              <w:left w:w="100" w:type="dxa"/>
              <w:bottom w:w="100" w:type="dxa"/>
              <w:right w:w="100" w:type="dxa"/>
            </w:tcMar>
          </w:tcPr>
          <w:p w14:paraId="64519991"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97D41DE"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17E8BA64" w14:textId="77777777" w:rsidTr="00994D33">
        <w:trPr>
          <w:jc w:val="center"/>
        </w:trPr>
        <w:tc>
          <w:tcPr>
            <w:tcW w:w="3045" w:type="dxa"/>
            <w:shd w:val="clear" w:color="auto" w:fill="auto"/>
            <w:tcMar>
              <w:top w:w="100" w:type="dxa"/>
              <w:left w:w="100" w:type="dxa"/>
              <w:bottom w:w="100" w:type="dxa"/>
              <w:right w:w="100" w:type="dxa"/>
            </w:tcMar>
          </w:tcPr>
          <w:p w14:paraId="5DA107FA"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Escritura - Revisión y edición</w:t>
            </w:r>
          </w:p>
        </w:tc>
        <w:tc>
          <w:tcPr>
            <w:tcW w:w="6315" w:type="dxa"/>
            <w:shd w:val="clear" w:color="auto" w:fill="auto"/>
            <w:tcMar>
              <w:top w:w="100" w:type="dxa"/>
              <w:left w:w="100" w:type="dxa"/>
              <w:bottom w:w="100" w:type="dxa"/>
              <w:right w:w="100" w:type="dxa"/>
            </w:tcMar>
          </w:tcPr>
          <w:p w14:paraId="05BBFD15"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 (principal), </w:t>
            </w:r>
            <w:proofErr w:type="spellStart"/>
            <w:r w:rsidRPr="00994D33">
              <w:rPr>
                <w:rFonts w:cs="Times New Roman"/>
                <w:szCs w:val="24"/>
                <w:lang w:val="es-MX"/>
              </w:rPr>
              <w:t>Militza</w:t>
            </w:r>
            <w:proofErr w:type="spellEnd"/>
            <w:r w:rsidRPr="00994D33">
              <w:rPr>
                <w:rFonts w:cs="Times New Roman"/>
                <w:szCs w:val="24"/>
                <w:lang w:val="es-MX"/>
              </w:rPr>
              <w:t xml:space="preserve"> Carmen Virginia </w:t>
            </w:r>
            <w:proofErr w:type="spellStart"/>
            <w:r w:rsidRPr="00994D33">
              <w:rPr>
                <w:rFonts w:cs="Times New Roman"/>
                <w:szCs w:val="24"/>
                <w:lang w:val="es-MX"/>
              </w:rPr>
              <w:t>Alvarez</w:t>
            </w:r>
            <w:proofErr w:type="spellEnd"/>
            <w:r w:rsidRPr="00994D33">
              <w:rPr>
                <w:rFonts w:cs="Times New Roman"/>
                <w:szCs w:val="24"/>
                <w:lang w:val="es-MX"/>
              </w:rPr>
              <w:t xml:space="preserve"> Machuca y Elizabeth Dany Araujo-Robles (apoyan)</w:t>
            </w:r>
          </w:p>
        </w:tc>
      </w:tr>
      <w:tr w:rsidR="00994D33" w:rsidRPr="00994D33" w14:paraId="11EAD93F" w14:textId="77777777" w:rsidTr="00994D33">
        <w:trPr>
          <w:jc w:val="center"/>
        </w:trPr>
        <w:tc>
          <w:tcPr>
            <w:tcW w:w="3045" w:type="dxa"/>
            <w:shd w:val="clear" w:color="auto" w:fill="auto"/>
            <w:tcMar>
              <w:top w:w="100" w:type="dxa"/>
              <w:left w:w="100" w:type="dxa"/>
              <w:bottom w:w="100" w:type="dxa"/>
              <w:right w:w="100" w:type="dxa"/>
            </w:tcMar>
          </w:tcPr>
          <w:p w14:paraId="564344CD"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Visualización</w:t>
            </w:r>
          </w:p>
        </w:tc>
        <w:tc>
          <w:tcPr>
            <w:tcW w:w="6315" w:type="dxa"/>
            <w:shd w:val="clear" w:color="auto" w:fill="auto"/>
            <w:tcMar>
              <w:top w:w="100" w:type="dxa"/>
              <w:left w:w="100" w:type="dxa"/>
              <w:bottom w:w="100" w:type="dxa"/>
              <w:right w:w="100" w:type="dxa"/>
            </w:tcMar>
          </w:tcPr>
          <w:p w14:paraId="6DB34855"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 (principal), </w:t>
            </w:r>
            <w:proofErr w:type="spellStart"/>
            <w:r w:rsidRPr="00994D33">
              <w:rPr>
                <w:rFonts w:cs="Times New Roman"/>
                <w:szCs w:val="24"/>
                <w:lang w:val="es-MX"/>
              </w:rPr>
              <w:t>Militza</w:t>
            </w:r>
            <w:proofErr w:type="spellEnd"/>
            <w:r w:rsidRPr="00994D33">
              <w:rPr>
                <w:rFonts w:cs="Times New Roman"/>
                <w:szCs w:val="24"/>
                <w:lang w:val="es-MX"/>
              </w:rPr>
              <w:t xml:space="preserve"> Carmen Virginia </w:t>
            </w:r>
            <w:proofErr w:type="spellStart"/>
            <w:r w:rsidRPr="00994D33">
              <w:rPr>
                <w:rFonts w:cs="Times New Roman"/>
                <w:szCs w:val="24"/>
                <w:lang w:val="es-MX"/>
              </w:rPr>
              <w:t>Alvarez</w:t>
            </w:r>
            <w:proofErr w:type="spellEnd"/>
            <w:r w:rsidRPr="00994D33">
              <w:rPr>
                <w:rFonts w:cs="Times New Roman"/>
                <w:szCs w:val="24"/>
                <w:lang w:val="es-MX"/>
              </w:rPr>
              <w:t xml:space="preserve"> Machuca y Elizabeth Dany Araujo-Robles (apoyan)</w:t>
            </w:r>
          </w:p>
        </w:tc>
      </w:tr>
      <w:tr w:rsidR="00994D33" w:rsidRPr="00994D33" w14:paraId="643806DD" w14:textId="77777777" w:rsidTr="00994D33">
        <w:trPr>
          <w:jc w:val="center"/>
        </w:trPr>
        <w:tc>
          <w:tcPr>
            <w:tcW w:w="3045" w:type="dxa"/>
            <w:shd w:val="clear" w:color="auto" w:fill="auto"/>
            <w:tcMar>
              <w:top w:w="100" w:type="dxa"/>
              <w:left w:w="100" w:type="dxa"/>
              <w:bottom w:w="100" w:type="dxa"/>
              <w:right w:w="100" w:type="dxa"/>
            </w:tcMar>
          </w:tcPr>
          <w:p w14:paraId="799CFCCE"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Supervisión</w:t>
            </w:r>
          </w:p>
        </w:tc>
        <w:tc>
          <w:tcPr>
            <w:tcW w:w="6315" w:type="dxa"/>
            <w:shd w:val="clear" w:color="auto" w:fill="auto"/>
            <w:tcMar>
              <w:top w:w="100" w:type="dxa"/>
              <w:left w:w="100" w:type="dxa"/>
              <w:bottom w:w="100" w:type="dxa"/>
              <w:right w:w="100" w:type="dxa"/>
            </w:tcMar>
          </w:tcPr>
          <w:p w14:paraId="169B7083"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576521CC" w14:textId="77777777" w:rsidTr="00994D33">
        <w:trPr>
          <w:jc w:val="center"/>
        </w:trPr>
        <w:tc>
          <w:tcPr>
            <w:tcW w:w="3045" w:type="dxa"/>
            <w:shd w:val="clear" w:color="auto" w:fill="auto"/>
            <w:tcMar>
              <w:top w:w="100" w:type="dxa"/>
              <w:left w:w="100" w:type="dxa"/>
              <w:bottom w:w="100" w:type="dxa"/>
              <w:right w:w="100" w:type="dxa"/>
            </w:tcMar>
          </w:tcPr>
          <w:p w14:paraId="546C2BBE"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Administración de Proyectos</w:t>
            </w:r>
          </w:p>
        </w:tc>
        <w:tc>
          <w:tcPr>
            <w:tcW w:w="6315" w:type="dxa"/>
            <w:shd w:val="clear" w:color="auto" w:fill="auto"/>
            <w:tcMar>
              <w:top w:w="100" w:type="dxa"/>
              <w:left w:w="100" w:type="dxa"/>
              <w:bottom w:w="100" w:type="dxa"/>
              <w:right w:w="100" w:type="dxa"/>
            </w:tcMar>
          </w:tcPr>
          <w:p w14:paraId="54D70199" w14:textId="77777777" w:rsidR="00994D33" w:rsidRPr="00994D33" w:rsidRDefault="00994D33" w:rsidP="009B0913">
            <w:pPr>
              <w:widowControl w:val="0"/>
              <w:spacing w:line="240" w:lineRule="auto"/>
              <w:rPr>
                <w:rFonts w:cs="Times New Roman"/>
                <w:szCs w:val="24"/>
                <w:lang w:val="es-MX"/>
              </w:rPr>
            </w:pPr>
            <w:proofErr w:type="spellStart"/>
            <w:r w:rsidRPr="00994D33">
              <w:rPr>
                <w:rFonts w:cs="Times New Roman"/>
                <w:szCs w:val="24"/>
                <w:lang w:val="es-MX"/>
              </w:rPr>
              <w:t>Dioner</w:t>
            </w:r>
            <w:proofErr w:type="spellEnd"/>
            <w:r w:rsidRPr="00994D33">
              <w:rPr>
                <w:rFonts w:cs="Times New Roman"/>
                <w:szCs w:val="24"/>
                <w:lang w:val="es-MX"/>
              </w:rPr>
              <w:t xml:space="preserve"> Francis </w:t>
            </w:r>
            <w:proofErr w:type="spellStart"/>
            <w:r w:rsidRPr="00994D33">
              <w:rPr>
                <w:rFonts w:cs="Times New Roman"/>
                <w:szCs w:val="24"/>
                <w:lang w:val="es-MX"/>
              </w:rPr>
              <w:t>Marin</w:t>
            </w:r>
            <w:proofErr w:type="spellEnd"/>
            <w:r w:rsidRPr="00994D33">
              <w:rPr>
                <w:rFonts w:cs="Times New Roman"/>
                <w:szCs w:val="24"/>
                <w:lang w:val="es-MX"/>
              </w:rPr>
              <w:t xml:space="preserve"> Puelles</w:t>
            </w:r>
          </w:p>
        </w:tc>
      </w:tr>
      <w:tr w:rsidR="00994D33" w:rsidRPr="00994D33" w14:paraId="31305A9D" w14:textId="77777777" w:rsidTr="00994D33">
        <w:trPr>
          <w:jc w:val="center"/>
        </w:trPr>
        <w:tc>
          <w:tcPr>
            <w:tcW w:w="3045" w:type="dxa"/>
            <w:shd w:val="clear" w:color="auto" w:fill="auto"/>
            <w:tcMar>
              <w:top w:w="100" w:type="dxa"/>
              <w:left w:w="100" w:type="dxa"/>
              <w:bottom w:w="100" w:type="dxa"/>
              <w:right w:w="100" w:type="dxa"/>
            </w:tcMar>
          </w:tcPr>
          <w:p w14:paraId="5DCE796E"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Adquisición de fondos</w:t>
            </w:r>
          </w:p>
        </w:tc>
        <w:tc>
          <w:tcPr>
            <w:tcW w:w="6315" w:type="dxa"/>
            <w:shd w:val="clear" w:color="auto" w:fill="auto"/>
            <w:tcMar>
              <w:top w:w="100" w:type="dxa"/>
              <w:left w:w="100" w:type="dxa"/>
              <w:bottom w:w="100" w:type="dxa"/>
              <w:right w:w="100" w:type="dxa"/>
            </w:tcMar>
          </w:tcPr>
          <w:p w14:paraId="5515677F" w14:textId="77777777" w:rsidR="00994D33" w:rsidRPr="00994D33" w:rsidRDefault="00994D33" w:rsidP="009B0913">
            <w:pPr>
              <w:widowControl w:val="0"/>
              <w:spacing w:line="240" w:lineRule="auto"/>
              <w:rPr>
                <w:rFonts w:cs="Times New Roman"/>
                <w:szCs w:val="24"/>
                <w:lang w:val="es-MX"/>
              </w:rPr>
            </w:pPr>
            <w:r w:rsidRPr="00994D33">
              <w:rPr>
                <w:rFonts w:cs="Times New Roman"/>
                <w:szCs w:val="24"/>
                <w:lang w:val="es-MX"/>
              </w:rPr>
              <w:t>NO APLICA</w:t>
            </w:r>
          </w:p>
        </w:tc>
      </w:tr>
    </w:tbl>
    <w:p w14:paraId="54C57789" w14:textId="77777777" w:rsidR="00994D33" w:rsidRPr="00994D33" w:rsidRDefault="00994D33" w:rsidP="00994D33">
      <w:pPr>
        <w:tabs>
          <w:tab w:val="left" w:pos="3280"/>
        </w:tabs>
        <w:rPr>
          <w:lang w:val="es-ES"/>
        </w:rPr>
      </w:pPr>
    </w:p>
    <w:sectPr w:rsidR="00994D33" w:rsidRPr="00994D33" w:rsidSect="00F671A4">
      <w:headerReference w:type="default" r:id="rId55"/>
      <w:footerReference w:type="default" r:id="rId56"/>
      <w:pgSz w:w="12242" w:h="15842"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CE6D" w14:textId="77777777" w:rsidR="00FB57BC" w:rsidRDefault="00FB57BC" w:rsidP="009D7011">
      <w:pPr>
        <w:spacing w:line="240" w:lineRule="auto"/>
      </w:pPr>
      <w:r>
        <w:separator/>
      </w:r>
    </w:p>
  </w:endnote>
  <w:endnote w:type="continuationSeparator" w:id="0">
    <w:p w14:paraId="6152BA1A" w14:textId="77777777" w:rsidR="00FB57BC" w:rsidRDefault="00FB57BC" w:rsidP="009D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D260" w14:textId="1D4FF443" w:rsidR="00F671A4" w:rsidRDefault="00F671A4">
    <w:pPr>
      <w:pStyle w:val="Piedepgina"/>
    </w:pPr>
    <w:r>
      <w:t xml:space="preserve">             </w:t>
    </w:r>
    <w:r w:rsidRPr="002A3D98">
      <w:rPr>
        <w:noProof/>
        <w:lang w:eastAsia="es-MX"/>
      </w:rPr>
      <w:drawing>
        <wp:inline distT="0" distB="0" distL="0" distR="0" wp14:anchorId="7CBD5AA1" wp14:editId="074AD6D1">
          <wp:extent cx="1600200" cy="419100"/>
          <wp:effectExtent l="0" t="0" r="0" b="0"/>
          <wp:docPr id="19769600" name="Imagen 1976960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rPr>
      <w:t xml:space="preserve">Vol. 15 </w:t>
    </w:r>
    <w:proofErr w:type="spellStart"/>
    <w:r w:rsidRPr="006739CC">
      <w:rPr>
        <w:rFonts w:ascii="Calibri" w:hAnsi="Calibri" w:cs="Calibri"/>
        <w:b/>
        <w:sz w:val="22"/>
      </w:rPr>
      <w:t>Num</w:t>
    </w:r>
    <w:proofErr w:type="spellEnd"/>
    <w:r w:rsidRPr="006739CC">
      <w:rPr>
        <w:rFonts w:ascii="Calibri" w:hAnsi="Calibri" w:cs="Calibri"/>
        <w:b/>
        <w:sz w:val="22"/>
      </w:rPr>
      <w:t xml:space="preserve">. </w:t>
    </w:r>
    <w:r>
      <w:rPr>
        <w:rFonts w:ascii="Calibri" w:hAnsi="Calibri" w:cs="Calibri"/>
        <w:b/>
        <w:sz w:val="22"/>
      </w:rPr>
      <w:t>30</w:t>
    </w:r>
    <w:r w:rsidRPr="006739CC">
      <w:rPr>
        <w:rFonts w:ascii="Calibri" w:hAnsi="Calibri" w:cs="Calibri"/>
        <w:b/>
        <w:sz w:val="22"/>
      </w:rPr>
      <w:t xml:space="preserve"> </w:t>
    </w:r>
    <w:proofErr w:type="gramStart"/>
    <w:r>
      <w:rPr>
        <w:rFonts w:ascii="Calibri" w:hAnsi="Calibri" w:cs="Calibri"/>
        <w:b/>
        <w:sz w:val="22"/>
      </w:rPr>
      <w:t>Enero</w:t>
    </w:r>
    <w:proofErr w:type="gramEnd"/>
    <w:r>
      <w:rPr>
        <w:rFonts w:ascii="Calibri" w:hAnsi="Calibri" w:cs="Calibri"/>
        <w:b/>
        <w:sz w:val="22"/>
      </w:rPr>
      <w:t xml:space="preserve"> – Junio 2025</w:t>
    </w:r>
    <w:r w:rsidRPr="001043F3">
      <w:rPr>
        <w:rFonts w:ascii="Calibri" w:hAnsi="Calibri" w:cs="Calibri"/>
        <w:b/>
        <w:sz w:val="22"/>
      </w:rPr>
      <w:t>, e</w:t>
    </w:r>
    <w:r w:rsidR="00FE48E5">
      <w:rPr>
        <w:rFonts w:ascii="Calibri" w:hAnsi="Calibri" w:cs="Calibri"/>
        <w:b/>
        <w:sz w:val="22"/>
      </w:rPr>
      <w:t>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425D" w14:textId="77777777" w:rsidR="00FB57BC" w:rsidRDefault="00FB57BC" w:rsidP="009D7011">
      <w:pPr>
        <w:spacing w:line="240" w:lineRule="auto"/>
      </w:pPr>
      <w:r>
        <w:separator/>
      </w:r>
    </w:p>
  </w:footnote>
  <w:footnote w:type="continuationSeparator" w:id="0">
    <w:p w14:paraId="5EFD9F94" w14:textId="77777777" w:rsidR="00FB57BC" w:rsidRDefault="00FB57BC" w:rsidP="009D7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1E59" w14:textId="67DBF677" w:rsidR="00F671A4" w:rsidRDefault="00F671A4" w:rsidP="00F671A4">
    <w:pPr>
      <w:pStyle w:val="Encabezado"/>
      <w:jc w:val="center"/>
    </w:pPr>
    <w:r w:rsidRPr="002A3D98">
      <w:rPr>
        <w:noProof/>
        <w:lang w:eastAsia="es-MX"/>
      </w:rPr>
      <w:drawing>
        <wp:inline distT="0" distB="0" distL="0" distR="0" wp14:anchorId="7C8B17EE" wp14:editId="7F220A75">
          <wp:extent cx="5397500" cy="635000"/>
          <wp:effectExtent l="0" t="0" r="0" b="0"/>
          <wp:docPr id="1841298007" name="Imagen 184129800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463"/>
    <w:multiLevelType w:val="multilevel"/>
    <w:tmpl w:val="F9804D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8569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E1"/>
    <w:rsid w:val="000009BC"/>
    <w:rsid w:val="0001205F"/>
    <w:rsid w:val="00023CF7"/>
    <w:rsid w:val="00054486"/>
    <w:rsid w:val="00061395"/>
    <w:rsid w:val="0006235B"/>
    <w:rsid w:val="00065796"/>
    <w:rsid w:val="000A4E07"/>
    <w:rsid w:val="000B5A6C"/>
    <w:rsid w:val="000B6E6E"/>
    <w:rsid w:val="000B7BD3"/>
    <w:rsid w:val="000C38C8"/>
    <w:rsid w:val="000D0992"/>
    <w:rsid w:val="000D42A3"/>
    <w:rsid w:val="000D6C8D"/>
    <w:rsid w:val="000F1286"/>
    <w:rsid w:val="000F29AA"/>
    <w:rsid w:val="000F7A10"/>
    <w:rsid w:val="00104499"/>
    <w:rsid w:val="0011187B"/>
    <w:rsid w:val="0011540C"/>
    <w:rsid w:val="00142412"/>
    <w:rsid w:val="001540FF"/>
    <w:rsid w:val="001E2BAF"/>
    <w:rsid w:val="001F65BA"/>
    <w:rsid w:val="00223949"/>
    <w:rsid w:val="00225112"/>
    <w:rsid w:val="0026746C"/>
    <w:rsid w:val="00267CDF"/>
    <w:rsid w:val="00293071"/>
    <w:rsid w:val="00294BA6"/>
    <w:rsid w:val="002A5F98"/>
    <w:rsid w:val="002B2440"/>
    <w:rsid w:val="002B4ED7"/>
    <w:rsid w:val="002C0E3D"/>
    <w:rsid w:val="002C5127"/>
    <w:rsid w:val="002C5DB7"/>
    <w:rsid w:val="002D2B42"/>
    <w:rsid w:val="002E465D"/>
    <w:rsid w:val="002E6F8D"/>
    <w:rsid w:val="002F593A"/>
    <w:rsid w:val="00316DE1"/>
    <w:rsid w:val="00326E4A"/>
    <w:rsid w:val="003311D6"/>
    <w:rsid w:val="003615F4"/>
    <w:rsid w:val="0036267E"/>
    <w:rsid w:val="00365360"/>
    <w:rsid w:val="00370602"/>
    <w:rsid w:val="00370AF1"/>
    <w:rsid w:val="00376374"/>
    <w:rsid w:val="0038084A"/>
    <w:rsid w:val="0038791D"/>
    <w:rsid w:val="003906EE"/>
    <w:rsid w:val="003969E8"/>
    <w:rsid w:val="00397075"/>
    <w:rsid w:val="003B2C30"/>
    <w:rsid w:val="003C79F6"/>
    <w:rsid w:val="003E3C81"/>
    <w:rsid w:val="003E57FC"/>
    <w:rsid w:val="003E72AC"/>
    <w:rsid w:val="004049C2"/>
    <w:rsid w:val="004222D5"/>
    <w:rsid w:val="00442BA4"/>
    <w:rsid w:val="00450DC4"/>
    <w:rsid w:val="0047687F"/>
    <w:rsid w:val="004917E5"/>
    <w:rsid w:val="0049656C"/>
    <w:rsid w:val="004A4B6C"/>
    <w:rsid w:val="004A5250"/>
    <w:rsid w:val="004A76B2"/>
    <w:rsid w:val="004B1ABF"/>
    <w:rsid w:val="004B61C8"/>
    <w:rsid w:val="004E5E9D"/>
    <w:rsid w:val="004F2A8B"/>
    <w:rsid w:val="004F39DB"/>
    <w:rsid w:val="004F3EC4"/>
    <w:rsid w:val="00502849"/>
    <w:rsid w:val="005239E2"/>
    <w:rsid w:val="00527858"/>
    <w:rsid w:val="005321E6"/>
    <w:rsid w:val="00570AF6"/>
    <w:rsid w:val="0057297C"/>
    <w:rsid w:val="00573E31"/>
    <w:rsid w:val="0058051A"/>
    <w:rsid w:val="00581458"/>
    <w:rsid w:val="00592CB8"/>
    <w:rsid w:val="005D0670"/>
    <w:rsid w:val="00605B08"/>
    <w:rsid w:val="0060725B"/>
    <w:rsid w:val="006175BB"/>
    <w:rsid w:val="00624C3A"/>
    <w:rsid w:val="0063183D"/>
    <w:rsid w:val="006546CA"/>
    <w:rsid w:val="00662C9D"/>
    <w:rsid w:val="006762D3"/>
    <w:rsid w:val="00685899"/>
    <w:rsid w:val="006974E9"/>
    <w:rsid w:val="006A34D6"/>
    <w:rsid w:val="006A513A"/>
    <w:rsid w:val="006C19A5"/>
    <w:rsid w:val="006D35B5"/>
    <w:rsid w:val="006D53DD"/>
    <w:rsid w:val="006E3186"/>
    <w:rsid w:val="006E65C9"/>
    <w:rsid w:val="006F28FC"/>
    <w:rsid w:val="007026E2"/>
    <w:rsid w:val="00707591"/>
    <w:rsid w:val="0071202E"/>
    <w:rsid w:val="0071293C"/>
    <w:rsid w:val="00712FD8"/>
    <w:rsid w:val="00714B2B"/>
    <w:rsid w:val="00721E80"/>
    <w:rsid w:val="0073030C"/>
    <w:rsid w:val="0074376D"/>
    <w:rsid w:val="00743BFA"/>
    <w:rsid w:val="00756DA2"/>
    <w:rsid w:val="00760D0C"/>
    <w:rsid w:val="0076613B"/>
    <w:rsid w:val="00772F60"/>
    <w:rsid w:val="007850AC"/>
    <w:rsid w:val="0079352A"/>
    <w:rsid w:val="007B7194"/>
    <w:rsid w:val="007B7BE9"/>
    <w:rsid w:val="007D5041"/>
    <w:rsid w:val="007D55B2"/>
    <w:rsid w:val="007D7A2C"/>
    <w:rsid w:val="007E6E90"/>
    <w:rsid w:val="00821DD1"/>
    <w:rsid w:val="00827B7E"/>
    <w:rsid w:val="0083211E"/>
    <w:rsid w:val="00842759"/>
    <w:rsid w:val="008466B6"/>
    <w:rsid w:val="008556DF"/>
    <w:rsid w:val="00856B46"/>
    <w:rsid w:val="00857374"/>
    <w:rsid w:val="00866027"/>
    <w:rsid w:val="008879E8"/>
    <w:rsid w:val="008942F6"/>
    <w:rsid w:val="008B1D86"/>
    <w:rsid w:val="008B56E7"/>
    <w:rsid w:val="008C3677"/>
    <w:rsid w:val="008C568D"/>
    <w:rsid w:val="008E1DC4"/>
    <w:rsid w:val="008E2A3B"/>
    <w:rsid w:val="008F12B5"/>
    <w:rsid w:val="008F487F"/>
    <w:rsid w:val="00900AC7"/>
    <w:rsid w:val="0090215F"/>
    <w:rsid w:val="00911B7C"/>
    <w:rsid w:val="0091239C"/>
    <w:rsid w:val="00924B5C"/>
    <w:rsid w:val="0093054D"/>
    <w:rsid w:val="00935BD4"/>
    <w:rsid w:val="009379FE"/>
    <w:rsid w:val="009450C7"/>
    <w:rsid w:val="009477F6"/>
    <w:rsid w:val="00952D69"/>
    <w:rsid w:val="009911C2"/>
    <w:rsid w:val="00994D33"/>
    <w:rsid w:val="009A27F5"/>
    <w:rsid w:val="009A4076"/>
    <w:rsid w:val="009B194A"/>
    <w:rsid w:val="009B3FCC"/>
    <w:rsid w:val="009D6C21"/>
    <w:rsid w:val="009D7011"/>
    <w:rsid w:val="009D7705"/>
    <w:rsid w:val="009E7A5B"/>
    <w:rsid w:val="009F46EF"/>
    <w:rsid w:val="00A249E4"/>
    <w:rsid w:val="00A33457"/>
    <w:rsid w:val="00A5399C"/>
    <w:rsid w:val="00A67668"/>
    <w:rsid w:val="00A722D8"/>
    <w:rsid w:val="00A76423"/>
    <w:rsid w:val="00A81604"/>
    <w:rsid w:val="00A840A1"/>
    <w:rsid w:val="00A85BF8"/>
    <w:rsid w:val="00A91B71"/>
    <w:rsid w:val="00A92C2E"/>
    <w:rsid w:val="00A94527"/>
    <w:rsid w:val="00A95683"/>
    <w:rsid w:val="00AA5E1A"/>
    <w:rsid w:val="00AA63AB"/>
    <w:rsid w:val="00AB43E0"/>
    <w:rsid w:val="00AC3438"/>
    <w:rsid w:val="00AD3C2D"/>
    <w:rsid w:val="00AD6543"/>
    <w:rsid w:val="00AD6983"/>
    <w:rsid w:val="00AE398D"/>
    <w:rsid w:val="00AF2230"/>
    <w:rsid w:val="00AF4533"/>
    <w:rsid w:val="00B041C2"/>
    <w:rsid w:val="00B16984"/>
    <w:rsid w:val="00B3041E"/>
    <w:rsid w:val="00B32D36"/>
    <w:rsid w:val="00B504D9"/>
    <w:rsid w:val="00B50781"/>
    <w:rsid w:val="00B55DDC"/>
    <w:rsid w:val="00B6558A"/>
    <w:rsid w:val="00B8209B"/>
    <w:rsid w:val="00B97090"/>
    <w:rsid w:val="00BA3E13"/>
    <w:rsid w:val="00BA5650"/>
    <w:rsid w:val="00BB0679"/>
    <w:rsid w:val="00BB5316"/>
    <w:rsid w:val="00BD5A8B"/>
    <w:rsid w:val="00C0678E"/>
    <w:rsid w:val="00C06B76"/>
    <w:rsid w:val="00C12764"/>
    <w:rsid w:val="00C26C93"/>
    <w:rsid w:val="00C45EF8"/>
    <w:rsid w:val="00C73EDC"/>
    <w:rsid w:val="00C90919"/>
    <w:rsid w:val="00C972AB"/>
    <w:rsid w:val="00CD45BE"/>
    <w:rsid w:val="00CD5571"/>
    <w:rsid w:val="00CE6CBC"/>
    <w:rsid w:val="00D01FF6"/>
    <w:rsid w:val="00D13DFB"/>
    <w:rsid w:val="00D2411B"/>
    <w:rsid w:val="00D260E3"/>
    <w:rsid w:val="00D32FAB"/>
    <w:rsid w:val="00D3352E"/>
    <w:rsid w:val="00D616CA"/>
    <w:rsid w:val="00D772D9"/>
    <w:rsid w:val="00D86343"/>
    <w:rsid w:val="00D93A55"/>
    <w:rsid w:val="00DC1F71"/>
    <w:rsid w:val="00DC28EB"/>
    <w:rsid w:val="00DD596E"/>
    <w:rsid w:val="00DD61F4"/>
    <w:rsid w:val="00E03345"/>
    <w:rsid w:val="00E0783B"/>
    <w:rsid w:val="00E121B4"/>
    <w:rsid w:val="00E239C0"/>
    <w:rsid w:val="00E27D0C"/>
    <w:rsid w:val="00E5694B"/>
    <w:rsid w:val="00E615D6"/>
    <w:rsid w:val="00E67707"/>
    <w:rsid w:val="00E7142D"/>
    <w:rsid w:val="00E76BD1"/>
    <w:rsid w:val="00E906E3"/>
    <w:rsid w:val="00E93551"/>
    <w:rsid w:val="00E96FF4"/>
    <w:rsid w:val="00E97241"/>
    <w:rsid w:val="00ED5552"/>
    <w:rsid w:val="00EF135D"/>
    <w:rsid w:val="00EF24A8"/>
    <w:rsid w:val="00F16176"/>
    <w:rsid w:val="00F24C7F"/>
    <w:rsid w:val="00F31C2B"/>
    <w:rsid w:val="00F541A4"/>
    <w:rsid w:val="00F621CA"/>
    <w:rsid w:val="00F671A4"/>
    <w:rsid w:val="00F86297"/>
    <w:rsid w:val="00F936B9"/>
    <w:rsid w:val="00FB57BC"/>
    <w:rsid w:val="00FC661F"/>
    <w:rsid w:val="00FD0EC8"/>
    <w:rsid w:val="00FE3B51"/>
    <w:rsid w:val="00FE48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9C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line="480"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C"/>
    <w:pPr>
      <w:spacing w:line="360" w:lineRule="auto"/>
      <w:ind w:left="0" w:firstLine="0"/>
    </w:pPr>
    <w:rPr>
      <w:rFonts w:ascii="Times New Roman" w:hAnsi="Times New Roman"/>
      <w:kern w:val="0"/>
      <w:sz w:val="24"/>
      <w14:ligatures w14:val="none"/>
    </w:rPr>
  </w:style>
  <w:style w:type="paragraph" w:styleId="Ttulo1">
    <w:name w:val="heading 1"/>
    <w:basedOn w:val="Normal"/>
    <w:next w:val="Normal"/>
    <w:link w:val="Ttulo1Car"/>
    <w:uiPriority w:val="9"/>
    <w:qFormat/>
    <w:rsid w:val="006974E9"/>
    <w:pPr>
      <w:keepNext/>
      <w:keepLines/>
      <w:outlineLvl w:val="0"/>
    </w:pPr>
    <w:rPr>
      <w:rFonts w:asciiTheme="minorHAnsi" w:eastAsiaTheme="majorEastAsia" w:hAnsiTheme="minorHAnsi" w:cstheme="majorBidi"/>
      <w:b/>
      <w:color w:val="000000" w:themeColor="text1"/>
      <w:szCs w:val="32"/>
    </w:rPr>
  </w:style>
  <w:style w:type="paragraph" w:styleId="Ttulo2">
    <w:name w:val="heading 2"/>
    <w:basedOn w:val="Normal"/>
    <w:next w:val="Normal"/>
    <w:link w:val="Ttulo2Car"/>
    <w:uiPriority w:val="9"/>
    <w:semiHidden/>
    <w:unhideWhenUsed/>
    <w:qFormat/>
    <w:rsid w:val="00DC28EB"/>
    <w:pPr>
      <w:keepNext/>
      <w:keepLines/>
      <w:outlineLvl w:val="1"/>
    </w:pPr>
    <w:rPr>
      <w:rFonts w:asciiTheme="minorHAnsi" w:eastAsiaTheme="majorEastAsia" w:hAnsiTheme="minorHAnsi" w:cstheme="majorBidi"/>
      <w:color w:val="000000" w:themeColor="text1"/>
      <w:szCs w:val="26"/>
    </w:rPr>
  </w:style>
  <w:style w:type="paragraph" w:styleId="Ttulo3">
    <w:name w:val="heading 3"/>
    <w:basedOn w:val="Normal"/>
    <w:next w:val="Normal"/>
    <w:link w:val="Ttulo3Car"/>
    <w:uiPriority w:val="9"/>
    <w:semiHidden/>
    <w:unhideWhenUsed/>
    <w:qFormat/>
    <w:rsid w:val="00316D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16D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316DE1"/>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316DE1"/>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16DE1"/>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16DE1"/>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16DE1"/>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74E9"/>
    <w:rPr>
      <w:rFonts w:eastAsiaTheme="majorEastAsia" w:cstheme="majorBidi"/>
      <w:b/>
      <w:color w:val="000000" w:themeColor="text1"/>
      <w:szCs w:val="32"/>
    </w:rPr>
  </w:style>
  <w:style w:type="character" w:customStyle="1" w:styleId="Ttulo2Car">
    <w:name w:val="Título 2 Car"/>
    <w:basedOn w:val="Fuentedeprrafopredeter"/>
    <w:link w:val="Ttulo2"/>
    <w:uiPriority w:val="9"/>
    <w:semiHidden/>
    <w:rsid w:val="00DC28EB"/>
    <w:rPr>
      <w:rFonts w:eastAsiaTheme="majorEastAsia" w:cstheme="majorBidi"/>
      <w:color w:val="000000" w:themeColor="text1"/>
      <w:szCs w:val="26"/>
    </w:rPr>
  </w:style>
  <w:style w:type="character" w:customStyle="1" w:styleId="Ttulo3Car">
    <w:name w:val="Título 3 Car"/>
    <w:basedOn w:val="Fuentedeprrafopredeter"/>
    <w:link w:val="Ttulo3"/>
    <w:uiPriority w:val="9"/>
    <w:semiHidden/>
    <w:rsid w:val="00316DE1"/>
    <w:rPr>
      <w:rFonts w:eastAsiaTheme="majorEastAsia" w:cstheme="majorBidi"/>
      <w:color w:val="2F5496"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6DE1"/>
    <w:rPr>
      <w:rFonts w:eastAsiaTheme="majorEastAsia" w:cstheme="majorBidi"/>
      <w:i/>
      <w:iCs/>
      <w:color w:val="2F5496" w:themeColor="accent1" w:themeShade="BF"/>
      <w:kern w:val="0"/>
      <w:sz w:val="24"/>
      <w14:ligatures w14:val="none"/>
    </w:rPr>
  </w:style>
  <w:style w:type="character" w:customStyle="1" w:styleId="Ttulo5Car">
    <w:name w:val="Título 5 Car"/>
    <w:basedOn w:val="Fuentedeprrafopredeter"/>
    <w:link w:val="Ttulo5"/>
    <w:uiPriority w:val="9"/>
    <w:semiHidden/>
    <w:rsid w:val="00316DE1"/>
    <w:rPr>
      <w:rFonts w:eastAsiaTheme="majorEastAsia" w:cstheme="majorBidi"/>
      <w:color w:val="2F5496" w:themeColor="accent1" w:themeShade="BF"/>
      <w:kern w:val="0"/>
      <w:sz w:val="24"/>
      <w14:ligatures w14:val="none"/>
    </w:rPr>
  </w:style>
  <w:style w:type="character" w:customStyle="1" w:styleId="Ttulo6Car">
    <w:name w:val="Título 6 Car"/>
    <w:basedOn w:val="Fuentedeprrafopredeter"/>
    <w:link w:val="Ttulo6"/>
    <w:uiPriority w:val="9"/>
    <w:semiHidden/>
    <w:rsid w:val="00316DE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6DE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6DE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6DE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6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6DE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6D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6DE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6DE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6DE1"/>
    <w:rPr>
      <w:rFonts w:ascii="Arial" w:hAnsi="Arial"/>
      <w:i/>
      <w:iCs/>
      <w:color w:val="404040" w:themeColor="text1" w:themeTint="BF"/>
      <w:kern w:val="0"/>
      <w:sz w:val="24"/>
      <w14:ligatures w14:val="none"/>
    </w:rPr>
  </w:style>
  <w:style w:type="paragraph" w:styleId="Prrafodelista">
    <w:name w:val="List Paragraph"/>
    <w:basedOn w:val="Normal"/>
    <w:uiPriority w:val="34"/>
    <w:qFormat/>
    <w:rsid w:val="00316DE1"/>
    <w:pPr>
      <w:ind w:left="720"/>
      <w:contextualSpacing/>
    </w:pPr>
  </w:style>
  <w:style w:type="character" w:styleId="nfasisintenso">
    <w:name w:val="Intense Emphasis"/>
    <w:basedOn w:val="Fuentedeprrafopredeter"/>
    <w:uiPriority w:val="21"/>
    <w:qFormat/>
    <w:rsid w:val="00316DE1"/>
    <w:rPr>
      <w:i/>
      <w:iCs/>
      <w:color w:val="2F5496" w:themeColor="accent1" w:themeShade="BF"/>
    </w:rPr>
  </w:style>
  <w:style w:type="paragraph" w:styleId="Citadestacada">
    <w:name w:val="Intense Quote"/>
    <w:basedOn w:val="Normal"/>
    <w:next w:val="Normal"/>
    <w:link w:val="CitadestacadaCar"/>
    <w:uiPriority w:val="30"/>
    <w:qFormat/>
    <w:rsid w:val="00316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16DE1"/>
    <w:rPr>
      <w:rFonts w:ascii="Arial" w:hAnsi="Arial"/>
      <w:i/>
      <w:iCs/>
      <w:color w:val="2F5496" w:themeColor="accent1" w:themeShade="BF"/>
      <w:kern w:val="0"/>
      <w:sz w:val="24"/>
      <w14:ligatures w14:val="none"/>
    </w:rPr>
  </w:style>
  <w:style w:type="character" w:styleId="Referenciaintensa">
    <w:name w:val="Intense Reference"/>
    <w:basedOn w:val="Fuentedeprrafopredeter"/>
    <w:uiPriority w:val="32"/>
    <w:qFormat/>
    <w:rsid w:val="00316DE1"/>
    <w:rPr>
      <w:b/>
      <w:bCs/>
      <w:smallCaps/>
      <w:color w:val="2F5496" w:themeColor="accent1" w:themeShade="BF"/>
      <w:spacing w:val="5"/>
    </w:rPr>
  </w:style>
  <w:style w:type="table" w:styleId="Tablaconcuadrcula">
    <w:name w:val="Table Grid"/>
    <w:basedOn w:val="Tablanormal"/>
    <w:uiPriority w:val="39"/>
    <w:rsid w:val="00316D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6DE1"/>
    <w:rPr>
      <w:color w:val="0563C1" w:themeColor="hyperlink"/>
      <w:u w:val="single"/>
    </w:rPr>
  </w:style>
  <w:style w:type="character" w:styleId="Mencinsinresolver">
    <w:name w:val="Unresolved Mention"/>
    <w:basedOn w:val="Fuentedeprrafopredeter"/>
    <w:uiPriority w:val="99"/>
    <w:semiHidden/>
    <w:unhideWhenUsed/>
    <w:rsid w:val="00316DE1"/>
    <w:rPr>
      <w:color w:val="605E5C"/>
      <w:shd w:val="clear" w:color="auto" w:fill="E1DFDD"/>
    </w:rPr>
  </w:style>
  <w:style w:type="paragraph" w:styleId="Encabezado">
    <w:name w:val="header"/>
    <w:basedOn w:val="Normal"/>
    <w:link w:val="EncabezadoCar"/>
    <w:uiPriority w:val="99"/>
    <w:unhideWhenUsed/>
    <w:rsid w:val="009D701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D7011"/>
    <w:rPr>
      <w:rFonts w:ascii="Times New Roman" w:hAnsi="Times New Roman"/>
      <w:kern w:val="0"/>
      <w14:ligatures w14:val="none"/>
    </w:rPr>
  </w:style>
  <w:style w:type="paragraph" w:styleId="Piedepgina">
    <w:name w:val="footer"/>
    <w:basedOn w:val="Normal"/>
    <w:link w:val="PiedepginaCar"/>
    <w:uiPriority w:val="99"/>
    <w:unhideWhenUsed/>
    <w:rsid w:val="009D701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D7011"/>
    <w:rPr>
      <w:rFonts w:ascii="Times New Roman" w:hAnsi="Times New Roman"/>
      <w:kern w:val="0"/>
      <w14:ligatures w14:val="none"/>
    </w:rPr>
  </w:style>
  <w:style w:type="character" w:styleId="Refdecomentario">
    <w:name w:val="annotation reference"/>
    <w:basedOn w:val="Fuentedeprrafopredeter"/>
    <w:uiPriority w:val="99"/>
    <w:semiHidden/>
    <w:unhideWhenUsed/>
    <w:rsid w:val="001F65BA"/>
    <w:rPr>
      <w:sz w:val="16"/>
      <w:szCs w:val="16"/>
    </w:rPr>
  </w:style>
  <w:style w:type="paragraph" w:styleId="Textocomentario">
    <w:name w:val="annotation text"/>
    <w:basedOn w:val="Normal"/>
    <w:link w:val="TextocomentarioCar"/>
    <w:uiPriority w:val="99"/>
    <w:semiHidden/>
    <w:unhideWhenUsed/>
    <w:rsid w:val="001F65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65BA"/>
    <w:rPr>
      <w:rFonts w:ascii="Times New Roman" w:hAnsi="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F65BA"/>
    <w:rPr>
      <w:b/>
      <w:bCs/>
    </w:rPr>
  </w:style>
  <w:style w:type="character" w:customStyle="1" w:styleId="AsuntodelcomentarioCar">
    <w:name w:val="Asunto del comentario Car"/>
    <w:basedOn w:val="TextocomentarioCar"/>
    <w:link w:val="Asuntodelcomentario"/>
    <w:uiPriority w:val="99"/>
    <w:semiHidden/>
    <w:rsid w:val="001F65BA"/>
    <w:rPr>
      <w:rFonts w:ascii="Times New Roman" w:hAnsi="Times New Roman"/>
      <w:b/>
      <w:bCs/>
      <w:kern w:val="0"/>
      <w:sz w:val="20"/>
      <w:szCs w:val="20"/>
      <w14:ligatures w14:val="none"/>
    </w:rPr>
  </w:style>
  <w:style w:type="paragraph" w:styleId="Textodeglobo">
    <w:name w:val="Balloon Text"/>
    <w:basedOn w:val="Normal"/>
    <w:link w:val="TextodegloboCar"/>
    <w:uiPriority w:val="99"/>
    <w:semiHidden/>
    <w:unhideWhenUsed/>
    <w:rsid w:val="001F65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5BA"/>
    <w:rPr>
      <w:rFonts w:ascii="Segoe UI" w:hAnsi="Segoe UI" w:cs="Segoe UI"/>
      <w:kern w:val="0"/>
      <w:sz w:val="18"/>
      <w:szCs w:val="18"/>
      <w14:ligatures w14:val="none"/>
    </w:rPr>
  </w:style>
  <w:style w:type="character" w:styleId="Hipervnculovisitado">
    <w:name w:val="FollowedHyperlink"/>
    <w:basedOn w:val="Fuentedeprrafopredeter"/>
    <w:uiPriority w:val="99"/>
    <w:semiHidden/>
    <w:unhideWhenUsed/>
    <w:rsid w:val="000A4E07"/>
    <w:rPr>
      <w:color w:val="954F72" w:themeColor="followedHyperlink"/>
      <w:u w:val="single"/>
    </w:rPr>
  </w:style>
  <w:style w:type="paragraph" w:styleId="HTMLconformatoprevio">
    <w:name w:val="HTML Preformatted"/>
    <w:basedOn w:val="Normal"/>
    <w:link w:val="HTMLconformatoprevioCar"/>
    <w:uiPriority w:val="99"/>
    <w:unhideWhenUsed/>
    <w:rsid w:val="00F671A4"/>
    <w:pPr>
      <w:spacing w:line="240" w:lineRule="auto"/>
      <w:jc w:val="left"/>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671A4"/>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676499">
      <w:bodyDiv w:val="1"/>
      <w:marLeft w:val="0"/>
      <w:marRight w:val="0"/>
      <w:marTop w:val="0"/>
      <w:marBottom w:val="0"/>
      <w:divBdr>
        <w:top w:val="none" w:sz="0" w:space="0" w:color="auto"/>
        <w:left w:val="none" w:sz="0" w:space="0" w:color="auto"/>
        <w:bottom w:val="none" w:sz="0" w:space="0" w:color="auto"/>
        <w:right w:val="none" w:sz="0" w:space="0" w:color="auto"/>
      </w:divBdr>
    </w:div>
    <w:div w:id="21132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s.unisimon.edu.co/index.php/psicogente/article/view/2678/2705" TargetMode="External"/><Relationship Id="rId18" Type="http://schemas.openxmlformats.org/officeDocument/2006/relationships/hyperlink" Target="https://doi.org/10.1037/0021-9010.86.3.499" TargetMode="External"/><Relationship Id="rId26" Type="http://schemas.openxmlformats.org/officeDocument/2006/relationships/hyperlink" Target="https://doi.org/10.1007/s10964-006-9126-6" TargetMode="External"/><Relationship Id="rId39" Type="http://schemas.openxmlformats.org/officeDocument/2006/relationships/hyperlink" Target="https://doi.org/10.1016/j.cedpsych.2006.11.003" TargetMode="External"/><Relationship Id="rId21" Type="http://schemas.openxmlformats.org/officeDocument/2006/relationships/hyperlink" Target="http://uajournals.com/ojs/index.php/campusvirtuales/article/view/1213/625" TargetMode="External"/><Relationship Id="rId34" Type="http://schemas.openxmlformats.org/officeDocument/2006/relationships/hyperlink" Target="https://doi.org/10.1037/0022-3514.84.3.632" TargetMode="External"/><Relationship Id="rId42" Type="http://schemas.openxmlformats.org/officeDocument/2006/relationships/hyperlink" Target="https://cbbjournal.ro/index.php/en/2013/78-17-4/530-perceived-autonomy-supportive-teaching-academic-self-perceptions-and-engagement-in-learning-toward-a-process-model-of-academic-achievement" TargetMode="External"/><Relationship Id="rId47" Type="http://schemas.openxmlformats.org/officeDocument/2006/relationships/hyperlink" Target="https://doi.org/10.19083/ridu.2020.1227" TargetMode="External"/><Relationship Id="rId50" Type="http://schemas.openxmlformats.org/officeDocument/2006/relationships/hyperlink" Target="https://doi.org/10.1177/0013164405282471"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353/csd.2013.0082" TargetMode="External"/><Relationship Id="rId29" Type="http://schemas.openxmlformats.org/officeDocument/2006/relationships/hyperlink" Target="https://doi.org/10.1007/s10902-016-9715-3" TargetMode="External"/><Relationship Id="rId11" Type="http://schemas.openxmlformats.org/officeDocument/2006/relationships/hyperlink" Target="https://doi.org/10.6018/analesps.29.3.178511" TargetMode="External"/><Relationship Id="rId24" Type="http://schemas.openxmlformats.org/officeDocument/2006/relationships/hyperlink" Target="https://doi.org/10.4067/s0718-48082014000300008" TargetMode="External"/><Relationship Id="rId32" Type="http://schemas.openxmlformats.org/officeDocument/2006/relationships/hyperlink" Target="https://doi.org/10.1037/0022-3514.85.2.348" TargetMode="External"/><Relationship Id="rId37" Type="http://schemas.openxmlformats.org/officeDocument/2006/relationships/hyperlink" Target="https://doi.org/10.1037/a0038229" TargetMode="External"/><Relationship Id="rId40" Type="http://schemas.openxmlformats.org/officeDocument/2006/relationships/hyperlink" Target="https://doi.org/10.1111/1467-8721.01258" TargetMode="External"/><Relationship Id="rId45" Type="http://schemas.openxmlformats.org/officeDocument/2006/relationships/hyperlink" Target="https://doi.org/10.1016/j.system.2019.102128" TargetMode="External"/><Relationship Id="rId53" Type="http://schemas.openxmlformats.org/officeDocument/2006/relationships/hyperlink" Target="http://repositorio.uwiener.edu.pe/handle/123456789/257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16/j.edumed.2016.11.010" TargetMode="External"/><Relationship Id="rId4" Type="http://schemas.openxmlformats.org/officeDocument/2006/relationships/settings" Target="settings.xml"/><Relationship Id="rId9" Type="http://schemas.openxmlformats.org/officeDocument/2006/relationships/hyperlink" Target="https://doi.org/10.1023/A:1026175525173" TargetMode="External"/><Relationship Id="rId14" Type="http://schemas.openxmlformats.org/officeDocument/2006/relationships/hyperlink" Target="http://www.scielo.org.co/pdf/apl/v25n2/v25n2a7.pdf" TargetMode="External"/><Relationship Id="rId22" Type="http://schemas.openxmlformats.org/officeDocument/2006/relationships/hyperlink" Target="https://doi.org/10.14718/acp.2020.23.2.2" TargetMode="External"/><Relationship Id="rId27" Type="http://schemas.openxmlformats.org/officeDocument/2006/relationships/hyperlink" Target="https://www.redalyc.org/pdf/3334/333427073006.pdf" TargetMode="External"/><Relationship Id="rId30" Type="http://schemas.openxmlformats.org/officeDocument/2006/relationships/hyperlink" Target="https://revistas.um.es/analesps/article/view/22321" TargetMode="External"/><Relationship Id="rId35" Type="http://schemas.openxmlformats.org/officeDocument/2006/relationships/hyperlink" Target="https://doi.org/10.1348/000709906x160778" TargetMode="External"/><Relationship Id="rId43" Type="http://schemas.openxmlformats.org/officeDocument/2006/relationships/hyperlink" Target="https://doi.org/10.1023/A:1024515519160" TargetMode="External"/><Relationship Id="rId48" Type="http://schemas.openxmlformats.org/officeDocument/2006/relationships/hyperlink" Target="https://www.researchgate.net/profile/Maria-Consuelo-Astorga/publication/271846180_Escala_de_cansancio_emocional_ECE_para_estudiantes_universitarios/links/5888d718a6fdcc9a35c13ff1/Escala-de-cansancio-emocional-ECE-para-estudiantes-universitarios.pdf" TargetMode="External"/><Relationship Id="rId56" Type="http://schemas.openxmlformats.org/officeDocument/2006/relationships/footer" Target="footer1.xml"/><Relationship Id="rId8" Type="http://schemas.openxmlformats.org/officeDocument/2006/relationships/hyperlink" Target="https://doi.org/10.5539/ies.v9n12p41" TargetMode="External"/><Relationship Id="rId51" Type="http://schemas.openxmlformats.org/officeDocument/2006/relationships/hyperlink" Target="https://doi.org/10.1177/0022022102033005003" TargetMode="External"/><Relationship Id="rId3" Type="http://schemas.openxmlformats.org/officeDocument/2006/relationships/styles" Target="styles.xml"/><Relationship Id="rId12" Type="http://schemas.openxmlformats.org/officeDocument/2006/relationships/hyperlink" Target="https://doi.org/10.22267/rus.212301.211" TargetMode="External"/><Relationship Id="rId17" Type="http://schemas.openxmlformats.org/officeDocument/2006/relationships/hyperlink" Target="https://repositorio.upeu.edu.pe/handle/20.500.12840/5026" TargetMode="External"/><Relationship Id="rId25" Type="http://schemas.openxmlformats.org/officeDocument/2006/relationships/hyperlink" Target="https://doi.org/10.19083/ridu.2023.1664" TargetMode="External"/><Relationship Id="rId33" Type="http://schemas.openxmlformats.org/officeDocument/2006/relationships/hyperlink" Target="http://metabase.uaem.mx/xmlui/bitstream/handle/123456789/2776/506_6.pdf" TargetMode="External"/><Relationship Id="rId38" Type="http://schemas.openxmlformats.org/officeDocument/2006/relationships/hyperlink" Target="https://doi.org/10.19083/ridu.7.186" TargetMode="External"/><Relationship Id="rId46" Type="http://schemas.openxmlformats.org/officeDocument/2006/relationships/hyperlink" Target="https://doi.org/10.56712/latam.v4i1.275" TargetMode="External"/><Relationship Id="rId20" Type="http://schemas.openxmlformats.org/officeDocument/2006/relationships/hyperlink" Target="https://doi.org/10.1016/j.edumed.2017.09.002" TargetMode="External"/><Relationship Id="rId41" Type="http://schemas.openxmlformats.org/officeDocument/2006/relationships/hyperlink" Target="https://doi.org/10.1037/emo0000703" TargetMode="External"/><Relationship Id="rId54" Type="http://schemas.openxmlformats.org/officeDocument/2006/relationships/hyperlink" Target="https://doi.org/10.1002/pits.100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busres.2020.03.025" TargetMode="External"/><Relationship Id="rId23" Type="http://schemas.openxmlformats.org/officeDocument/2006/relationships/hyperlink" Target="https://doi.org/10.1007/s10212-011-0080-7" TargetMode="External"/><Relationship Id="rId28" Type="http://schemas.openxmlformats.org/officeDocument/2006/relationships/hyperlink" Target="http://revistas.ucv.edu.pe/index.php/revpsi/article/view/628" TargetMode="External"/><Relationship Id="rId36" Type="http://schemas.openxmlformats.org/officeDocument/2006/relationships/hyperlink" Target="https://doi.org/10.5861/ijrse.2012.v1i1.19" TargetMode="External"/><Relationship Id="rId49" Type="http://schemas.openxmlformats.org/officeDocument/2006/relationships/hyperlink" Target="https://journals.copmadrid.org/jwop/art/7c590f01490190db0ed02a5070e20f01" TargetMode="External"/><Relationship Id="rId57" Type="http://schemas.openxmlformats.org/officeDocument/2006/relationships/fontTable" Target="fontTable.xml"/><Relationship Id="rId10" Type="http://schemas.openxmlformats.org/officeDocument/2006/relationships/hyperlink" Target="https://tesis.pucp.edu.pe/repositorio/handle/20.500.12404/19117" TargetMode="External"/><Relationship Id="rId31" Type="http://schemas.openxmlformats.org/officeDocument/2006/relationships/hyperlink" Target="https://doi.org/10.1177/0963721418812771" TargetMode="External"/><Relationship Id="rId44" Type="http://schemas.openxmlformats.org/officeDocument/2006/relationships/hyperlink" Target="https://doi.org/10.1016/J.YNSTR.2023.100515" TargetMode="External"/><Relationship Id="rId52" Type="http://schemas.openxmlformats.org/officeDocument/2006/relationships/hyperlink" Target="https://doi.org/10.1007/978-1-4614-2018-7_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E010-643D-4461-B7E9-2F7439EB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7608</Words>
  <Characters>41850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2025-01-20T12:23:00Z</dcterms:created>
  <dcterms:modified xsi:type="dcterms:W3CDTF">2025-01-27T21:56:00Z</dcterms:modified>
</cp:coreProperties>
</file>